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25134" w:rsidP="00025134" w14:paraId="0C74B1B2" w14:textId="77777777">
      <w:pPr>
        <w:jc w:val="center"/>
        <w:rPr>
          <w:rFonts w:ascii="Times New Roman" w:hAnsi="Times New Roman"/>
          <w:b/>
          <w:bCs/>
          <w:sz w:val="32"/>
          <w:szCs w:val="32"/>
        </w:rPr>
      </w:pPr>
    </w:p>
    <w:p w:rsidR="00025134" w:rsidRPr="006F68E9" w:rsidP="00025134" w14:paraId="2643506D" w14:textId="1663C476">
      <w:pPr>
        <w:jc w:val="center"/>
        <w:rPr>
          <w:rFonts w:ascii="Times New Roman" w:hAnsi="Times New Roman"/>
          <w:b/>
          <w:bCs/>
          <w:sz w:val="32"/>
          <w:szCs w:val="32"/>
        </w:rPr>
      </w:pPr>
      <w:r w:rsidRPr="006F68E9">
        <w:rPr>
          <w:rFonts w:ascii="Times New Roman" w:hAnsi="Times New Roman"/>
          <w:b/>
          <w:bCs/>
          <w:sz w:val="32"/>
          <w:szCs w:val="32"/>
        </w:rPr>
        <w:t>Response to Comments on the 2022 Proposed Rule</w:t>
      </w:r>
    </w:p>
    <w:p w:rsidR="00025134" w:rsidRPr="006F68E9" w:rsidP="00025134" w14:paraId="7F713970" w14:textId="77777777">
      <w:pPr>
        <w:jc w:val="center"/>
        <w:rPr>
          <w:rFonts w:ascii="Times New Roman" w:hAnsi="Times New Roman"/>
          <w:b/>
          <w:bCs/>
          <w:sz w:val="32"/>
          <w:szCs w:val="32"/>
        </w:rPr>
      </w:pPr>
      <w:r w:rsidRPr="006F68E9">
        <w:rPr>
          <w:rFonts w:ascii="Times New Roman" w:hAnsi="Times New Roman"/>
          <w:b/>
          <w:bCs/>
          <w:sz w:val="32"/>
          <w:szCs w:val="32"/>
        </w:rPr>
        <w:t>(August 31, 2022; 87 FR 53556)</w:t>
      </w:r>
    </w:p>
    <w:p w:rsidR="00025134" w:rsidRPr="006F68E9" w:rsidP="00025134" w14:paraId="35B587B5" w14:textId="77777777">
      <w:pPr>
        <w:jc w:val="center"/>
        <w:rPr>
          <w:rFonts w:ascii="Times New Roman" w:hAnsi="Times New Roman"/>
          <w:b/>
          <w:bCs/>
          <w:sz w:val="32"/>
          <w:szCs w:val="32"/>
        </w:rPr>
      </w:pPr>
      <w:r w:rsidRPr="006F68E9">
        <w:rPr>
          <w:rFonts w:ascii="Times New Roman" w:hAnsi="Times New Roman"/>
          <w:b/>
          <w:bCs/>
          <w:sz w:val="32"/>
          <w:szCs w:val="32"/>
        </w:rPr>
        <w:t>Accidental Release Prevention Requirements: Risk Management Programs Under the Clean Air Act; Safer Communities by Chemical Accident Prevention</w:t>
      </w:r>
      <w:r w:rsidRPr="006F68E9">
        <w:rPr>
          <w:rFonts w:ascii="Times New Roman" w:hAnsi="Times New Roman"/>
          <w:b/>
          <w:bCs/>
          <w:sz w:val="32"/>
          <w:szCs w:val="32"/>
        </w:rPr>
        <w:br/>
      </w:r>
    </w:p>
    <w:p w:rsidR="00025134" w:rsidRPr="006F68E9" w:rsidP="00025134" w14:paraId="1023F4B6" w14:textId="77777777">
      <w:pPr>
        <w:jc w:val="center"/>
        <w:rPr>
          <w:rStyle w:val="Strong"/>
          <w:rFonts w:ascii="Times New Roman" w:eastAsia="Times New Roman" w:hAnsi="Times New Roman"/>
          <w:sz w:val="24"/>
        </w:rPr>
      </w:pPr>
      <w:r w:rsidRPr="006F68E9">
        <w:rPr>
          <w:rFonts w:ascii="Times New Roman" w:eastAsia="Times New Roman" w:hAnsi="Times New Roman"/>
          <w:b/>
          <w:bCs/>
          <w:sz w:val="24"/>
        </w:rPr>
        <w:br/>
      </w:r>
    </w:p>
    <w:p w:rsidR="00025134" w:rsidRPr="006F68E9" w:rsidP="00025134" w14:paraId="4E6FA84F" w14:textId="77777777">
      <w:pPr>
        <w:jc w:val="center"/>
        <w:rPr>
          <w:rStyle w:val="Strong"/>
          <w:rFonts w:ascii="Times New Roman" w:eastAsia="Times New Roman" w:hAnsi="Times New Roman"/>
          <w:sz w:val="24"/>
        </w:rPr>
      </w:pPr>
    </w:p>
    <w:p w:rsidR="00025134" w:rsidRPr="006F68E9" w:rsidP="00025134" w14:paraId="2C98AF66" w14:textId="77777777">
      <w:pPr>
        <w:jc w:val="center"/>
        <w:rPr>
          <w:rStyle w:val="Strong"/>
          <w:rFonts w:ascii="Times New Roman" w:eastAsia="Times New Roman" w:hAnsi="Times New Roman"/>
          <w:sz w:val="24"/>
        </w:rPr>
      </w:pPr>
    </w:p>
    <w:p w:rsidR="00025134" w:rsidRPr="006F68E9" w:rsidP="00025134" w14:paraId="788DA794" w14:textId="77777777">
      <w:pPr>
        <w:jc w:val="center"/>
        <w:rPr>
          <w:rStyle w:val="Strong"/>
          <w:rFonts w:ascii="Times New Roman" w:eastAsia="Times New Roman" w:hAnsi="Times New Roman"/>
          <w:sz w:val="24"/>
        </w:rPr>
      </w:pPr>
    </w:p>
    <w:p w:rsidR="00025134" w:rsidRPr="006F68E9" w:rsidP="00025134" w14:paraId="6D62DC90" w14:textId="77777777">
      <w:pPr>
        <w:jc w:val="center"/>
        <w:rPr>
          <w:rStyle w:val="Strong"/>
          <w:rFonts w:ascii="Times New Roman" w:eastAsia="Times New Roman" w:hAnsi="Times New Roman"/>
          <w:sz w:val="24"/>
        </w:rPr>
      </w:pPr>
    </w:p>
    <w:p w:rsidR="00025134" w:rsidRPr="006F68E9" w:rsidP="00025134" w14:paraId="04B46DA3" w14:textId="77777777">
      <w:pPr>
        <w:jc w:val="center"/>
        <w:rPr>
          <w:rStyle w:val="Strong"/>
          <w:rFonts w:ascii="Times New Roman" w:eastAsia="Times New Roman" w:hAnsi="Times New Roman"/>
          <w:sz w:val="24"/>
        </w:rPr>
      </w:pPr>
    </w:p>
    <w:p w:rsidR="00025134" w:rsidRPr="006F68E9" w:rsidP="00025134" w14:paraId="18DEBA4B" w14:textId="77777777">
      <w:pPr>
        <w:jc w:val="center"/>
        <w:rPr>
          <w:rStyle w:val="Strong"/>
          <w:rFonts w:ascii="Times New Roman" w:eastAsia="Times New Roman" w:hAnsi="Times New Roman"/>
          <w:sz w:val="24"/>
        </w:rPr>
      </w:pPr>
    </w:p>
    <w:p w:rsidR="00025134" w:rsidRPr="006F68E9" w:rsidP="00025134" w14:paraId="339D8BF0" w14:textId="77777777">
      <w:pPr>
        <w:jc w:val="center"/>
        <w:rPr>
          <w:rStyle w:val="Strong"/>
          <w:rFonts w:ascii="Times New Roman" w:eastAsia="Times New Roman" w:hAnsi="Times New Roman"/>
          <w:sz w:val="24"/>
        </w:rPr>
      </w:pPr>
    </w:p>
    <w:p w:rsidR="00025134" w:rsidRPr="006F68E9" w:rsidP="00025134" w14:paraId="3E0E54F9" w14:textId="77777777">
      <w:pPr>
        <w:jc w:val="center"/>
        <w:rPr>
          <w:rStyle w:val="Strong"/>
          <w:rFonts w:ascii="Times New Roman" w:eastAsia="Times New Roman" w:hAnsi="Times New Roman"/>
          <w:sz w:val="24"/>
        </w:rPr>
      </w:pPr>
    </w:p>
    <w:p w:rsidR="00025134" w:rsidRPr="006F68E9" w:rsidP="00025134" w14:paraId="46DEA5AE" w14:textId="77777777">
      <w:pPr>
        <w:jc w:val="center"/>
        <w:rPr>
          <w:rStyle w:val="Strong"/>
          <w:rFonts w:ascii="Times New Roman" w:eastAsia="Times New Roman" w:hAnsi="Times New Roman"/>
          <w:sz w:val="24"/>
        </w:rPr>
      </w:pPr>
    </w:p>
    <w:p w:rsidR="00025134" w:rsidRPr="006F68E9" w:rsidP="00025134" w14:paraId="6686DA27" w14:textId="77777777">
      <w:pPr>
        <w:jc w:val="center"/>
        <w:rPr>
          <w:rStyle w:val="Strong"/>
          <w:rFonts w:ascii="Times New Roman" w:eastAsia="Times New Roman" w:hAnsi="Times New Roman"/>
          <w:sz w:val="24"/>
        </w:rPr>
      </w:pPr>
    </w:p>
    <w:p w:rsidR="00025134" w:rsidRPr="006F68E9" w:rsidP="00025134" w14:paraId="5E6BF11E" w14:textId="77777777">
      <w:pPr>
        <w:jc w:val="center"/>
        <w:rPr>
          <w:rStyle w:val="Strong"/>
          <w:rFonts w:ascii="Times New Roman" w:eastAsia="Times New Roman" w:hAnsi="Times New Roman"/>
          <w:sz w:val="24"/>
        </w:rPr>
      </w:pPr>
    </w:p>
    <w:p w:rsidR="00025134" w:rsidRPr="006F68E9" w:rsidP="00025134" w14:paraId="6E0DFBC4" w14:textId="77777777">
      <w:pPr>
        <w:jc w:val="center"/>
        <w:rPr>
          <w:rStyle w:val="Strong"/>
          <w:rFonts w:ascii="Times New Roman" w:eastAsia="Times New Roman" w:hAnsi="Times New Roman"/>
          <w:sz w:val="24"/>
        </w:rPr>
      </w:pPr>
    </w:p>
    <w:p w:rsidR="00025134" w:rsidRPr="006F68E9" w:rsidP="00025134" w14:paraId="29806F50" w14:textId="77777777">
      <w:pPr>
        <w:jc w:val="center"/>
        <w:rPr>
          <w:rStyle w:val="Strong"/>
          <w:rFonts w:ascii="Times New Roman" w:eastAsia="Times New Roman" w:hAnsi="Times New Roman"/>
          <w:sz w:val="24"/>
        </w:rPr>
      </w:pPr>
    </w:p>
    <w:p w:rsidR="00025134" w:rsidRPr="006F68E9" w:rsidP="00025134" w14:paraId="3F3B1320" w14:textId="77777777">
      <w:pPr>
        <w:jc w:val="center"/>
        <w:rPr>
          <w:rStyle w:val="Strong"/>
          <w:rFonts w:ascii="Times New Roman" w:eastAsia="Times New Roman" w:hAnsi="Times New Roman"/>
          <w:sz w:val="24"/>
        </w:rPr>
      </w:pPr>
    </w:p>
    <w:p w:rsidR="00025134" w:rsidRPr="006F68E9" w:rsidP="00025134" w14:paraId="58597BE7" w14:textId="77777777">
      <w:pPr>
        <w:jc w:val="center"/>
        <w:rPr>
          <w:rStyle w:val="Strong"/>
          <w:rFonts w:ascii="Times New Roman" w:eastAsia="Times New Roman" w:hAnsi="Times New Roman"/>
          <w:sz w:val="24"/>
        </w:rPr>
      </w:pPr>
    </w:p>
    <w:p w:rsidR="00025134" w:rsidRPr="006F68E9" w:rsidP="00025134" w14:paraId="7BF33F7B" w14:textId="77777777">
      <w:pPr>
        <w:jc w:val="center"/>
        <w:rPr>
          <w:rStyle w:val="Strong"/>
          <w:rFonts w:ascii="Times New Roman" w:eastAsia="Times New Roman" w:hAnsi="Times New Roman"/>
          <w:sz w:val="24"/>
        </w:rPr>
      </w:pPr>
    </w:p>
    <w:p w:rsidR="00025134" w:rsidRPr="006F68E9" w:rsidP="00025134" w14:paraId="3DD74779" w14:textId="77777777">
      <w:pPr>
        <w:jc w:val="center"/>
        <w:rPr>
          <w:rStyle w:val="Strong"/>
          <w:rFonts w:ascii="Times New Roman" w:eastAsia="Times New Roman" w:hAnsi="Times New Roman"/>
          <w:sz w:val="24"/>
        </w:rPr>
      </w:pPr>
    </w:p>
    <w:p w:rsidR="00025134" w:rsidRPr="006F68E9" w:rsidP="00025134" w14:paraId="06DDB51E" w14:textId="77777777">
      <w:pPr>
        <w:spacing w:before="0" w:after="0"/>
        <w:jc w:val="center"/>
        <w:rPr>
          <w:rFonts w:ascii="Times New Roman" w:hAnsi="Times New Roman"/>
          <w:sz w:val="28"/>
          <w:szCs w:val="28"/>
        </w:rPr>
      </w:pPr>
      <w:r w:rsidRPr="006F68E9">
        <w:rPr>
          <w:rFonts w:ascii="Times New Roman" w:hAnsi="Times New Roman"/>
          <w:sz w:val="28"/>
          <w:szCs w:val="28"/>
        </w:rPr>
        <w:t>Docket Number</w:t>
      </w:r>
      <w:r w:rsidRPr="006F68E9">
        <w:rPr>
          <w:rFonts w:ascii="Times New Roman" w:hAnsi="Times New Roman"/>
          <w:b/>
          <w:bCs/>
          <w:sz w:val="28"/>
          <w:szCs w:val="28"/>
        </w:rPr>
        <w:t xml:space="preserve"> </w:t>
      </w:r>
      <w:r w:rsidRPr="006F68E9">
        <w:rPr>
          <w:rFonts w:ascii="Times New Roman" w:hAnsi="Times New Roman"/>
          <w:sz w:val="28"/>
          <w:szCs w:val="28"/>
        </w:rPr>
        <w:t>EPA-HQ-OLEM-2022-0174</w:t>
      </w:r>
    </w:p>
    <w:p w:rsidR="00025134" w:rsidRPr="006F68E9" w:rsidP="00025134" w14:paraId="0279F04E" w14:textId="77777777">
      <w:pPr>
        <w:spacing w:before="0" w:after="0"/>
        <w:jc w:val="center"/>
        <w:rPr>
          <w:rFonts w:ascii="Times New Roman" w:hAnsi="Times New Roman"/>
          <w:sz w:val="28"/>
          <w:szCs w:val="28"/>
        </w:rPr>
      </w:pPr>
      <w:r w:rsidRPr="006F68E9">
        <w:rPr>
          <w:rFonts w:ascii="Times New Roman" w:hAnsi="Times New Roman"/>
          <w:sz w:val="28"/>
          <w:szCs w:val="28"/>
        </w:rPr>
        <w:t>U.S. Environmental Protection Agency</w:t>
      </w:r>
    </w:p>
    <w:p w:rsidR="00025134" w:rsidRPr="006F68E9" w:rsidP="00025134" w14:paraId="1B04A0DA" w14:textId="77777777">
      <w:pPr>
        <w:spacing w:before="0" w:after="0"/>
        <w:jc w:val="center"/>
        <w:rPr>
          <w:rFonts w:ascii="Times New Roman" w:hAnsi="Times New Roman"/>
          <w:sz w:val="28"/>
          <w:szCs w:val="28"/>
        </w:rPr>
      </w:pPr>
      <w:r w:rsidRPr="006F68E9">
        <w:rPr>
          <w:rFonts w:ascii="Times New Roman" w:hAnsi="Times New Roman"/>
          <w:sz w:val="28"/>
          <w:szCs w:val="28"/>
        </w:rPr>
        <w:t xml:space="preserve">Office of Emergency Management </w:t>
      </w:r>
    </w:p>
    <w:p w:rsidR="00025134" w:rsidRPr="006F68E9" w:rsidP="00025134" w14:paraId="1B9B8DBD" w14:textId="6A953737">
      <w:pPr>
        <w:spacing w:before="0" w:after="0"/>
        <w:jc w:val="center"/>
        <w:rPr>
          <w:rFonts w:ascii="Times New Roman" w:hAnsi="Times New Roman"/>
          <w:sz w:val="28"/>
          <w:szCs w:val="28"/>
        </w:rPr>
      </w:pPr>
      <w:r w:rsidRPr="008546FE">
        <w:rPr>
          <w:rFonts w:ascii="Times New Roman" w:hAnsi="Times New Roman"/>
          <w:sz w:val="28"/>
          <w:szCs w:val="28"/>
        </w:rPr>
        <w:t>December 15</w:t>
      </w:r>
      <w:r w:rsidRPr="008546FE">
        <w:rPr>
          <w:rFonts w:ascii="Times New Roman" w:hAnsi="Times New Roman"/>
          <w:sz w:val="28"/>
          <w:szCs w:val="28"/>
        </w:rPr>
        <w:t>, 2023</w:t>
      </w:r>
    </w:p>
    <w:p w:rsidR="00025134" w14:paraId="461CE07A" w14:textId="77777777">
      <w:pPr>
        <w:sectPr w:rsidSect="00F94626">
          <w:footerReference w:type="default" r:id="rId11"/>
          <w:pgSz w:w="12240" w:h="15840"/>
          <w:pgMar w:top="1440" w:right="1440" w:bottom="1440" w:left="1440" w:header="720" w:footer="720" w:gutter="0"/>
          <w:cols w:space="720"/>
          <w:titlePg/>
          <w:docGrid w:linePitch="360"/>
        </w:sectPr>
      </w:pPr>
    </w:p>
    <w:bookmarkStart w:id="0" w:name="_Toc146879970" w:displacedByCustomXml="next"/>
    <w:sdt>
      <w:sdtPr>
        <w:rPr>
          <w:rFonts w:ascii="Calibri" w:hAnsi="Calibri" w:eastAsiaTheme="minorEastAsia"/>
          <w:b w:val="0"/>
          <w:sz w:val="22"/>
        </w:rPr>
        <w:id w:val="-1995166088"/>
        <w:docPartObj>
          <w:docPartGallery w:val="Table of Contents"/>
          <w:docPartUnique/>
        </w:docPartObj>
      </w:sdtPr>
      <w:sdtEndPr>
        <w:rPr>
          <w:noProof/>
        </w:rPr>
      </w:sdtEndPr>
      <w:sdtContent>
        <w:p w:rsidR="009E5E50" w:rsidRPr="000A0484" w:rsidP="000A0484" w14:paraId="62978835" w14:textId="293786F3">
          <w:pPr>
            <w:pStyle w:val="TOCHeading"/>
            <w:numPr>
              <w:ilvl w:val="0"/>
              <w:numId w:val="0"/>
            </w:numPr>
            <w:jc w:val="center"/>
            <w:rPr>
              <w:caps/>
            </w:rPr>
          </w:pPr>
          <w:r w:rsidRPr="000A0484">
            <w:rPr>
              <w:caps/>
            </w:rPr>
            <w:t>Table of Contents</w:t>
          </w:r>
        </w:p>
        <w:p w:rsidR="009E5E50" w:rsidRPr="000A0484" w14:paraId="2A1756A3" w14:textId="1E5A13BC">
          <w:pPr>
            <w:pStyle w:val="TOC1"/>
            <w:rPr>
              <w:rFonts w:ascii="Times New Roman" w:hAnsi="Times New Roman"/>
              <w:noProof/>
              <w:kern w:val="2"/>
              <w:sz w:val="24"/>
              <w14:ligatures w14:val="standardContextual"/>
            </w:rPr>
          </w:pPr>
          <w:r w:rsidRPr="000A0484">
            <w:rPr>
              <w:rFonts w:ascii="Times New Roman" w:hAnsi="Times New Roman"/>
              <w:sz w:val="24"/>
            </w:rPr>
            <w:fldChar w:fldCharType="begin"/>
          </w:r>
          <w:r w:rsidRPr="000A0484">
            <w:rPr>
              <w:rFonts w:ascii="Times New Roman" w:hAnsi="Times New Roman"/>
              <w:sz w:val="24"/>
            </w:rPr>
            <w:instrText xml:space="preserve"> TOC \o "1-3" \h \z \u </w:instrText>
          </w:r>
          <w:r w:rsidRPr="000A0484">
            <w:rPr>
              <w:rFonts w:ascii="Times New Roman" w:hAnsi="Times New Roman"/>
              <w:sz w:val="24"/>
            </w:rPr>
            <w:fldChar w:fldCharType="separate"/>
          </w:r>
          <w:hyperlink w:anchor="_Toc153373764" w:history="1">
            <w:r w:rsidRPr="000A0484">
              <w:rPr>
                <w:rStyle w:val="Hyperlink"/>
                <w:rFonts w:ascii="Times New Roman" w:hAnsi="Times New Roman"/>
                <w:noProof/>
                <w:sz w:val="24"/>
              </w:rPr>
              <w:t>1</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General Feedback on the Proposed Rule</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_Toc153373764 \h </w:instrText>
            </w:r>
            <w:r w:rsidRPr="000A0484">
              <w:rPr>
                <w:rFonts w:ascii="Times New Roman" w:hAnsi="Times New Roman"/>
                <w:noProof/>
                <w:webHidden/>
                <w:sz w:val="24"/>
              </w:rPr>
              <w:fldChar w:fldCharType="separate"/>
            </w:r>
            <w:r w:rsidR="00390792">
              <w:rPr>
                <w:rFonts w:ascii="Times New Roman" w:hAnsi="Times New Roman"/>
                <w:noProof/>
                <w:webHidden/>
                <w:sz w:val="24"/>
              </w:rPr>
              <w:t>1</w:t>
            </w:r>
            <w:r w:rsidRPr="000A0484">
              <w:rPr>
                <w:rFonts w:ascii="Times New Roman" w:hAnsi="Times New Roman"/>
                <w:noProof/>
                <w:webHidden/>
                <w:sz w:val="24"/>
              </w:rPr>
              <w:fldChar w:fldCharType="end"/>
            </w:r>
          </w:hyperlink>
        </w:p>
        <w:p w:rsidR="009E5E50" w:rsidRPr="000A0484" w:rsidP="00564A59" w14:paraId="5C636369" w14:textId="41A26D4D">
          <w:pPr>
            <w:pStyle w:val="TOC2"/>
            <w:rPr>
              <w:noProof/>
              <w:kern w:val="2"/>
              <w14:ligatures w14:val="standardContextual"/>
            </w:rPr>
          </w:pPr>
          <w:hyperlink w:anchor="_Toc153373765" w:history="1">
            <w:r w:rsidRPr="000A0484">
              <w:rPr>
                <w:rStyle w:val="Hyperlink"/>
                <w:rFonts w:ascii="Times New Roman" w:hAnsi="Times New Roman"/>
                <w:noProof/>
                <w:sz w:val="24"/>
              </w:rPr>
              <w:t>1.1</w:t>
            </w:r>
            <w:r w:rsidRPr="000A0484">
              <w:rPr>
                <w:noProof/>
                <w:kern w:val="2"/>
                <w14:ligatures w14:val="standardContextual"/>
              </w:rPr>
              <w:tab/>
            </w:r>
            <w:r w:rsidRPr="000A0484">
              <w:rPr>
                <w:rStyle w:val="Hyperlink"/>
                <w:rFonts w:ascii="Times New Roman" w:hAnsi="Times New Roman"/>
                <w:noProof/>
                <w:sz w:val="24"/>
              </w:rPr>
              <w:t>General comments supporting/opposing the rulemaking</w:t>
            </w:r>
            <w:r w:rsidRPr="000A0484">
              <w:rPr>
                <w:noProof/>
                <w:webHidden/>
              </w:rPr>
              <w:tab/>
            </w:r>
            <w:r w:rsidRPr="000A0484">
              <w:rPr>
                <w:noProof/>
                <w:webHidden/>
              </w:rPr>
              <w:fldChar w:fldCharType="begin"/>
            </w:r>
            <w:r w:rsidRPr="000A0484">
              <w:rPr>
                <w:noProof/>
                <w:webHidden/>
              </w:rPr>
              <w:instrText xml:space="preserve"> PAGEREF _Toc153373765 \h </w:instrText>
            </w:r>
            <w:r w:rsidRPr="000A0484">
              <w:rPr>
                <w:noProof/>
                <w:webHidden/>
              </w:rPr>
              <w:fldChar w:fldCharType="separate"/>
            </w:r>
            <w:r w:rsidR="00390792">
              <w:rPr>
                <w:noProof/>
                <w:webHidden/>
              </w:rPr>
              <w:t>1</w:t>
            </w:r>
            <w:r w:rsidRPr="000A0484">
              <w:rPr>
                <w:noProof/>
                <w:webHidden/>
              </w:rPr>
              <w:fldChar w:fldCharType="end"/>
            </w:r>
          </w:hyperlink>
        </w:p>
        <w:p w:rsidR="009E5E50" w:rsidRPr="000A0484" w:rsidP="00564A59" w14:paraId="6BE995D3" w14:textId="0A0CD42F">
          <w:pPr>
            <w:pStyle w:val="TOC2"/>
            <w:rPr>
              <w:noProof/>
              <w:kern w:val="2"/>
              <w14:ligatures w14:val="standardContextual"/>
            </w:rPr>
          </w:pPr>
          <w:hyperlink w:anchor="_Toc153373766" w:history="1">
            <w:r w:rsidRPr="000A0484">
              <w:rPr>
                <w:rStyle w:val="Hyperlink"/>
                <w:rFonts w:ascii="Times New Roman" w:hAnsi="Times New Roman"/>
                <w:noProof/>
                <w:sz w:val="24"/>
              </w:rPr>
              <w:t>1.2</w:t>
            </w:r>
            <w:r w:rsidRPr="000A0484">
              <w:rPr>
                <w:noProof/>
                <w:kern w:val="2"/>
                <w14:ligatures w14:val="standardContextual"/>
              </w:rPr>
              <w:tab/>
            </w:r>
            <w:r w:rsidRPr="000A0484">
              <w:rPr>
                <w:rStyle w:val="Hyperlink"/>
                <w:rFonts w:ascii="Times New Roman" w:hAnsi="Times New Roman"/>
                <w:noProof/>
                <w:sz w:val="24"/>
              </w:rPr>
              <w:t>Regulatory process</w:t>
            </w:r>
            <w:r w:rsidRPr="000A0484">
              <w:rPr>
                <w:noProof/>
                <w:webHidden/>
              </w:rPr>
              <w:tab/>
            </w:r>
            <w:r w:rsidRPr="000A0484">
              <w:rPr>
                <w:noProof/>
                <w:webHidden/>
              </w:rPr>
              <w:fldChar w:fldCharType="begin"/>
            </w:r>
            <w:r w:rsidRPr="000A0484">
              <w:rPr>
                <w:noProof/>
                <w:webHidden/>
              </w:rPr>
              <w:instrText xml:space="preserve"> PAGEREF _Toc153373766 \h </w:instrText>
            </w:r>
            <w:r w:rsidRPr="000A0484">
              <w:rPr>
                <w:noProof/>
                <w:webHidden/>
              </w:rPr>
              <w:fldChar w:fldCharType="separate"/>
            </w:r>
            <w:r w:rsidR="00390792">
              <w:rPr>
                <w:noProof/>
                <w:webHidden/>
              </w:rPr>
              <w:t>6</w:t>
            </w:r>
            <w:r w:rsidRPr="000A0484">
              <w:rPr>
                <w:noProof/>
                <w:webHidden/>
              </w:rPr>
              <w:fldChar w:fldCharType="end"/>
            </w:r>
          </w:hyperlink>
        </w:p>
        <w:p w:rsidR="009E5E50" w:rsidRPr="000A0484" w:rsidP="00564A59" w14:paraId="7B25A1F4" w14:textId="5A6E793D">
          <w:pPr>
            <w:pStyle w:val="TOC2"/>
            <w:rPr>
              <w:noProof/>
              <w:kern w:val="2"/>
              <w14:ligatures w14:val="standardContextual"/>
            </w:rPr>
          </w:pPr>
          <w:hyperlink w:anchor="_Toc153373767" w:history="1">
            <w:r w:rsidRPr="000A0484">
              <w:rPr>
                <w:rStyle w:val="Hyperlink"/>
                <w:rFonts w:ascii="Times New Roman" w:hAnsi="Times New Roman"/>
                <w:noProof/>
                <w:sz w:val="24"/>
              </w:rPr>
              <w:t>1.3</w:t>
            </w:r>
            <w:r w:rsidRPr="000A0484">
              <w:rPr>
                <w:noProof/>
                <w:kern w:val="2"/>
                <w14:ligatures w14:val="standardContextual"/>
              </w:rPr>
              <w:tab/>
            </w:r>
            <w:r w:rsidRPr="000A0484">
              <w:rPr>
                <w:rStyle w:val="Hyperlink"/>
                <w:rFonts w:ascii="Times New Roman" w:hAnsi="Times New Roman"/>
                <w:noProof/>
                <w:sz w:val="24"/>
              </w:rPr>
              <w:t>Statutory authority</w:t>
            </w:r>
            <w:r w:rsidRPr="000A0484">
              <w:rPr>
                <w:noProof/>
                <w:webHidden/>
              </w:rPr>
              <w:tab/>
            </w:r>
            <w:r w:rsidRPr="000A0484">
              <w:rPr>
                <w:noProof/>
                <w:webHidden/>
              </w:rPr>
              <w:fldChar w:fldCharType="begin"/>
            </w:r>
            <w:r w:rsidRPr="000A0484">
              <w:rPr>
                <w:noProof/>
                <w:webHidden/>
              </w:rPr>
              <w:instrText xml:space="preserve"> PAGEREF _Toc153373767 \h </w:instrText>
            </w:r>
            <w:r w:rsidRPr="000A0484">
              <w:rPr>
                <w:noProof/>
                <w:webHidden/>
              </w:rPr>
              <w:fldChar w:fldCharType="separate"/>
            </w:r>
            <w:r w:rsidR="00390792">
              <w:rPr>
                <w:noProof/>
                <w:webHidden/>
              </w:rPr>
              <w:t>8</w:t>
            </w:r>
            <w:r w:rsidRPr="000A0484">
              <w:rPr>
                <w:noProof/>
                <w:webHidden/>
              </w:rPr>
              <w:fldChar w:fldCharType="end"/>
            </w:r>
          </w:hyperlink>
        </w:p>
        <w:p w:rsidR="009E5E50" w:rsidRPr="000A0484" w:rsidP="00564A59" w14:paraId="6DC319D4" w14:textId="786B4524">
          <w:pPr>
            <w:pStyle w:val="TOC2"/>
            <w:rPr>
              <w:noProof/>
              <w:kern w:val="2"/>
              <w14:ligatures w14:val="standardContextual"/>
            </w:rPr>
          </w:pPr>
          <w:hyperlink w:anchor="_Toc153373768" w:history="1">
            <w:r w:rsidRPr="000A0484">
              <w:rPr>
                <w:rStyle w:val="Hyperlink"/>
                <w:rFonts w:ascii="Times New Roman" w:hAnsi="Times New Roman"/>
                <w:noProof/>
                <w:sz w:val="24"/>
              </w:rPr>
              <w:t>1.4</w:t>
            </w:r>
            <w:r w:rsidRPr="000A0484">
              <w:rPr>
                <w:noProof/>
                <w:kern w:val="2"/>
                <w14:ligatures w14:val="standardContextual"/>
              </w:rPr>
              <w:tab/>
            </w:r>
            <w:r w:rsidRPr="000A0484">
              <w:rPr>
                <w:rStyle w:val="Hyperlink"/>
                <w:rFonts w:ascii="Times New Roman" w:hAnsi="Times New Roman"/>
                <w:noProof/>
                <w:sz w:val="24"/>
              </w:rPr>
              <w:t>General regulatory overlap</w:t>
            </w:r>
            <w:r w:rsidRPr="000A0484">
              <w:rPr>
                <w:noProof/>
                <w:webHidden/>
              </w:rPr>
              <w:tab/>
            </w:r>
            <w:r w:rsidRPr="000A0484">
              <w:rPr>
                <w:noProof/>
                <w:webHidden/>
              </w:rPr>
              <w:fldChar w:fldCharType="begin"/>
            </w:r>
            <w:r w:rsidRPr="000A0484">
              <w:rPr>
                <w:noProof/>
                <w:webHidden/>
              </w:rPr>
              <w:instrText xml:space="preserve"> PAGEREF _Toc153373768 \h </w:instrText>
            </w:r>
            <w:r w:rsidRPr="000A0484">
              <w:rPr>
                <w:noProof/>
                <w:webHidden/>
              </w:rPr>
              <w:fldChar w:fldCharType="separate"/>
            </w:r>
            <w:r w:rsidR="00390792">
              <w:rPr>
                <w:noProof/>
                <w:webHidden/>
              </w:rPr>
              <w:t>15</w:t>
            </w:r>
            <w:r w:rsidRPr="000A0484">
              <w:rPr>
                <w:noProof/>
                <w:webHidden/>
              </w:rPr>
              <w:fldChar w:fldCharType="end"/>
            </w:r>
          </w:hyperlink>
        </w:p>
        <w:p w:rsidR="009E5E50" w:rsidRPr="000A0484" w:rsidP="00564A59" w14:paraId="70C2D485" w14:textId="3027A64D">
          <w:pPr>
            <w:pStyle w:val="TOC2"/>
            <w:rPr>
              <w:noProof/>
              <w:kern w:val="2"/>
              <w14:ligatures w14:val="standardContextual"/>
            </w:rPr>
          </w:pPr>
          <w:hyperlink w:anchor="_Toc153373769" w:history="1">
            <w:r w:rsidRPr="000A0484">
              <w:rPr>
                <w:rStyle w:val="Hyperlink"/>
                <w:rFonts w:ascii="Times New Roman" w:hAnsi="Times New Roman"/>
                <w:noProof/>
                <w:sz w:val="24"/>
              </w:rPr>
              <w:t>1.5</w:t>
            </w:r>
            <w:r w:rsidRPr="000A0484">
              <w:rPr>
                <w:noProof/>
                <w:kern w:val="2"/>
                <w14:ligatures w14:val="standardContextual"/>
              </w:rPr>
              <w:tab/>
            </w:r>
            <w:r w:rsidRPr="000A0484">
              <w:rPr>
                <w:rStyle w:val="Hyperlink"/>
                <w:rFonts w:ascii="Times New Roman" w:hAnsi="Times New Roman"/>
                <w:noProof/>
                <w:sz w:val="24"/>
              </w:rPr>
              <w:t>General applicability</w:t>
            </w:r>
            <w:r w:rsidRPr="000A0484">
              <w:rPr>
                <w:noProof/>
                <w:webHidden/>
              </w:rPr>
              <w:tab/>
            </w:r>
            <w:r w:rsidRPr="000A0484">
              <w:rPr>
                <w:noProof/>
                <w:webHidden/>
              </w:rPr>
              <w:fldChar w:fldCharType="begin"/>
            </w:r>
            <w:r w:rsidRPr="000A0484">
              <w:rPr>
                <w:noProof/>
                <w:webHidden/>
              </w:rPr>
              <w:instrText xml:space="preserve"> PAGEREF _Toc153373769 \h </w:instrText>
            </w:r>
            <w:r w:rsidRPr="000A0484">
              <w:rPr>
                <w:noProof/>
                <w:webHidden/>
              </w:rPr>
              <w:fldChar w:fldCharType="separate"/>
            </w:r>
            <w:r w:rsidR="00390792">
              <w:rPr>
                <w:noProof/>
                <w:webHidden/>
              </w:rPr>
              <w:t>19</w:t>
            </w:r>
            <w:r w:rsidRPr="000A0484">
              <w:rPr>
                <w:noProof/>
                <w:webHidden/>
              </w:rPr>
              <w:fldChar w:fldCharType="end"/>
            </w:r>
          </w:hyperlink>
        </w:p>
        <w:p w:rsidR="009E5E50" w:rsidRPr="000A0484" w14:paraId="7D5FF1EA" w14:textId="051116F4">
          <w:pPr>
            <w:pStyle w:val="TOC1"/>
            <w:rPr>
              <w:rFonts w:ascii="Times New Roman" w:hAnsi="Times New Roman"/>
              <w:noProof/>
              <w:kern w:val="2"/>
              <w:sz w:val="24"/>
              <w14:ligatures w14:val="standardContextual"/>
            </w:rPr>
          </w:pPr>
          <w:hyperlink w:anchor="_Toc153373770" w:history="1">
            <w:r w:rsidRPr="000A0484">
              <w:rPr>
                <w:rStyle w:val="Hyperlink"/>
                <w:rFonts w:ascii="Times New Roman" w:hAnsi="Times New Roman"/>
                <w:noProof/>
                <w:sz w:val="24"/>
              </w:rPr>
              <w:t>2</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Natural Hazards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_Toc153373770 \h </w:instrText>
            </w:r>
            <w:r w:rsidRPr="000A0484">
              <w:rPr>
                <w:rFonts w:ascii="Times New Roman" w:hAnsi="Times New Roman"/>
                <w:noProof/>
                <w:webHidden/>
                <w:sz w:val="24"/>
              </w:rPr>
              <w:fldChar w:fldCharType="separate"/>
            </w:r>
            <w:r w:rsidR="00390792">
              <w:rPr>
                <w:rFonts w:ascii="Times New Roman" w:hAnsi="Times New Roman"/>
                <w:noProof/>
                <w:webHidden/>
                <w:sz w:val="24"/>
              </w:rPr>
              <w:t>30</w:t>
            </w:r>
            <w:r w:rsidRPr="000A0484">
              <w:rPr>
                <w:rFonts w:ascii="Times New Roman" w:hAnsi="Times New Roman"/>
                <w:noProof/>
                <w:webHidden/>
                <w:sz w:val="24"/>
              </w:rPr>
              <w:fldChar w:fldCharType="end"/>
            </w:r>
          </w:hyperlink>
        </w:p>
        <w:p w:rsidR="009E5E50" w:rsidRPr="000A0484" w:rsidP="00564A59" w14:paraId="64D0AB19" w14:textId="47533811">
          <w:pPr>
            <w:pStyle w:val="TOC2"/>
            <w:rPr>
              <w:noProof/>
              <w:kern w:val="2"/>
              <w14:ligatures w14:val="standardContextual"/>
            </w:rPr>
          </w:pPr>
          <w:hyperlink w:anchor="_Toc153373771" w:history="1">
            <w:r w:rsidRPr="000A0484">
              <w:rPr>
                <w:rStyle w:val="Hyperlink"/>
                <w:rFonts w:ascii="Times New Roman" w:hAnsi="Times New Roman"/>
                <w:noProof/>
                <w:sz w:val="24"/>
              </w:rPr>
              <w:t>2.1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_Toc153373771 \h </w:instrText>
            </w:r>
            <w:r w:rsidRPr="000A0484">
              <w:rPr>
                <w:noProof/>
                <w:webHidden/>
              </w:rPr>
              <w:fldChar w:fldCharType="separate"/>
            </w:r>
            <w:r w:rsidR="00390792">
              <w:rPr>
                <w:noProof/>
                <w:webHidden/>
              </w:rPr>
              <w:t>30</w:t>
            </w:r>
            <w:r w:rsidRPr="000A0484">
              <w:rPr>
                <w:noProof/>
                <w:webHidden/>
              </w:rPr>
              <w:fldChar w:fldCharType="end"/>
            </w:r>
          </w:hyperlink>
        </w:p>
        <w:p w:rsidR="009E5E50" w:rsidRPr="000A0484" w:rsidP="00564A59" w14:paraId="3440B91F" w14:textId="737B8327">
          <w:pPr>
            <w:pStyle w:val="TOC2"/>
            <w:rPr>
              <w:noProof/>
              <w:kern w:val="2"/>
              <w14:ligatures w14:val="standardContextual"/>
            </w:rPr>
          </w:pPr>
          <w:hyperlink w:anchor="_Toc153373772" w:history="1">
            <w:r w:rsidRPr="000A0484">
              <w:rPr>
                <w:rStyle w:val="Hyperlink"/>
                <w:rFonts w:ascii="Times New Roman" w:hAnsi="Times New Roman"/>
                <w:noProof/>
                <w:sz w:val="24"/>
              </w:rPr>
              <w:t>2.2</w:t>
            </w:r>
            <w:r w:rsidRPr="000A0484">
              <w:rPr>
                <w:noProof/>
                <w:kern w:val="2"/>
                <w14:ligatures w14:val="standardContextual"/>
              </w:rPr>
              <w:tab/>
            </w:r>
            <w:r w:rsidRPr="000A0484">
              <w:rPr>
                <w:rStyle w:val="Hyperlink"/>
                <w:rFonts w:ascii="Times New Roman" w:hAnsi="Times New Roman"/>
                <w:noProof/>
                <w:sz w:val="24"/>
              </w:rPr>
              <w:t>Additional guidance for assessing natural hazards</w:t>
            </w:r>
            <w:r w:rsidRPr="000A0484">
              <w:rPr>
                <w:noProof/>
                <w:webHidden/>
              </w:rPr>
              <w:tab/>
            </w:r>
            <w:r w:rsidRPr="000A0484">
              <w:rPr>
                <w:noProof/>
                <w:webHidden/>
              </w:rPr>
              <w:fldChar w:fldCharType="begin"/>
            </w:r>
            <w:r w:rsidRPr="000A0484">
              <w:rPr>
                <w:noProof/>
                <w:webHidden/>
              </w:rPr>
              <w:instrText xml:space="preserve"> PAGEREF _Toc153373772 \h </w:instrText>
            </w:r>
            <w:r w:rsidRPr="000A0484">
              <w:rPr>
                <w:noProof/>
                <w:webHidden/>
              </w:rPr>
              <w:fldChar w:fldCharType="separate"/>
            </w:r>
            <w:r w:rsidR="00390792">
              <w:rPr>
                <w:noProof/>
                <w:webHidden/>
              </w:rPr>
              <w:t>47</w:t>
            </w:r>
            <w:r w:rsidRPr="000A0484">
              <w:rPr>
                <w:noProof/>
                <w:webHidden/>
              </w:rPr>
              <w:fldChar w:fldCharType="end"/>
            </w:r>
          </w:hyperlink>
        </w:p>
        <w:p w:rsidR="009E5E50" w:rsidRPr="000A0484" w:rsidP="00564A59" w14:paraId="320AA857" w14:textId="6D7D34A3">
          <w:pPr>
            <w:pStyle w:val="TOC2"/>
            <w:rPr>
              <w:noProof/>
              <w:kern w:val="2"/>
              <w14:ligatures w14:val="standardContextual"/>
            </w:rPr>
          </w:pPr>
          <w:hyperlink w:anchor="_Toc153373773" w:history="1">
            <w:r w:rsidRPr="000A0484">
              <w:rPr>
                <w:rStyle w:val="Hyperlink"/>
                <w:rFonts w:ascii="Times New Roman" w:hAnsi="Times New Roman"/>
                <w:noProof/>
                <w:sz w:val="24"/>
              </w:rPr>
              <w:t>2.3</w:t>
            </w:r>
            <w:r w:rsidRPr="000A0484">
              <w:rPr>
                <w:noProof/>
                <w:kern w:val="2"/>
                <w14:ligatures w14:val="standardContextual"/>
              </w:rPr>
              <w:tab/>
            </w:r>
            <w:r w:rsidRPr="000A0484">
              <w:rPr>
                <w:rStyle w:val="Hyperlink"/>
                <w:rFonts w:ascii="Times New Roman" w:hAnsi="Times New Roman"/>
                <w:noProof/>
                <w:sz w:val="24"/>
              </w:rPr>
              <w:t>Natural hazard resources</w:t>
            </w:r>
            <w:r w:rsidRPr="000A0484">
              <w:rPr>
                <w:noProof/>
                <w:webHidden/>
              </w:rPr>
              <w:tab/>
            </w:r>
            <w:r w:rsidRPr="000A0484">
              <w:rPr>
                <w:noProof/>
                <w:webHidden/>
              </w:rPr>
              <w:fldChar w:fldCharType="begin"/>
            </w:r>
            <w:r w:rsidRPr="000A0484">
              <w:rPr>
                <w:noProof/>
                <w:webHidden/>
              </w:rPr>
              <w:instrText xml:space="preserve"> PAGEREF _Toc153373773 \h </w:instrText>
            </w:r>
            <w:r w:rsidRPr="000A0484">
              <w:rPr>
                <w:noProof/>
                <w:webHidden/>
              </w:rPr>
              <w:fldChar w:fldCharType="separate"/>
            </w:r>
            <w:r w:rsidR="00390792">
              <w:rPr>
                <w:noProof/>
                <w:webHidden/>
              </w:rPr>
              <w:t>49</w:t>
            </w:r>
            <w:r w:rsidRPr="000A0484">
              <w:rPr>
                <w:noProof/>
                <w:webHidden/>
              </w:rPr>
              <w:fldChar w:fldCharType="end"/>
            </w:r>
          </w:hyperlink>
        </w:p>
        <w:p w:rsidR="009E5E50" w:rsidRPr="000A0484" w:rsidP="00564A59" w14:paraId="5DE8CF6B" w14:textId="1E7BF6DA">
          <w:pPr>
            <w:pStyle w:val="TOC2"/>
            <w:rPr>
              <w:noProof/>
              <w:kern w:val="2"/>
              <w14:ligatures w14:val="standardContextual"/>
            </w:rPr>
          </w:pPr>
          <w:hyperlink w:anchor="_Toc153373774" w:history="1">
            <w:r w:rsidRPr="000A0484">
              <w:rPr>
                <w:rStyle w:val="Hyperlink"/>
                <w:rFonts w:ascii="Times New Roman" w:hAnsi="Times New Roman"/>
                <w:noProof/>
                <w:sz w:val="24"/>
              </w:rPr>
              <w:t>2.4</w:t>
            </w:r>
            <w:r w:rsidRPr="000A0484">
              <w:rPr>
                <w:noProof/>
                <w:kern w:val="2"/>
                <w14:ligatures w14:val="standardContextual"/>
              </w:rPr>
              <w:tab/>
            </w:r>
            <w:r w:rsidRPr="000A0484">
              <w:rPr>
                <w:rStyle w:val="Hyperlink"/>
                <w:rFonts w:ascii="Times New Roman" w:hAnsi="Times New Roman"/>
                <w:noProof/>
                <w:sz w:val="24"/>
              </w:rPr>
              <w:t>Specify areas most at risk from climate or other natural events</w:t>
            </w:r>
            <w:r w:rsidRPr="000A0484">
              <w:rPr>
                <w:noProof/>
                <w:webHidden/>
              </w:rPr>
              <w:tab/>
            </w:r>
            <w:r w:rsidRPr="000A0484">
              <w:rPr>
                <w:noProof/>
                <w:webHidden/>
              </w:rPr>
              <w:fldChar w:fldCharType="begin"/>
            </w:r>
            <w:r w:rsidRPr="000A0484">
              <w:rPr>
                <w:noProof/>
                <w:webHidden/>
              </w:rPr>
              <w:instrText xml:space="preserve"> PAGEREF _Toc153373774 \h </w:instrText>
            </w:r>
            <w:r w:rsidRPr="000A0484">
              <w:rPr>
                <w:noProof/>
                <w:webHidden/>
              </w:rPr>
              <w:fldChar w:fldCharType="separate"/>
            </w:r>
            <w:r w:rsidR="00390792">
              <w:rPr>
                <w:noProof/>
                <w:webHidden/>
              </w:rPr>
              <w:t>50</w:t>
            </w:r>
            <w:r w:rsidRPr="000A0484">
              <w:rPr>
                <w:noProof/>
                <w:webHidden/>
              </w:rPr>
              <w:fldChar w:fldCharType="end"/>
            </w:r>
          </w:hyperlink>
        </w:p>
        <w:p w:rsidR="009E5E50" w:rsidRPr="000A0484" w:rsidP="00564A59" w14:paraId="476A3674" w14:textId="016E447A">
          <w:pPr>
            <w:pStyle w:val="TOC2"/>
            <w:rPr>
              <w:noProof/>
              <w:kern w:val="2"/>
              <w14:ligatures w14:val="standardContextual"/>
            </w:rPr>
          </w:pPr>
          <w:hyperlink w:anchor="_Toc153373775" w:history="1">
            <w:r w:rsidRPr="000A0484">
              <w:rPr>
                <w:rStyle w:val="Hyperlink"/>
                <w:rFonts w:ascii="Times New Roman" w:hAnsi="Times New Roman"/>
                <w:noProof/>
                <w:sz w:val="24"/>
              </w:rPr>
              <w:t>2.5</w:t>
            </w:r>
            <w:r w:rsidRPr="000A0484">
              <w:rPr>
                <w:noProof/>
                <w:kern w:val="2"/>
                <w14:ligatures w14:val="standardContextual"/>
              </w:rPr>
              <w:tab/>
            </w:r>
            <w:r w:rsidRPr="000A0484">
              <w:rPr>
                <w:rStyle w:val="Hyperlink"/>
                <w:rFonts w:ascii="Times New Roman" w:hAnsi="Times New Roman"/>
                <w:noProof/>
                <w:sz w:val="24"/>
              </w:rPr>
              <w:t>Require sources in areas exposed to heightened risk to conduct hazard evaluations associated with climate or earthquakes</w:t>
            </w:r>
            <w:r w:rsidRPr="000A0484">
              <w:rPr>
                <w:noProof/>
                <w:webHidden/>
              </w:rPr>
              <w:tab/>
            </w:r>
            <w:r w:rsidRPr="000A0484">
              <w:rPr>
                <w:noProof/>
                <w:webHidden/>
              </w:rPr>
              <w:fldChar w:fldCharType="begin"/>
            </w:r>
            <w:r w:rsidRPr="000A0484">
              <w:rPr>
                <w:noProof/>
                <w:webHidden/>
              </w:rPr>
              <w:instrText xml:space="preserve"> PAGEREF _Toc153373775 \h </w:instrText>
            </w:r>
            <w:r w:rsidRPr="000A0484">
              <w:rPr>
                <w:noProof/>
                <w:webHidden/>
              </w:rPr>
              <w:fldChar w:fldCharType="separate"/>
            </w:r>
            <w:r w:rsidR="00390792">
              <w:rPr>
                <w:noProof/>
                <w:webHidden/>
              </w:rPr>
              <w:t>52</w:t>
            </w:r>
            <w:r w:rsidRPr="000A0484">
              <w:rPr>
                <w:noProof/>
                <w:webHidden/>
              </w:rPr>
              <w:fldChar w:fldCharType="end"/>
            </w:r>
          </w:hyperlink>
        </w:p>
        <w:p w:rsidR="009E5E50" w:rsidRPr="000A0484" w14:paraId="50B7E046" w14:textId="602ACA0F">
          <w:pPr>
            <w:pStyle w:val="TOC1"/>
            <w:rPr>
              <w:rFonts w:ascii="Times New Roman" w:hAnsi="Times New Roman"/>
              <w:noProof/>
              <w:kern w:val="2"/>
              <w:sz w:val="24"/>
              <w14:ligatures w14:val="standardContextual"/>
            </w:rPr>
          </w:pPr>
          <w:hyperlink w:anchor="_Toc153373776" w:history="1">
            <w:r w:rsidRPr="000A0484">
              <w:rPr>
                <w:rStyle w:val="Hyperlink"/>
                <w:rFonts w:ascii="Times New Roman" w:hAnsi="Times New Roman"/>
                <w:noProof/>
                <w:sz w:val="24"/>
              </w:rPr>
              <w:t>3</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Power Loss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_Toc153373776 \h </w:instrText>
            </w:r>
            <w:r w:rsidRPr="000A0484">
              <w:rPr>
                <w:rFonts w:ascii="Times New Roman" w:hAnsi="Times New Roman"/>
                <w:noProof/>
                <w:webHidden/>
                <w:sz w:val="24"/>
              </w:rPr>
              <w:fldChar w:fldCharType="separate"/>
            </w:r>
            <w:r w:rsidR="00390792">
              <w:rPr>
                <w:rFonts w:ascii="Times New Roman" w:hAnsi="Times New Roman"/>
                <w:noProof/>
                <w:webHidden/>
                <w:sz w:val="24"/>
              </w:rPr>
              <w:t>53</w:t>
            </w:r>
            <w:r w:rsidRPr="000A0484">
              <w:rPr>
                <w:rFonts w:ascii="Times New Roman" w:hAnsi="Times New Roman"/>
                <w:noProof/>
                <w:webHidden/>
                <w:sz w:val="24"/>
              </w:rPr>
              <w:fldChar w:fldCharType="end"/>
            </w:r>
          </w:hyperlink>
        </w:p>
        <w:p w:rsidR="009E5E50" w:rsidRPr="000A0484" w:rsidP="00564A59" w14:paraId="3923B8FE" w14:textId="54F331B9">
          <w:pPr>
            <w:pStyle w:val="TOC2"/>
            <w:rPr>
              <w:noProof/>
              <w:kern w:val="2"/>
              <w14:ligatures w14:val="standardContextual"/>
            </w:rPr>
          </w:pPr>
          <w:hyperlink w:anchor="_Toc153373777" w:history="1">
            <w:r w:rsidRPr="000A0484">
              <w:rPr>
                <w:rStyle w:val="Hyperlink"/>
                <w:rFonts w:ascii="Times New Roman" w:hAnsi="Times New Roman"/>
                <w:noProof/>
                <w:sz w:val="24"/>
              </w:rPr>
              <w:t>3.1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_Toc153373777 \h </w:instrText>
            </w:r>
            <w:r w:rsidRPr="000A0484">
              <w:rPr>
                <w:noProof/>
                <w:webHidden/>
              </w:rPr>
              <w:fldChar w:fldCharType="separate"/>
            </w:r>
            <w:r w:rsidR="00390792">
              <w:rPr>
                <w:noProof/>
                <w:webHidden/>
              </w:rPr>
              <w:t>53</w:t>
            </w:r>
            <w:r w:rsidRPr="000A0484">
              <w:rPr>
                <w:noProof/>
                <w:webHidden/>
              </w:rPr>
              <w:fldChar w:fldCharType="end"/>
            </w:r>
          </w:hyperlink>
        </w:p>
        <w:p w:rsidR="009E5E50" w:rsidRPr="000A0484" w:rsidP="00564A59" w14:paraId="2A7CC0C4" w14:textId="5EE5969E">
          <w:pPr>
            <w:pStyle w:val="TOC2"/>
            <w:rPr>
              <w:noProof/>
              <w:kern w:val="2"/>
              <w14:ligatures w14:val="standardContextual"/>
            </w:rPr>
          </w:pPr>
          <w:hyperlink w:anchor="_Toc153373778" w:history="1">
            <w:r w:rsidRPr="000A0484">
              <w:rPr>
                <w:rStyle w:val="Hyperlink"/>
                <w:rFonts w:ascii="Times New Roman" w:hAnsi="Times New Roman"/>
                <w:noProof/>
                <w:sz w:val="24"/>
              </w:rPr>
              <w:t>3.2</w:t>
            </w:r>
            <w:r w:rsidRPr="000A0484">
              <w:rPr>
                <w:noProof/>
                <w:kern w:val="2"/>
                <w14:ligatures w14:val="standardContextual"/>
              </w:rPr>
              <w:tab/>
            </w:r>
            <w:r w:rsidRPr="000A0484">
              <w:rPr>
                <w:rStyle w:val="Hyperlink"/>
                <w:rFonts w:ascii="Times New Roman" w:hAnsi="Times New Roman"/>
                <w:noProof/>
                <w:sz w:val="24"/>
              </w:rPr>
              <w:t>Require backup power systems for air pollution control or monitoring equipment</w:t>
            </w:r>
            <w:r w:rsidRPr="000A0484">
              <w:rPr>
                <w:noProof/>
                <w:webHidden/>
              </w:rPr>
              <w:tab/>
            </w:r>
            <w:r w:rsidRPr="000A0484">
              <w:rPr>
                <w:noProof/>
                <w:webHidden/>
              </w:rPr>
              <w:fldChar w:fldCharType="begin"/>
            </w:r>
            <w:r w:rsidRPr="000A0484">
              <w:rPr>
                <w:noProof/>
                <w:webHidden/>
              </w:rPr>
              <w:instrText xml:space="preserve"> PAGEREF _Toc153373778 \h </w:instrText>
            </w:r>
            <w:r w:rsidRPr="000A0484">
              <w:rPr>
                <w:noProof/>
                <w:webHidden/>
              </w:rPr>
              <w:fldChar w:fldCharType="separate"/>
            </w:r>
            <w:r w:rsidR="00390792">
              <w:rPr>
                <w:noProof/>
                <w:webHidden/>
              </w:rPr>
              <w:t>63</w:t>
            </w:r>
            <w:r w:rsidRPr="000A0484">
              <w:rPr>
                <w:noProof/>
                <w:webHidden/>
              </w:rPr>
              <w:fldChar w:fldCharType="end"/>
            </w:r>
          </w:hyperlink>
        </w:p>
        <w:p w:rsidR="009E5E50" w:rsidRPr="000A0484" w14:paraId="0EFBE68A" w14:textId="1426995F">
          <w:pPr>
            <w:pStyle w:val="TOC1"/>
            <w:rPr>
              <w:rFonts w:ascii="Times New Roman" w:hAnsi="Times New Roman"/>
              <w:noProof/>
              <w:kern w:val="2"/>
              <w:sz w:val="24"/>
              <w14:ligatures w14:val="standardContextual"/>
            </w:rPr>
          </w:pPr>
          <w:hyperlink w:anchor="_Toc153373779" w:history="1">
            <w:r w:rsidRPr="000A0484">
              <w:rPr>
                <w:rStyle w:val="Hyperlink"/>
                <w:rFonts w:ascii="Times New Roman" w:hAnsi="Times New Roman"/>
                <w:noProof/>
                <w:sz w:val="24"/>
              </w:rPr>
              <w:t>4</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Stationary Source Siting</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_Toc153373779 \h </w:instrText>
            </w:r>
            <w:r w:rsidRPr="000A0484">
              <w:rPr>
                <w:rFonts w:ascii="Times New Roman" w:hAnsi="Times New Roman"/>
                <w:noProof/>
                <w:webHidden/>
                <w:sz w:val="24"/>
              </w:rPr>
              <w:fldChar w:fldCharType="separate"/>
            </w:r>
            <w:r w:rsidR="00390792">
              <w:rPr>
                <w:rFonts w:ascii="Times New Roman" w:hAnsi="Times New Roman"/>
                <w:noProof/>
                <w:webHidden/>
                <w:sz w:val="24"/>
              </w:rPr>
              <w:t>76</w:t>
            </w:r>
            <w:r w:rsidRPr="000A0484">
              <w:rPr>
                <w:rFonts w:ascii="Times New Roman" w:hAnsi="Times New Roman"/>
                <w:noProof/>
                <w:webHidden/>
                <w:sz w:val="24"/>
              </w:rPr>
              <w:fldChar w:fldCharType="end"/>
            </w:r>
          </w:hyperlink>
        </w:p>
        <w:p w:rsidR="009E5E50" w:rsidRPr="000A0484" w:rsidP="00564A59" w14:paraId="70C7EC9C" w14:textId="28724C07">
          <w:pPr>
            <w:pStyle w:val="TOC2"/>
            <w:rPr>
              <w:noProof/>
              <w:kern w:val="2"/>
              <w14:ligatures w14:val="standardContextual"/>
            </w:rPr>
          </w:pPr>
          <w:hyperlink w:anchor="_Toc153373780" w:history="1">
            <w:r w:rsidRPr="000A0484">
              <w:rPr>
                <w:rStyle w:val="Hyperlink"/>
                <w:rFonts w:ascii="Times New Roman" w:hAnsi="Times New Roman"/>
                <w:noProof/>
                <w:sz w:val="24"/>
              </w:rPr>
              <w:t>4.1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_Toc153373780 \h </w:instrText>
            </w:r>
            <w:r w:rsidRPr="000A0484">
              <w:rPr>
                <w:noProof/>
                <w:webHidden/>
              </w:rPr>
              <w:fldChar w:fldCharType="separate"/>
            </w:r>
            <w:r w:rsidR="00390792">
              <w:rPr>
                <w:noProof/>
                <w:webHidden/>
              </w:rPr>
              <w:t>76</w:t>
            </w:r>
            <w:r w:rsidRPr="000A0484">
              <w:rPr>
                <w:noProof/>
                <w:webHidden/>
              </w:rPr>
              <w:fldChar w:fldCharType="end"/>
            </w:r>
          </w:hyperlink>
        </w:p>
        <w:p w:rsidR="009E5E50" w:rsidRPr="000A0484" w14:paraId="40CD0A84" w14:textId="245B56B0">
          <w:pPr>
            <w:pStyle w:val="TOC1"/>
            <w:rPr>
              <w:rFonts w:ascii="Times New Roman" w:hAnsi="Times New Roman"/>
              <w:noProof/>
              <w:kern w:val="2"/>
              <w:sz w:val="24"/>
              <w14:ligatures w14:val="standardContextual"/>
            </w:rPr>
          </w:pPr>
          <w:hyperlink w:anchor="_Toc153373781" w:history="1">
            <w:r w:rsidRPr="000A0484">
              <w:rPr>
                <w:rStyle w:val="Hyperlink"/>
                <w:rFonts w:ascii="Times New Roman" w:hAnsi="Times New Roman"/>
                <w:noProof/>
                <w:sz w:val="24"/>
              </w:rPr>
              <w:t>5</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Hazard Evaluation Recommendation Information Availability</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_Toc153373781 \h </w:instrText>
            </w:r>
            <w:r w:rsidRPr="000A0484">
              <w:rPr>
                <w:rFonts w:ascii="Times New Roman" w:hAnsi="Times New Roman"/>
                <w:noProof/>
                <w:webHidden/>
                <w:sz w:val="24"/>
              </w:rPr>
              <w:fldChar w:fldCharType="separate"/>
            </w:r>
            <w:r w:rsidR="00390792">
              <w:rPr>
                <w:rFonts w:ascii="Times New Roman" w:hAnsi="Times New Roman"/>
                <w:noProof/>
                <w:webHidden/>
                <w:sz w:val="24"/>
              </w:rPr>
              <w:t>85</w:t>
            </w:r>
            <w:r w:rsidRPr="000A0484">
              <w:rPr>
                <w:rFonts w:ascii="Times New Roman" w:hAnsi="Times New Roman"/>
                <w:noProof/>
                <w:webHidden/>
                <w:sz w:val="24"/>
              </w:rPr>
              <w:fldChar w:fldCharType="end"/>
            </w:r>
          </w:hyperlink>
        </w:p>
        <w:p w:rsidR="009E5E50" w:rsidRPr="000A0484" w:rsidP="00564A59" w14:paraId="15194EE2" w14:textId="35190CFA">
          <w:pPr>
            <w:pStyle w:val="TOC2"/>
            <w:rPr>
              <w:noProof/>
              <w:kern w:val="2"/>
              <w14:ligatures w14:val="standardContextual"/>
            </w:rPr>
          </w:pPr>
          <w:hyperlink w:anchor="_Toc153373782" w:history="1">
            <w:r w:rsidRPr="000A0484">
              <w:rPr>
                <w:rStyle w:val="Hyperlink"/>
                <w:rFonts w:ascii="Times New Roman" w:hAnsi="Times New Roman"/>
                <w:noProof/>
                <w:sz w:val="24"/>
              </w:rPr>
              <w:t>5.1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_Toc153373782 \h </w:instrText>
            </w:r>
            <w:r w:rsidRPr="000A0484">
              <w:rPr>
                <w:noProof/>
                <w:webHidden/>
              </w:rPr>
              <w:fldChar w:fldCharType="separate"/>
            </w:r>
            <w:r w:rsidR="00390792">
              <w:rPr>
                <w:noProof/>
                <w:webHidden/>
              </w:rPr>
              <w:t>86</w:t>
            </w:r>
            <w:r w:rsidRPr="000A0484">
              <w:rPr>
                <w:noProof/>
                <w:webHidden/>
              </w:rPr>
              <w:fldChar w:fldCharType="end"/>
            </w:r>
          </w:hyperlink>
        </w:p>
        <w:p w:rsidR="009E5E50" w:rsidRPr="000A0484" w:rsidP="00564A59" w14:paraId="06F40148" w14:textId="064B62EC">
          <w:pPr>
            <w:pStyle w:val="TOC2"/>
            <w:rPr>
              <w:noProof/>
              <w:kern w:val="2"/>
              <w14:ligatures w14:val="standardContextual"/>
            </w:rPr>
          </w:pPr>
          <w:hyperlink w:anchor="_Toc153373783" w:history="1">
            <w:r w:rsidRPr="000A0484">
              <w:rPr>
                <w:rStyle w:val="Hyperlink"/>
                <w:rFonts w:ascii="Times New Roman" w:hAnsi="Times New Roman"/>
                <w:noProof/>
                <w:sz w:val="24"/>
              </w:rPr>
              <w:t>5.2</w:t>
            </w:r>
            <w:r w:rsidRPr="000A0484">
              <w:rPr>
                <w:noProof/>
                <w:kern w:val="2"/>
                <w14:ligatures w14:val="standardContextual"/>
              </w:rPr>
              <w:tab/>
            </w:r>
            <w:r w:rsidRPr="000A0484">
              <w:rPr>
                <w:rStyle w:val="Hyperlink"/>
                <w:rFonts w:ascii="Times New Roman" w:hAnsi="Times New Roman"/>
                <w:noProof/>
                <w:sz w:val="24"/>
              </w:rPr>
              <w:t>Methods</w:t>
            </w:r>
            <w:r w:rsidRPr="000A0484">
              <w:rPr>
                <w:noProof/>
                <w:webHidden/>
              </w:rPr>
              <w:tab/>
            </w:r>
            <w:r w:rsidRPr="000A0484">
              <w:rPr>
                <w:noProof/>
                <w:webHidden/>
              </w:rPr>
              <w:fldChar w:fldCharType="begin"/>
            </w:r>
            <w:r w:rsidRPr="000A0484">
              <w:rPr>
                <w:noProof/>
                <w:webHidden/>
              </w:rPr>
              <w:instrText xml:space="preserve"> PAGEREF _Toc153373783 \h </w:instrText>
            </w:r>
            <w:r w:rsidRPr="000A0484">
              <w:rPr>
                <w:noProof/>
                <w:webHidden/>
              </w:rPr>
              <w:fldChar w:fldCharType="separate"/>
            </w:r>
            <w:r w:rsidR="00390792">
              <w:rPr>
                <w:noProof/>
                <w:webHidden/>
              </w:rPr>
              <w:t>92</w:t>
            </w:r>
            <w:r w:rsidRPr="000A0484">
              <w:rPr>
                <w:noProof/>
                <w:webHidden/>
              </w:rPr>
              <w:fldChar w:fldCharType="end"/>
            </w:r>
          </w:hyperlink>
        </w:p>
        <w:p w:rsidR="009E5E50" w:rsidRPr="000A0484" w14:paraId="59E1DE14" w14:textId="5E2BDB31">
          <w:pPr>
            <w:pStyle w:val="TOC1"/>
            <w:rPr>
              <w:rFonts w:ascii="Times New Roman" w:hAnsi="Times New Roman"/>
              <w:noProof/>
              <w:kern w:val="2"/>
              <w:sz w:val="24"/>
              <w14:ligatures w14:val="standardContextual"/>
            </w:rPr>
          </w:pPr>
          <w:hyperlink w:anchor="_Toc153373784" w:history="1">
            <w:r w:rsidRPr="000A0484">
              <w:rPr>
                <w:rStyle w:val="Hyperlink"/>
                <w:rFonts w:ascii="Times New Roman" w:hAnsi="Times New Roman"/>
                <w:noProof/>
                <w:sz w:val="24"/>
              </w:rPr>
              <w:t>6</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Safer Technology and Alternatives Analysis (STAA)</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_Toc153373784 \h </w:instrText>
            </w:r>
            <w:r w:rsidRPr="000A0484">
              <w:rPr>
                <w:rFonts w:ascii="Times New Roman" w:hAnsi="Times New Roman"/>
                <w:noProof/>
                <w:webHidden/>
                <w:sz w:val="24"/>
              </w:rPr>
              <w:fldChar w:fldCharType="separate"/>
            </w:r>
            <w:r w:rsidR="00390792">
              <w:rPr>
                <w:rFonts w:ascii="Times New Roman" w:hAnsi="Times New Roman"/>
                <w:noProof/>
                <w:webHidden/>
                <w:sz w:val="24"/>
              </w:rPr>
              <w:t>93</w:t>
            </w:r>
            <w:r w:rsidRPr="000A0484">
              <w:rPr>
                <w:rFonts w:ascii="Times New Roman" w:hAnsi="Times New Roman"/>
                <w:noProof/>
                <w:webHidden/>
                <w:sz w:val="24"/>
              </w:rPr>
              <w:fldChar w:fldCharType="end"/>
            </w:r>
          </w:hyperlink>
        </w:p>
        <w:p w:rsidR="009E5E50" w:rsidRPr="000A0484" w:rsidP="00564A59" w14:paraId="49118493" w14:textId="7A3A9AD6">
          <w:pPr>
            <w:pStyle w:val="TOC2"/>
            <w:rPr>
              <w:noProof/>
              <w:kern w:val="2"/>
              <w14:ligatures w14:val="standardContextual"/>
            </w:rPr>
          </w:pPr>
          <w:hyperlink w:anchor="_Toc153373785" w:history="1">
            <w:r w:rsidRPr="000A0484">
              <w:rPr>
                <w:rStyle w:val="Hyperlink"/>
                <w:rFonts w:ascii="Times New Roman" w:hAnsi="Times New Roman"/>
                <w:noProof/>
                <w:sz w:val="24"/>
              </w:rPr>
              <w:t>6.1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_Toc153373785 \h </w:instrText>
            </w:r>
            <w:r w:rsidRPr="000A0484">
              <w:rPr>
                <w:noProof/>
                <w:webHidden/>
              </w:rPr>
              <w:fldChar w:fldCharType="separate"/>
            </w:r>
            <w:r w:rsidR="00390792">
              <w:rPr>
                <w:noProof/>
                <w:webHidden/>
              </w:rPr>
              <w:t>93</w:t>
            </w:r>
            <w:r w:rsidRPr="000A0484">
              <w:rPr>
                <w:noProof/>
                <w:webHidden/>
              </w:rPr>
              <w:fldChar w:fldCharType="end"/>
            </w:r>
          </w:hyperlink>
        </w:p>
        <w:p w:rsidR="009E5E50" w:rsidRPr="000A0484" w:rsidP="00564A59" w14:paraId="4017D70A" w14:textId="11C9B8CF">
          <w:pPr>
            <w:pStyle w:val="TOC2"/>
            <w:rPr>
              <w:noProof/>
              <w:kern w:val="2"/>
              <w14:ligatures w14:val="standardContextual"/>
            </w:rPr>
          </w:pPr>
          <w:hyperlink w:anchor="_Toc153373786" w:history="1">
            <w:r w:rsidRPr="000A0484">
              <w:rPr>
                <w:rStyle w:val="Hyperlink"/>
                <w:rFonts w:ascii="Times New Roman" w:hAnsi="Times New Roman"/>
                <w:noProof/>
                <w:sz w:val="24"/>
              </w:rPr>
              <w:t>6.2</w:t>
            </w:r>
            <w:r w:rsidRPr="000A0484">
              <w:rPr>
                <w:noProof/>
                <w:kern w:val="2"/>
                <w14:ligatures w14:val="standardContextual"/>
              </w:rPr>
              <w:tab/>
            </w:r>
            <w:r w:rsidRPr="000A0484">
              <w:rPr>
                <w:rStyle w:val="Hyperlink"/>
                <w:rFonts w:ascii="Times New Roman" w:hAnsi="Times New Roman"/>
                <w:noProof/>
                <w:sz w:val="24"/>
              </w:rPr>
              <w:t>General STAA provision comments</w:t>
            </w:r>
            <w:r w:rsidRPr="000A0484">
              <w:rPr>
                <w:noProof/>
                <w:webHidden/>
              </w:rPr>
              <w:tab/>
            </w:r>
            <w:r w:rsidRPr="000A0484">
              <w:rPr>
                <w:noProof/>
                <w:webHidden/>
              </w:rPr>
              <w:fldChar w:fldCharType="begin"/>
            </w:r>
            <w:r w:rsidRPr="000A0484">
              <w:rPr>
                <w:noProof/>
                <w:webHidden/>
              </w:rPr>
              <w:instrText xml:space="preserve"> PAGEREF _Toc153373786 \h </w:instrText>
            </w:r>
            <w:r w:rsidRPr="000A0484">
              <w:rPr>
                <w:noProof/>
                <w:webHidden/>
              </w:rPr>
              <w:fldChar w:fldCharType="separate"/>
            </w:r>
            <w:r w:rsidR="00390792">
              <w:rPr>
                <w:noProof/>
                <w:webHidden/>
              </w:rPr>
              <w:t>98</w:t>
            </w:r>
            <w:r w:rsidRPr="000A0484">
              <w:rPr>
                <w:noProof/>
                <w:webHidden/>
              </w:rPr>
              <w:fldChar w:fldCharType="end"/>
            </w:r>
          </w:hyperlink>
        </w:p>
        <w:p w:rsidR="009E5E50" w:rsidRPr="000A0484" w14:paraId="6DA17A17" w14:textId="68AE0C57">
          <w:pPr>
            <w:pStyle w:val="TOC3"/>
            <w:tabs>
              <w:tab w:val="left" w:pos="1320"/>
              <w:tab w:val="right" w:leader="dot" w:pos="9350"/>
            </w:tabs>
            <w:rPr>
              <w:rFonts w:ascii="Times New Roman" w:hAnsi="Times New Roman"/>
              <w:noProof/>
              <w:kern w:val="2"/>
              <w:sz w:val="24"/>
              <w14:ligatures w14:val="standardContextual"/>
            </w:rPr>
          </w:pPr>
          <w:hyperlink w:anchor="_Toc153373787" w:history="1">
            <w:r w:rsidRPr="000A0484">
              <w:rPr>
                <w:rStyle w:val="Hyperlink"/>
                <w:rFonts w:ascii="Times New Roman" w:hAnsi="Times New Roman"/>
                <w:noProof/>
                <w:sz w:val="24"/>
              </w:rPr>
              <w:t>6.2.1</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Require STAA as part of PHA</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_Toc153373787 \h </w:instrText>
            </w:r>
            <w:r w:rsidRPr="000A0484">
              <w:rPr>
                <w:rFonts w:ascii="Times New Roman" w:hAnsi="Times New Roman"/>
                <w:noProof/>
                <w:webHidden/>
                <w:sz w:val="24"/>
              </w:rPr>
              <w:fldChar w:fldCharType="separate"/>
            </w:r>
            <w:r w:rsidR="00390792">
              <w:rPr>
                <w:rFonts w:ascii="Times New Roman" w:hAnsi="Times New Roman"/>
                <w:noProof/>
                <w:webHidden/>
                <w:sz w:val="24"/>
              </w:rPr>
              <w:t>98</w:t>
            </w:r>
            <w:r w:rsidRPr="000A0484">
              <w:rPr>
                <w:rFonts w:ascii="Times New Roman" w:hAnsi="Times New Roman"/>
                <w:noProof/>
                <w:webHidden/>
                <w:sz w:val="24"/>
              </w:rPr>
              <w:fldChar w:fldCharType="end"/>
            </w:r>
          </w:hyperlink>
        </w:p>
        <w:p w:rsidR="009E5E50" w:rsidRPr="000A0484" w14:paraId="66D5ADED" w14:textId="69B4B062">
          <w:pPr>
            <w:pStyle w:val="TOC3"/>
            <w:tabs>
              <w:tab w:val="left" w:pos="1320"/>
              <w:tab w:val="right" w:leader="dot" w:pos="9350"/>
            </w:tabs>
            <w:rPr>
              <w:rFonts w:ascii="Times New Roman" w:hAnsi="Times New Roman"/>
              <w:noProof/>
              <w:kern w:val="2"/>
              <w:sz w:val="24"/>
              <w14:ligatures w14:val="standardContextual"/>
            </w:rPr>
          </w:pPr>
          <w:hyperlink w:anchor="_Toc153373788" w:history="1">
            <w:r w:rsidRPr="000A0484">
              <w:rPr>
                <w:rStyle w:val="Hyperlink"/>
                <w:rFonts w:ascii="Times New Roman" w:hAnsi="Times New Roman"/>
                <w:noProof/>
                <w:sz w:val="24"/>
              </w:rPr>
              <w:t>6.2.2</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Costs of implementing STAA as part of PHA</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_Toc153373788 \h </w:instrText>
            </w:r>
            <w:r w:rsidRPr="000A0484">
              <w:rPr>
                <w:rFonts w:ascii="Times New Roman" w:hAnsi="Times New Roman"/>
                <w:noProof/>
                <w:webHidden/>
                <w:sz w:val="24"/>
              </w:rPr>
              <w:fldChar w:fldCharType="separate"/>
            </w:r>
            <w:r w:rsidR="00390792">
              <w:rPr>
                <w:rFonts w:ascii="Times New Roman" w:hAnsi="Times New Roman"/>
                <w:noProof/>
                <w:webHidden/>
                <w:sz w:val="24"/>
              </w:rPr>
              <w:t>101</w:t>
            </w:r>
            <w:r w:rsidRPr="000A0484">
              <w:rPr>
                <w:rFonts w:ascii="Times New Roman" w:hAnsi="Times New Roman"/>
                <w:noProof/>
                <w:webHidden/>
                <w:sz w:val="24"/>
              </w:rPr>
              <w:fldChar w:fldCharType="end"/>
            </w:r>
          </w:hyperlink>
        </w:p>
        <w:p w:rsidR="009E5E50" w:rsidRPr="000A0484" w14:paraId="2E7E5AC1" w14:textId="798FA211">
          <w:pPr>
            <w:pStyle w:val="TOC3"/>
            <w:tabs>
              <w:tab w:val="left" w:pos="1320"/>
              <w:tab w:val="right" w:leader="dot" w:pos="9350"/>
            </w:tabs>
            <w:rPr>
              <w:rFonts w:ascii="Times New Roman" w:hAnsi="Times New Roman"/>
              <w:noProof/>
              <w:kern w:val="2"/>
              <w:sz w:val="24"/>
              <w14:ligatures w14:val="standardContextual"/>
            </w:rPr>
          </w:pPr>
          <w:hyperlink w:anchor="_Toc153373789" w:history="1">
            <w:r w:rsidRPr="000A0484">
              <w:rPr>
                <w:rStyle w:val="Hyperlink"/>
                <w:rFonts w:ascii="Times New Roman" w:hAnsi="Times New Roman"/>
                <w:noProof/>
                <w:sz w:val="24"/>
              </w:rPr>
              <w:t>6.2.3</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Hydrogen fluoride (HF)</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_Toc153373789 \h </w:instrText>
            </w:r>
            <w:r w:rsidRPr="000A0484">
              <w:rPr>
                <w:rFonts w:ascii="Times New Roman" w:hAnsi="Times New Roman"/>
                <w:noProof/>
                <w:webHidden/>
                <w:sz w:val="24"/>
              </w:rPr>
              <w:fldChar w:fldCharType="separate"/>
            </w:r>
            <w:r w:rsidR="00390792">
              <w:rPr>
                <w:rFonts w:ascii="Times New Roman" w:hAnsi="Times New Roman"/>
                <w:noProof/>
                <w:webHidden/>
                <w:sz w:val="24"/>
              </w:rPr>
              <w:t>107</w:t>
            </w:r>
            <w:r w:rsidRPr="000A0484">
              <w:rPr>
                <w:rFonts w:ascii="Times New Roman" w:hAnsi="Times New Roman"/>
                <w:noProof/>
                <w:webHidden/>
                <w:sz w:val="24"/>
              </w:rPr>
              <w:fldChar w:fldCharType="end"/>
            </w:r>
          </w:hyperlink>
        </w:p>
        <w:p w:rsidR="009E5E50" w:rsidRPr="000A0484" w:rsidP="00564A59" w14:paraId="406C690B" w14:textId="6CA02C92">
          <w:pPr>
            <w:pStyle w:val="TOC2"/>
            <w:rPr>
              <w:noProof/>
              <w:kern w:val="2"/>
              <w14:ligatures w14:val="standardContextual"/>
            </w:rPr>
          </w:pPr>
          <w:hyperlink w:anchor="_Toc153373790" w:history="1">
            <w:r w:rsidRPr="000A0484">
              <w:rPr>
                <w:rStyle w:val="Hyperlink"/>
                <w:rFonts w:ascii="Times New Roman" w:hAnsi="Times New Roman"/>
                <w:noProof/>
                <w:sz w:val="24"/>
              </w:rPr>
              <w:t>6.3</w:t>
            </w:r>
            <w:r w:rsidRPr="000A0484">
              <w:rPr>
                <w:noProof/>
                <w:kern w:val="2"/>
                <w14:ligatures w14:val="standardContextual"/>
              </w:rPr>
              <w:tab/>
            </w:r>
            <w:r w:rsidRPr="000A0484">
              <w:rPr>
                <w:rStyle w:val="Hyperlink"/>
                <w:rFonts w:ascii="Times New Roman" w:hAnsi="Times New Roman"/>
                <w:noProof/>
                <w:sz w:val="24"/>
              </w:rPr>
              <w:t>STAA evaluation</w:t>
            </w:r>
            <w:r w:rsidRPr="000A0484">
              <w:rPr>
                <w:noProof/>
                <w:webHidden/>
              </w:rPr>
              <w:tab/>
            </w:r>
            <w:r w:rsidRPr="000A0484">
              <w:rPr>
                <w:noProof/>
                <w:webHidden/>
              </w:rPr>
              <w:fldChar w:fldCharType="begin"/>
            </w:r>
            <w:r w:rsidRPr="000A0484">
              <w:rPr>
                <w:noProof/>
                <w:webHidden/>
              </w:rPr>
              <w:instrText xml:space="preserve"> PAGEREF _Toc153373790 \h </w:instrText>
            </w:r>
            <w:r w:rsidRPr="000A0484">
              <w:rPr>
                <w:noProof/>
                <w:webHidden/>
              </w:rPr>
              <w:fldChar w:fldCharType="separate"/>
            </w:r>
            <w:r w:rsidR="00390792">
              <w:rPr>
                <w:noProof/>
                <w:webHidden/>
              </w:rPr>
              <w:t>118</w:t>
            </w:r>
            <w:r w:rsidRPr="000A0484">
              <w:rPr>
                <w:noProof/>
                <w:webHidden/>
              </w:rPr>
              <w:fldChar w:fldCharType="end"/>
            </w:r>
          </w:hyperlink>
        </w:p>
        <w:p w:rsidR="009E5E50" w:rsidRPr="000A0484" w14:paraId="1A06970D" w14:textId="5CE38ED3">
          <w:pPr>
            <w:pStyle w:val="TOC3"/>
            <w:tabs>
              <w:tab w:val="left" w:pos="1320"/>
              <w:tab w:val="right" w:leader="dot" w:pos="9350"/>
            </w:tabs>
            <w:rPr>
              <w:rFonts w:ascii="Times New Roman" w:hAnsi="Times New Roman"/>
              <w:noProof/>
              <w:kern w:val="2"/>
              <w:sz w:val="24"/>
              <w14:ligatures w14:val="standardContextual"/>
            </w:rPr>
          </w:pPr>
          <w:hyperlink w:anchor="_Toc153373791" w:history="1">
            <w:r w:rsidRPr="000A0484">
              <w:rPr>
                <w:rStyle w:val="Hyperlink"/>
                <w:rFonts w:ascii="Times New Roman" w:hAnsi="Times New Roman"/>
                <w:noProof/>
                <w:sz w:val="24"/>
              </w:rPr>
              <w:t>6.3.1</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STAA applicability</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_Toc153373791 \h </w:instrText>
            </w:r>
            <w:r w:rsidRPr="000A0484">
              <w:rPr>
                <w:rFonts w:ascii="Times New Roman" w:hAnsi="Times New Roman"/>
                <w:noProof/>
                <w:webHidden/>
                <w:sz w:val="24"/>
              </w:rPr>
              <w:fldChar w:fldCharType="separate"/>
            </w:r>
            <w:r w:rsidR="00390792">
              <w:rPr>
                <w:rFonts w:ascii="Times New Roman" w:hAnsi="Times New Roman"/>
                <w:noProof/>
                <w:webHidden/>
                <w:sz w:val="24"/>
              </w:rPr>
              <w:t>122</w:t>
            </w:r>
            <w:r w:rsidRPr="000A0484">
              <w:rPr>
                <w:rFonts w:ascii="Times New Roman" w:hAnsi="Times New Roman"/>
                <w:noProof/>
                <w:webHidden/>
                <w:sz w:val="24"/>
              </w:rPr>
              <w:fldChar w:fldCharType="end"/>
            </w:r>
          </w:hyperlink>
        </w:p>
        <w:p w:rsidR="009E5E50" w:rsidRPr="000A0484" w14:paraId="09DD8F37" w14:textId="11FD046F">
          <w:pPr>
            <w:pStyle w:val="TOC3"/>
            <w:tabs>
              <w:tab w:val="left" w:pos="1320"/>
              <w:tab w:val="right" w:leader="dot" w:pos="9350"/>
            </w:tabs>
            <w:rPr>
              <w:rFonts w:ascii="Times New Roman" w:hAnsi="Times New Roman"/>
              <w:noProof/>
              <w:kern w:val="2"/>
              <w:sz w:val="24"/>
              <w14:ligatures w14:val="standardContextual"/>
            </w:rPr>
          </w:pPr>
          <w:hyperlink w:anchor="_Toc153373792" w:history="1">
            <w:r w:rsidRPr="000A0484">
              <w:rPr>
                <w:rStyle w:val="Hyperlink"/>
                <w:rFonts w:ascii="Times New Roman" w:hAnsi="Times New Roman"/>
                <w:noProof/>
                <w:sz w:val="24"/>
              </w:rPr>
              <w:t>6.3.2</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2017 rule provisions requiring STAA for all NAICS 324 and 325 processes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_Toc153373792 \h </w:instrText>
            </w:r>
            <w:r w:rsidRPr="000A0484">
              <w:rPr>
                <w:rFonts w:ascii="Times New Roman" w:hAnsi="Times New Roman"/>
                <w:noProof/>
                <w:webHidden/>
                <w:sz w:val="24"/>
              </w:rPr>
              <w:fldChar w:fldCharType="separate"/>
            </w:r>
            <w:r w:rsidR="00390792">
              <w:rPr>
                <w:rFonts w:ascii="Times New Roman" w:hAnsi="Times New Roman"/>
                <w:noProof/>
                <w:webHidden/>
                <w:sz w:val="24"/>
              </w:rPr>
              <w:t>131</w:t>
            </w:r>
            <w:r w:rsidRPr="000A0484">
              <w:rPr>
                <w:rFonts w:ascii="Times New Roman" w:hAnsi="Times New Roman"/>
                <w:noProof/>
                <w:webHidden/>
                <w:sz w:val="24"/>
              </w:rPr>
              <w:fldChar w:fldCharType="end"/>
            </w:r>
          </w:hyperlink>
        </w:p>
        <w:p w:rsidR="009E5E50" w:rsidRPr="000A0484" w14:paraId="13CBDB05" w14:textId="269194A9">
          <w:pPr>
            <w:pStyle w:val="TOC3"/>
            <w:tabs>
              <w:tab w:val="left" w:pos="1320"/>
              <w:tab w:val="right" w:leader="dot" w:pos="9350"/>
            </w:tabs>
            <w:rPr>
              <w:rFonts w:ascii="Times New Roman" w:hAnsi="Times New Roman"/>
              <w:noProof/>
              <w:kern w:val="2"/>
              <w:sz w:val="24"/>
              <w14:ligatures w14:val="standardContextual"/>
            </w:rPr>
          </w:pPr>
          <w:hyperlink w:anchor="_Toc153373793" w:history="1">
            <w:r w:rsidRPr="000A0484">
              <w:rPr>
                <w:rStyle w:val="Hyperlink"/>
                <w:rFonts w:ascii="Times New Roman" w:hAnsi="Times New Roman"/>
                <w:noProof/>
                <w:sz w:val="24"/>
              </w:rPr>
              <w:t>6.3.3</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Other industries for which STAA should be required</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_Toc153373793 \h </w:instrText>
            </w:r>
            <w:r w:rsidRPr="000A0484">
              <w:rPr>
                <w:rFonts w:ascii="Times New Roman" w:hAnsi="Times New Roman"/>
                <w:noProof/>
                <w:webHidden/>
                <w:sz w:val="24"/>
              </w:rPr>
              <w:fldChar w:fldCharType="separate"/>
            </w:r>
            <w:r w:rsidR="00390792">
              <w:rPr>
                <w:rFonts w:ascii="Times New Roman" w:hAnsi="Times New Roman"/>
                <w:noProof/>
                <w:webHidden/>
                <w:sz w:val="24"/>
              </w:rPr>
              <w:t>134</w:t>
            </w:r>
            <w:r w:rsidRPr="000A0484">
              <w:rPr>
                <w:rFonts w:ascii="Times New Roman" w:hAnsi="Times New Roman"/>
                <w:noProof/>
                <w:webHidden/>
                <w:sz w:val="24"/>
              </w:rPr>
              <w:fldChar w:fldCharType="end"/>
            </w:r>
          </w:hyperlink>
        </w:p>
        <w:p w:rsidR="009E5E50" w:rsidRPr="000A0484" w14:paraId="0E9DFE79" w14:textId="09551500">
          <w:pPr>
            <w:pStyle w:val="TOC3"/>
            <w:tabs>
              <w:tab w:val="left" w:pos="1320"/>
              <w:tab w:val="right" w:leader="dot" w:pos="9350"/>
            </w:tabs>
            <w:rPr>
              <w:rFonts w:ascii="Times New Roman" w:hAnsi="Times New Roman"/>
              <w:noProof/>
              <w:kern w:val="2"/>
              <w:sz w:val="24"/>
              <w14:ligatures w14:val="standardContextual"/>
            </w:rPr>
          </w:pPr>
          <w:hyperlink w:anchor="_Toc153373794" w:history="1">
            <w:r w:rsidRPr="000A0484">
              <w:rPr>
                <w:rStyle w:val="Hyperlink"/>
                <w:rFonts w:ascii="Times New Roman" w:hAnsi="Times New Roman"/>
                <w:noProof/>
                <w:sz w:val="24"/>
              </w:rPr>
              <w:t>6.3.4</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1-mile radius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_Toc153373794 \h </w:instrText>
            </w:r>
            <w:r w:rsidRPr="000A0484">
              <w:rPr>
                <w:rFonts w:ascii="Times New Roman" w:hAnsi="Times New Roman"/>
                <w:noProof/>
                <w:webHidden/>
                <w:sz w:val="24"/>
              </w:rPr>
              <w:fldChar w:fldCharType="separate"/>
            </w:r>
            <w:r w:rsidR="00390792">
              <w:rPr>
                <w:rFonts w:ascii="Times New Roman" w:hAnsi="Times New Roman"/>
                <w:noProof/>
                <w:webHidden/>
                <w:sz w:val="24"/>
              </w:rPr>
              <w:t>136</w:t>
            </w:r>
            <w:r w:rsidRPr="000A0484">
              <w:rPr>
                <w:rFonts w:ascii="Times New Roman" w:hAnsi="Times New Roman"/>
                <w:noProof/>
                <w:webHidden/>
                <w:sz w:val="24"/>
              </w:rPr>
              <w:fldChar w:fldCharType="end"/>
            </w:r>
          </w:hyperlink>
        </w:p>
        <w:p w:rsidR="009E5E50" w:rsidRPr="000A0484" w:rsidP="00564A59" w14:paraId="5E382F83" w14:textId="2799ED2D">
          <w:pPr>
            <w:pStyle w:val="TOC2"/>
            <w:rPr>
              <w:noProof/>
              <w:kern w:val="2"/>
              <w14:ligatures w14:val="standardContextual"/>
            </w:rPr>
          </w:pPr>
          <w:hyperlink w:anchor="_Toc153373795" w:history="1">
            <w:r w:rsidRPr="000A0484">
              <w:rPr>
                <w:rStyle w:val="Hyperlink"/>
                <w:rFonts w:ascii="Times New Roman" w:hAnsi="Times New Roman"/>
                <w:noProof/>
                <w:sz w:val="24"/>
              </w:rPr>
              <w:t>6.4</w:t>
            </w:r>
            <w:r w:rsidRPr="000A0484">
              <w:rPr>
                <w:noProof/>
                <w:kern w:val="2"/>
                <w14:ligatures w14:val="standardContextual"/>
              </w:rPr>
              <w:tab/>
            </w:r>
            <w:r w:rsidRPr="000A0484">
              <w:rPr>
                <w:rStyle w:val="Hyperlink"/>
                <w:rFonts w:ascii="Times New Roman" w:hAnsi="Times New Roman"/>
                <w:noProof/>
                <w:sz w:val="24"/>
              </w:rPr>
              <w:t>Practicability assessment</w:t>
            </w:r>
            <w:r w:rsidRPr="000A0484">
              <w:rPr>
                <w:noProof/>
                <w:webHidden/>
              </w:rPr>
              <w:tab/>
            </w:r>
            <w:r w:rsidRPr="000A0484">
              <w:rPr>
                <w:noProof/>
                <w:webHidden/>
              </w:rPr>
              <w:fldChar w:fldCharType="begin"/>
            </w:r>
            <w:r w:rsidRPr="000A0484">
              <w:rPr>
                <w:noProof/>
                <w:webHidden/>
              </w:rPr>
              <w:instrText xml:space="preserve"> PAGEREF _Toc153373795 \h </w:instrText>
            </w:r>
            <w:r w:rsidRPr="000A0484">
              <w:rPr>
                <w:noProof/>
                <w:webHidden/>
              </w:rPr>
              <w:fldChar w:fldCharType="separate"/>
            </w:r>
            <w:r w:rsidR="00390792">
              <w:rPr>
                <w:noProof/>
                <w:webHidden/>
              </w:rPr>
              <w:t>142</w:t>
            </w:r>
            <w:r w:rsidRPr="000A0484">
              <w:rPr>
                <w:noProof/>
                <w:webHidden/>
              </w:rPr>
              <w:fldChar w:fldCharType="end"/>
            </w:r>
          </w:hyperlink>
        </w:p>
        <w:p w:rsidR="009E5E50" w:rsidRPr="000A0484" w14:paraId="2C83A057" w14:textId="30EEF23D">
          <w:pPr>
            <w:pStyle w:val="TOC3"/>
            <w:tabs>
              <w:tab w:val="left" w:pos="1320"/>
              <w:tab w:val="right" w:leader="dot" w:pos="9350"/>
            </w:tabs>
            <w:rPr>
              <w:rFonts w:ascii="Times New Roman" w:hAnsi="Times New Roman"/>
              <w:noProof/>
              <w:kern w:val="2"/>
              <w:sz w:val="24"/>
              <w14:ligatures w14:val="standardContextual"/>
            </w:rPr>
          </w:pPr>
          <w:hyperlink w:anchor="_Toc153373796" w:history="1">
            <w:r w:rsidRPr="000A0484">
              <w:rPr>
                <w:rStyle w:val="Hyperlink"/>
                <w:rFonts w:ascii="Times New Roman" w:hAnsi="Times New Roman"/>
                <w:noProof/>
                <w:sz w:val="24"/>
              </w:rPr>
              <w:t>6.4.1</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General comments on the practicability assessment</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_Toc153373796 \h </w:instrText>
            </w:r>
            <w:r w:rsidRPr="000A0484">
              <w:rPr>
                <w:rFonts w:ascii="Times New Roman" w:hAnsi="Times New Roman"/>
                <w:noProof/>
                <w:webHidden/>
                <w:sz w:val="24"/>
              </w:rPr>
              <w:fldChar w:fldCharType="separate"/>
            </w:r>
            <w:r w:rsidR="00390792">
              <w:rPr>
                <w:rFonts w:ascii="Times New Roman" w:hAnsi="Times New Roman"/>
                <w:noProof/>
                <w:webHidden/>
                <w:sz w:val="24"/>
              </w:rPr>
              <w:t>142</w:t>
            </w:r>
            <w:r w:rsidRPr="000A0484">
              <w:rPr>
                <w:rFonts w:ascii="Times New Roman" w:hAnsi="Times New Roman"/>
                <w:noProof/>
                <w:webHidden/>
                <w:sz w:val="24"/>
              </w:rPr>
              <w:fldChar w:fldCharType="end"/>
            </w:r>
          </w:hyperlink>
        </w:p>
        <w:p w:rsidR="009E5E50" w:rsidRPr="000A0484" w14:paraId="50AAE4B9" w14:textId="4B19ACE4">
          <w:pPr>
            <w:pStyle w:val="TOC3"/>
            <w:tabs>
              <w:tab w:val="left" w:pos="1320"/>
              <w:tab w:val="right" w:leader="dot" w:pos="9350"/>
            </w:tabs>
            <w:rPr>
              <w:rFonts w:ascii="Times New Roman" w:hAnsi="Times New Roman"/>
              <w:noProof/>
              <w:kern w:val="2"/>
              <w:sz w:val="24"/>
              <w14:ligatures w14:val="standardContextual"/>
            </w:rPr>
          </w:pPr>
          <w:hyperlink w:anchor="_Toc153373797" w:history="1">
            <w:r w:rsidRPr="000A0484">
              <w:rPr>
                <w:rStyle w:val="Hyperlink"/>
                <w:rFonts w:ascii="Times New Roman" w:hAnsi="Times New Roman"/>
                <w:noProof/>
                <w:sz w:val="24"/>
              </w:rPr>
              <w:t>6.4.2</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Implementation of technically practicable IST/ISD and STAAs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_Toc153373797 \h </w:instrText>
            </w:r>
            <w:r w:rsidRPr="000A0484">
              <w:rPr>
                <w:rFonts w:ascii="Times New Roman" w:hAnsi="Times New Roman"/>
                <w:noProof/>
                <w:webHidden/>
                <w:sz w:val="24"/>
              </w:rPr>
              <w:fldChar w:fldCharType="separate"/>
            </w:r>
            <w:r w:rsidR="00390792">
              <w:rPr>
                <w:rFonts w:ascii="Times New Roman" w:hAnsi="Times New Roman"/>
                <w:noProof/>
                <w:webHidden/>
                <w:sz w:val="24"/>
              </w:rPr>
              <w:t>145</w:t>
            </w:r>
            <w:r w:rsidRPr="000A0484">
              <w:rPr>
                <w:rFonts w:ascii="Times New Roman" w:hAnsi="Times New Roman"/>
                <w:noProof/>
                <w:webHidden/>
                <w:sz w:val="24"/>
              </w:rPr>
              <w:fldChar w:fldCharType="end"/>
            </w:r>
          </w:hyperlink>
        </w:p>
        <w:p w:rsidR="009E5E50" w:rsidRPr="000A0484" w:rsidP="00564A59" w14:paraId="4715731C" w14:textId="09BA8E06">
          <w:pPr>
            <w:pStyle w:val="TOC2"/>
            <w:rPr>
              <w:noProof/>
              <w:kern w:val="2"/>
              <w14:ligatures w14:val="standardContextual"/>
            </w:rPr>
          </w:pPr>
          <w:hyperlink w:anchor="_Toc153373798" w:history="1">
            <w:r w:rsidRPr="000A0484">
              <w:rPr>
                <w:rStyle w:val="Hyperlink"/>
                <w:rFonts w:ascii="Times New Roman" w:hAnsi="Times New Roman"/>
                <w:noProof/>
                <w:sz w:val="24"/>
              </w:rPr>
              <w:t>6.5</w:t>
            </w:r>
            <w:r w:rsidRPr="000A0484">
              <w:rPr>
                <w:noProof/>
                <w:kern w:val="2"/>
                <w14:ligatures w14:val="standardContextual"/>
              </w:rPr>
              <w:tab/>
            </w:r>
            <w:r w:rsidRPr="000A0484">
              <w:rPr>
                <w:rStyle w:val="Hyperlink"/>
                <w:rFonts w:ascii="Times New Roman" w:hAnsi="Times New Roman"/>
                <w:noProof/>
                <w:sz w:val="24"/>
              </w:rPr>
              <w:t>STAA technology transfer</w:t>
            </w:r>
            <w:r w:rsidRPr="000A0484">
              <w:rPr>
                <w:noProof/>
                <w:webHidden/>
              </w:rPr>
              <w:tab/>
            </w:r>
            <w:r w:rsidRPr="000A0484">
              <w:rPr>
                <w:noProof/>
                <w:webHidden/>
              </w:rPr>
              <w:fldChar w:fldCharType="begin"/>
            </w:r>
            <w:r w:rsidRPr="000A0484">
              <w:rPr>
                <w:noProof/>
                <w:webHidden/>
              </w:rPr>
              <w:instrText xml:space="preserve"> PAGEREF _Toc153373798 \h </w:instrText>
            </w:r>
            <w:r w:rsidRPr="000A0484">
              <w:rPr>
                <w:noProof/>
                <w:webHidden/>
              </w:rPr>
              <w:fldChar w:fldCharType="separate"/>
            </w:r>
            <w:r w:rsidR="00390792">
              <w:rPr>
                <w:noProof/>
                <w:webHidden/>
              </w:rPr>
              <w:t>150</w:t>
            </w:r>
            <w:r w:rsidRPr="000A0484">
              <w:rPr>
                <w:noProof/>
                <w:webHidden/>
              </w:rPr>
              <w:fldChar w:fldCharType="end"/>
            </w:r>
          </w:hyperlink>
        </w:p>
        <w:p w:rsidR="009E5E50" w:rsidRPr="000A0484" w14:paraId="1CEDD436" w14:textId="194FC7D2">
          <w:pPr>
            <w:pStyle w:val="TOC1"/>
            <w:rPr>
              <w:rFonts w:ascii="Times New Roman" w:hAnsi="Times New Roman"/>
              <w:noProof/>
              <w:kern w:val="2"/>
              <w:sz w:val="24"/>
              <w14:ligatures w14:val="standardContextual"/>
            </w:rPr>
          </w:pPr>
          <w:hyperlink w:anchor="_Toc153373799" w:history="1">
            <w:r w:rsidRPr="000A0484">
              <w:rPr>
                <w:rStyle w:val="Hyperlink"/>
                <w:rFonts w:ascii="Times New Roman" w:hAnsi="Times New Roman"/>
                <w:noProof/>
                <w:sz w:val="24"/>
              </w:rPr>
              <w:t>7</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Root Cause Analysis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_Toc153373799 \h </w:instrText>
            </w:r>
            <w:r w:rsidRPr="000A0484">
              <w:rPr>
                <w:rFonts w:ascii="Times New Roman" w:hAnsi="Times New Roman"/>
                <w:noProof/>
                <w:webHidden/>
                <w:sz w:val="24"/>
              </w:rPr>
              <w:fldChar w:fldCharType="separate"/>
            </w:r>
            <w:r w:rsidR="00390792">
              <w:rPr>
                <w:rFonts w:ascii="Times New Roman" w:hAnsi="Times New Roman"/>
                <w:noProof/>
                <w:webHidden/>
                <w:sz w:val="24"/>
              </w:rPr>
              <w:t>152</w:t>
            </w:r>
            <w:r w:rsidRPr="000A0484">
              <w:rPr>
                <w:rFonts w:ascii="Times New Roman" w:hAnsi="Times New Roman"/>
                <w:noProof/>
                <w:webHidden/>
                <w:sz w:val="24"/>
              </w:rPr>
              <w:fldChar w:fldCharType="end"/>
            </w:r>
          </w:hyperlink>
        </w:p>
        <w:p w:rsidR="009E5E50" w:rsidRPr="000A0484" w:rsidP="00564A59" w14:paraId="6AF2E9B1" w14:textId="2252731C">
          <w:pPr>
            <w:pStyle w:val="TOC2"/>
            <w:rPr>
              <w:noProof/>
              <w:kern w:val="2"/>
              <w14:ligatures w14:val="standardContextual"/>
            </w:rPr>
          </w:pPr>
          <w:hyperlink w:anchor="_Toc153373800" w:history="1">
            <w:r w:rsidRPr="000A0484">
              <w:rPr>
                <w:rStyle w:val="Hyperlink"/>
                <w:rFonts w:ascii="Times New Roman" w:hAnsi="Times New Roman"/>
                <w:noProof/>
                <w:sz w:val="24"/>
              </w:rPr>
              <w:t>7.1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_Toc153373800 \h </w:instrText>
            </w:r>
            <w:r w:rsidRPr="000A0484">
              <w:rPr>
                <w:noProof/>
                <w:webHidden/>
              </w:rPr>
              <w:fldChar w:fldCharType="separate"/>
            </w:r>
            <w:r w:rsidR="00390792">
              <w:rPr>
                <w:noProof/>
                <w:webHidden/>
              </w:rPr>
              <w:t>152</w:t>
            </w:r>
            <w:r w:rsidRPr="000A0484">
              <w:rPr>
                <w:noProof/>
                <w:webHidden/>
              </w:rPr>
              <w:fldChar w:fldCharType="end"/>
            </w:r>
          </w:hyperlink>
        </w:p>
        <w:p w:rsidR="009E5E50" w:rsidRPr="000A0484" w:rsidP="00564A59" w14:paraId="03FC0F7C" w14:textId="1BDC5155">
          <w:pPr>
            <w:pStyle w:val="TOC2"/>
            <w:rPr>
              <w:noProof/>
              <w:kern w:val="2"/>
              <w14:ligatures w14:val="standardContextual"/>
            </w:rPr>
          </w:pPr>
          <w:hyperlink w:anchor="_Toc153373801" w:history="1">
            <w:r w:rsidRPr="000A0484">
              <w:rPr>
                <w:rStyle w:val="Hyperlink"/>
                <w:rFonts w:ascii="Times New Roman" w:hAnsi="Times New Roman"/>
                <w:noProof/>
                <w:sz w:val="24"/>
              </w:rPr>
              <w:t>7.2</w:t>
            </w:r>
            <w:r w:rsidRPr="000A0484">
              <w:rPr>
                <w:noProof/>
                <w:kern w:val="2"/>
                <w14:ligatures w14:val="standardContextual"/>
              </w:rPr>
              <w:tab/>
            </w:r>
            <w:r w:rsidRPr="000A0484">
              <w:rPr>
                <w:rStyle w:val="Hyperlink"/>
                <w:rFonts w:ascii="Times New Roman" w:hAnsi="Times New Roman"/>
                <w:noProof/>
                <w:sz w:val="24"/>
              </w:rPr>
              <w:t>“Near miss” definition</w:t>
            </w:r>
            <w:r w:rsidRPr="000A0484">
              <w:rPr>
                <w:noProof/>
                <w:webHidden/>
              </w:rPr>
              <w:tab/>
            </w:r>
            <w:r w:rsidRPr="000A0484">
              <w:rPr>
                <w:noProof/>
                <w:webHidden/>
              </w:rPr>
              <w:fldChar w:fldCharType="begin"/>
            </w:r>
            <w:r w:rsidRPr="000A0484">
              <w:rPr>
                <w:noProof/>
                <w:webHidden/>
              </w:rPr>
              <w:instrText xml:space="preserve"> PAGEREF _Toc153373801 \h </w:instrText>
            </w:r>
            <w:r w:rsidRPr="000A0484">
              <w:rPr>
                <w:noProof/>
                <w:webHidden/>
              </w:rPr>
              <w:fldChar w:fldCharType="separate"/>
            </w:r>
            <w:r w:rsidR="00390792">
              <w:rPr>
                <w:noProof/>
                <w:webHidden/>
              </w:rPr>
              <w:t>164</w:t>
            </w:r>
            <w:r w:rsidRPr="000A0484">
              <w:rPr>
                <w:noProof/>
                <w:webHidden/>
              </w:rPr>
              <w:fldChar w:fldCharType="end"/>
            </w:r>
          </w:hyperlink>
        </w:p>
        <w:p w:rsidR="009E5E50" w:rsidRPr="000A0484" w14:paraId="77EAB5FA" w14:textId="360EEE4E">
          <w:pPr>
            <w:pStyle w:val="TOC3"/>
            <w:tabs>
              <w:tab w:val="right" w:leader="dot" w:pos="9350"/>
            </w:tabs>
            <w:rPr>
              <w:rFonts w:ascii="Times New Roman" w:hAnsi="Times New Roman"/>
              <w:noProof/>
              <w:kern w:val="2"/>
              <w:sz w:val="24"/>
              <w14:ligatures w14:val="standardContextual"/>
            </w:rPr>
          </w:pPr>
          <w:hyperlink w:anchor="_Toc153373802" w:history="1">
            <w:r w:rsidRPr="000A0484">
              <w:rPr>
                <w:rStyle w:val="Hyperlink"/>
                <w:rFonts w:ascii="Times New Roman" w:hAnsi="Times New Roman"/>
                <w:noProof/>
                <w:sz w:val="24"/>
              </w:rPr>
              <w:t>7.2.1 Potential definition</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_Toc153373802 \h </w:instrText>
            </w:r>
            <w:r w:rsidRPr="000A0484">
              <w:rPr>
                <w:rFonts w:ascii="Times New Roman" w:hAnsi="Times New Roman"/>
                <w:noProof/>
                <w:webHidden/>
                <w:sz w:val="24"/>
              </w:rPr>
              <w:fldChar w:fldCharType="separate"/>
            </w:r>
            <w:r w:rsidR="00390792">
              <w:rPr>
                <w:rFonts w:ascii="Times New Roman" w:hAnsi="Times New Roman"/>
                <w:noProof/>
                <w:webHidden/>
                <w:sz w:val="24"/>
              </w:rPr>
              <w:t>164</w:t>
            </w:r>
            <w:r w:rsidRPr="000A0484">
              <w:rPr>
                <w:rFonts w:ascii="Times New Roman" w:hAnsi="Times New Roman"/>
                <w:noProof/>
                <w:webHidden/>
                <w:sz w:val="24"/>
              </w:rPr>
              <w:fldChar w:fldCharType="end"/>
            </w:r>
          </w:hyperlink>
        </w:p>
        <w:p w:rsidR="009E5E50" w:rsidRPr="000A0484" w14:paraId="02541EED" w14:textId="32B2694F">
          <w:pPr>
            <w:pStyle w:val="TOC3"/>
            <w:tabs>
              <w:tab w:val="right" w:leader="dot" w:pos="9350"/>
            </w:tabs>
            <w:rPr>
              <w:rFonts w:ascii="Times New Roman" w:hAnsi="Times New Roman"/>
              <w:noProof/>
              <w:kern w:val="2"/>
              <w:sz w:val="24"/>
              <w14:ligatures w14:val="standardContextual"/>
            </w:rPr>
          </w:pPr>
          <w:hyperlink w:anchor="_Toc153373803" w:history="1">
            <w:r w:rsidRPr="000A0484">
              <w:rPr>
                <w:rStyle w:val="Hyperlink"/>
                <w:rFonts w:ascii="Times New Roman" w:hAnsi="Times New Roman"/>
                <w:noProof/>
                <w:sz w:val="24"/>
              </w:rPr>
              <w:t>7.2.2 Universal definition</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_Toc153373803 \h </w:instrText>
            </w:r>
            <w:r w:rsidRPr="000A0484">
              <w:rPr>
                <w:rFonts w:ascii="Times New Roman" w:hAnsi="Times New Roman"/>
                <w:noProof/>
                <w:webHidden/>
                <w:sz w:val="24"/>
              </w:rPr>
              <w:fldChar w:fldCharType="separate"/>
            </w:r>
            <w:r w:rsidR="00390792">
              <w:rPr>
                <w:rFonts w:ascii="Times New Roman" w:hAnsi="Times New Roman"/>
                <w:noProof/>
                <w:webHidden/>
                <w:sz w:val="24"/>
              </w:rPr>
              <w:t>165</w:t>
            </w:r>
            <w:r w:rsidRPr="000A0484">
              <w:rPr>
                <w:rFonts w:ascii="Times New Roman" w:hAnsi="Times New Roman"/>
                <w:noProof/>
                <w:webHidden/>
                <w:sz w:val="24"/>
              </w:rPr>
              <w:fldChar w:fldCharType="end"/>
            </w:r>
          </w:hyperlink>
        </w:p>
        <w:p w:rsidR="009E5E50" w:rsidRPr="000A0484" w:rsidP="00564A59" w14:paraId="70331B2C" w14:textId="7D169C03">
          <w:pPr>
            <w:pStyle w:val="TOC2"/>
            <w:rPr>
              <w:noProof/>
              <w:kern w:val="2"/>
              <w14:ligatures w14:val="standardContextual"/>
            </w:rPr>
          </w:pPr>
          <w:hyperlink w:anchor="_Toc153373804" w:history="1">
            <w:r w:rsidRPr="000A0484">
              <w:rPr>
                <w:rStyle w:val="Hyperlink"/>
                <w:rFonts w:ascii="Times New Roman" w:hAnsi="Times New Roman"/>
                <w:noProof/>
                <w:sz w:val="24"/>
              </w:rPr>
              <w:t>7.3 Investigation timeframe</w:t>
            </w:r>
            <w:r w:rsidRPr="000A0484">
              <w:rPr>
                <w:noProof/>
                <w:webHidden/>
              </w:rPr>
              <w:tab/>
            </w:r>
            <w:r w:rsidRPr="000A0484">
              <w:rPr>
                <w:noProof/>
                <w:webHidden/>
              </w:rPr>
              <w:fldChar w:fldCharType="begin"/>
            </w:r>
            <w:r w:rsidRPr="000A0484">
              <w:rPr>
                <w:noProof/>
                <w:webHidden/>
              </w:rPr>
              <w:instrText xml:space="preserve"> PAGEREF _Toc153373804 \h </w:instrText>
            </w:r>
            <w:r w:rsidRPr="000A0484">
              <w:rPr>
                <w:noProof/>
                <w:webHidden/>
              </w:rPr>
              <w:fldChar w:fldCharType="separate"/>
            </w:r>
            <w:r w:rsidR="00390792">
              <w:rPr>
                <w:noProof/>
                <w:webHidden/>
              </w:rPr>
              <w:t>167</w:t>
            </w:r>
            <w:r w:rsidRPr="000A0484">
              <w:rPr>
                <w:noProof/>
                <w:webHidden/>
              </w:rPr>
              <w:fldChar w:fldCharType="end"/>
            </w:r>
          </w:hyperlink>
        </w:p>
        <w:p w:rsidR="009E5E50" w:rsidRPr="000A0484" w14:paraId="73A66636" w14:textId="078AB68A">
          <w:pPr>
            <w:pStyle w:val="TOC1"/>
            <w:rPr>
              <w:rFonts w:ascii="Times New Roman" w:hAnsi="Times New Roman"/>
              <w:noProof/>
              <w:kern w:val="2"/>
              <w:sz w:val="24"/>
              <w14:ligatures w14:val="standardContextual"/>
            </w:rPr>
          </w:pPr>
          <w:hyperlink w:anchor="_Toc153373805" w:history="1">
            <w:r w:rsidRPr="000A0484">
              <w:rPr>
                <w:rStyle w:val="Hyperlink"/>
                <w:rFonts w:ascii="Times New Roman" w:hAnsi="Times New Roman"/>
                <w:noProof/>
                <w:sz w:val="24"/>
              </w:rPr>
              <w:t>8</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Third-Party Compliance Audits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_Toc153373805 \h </w:instrText>
            </w:r>
            <w:r w:rsidRPr="000A0484">
              <w:rPr>
                <w:rFonts w:ascii="Times New Roman" w:hAnsi="Times New Roman"/>
                <w:noProof/>
                <w:webHidden/>
                <w:sz w:val="24"/>
              </w:rPr>
              <w:fldChar w:fldCharType="separate"/>
            </w:r>
            <w:r w:rsidR="00390792">
              <w:rPr>
                <w:rFonts w:ascii="Times New Roman" w:hAnsi="Times New Roman"/>
                <w:noProof/>
                <w:webHidden/>
                <w:sz w:val="24"/>
              </w:rPr>
              <w:t>170</w:t>
            </w:r>
            <w:r w:rsidRPr="000A0484">
              <w:rPr>
                <w:rFonts w:ascii="Times New Roman" w:hAnsi="Times New Roman"/>
                <w:noProof/>
                <w:webHidden/>
                <w:sz w:val="24"/>
              </w:rPr>
              <w:fldChar w:fldCharType="end"/>
            </w:r>
          </w:hyperlink>
        </w:p>
        <w:p w:rsidR="009E5E50" w:rsidRPr="000A0484" w:rsidP="00564A59" w14:paraId="51AC26DE" w14:textId="17627461">
          <w:pPr>
            <w:pStyle w:val="TOC2"/>
            <w:rPr>
              <w:noProof/>
              <w:kern w:val="2"/>
              <w14:ligatures w14:val="standardContextual"/>
            </w:rPr>
          </w:pPr>
          <w:hyperlink w:anchor="_Toc153373806" w:history="1">
            <w:r w:rsidRPr="000A0484">
              <w:rPr>
                <w:rStyle w:val="Hyperlink"/>
                <w:rFonts w:ascii="Times New Roman" w:hAnsi="Times New Roman"/>
                <w:noProof/>
                <w:sz w:val="24"/>
              </w:rPr>
              <w:t>8.1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_Toc153373806 \h </w:instrText>
            </w:r>
            <w:r w:rsidRPr="000A0484">
              <w:rPr>
                <w:noProof/>
                <w:webHidden/>
              </w:rPr>
              <w:fldChar w:fldCharType="separate"/>
            </w:r>
            <w:r w:rsidR="00390792">
              <w:rPr>
                <w:noProof/>
                <w:webHidden/>
              </w:rPr>
              <w:t>170</w:t>
            </w:r>
            <w:r w:rsidRPr="000A0484">
              <w:rPr>
                <w:noProof/>
                <w:webHidden/>
              </w:rPr>
              <w:fldChar w:fldCharType="end"/>
            </w:r>
          </w:hyperlink>
        </w:p>
        <w:p w:rsidR="009E5E50" w:rsidRPr="000A0484" w:rsidP="00564A59" w14:paraId="545BF939" w14:textId="1F99D99C">
          <w:pPr>
            <w:pStyle w:val="TOC2"/>
            <w:rPr>
              <w:noProof/>
              <w:kern w:val="2"/>
              <w14:ligatures w14:val="standardContextual"/>
            </w:rPr>
          </w:pPr>
          <w:hyperlink w:anchor="_Toc153373807" w:history="1">
            <w:r w:rsidRPr="000A0484">
              <w:rPr>
                <w:rStyle w:val="Hyperlink"/>
                <w:rFonts w:ascii="Times New Roman" w:hAnsi="Times New Roman"/>
                <w:noProof/>
                <w:sz w:val="24"/>
              </w:rPr>
              <w:t>8.2</w:t>
            </w:r>
            <w:r w:rsidRPr="000A0484">
              <w:rPr>
                <w:noProof/>
                <w:kern w:val="2"/>
                <w14:ligatures w14:val="standardContextual"/>
              </w:rPr>
              <w:tab/>
            </w:r>
            <w:r w:rsidRPr="000A0484">
              <w:rPr>
                <w:rStyle w:val="Hyperlink"/>
                <w:rFonts w:ascii="Times New Roman" w:hAnsi="Times New Roman"/>
                <w:noProof/>
                <w:sz w:val="24"/>
              </w:rPr>
              <w:t>Proposed independence criteria and employee participation</w:t>
            </w:r>
            <w:r w:rsidRPr="000A0484">
              <w:rPr>
                <w:noProof/>
                <w:webHidden/>
              </w:rPr>
              <w:tab/>
            </w:r>
            <w:r w:rsidRPr="000A0484">
              <w:rPr>
                <w:noProof/>
                <w:webHidden/>
              </w:rPr>
              <w:fldChar w:fldCharType="begin"/>
            </w:r>
            <w:r w:rsidRPr="000A0484">
              <w:rPr>
                <w:noProof/>
                <w:webHidden/>
              </w:rPr>
              <w:instrText xml:space="preserve"> PAGEREF _Toc153373807 \h </w:instrText>
            </w:r>
            <w:r w:rsidRPr="000A0484">
              <w:rPr>
                <w:noProof/>
                <w:webHidden/>
              </w:rPr>
              <w:fldChar w:fldCharType="separate"/>
            </w:r>
            <w:r w:rsidR="00390792">
              <w:rPr>
                <w:noProof/>
                <w:webHidden/>
              </w:rPr>
              <w:t>199</w:t>
            </w:r>
            <w:r w:rsidRPr="000A0484">
              <w:rPr>
                <w:noProof/>
                <w:webHidden/>
              </w:rPr>
              <w:fldChar w:fldCharType="end"/>
            </w:r>
          </w:hyperlink>
        </w:p>
        <w:p w:rsidR="009E5E50" w:rsidRPr="000A0484" w:rsidP="00564A59" w14:paraId="6774F318" w14:textId="44F5703C">
          <w:pPr>
            <w:pStyle w:val="TOC2"/>
            <w:rPr>
              <w:noProof/>
              <w:kern w:val="2"/>
              <w14:ligatures w14:val="standardContextual"/>
            </w:rPr>
          </w:pPr>
          <w:hyperlink w:anchor="_Toc153373808" w:history="1">
            <w:r w:rsidRPr="000A0484">
              <w:rPr>
                <w:rStyle w:val="Hyperlink"/>
                <w:rFonts w:ascii="Times New Roman" w:hAnsi="Times New Roman"/>
                <w:noProof/>
                <w:sz w:val="24"/>
              </w:rPr>
              <w:t>8.3</w:t>
            </w:r>
            <w:r w:rsidRPr="000A0484">
              <w:rPr>
                <w:noProof/>
                <w:kern w:val="2"/>
                <w14:ligatures w14:val="standardContextual"/>
              </w:rPr>
              <w:tab/>
            </w:r>
            <w:r w:rsidRPr="000A0484">
              <w:rPr>
                <w:rStyle w:val="Hyperlink"/>
                <w:rFonts w:ascii="Times New Roman" w:hAnsi="Times New Roman"/>
                <w:noProof/>
                <w:sz w:val="24"/>
              </w:rPr>
              <w:t>Declined findings format</w:t>
            </w:r>
            <w:r w:rsidRPr="000A0484">
              <w:rPr>
                <w:noProof/>
                <w:webHidden/>
              </w:rPr>
              <w:tab/>
            </w:r>
            <w:r w:rsidRPr="000A0484">
              <w:rPr>
                <w:noProof/>
                <w:webHidden/>
              </w:rPr>
              <w:fldChar w:fldCharType="begin"/>
            </w:r>
            <w:r w:rsidRPr="000A0484">
              <w:rPr>
                <w:noProof/>
                <w:webHidden/>
              </w:rPr>
              <w:instrText xml:space="preserve"> PAGEREF _Toc153373808 \h </w:instrText>
            </w:r>
            <w:r w:rsidRPr="000A0484">
              <w:rPr>
                <w:noProof/>
                <w:webHidden/>
              </w:rPr>
              <w:fldChar w:fldCharType="separate"/>
            </w:r>
            <w:r w:rsidR="00390792">
              <w:rPr>
                <w:noProof/>
                <w:webHidden/>
              </w:rPr>
              <w:t>202</w:t>
            </w:r>
            <w:r w:rsidRPr="000A0484">
              <w:rPr>
                <w:noProof/>
                <w:webHidden/>
              </w:rPr>
              <w:fldChar w:fldCharType="end"/>
            </w:r>
          </w:hyperlink>
        </w:p>
        <w:p w:rsidR="009E5E50" w:rsidRPr="000A0484" w:rsidP="00564A59" w14:paraId="0C9ED56F" w14:textId="506B486B">
          <w:pPr>
            <w:pStyle w:val="TOC2"/>
            <w:rPr>
              <w:noProof/>
              <w:kern w:val="2"/>
              <w14:ligatures w14:val="standardContextual"/>
            </w:rPr>
          </w:pPr>
          <w:hyperlink w:anchor="_Toc153373809" w:history="1">
            <w:r w:rsidRPr="000A0484">
              <w:rPr>
                <w:rStyle w:val="Hyperlink"/>
                <w:rFonts w:ascii="Times New Roman" w:hAnsi="Times New Roman"/>
                <w:noProof/>
                <w:sz w:val="24"/>
              </w:rPr>
              <w:t>8.4</w:t>
            </w:r>
            <w:r w:rsidRPr="000A0484">
              <w:rPr>
                <w:noProof/>
                <w:kern w:val="2"/>
                <w14:ligatures w14:val="standardContextual"/>
              </w:rPr>
              <w:tab/>
            </w:r>
            <w:r w:rsidRPr="000A0484">
              <w:rPr>
                <w:rStyle w:val="Hyperlink"/>
                <w:rFonts w:ascii="Times New Roman" w:hAnsi="Times New Roman"/>
                <w:noProof/>
                <w:sz w:val="24"/>
              </w:rPr>
              <w:t>Reporting requirements</w:t>
            </w:r>
            <w:r w:rsidRPr="000A0484">
              <w:rPr>
                <w:noProof/>
                <w:webHidden/>
              </w:rPr>
              <w:tab/>
            </w:r>
            <w:r w:rsidRPr="000A0484">
              <w:rPr>
                <w:noProof/>
                <w:webHidden/>
              </w:rPr>
              <w:fldChar w:fldCharType="begin"/>
            </w:r>
            <w:r w:rsidRPr="000A0484">
              <w:rPr>
                <w:noProof/>
                <w:webHidden/>
              </w:rPr>
              <w:instrText xml:space="preserve"> PAGEREF _Toc153373809 \h </w:instrText>
            </w:r>
            <w:r w:rsidRPr="000A0484">
              <w:rPr>
                <w:noProof/>
                <w:webHidden/>
              </w:rPr>
              <w:fldChar w:fldCharType="separate"/>
            </w:r>
            <w:r w:rsidR="00390792">
              <w:rPr>
                <w:noProof/>
                <w:webHidden/>
              </w:rPr>
              <w:t>204</w:t>
            </w:r>
            <w:r w:rsidRPr="000A0484">
              <w:rPr>
                <w:noProof/>
                <w:webHidden/>
              </w:rPr>
              <w:fldChar w:fldCharType="end"/>
            </w:r>
          </w:hyperlink>
        </w:p>
        <w:p w:rsidR="009E5E50" w:rsidRPr="000A0484" w14:paraId="446EC483" w14:textId="11B6F718">
          <w:pPr>
            <w:pStyle w:val="TOC1"/>
            <w:rPr>
              <w:rFonts w:ascii="Times New Roman" w:hAnsi="Times New Roman"/>
              <w:noProof/>
              <w:kern w:val="2"/>
              <w:sz w:val="24"/>
              <w14:ligatures w14:val="standardContextual"/>
            </w:rPr>
          </w:pPr>
          <w:hyperlink w:anchor="_Toc153373810" w:history="1">
            <w:r w:rsidRPr="000A0484">
              <w:rPr>
                <w:rStyle w:val="Hyperlink"/>
                <w:rFonts w:ascii="Times New Roman" w:hAnsi="Times New Roman"/>
                <w:noProof/>
                <w:sz w:val="24"/>
              </w:rPr>
              <w:t>9</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Employee Participation</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_Toc153373810 \h </w:instrText>
            </w:r>
            <w:r w:rsidRPr="000A0484">
              <w:rPr>
                <w:rFonts w:ascii="Times New Roman" w:hAnsi="Times New Roman"/>
                <w:noProof/>
                <w:webHidden/>
                <w:sz w:val="24"/>
              </w:rPr>
              <w:fldChar w:fldCharType="separate"/>
            </w:r>
            <w:r w:rsidR="00390792">
              <w:rPr>
                <w:rFonts w:ascii="Times New Roman" w:hAnsi="Times New Roman"/>
                <w:noProof/>
                <w:webHidden/>
                <w:sz w:val="24"/>
              </w:rPr>
              <w:t>204</w:t>
            </w:r>
            <w:r w:rsidRPr="000A0484">
              <w:rPr>
                <w:rFonts w:ascii="Times New Roman" w:hAnsi="Times New Roman"/>
                <w:noProof/>
                <w:webHidden/>
                <w:sz w:val="24"/>
              </w:rPr>
              <w:fldChar w:fldCharType="end"/>
            </w:r>
          </w:hyperlink>
        </w:p>
        <w:p w:rsidR="009E5E50" w:rsidRPr="000A0484" w:rsidP="00564A59" w14:paraId="6875B07A" w14:textId="235F864A">
          <w:pPr>
            <w:pStyle w:val="TOC2"/>
            <w:rPr>
              <w:noProof/>
              <w:kern w:val="2"/>
              <w14:ligatures w14:val="standardContextual"/>
            </w:rPr>
          </w:pPr>
          <w:hyperlink w:anchor="_Toc153373811" w:history="1">
            <w:r w:rsidRPr="000A0484">
              <w:rPr>
                <w:rStyle w:val="Hyperlink"/>
                <w:rFonts w:ascii="Times New Roman" w:hAnsi="Times New Roman"/>
                <w:noProof/>
                <w:sz w:val="24"/>
              </w:rPr>
              <w:t>9.1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_Toc153373811 \h </w:instrText>
            </w:r>
            <w:r w:rsidRPr="000A0484">
              <w:rPr>
                <w:noProof/>
                <w:webHidden/>
              </w:rPr>
              <w:fldChar w:fldCharType="separate"/>
            </w:r>
            <w:r w:rsidR="00390792">
              <w:rPr>
                <w:noProof/>
                <w:webHidden/>
              </w:rPr>
              <w:t>204</w:t>
            </w:r>
            <w:r w:rsidRPr="000A0484">
              <w:rPr>
                <w:noProof/>
                <w:webHidden/>
              </w:rPr>
              <w:fldChar w:fldCharType="end"/>
            </w:r>
          </w:hyperlink>
        </w:p>
        <w:p w:rsidR="009E5E50" w:rsidRPr="000A0484" w:rsidP="00564A59" w14:paraId="06001ED3" w14:textId="6F1ED9E4">
          <w:pPr>
            <w:pStyle w:val="TOC2"/>
            <w:rPr>
              <w:noProof/>
              <w:kern w:val="2"/>
              <w14:ligatures w14:val="standardContextual"/>
            </w:rPr>
          </w:pPr>
          <w:hyperlink w:anchor="_Toc153373812" w:history="1">
            <w:r w:rsidRPr="000A0484">
              <w:rPr>
                <w:rStyle w:val="Hyperlink"/>
                <w:rFonts w:ascii="Times New Roman" w:hAnsi="Times New Roman"/>
                <w:noProof/>
                <w:sz w:val="24"/>
              </w:rPr>
              <w:t>9.2</w:t>
            </w:r>
            <w:r w:rsidRPr="000A0484">
              <w:rPr>
                <w:noProof/>
                <w:kern w:val="2"/>
                <w14:ligatures w14:val="standardContextual"/>
              </w:rPr>
              <w:tab/>
            </w:r>
            <w:r w:rsidRPr="000A0484">
              <w:rPr>
                <w:rStyle w:val="Hyperlink"/>
                <w:rFonts w:ascii="Times New Roman" w:hAnsi="Times New Roman"/>
                <w:noProof/>
                <w:sz w:val="24"/>
              </w:rPr>
              <w:t>Relevant sources in making risk decisions</w:t>
            </w:r>
            <w:r w:rsidRPr="000A0484">
              <w:rPr>
                <w:noProof/>
                <w:webHidden/>
              </w:rPr>
              <w:tab/>
            </w:r>
            <w:r w:rsidRPr="000A0484">
              <w:rPr>
                <w:noProof/>
                <w:webHidden/>
              </w:rPr>
              <w:fldChar w:fldCharType="begin"/>
            </w:r>
            <w:r w:rsidRPr="000A0484">
              <w:rPr>
                <w:noProof/>
                <w:webHidden/>
              </w:rPr>
              <w:instrText xml:space="preserve"> PAGEREF _Toc153373812 \h </w:instrText>
            </w:r>
            <w:r w:rsidRPr="000A0484">
              <w:rPr>
                <w:noProof/>
                <w:webHidden/>
              </w:rPr>
              <w:fldChar w:fldCharType="separate"/>
            </w:r>
            <w:r w:rsidR="00390792">
              <w:rPr>
                <w:noProof/>
                <w:webHidden/>
              </w:rPr>
              <w:t>211</w:t>
            </w:r>
            <w:r w:rsidRPr="000A0484">
              <w:rPr>
                <w:noProof/>
                <w:webHidden/>
              </w:rPr>
              <w:fldChar w:fldCharType="end"/>
            </w:r>
          </w:hyperlink>
        </w:p>
        <w:p w:rsidR="009E5E50" w:rsidRPr="000A0484" w:rsidP="00564A59" w14:paraId="4DAB4AB6" w14:textId="77C57100">
          <w:pPr>
            <w:pStyle w:val="TOC2"/>
            <w:rPr>
              <w:noProof/>
              <w:kern w:val="2"/>
              <w14:ligatures w14:val="standardContextual"/>
            </w:rPr>
          </w:pPr>
          <w:hyperlink w:anchor="_Toc153373813" w:history="1">
            <w:r w:rsidRPr="000A0484">
              <w:rPr>
                <w:rStyle w:val="Hyperlink"/>
                <w:rFonts w:ascii="Times New Roman" w:hAnsi="Times New Roman"/>
                <w:noProof/>
                <w:sz w:val="24"/>
              </w:rPr>
              <w:t>9.3</w:t>
            </w:r>
            <w:r w:rsidRPr="000A0484">
              <w:rPr>
                <w:noProof/>
                <w:kern w:val="2"/>
                <w14:ligatures w14:val="standardContextual"/>
              </w:rPr>
              <w:tab/>
            </w:r>
            <w:r w:rsidRPr="000A0484">
              <w:rPr>
                <w:rStyle w:val="Hyperlink"/>
                <w:rFonts w:ascii="Times New Roman" w:hAnsi="Times New Roman"/>
                <w:noProof/>
                <w:sz w:val="24"/>
              </w:rPr>
              <w:t>Stop work authority provision</w:t>
            </w:r>
            <w:r w:rsidRPr="000A0484">
              <w:rPr>
                <w:noProof/>
                <w:webHidden/>
              </w:rPr>
              <w:tab/>
            </w:r>
            <w:r w:rsidRPr="000A0484">
              <w:rPr>
                <w:noProof/>
                <w:webHidden/>
              </w:rPr>
              <w:fldChar w:fldCharType="begin"/>
            </w:r>
            <w:r w:rsidRPr="000A0484">
              <w:rPr>
                <w:noProof/>
                <w:webHidden/>
              </w:rPr>
              <w:instrText xml:space="preserve"> PAGEREF _Toc153373813 \h </w:instrText>
            </w:r>
            <w:r w:rsidRPr="000A0484">
              <w:rPr>
                <w:noProof/>
                <w:webHidden/>
              </w:rPr>
              <w:fldChar w:fldCharType="separate"/>
            </w:r>
            <w:r w:rsidR="00390792">
              <w:rPr>
                <w:noProof/>
                <w:webHidden/>
              </w:rPr>
              <w:t>211</w:t>
            </w:r>
            <w:r w:rsidRPr="000A0484">
              <w:rPr>
                <w:noProof/>
                <w:webHidden/>
              </w:rPr>
              <w:fldChar w:fldCharType="end"/>
            </w:r>
          </w:hyperlink>
        </w:p>
        <w:p w:rsidR="009E5E50" w:rsidRPr="000A0484" w14:paraId="3F5DFB96" w14:textId="5CD1802E">
          <w:pPr>
            <w:pStyle w:val="TOC1"/>
            <w:rPr>
              <w:rFonts w:ascii="Times New Roman" w:hAnsi="Times New Roman"/>
              <w:noProof/>
              <w:kern w:val="2"/>
              <w:sz w:val="24"/>
              <w14:ligatures w14:val="standardContextual"/>
            </w:rPr>
          </w:pPr>
          <w:hyperlink w:anchor="_Toc153373814" w:history="1">
            <w:r w:rsidRPr="000A0484">
              <w:rPr>
                <w:rStyle w:val="Hyperlink"/>
                <w:rFonts w:ascii="Times New Roman" w:hAnsi="Times New Roman"/>
                <w:noProof/>
                <w:sz w:val="24"/>
              </w:rPr>
              <w:t>10</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Accident and Non-Compliance Reporting</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_Toc153373814 \h </w:instrText>
            </w:r>
            <w:r w:rsidRPr="000A0484">
              <w:rPr>
                <w:rFonts w:ascii="Times New Roman" w:hAnsi="Times New Roman"/>
                <w:noProof/>
                <w:webHidden/>
                <w:sz w:val="24"/>
              </w:rPr>
              <w:fldChar w:fldCharType="separate"/>
            </w:r>
            <w:r w:rsidR="00390792">
              <w:rPr>
                <w:rFonts w:ascii="Times New Roman" w:hAnsi="Times New Roman"/>
                <w:noProof/>
                <w:webHidden/>
                <w:sz w:val="24"/>
              </w:rPr>
              <w:t>216</w:t>
            </w:r>
            <w:r w:rsidRPr="000A0484">
              <w:rPr>
                <w:rFonts w:ascii="Times New Roman" w:hAnsi="Times New Roman"/>
                <w:noProof/>
                <w:webHidden/>
                <w:sz w:val="24"/>
              </w:rPr>
              <w:fldChar w:fldCharType="end"/>
            </w:r>
          </w:hyperlink>
        </w:p>
        <w:p w:rsidR="009E5E50" w:rsidRPr="000A0484" w14:paraId="138990AC" w14:textId="55F93913">
          <w:pPr>
            <w:pStyle w:val="TOC1"/>
            <w:rPr>
              <w:rFonts w:ascii="Times New Roman" w:hAnsi="Times New Roman"/>
              <w:noProof/>
              <w:kern w:val="2"/>
              <w:sz w:val="24"/>
              <w14:ligatures w14:val="standardContextual"/>
            </w:rPr>
          </w:pPr>
          <w:hyperlink w:anchor="_Toc153373815" w:history="1">
            <w:r w:rsidRPr="000A0484">
              <w:rPr>
                <w:rStyle w:val="Hyperlink"/>
                <w:rFonts w:ascii="Times New Roman" w:hAnsi="Times New Roman"/>
                <w:noProof/>
                <w:sz w:val="24"/>
              </w:rPr>
              <w:t>11</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Proposed Modifications and Amplifications to Emergency Response Requirements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_Toc153373815 \h </w:instrText>
            </w:r>
            <w:r w:rsidRPr="000A0484">
              <w:rPr>
                <w:rFonts w:ascii="Times New Roman" w:hAnsi="Times New Roman"/>
                <w:noProof/>
                <w:webHidden/>
                <w:sz w:val="24"/>
              </w:rPr>
              <w:fldChar w:fldCharType="separate"/>
            </w:r>
            <w:r w:rsidR="00390792">
              <w:rPr>
                <w:rFonts w:ascii="Times New Roman" w:hAnsi="Times New Roman"/>
                <w:noProof/>
                <w:webHidden/>
                <w:sz w:val="24"/>
              </w:rPr>
              <w:t>224</w:t>
            </w:r>
            <w:r w:rsidRPr="000A0484">
              <w:rPr>
                <w:rFonts w:ascii="Times New Roman" w:hAnsi="Times New Roman"/>
                <w:noProof/>
                <w:webHidden/>
                <w:sz w:val="24"/>
              </w:rPr>
              <w:fldChar w:fldCharType="end"/>
            </w:r>
          </w:hyperlink>
        </w:p>
        <w:p w:rsidR="009E5E50" w:rsidRPr="000A0484" w:rsidP="00564A59" w14:paraId="1F7FCE88" w14:textId="71807A67">
          <w:pPr>
            <w:pStyle w:val="TOC2"/>
            <w:rPr>
              <w:noProof/>
              <w:kern w:val="2"/>
              <w14:ligatures w14:val="standardContextual"/>
            </w:rPr>
          </w:pPr>
          <w:hyperlink w:anchor="_Toc153373816" w:history="1">
            <w:r w:rsidRPr="000A0484">
              <w:rPr>
                <w:rStyle w:val="Hyperlink"/>
                <w:rFonts w:ascii="Times New Roman" w:hAnsi="Times New Roman"/>
                <w:noProof/>
                <w:sz w:val="24"/>
              </w:rPr>
              <w:t>11.1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_Toc153373816 \h </w:instrText>
            </w:r>
            <w:r w:rsidRPr="000A0484">
              <w:rPr>
                <w:noProof/>
                <w:webHidden/>
              </w:rPr>
              <w:fldChar w:fldCharType="separate"/>
            </w:r>
            <w:r w:rsidR="00390792">
              <w:rPr>
                <w:noProof/>
                <w:webHidden/>
              </w:rPr>
              <w:t>224</w:t>
            </w:r>
            <w:r w:rsidRPr="000A0484">
              <w:rPr>
                <w:noProof/>
                <w:webHidden/>
              </w:rPr>
              <w:fldChar w:fldCharType="end"/>
            </w:r>
          </w:hyperlink>
        </w:p>
        <w:p w:rsidR="009E5E50" w:rsidRPr="000A0484" w:rsidP="00564A59" w14:paraId="05230C27" w14:textId="72D3F9FD">
          <w:pPr>
            <w:pStyle w:val="TOC2"/>
            <w:rPr>
              <w:noProof/>
              <w:kern w:val="2"/>
              <w14:ligatures w14:val="standardContextual"/>
            </w:rPr>
          </w:pPr>
          <w:hyperlink w:anchor="_Toc153373817" w:history="1">
            <w:r w:rsidRPr="000A0484">
              <w:rPr>
                <w:rStyle w:val="Hyperlink"/>
                <w:rFonts w:ascii="Times New Roman" w:hAnsi="Times New Roman"/>
                <w:noProof/>
                <w:sz w:val="24"/>
              </w:rPr>
              <w:t>11.2</w:t>
            </w:r>
            <w:r w:rsidRPr="000A0484">
              <w:rPr>
                <w:noProof/>
                <w:kern w:val="2"/>
                <w14:ligatures w14:val="standardContextual"/>
              </w:rPr>
              <w:tab/>
            </w:r>
            <w:r w:rsidRPr="000A0484">
              <w:rPr>
                <w:rStyle w:val="Hyperlink"/>
                <w:rFonts w:ascii="Times New Roman" w:hAnsi="Times New Roman"/>
                <w:noProof/>
                <w:sz w:val="24"/>
              </w:rPr>
              <w:t xml:space="preserve">Community notification of RMP accidents and information for notifying the public </w:t>
            </w:r>
            <w:r w:rsidRPr="000A0484">
              <w:rPr>
                <w:noProof/>
                <w:webHidden/>
              </w:rPr>
              <w:tab/>
            </w:r>
            <w:r w:rsidRPr="000A0484">
              <w:rPr>
                <w:noProof/>
                <w:webHidden/>
              </w:rPr>
              <w:fldChar w:fldCharType="begin"/>
            </w:r>
            <w:r w:rsidRPr="000A0484">
              <w:rPr>
                <w:noProof/>
                <w:webHidden/>
              </w:rPr>
              <w:instrText xml:space="preserve"> PAGEREF _Toc153373817 \h </w:instrText>
            </w:r>
            <w:r w:rsidRPr="000A0484">
              <w:rPr>
                <w:noProof/>
                <w:webHidden/>
              </w:rPr>
              <w:fldChar w:fldCharType="separate"/>
            </w:r>
            <w:r w:rsidR="00390792">
              <w:rPr>
                <w:noProof/>
                <w:webHidden/>
              </w:rPr>
              <w:t>228</w:t>
            </w:r>
            <w:r w:rsidRPr="000A0484">
              <w:rPr>
                <w:noProof/>
                <w:webHidden/>
              </w:rPr>
              <w:fldChar w:fldCharType="end"/>
            </w:r>
          </w:hyperlink>
        </w:p>
        <w:p w:rsidR="009E5E50" w:rsidRPr="000A0484" w:rsidP="00564A59" w14:paraId="2C95F85B" w14:textId="2946E897">
          <w:pPr>
            <w:pStyle w:val="TOC2"/>
            <w:rPr>
              <w:noProof/>
              <w:kern w:val="2"/>
              <w14:ligatures w14:val="standardContextual"/>
            </w:rPr>
          </w:pPr>
          <w:hyperlink w:anchor="_Toc153373818" w:history="1">
            <w:r w:rsidRPr="000A0484">
              <w:rPr>
                <w:rStyle w:val="Hyperlink"/>
                <w:rFonts w:ascii="Times New Roman" w:hAnsi="Times New Roman"/>
                <w:noProof/>
                <w:sz w:val="24"/>
              </w:rPr>
              <w:t>11.3</w:t>
            </w:r>
            <w:r w:rsidRPr="000A0484">
              <w:rPr>
                <w:noProof/>
                <w:kern w:val="2"/>
                <w14:ligatures w14:val="standardContextual"/>
              </w:rPr>
              <w:tab/>
            </w:r>
            <w:r w:rsidRPr="000A0484">
              <w:rPr>
                <w:rStyle w:val="Hyperlink"/>
                <w:rFonts w:ascii="Times New Roman" w:hAnsi="Times New Roman"/>
                <w:noProof/>
                <w:sz w:val="24"/>
              </w:rPr>
              <w:t>Accessing emergency response plans</w:t>
            </w:r>
            <w:r w:rsidRPr="000A0484">
              <w:rPr>
                <w:noProof/>
                <w:webHidden/>
              </w:rPr>
              <w:tab/>
            </w:r>
            <w:r w:rsidRPr="000A0484">
              <w:rPr>
                <w:noProof/>
                <w:webHidden/>
              </w:rPr>
              <w:fldChar w:fldCharType="begin"/>
            </w:r>
            <w:r w:rsidRPr="000A0484">
              <w:rPr>
                <w:noProof/>
                <w:webHidden/>
              </w:rPr>
              <w:instrText xml:space="preserve"> PAGEREF _Toc153373818 \h </w:instrText>
            </w:r>
            <w:r w:rsidRPr="000A0484">
              <w:rPr>
                <w:noProof/>
                <w:webHidden/>
              </w:rPr>
              <w:fldChar w:fldCharType="separate"/>
            </w:r>
            <w:r w:rsidR="00390792">
              <w:rPr>
                <w:noProof/>
                <w:webHidden/>
              </w:rPr>
              <w:t>240</w:t>
            </w:r>
            <w:r w:rsidRPr="000A0484">
              <w:rPr>
                <w:noProof/>
                <w:webHidden/>
              </w:rPr>
              <w:fldChar w:fldCharType="end"/>
            </w:r>
          </w:hyperlink>
        </w:p>
        <w:p w:rsidR="009E5E50" w:rsidRPr="000A0484" w:rsidP="00564A59" w14:paraId="106579C7" w14:textId="2DD39836">
          <w:pPr>
            <w:pStyle w:val="TOC2"/>
            <w:rPr>
              <w:noProof/>
              <w:kern w:val="2"/>
              <w14:ligatures w14:val="standardContextual"/>
            </w:rPr>
          </w:pPr>
          <w:hyperlink w:anchor="_Toc153373819" w:history="1">
            <w:r w:rsidRPr="000A0484">
              <w:rPr>
                <w:rStyle w:val="Hyperlink"/>
                <w:rFonts w:ascii="Times New Roman" w:hAnsi="Times New Roman"/>
                <w:noProof/>
                <w:sz w:val="24"/>
              </w:rPr>
              <w:t>11.4</w:t>
            </w:r>
            <w:r w:rsidRPr="000A0484">
              <w:rPr>
                <w:noProof/>
                <w:kern w:val="2"/>
                <w14:ligatures w14:val="standardContextual"/>
              </w:rPr>
              <w:tab/>
            </w:r>
            <w:r w:rsidRPr="000A0484">
              <w:rPr>
                <w:rStyle w:val="Hyperlink"/>
                <w:rFonts w:ascii="Times New Roman" w:hAnsi="Times New Roman"/>
                <w:noProof/>
                <w:sz w:val="24"/>
              </w:rPr>
              <w:t>Community emergency response plan amplifications</w:t>
            </w:r>
            <w:r w:rsidRPr="000A0484">
              <w:rPr>
                <w:noProof/>
                <w:webHidden/>
              </w:rPr>
              <w:tab/>
            </w:r>
            <w:r w:rsidRPr="000A0484">
              <w:rPr>
                <w:noProof/>
                <w:webHidden/>
              </w:rPr>
              <w:fldChar w:fldCharType="begin"/>
            </w:r>
            <w:r w:rsidRPr="000A0484">
              <w:rPr>
                <w:noProof/>
                <w:webHidden/>
              </w:rPr>
              <w:instrText xml:space="preserve"> PAGEREF _Toc153373819 \h </w:instrText>
            </w:r>
            <w:r w:rsidRPr="000A0484">
              <w:rPr>
                <w:noProof/>
                <w:webHidden/>
              </w:rPr>
              <w:fldChar w:fldCharType="separate"/>
            </w:r>
            <w:r w:rsidR="00390792">
              <w:rPr>
                <w:noProof/>
                <w:webHidden/>
              </w:rPr>
              <w:t>241</w:t>
            </w:r>
            <w:r w:rsidRPr="000A0484">
              <w:rPr>
                <w:noProof/>
                <w:webHidden/>
              </w:rPr>
              <w:fldChar w:fldCharType="end"/>
            </w:r>
          </w:hyperlink>
        </w:p>
        <w:p w:rsidR="009E5E50" w:rsidRPr="000A0484" w14:paraId="1FFD7C0B" w14:textId="2C9899BE">
          <w:pPr>
            <w:pStyle w:val="TOC1"/>
            <w:rPr>
              <w:rFonts w:ascii="Times New Roman" w:hAnsi="Times New Roman"/>
              <w:noProof/>
              <w:kern w:val="2"/>
              <w:sz w:val="24"/>
              <w14:ligatures w14:val="standardContextual"/>
            </w:rPr>
          </w:pPr>
          <w:hyperlink w:anchor="_Toc153373820" w:history="1">
            <w:r w:rsidRPr="000A0484">
              <w:rPr>
                <w:rStyle w:val="Hyperlink"/>
                <w:rFonts w:ascii="Times New Roman" w:eastAsia="Times New Roman" w:hAnsi="Times New Roman"/>
                <w:noProof/>
                <w:sz w:val="24"/>
              </w:rPr>
              <w:t>12</w:t>
            </w:r>
            <w:r w:rsidRPr="000A0484">
              <w:rPr>
                <w:rFonts w:ascii="Times New Roman" w:hAnsi="Times New Roman"/>
                <w:noProof/>
                <w:kern w:val="2"/>
                <w:sz w:val="24"/>
                <w14:ligatures w14:val="standardContextual"/>
              </w:rPr>
              <w:tab/>
            </w:r>
            <w:r w:rsidRPr="000A0484">
              <w:rPr>
                <w:rStyle w:val="Hyperlink"/>
                <w:rFonts w:ascii="Times New Roman" w:eastAsia="Times New Roman" w:hAnsi="Times New Roman"/>
                <w:noProof/>
                <w:sz w:val="24"/>
              </w:rPr>
              <w:t>Emergency Response Exercises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_Toc153373820 \h </w:instrText>
            </w:r>
            <w:r w:rsidRPr="000A0484">
              <w:rPr>
                <w:rFonts w:ascii="Times New Roman" w:hAnsi="Times New Roman"/>
                <w:noProof/>
                <w:webHidden/>
                <w:sz w:val="24"/>
              </w:rPr>
              <w:fldChar w:fldCharType="separate"/>
            </w:r>
            <w:r w:rsidR="00390792">
              <w:rPr>
                <w:rFonts w:ascii="Times New Roman" w:hAnsi="Times New Roman"/>
                <w:noProof/>
                <w:webHidden/>
                <w:sz w:val="24"/>
              </w:rPr>
              <w:t>245</w:t>
            </w:r>
            <w:r w:rsidRPr="000A0484">
              <w:rPr>
                <w:rFonts w:ascii="Times New Roman" w:hAnsi="Times New Roman"/>
                <w:noProof/>
                <w:webHidden/>
                <w:sz w:val="24"/>
              </w:rPr>
              <w:fldChar w:fldCharType="end"/>
            </w:r>
          </w:hyperlink>
        </w:p>
        <w:p w:rsidR="009E5E50" w:rsidRPr="000A0484" w:rsidP="00564A59" w14:paraId="5A8C870A" w14:textId="576BAC5B">
          <w:pPr>
            <w:pStyle w:val="TOC2"/>
            <w:rPr>
              <w:noProof/>
              <w:kern w:val="2"/>
              <w14:ligatures w14:val="standardContextual"/>
            </w:rPr>
          </w:pPr>
          <w:hyperlink w:anchor="_Toc153373821" w:history="1">
            <w:r w:rsidRPr="000A0484">
              <w:rPr>
                <w:rStyle w:val="Hyperlink"/>
                <w:rFonts w:ascii="Times New Roman" w:eastAsia="Times New Roman" w:hAnsi="Times New Roman"/>
                <w:noProof/>
                <w:sz w:val="24"/>
              </w:rPr>
              <w:t>12.1</w:t>
            </w:r>
            <w:r w:rsidRPr="000A0484">
              <w:rPr>
                <w:noProof/>
                <w:kern w:val="2"/>
                <w14:ligatures w14:val="standardContextual"/>
              </w:rPr>
              <w:tab/>
            </w:r>
            <w:r w:rsidRPr="000A0484">
              <w:rPr>
                <w:rStyle w:val="Hyperlink"/>
                <w:rFonts w:ascii="Times New Roman" w:eastAsia="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_Toc153373821 \h </w:instrText>
            </w:r>
            <w:r w:rsidRPr="000A0484">
              <w:rPr>
                <w:noProof/>
                <w:webHidden/>
              </w:rPr>
              <w:fldChar w:fldCharType="separate"/>
            </w:r>
            <w:r w:rsidR="00390792">
              <w:rPr>
                <w:noProof/>
                <w:webHidden/>
              </w:rPr>
              <w:t>245</w:t>
            </w:r>
            <w:r w:rsidRPr="000A0484">
              <w:rPr>
                <w:noProof/>
                <w:webHidden/>
              </w:rPr>
              <w:fldChar w:fldCharType="end"/>
            </w:r>
          </w:hyperlink>
        </w:p>
        <w:p w:rsidR="009E5E50" w:rsidRPr="000A0484" w:rsidP="00564A59" w14:paraId="5C256AB1" w14:textId="19AD7A4F">
          <w:pPr>
            <w:pStyle w:val="TOC2"/>
            <w:rPr>
              <w:noProof/>
              <w:kern w:val="2"/>
              <w14:ligatures w14:val="standardContextual"/>
            </w:rPr>
          </w:pPr>
          <w:hyperlink w:anchor="_Toc153373822" w:history="1">
            <w:r w:rsidRPr="000A0484">
              <w:rPr>
                <w:rStyle w:val="Hyperlink"/>
                <w:rFonts w:ascii="Times New Roman" w:eastAsia="Times New Roman" w:hAnsi="Times New Roman"/>
                <w:noProof/>
                <w:sz w:val="24"/>
              </w:rPr>
              <w:t>12.2</w:t>
            </w:r>
            <w:r w:rsidRPr="000A0484">
              <w:rPr>
                <w:noProof/>
                <w:kern w:val="2"/>
                <w14:ligatures w14:val="standardContextual"/>
              </w:rPr>
              <w:tab/>
            </w:r>
            <w:r w:rsidRPr="000A0484">
              <w:rPr>
                <w:rStyle w:val="Hyperlink"/>
                <w:rFonts w:ascii="Times New Roman" w:eastAsia="Times New Roman" w:hAnsi="Times New Roman"/>
                <w:noProof/>
                <w:sz w:val="24"/>
              </w:rPr>
              <w:t>Field exercise frequency</w:t>
            </w:r>
            <w:r w:rsidRPr="000A0484">
              <w:rPr>
                <w:noProof/>
                <w:webHidden/>
              </w:rPr>
              <w:tab/>
            </w:r>
            <w:r w:rsidRPr="000A0484">
              <w:rPr>
                <w:noProof/>
                <w:webHidden/>
              </w:rPr>
              <w:fldChar w:fldCharType="begin"/>
            </w:r>
            <w:r w:rsidRPr="000A0484">
              <w:rPr>
                <w:noProof/>
                <w:webHidden/>
              </w:rPr>
              <w:instrText xml:space="preserve"> PAGEREF _Toc153373822 \h </w:instrText>
            </w:r>
            <w:r w:rsidRPr="000A0484">
              <w:rPr>
                <w:noProof/>
                <w:webHidden/>
              </w:rPr>
              <w:fldChar w:fldCharType="separate"/>
            </w:r>
            <w:r w:rsidR="00390792">
              <w:rPr>
                <w:noProof/>
                <w:webHidden/>
              </w:rPr>
              <w:t>249</w:t>
            </w:r>
            <w:r w:rsidRPr="000A0484">
              <w:rPr>
                <w:noProof/>
                <w:webHidden/>
              </w:rPr>
              <w:fldChar w:fldCharType="end"/>
            </w:r>
          </w:hyperlink>
        </w:p>
        <w:p w:rsidR="009E5E50" w:rsidRPr="000A0484" w:rsidP="00564A59" w14:paraId="227ADCE6" w14:textId="3854A381">
          <w:pPr>
            <w:pStyle w:val="TOC2"/>
            <w:rPr>
              <w:noProof/>
              <w:kern w:val="2"/>
              <w14:ligatures w14:val="standardContextual"/>
            </w:rPr>
          </w:pPr>
          <w:hyperlink w:anchor="_Toc153373823" w:history="1">
            <w:r w:rsidRPr="000A0484">
              <w:rPr>
                <w:rStyle w:val="Hyperlink"/>
                <w:rFonts w:ascii="Times New Roman" w:eastAsia="Times New Roman" w:hAnsi="Times New Roman"/>
                <w:noProof/>
                <w:sz w:val="24"/>
              </w:rPr>
              <w:t>12.3</w:t>
            </w:r>
            <w:r w:rsidRPr="000A0484">
              <w:rPr>
                <w:noProof/>
                <w:kern w:val="2"/>
                <w14:ligatures w14:val="standardContextual"/>
              </w:rPr>
              <w:tab/>
            </w:r>
            <w:r w:rsidRPr="000A0484">
              <w:rPr>
                <w:rStyle w:val="Hyperlink"/>
                <w:rFonts w:ascii="Times New Roman" w:eastAsia="Times New Roman" w:hAnsi="Times New Roman"/>
                <w:noProof/>
                <w:sz w:val="24"/>
              </w:rPr>
              <w:t>Exercise evaluation reports</w:t>
            </w:r>
            <w:r w:rsidRPr="000A0484">
              <w:rPr>
                <w:noProof/>
                <w:webHidden/>
              </w:rPr>
              <w:tab/>
            </w:r>
            <w:r w:rsidRPr="000A0484">
              <w:rPr>
                <w:noProof/>
                <w:webHidden/>
              </w:rPr>
              <w:fldChar w:fldCharType="begin"/>
            </w:r>
            <w:r w:rsidRPr="000A0484">
              <w:rPr>
                <w:noProof/>
                <w:webHidden/>
              </w:rPr>
              <w:instrText xml:space="preserve"> PAGEREF _Toc153373823 \h </w:instrText>
            </w:r>
            <w:r w:rsidRPr="000A0484">
              <w:rPr>
                <w:noProof/>
                <w:webHidden/>
              </w:rPr>
              <w:fldChar w:fldCharType="separate"/>
            </w:r>
            <w:r w:rsidR="00390792">
              <w:rPr>
                <w:noProof/>
                <w:webHidden/>
              </w:rPr>
              <w:t>252</w:t>
            </w:r>
            <w:r w:rsidRPr="000A0484">
              <w:rPr>
                <w:noProof/>
                <w:webHidden/>
              </w:rPr>
              <w:fldChar w:fldCharType="end"/>
            </w:r>
          </w:hyperlink>
        </w:p>
        <w:p w:rsidR="009E5E50" w:rsidRPr="000A0484" w14:paraId="5E7919CD" w14:textId="1C35E505">
          <w:pPr>
            <w:pStyle w:val="TOC1"/>
            <w:rPr>
              <w:rFonts w:ascii="Times New Roman" w:hAnsi="Times New Roman"/>
              <w:noProof/>
              <w:kern w:val="2"/>
              <w:sz w:val="24"/>
              <w14:ligatures w14:val="standardContextual"/>
            </w:rPr>
          </w:pPr>
          <w:hyperlink w:anchor="_Toc153373824" w:history="1">
            <w:r w:rsidRPr="000A0484">
              <w:rPr>
                <w:rStyle w:val="Hyperlink"/>
                <w:rFonts w:ascii="Times New Roman" w:hAnsi="Times New Roman"/>
                <w:noProof/>
                <w:sz w:val="24"/>
              </w:rPr>
              <w:t>13</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Information Availability</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_Toc153373824 \h </w:instrText>
            </w:r>
            <w:r w:rsidRPr="000A0484">
              <w:rPr>
                <w:rFonts w:ascii="Times New Roman" w:hAnsi="Times New Roman"/>
                <w:noProof/>
                <w:webHidden/>
                <w:sz w:val="24"/>
              </w:rPr>
              <w:fldChar w:fldCharType="separate"/>
            </w:r>
            <w:r w:rsidR="00390792">
              <w:rPr>
                <w:rFonts w:ascii="Times New Roman" w:hAnsi="Times New Roman"/>
                <w:noProof/>
                <w:webHidden/>
                <w:sz w:val="24"/>
              </w:rPr>
              <w:t>254</w:t>
            </w:r>
            <w:r w:rsidRPr="000A0484">
              <w:rPr>
                <w:rFonts w:ascii="Times New Roman" w:hAnsi="Times New Roman"/>
                <w:noProof/>
                <w:webHidden/>
                <w:sz w:val="24"/>
              </w:rPr>
              <w:fldChar w:fldCharType="end"/>
            </w:r>
          </w:hyperlink>
        </w:p>
        <w:p w:rsidR="009E5E50" w:rsidRPr="000A0484" w:rsidP="00564A59" w14:paraId="66DFBACA" w14:textId="4E51D88D">
          <w:pPr>
            <w:pStyle w:val="TOC2"/>
            <w:rPr>
              <w:noProof/>
              <w:kern w:val="2"/>
              <w14:ligatures w14:val="standardContextual"/>
            </w:rPr>
          </w:pPr>
          <w:hyperlink w:anchor="_Toc153373825" w:history="1">
            <w:r w:rsidRPr="000A0484">
              <w:rPr>
                <w:rStyle w:val="Hyperlink"/>
                <w:rFonts w:ascii="Times New Roman" w:hAnsi="Times New Roman"/>
                <w:noProof/>
                <w:sz w:val="24"/>
              </w:rPr>
              <w:t>13.1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_Toc153373825 \h </w:instrText>
            </w:r>
            <w:r w:rsidRPr="000A0484">
              <w:rPr>
                <w:noProof/>
                <w:webHidden/>
              </w:rPr>
              <w:fldChar w:fldCharType="separate"/>
            </w:r>
            <w:r w:rsidR="00390792">
              <w:rPr>
                <w:noProof/>
                <w:webHidden/>
              </w:rPr>
              <w:t>254</w:t>
            </w:r>
            <w:r w:rsidRPr="000A0484">
              <w:rPr>
                <w:noProof/>
                <w:webHidden/>
              </w:rPr>
              <w:fldChar w:fldCharType="end"/>
            </w:r>
          </w:hyperlink>
        </w:p>
        <w:p w:rsidR="009E5E50" w:rsidRPr="000A0484" w:rsidP="00564A59" w14:paraId="300DD81C" w14:textId="253C966B">
          <w:pPr>
            <w:pStyle w:val="TOC2"/>
            <w:rPr>
              <w:noProof/>
              <w:kern w:val="2"/>
              <w14:ligatures w14:val="standardContextual"/>
            </w:rPr>
          </w:pPr>
          <w:hyperlink w:anchor="_Toc153373826" w:history="1">
            <w:r w:rsidRPr="000A0484">
              <w:rPr>
                <w:rStyle w:val="Hyperlink"/>
                <w:rFonts w:ascii="Times New Roman" w:hAnsi="Times New Roman"/>
                <w:noProof/>
                <w:sz w:val="24"/>
              </w:rPr>
              <w:t>13.2</w:t>
            </w:r>
            <w:r w:rsidRPr="000A0484">
              <w:rPr>
                <w:noProof/>
                <w:kern w:val="2"/>
                <w14:ligatures w14:val="standardContextual"/>
              </w:rPr>
              <w:tab/>
            </w:r>
            <w:r w:rsidRPr="000A0484">
              <w:rPr>
                <w:rStyle w:val="Hyperlink"/>
                <w:rFonts w:ascii="Times New Roman" w:hAnsi="Times New Roman"/>
                <w:noProof/>
                <w:sz w:val="24"/>
              </w:rPr>
              <w:t>6-mile radius</w:t>
            </w:r>
            <w:r w:rsidRPr="000A0484">
              <w:rPr>
                <w:noProof/>
                <w:webHidden/>
              </w:rPr>
              <w:tab/>
            </w:r>
            <w:r w:rsidRPr="000A0484">
              <w:rPr>
                <w:noProof/>
                <w:webHidden/>
              </w:rPr>
              <w:fldChar w:fldCharType="begin"/>
            </w:r>
            <w:r w:rsidRPr="000A0484">
              <w:rPr>
                <w:noProof/>
                <w:webHidden/>
              </w:rPr>
              <w:instrText xml:space="preserve"> PAGEREF _Toc153373826 \h </w:instrText>
            </w:r>
            <w:r w:rsidRPr="000A0484">
              <w:rPr>
                <w:noProof/>
                <w:webHidden/>
              </w:rPr>
              <w:fldChar w:fldCharType="separate"/>
            </w:r>
            <w:r w:rsidR="00390792">
              <w:rPr>
                <w:noProof/>
                <w:webHidden/>
              </w:rPr>
              <w:t>262</w:t>
            </w:r>
            <w:r w:rsidRPr="000A0484">
              <w:rPr>
                <w:noProof/>
                <w:webHidden/>
              </w:rPr>
              <w:fldChar w:fldCharType="end"/>
            </w:r>
          </w:hyperlink>
        </w:p>
        <w:p w:rsidR="009E5E50" w:rsidRPr="000A0484" w:rsidP="00564A59" w14:paraId="1E288643" w14:textId="48E6F78F">
          <w:pPr>
            <w:pStyle w:val="TOC2"/>
            <w:rPr>
              <w:noProof/>
              <w:kern w:val="2"/>
              <w14:ligatures w14:val="standardContextual"/>
            </w:rPr>
          </w:pPr>
          <w:hyperlink w:anchor="_Toc153373827" w:history="1">
            <w:r w:rsidRPr="000A0484">
              <w:rPr>
                <w:rStyle w:val="Hyperlink"/>
                <w:rFonts w:ascii="Times New Roman" w:hAnsi="Times New Roman"/>
                <w:noProof/>
                <w:sz w:val="24"/>
              </w:rPr>
              <w:t>13.3</w:t>
            </w:r>
            <w:r w:rsidRPr="000A0484">
              <w:rPr>
                <w:noProof/>
                <w:kern w:val="2"/>
                <w14:ligatures w14:val="standardContextual"/>
              </w:rPr>
              <w:tab/>
            </w:r>
            <w:r w:rsidRPr="000A0484">
              <w:rPr>
                <w:rStyle w:val="Hyperlink"/>
                <w:rFonts w:ascii="Times New Roman" w:hAnsi="Times New Roman"/>
                <w:noProof/>
                <w:sz w:val="24"/>
              </w:rPr>
              <w:t>Data elements to be released to public</w:t>
            </w:r>
            <w:r w:rsidRPr="000A0484">
              <w:rPr>
                <w:noProof/>
                <w:webHidden/>
              </w:rPr>
              <w:tab/>
            </w:r>
            <w:r w:rsidRPr="000A0484">
              <w:rPr>
                <w:noProof/>
                <w:webHidden/>
              </w:rPr>
              <w:fldChar w:fldCharType="begin"/>
            </w:r>
            <w:r w:rsidRPr="000A0484">
              <w:rPr>
                <w:noProof/>
                <w:webHidden/>
              </w:rPr>
              <w:instrText xml:space="preserve"> PAGEREF _Toc153373827 \h </w:instrText>
            </w:r>
            <w:r w:rsidRPr="000A0484">
              <w:rPr>
                <w:noProof/>
                <w:webHidden/>
              </w:rPr>
              <w:fldChar w:fldCharType="separate"/>
            </w:r>
            <w:r w:rsidR="00390792">
              <w:rPr>
                <w:noProof/>
                <w:webHidden/>
              </w:rPr>
              <w:t>266</w:t>
            </w:r>
            <w:r w:rsidRPr="000A0484">
              <w:rPr>
                <w:noProof/>
                <w:webHidden/>
              </w:rPr>
              <w:fldChar w:fldCharType="end"/>
            </w:r>
          </w:hyperlink>
        </w:p>
        <w:p w:rsidR="009E5E50" w:rsidRPr="000A0484" w:rsidP="00564A59" w14:paraId="13B374E3" w14:textId="037B778F">
          <w:pPr>
            <w:pStyle w:val="TOC2"/>
            <w:rPr>
              <w:noProof/>
              <w:kern w:val="2"/>
              <w14:ligatures w14:val="standardContextual"/>
            </w:rPr>
          </w:pPr>
          <w:hyperlink w:anchor="_Toc153373828" w:history="1">
            <w:r w:rsidRPr="000A0484">
              <w:rPr>
                <w:rStyle w:val="Hyperlink"/>
                <w:rFonts w:ascii="Times New Roman" w:hAnsi="Times New Roman"/>
                <w:noProof/>
                <w:sz w:val="24"/>
              </w:rPr>
              <w:t>13.4</w:t>
            </w:r>
            <w:r w:rsidRPr="000A0484">
              <w:rPr>
                <w:noProof/>
                <w:kern w:val="2"/>
                <w14:ligatures w14:val="standardContextual"/>
              </w:rPr>
              <w:tab/>
            </w:r>
            <w:r w:rsidRPr="000A0484">
              <w:rPr>
                <w:rStyle w:val="Hyperlink"/>
                <w:rFonts w:ascii="Times New Roman" w:hAnsi="Times New Roman"/>
                <w:noProof/>
                <w:sz w:val="24"/>
              </w:rPr>
              <w:t>Security concerns</w:t>
            </w:r>
            <w:r w:rsidRPr="000A0484">
              <w:rPr>
                <w:noProof/>
                <w:webHidden/>
              </w:rPr>
              <w:tab/>
            </w:r>
            <w:r w:rsidRPr="000A0484">
              <w:rPr>
                <w:noProof/>
                <w:webHidden/>
              </w:rPr>
              <w:fldChar w:fldCharType="begin"/>
            </w:r>
            <w:r w:rsidRPr="000A0484">
              <w:rPr>
                <w:noProof/>
                <w:webHidden/>
              </w:rPr>
              <w:instrText xml:space="preserve"> PAGEREF _Toc153373828 \h </w:instrText>
            </w:r>
            <w:r w:rsidRPr="000A0484">
              <w:rPr>
                <w:noProof/>
                <w:webHidden/>
              </w:rPr>
              <w:fldChar w:fldCharType="separate"/>
            </w:r>
            <w:r w:rsidR="00390792">
              <w:rPr>
                <w:noProof/>
                <w:webHidden/>
              </w:rPr>
              <w:t>270</w:t>
            </w:r>
            <w:r w:rsidRPr="000A0484">
              <w:rPr>
                <w:noProof/>
                <w:webHidden/>
              </w:rPr>
              <w:fldChar w:fldCharType="end"/>
            </w:r>
          </w:hyperlink>
        </w:p>
        <w:p w:rsidR="009E5E50" w:rsidRPr="000A0484" w14:paraId="6697D2F2" w14:textId="64A0B698">
          <w:pPr>
            <w:pStyle w:val="TOC1"/>
            <w:rPr>
              <w:rFonts w:ascii="Times New Roman" w:hAnsi="Times New Roman"/>
              <w:noProof/>
              <w:kern w:val="2"/>
              <w:sz w:val="24"/>
              <w14:ligatures w14:val="standardContextual"/>
            </w:rPr>
          </w:pPr>
          <w:hyperlink w:anchor="_Toc153373829" w:history="1">
            <w:r w:rsidRPr="000A0484">
              <w:rPr>
                <w:rStyle w:val="Hyperlink"/>
                <w:rFonts w:ascii="Times New Roman" w:hAnsi="Times New Roman"/>
                <w:noProof/>
                <w:sz w:val="24"/>
              </w:rPr>
              <w:t>14</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 xml:space="preserve">Other Areas of Technical Clarification </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_Toc153373829 \h </w:instrText>
            </w:r>
            <w:r w:rsidRPr="000A0484">
              <w:rPr>
                <w:rFonts w:ascii="Times New Roman" w:hAnsi="Times New Roman"/>
                <w:noProof/>
                <w:webHidden/>
                <w:sz w:val="24"/>
              </w:rPr>
              <w:fldChar w:fldCharType="separate"/>
            </w:r>
            <w:r w:rsidR="00390792">
              <w:rPr>
                <w:rFonts w:ascii="Times New Roman" w:hAnsi="Times New Roman"/>
                <w:noProof/>
                <w:webHidden/>
                <w:sz w:val="24"/>
              </w:rPr>
              <w:t>281</w:t>
            </w:r>
            <w:r w:rsidRPr="000A0484">
              <w:rPr>
                <w:rFonts w:ascii="Times New Roman" w:hAnsi="Times New Roman"/>
                <w:noProof/>
                <w:webHidden/>
                <w:sz w:val="24"/>
              </w:rPr>
              <w:fldChar w:fldCharType="end"/>
            </w:r>
          </w:hyperlink>
        </w:p>
        <w:p w:rsidR="009E5E50" w:rsidRPr="000A0484" w:rsidP="00564A59" w14:paraId="69848DBD" w14:textId="0D139B81">
          <w:pPr>
            <w:pStyle w:val="TOC2"/>
            <w:rPr>
              <w:noProof/>
              <w:kern w:val="2"/>
              <w14:ligatures w14:val="standardContextual"/>
            </w:rPr>
          </w:pPr>
          <w:hyperlink w:anchor="_Toc153373830" w:history="1">
            <w:r w:rsidRPr="000A0484">
              <w:rPr>
                <w:rStyle w:val="Hyperlink"/>
                <w:rFonts w:ascii="Times New Roman" w:hAnsi="Times New Roman"/>
                <w:noProof/>
                <w:sz w:val="24"/>
              </w:rPr>
              <w:t>14.1</w:t>
            </w:r>
            <w:r w:rsidRPr="000A0484">
              <w:rPr>
                <w:noProof/>
                <w:kern w:val="2"/>
                <w14:ligatures w14:val="standardContextual"/>
              </w:rPr>
              <w:tab/>
            </w:r>
            <w:r w:rsidRPr="000A0484">
              <w:rPr>
                <w:rStyle w:val="Hyperlink"/>
                <w:rFonts w:ascii="Times New Roman" w:hAnsi="Times New Roman"/>
                <w:noProof/>
                <w:sz w:val="24"/>
              </w:rPr>
              <w:t>Proposed approach</w:t>
            </w:r>
            <w:r w:rsidRPr="000A0484">
              <w:rPr>
                <w:noProof/>
                <w:webHidden/>
              </w:rPr>
              <w:tab/>
            </w:r>
            <w:r w:rsidRPr="000A0484">
              <w:rPr>
                <w:noProof/>
                <w:webHidden/>
              </w:rPr>
              <w:fldChar w:fldCharType="begin"/>
            </w:r>
            <w:r w:rsidRPr="000A0484">
              <w:rPr>
                <w:noProof/>
                <w:webHidden/>
              </w:rPr>
              <w:instrText xml:space="preserve"> PAGEREF _Toc153373830 \h </w:instrText>
            </w:r>
            <w:r w:rsidRPr="000A0484">
              <w:rPr>
                <w:noProof/>
                <w:webHidden/>
              </w:rPr>
              <w:fldChar w:fldCharType="separate"/>
            </w:r>
            <w:r w:rsidR="00390792">
              <w:rPr>
                <w:noProof/>
                <w:webHidden/>
              </w:rPr>
              <w:t>281</w:t>
            </w:r>
            <w:r w:rsidRPr="000A0484">
              <w:rPr>
                <w:noProof/>
                <w:webHidden/>
              </w:rPr>
              <w:fldChar w:fldCharType="end"/>
            </w:r>
          </w:hyperlink>
        </w:p>
        <w:p w:rsidR="009E5E50" w:rsidRPr="000A0484" w:rsidP="00564A59" w14:paraId="1D3E8738" w14:textId="2B2B15B8">
          <w:pPr>
            <w:pStyle w:val="TOC2"/>
            <w:rPr>
              <w:noProof/>
              <w:kern w:val="2"/>
              <w14:ligatures w14:val="standardContextual"/>
            </w:rPr>
          </w:pPr>
          <w:hyperlink w:anchor="_Toc153373831" w:history="1">
            <w:r w:rsidRPr="000A0484">
              <w:rPr>
                <w:rStyle w:val="Hyperlink"/>
                <w:rFonts w:ascii="Times New Roman" w:hAnsi="Times New Roman"/>
                <w:noProof/>
                <w:sz w:val="24"/>
              </w:rPr>
              <w:t>14.2</w:t>
            </w:r>
            <w:r w:rsidRPr="000A0484">
              <w:rPr>
                <w:noProof/>
                <w:kern w:val="2"/>
                <w14:ligatures w14:val="standardContextual"/>
              </w:rPr>
              <w:tab/>
            </w:r>
            <w:r w:rsidRPr="000A0484">
              <w:rPr>
                <w:rStyle w:val="Hyperlink"/>
                <w:rFonts w:ascii="Times New Roman" w:hAnsi="Times New Roman"/>
                <w:noProof/>
                <w:sz w:val="24"/>
              </w:rPr>
              <w:t>Process safety information</w:t>
            </w:r>
            <w:r w:rsidRPr="000A0484">
              <w:rPr>
                <w:noProof/>
                <w:webHidden/>
              </w:rPr>
              <w:tab/>
            </w:r>
            <w:r w:rsidRPr="000A0484">
              <w:rPr>
                <w:noProof/>
                <w:webHidden/>
              </w:rPr>
              <w:fldChar w:fldCharType="begin"/>
            </w:r>
            <w:r w:rsidRPr="000A0484">
              <w:rPr>
                <w:noProof/>
                <w:webHidden/>
              </w:rPr>
              <w:instrText xml:space="preserve"> PAGEREF _Toc153373831 \h </w:instrText>
            </w:r>
            <w:r w:rsidRPr="000A0484">
              <w:rPr>
                <w:noProof/>
                <w:webHidden/>
              </w:rPr>
              <w:fldChar w:fldCharType="separate"/>
            </w:r>
            <w:r w:rsidR="00390792">
              <w:rPr>
                <w:noProof/>
                <w:webHidden/>
              </w:rPr>
              <w:t>282</w:t>
            </w:r>
            <w:r w:rsidRPr="000A0484">
              <w:rPr>
                <w:noProof/>
                <w:webHidden/>
              </w:rPr>
              <w:fldChar w:fldCharType="end"/>
            </w:r>
          </w:hyperlink>
        </w:p>
        <w:p w:rsidR="009E5E50" w:rsidRPr="000A0484" w:rsidP="00564A59" w14:paraId="02D636FB" w14:textId="65777F51">
          <w:pPr>
            <w:pStyle w:val="TOC2"/>
            <w:rPr>
              <w:noProof/>
              <w:kern w:val="2"/>
              <w14:ligatures w14:val="standardContextual"/>
            </w:rPr>
          </w:pPr>
          <w:hyperlink w:anchor="_Toc153373832" w:history="1">
            <w:r w:rsidRPr="000A0484">
              <w:rPr>
                <w:rStyle w:val="Hyperlink"/>
                <w:rFonts w:ascii="Times New Roman" w:hAnsi="Times New Roman"/>
                <w:noProof/>
                <w:sz w:val="24"/>
              </w:rPr>
              <w:t>14.3</w:t>
            </w:r>
            <w:r w:rsidRPr="000A0484">
              <w:rPr>
                <w:noProof/>
                <w:kern w:val="2"/>
                <w14:ligatures w14:val="standardContextual"/>
              </w:rPr>
              <w:tab/>
            </w:r>
            <w:r w:rsidRPr="000A0484">
              <w:rPr>
                <w:rStyle w:val="Hyperlink"/>
                <w:rFonts w:ascii="Times New Roman" w:hAnsi="Times New Roman"/>
                <w:noProof/>
                <w:sz w:val="24"/>
              </w:rPr>
              <w:t>Program 2 and 3 requirements for compliance with RAGAGEP</w:t>
            </w:r>
            <w:r w:rsidRPr="000A0484">
              <w:rPr>
                <w:noProof/>
                <w:webHidden/>
              </w:rPr>
              <w:tab/>
            </w:r>
            <w:r w:rsidRPr="000A0484">
              <w:rPr>
                <w:noProof/>
                <w:webHidden/>
              </w:rPr>
              <w:fldChar w:fldCharType="begin"/>
            </w:r>
            <w:r w:rsidRPr="000A0484">
              <w:rPr>
                <w:noProof/>
                <w:webHidden/>
              </w:rPr>
              <w:instrText xml:space="preserve"> PAGEREF _Toc153373832 \h </w:instrText>
            </w:r>
            <w:r w:rsidRPr="000A0484">
              <w:rPr>
                <w:noProof/>
                <w:webHidden/>
              </w:rPr>
              <w:fldChar w:fldCharType="separate"/>
            </w:r>
            <w:r w:rsidR="00390792">
              <w:rPr>
                <w:noProof/>
                <w:webHidden/>
              </w:rPr>
              <w:t>283</w:t>
            </w:r>
            <w:r w:rsidRPr="000A0484">
              <w:rPr>
                <w:noProof/>
                <w:webHidden/>
              </w:rPr>
              <w:fldChar w:fldCharType="end"/>
            </w:r>
          </w:hyperlink>
        </w:p>
        <w:p w:rsidR="009E5E50" w:rsidRPr="000A0484" w:rsidP="00564A59" w14:paraId="6F07E12B" w14:textId="474F9EFE">
          <w:pPr>
            <w:pStyle w:val="TOC2"/>
            <w:rPr>
              <w:noProof/>
              <w:kern w:val="2"/>
              <w14:ligatures w14:val="standardContextual"/>
            </w:rPr>
          </w:pPr>
          <w:hyperlink w:anchor="_Toc153373833" w:history="1">
            <w:r w:rsidRPr="000A0484">
              <w:rPr>
                <w:rStyle w:val="Hyperlink"/>
                <w:rFonts w:ascii="Times New Roman" w:hAnsi="Times New Roman"/>
                <w:noProof/>
                <w:sz w:val="24"/>
              </w:rPr>
              <w:t>14.4</w:t>
            </w:r>
            <w:r w:rsidRPr="000A0484">
              <w:rPr>
                <w:noProof/>
                <w:kern w:val="2"/>
                <w14:ligatures w14:val="standardContextual"/>
              </w:rPr>
              <w:tab/>
            </w:r>
            <w:r w:rsidRPr="000A0484">
              <w:rPr>
                <w:rStyle w:val="Hyperlink"/>
                <w:rFonts w:ascii="Times New Roman" w:hAnsi="Times New Roman"/>
                <w:noProof/>
                <w:sz w:val="24"/>
              </w:rPr>
              <w:t>Retention of hot work permits</w:t>
            </w:r>
            <w:r w:rsidRPr="000A0484">
              <w:rPr>
                <w:noProof/>
                <w:webHidden/>
              </w:rPr>
              <w:tab/>
            </w:r>
            <w:r w:rsidRPr="000A0484">
              <w:rPr>
                <w:noProof/>
                <w:webHidden/>
              </w:rPr>
              <w:fldChar w:fldCharType="begin"/>
            </w:r>
            <w:r w:rsidRPr="000A0484">
              <w:rPr>
                <w:noProof/>
                <w:webHidden/>
              </w:rPr>
              <w:instrText xml:space="preserve"> PAGEREF _Toc153373833 \h </w:instrText>
            </w:r>
            <w:r w:rsidRPr="000A0484">
              <w:rPr>
                <w:noProof/>
                <w:webHidden/>
              </w:rPr>
              <w:fldChar w:fldCharType="separate"/>
            </w:r>
            <w:r w:rsidR="00390792">
              <w:rPr>
                <w:noProof/>
                <w:webHidden/>
              </w:rPr>
              <w:t>285</w:t>
            </w:r>
            <w:r w:rsidRPr="000A0484">
              <w:rPr>
                <w:noProof/>
                <w:webHidden/>
              </w:rPr>
              <w:fldChar w:fldCharType="end"/>
            </w:r>
          </w:hyperlink>
        </w:p>
        <w:p w:rsidR="009E5E50" w:rsidRPr="000A0484" w:rsidP="00564A59" w14:paraId="1C56325A" w14:textId="5BBD4A10">
          <w:pPr>
            <w:pStyle w:val="TOC2"/>
            <w:rPr>
              <w:noProof/>
              <w:kern w:val="2"/>
              <w14:ligatures w14:val="standardContextual"/>
            </w:rPr>
          </w:pPr>
          <w:hyperlink w:anchor="_Toc153373834" w:history="1">
            <w:r w:rsidRPr="000A0484">
              <w:rPr>
                <w:rStyle w:val="Hyperlink"/>
                <w:rFonts w:ascii="Times New Roman" w:hAnsi="Times New Roman"/>
                <w:noProof/>
                <w:sz w:val="24"/>
              </w:rPr>
              <w:t>14.5</w:t>
            </w:r>
            <w:r w:rsidRPr="000A0484">
              <w:rPr>
                <w:noProof/>
                <w:kern w:val="2"/>
                <w14:ligatures w14:val="standardContextual"/>
              </w:rPr>
              <w:tab/>
            </w:r>
            <w:r w:rsidRPr="000A0484">
              <w:rPr>
                <w:rStyle w:val="Hyperlink"/>
                <w:rFonts w:ascii="Times New Roman" w:hAnsi="Times New Roman"/>
                <w:noProof/>
                <w:sz w:val="24"/>
              </w:rPr>
              <w:t>“Storage incident to transportation” definition</w:t>
            </w:r>
            <w:r w:rsidRPr="000A0484">
              <w:rPr>
                <w:noProof/>
                <w:webHidden/>
              </w:rPr>
              <w:tab/>
            </w:r>
            <w:r w:rsidRPr="000A0484">
              <w:rPr>
                <w:noProof/>
                <w:webHidden/>
              </w:rPr>
              <w:fldChar w:fldCharType="begin"/>
            </w:r>
            <w:r w:rsidRPr="000A0484">
              <w:rPr>
                <w:noProof/>
                <w:webHidden/>
              </w:rPr>
              <w:instrText xml:space="preserve"> PAGEREF _Toc153373834 \h </w:instrText>
            </w:r>
            <w:r w:rsidRPr="000A0484">
              <w:rPr>
                <w:noProof/>
                <w:webHidden/>
              </w:rPr>
              <w:fldChar w:fldCharType="separate"/>
            </w:r>
            <w:r w:rsidR="00390792">
              <w:rPr>
                <w:noProof/>
                <w:webHidden/>
              </w:rPr>
              <w:t>287</w:t>
            </w:r>
            <w:r w:rsidRPr="000A0484">
              <w:rPr>
                <w:noProof/>
                <w:webHidden/>
              </w:rPr>
              <w:fldChar w:fldCharType="end"/>
            </w:r>
          </w:hyperlink>
        </w:p>
        <w:p w:rsidR="009E5E50" w:rsidRPr="000A0484" w:rsidP="00564A59" w14:paraId="31D65753" w14:textId="1DDBA67B">
          <w:pPr>
            <w:pStyle w:val="TOC2"/>
            <w:rPr>
              <w:noProof/>
              <w:kern w:val="2"/>
              <w14:ligatures w14:val="standardContextual"/>
            </w:rPr>
          </w:pPr>
          <w:hyperlink w:anchor="_Toc153373835" w:history="1">
            <w:r w:rsidRPr="000A0484">
              <w:rPr>
                <w:rStyle w:val="Hyperlink"/>
                <w:rFonts w:ascii="Times New Roman" w:hAnsi="Times New Roman"/>
                <w:noProof/>
                <w:sz w:val="24"/>
              </w:rPr>
              <w:t>14.6</w:t>
            </w:r>
            <w:r w:rsidRPr="000A0484">
              <w:rPr>
                <w:noProof/>
                <w:kern w:val="2"/>
                <w14:ligatures w14:val="standardContextual"/>
              </w:rPr>
              <w:tab/>
            </w:r>
            <w:r w:rsidRPr="000A0484">
              <w:rPr>
                <w:rStyle w:val="Hyperlink"/>
                <w:rFonts w:ascii="Times New Roman" w:hAnsi="Times New Roman"/>
                <w:noProof/>
                <w:sz w:val="24"/>
              </w:rPr>
              <w:t>Retail facility exemption</w:t>
            </w:r>
            <w:r w:rsidRPr="000A0484">
              <w:rPr>
                <w:noProof/>
                <w:webHidden/>
              </w:rPr>
              <w:tab/>
            </w:r>
            <w:r w:rsidRPr="000A0484">
              <w:rPr>
                <w:noProof/>
                <w:webHidden/>
              </w:rPr>
              <w:fldChar w:fldCharType="begin"/>
            </w:r>
            <w:r w:rsidRPr="000A0484">
              <w:rPr>
                <w:noProof/>
                <w:webHidden/>
              </w:rPr>
              <w:instrText xml:space="preserve"> PAGEREF _Toc153373835 \h </w:instrText>
            </w:r>
            <w:r w:rsidRPr="000A0484">
              <w:rPr>
                <w:noProof/>
                <w:webHidden/>
              </w:rPr>
              <w:fldChar w:fldCharType="separate"/>
            </w:r>
            <w:r w:rsidR="00390792">
              <w:rPr>
                <w:noProof/>
                <w:webHidden/>
              </w:rPr>
              <w:t>293</w:t>
            </w:r>
            <w:r w:rsidRPr="000A0484">
              <w:rPr>
                <w:noProof/>
                <w:webHidden/>
              </w:rPr>
              <w:fldChar w:fldCharType="end"/>
            </w:r>
          </w:hyperlink>
        </w:p>
        <w:p w:rsidR="009E5E50" w:rsidRPr="000A0484" w:rsidP="00564A59" w14:paraId="06E0E093" w14:textId="62590CCE">
          <w:pPr>
            <w:pStyle w:val="TOC2"/>
            <w:rPr>
              <w:noProof/>
              <w:kern w:val="2"/>
              <w14:ligatures w14:val="standardContextual"/>
            </w:rPr>
          </w:pPr>
          <w:hyperlink w:anchor="_Toc153373836" w:history="1">
            <w:r w:rsidRPr="000A0484">
              <w:rPr>
                <w:rStyle w:val="Hyperlink"/>
                <w:rFonts w:ascii="Times New Roman" w:hAnsi="Times New Roman"/>
                <w:noProof/>
                <w:sz w:val="24"/>
              </w:rPr>
              <w:t>14.7</w:t>
            </w:r>
            <w:r w:rsidRPr="000A0484">
              <w:rPr>
                <w:noProof/>
                <w:kern w:val="2"/>
                <w14:ligatures w14:val="standardContextual"/>
              </w:rPr>
              <w:tab/>
            </w:r>
            <w:r w:rsidRPr="000A0484">
              <w:rPr>
                <w:rStyle w:val="Hyperlink"/>
                <w:rFonts w:ascii="Times New Roman" w:hAnsi="Times New Roman"/>
                <w:noProof/>
                <w:sz w:val="24"/>
              </w:rPr>
              <w:t xml:space="preserve">RAGAGEP gap analysis </w:t>
            </w:r>
            <w:r w:rsidRPr="000A0484">
              <w:rPr>
                <w:noProof/>
                <w:webHidden/>
              </w:rPr>
              <w:tab/>
            </w:r>
            <w:r w:rsidRPr="000A0484">
              <w:rPr>
                <w:noProof/>
                <w:webHidden/>
              </w:rPr>
              <w:fldChar w:fldCharType="begin"/>
            </w:r>
            <w:r w:rsidRPr="000A0484">
              <w:rPr>
                <w:noProof/>
                <w:webHidden/>
              </w:rPr>
              <w:instrText xml:space="preserve"> PAGEREF _Toc153373836 \h </w:instrText>
            </w:r>
            <w:r w:rsidRPr="000A0484">
              <w:rPr>
                <w:noProof/>
                <w:webHidden/>
              </w:rPr>
              <w:fldChar w:fldCharType="separate"/>
            </w:r>
            <w:r w:rsidR="00390792">
              <w:rPr>
                <w:noProof/>
                <w:webHidden/>
              </w:rPr>
              <w:t>294</w:t>
            </w:r>
            <w:r w:rsidRPr="000A0484">
              <w:rPr>
                <w:noProof/>
                <w:webHidden/>
              </w:rPr>
              <w:fldChar w:fldCharType="end"/>
            </w:r>
          </w:hyperlink>
        </w:p>
        <w:p w:rsidR="009E5E50" w:rsidRPr="000A0484" w14:paraId="7C141D92" w14:textId="7C6E8A3D">
          <w:pPr>
            <w:pStyle w:val="TOC1"/>
            <w:rPr>
              <w:rFonts w:ascii="Times New Roman" w:hAnsi="Times New Roman"/>
              <w:noProof/>
              <w:kern w:val="2"/>
              <w:sz w:val="24"/>
              <w14:ligatures w14:val="standardContextual"/>
            </w:rPr>
          </w:pPr>
          <w:hyperlink w:anchor="_Toc153373837" w:history="1">
            <w:r w:rsidRPr="000A0484">
              <w:rPr>
                <w:rStyle w:val="Hyperlink"/>
                <w:rFonts w:ascii="Times New Roman" w:hAnsi="Times New Roman"/>
                <w:noProof/>
                <w:sz w:val="24"/>
              </w:rPr>
              <w:t>15</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Compliance dates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_Toc153373837 \h </w:instrText>
            </w:r>
            <w:r w:rsidRPr="000A0484">
              <w:rPr>
                <w:rFonts w:ascii="Times New Roman" w:hAnsi="Times New Roman"/>
                <w:noProof/>
                <w:webHidden/>
                <w:sz w:val="24"/>
              </w:rPr>
              <w:fldChar w:fldCharType="separate"/>
            </w:r>
            <w:r w:rsidR="00390792">
              <w:rPr>
                <w:rFonts w:ascii="Times New Roman" w:hAnsi="Times New Roman"/>
                <w:noProof/>
                <w:webHidden/>
                <w:sz w:val="24"/>
              </w:rPr>
              <w:t>302</w:t>
            </w:r>
            <w:r w:rsidRPr="000A0484">
              <w:rPr>
                <w:rFonts w:ascii="Times New Roman" w:hAnsi="Times New Roman"/>
                <w:noProof/>
                <w:webHidden/>
                <w:sz w:val="24"/>
              </w:rPr>
              <w:fldChar w:fldCharType="end"/>
            </w:r>
          </w:hyperlink>
        </w:p>
        <w:p w:rsidR="009E5E50" w:rsidRPr="000A0484" w14:paraId="2ABF76C2" w14:textId="2F856C80">
          <w:pPr>
            <w:pStyle w:val="TOC1"/>
            <w:rPr>
              <w:rFonts w:ascii="Times New Roman" w:hAnsi="Times New Roman"/>
              <w:noProof/>
              <w:kern w:val="2"/>
              <w:sz w:val="24"/>
              <w14:ligatures w14:val="standardContextual"/>
            </w:rPr>
          </w:pPr>
          <w:hyperlink w:anchor="_Toc153373838" w:history="1">
            <w:r w:rsidRPr="000A0484">
              <w:rPr>
                <w:rStyle w:val="Hyperlink"/>
                <w:rFonts w:ascii="Times New Roman" w:hAnsi="Times New Roman"/>
                <w:noProof/>
                <w:sz w:val="24"/>
              </w:rPr>
              <w:t>16</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 xml:space="preserve">Regulatory Impact Analysis </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_Toc153373838 \h </w:instrText>
            </w:r>
            <w:r w:rsidRPr="000A0484">
              <w:rPr>
                <w:rFonts w:ascii="Times New Roman" w:hAnsi="Times New Roman"/>
                <w:noProof/>
                <w:webHidden/>
                <w:sz w:val="24"/>
              </w:rPr>
              <w:fldChar w:fldCharType="separate"/>
            </w:r>
            <w:r w:rsidR="00390792">
              <w:rPr>
                <w:rFonts w:ascii="Times New Roman" w:hAnsi="Times New Roman"/>
                <w:noProof/>
                <w:webHidden/>
                <w:sz w:val="24"/>
              </w:rPr>
              <w:t>308</w:t>
            </w:r>
            <w:r w:rsidRPr="000A0484">
              <w:rPr>
                <w:rFonts w:ascii="Times New Roman" w:hAnsi="Times New Roman"/>
                <w:noProof/>
                <w:webHidden/>
                <w:sz w:val="24"/>
              </w:rPr>
              <w:fldChar w:fldCharType="end"/>
            </w:r>
          </w:hyperlink>
        </w:p>
        <w:p w:rsidR="009E5E50" w:rsidRPr="000A0484" w:rsidP="00564A59" w14:paraId="0E3BA8C0" w14:textId="4380D96E">
          <w:pPr>
            <w:pStyle w:val="TOC2"/>
            <w:rPr>
              <w:noProof/>
              <w:kern w:val="2"/>
              <w14:ligatures w14:val="standardContextual"/>
            </w:rPr>
          </w:pPr>
          <w:hyperlink w:anchor="_Toc153373839" w:history="1">
            <w:r w:rsidRPr="000A0484">
              <w:rPr>
                <w:rStyle w:val="Hyperlink"/>
                <w:rFonts w:ascii="Times New Roman" w:hAnsi="Times New Roman"/>
                <w:noProof/>
                <w:sz w:val="24"/>
              </w:rPr>
              <w:t>16.1</w:t>
            </w:r>
            <w:r w:rsidRPr="000A0484">
              <w:rPr>
                <w:noProof/>
                <w:kern w:val="2"/>
                <w14:ligatures w14:val="standardContextual"/>
              </w:rPr>
              <w:tab/>
            </w:r>
            <w:r w:rsidRPr="000A0484">
              <w:rPr>
                <w:rStyle w:val="Hyperlink"/>
                <w:rFonts w:ascii="Times New Roman" w:hAnsi="Times New Roman"/>
                <w:noProof/>
                <w:sz w:val="24"/>
              </w:rPr>
              <w:t>Small business impacts</w:t>
            </w:r>
            <w:r w:rsidRPr="000A0484">
              <w:rPr>
                <w:noProof/>
                <w:webHidden/>
              </w:rPr>
              <w:tab/>
            </w:r>
            <w:r w:rsidRPr="000A0484">
              <w:rPr>
                <w:noProof/>
                <w:webHidden/>
              </w:rPr>
              <w:fldChar w:fldCharType="begin"/>
            </w:r>
            <w:r w:rsidRPr="000A0484">
              <w:rPr>
                <w:noProof/>
                <w:webHidden/>
              </w:rPr>
              <w:instrText xml:space="preserve"> PAGEREF _Toc153373839 \h </w:instrText>
            </w:r>
            <w:r w:rsidRPr="000A0484">
              <w:rPr>
                <w:noProof/>
                <w:webHidden/>
              </w:rPr>
              <w:fldChar w:fldCharType="separate"/>
            </w:r>
            <w:r w:rsidR="00390792">
              <w:rPr>
                <w:noProof/>
                <w:webHidden/>
              </w:rPr>
              <w:t>317</w:t>
            </w:r>
            <w:r w:rsidRPr="000A0484">
              <w:rPr>
                <w:noProof/>
                <w:webHidden/>
              </w:rPr>
              <w:fldChar w:fldCharType="end"/>
            </w:r>
          </w:hyperlink>
        </w:p>
        <w:p w:rsidR="009E5E50" w:rsidRPr="000A0484" w:rsidP="00564A59" w14:paraId="21C5910A" w14:textId="3662DAC4">
          <w:pPr>
            <w:pStyle w:val="TOC2"/>
            <w:rPr>
              <w:noProof/>
              <w:kern w:val="2"/>
              <w14:ligatures w14:val="standardContextual"/>
            </w:rPr>
          </w:pPr>
          <w:hyperlink w:anchor="_Toc153373840" w:history="1">
            <w:r w:rsidRPr="000A0484">
              <w:rPr>
                <w:rStyle w:val="Hyperlink"/>
                <w:rFonts w:ascii="Times New Roman" w:hAnsi="Times New Roman"/>
                <w:noProof/>
                <w:sz w:val="24"/>
              </w:rPr>
              <w:t>16.2</w:t>
            </w:r>
            <w:r w:rsidRPr="000A0484">
              <w:rPr>
                <w:noProof/>
                <w:kern w:val="2"/>
                <w14:ligatures w14:val="standardContextual"/>
              </w:rPr>
              <w:tab/>
            </w:r>
            <w:r w:rsidRPr="000A0484">
              <w:rPr>
                <w:rStyle w:val="Hyperlink"/>
                <w:rFonts w:ascii="Times New Roman" w:hAnsi="Times New Roman"/>
                <w:noProof/>
                <w:sz w:val="24"/>
              </w:rPr>
              <w:t>Small government impacts</w:t>
            </w:r>
            <w:r w:rsidRPr="000A0484">
              <w:rPr>
                <w:noProof/>
                <w:webHidden/>
              </w:rPr>
              <w:tab/>
            </w:r>
            <w:r w:rsidRPr="000A0484">
              <w:rPr>
                <w:noProof/>
                <w:webHidden/>
              </w:rPr>
              <w:fldChar w:fldCharType="begin"/>
            </w:r>
            <w:r w:rsidRPr="000A0484">
              <w:rPr>
                <w:noProof/>
                <w:webHidden/>
              </w:rPr>
              <w:instrText xml:space="preserve"> PAGEREF _Toc153373840 \h </w:instrText>
            </w:r>
            <w:r w:rsidRPr="000A0484">
              <w:rPr>
                <w:noProof/>
                <w:webHidden/>
              </w:rPr>
              <w:fldChar w:fldCharType="separate"/>
            </w:r>
            <w:r w:rsidR="00390792">
              <w:rPr>
                <w:noProof/>
                <w:webHidden/>
              </w:rPr>
              <w:t>321</w:t>
            </w:r>
            <w:r w:rsidRPr="000A0484">
              <w:rPr>
                <w:noProof/>
                <w:webHidden/>
              </w:rPr>
              <w:fldChar w:fldCharType="end"/>
            </w:r>
          </w:hyperlink>
        </w:p>
        <w:p w:rsidR="009E5E50" w:rsidRPr="000A0484" w:rsidP="00564A59" w14:paraId="3359E475" w14:textId="3D4DE9FC">
          <w:pPr>
            <w:pStyle w:val="TOC2"/>
            <w:rPr>
              <w:noProof/>
              <w:kern w:val="2"/>
              <w14:ligatures w14:val="standardContextual"/>
            </w:rPr>
          </w:pPr>
          <w:hyperlink w:anchor="_Toc153373841" w:history="1">
            <w:r w:rsidRPr="000A0484">
              <w:rPr>
                <w:rStyle w:val="Hyperlink"/>
                <w:rFonts w:ascii="Times New Roman" w:hAnsi="Times New Roman"/>
                <w:noProof/>
                <w:sz w:val="24"/>
              </w:rPr>
              <w:t>16.3</w:t>
            </w:r>
            <w:r w:rsidRPr="000A0484">
              <w:rPr>
                <w:noProof/>
                <w:kern w:val="2"/>
                <w14:ligatures w14:val="standardContextual"/>
              </w:rPr>
              <w:tab/>
            </w:r>
            <w:r w:rsidRPr="000A0484">
              <w:rPr>
                <w:rStyle w:val="Hyperlink"/>
                <w:rFonts w:ascii="Times New Roman" w:hAnsi="Times New Roman"/>
                <w:noProof/>
                <w:sz w:val="24"/>
              </w:rPr>
              <w:t>Estimated costs and benefits</w:t>
            </w:r>
            <w:r w:rsidRPr="000A0484">
              <w:rPr>
                <w:noProof/>
                <w:webHidden/>
              </w:rPr>
              <w:tab/>
            </w:r>
            <w:r w:rsidRPr="000A0484">
              <w:rPr>
                <w:noProof/>
                <w:webHidden/>
              </w:rPr>
              <w:fldChar w:fldCharType="begin"/>
            </w:r>
            <w:r w:rsidRPr="000A0484">
              <w:rPr>
                <w:noProof/>
                <w:webHidden/>
              </w:rPr>
              <w:instrText xml:space="preserve"> PAGEREF _Toc153373841 \h </w:instrText>
            </w:r>
            <w:r w:rsidRPr="000A0484">
              <w:rPr>
                <w:noProof/>
                <w:webHidden/>
              </w:rPr>
              <w:fldChar w:fldCharType="separate"/>
            </w:r>
            <w:r w:rsidR="00390792">
              <w:rPr>
                <w:noProof/>
                <w:webHidden/>
              </w:rPr>
              <w:t>326</w:t>
            </w:r>
            <w:r w:rsidRPr="000A0484">
              <w:rPr>
                <w:noProof/>
                <w:webHidden/>
              </w:rPr>
              <w:fldChar w:fldCharType="end"/>
            </w:r>
          </w:hyperlink>
        </w:p>
        <w:p w:rsidR="009E5E50" w:rsidRPr="000A0484" w14:paraId="1A9E1C58" w14:textId="748A29A2">
          <w:pPr>
            <w:pStyle w:val="TOC1"/>
            <w:rPr>
              <w:rFonts w:ascii="Times New Roman" w:hAnsi="Times New Roman"/>
              <w:noProof/>
              <w:kern w:val="2"/>
              <w:sz w:val="24"/>
              <w14:ligatures w14:val="standardContextual"/>
            </w:rPr>
          </w:pPr>
          <w:hyperlink w:anchor="_Toc153373842" w:history="1">
            <w:r w:rsidRPr="000A0484">
              <w:rPr>
                <w:rStyle w:val="Hyperlink"/>
                <w:rFonts w:ascii="Times New Roman" w:hAnsi="Times New Roman"/>
                <w:noProof/>
                <w:sz w:val="24"/>
              </w:rPr>
              <w:t>17</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Environmental Justice</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_Toc153373842 \h </w:instrText>
            </w:r>
            <w:r w:rsidRPr="000A0484">
              <w:rPr>
                <w:rFonts w:ascii="Times New Roman" w:hAnsi="Times New Roman"/>
                <w:noProof/>
                <w:webHidden/>
                <w:sz w:val="24"/>
              </w:rPr>
              <w:fldChar w:fldCharType="separate"/>
            </w:r>
            <w:r w:rsidR="00390792">
              <w:rPr>
                <w:rFonts w:ascii="Times New Roman" w:hAnsi="Times New Roman"/>
                <w:noProof/>
                <w:webHidden/>
                <w:sz w:val="24"/>
              </w:rPr>
              <w:t>353</w:t>
            </w:r>
            <w:r w:rsidRPr="000A0484">
              <w:rPr>
                <w:rFonts w:ascii="Times New Roman" w:hAnsi="Times New Roman"/>
                <w:noProof/>
                <w:webHidden/>
                <w:sz w:val="24"/>
              </w:rPr>
              <w:fldChar w:fldCharType="end"/>
            </w:r>
          </w:hyperlink>
        </w:p>
        <w:p w:rsidR="009E5E50" w:rsidRPr="000A0484" w14:paraId="3EB22C84" w14:textId="0A3D1D8A">
          <w:pPr>
            <w:pStyle w:val="TOC1"/>
            <w:rPr>
              <w:rFonts w:ascii="Times New Roman" w:hAnsi="Times New Roman"/>
              <w:noProof/>
              <w:kern w:val="2"/>
              <w:sz w:val="24"/>
              <w14:ligatures w14:val="standardContextual"/>
            </w:rPr>
          </w:pPr>
          <w:hyperlink w:anchor="_Toc153373843" w:history="1">
            <w:r w:rsidRPr="000A0484">
              <w:rPr>
                <w:rStyle w:val="Hyperlink"/>
                <w:rFonts w:ascii="Times New Roman" w:hAnsi="Times New Roman"/>
                <w:noProof/>
                <w:sz w:val="24"/>
              </w:rPr>
              <w:t>18</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Fenceline monitoring</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_Toc153373843 \h </w:instrText>
            </w:r>
            <w:r w:rsidRPr="000A0484">
              <w:rPr>
                <w:rFonts w:ascii="Times New Roman" w:hAnsi="Times New Roman"/>
                <w:noProof/>
                <w:webHidden/>
                <w:sz w:val="24"/>
              </w:rPr>
              <w:fldChar w:fldCharType="separate"/>
            </w:r>
            <w:r w:rsidR="00390792">
              <w:rPr>
                <w:rFonts w:ascii="Times New Roman" w:hAnsi="Times New Roman"/>
                <w:noProof/>
                <w:webHidden/>
                <w:sz w:val="24"/>
              </w:rPr>
              <w:t>364</w:t>
            </w:r>
            <w:r w:rsidRPr="000A0484">
              <w:rPr>
                <w:rFonts w:ascii="Times New Roman" w:hAnsi="Times New Roman"/>
                <w:noProof/>
                <w:webHidden/>
                <w:sz w:val="24"/>
              </w:rPr>
              <w:fldChar w:fldCharType="end"/>
            </w:r>
          </w:hyperlink>
        </w:p>
        <w:p w:rsidR="009E5E50" w:rsidRPr="000A0484" w:rsidP="00564A59" w14:paraId="5462A7E8" w14:textId="7BBE4412">
          <w:pPr>
            <w:pStyle w:val="TOC2"/>
            <w:rPr>
              <w:noProof/>
              <w:kern w:val="2"/>
              <w14:ligatures w14:val="standardContextual"/>
            </w:rPr>
          </w:pPr>
          <w:hyperlink w:anchor="_Toc153373844" w:history="1">
            <w:r w:rsidRPr="000A0484">
              <w:rPr>
                <w:rStyle w:val="Hyperlink"/>
                <w:rFonts w:ascii="Times New Roman" w:hAnsi="Times New Roman"/>
                <w:noProof/>
                <w:sz w:val="24"/>
              </w:rPr>
              <w:t>18.1</w:t>
            </w:r>
            <w:r w:rsidRPr="000A0484">
              <w:rPr>
                <w:noProof/>
                <w:kern w:val="2"/>
                <w14:ligatures w14:val="standardContextual"/>
              </w:rPr>
              <w:tab/>
            </w:r>
            <w:r w:rsidRPr="000A0484">
              <w:rPr>
                <w:rStyle w:val="Hyperlink"/>
                <w:rFonts w:ascii="Times New Roman" w:hAnsi="Times New Roman"/>
                <w:noProof/>
                <w:sz w:val="24"/>
              </w:rPr>
              <w:t>General comments on a fenceline monitoring program</w:t>
            </w:r>
            <w:r w:rsidRPr="000A0484">
              <w:rPr>
                <w:noProof/>
                <w:webHidden/>
              </w:rPr>
              <w:tab/>
            </w:r>
            <w:r w:rsidRPr="000A0484">
              <w:rPr>
                <w:noProof/>
                <w:webHidden/>
              </w:rPr>
              <w:fldChar w:fldCharType="begin"/>
            </w:r>
            <w:r w:rsidRPr="000A0484">
              <w:rPr>
                <w:noProof/>
                <w:webHidden/>
              </w:rPr>
              <w:instrText xml:space="preserve"> PAGEREF _Toc153373844 \h </w:instrText>
            </w:r>
            <w:r w:rsidRPr="000A0484">
              <w:rPr>
                <w:noProof/>
                <w:webHidden/>
              </w:rPr>
              <w:fldChar w:fldCharType="separate"/>
            </w:r>
            <w:r w:rsidR="00390792">
              <w:rPr>
                <w:noProof/>
                <w:webHidden/>
              </w:rPr>
              <w:t>364</w:t>
            </w:r>
            <w:r w:rsidRPr="000A0484">
              <w:rPr>
                <w:noProof/>
                <w:webHidden/>
              </w:rPr>
              <w:fldChar w:fldCharType="end"/>
            </w:r>
          </w:hyperlink>
        </w:p>
        <w:p w:rsidR="009E5E50" w:rsidRPr="000A0484" w:rsidP="00564A59" w14:paraId="67D054F5" w14:textId="012E18DD">
          <w:pPr>
            <w:pStyle w:val="TOC2"/>
            <w:rPr>
              <w:noProof/>
              <w:kern w:val="2"/>
              <w14:ligatures w14:val="standardContextual"/>
            </w:rPr>
          </w:pPr>
          <w:hyperlink w:anchor="_Toc153373845" w:history="1">
            <w:r w:rsidRPr="000A0484">
              <w:rPr>
                <w:rStyle w:val="Hyperlink"/>
                <w:rFonts w:ascii="Times New Roman" w:hAnsi="Times New Roman"/>
                <w:noProof/>
                <w:sz w:val="24"/>
              </w:rPr>
              <w:t>18.2</w:t>
            </w:r>
            <w:r w:rsidRPr="000A0484">
              <w:rPr>
                <w:noProof/>
                <w:kern w:val="2"/>
                <w14:ligatures w14:val="standardContextual"/>
              </w:rPr>
              <w:tab/>
            </w:r>
            <w:r w:rsidRPr="000A0484">
              <w:rPr>
                <w:rStyle w:val="Hyperlink"/>
                <w:rFonts w:ascii="Times New Roman" w:hAnsi="Times New Roman"/>
                <w:noProof/>
                <w:sz w:val="24"/>
              </w:rPr>
              <w:t>Regulated facilities</w:t>
            </w:r>
            <w:r w:rsidRPr="000A0484">
              <w:rPr>
                <w:noProof/>
                <w:webHidden/>
              </w:rPr>
              <w:tab/>
            </w:r>
            <w:r w:rsidRPr="000A0484">
              <w:rPr>
                <w:noProof/>
                <w:webHidden/>
              </w:rPr>
              <w:fldChar w:fldCharType="begin"/>
            </w:r>
            <w:r w:rsidRPr="000A0484">
              <w:rPr>
                <w:noProof/>
                <w:webHidden/>
              </w:rPr>
              <w:instrText xml:space="preserve"> PAGEREF _Toc153373845 \h </w:instrText>
            </w:r>
            <w:r w:rsidRPr="000A0484">
              <w:rPr>
                <w:noProof/>
                <w:webHidden/>
              </w:rPr>
              <w:fldChar w:fldCharType="separate"/>
            </w:r>
            <w:r w:rsidR="00390792">
              <w:rPr>
                <w:noProof/>
                <w:webHidden/>
              </w:rPr>
              <w:t>365</w:t>
            </w:r>
            <w:r w:rsidRPr="000A0484">
              <w:rPr>
                <w:noProof/>
                <w:webHidden/>
              </w:rPr>
              <w:fldChar w:fldCharType="end"/>
            </w:r>
          </w:hyperlink>
        </w:p>
        <w:p w:rsidR="009E5E50" w:rsidRPr="000A0484" w:rsidP="00564A59" w14:paraId="3E582780" w14:textId="6061EA98">
          <w:pPr>
            <w:pStyle w:val="TOC2"/>
            <w:rPr>
              <w:noProof/>
              <w:kern w:val="2"/>
              <w14:ligatures w14:val="standardContextual"/>
            </w:rPr>
          </w:pPr>
          <w:hyperlink w:anchor="_Toc153373846" w:history="1">
            <w:r w:rsidRPr="000A0484">
              <w:rPr>
                <w:rStyle w:val="Hyperlink"/>
                <w:rFonts w:ascii="Times New Roman" w:hAnsi="Times New Roman"/>
                <w:noProof/>
                <w:sz w:val="24"/>
              </w:rPr>
              <w:t>18.3</w:t>
            </w:r>
            <w:r w:rsidRPr="000A0484">
              <w:rPr>
                <w:noProof/>
                <w:kern w:val="2"/>
                <w14:ligatures w14:val="standardContextual"/>
              </w:rPr>
              <w:tab/>
            </w:r>
            <w:r w:rsidRPr="000A0484">
              <w:rPr>
                <w:rStyle w:val="Hyperlink"/>
                <w:rFonts w:ascii="Times New Roman" w:hAnsi="Times New Roman"/>
                <w:noProof/>
                <w:sz w:val="24"/>
              </w:rPr>
              <w:t>Type of monitoring</w:t>
            </w:r>
            <w:r w:rsidRPr="000A0484">
              <w:rPr>
                <w:noProof/>
                <w:webHidden/>
              </w:rPr>
              <w:tab/>
            </w:r>
            <w:r w:rsidRPr="000A0484">
              <w:rPr>
                <w:noProof/>
                <w:webHidden/>
              </w:rPr>
              <w:fldChar w:fldCharType="begin"/>
            </w:r>
            <w:r w:rsidRPr="000A0484">
              <w:rPr>
                <w:noProof/>
                <w:webHidden/>
              </w:rPr>
              <w:instrText xml:space="preserve"> PAGEREF _Toc153373846 \h </w:instrText>
            </w:r>
            <w:r w:rsidRPr="000A0484">
              <w:rPr>
                <w:noProof/>
                <w:webHidden/>
              </w:rPr>
              <w:fldChar w:fldCharType="separate"/>
            </w:r>
            <w:r w:rsidR="00390792">
              <w:rPr>
                <w:noProof/>
                <w:webHidden/>
              </w:rPr>
              <w:t>366</w:t>
            </w:r>
            <w:r w:rsidRPr="000A0484">
              <w:rPr>
                <w:noProof/>
                <w:webHidden/>
              </w:rPr>
              <w:fldChar w:fldCharType="end"/>
            </w:r>
          </w:hyperlink>
        </w:p>
        <w:p w:rsidR="009E5E50" w:rsidRPr="000A0484" w:rsidP="00564A59" w14:paraId="56F033F0" w14:textId="45F5772B">
          <w:pPr>
            <w:pStyle w:val="TOC2"/>
            <w:rPr>
              <w:noProof/>
              <w:kern w:val="2"/>
              <w14:ligatures w14:val="standardContextual"/>
            </w:rPr>
          </w:pPr>
          <w:hyperlink w:anchor="_Toc153373847" w:history="1">
            <w:r w:rsidRPr="000A0484">
              <w:rPr>
                <w:rStyle w:val="Hyperlink"/>
                <w:rFonts w:ascii="Times New Roman" w:hAnsi="Times New Roman"/>
                <w:noProof/>
                <w:sz w:val="24"/>
              </w:rPr>
              <w:t>18.4</w:t>
            </w:r>
            <w:r w:rsidRPr="000A0484">
              <w:rPr>
                <w:noProof/>
                <w:kern w:val="2"/>
                <w14:ligatures w14:val="standardContextual"/>
              </w:rPr>
              <w:tab/>
            </w:r>
            <w:r w:rsidRPr="000A0484">
              <w:rPr>
                <w:rStyle w:val="Hyperlink"/>
                <w:rFonts w:ascii="Times New Roman" w:hAnsi="Times New Roman"/>
                <w:noProof/>
                <w:sz w:val="24"/>
              </w:rPr>
              <w:t>Automatic release notifications</w:t>
            </w:r>
            <w:r w:rsidRPr="000A0484">
              <w:rPr>
                <w:noProof/>
                <w:webHidden/>
              </w:rPr>
              <w:tab/>
            </w:r>
            <w:r w:rsidRPr="000A0484">
              <w:rPr>
                <w:noProof/>
                <w:webHidden/>
              </w:rPr>
              <w:fldChar w:fldCharType="begin"/>
            </w:r>
            <w:r w:rsidRPr="000A0484">
              <w:rPr>
                <w:noProof/>
                <w:webHidden/>
              </w:rPr>
              <w:instrText xml:space="preserve"> PAGEREF _Toc153373847 \h </w:instrText>
            </w:r>
            <w:r w:rsidRPr="000A0484">
              <w:rPr>
                <w:noProof/>
                <w:webHidden/>
              </w:rPr>
              <w:fldChar w:fldCharType="separate"/>
            </w:r>
            <w:r w:rsidR="00390792">
              <w:rPr>
                <w:noProof/>
                <w:webHidden/>
              </w:rPr>
              <w:t>366</w:t>
            </w:r>
            <w:r w:rsidRPr="000A0484">
              <w:rPr>
                <w:noProof/>
                <w:webHidden/>
              </w:rPr>
              <w:fldChar w:fldCharType="end"/>
            </w:r>
          </w:hyperlink>
        </w:p>
        <w:p w:rsidR="009E5E50" w:rsidRPr="000A0484" w:rsidP="00564A59" w14:paraId="5805613E" w14:textId="68397AB0">
          <w:pPr>
            <w:pStyle w:val="TOC2"/>
            <w:rPr>
              <w:noProof/>
              <w:kern w:val="2"/>
              <w14:ligatures w14:val="standardContextual"/>
            </w:rPr>
          </w:pPr>
          <w:hyperlink w:anchor="_Toc153373848" w:history="1">
            <w:r w:rsidRPr="000A0484">
              <w:rPr>
                <w:rStyle w:val="Hyperlink"/>
                <w:rFonts w:ascii="Times New Roman" w:hAnsi="Times New Roman"/>
                <w:noProof/>
                <w:sz w:val="24"/>
              </w:rPr>
              <w:t>18.5</w:t>
            </w:r>
            <w:r w:rsidRPr="000A0484">
              <w:rPr>
                <w:noProof/>
                <w:kern w:val="2"/>
                <w14:ligatures w14:val="standardContextual"/>
              </w:rPr>
              <w:tab/>
            </w:r>
            <w:r w:rsidRPr="000A0484">
              <w:rPr>
                <w:rStyle w:val="Hyperlink"/>
                <w:rFonts w:ascii="Times New Roman" w:hAnsi="Times New Roman"/>
                <w:noProof/>
                <w:sz w:val="24"/>
              </w:rPr>
              <w:t>Quality assurance of fenceline monitoring</w:t>
            </w:r>
            <w:r w:rsidRPr="000A0484">
              <w:rPr>
                <w:noProof/>
                <w:webHidden/>
              </w:rPr>
              <w:tab/>
            </w:r>
            <w:r w:rsidRPr="000A0484">
              <w:rPr>
                <w:noProof/>
                <w:webHidden/>
              </w:rPr>
              <w:fldChar w:fldCharType="begin"/>
            </w:r>
            <w:r w:rsidRPr="000A0484">
              <w:rPr>
                <w:noProof/>
                <w:webHidden/>
              </w:rPr>
              <w:instrText xml:space="preserve"> PAGEREF _Toc153373848 \h </w:instrText>
            </w:r>
            <w:r w:rsidRPr="000A0484">
              <w:rPr>
                <w:noProof/>
                <w:webHidden/>
              </w:rPr>
              <w:fldChar w:fldCharType="separate"/>
            </w:r>
            <w:r w:rsidR="00390792">
              <w:rPr>
                <w:noProof/>
                <w:webHidden/>
              </w:rPr>
              <w:t>367</w:t>
            </w:r>
            <w:r w:rsidRPr="000A0484">
              <w:rPr>
                <w:noProof/>
                <w:webHidden/>
              </w:rPr>
              <w:fldChar w:fldCharType="end"/>
            </w:r>
          </w:hyperlink>
        </w:p>
        <w:p w:rsidR="009E5E50" w:rsidRPr="000A0484" w:rsidP="00564A59" w14:paraId="6170664E" w14:textId="3997E96D">
          <w:pPr>
            <w:pStyle w:val="TOC2"/>
            <w:rPr>
              <w:noProof/>
              <w:kern w:val="2"/>
              <w14:ligatures w14:val="standardContextual"/>
            </w:rPr>
          </w:pPr>
          <w:hyperlink w:anchor="_Toc153373849" w:history="1">
            <w:r w:rsidRPr="000A0484">
              <w:rPr>
                <w:rStyle w:val="Hyperlink"/>
                <w:rFonts w:ascii="Times New Roman" w:hAnsi="Times New Roman"/>
                <w:noProof/>
                <w:sz w:val="24"/>
              </w:rPr>
              <w:t>18.6</w:t>
            </w:r>
            <w:r w:rsidRPr="000A0484">
              <w:rPr>
                <w:noProof/>
                <w:kern w:val="2"/>
                <w14:ligatures w14:val="standardContextual"/>
              </w:rPr>
              <w:tab/>
            </w:r>
            <w:r w:rsidRPr="000A0484">
              <w:rPr>
                <w:rStyle w:val="Hyperlink"/>
                <w:rFonts w:ascii="Times New Roman" w:hAnsi="Times New Roman"/>
                <w:noProof/>
                <w:sz w:val="24"/>
              </w:rPr>
              <w:t>Monitoring technologies and standards</w:t>
            </w:r>
            <w:r w:rsidRPr="000A0484">
              <w:rPr>
                <w:noProof/>
                <w:webHidden/>
              </w:rPr>
              <w:tab/>
            </w:r>
            <w:r w:rsidRPr="000A0484">
              <w:rPr>
                <w:noProof/>
                <w:webHidden/>
              </w:rPr>
              <w:fldChar w:fldCharType="begin"/>
            </w:r>
            <w:r w:rsidRPr="000A0484">
              <w:rPr>
                <w:noProof/>
                <w:webHidden/>
              </w:rPr>
              <w:instrText xml:space="preserve"> PAGEREF _Toc153373849 \h </w:instrText>
            </w:r>
            <w:r w:rsidRPr="000A0484">
              <w:rPr>
                <w:noProof/>
                <w:webHidden/>
              </w:rPr>
              <w:fldChar w:fldCharType="separate"/>
            </w:r>
            <w:r w:rsidR="00390792">
              <w:rPr>
                <w:noProof/>
                <w:webHidden/>
              </w:rPr>
              <w:t>367</w:t>
            </w:r>
            <w:r w:rsidRPr="000A0484">
              <w:rPr>
                <w:noProof/>
                <w:webHidden/>
              </w:rPr>
              <w:fldChar w:fldCharType="end"/>
            </w:r>
          </w:hyperlink>
        </w:p>
        <w:p w:rsidR="009E5E50" w:rsidRPr="000A0484" w:rsidP="00564A59" w14:paraId="3011B5EC" w14:textId="6C2A5404">
          <w:pPr>
            <w:pStyle w:val="TOC2"/>
            <w:rPr>
              <w:noProof/>
              <w:kern w:val="2"/>
              <w14:ligatures w14:val="standardContextual"/>
            </w:rPr>
          </w:pPr>
          <w:hyperlink w:anchor="_Toc153373850" w:history="1">
            <w:r w:rsidRPr="000A0484">
              <w:rPr>
                <w:rStyle w:val="Hyperlink"/>
                <w:rFonts w:ascii="Times New Roman" w:hAnsi="Times New Roman"/>
                <w:noProof/>
                <w:sz w:val="24"/>
              </w:rPr>
              <w:t>18.7</w:t>
            </w:r>
            <w:r w:rsidRPr="000A0484">
              <w:rPr>
                <w:noProof/>
                <w:kern w:val="2"/>
                <w14:ligatures w14:val="standardContextual"/>
              </w:rPr>
              <w:tab/>
            </w:r>
            <w:r w:rsidRPr="000A0484">
              <w:rPr>
                <w:rStyle w:val="Hyperlink"/>
                <w:rFonts w:ascii="Times New Roman" w:hAnsi="Times New Roman"/>
                <w:noProof/>
                <w:sz w:val="24"/>
              </w:rPr>
              <w:t>Design of a fenceline monitoring program</w:t>
            </w:r>
            <w:r w:rsidRPr="000A0484">
              <w:rPr>
                <w:noProof/>
                <w:webHidden/>
              </w:rPr>
              <w:tab/>
            </w:r>
            <w:r w:rsidRPr="000A0484">
              <w:rPr>
                <w:noProof/>
                <w:webHidden/>
              </w:rPr>
              <w:fldChar w:fldCharType="begin"/>
            </w:r>
            <w:r w:rsidRPr="000A0484">
              <w:rPr>
                <w:noProof/>
                <w:webHidden/>
              </w:rPr>
              <w:instrText xml:space="preserve"> PAGEREF _Toc153373850 \h </w:instrText>
            </w:r>
            <w:r w:rsidRPr="000A0484">
              <w:rPr>
                <w:noProof/>
                <w:webHidden/>
              </w:rPr>
              <w:fldChar w:fldCharType="separate"/>
            </w:r>
            <w:r w:rsidR="00390792">
              <w:rPr>
                <w:noProof/>
                <w:webHidden/>
              </w:rPr>
              <w:t>367</w:t>
            </w:r>
            <w:r w:rsidRPr="000A0484">
              <w:rPr>
                <w:noProof/>
                <w:webHidden/>
              </w:rPr>
              <w:fldChar w:fldCharType="end"/>
            </w:r>
          </w:hyperlink>
        </w:p>
        <w:p w:rsidR="009E5E50" w:rsidRPr="000A0484" w:rsidP="00564A59" w14:paraId="327CF4AE" w14:textId="328F9376">
          <w:pPr>
            <w:pStyle w:val="TOC2"/>
            <w:rPr>
              <w:noProof/>
              <w:kern w:val="2"/>
              <w14:ligatures w14:val="standardContextual"/>
            </w:rPr>
          </w:pPr>
          <w:hyperlink w:anchor="_Toc153373851" w:history="1">
            <w:r w:rsidRPr="000A0484">
              <w:rPr>
                <w:rStyle w:val="Hyperlink"/>
                <w:rFonts w:ascii="Times New Roman" w:hAnsi="Times New Roman"/>
                <w:noProof/>
                <w:sz w:val="24"/>
              </w:rPr>
              <w:t>18.8</w:t>
            </w:r>
            <w:r w:rsidRPr="000A0484">
              <w:rPr>
                <w:noProof/>
                <w:kern w:val="2"/>
                <w14:ligatures w14:val="standardContextual"/>
              </w:rPr>
              <w:tab/>
            </w:r>
            <w:r w:rsidRPr="000A0484">
              <w:rPr>
                <w:rStyle w:val="Hyperlink"/>
                <w:rFonts w:ascii="Times New Roman" w:hAnsi="Times New Roman"/>
                <w:noProof/>
                <w:sz w:val="24"/>
              </w:rPr>
              <w:t>Benefits of a fenceline monitoring program</w:t>
            </w:r>
            <w:r w:rsidRPr="000A0484">
              <w:rPr>
                <w:noProof/>
                <w:webHidden/>
              </w:rPr>
              <w:tab/>
            </w:r>
            <w:r w:rsidRPr="000A0484">
              <w:rPr>
                <w:noProof/>
                <w:webHidden/>
              </w:rPr>
              <w:fldChar w:fldCharType="begin"/>
            </w:r>
            <w:r w:rsidRPr="000A0484">
              <w:rPr>
                <w:noProof/>
                <w:webHidden/>
              </w:rPr>
              <w:instrText xml:space="preserve"> PAGEREF _Toc153373851 \h </w:instrText>
            </w:r>
            <w:r w:rsidRPr="000A0484">
              <w:rPr>
                <w:noProof/>
                <w:webHidden/>
              </w:rPr>
              <w:fldChar w:fldCharType="separate"/>
            </w:r>
            <w:r w:rsidR="00390792">
              <w:rPr>
                <w:noProof/>
                <w:webHidden/>
              </w:rPr>
              <w:t>368</w:t>
            </w:r>
            <w:r w:rsidRPr="000A0484">
              <w:rPr>
                <w:noProof/>
                <w:webHidden/>
              </w:rPr>
              <w:fldChar w:fldCharType="end"/>
            </w:r>
          </w:hyperlink>
        </w:p>
        <w:p w:rsidR="009E5E50" w:rsidRPr="000A0484" w:rsidP="00564A59" w14:paraId="7EC377CC" w14:textId="1D114793">
          <w:pPr>
            <w:pStyle w:val="TOC2"/>
            <w:rPr>
              <w:noProof/>
              <w:kern w:val="2"/>
              <w14:ligatures w14:val="standardContextual"/>
            </w:rPr>
          </w:pPr>
          <w:hyperlink w:anchor="_Toc153373852" w:history="1">
            <w:r w:rsidRPr="000A0484">
              <w:rPr>
                <w:rStyle w:val="Hyperlink"/>
                <w:rFonts w:ascii="Times New Roman" w:hAnsi="Times New Roman"/>
                <w:noProof/>
                <w:sz w:val="24"/>
              </w:rPr>
              <w:t>18.9</w:t>
            </w:r>
            <w:r w:rsidRPr="000A0484">
              <w:rPr>
                <w:noProof/>
                <w:kern w:val="2"/>
                <w14:ligatures w14:val="standardContextual"/>
              </w:rPr>
              <w:tab/>
            </w:r>
            <w:r w:rsidRPr="000A0484">
              <w:rPr>
                <w:rStyle w:val="Hyperlink"/>
                <w:rFonts w:ascii="Times New Roman" w:hAnsi="Times New Roman"/>
                <w:noProof/>
                <w:sz w:val="24"/>
              </w:rPr>
              <w:t>Costs of a fenceline monitoring program</w:t>
            </w:r>
            <w:r w:rsidRPr="000A0484">
              <w:rPr>
                <w:noProof/>
                <w:webHidden/>
              </w:rPr>
              <w:tab/>
            </w:r>
            <w:r w:rsidRPr="000A0484">
              <w:rPr>
                <w:noProof/>
                <w:webHidden/>
              </w:rPr>
              <w:fldChar w:fldCharType="begin"/>
            </w:r>
            <w:r w:rsidRPr="000A0484">
              <w:rPr>
                <w:noProof/>
                <w:webHidden/>
              </w:rPr>
              <w:instrText xml:space="preserve"> PAGEREF _Toc153373852 \h </w:instrText>
            </w:r>
            <w:r w:rsidRPr="000A0484">
              <w:rPr>
                <w:noProof/>
                <w:webHidden/>
              </w:rPr>
              <w:fldChar w:fldCharType="separate"/>
            </w:r>
            <w:r w:rsidR="00390792">
              <w:rPr>
                <w:noProof/>
                <w:webHidden/>
              </w:rPr>
              <w:t>368</w:t>
            </w:r>
            <w:r w:rsidRPr="000A0484">
              <w:rPr>
                <w:noProof/>
                <w:webHidden/>
              </w:rPr>
              <w:fldChar w:fldCharType="end"/>
            </w:r>
          </w:hyperlink>
        </w:p>
        <w:p w:rsidR="009E5E50" w:rsidRPr="000A0484" w14:paraId="2BD7BCFB" w14:textId="796F3553">
          <w:pPr>
            <w:pStyle w:val="TOC1"/>
            <w:rPr>
              <w:rFonts w:ascii="Times New Roman" w:hAnsi="Times New Roman"/>
              <w:noProof/>
              <w:kern w:val="2"/>
              <w:sz w:val="24"/>
              <w14:ligatures w14:val="standardContextual"/>
            </w:rPr>
          </w:pPr>
          <w:hyperlink w:anchor="_Toc153373853" w:history="1">
            <w:r w:rsidRPr="000A0484">
              <w:rPr>
                <w:rStyle w:val="Hyperlink"/>
                <w:rFonts w:ascii="Times New Roman" w:hAnsi="Times New Roman"/>
                <w:noProof/>
                <w:sz w:val="24"/>
              </w:rPr>
              <w:t>19</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Chemical list expansion</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_Toc153373853 \h </w:instrText>
            </w:r>
            <w:r w:rsidRPr="000A0484">
              <w:rPr>
                <w:rFonts w:ascii="Times New Roman" w:hAnsi="Times New Roman"/>
                <w:noProof/>
                <w:webHidden/>
                <w:sz w:val="24"/>
              </w:rPr>
              <w:fldChar w:fldCharType="separate"/>
            </w:r>
            <w:r w:rsidR="00390792">
              <w:rPr>
                <w:rFonts w:ascii="Times New Roman" w:hAnsi="Times New Roman"/>
                <w:noProof/>
                <w:webHidden/>
                <w:sz w:val="24"/>
              </w:rPr>
              <w:t>369</w:t>
            </w:r>
            <w:r w:rsidRPr="000A0484">
              <w:rPr>
                <w:rFonts w:ascii="Times New Roman" w:hAnsi="Times New Roman"/>
                <w:noProof/>
                <w:webHidden/>
                <w:sz w:val="24"/>
              </w:rPr>
              <w:fldChar w:fldCharType="end"/>
            </w:r>
          </w:hyperlink>
        </w:p>
        <w:p w:rsidR="009E5E50" w:rsidRPr="000A0484" w:rsidP="00564A59" w14:paraId="0E79A401" w14:textId="1F5D3AF3">
          <w:pPr>
            <w:pStyle w:val="TOC2"/>
            <w:rPr>
              <w:noProof/>
              <w:kern w:val="2"/>
              <w14:ligatures w14:val="standardContextual"/>
            </w:rPr>
          </w:pPr>
          <w:hyperlink w:anchor="_Toc153373854" w:history="1">
            <w:r w:rsidRPr="000A0484">
              <w:rPr>
                <w:rStyle w:val="Hyperlink"/>
                <w:rFonts w:ascii="Times New Roman" w:eastAsia="Times New Roman" w:hAnsi="Times New Roman"/>
                <w:noProof/>
                <w:sz w:val="24"/>
              </w:rPr>
              <w:t>19.1</w:t>
            </w:r>
            <w:r w:rsidRPr="000A0484">
              <w:rPr>
                <w:noProof/>
                <w:kern w:val="2"/>
                <w14:ligatures w14:val="standardContextual"/>
              </w:rPr>
              <w:tab/>
            </w:r>
            <w:r w:rsidRPr="000A0484">
              <w:rPr>
                <w:rStyle w:val="Hyperlink"/>
                <w:rFonts w:ascii="Times New Roman" w:eastAsia="Times New Roman" w:hAnsi="Times New Roman"/>
                <w:noProof/>
                <w:sz w:val="24"/>
              </w:rPr>
              <w:t>Ammonium nitrate</w:t>
            </w:r>
            <w:r w:rsidRPr="000A0484">
              <w:rPr>
                <w:noProof/>
                <w:webHidden/>
              </w:rPr>
              <w:tab/>
            </w:r>
            <w:r w:rsidRPr="000A0484">
              <w:rPr>
                <w:noProof/>
                <w:webHidden/>
              </w:rPr>
              <w:fldChar w:fldCharType="begin"/>
            </w:r>
            <w:r w:rsidRPr="000A0484">
              <w:rPr>
                <w:noProof/>
                <w:webHidden/>
              </w:rPr>
              <w:instrText xml:space="preserve"> PAGEREF _Toc153373854 \h </w:instrText>
            </w:r>
            <w:r w:rsidRPr="000A0484">
              <w:rPr>
                <w:noProof/>
                <w:webHidden/>
              </w:rPr>
              <w:fldChar w:fldCharType="separate"/>
            </w:r>
            <w:r w:rsidR="00390792">
              <w:rPr>
                <w:noProof/>
                <w:webHidden/>
              </w:rPr>
              <w:t>369</w:t>
            </w:r>
            <w:r w:rsidRPr="000A0484">
              <w:rPr>
                <w:noProof/>
                <w:webHidden/>
              </w:rPr>
              <w:fldChar w:fldCharType="end"/>
            </w:r>
          </w:hyperlink>
        </w:p>
        <w:p w:rsidR="009E5E50" w:rsidRPr="000A0484" w:rsidP="00564A59" w14:paraId="6B958464" w14:textId="5B5D1BCA">
          <w:pPr>
            <w:pStyle w:val="TOC2"/>
            <w:rPr>
              <w:noProof/>
              <w:kern w:val="2"/>
              <w14:ligatures w14:val="standardContextual"/>
            </w:rPr>
          </w:pPr>
          <w:hyperlink w:anchor="_Toc153373855" w:history="1">
            <w:r w:rsidRPr="000A0484">
              <w:rPr>
                <w:rStyle w:val="Hyperlink"/>
                <w:rFonts w:ascii="Times New Roman" w:hAnsi="Times New Roman"/>
                <w:noProof/>
                <w:sz w:val="24"/>
              </w:rPr>
              <w:t>19.2</w:t>
            </w:r>
            <w:r w:rsidRPr="000A0484">
              <w:rPr>
                <w:noProof/>
                <w:kern w:val="2"/>
                <w14:ligatures w14:val="standardContextual"/>
              </w:rPr>
              <w:tab/>
            </w:r>
            <w:r w:rsidRPr="000A0484">
              <w:rPr>
                <w:rStyle w:val="Hyperlink"/>
                <w:rFonts w:ascii="Times New Roman" w:hAnsi="Times New Roman"/>
                <w:noProof/>
                <w:sz w:val="24"/>
              </w:rPr>
              <w:t>Other substances identified by commenters</w:t>
            </w:r>
            <w:r w:rsidRPr="000A0484">
              <w:rPr>
                <w:noProof/>
                <w:webHidden/>
              </w:rPr>
              <w:tab/>
            </w:r>
            <w:r w:rsidRPr="000A0484">
              <w:rPr>
                <w:noProof/>
                <w:webHidden/>
              </w:rPr>
              <w:fldChar w:fldCharType="begin"/>
            </w:r>
            <w:r w:rsidRPr="000A0484">
              <w:rPr>
                <w:noProof/>
                <w:webHidden/>
              </w:rPr>
              <w:instrText xml:space="preserve"> PAGEREF _Toc153373855 \h </w:instrText>
            </w:r>
            <w:r w:rsidRPr="000A0484">
              <w:rPr>
                <w:noProof/>
                <w:webHidden/>
              </w:rPr>
              <w:fldChar w:fldCharType="separate"/>
            </w:r>
            <w:r w:rsidR="00390792">
              <w:rPr>
                <w:noProof/>
                <w:webHidden/>
              </w:rPr>
              <w:t>374</w:t>
            </w:r>
            <w:r w:rsidRPr="000A0484">
              <w:rPr>
                <w:noProof/>
                <w:webHidden/>
              </w:rPr>
              <w:fldChar w:fldCharType="end"/>
            </w:r>
          </w:hyperlink>
        </w:p>
        <w:p w:rsidR="009E5E50" w:rsidRPr="000A0484" w:rsidP="00564A59" w14:paraId="6204DBD9" w14:textId="61388A79">
          <w:pPr>
            <w:pStyle w:val="TOC2"/>
            <w:rPr>
              <w:noProof/>
              <w:kern w:val="2"/>
              <w14:ligatures w14:val="standardContextual"/>
            </w:rPr>
          </w:pPr>
          <w:hyperlink w:anchor="_Toc153373856" w:history="1">
            <w:r w:rsidRPr="000A0484">
              <w:rPr>
                <w:rStyle w:val="Hyperlink"/>
                <w:rFonts w:ascii="Times New Roman" w:hAnsi="Times New Roman"/>
                <w:noProof/>
                <w:sz w:val="24"/>
              </w:rPr>
              <w:t>19.3</w:t>
            </w:r>
            <w:r w:rsidRPr="000A0484">
              <w:rPr>
                <w:noProof/>
                <w:kern w:val="2"/>
                <w14:ligatures w14:val="standardContextual"/>
              </w:rPr>
              <w:tab/>
            </w:r>
            <w:r w:rsidRPr="000A0484">
              <w:rPr>
                <w:rStyle w:val="Hyperlink"/>
                <w:rFonts w:ascii="Times New Roman" w:hAnsi="Times New Roman"/>
                <w:noProof/>
                <w:sz w:val="24"/>
              </w:rPr>
              <w:t>How should EPA prioritize listing new substances?</w:t>
            </w:r>
            <w:r w:rsidRPr="000A0484">
              <w:rPr>
                <w:noProof/>
                <w:webHidden/>
              </w:rPr>
              <w:tab/>
            </w:r>
            <w:r w:rsidRPr="000A0484">
              <w:rPr>
                <w:noProof/>
                <w:webHidden/>
              </w:rPr>
              <w:fldChar w:fldCharType="begin"/>
            </w:r>
            <w:r w:rsidRPr="000A0484">
              <w:rPr>
                <w:noProof/>
                <w:webHidden/>
              </w:rPr>
              <w:instrText xml:space="preserve"> PAGEREF _Toc153373856 \h </w:instrText>
            </w:r>
            <w:r w:rsidRPr="000A0484">
              <w:rPr>
                <w:noProof/>
                <w:webHidden/>
              </w:rPr>
              <w:fldChar w:fldCharType="separate"/>
            </w:r>
            <w:r w:rsidR="00390792">
              <w:rPr>
                <w:noProof/>
                <w:webHidden/>
              </w:rPr>
              <w:t>377</w:t>
            </w:r>
            <w:r w:rsidRPr="000A0484">
              <w:rPr>
                <w:noProof/>
                <w:webHidden/>
              </w:rPr>
              <w:fldChar w:fldCharType="end"/>
            </w:r>
          </w:hyperlink>
        </w:p>
        <w:p w:rsidR="009E5E50" w:rsidRPr="000A0484" w14:paraId="6F7306D8" w14:textId="28EB00E6">
          <w:pPr>
            <w:pStyle w:val="TOC1"/>
            <w:rPr>
              <w:rFonts w:ascii="Times New Roman" w:hAnsi="Times New Roman"/>
              <w:noProof/>
              <w:kern w:val="2"/>
              <w:sz w:val="24"/>
              <w14:ligatures w14:val="standardContextual"/>
            </w:rPr>
          </w:pPr>
          <w:hyperlink w:anchor="_Toc153373857" w:history="1">
            <w:r w:rsidRPr="000A0484">
              <w:rPr>
                <w:rStyle w:val="Hyperlink"/>
                <w:rFonts w:ascii="Times New Roman" w:hAnsi="Times New Roman"/>
                <w:noProof/>
                <w:sz w:val="24"/>
              </w:rPr>
              <w:t>20</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Other topics related to the Technical Background Document Content</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_Toc153373857 \h </w:instrText>
            </w:r>
            <w:r w:rsidRPr="000A0484">
              <w:rPr>
                <w:rFonts w:ascii="Times New Roman" w:hAnsi="Times New Roman"/>
                <w:noProof/>
                <w:webHidden/>
                <w:sz w:val="24"/>
              </w:rPr>
              <w:fldChar w:fldCharType="separate"/>
            </w:r>
            <w:r w:rsidR="00390792">
              <w:rPr>
                <w:rFonts w:ascii="Times New Roman" w:hAnsi="Times New Roman"/>
                <w:noProof/>
                <w:webHidden/>
                <w:sz w:val="24"/>
              </w:rPr>
              <w:t>378</w:t>
            </w:r>
            <w:r w:rsidRPr="000A0484">
              <w:rPr>
                <w:rFonts w:ascii="Times New Roman" w:hAnsi="Times New Roman"/>
                <w:noProof/>
                <w:webHidden/>
                <w:sz w:val="24"/>
              </w:rPr>
              <w:fldChar w:fldCharType="end"/>
            </w:r>
          </w:hyperlink>
        </w:p>
        <w:p w:rsidR="009E5E50" w:rsidRPr="000A0484" w14:paraId="2ADA85B4" w14:textId="4E436D9D">
          <w:pPr>
            <w:pStyle w:val="TOC1"/>
            <w:rPr>
              <w:rFonts w:ascii="Times New Roman" w:hAnsi="Times New Roman"/>
              <w:noProof/>
              <w:kern w:val="2"/>
              <w:sz w:val="24"/>
              <w14:ligatures w14:val="standardContextual"/>
            </w:rPr>
          </w:pPr>
          <w:hyperlink w:anchor="_Toc153373858" w:history="1">
            <w:r w:rsidRPr="000A0484">
              <w:rPr>
                <w:rStyle w:val="Hyperlink"/>
                <w:rFonts w:ascii="Times New Roman" w:hAnsi="Times New Roman"/>
                <w:noProof/>
                <w:sz w:val="24"/>
              </w:rPr>
              <w:t>21</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Statutory and Executive Orders Reviews</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_Toc153373858 \h </w:instrText>
            </w:r>
            <w:r w:rsidRPr="000A0484">
              <w:rPr>
                <w:rFonts w:ascii="Times New Roman" w:hAnsi="Times New Roman"/>
                <w:noProof/>
                <w:webHidden/>
                <w:sz w:val="24"/>
              </w:rPr>
              <w:fldChar w:fldCharType="separate"/>
            </w:r>
            <w:r w:rsidR="00390792">
              <w:rPr>
                <w:rFonts w:ascii="Times New Roman" w:hAnsi="Times New Roman"/>
                <w:noProof/>
                <w:webHidden/>
                <w:sz w:val="24"/>
              </w:rPr>
              <w:t>378</w:t>
            </w:r>
            <w:r w:rsidRPr="000A0484">
              <w:rPr>
                <w:rFonts w:ascii="Times New Roman" w:hAnsi="Times New Roman"/>
                <w:noProof/>
                <w:webHidden/>
                <w:sz w:val="24"/>
              </w:rPr>
              <w:fldChar w:fldCharType="end"/>
            </w:r>
          </w:hyperlink>
        </w:p>
        <w:p w:rsidR="009E5E50" w:rsidRPr="000A0484" w:rsidP="00564A59" w14:paraId="1C482056" w14:textId="78262789">
          <w:pPr>
            <w:pStyle w:val="TOC2"/>
            <w:rPr>
              <w:noProof/>
              <w:kern w:val="2"/>
              <w14:ligatures w14:val="standardContextual"/>
            </w:rPr>
          </w:pPr>
          <w:hyperlink w:anchor="_Toc153373859" w:history="1">
            <w:r w:rsidRPr="000A0484">
              <w:rPr>
                <w:rStyle w:val="Hyperlink"/>
                <w:rFonts w:ascii="Times New Roman" w:hAnsi="Times New Roman"/>
                <w:noProof/>
                <w:sz w:val="24"/>
              </w:rPr>
              <w:t>21.1</w:t>
            </w:r>
            <w:r w:rsidRPr="000A0484">
              <w:rPr>
                <w:noProof/>
                <w:kern w:val="2"/>
                <w14:ligatures w14:val="standardContextual"/>
              </w:rPr>
              <w:tab/>
            </w:r>
            <w:r w:rsidRPr="000A0484">
              <w:rPr>
                <w:rStyle w:val="Hyperlink"/>
                <w:rFonts w:ascii="Times New Roman" w:hAnsi="Times New Roman"/>
                <w:noProof/>
                <w:sz w:val="24"/>
              </w:rPr>
              <w:t>Executive Order 12866: Regulatory Planning and Review and Executive Order 13563: Improving Regulation and Regulatory Review</w:t>
            </w:r>
            <w:r w:rsidRPr="000A0484">
              <w:rPr>
                <w:noProof/>
                <w:webHidden/>
              </w:rPr>
              <w:tab/>
            </w:r>
            <w:r w:rsidRPr="000A0484">
              <w:rPr>
                <w:noProof/>
                <w:webHidden/>
              </w:rPr>
              <w:fldChar w:fldCharType="begin"/>
            </w:r>
            <w:r w:rsidRPr="000A0484">
              <w:rPr>
                <w:noProof/>
                <w:webHidden/>
              </w:rPr>
              <w:instrText xml:space="preserve"> PAGEREF _Toc153373859 \h </w:instrText>
            </w:r>
            <w:r w:rsidRPr="000A0484">
              <w:rPr>
                <w:noProof/>
                <w:webHidden/>
              </w:rPr>
              <w:fldChar w:fldCharType="separate"/>
            </w:r>
            <w:r w:rsidR="00390792">
              <w:rPr>
                <w:noProof/>
                <w:webHidden/>
              </w:rPr>
              <w:t>378</w:t>
            </w:r>
            <w:r w:rsidRPr="000A0484">
              <w:rPr>
                <w:noProof/>
                <w:webHidden/>
              </w:rPr>
              <w:fldChar w:fldCharType="end"/>
            </w:r>
          </w:hyperlink>
        </w:p>
        <w:p w:rsidR="009E5E50" w:rsidRPr="000A0484" w:rsidP="00564A59" w14:paraId="160D43D5" w14:textId="64C5FD5C">
          <w:pPr>
            <w:pStyle w:val="TOC2"/>
            <w:rPr>
              <w:noProof/>
              <w:kern w:val="2"/>
              <w14:ligatures w14:val="standardContextual"/>
            </w:rPr>
          </w:pPr>
          <w:hyperlink w:anchor="_Toc153373860" w:history="1">
            <w:r w:rsidRPr="000A0484">
              <w:rPr>
                <w:rStyle w:val="Hyperlink"/>
                <w:rFonts w:ascii="Times New Roman" w:hAnsi="Times New Roman"/>
                <w:noProof/>
                <w:sz w:val="24"/>
              </w:rPr>
              <w:t>21.2</w:t>
            </w:r>
            <w:r w:rsidRPr="000A0484">
              <w:rPr>
                <w:noProof/>
                <w:kern w:val="2"/>
                <w14:ligatures w14:val="standardContextual"/>
              </w:rPr>
              <w:tab/>
            </w:r>
            <w:r w:rsidRPr="000A0484">
              <w:rPr>
                <w:rStyle w:val="Hyperlink"/>
                <w:rFonts w:ascii="Times New Roman" w:hAnsi="Times New Roman"/>
                <w:noProof/>
                <w:sz w:val="24"/>
              </w:rPr>
              <w:t>Paperwork Reduction Act (PRA)</w:t>
            </w:r>
            <w:r w:rsidRPr="000A0484">
              <w:rPr>
                <w:noProof/>
                <w:webHidden/>
              </w:rPr>
              <w:tab/>
            </w:r>
            <w:r w:rsidRPr="000A0484">
              <w:rPr>
                <w:noProof/>
                <w:webHidden/>
              </w:rPr>
              <w:fldChar w:fldCharType="begin"/>
            </w:r>
            <w:r w:rsidRPr="000A0484">
              <w:rPr>
                <w:noProof/>
                <w:webHidden/>
              </w:rPr>
              <w:instrText xml:space="preserve"> PAGEREF _Toc153373860 \h </w:instrText>
            </w:r>
            <w:r w:rsidRPr="000A0484">
              <w:rPr>
                <w:noProof/>
                <w:webHidden/>
              </w:rPr>
              <w:fldChar w:fldCharType="separate"/>
            </w:r>
            <w:r w:rsidR="00390792">
              <w:rPr>
                <w:noProof/>
                <w:webHidden/>
              </w:rPr>
              <w:t>381</w:t>
            </w:r>
            <w:r w:rsidRPr="000A0484">
              <w:rPr>
                <w:noProof/>
                <w:webHidden/>
              </w:rPr>
              <w:fldChar w:fldCharType="end"/>
            </w:r>
          </w:hyperlink>
        </w:p>
        <w:p w:rsidR="009E5E50" w:rsidRPr="000A0484" w:rsidP="00564A59" w14:paraId="15F00BE3" w14:textId="6FE650FB">
          <w:pPr>
            <w:pStyle w:val="TOC2"/>
            <w:rPr>
              <w:noProof/>
              <w:kern w:val="2"/>
              <w14:ligatures w14:val="standardContextual"/>
            </w:rPr>
          </w:pPr>
          <w:hyperlink w:anchor="_Toc153373861" w:history="1">
            <w:r w:rsidRPr="000A0484">
              <w:rPr>
                <w:rStyle w:val="Hyperlink"/>
                <w:rFonts w:ascii="Times New Roman" w:hAnsi="Times New Roman"/>
                <w:noProof/>
                <w:sz w:val="24"/>
              </w:rPr>
              <w:t>21.3</w:t>
            </w:r>
            <w:r w:rsidRPr="000A0484">
              <w:rPr>
                <w:noProof/>
                <w:kern w:val="2"/>
                <w14:ligatures w14:val="standardContextual"/>
              </w:rPr>
              <w:tab/>
            </w:r>
            <w:r w:rsidRPr="000A0484">
              <w:rPr>
                <w:rStyle w:val="Hyperlink"/>
                <w:rFonts w:ascii="Times New Roman" w:hAnsi="Times New Roman"/>
                <w:noProof/>
                <w:sz w:val="24"/>
              </w:rPr>
              <w:t>Regulatory Flexibility Act (RFA)</w:t>
            </w:r>
            <w:r w:rsidRPr="000A0484">
              <w:rPr>
                <w:noProof/>
                <w:webHidden/>
              </w:rPr>
              <w:tab/>
            </w:r>
            <w:r w:rsidRPr="000A0484">
              <w:rPr>
                <w:noProof/>
                <w:webHidden/>
              </w:rPr>
              <w:fldChar w:fldCharType="begin"/>
            </w:r>
            <w:r w:rsidRPr="000A0484">
              <w:rPr>
                <w:noProof/>
                <w:webHidden/>
              </w:rPr>
              <w:instrText xml:space="preserve"> PAGEREF _Toc153373861 \h </w:instrText>
            </w:r>
            <w:r w:rsidRPr="000A0484">
              <w:rPr>
                <w:noProof/>
                <w:webHidden/>
              </w:rPr>
              <w:fldChar w:fldCharType="separate"/>
            </w:r>
            <w:r w:rsidR="00390792">
              <w:rPr>
                <w:noProof/>
                <w:webHidden/>
              </w:rPr>
              <w:t>383</w:t>
            </w:r>
            <w:r w:rsidRPr="000A0484">
              <w:rPr>
                <w:noProof/>
                <w:webHidden/>
              </w:rPr>
              <w:fldChar w:fldCharType="end"/>
            </w:r>
          </w:hyperlink>
        </w:p>
        <w:p w:rsidR="009E5E50" w:rsidRPr="000A0484" w:rsidP="00564A59" w14:paraId="3504BE36" w14:textId="11A11325">
          <w:pPr>
            <w:pStyle w:val="TOC2"/>
            <w:rPr>
              <w:noProof/>
              <w:kern w:val="2"/>
              <w14:ligatures w14:val="standardContextual"/>
            </w:rPr>
          </w:pPr>
          <w:hyperlink w:anchor="_Toc153373862" w:history="1">
            <w:r w:rsidRPr="000A0484">
              <w:rPr>
                <w:rStyle w:val="Hyperlink"/>
                <w:rFonts w:ascii="Times New Roman" w:hAnsi="Times New Roman"/>
                <w:noProof/>
                <w:sz w:val="24"/>
              </w:rPr>
              <w:t>21.4</w:t>
            </w:r>
            <w:r w:rsidRPr="000A0484">
              <w:rPr>
                <w:noProof/>
                <w:kern w:val="2"/>
                <w14:ligatures w14:val="standardContextual"/>
              </w:rPr>
              <w:tab/>
            </w:r>
            <w:r w:rsidRPr="000A0484">
              <w:rPr>
                <w:rStyle w:val="Hyperlink"/>
                <w:rFonts w:ascii="Times New Roman" w:hAnsi="Times New Roman"/>
                <w:noProof/>
                <w:sz w:val="24"/>
              </w:rPr>
              <w:t>Unfunded Mandates Reform Act (UMRA)</w:t>
            </w:r>
            <w:r w:rsidRPr="000A0484">
              <w:rPr>
                <w:noProof/>
                <w:webHidden/>
              </w:rPr>
              <w:tab/>
            </w:r>
            <w:r w:rsidRPr="000A0484">
              <w:rPr>
                <w:noProof/>
                <w:webHidden/>
              </w:rPr>
              <w:fldChar w:fldCharType="begin"/>
            </w:r>
            <w:r w:rsidRPr="000A0484">
              <w:rPr>
                <w:noProof/>
                <w:webHidden/>
              </w:rPr>
              <w:instrText xml:space="preserve"> PAGEREF _Toc153373862 \h </w:instrText>
            </w:r>
            <w:r w:rsidRPr="000A0484">
              <w:rPr>
                <w:noProof/>
                <w:webHidden/>
              </w:rPr>
              <w:fldChar w:fldCharType="separate"/>
            </w:r>
            <w:r w:rsidR="00390792">
              <w:rPr>
                <w:noProof/>
                <w:webHidden/>
              </w:rPr>
              <w:t>386</w:t>
            </w:r>
            <w:r w:rsidRPr="000A0484">
              <w:rPr>
                <w:noProof/>
                <w:webHidden/>
              </w:rPr>
              <w:fldChar w:fldCharType="end"/>
            </w:r>
          </w:hyperlink>
        </w:p>
        <w:p w:rsidR="009E5E50" w:rsidRPr="000A0484" w:rsidP="00564A59" w14:paraId="1201E0AE" w14:textId="31160ABD">
          <w:pPr>
            <w:pStyle w:val="TOC2"/>
            <w:rPr>
              <w:noProof/>
              <w:kern w:val="2"/>
              <w14:ligatures w14:val="standardContextual"/>
            </w:rPr>
          </w:pPr>
          <w:hyperlink w:anchor="_Toc153373863" w:history="1">
            <w:r w:rsidRPr="000A0484">
              <w:rPr>
                <w:rStyle w:val="Hyperlink"/>
                <w:rFonts w:ascii="Times New Roman" w:hAnsi="Times New Roman"/>
                <w:noProof/>
                <w:sz w:val="24"/>
              </w:rPr>
              <w:t>21.5</w:t>
            </w:r>
            <w:r w:rsidRPr="000A0484">
              <w:rPr>
                <w:noProof/>
                <w:kern w:val="2"/>
                <w14:ligatures w14:val="standardContextual"/>
              </w:rPr>
              <w:tab/>
            </w:r>
            <w:r w:rsidRPr="000A0484">
              <w:rPr>
                <w:rStyle w:val="Hyperlink"/>
                <w:rFonts w:ascii="Times New Roman" w:hAnsi="Times New Roman"/>
                <w:noProof/>
                <w:sz w:val="24"/>
              </w:rPr>
              <w:t>Executive Order 13132: Federalism</w:t>
            </w:r>
            <w:r w:rsidRPr="000A0484">
              <w:rPr>
                <w:noProof/>
                <w:webHidden/>
              </w:rPr>
              <w:tab/>
            </w:r>
            <w:r w:rsidRPr="000A0484">
              <w:rPr>
                <w:noProof/>
                <w:webHidden/>
              </w:rPr>
              <w:fldChar w:fldCharType="begin"/>
            </w:r>
            <w:r w:rsidRPr="000A0484">
              <w:rPr>
                <w:noProof/>
                <w:webHidden/>
              </w:rPr>
              <w:instrText xml:space="preserve"> PAGEREF _Toc153373863 \h </w:instrText>
            </w:r>
            <w:r w:rsidRPr="000A0484">
              <w:rPr>
                <w:noProof/>
                <w:webHidden/>
              </w:rPr>
              <w:fldChar w:fldCharType="separate"/>
            </w:r>
            <w:r w:rsidR="00390792">
              <w:rPr>
                <w:noProof/>
                <w:webHidden/>
              </w:rPr>
              <w:t>386</w:t>
            </w:r>
            <w:r w:rsidRPr="000A0484">
              <w:rPr>
                <w:noProof/>
                <w:webHidden/>
              </w:rPr>
              <w:fldChar w:fldCharType="end"/>
            </w:r>
          </w:hyperlink>
        </w:p>
        <w:p w:rsidR="009E5E50" w:rsidRPr="000A0484" w:rsidP="00564A59" w14:paraId="6D153C7D" w14:textId="5765EAFE">
          <w:pPr>
            <w:pStyle w:val="TOC2"/>
            <w:rPr>
              <w:noProof/>
              <w:kern w:val="2"/>
              <w14:ligatures w14:val="standardContextual"/>
            </w:rPr>
          </w:pPr>
          <w:hyperlink w:anchor="_Toc153373864" w:history="1">
            <w:r w:rsidRPr="000A0484">
              <w:rPr>
                <w:rStyle w:val="Hyperlink"/>
                <w:rFonts w:ascii="Times New Roman" w:hAnsi="Times New Roman"/>
                <w:noProof/>
                <w:sz w:val="24"/>
              </w:rPr>
              <w:t>21.6</w:t>
            </w:r>
            <w:r w:rsidRPr="000A0484">
              <w:rPr>
                <w:noProof/>
                <w:kern w:val="2"/>
                <w14:ligatures w14:val="standardContextual"/>
              </w:rPr>
              <w:tab/>
            </w:r>
            <w:r w:rsidRPr="000A0484">
              <w:rPr>
                <w:rStyle w:val="Hyperlink"/>
                <w:rFonts w:ascii="Times New Roman" w:hAnsi="Times New Roman"/>
                <w:noProof/>
                <w:sz w:val="24"/>
              </w:rPr>
              <w:t>Executive Order 13175: Consultation and Coordination With Indian Tribal Governments</w:t>
            </w:r>
            <w:r w:rsidRPr="000A0484">
              <w:rPr>
                <w:noProof/>
                <w:webHidden/>
              </w:rPr>
              <w:tab/>
            </w:r>
            <w:r w:rsidRPr="000A0484">
              <w:rPr>
                <w:noProof/>
                <w:webHidden/>
              </w:rPr>
              <w:fldChar w:fldCharType="begin"/>
            </w:r>
            <w:r w:rsidRPr="000A0484">
              <w:rPr>
                <w:noProof/>
                <w:webHidden/>
              </w:rPr>
              <w:instrText xml:space="preserve"> PAGEREF _Toc153373864 \h </w:instrText>
            </w:r>
            <w:r w:rsidRPr="000A0484">
              <w:rPr>
                <w:noProof/>
                <w:webHidden/>
              </w:rPr>
              <w:fldChar w:fldCharType="separate"/>
            </w:r>
            <w:r w:rsidR="00390792">
              <w:rPr>
                <w:noProof/>
                <w:webHidden/>
              </w:rPr>
              <w:t>386</w:t>
            </w:r>
            <w:r w:rsidRPr="000A0484">
              <w:rPr>
                <w:noProof/>
                <w:webHidden/>
              </w:rPr>
              <w:fldChar w:fldCharType="end"/>
            </w:r>
          </w:hyperlink>
        </w:p>
        <w:p w:rsidR="009E5E50" w:rsidRPr="000A0484" w:rsidP="00564A59" w14:paraId="62BE79F9" w14:textId="726D954A">
          <w:pPr>
            <w:pStyle w:val="TOC2"/>
            <w:rPr>
              <w:noProof/>
              <w:kern w:val="2"/>
              <w14:ligatures w14:val="standardContextual"/>
            </w:rPr>
          </w:pPr>
          <w:hyperlink w:anchor="_Toc153373865" w:history="1">
            <w:r w:rsidRPr="000A0484">
              <w:rPr>
                <w:rStyle w:val="Hyperlink"/>
                <w:rFonts w:ascii="Times New Roman" w:hAnsi="Times New Roman"/>
                <w:noProof/>
                <w:sz w:val="24"/>
              </w:rPr>
              <w:t>21.7</w:t>
            </w:r>
            <w:r w:rsidRPr="000A0484">
              <w:rPr>
                <w:noProof/>
                <w:kern w:val="2"/>
                <w14:ligatures w14:val="standardContextual"/>
              </w:rPr>
              <w:tab/>
            </w:r>
            <w:r w:rsidRPr="000A0484">
              <w:rPr>
                <w:rStyle w:val="Hyperlink"/>
                <w:rFonts w:ascii="Times New Roman" w:hAnsi="Times New Roman"/>
                <w:noProof/>
                <w:sz w:val="24"/>
              </w:rPr>
              <w:t>Executive Order 13045: Protection of Children From Environmental Health Risks and Safety Risks</w:t>
            </w:r>
            <w:r w:rsidRPr="000A0484">
              <w:rPr>
                <w:noProof/>
                <w:webHidden/>
              </w:rPr>
              <w:tab/>
            </w:r>
            <w:r w:rsidRPr="000A0484">
              <w:rPr>
                <w:noProof/>
                <w:webHidden/>
              </w:rPr>
              <w:fldChar w:fldCharType="begin"/>
            </w:r>
            <w:r w:rsidRPr="000A0484">
              <w:rPr>
                <w:noProof/>
                <w:webHidden/>
              </w:rPr>
              <w:instrText xml:space="preserve"> PAGEREF _Toc153373865 \h </w:instrText>
            </w:r>
            <w:r w:rsidRPr="000A0484">
              <w:rPr>
                <w:noProof/>
                <w:webHidden/>
              </w:rPr>
              <w:fldChar w:fldCharType="separate"/>
            </w:r>
            <w:r w:rsidR="00390792">
              <w:rPr>
                <w:noProof/>
                <w:webHidden/>
              </w:rPr>
              <w:t>386</w:t>
            </w:r>
            <w:r w:rsidRPr="000A0484">
              <w:rPr>
                <w:noProof/>
                <w:webHidden/>
              </w:rPr>
              <w:fldChar w:fldCharType="end"/>
            </w:r>
          </w:hyperlink>
        </w:p>
        <w:p w:rsidR="009E5E50" w:rsidRPr="000A0484" w:rsidP="00564A59" w14:paraId="405A3B52" w14:textId="7F1E0E8A">
          <w:pPr>
            <w:pStyle w:val="TOC2"/>
            <w:rPr>
              <w:noProof/>
              <w:kern w:val="2"/>
              <w14:ligatures w14:val="standardContextual"/>
            </w:rPr>
          </w:pPr>
          <w:hyperlink w:anchor="_Toc153373866" w:history="1">
            <w:r w:rsidRPr="000A0484">
              <w:rPr>
                <w:rStyle w:val="Hyperlink"/>
                <w:rFonts w:ascii="Times New Roman" w:hAnsi="Times New Roman"/>
                <w:noProof/>
                <w:sz w:val="24"/>
              </w:rPr>
              <w:t>21.8</w:t>
            </w:r>
            <w:r w:rsidRPr="000A0484">
              <w:rPr>
                <w:noProof/>
                <w:kern w:val="2"/>
                <w14:ligatures w14:val="standardContextual"/>
              </w:rPr>
              <w:tab/>
            </w:r>
            <w:r w:rsidRPr="000A0484">
              <w:rPr>
                <w:rStyle w:val="Hyperlink"/>
                <w:rFonts w:ascii="Times New Roman" w:hAnsi="Times New Roman"/>
                <w:noProof/>
                <w:sz w:val="24"/>
              </w:rPr>
              <w:t>Executive Order 13211: Actions Concerning Regulations That Significantly Affect Energy Supply, Distribution or Use</w:t>
            </w:r>
            <w:r w:rsidRPr="000A0484">
              <w:rPr>
                <w:noProof/>
                <w:webHidden/>
              </w:rPr>
              <w:tab/>
            </w:r>
            <w:r w:rsidRPr="000A0484">
              <w:rPr>
                <w:noProof/>
                <w:webHidden/>
              </w:rPr>
              <w:fldChar w:fldCharType="begin"/>
            </w:r>
            <w:r w:rsidRPr="000A0484">
              <w:rPr>
                <w:noProof/>
                <w:webHidden/>
              </w:rPr>
              <w:instrText xml:space="preserve"> PAGEREF _Toc153373866 \h </w:instrText>
            </w:r>
            <w:r w:rsidRPr="000A0484">
              <w:rPr>
                <w:noProof/>
                <w:webHidden/>
              </w:rPr>
              <w:fldChar w:fldCharType="separate"/>
            </w:r>
            <w:r w:rsidR="00390792">
              <w:rPr>
                <w:noProof/>
                <w:webHidden/>
              </w:rPr>
              <w:t>387</w:t>
            </w:r>
            <w:r w:rsidRPr="000A0484">
              <w:rPr>
                <w:noProof/>
                <w:webHidden/>
              </w:rPr>
              <w:fldChar w:fldCharType="end"/>
            </w:r>
          </w:hyperlink>
        </w:p>
        <w:p w:rsidR="009E5E50" w:rsidRPr="000A0484" w:rsidP="00564A59" w14:paraId="60A287E9" w14:textId="571E6DDE">
          <w:pPr>
            <w:pStyle w:val="TOC2"/>
            <w:rPr>
              <w:noProof/>
              <w:kern w:val="2"/>
              <w14:ligatures w14:val="standardContextual"/>
            </w:rPr>
          </w:pPr>
          <w:hyperlink w:anchor="_Toc153373867" w:history="1">
            <w:r w:rsidRPr="000A0484">
              <w:rPr>
                <w:rStyle w:val="Hyperlink"/>
                <w:rFonts w:ascii="Times New Roman" w:hAnsi="Times New Roman"/>
                <w:noProof/>
                <w:sz w:val="24"/>
              </w:rPr>
              <w:t>21.9</w:t>
            </w:r>
            <w:r w:rsidRPr="000A0484">
              <w:rPr>
                <w:noProof/>
                <w:kern w:val="2"/>
                <w14:ligatures w14:val="standardContextual"/>
              </w:rPr>
              <w:tab/>
            </w:r>
            <w:r w:rsidRPr="000A0484">
              <w:rPr>
                <w:rStyle w:val="Hyperlink"/>
                <w:rFonts w:ascii="Times New Roman" w:hAnsi="Times New Roman"/>
                <w:noProof/>
                <w:sz w:val="24"/>
              </w:rPr>
              <w:t>National Technology Transfer and Advancement Act (NTTAA)</w:t>
            </w:r>
            <w:r w:rsidRPr="000A0484">
              <w:rPr>
                <w:noProof/>
                <w:webHidden/>
              </w:rPr>
              <w:tab/>
            </w:r>
            <w:r w:rsidRPr="000A0484">
              <w:rPr>
                <w:noProof/>
                <w:webHidden/>
              </w:rPr>
              <w:fldChar w:fldCharType="begin"/>
            </w:r>
            <w:r w:rsidRPr="000A0484">
              <w:rPr>
                <w:noProof/>
                <w:webHidden/>
              </w:rPr>
              <w:instrText xml:space="preserve"> PAGEREF _Toc153373867 \h </w:instrText>
            </w:r>
            <w:r w:rsidRPr="000A0484">
              <w:rPr>
                <w:noProof/>
                <w:webHidden/>
              </w:rPr>
              <w:fldChar w:fldCharType="separate"/>
            </w:r>
            <w:r w:rsidR="00390792">
              <w:rPr>
                <w:noProof/>
                <w:webHidden/>
              </w:rPr>
              <w:t>388</w:t>
            </w:r>
            <w:r w:rsidRPr="000A0484">
              <w:rPr>
                <w:noProof/>
                <w:webHidden/>
              </w:rPr>
              <w:fldChar w:fldCharType="end"/>
            </w:r>
          </w:hyperlink>
        </w:p>
        <w:p w:rsidR="009E5E50" w:rsidRPr="000A0484" w:rsidP="00564A59" w14:paraId="5644EEA7" w14:textId="702560D1">
          <w:pPr>
            <w:pStyle w:val="TOC2"/>
            <w:rPr>
              <w:noProof/>
              <w:kern w:val="2"/>
              <w14:ligatures w14:val="standardContextual"/>
            </w:rPr>
          </w:pPr>
          <w:hyperlink w:anchor="_Toc153373868" w:history="1">
            <w:r w:rsidRPr="000A0484">
              <w:rPr>
                <w:rStyle w:val="Hyperlink"/>
                <w:rFonts w:ascii="Times New Roman" w:hAnsi="Times New Roman"/>
                <w:noProof/>
                <w:sz w:val="24"/>
              </w:rPr>
              <w:t>21.10</w:t>
            </w:r>
            <w:r w:rsidRPr="000A0484">
              <w:rPr>
                <w:noProof/>
                <w:kern w:val="2"/>
                <w14:ligatures w14:val="standardContextual"/>
              </w:rPr>
              <w:tab/>
            </w:r>
            <w:r w:rsidRPr="000A0484">
              <w:rPr>
                <w:rStyle w:val="Hyperlink"/>
                <w:rFonts w:ascii="Times New Roman" w:hAnsi="Times New Roman"/>
                <w:noProof/>
                <w:sz w:val="24"/>
              </w:rPr>
              <w:t>Executive Order 12898: Federal Actions To Address Environmental Justice in Minority Populations and Low-Income Populations</w:t>
            </w:r>
            <w:r w:rsidRPr="000A0484">
              <w:rPr>
                <w:noProof/>
                <w:webHidden/>
              </w:rPr>
              <w:tab/>
            </w:r>
            <w:r w:rsidRPr="000A0484">
              <w:rPr>
                <w:noProof/>
                <w:webHidden/>
              </w:rPr>
              <w:fldChar w:fldCharType="begin"/>
            </w:r>
            <w:r w:rsidRPr="000A0484">
              <w:rPr>
                <w:noProof/>
                <w:webHidden/>
              </w:rPr>
              <w:instrText xml:space="preserve"> PAGEREF _Toc153373868 \h </w:instrText>
            </w:r>
            <w:r w:rsidRPr="000A0484">
              <w:rPr>
                <w:noProof/>
                <w:webHidden/>
              </w:rPr>
              <w:fldChar w:fldCharType="separate"/>
            </w:r>
            <w:r w:rsidR="00390792">
              <w:rPr>
                <w:noProof/>
                <w:webHidden/>
              </w:rPr>
              <w:t>388</w:t>
            </w:r>
            <w:r w:rsidRPr="000A0484">
              <w:rPr>
                <w:noProof/>
                <w:webHidden/>
              </w:rPr>
              <w:fldChar w:fldCharType="end"/>
            </w:r>
          </w:hyperlink>
        </w:p>
        <w:p w:rsidR="009E5E50" w:rsidRPr="000A0484" w14:paraId="2D8463EC" w14:textId="28AF5655">
          <w:pPr>
            <w:pStyle w:val="TOC1"/>
            <w:rPr>
              <w:rFonts w:ascii="Times New Roman" w:hAnsi="Times New Roman"/>
              <w:noProof/>
              <w:kern w:val="2"/>
              <w:sz w:val="24"/>
              <w14:ligatures w14:val="standardContextual"/>
            </w:rPr>
          </w:pPr>
          <w:hyperlink w:anchor="_Toc153373869" w:history="1">
            <w:r w:rsidRPr="000A0484">
              <w:rPr>
                <w:rStyle w:val="Hyperlink"/>
                <w:rFonts w:ascii="Times New Roman" w:hAnsi="Times New Roman"/>
                <w:noProof/>
                <w:sz w:val="24"/>
              </w:rPr>
              <w:t>22</w:t>
            </w:r>
            <w:r w:rsidRPr="000A0484">
              <w:rPr>
                <w:rFonts w:ascii="Times New Roman" w:hAnsi="Times New Roman"/>
                <w:noProof/>
                <w:kern w:val="2"/>
                <w:sz w:val="24"/>
                <w14:ligatures w14:val="standardContextual"/>
              </w:rPr>
              <w:tab/>
            </w:r>
            <w:r w:rsidRPr="000A0484">
              <w:rPr>
                <w:rStyle w:val="Hyperlink"/>
                <w:rFonts w:ascii="Times New Roman" w:hAnsi="Times New Roman"/>
                <w:noProof/>
                <w:sz w:val="24"/>
              </w:rPr>
              <w:t>Comments Outside Current Rulemaking Scope</w:t>
            </w:r>
            <w:r w:rsidRPr="000A0484">
              <w:rPr>
                <w:rFonts w:ascii="Times New Roman" w:hAnsi="Times New Roman"/>
                <w:noProof/>
                <w:webHidden/>
                <w:sz w:val="24"/>
              </w:rPr>
              <w:tab/>
            </w:r>
            <w:r w:rsidRPr="000A0484">
              <w:rPr>
                <w:rFonts w:ascii="Times New Roman" w:hAnsi="Times New Roman"/>
                <w:noProof/>
                <w:webHidden/>
                <w:sz w:val="24"/>
              </w:rPr>
              <w:fldChar w:fldCharType="begin"/>
            </w:r>
            <w:r w:rsidRPr="000A0484">
              <w:rPr>
                <w:rFonts w:ascii="Times New Roman" w:hAnsi="Times New Roman"/>
                <w:noProof/>
                <w:webHidden/>
                <w:sz w:val="24"/>
              </w:rPr>
              <w:instrText xml:space="preserve"> PAGEREF _Toc153373869 \h </w:instrText>
            </w:r>
            <w:r w:rsidRPr="000A0484">
              <w:rPr>
                <w:rFonts w:ascii="Times New Roman" w:hAnsi="Times New Roman"/>
                <w:noProof/>
                <w:webHidden/>
                <w:sz w:val="24"/>
              </w:rPr>
              <w:fldChar w:fldCharType="separate"/>
            </w:r>
            <w:r w:rsidR="00390792">
              <w:rPr>
                <w:rFonts w:ascii="Times New Roman" w:hAnsi="Times New Roman"/>
                <w:noProof/>
                <w:webHidden/>
                <w:sz w:val="24"/>
              </w:rPr>
              <w:t>389</w:t>
            </w:r>
            <w:r w:rsidRPr="000A0484">
              <w:rPr>
                <w:rFonts w:ascii="Times New Roman" w:hAnsi="Times New Roman"/>
                <w:noProof/>
                <w:webHidden/>
                <w:sz w:val="24"/>
              </w:rPr>
              <w:fldChar w:fldCharType="end"/>
            </w:r>
          </w:hyperlink>
        </w:p>
        <w:p w:rsidR="009E5E50" w:rsidRPr="000A0484" w14:paraId="6A51491F" w14:textId="74D38CF7">
          <w:pPr>
            <w:rPr>
              <w:rFonts w:ascii="Times New Roman" w:hAnsi="Times New Roman"/>
              <w:sz w:val="24"/>
            </w:rPr>
          </w:pPr>
          <w:r w:rsidRPr="000A0484">
            <w:rPr>
              <w:rFonts w:ascii="Times New Roman" w:hAnsi="Times New Roman"/>
              <w:noProof/>
              <w:sz w:val="24"/>
            </w:rPr>
            <w:fldChar w:fldCharType="end"/>
          </w:r>
        </w:p>
      </w:sdtContent>
    </w:sdt>
    <w:p w:rsidR="009E5E50" w:rsidP="00B412E9" w14:paraId="77AFE39A" w14:textId="77777777">
      <w:pPr>
        <w:rPr>
          <w:rFonts w:ascii="Times New Roman" w:hAnsi="Times New Roman"/>
          <w:b/>
          <w:bCs/>
        </w:rPr>
        <w:sectPr w:rsidSect="00F94626">
          <w:pgSz w:w="12240" w:h="15840"/>
          <w:pgMar w:top="1440" w:right="1440" w:bottom="1440" w:left="1440" w:header="720" w:footer="720" w:gutter="0"/>
          <w:pgNumType w:fmt="lowerRoman" w:start="1"/>
          <w:cols w:space="720"/>
          <w:docGrid w:linePitch="360"/>
        </w:sectPr>
      </w:pPr>
    </w:p>
    <w:p w:rsidR="00B412E9" w:rsidRPr="00295AB5" w:rsidP="00B412E9" w14:paraId="31CB8975" w14:textId="77777777">
      <w:pPr>
        <w:rPr>
          <w:rFonts w:ascii="Times New Roman" w:hAnsi="Times New Roman"/>
          <w:b/>
          <w:bCs/>
          <w:sz w:val="24"/>
        </w:rPr>
      </w:pPr>
      <w:r w:rsidRPr="00295AB5">
        <w:rPr>
          <w:rFonts w:ascii="Times New Roman" w:hAnsi="Times New Roman"/>
          <w:b/>
          <w:bCs/>
          <w:sz w:val="24"/>
        </w:rPr>
        <w:t>Introduction</w:t>
      </w:r>
    </w:p>
    <w:p w:rsidR="00B412E9" w:rsidRPr="00295AB5" w:rsidP="00B412E9" w14:paraId="68650912" w14:textId="77777777">
      <w:pPr>
        <w:rPr>
          <w:rFonts w:ascii="Times New Roman" w:hAnsi="Times New Roman"/>
          <w:sz w:val="24"/>
        </w:rPr>
      </w:pPr>
      <w:r w:rsidRPr="00295AB5">
        <w:rPr>
          <w:rFonts w:ascii="Times New Roman" w:hAnsi="Times New Roman"/>
          <w:sz w:val="24"/>
        </w:rPr>
        <w:t xml:space="preserve">This document, together with the preamble to the final rule on amendments to the Risk Management Program (RMP) regulations for safer communities by chemical accident prevention (SCCAP), presents the responses of the Environmental Protection Agency (EPA) to some of the public comments received on the RMP notice of proposed rulemaking (NPRM) (87 FR 53556). </w:t>
      </w:r>
    </w:p>
    <w:p w:rsidR="00B412E9" w:rsidRPr="00295AB5" w:rsidP="00B412E9" w14:paraId="0719E0E4" w14:textId="25CE0924">
      <w:pPr>
        <w:rPr>
          <w:rFonts w:ascii="Times New Roman" w:hAnsi="Times New Roman"/>
          <w:sz w:val="24"/>
        </w:rPr>
      </w:pPr>
      <w:r w:rsidRPr="00295AB5">
        <w:rPr>
          <w:rFonts w:ascii="Times New Roman" w:hAnsi="Times New Roman"/>
          <w:sz w:val="24"/>
        </w:rPr>
        <w:t xml:space="preserve">EPA received a total of 494 discrete public comments </w:t>
      </w:r>
      <w:r w:rsidRPr="00A314E1" w:rsidR="00A314E1">
        <w:rPr>
          <w:rFonts w:ascii="Times New Roman" w:hAnsi="Times New Roman"/>
          <w:sz w:val="24"/>
        </w:rPr>
        <w:t xml:space="preserve">deemed as substantive (i.e., the commenters presented both a position and a reasoned argument in support of the position) </w:t>
      </w:r>
      <w:r w:rsidRPr="00295AB5">
        <w:rPr>
          <w:rFonts w:ascii="Times New Roman" w:hAnsi="Times New Roman"/>
          <w:sz w:val="24"/>
        </w:rPr>
        <w:t xml:space="preserve">on the proposed rulemaking. Of the 494 comments, </w:t>
      </w:r>
      <w:r w:rsidR="00174E35">
        <w:rPr>
          <w:rFonts w:ascii="Times New Roman" w:hAnsi="Times New Roman"/>
          <w:sz w:val="24"/>
        </w:rPr>
        <w:t xml:space="preserve">370 </w:t>
      </w:r>
      <w:r w:rsidR="001E6229">
        <w:rPr>
          <w:rFonts w:ascii="Times New Roman" w:hAnsi="Times New Roman"/>
          <w:sz w:val="24"/>
        </w:rPr>
        <w:t>were written</w:t>
      </w:r>
      <w:r w:rsidR="003404FE">
        <w:rPr>
          <w:rFonts w:ascii="Times New Roman" w:hAnsi="Times New Roman"/>
          <w:sz w:val="24"/>
        </w:rPr>
        <w:t xml:space="preserve"> subm</w:t>
      </w:r>
      <w:r w:rsidR="00A82763">
        <w:rPr>
          <w:rFonts w:ascii="Times New Roman" w:hAnsi="Times New Roman"/>
          <w:sz w:val="24"/>
        </w:rPr>
        <w:t>itted</w:t>
      </w:r>
      <w:r w:rsidR="001E6229">
        <w:rPr>
          <w:rFonts w:ascii="Times New Roman" w:hAnsi="Times New Roman"/>
          <w:sz w:val="24"/>
        </w:rPr>
        <w:t xml:space="preserve"> comments and 124 were from members of the public that provided verbal comments at the public hearings on September 26, 27, and 28, 2022. </w:t>
      </w:r>
      <w:r w:rsidR="007A6567">
        <w:rPr>
          <w:rFonts w:ascii="Times New Roman" w:hAnsi="Times New Roman"/>
          <w:sz w:val="24"/>
        </w:rPr>
        <w:t xml:space="preserve">Of the 370, 142 were from 101 </w:t>
      </w:r>
      <w:r w:rsidRPr="00295AB5">
        <w:rPr>
          <w:rFonts w:ascii="Times New Roman" w:hAnsi="Times New Roman"/>
          <w:sz w:val="24"/>
        </w:rPr>
        <w:t>unique organizations</w:t>
      </w:r>
      <w:r w:rsidR="00823ACA">
        <w:rPr>
          <w:rFonts w:ascii="Times New Roman" w:hAnsi="Times New Roman"/>
          <w:sz w:val="24"/>
        </w:rPr>
        <w:t>,</w:t>
      </w:r>
      <w:r w:rsidRPr="00295AB5">
        <w:rPr>
          <w:rFonts w:ascii="Times New Roman" w:hAnsi="Times New Roman"/>
          <w:sz w:val="24"/>
        </w:rPr>
        <w:t xml:space="preserve"> 6 were the result of various mass mail campaigns and contained numerous copies of letters or petition signatures</w:t>
      </w:r>
      <w:r w:rsidR="007A6567">
        <w:rPr>
          <w:rFonts w:ascii="Times New Roman" w:hAnsi="Times New Roman"/>
          <w:sz w:val="24"/>
        </w:rPr>
        <w:t xml:space="preserve"> (</w:t>
      </w:r>
      <w:r w:rsidRPr="00295AB5">
        <w:rPr>
          <w:rFonts w:ascii="Times New Roman" w:hAnsi="Times New Roman"/>
          <w:sz w:val="24"/>
        </w:rPr>
        <w:t>approximately 57,505 letters and signatures were contained in these several comments</w:t>
      </w:r>
      <w:r w:rsidR="007A6567">
        <w:rPr>
          <w:rFonts w:ascii="Times New Roman" w:hAnsi="Times New Roman"/>
          <w:sz w:val="24"/>
        </w:rPr>
        <w:t>), and 3</w:t>
      </w:r>
      <w:r w:rsidR="00EB568C">
        <w:rPr>
          <w:rFonts w:ascii="Times New Roman" w:hAnsi="Times New Roman"/>
          <w:sz w:val="24"/>
        </w:rPr>
        <w:t>1</w:t>
      </w:r>
      <w:r w:rsidR="007A6567">
        <w:rPr>
          <w:rFonts w:ascii="Times New Roman" w:hAnsi="Times New Roman"/>
          <w:sz w:val="24"/>
        </w:rPr>
        <w:t xml:space="preserve"> were </w:t>
      </w:r>
      <w:r w:rsidR="00A82763">
        <w:rPr>
          <w:rFonts w:ascii="Times New Roman" w:hAnsi="Times New Roman"/>
          <w:sz w:val="24"/>
        </w:rPr>
        <w:t xml:space="preserve">from </w:t>
      </w:r>
      <w:r w:rsidR="00837B5B">
        <w:rPr>
          <w:rFonts w:ascii="Times New Roman" w:hAnsi="Times New Roman"/>
          <w:sz w:val="24"/>
        </w:rPr>
        <w:t xml:space="preserve">individual </w:t>
      </w:r>
      <w:r w:rsidR="003800D1">
        <w:rPr>
          <w:rFonts w:ascii="Times New Roman" w:hAnsi="Times New Roman"/>
          <w:sz w:val="24"/>
        </w:rPr>
        <w:t>citizen</w:t>
      </w:r>
      <w:r w:rsidR="00187F3F">
        <w:rPr>
          <w:rFonts w:ascii="Times New Roman" w:hAnsi="Times New Roman"/>
          <w:sz w:val="24"/>
        </w:rPr>
        <w:t>s</w:t>
      </w:r>
      <w:r w:rsidRPr="00295AB5">
        <w:rPr>
          <w:rFonts w:ascii="Times New Roman" w:hAnsi="Times New Roman"/>
          <w:sz w:val="24"/>
        </w:rPr>
        <w:t xml:space="preserve">. Among the unique submissions, EPA received comments from industry groups, non-governmental organizations, environmental justice groups and frontline communities, academic institutions, State and local governments, Federal government groups, and private citizens. Following this introduction, Table 1, Index of Comment Submissions, identifies the organization, commenter name, and the comment number for the unique comment submissions summarized in this summary. </w:t>
      </w:r>
      <w:r w:rsidRPr="00553BE6">
        <w:rPr>
          <w:rFonts w:ascii="Times New Roman" w:hAnsi="Times New Roman"/>
          <w:sz w:val="24"/>
        </w:rPr>
        <w:t>The submissions included in this index reflect all unique submissions and a representative copy of each mass mail campaign form letter.</w:t>
      </w:r>
      <w:r w:rsidRPr="00295AB5">
        <w:rPr>
          <w:rFonts w:ascii="Times New Roman" w:hAnsi="Times New Roman"/>
          <w:sz w:val="24"/>
        </w:rPr>
        <w:t xml:space="preserve"> </w:t>
      </w:r>
    </w:p>
    <w:p w:rsidR="00B412E9" w:rsidRPr="00295AB5" w:rsidP="00B412E9" w14:paraId="06D54D25" w14:textId="77777777">
      <w:pPr>
        <w:rPr>
          <w:rFonts w:ascii="Times New Roman" w:hAnsi="Times New Roman"/>
          <w:sz w:val="24"/>
        </w:rPr>
      </w:pPr>
      <w:r w:rsidRPr="00295AB5">
        <w:rPr>
          <w:rFonts w:ascii="Times New Roman" w:hAnsi="Times New Roman"/>
          <w:sz w:val="24"/>
        </w:rPr>
        <w:t xml:space="preserve">The purpose of this document is to provide a comprehensive summary of all arguments provided by commenters in response to the NPRM. However, it should not be assumed that the submission number references provided throughout the summary reflect an exhaustive list of commenters making each specific argument. Rather, the submission number references reflect example commenters providing the more detailed versions of each argument. </w:t>
      </w:r>
    </w:p>
    <w:p w:rsidR="00B412E9" w:rsidRPr="00295AB5" w:rsidP="00B412E9" w14:paraId="3FFD2E67" w14:textId="77777777">
      <w:pPr>
        <w:rPr>
          <w:rFonts w:ascii="Times New Roman" w:hAnsi="Times New Roman"/>
          <w:sz w:val="24"/>
        </w:rPr>
      </w:pPr>
      <w:r w:rsidRPr="00295AB5">
        <w:rPr>
          <w:rFonts w:ascii="Times New Roman" w:hAnsi="Times New Roman"/>
          <w:sz w:val="24"/>
        </w:rPr>
        <w:t xml:space="preserve">The responses presented in this document are intended to augment the responses to comments that appear in the preamble to the final rule and to address comments not discussed in the preamble to the final rule. Although portions of the preamble to the final rule are paraphrased in this RTC document, to the extent such paraphrasing introduces any confusion or apparent inconsistency, the preamble itself remains the definitive statement of the rationale for the revisions to the standards adopted in the final rule. This document, together with the preamble to the RMP final rule and related technical support documents, should be considered collectively as EPA’s response to all of the significant comments submitted on EPA’s 2022 RMP SCCAP proposal. </w:t>
      </w:r>
    </w:p>
    <w:p w:rsidR="00B412E9" w:rsidP="00B412E9" w14:paraId="6EE9F477" w14:textId="77777777">
      <w:pPr>
        <w:rPr>
          <w:rFonts w:ascii="Times New Roman" w:hAnsi="Times New Roman"/>
        </w:rPr>
      </w:pPr>
    </w:p>
    <w:p w:rsidR="00B412E9" w:rsidP="00B412E9" w14:paraId="20546B46" w14:textId="77777777">
      <w:pPr>
        <w:rPr>
          <w:rFonts w:ascii="Times New Roman" w:hAnsi="Times New Roman"/>
        </w:rPr>
      </w:pPr>
    </w:p>
    <w:p w:rsidR="00B412E9" w:rsidP="00B412E9" w14:paraId="61A42196" w14:textId="77777777">
      <w:pPr>
        <w:rPr>
          <w:rFonts w:ascii="Times New Roman" w:hAnsi="Times New Roman"/>
        </w:rPr>
      </w:pPr>
    </w:p>
    <w:p w:rsidR="00B412E9" w:rsidP="00B412E9" w14:paraId="70A96A6E" w14:textId="77777777">
      <w:pPr>
        <w:rPr>
          <w:rFonts w:ascii="Times New Roman" w:hAnsi="Times New Roman"/>
        </w:rPr>
      </w:pPr>
    </w:p>
    <w:p w:rsidR="00B412E9" w:rsidP="00B412E9" w14:paraId="2E64F03A" w14:textId="77777777">
      <w:pPr>
        <w:rPr>
          <w:rFonts w:ascii="Times New Roman" w:hAnsi="Times New Roman"/>
        </w:rPr>
      </w:pPr>
    </w:p>
    <w:p w:rsidR="00B412E9" w:rsidP="00B412E9" w14:paraId="7160BB0E" w14:textId="77777777">
      <w:pPr>
        <w:rPr>
          <w:rFonts w:ascii="Times New Roman" w:hAnsi="Times New Roman"/>
        </w:rPr>
      </w:pPr>
    </w:p>
    <w:p w:rsidR="00B412E9" w:rsidP="00B412E9" w14:paraId="26F50E0F" w14:textId="77777777">
      <w:pPr>
        <w:rPr>
          <w:rFonts w:ascii="Times New Roman" w:hAnsi="Times New Roman"/>
        </w:rPr>
      </w:pPr>
    </w:p>
    <w:p w:rsidR="00EB2D24" w14:paraId="22292699" w14:textId="23E34BD1">
      <w:pPr>
        <w:spacing w:before="0" w:after="160" w:line="259" w:lineRule="auto"/>
        <w:rPr>
          <w:rFonts w:ascii="Times New Roman" w:hAnsi="Times New Roman"/>
        </w:rPr>
      </w:pPr>
      <w:r>
        <w:rPr>
          <w:rFonts w:ascii="Times New Roman" w:hAnsi="Times New Roman"/>
        </w:rPr>
        <w:br w:type="page"/>
      </w:r>
    </w:p>
    <w:p w:rsidR="00B412E9" w:rsidRPr="002609B0" w:rsidP="00B412E9" w14:paraId="1FBA8A8F" w14:textId="77777777">
      <w:pPr>
        <w:rPr>
          <w:rFonts w:ascii="Times New Roman" w:hAnsi="Times New Roman"/>
          <w:b/>
          <w:bCs/>
        </w:rPr>
      </w:pPr>
      <w:r>
        <w:rPr>
          <w:rFonts w:ascii="Times New Roman" w:hAnsi="Times New Roman"/>
          <w:b/>
          <w:bCs/>
        </w:rPr>
        <w:t>Table 1. Index of Comment Submissions</w:t>
      </w:r>
    </w:p>
    <w:tbl>
      <w:tblPr>
        <w:tblStyle w:val="TableGrid"/>
        <w:tblW w:w="5195" w:type="pct"/>
        <w:tblLayout w:type="fixed"/>
        <w:tblLook w:val="04A0"/>
      </w:tblPr>
      <w:tblGrid>
        <w:gridCol w:w="3666"/>
        <w:gridCol w:w="2186"/>
        <w:gridCol w:w="3863"/>
      </w:tblGrid>
      <w:tr w14:paraId="31742F15" w14:textId="77777777" w:rsidTr="00072FD7">
        <w:tblPrEx>
          <w:tblW w:w="5195" w:type="pct"/>
          <w:tblLayout w:type="fixed"/>
          <w:tblLook w:val="04A0"/>
        </w:tblPrEx>
        <w:trPr>
          <w:trHeight w:val="300"/>
        </w:trPr>
        <w:tc>
          <w:tcPr>
            <w:tcW w:w="1887" w:type="pct"/>
            <w:hideMark/>
          </w:tcPr>
          <w:p w:rsidR="00F42AF9" w:rsidRPr="00F42AF9" w:rsidP="00F42AF9" w14:paraId="1C417C18" w14:textId="77777777">
            <w:pPr>
              <w:spacing w:before="0" w:after="0"/>
              <w:jc w:val="center"/>
              <w:rPr>
                <w:rFonts w:ascii="Times New Roman" w:eastAsia="Times New Roman" w:hAnsi="Times New Roman"/>
                <w:b/>
                <w:bCs/>
                <w:color w:val="000000"/>
                <w:sz w:val="24"/>
              </w:rPr>
            </w:pPr>
            <w:r w:rsidRPr="00F42AF9">
              <w:rPr>
                <w:rFonts w:ascii="Times New Roman" w:eastAsia="Times New Roman" w:hAnsi="Times New Roman"/>
                <w:b/>
                <w:bCs/>
                <w:color w:val="000000"/>
                <w:sz w:val="24"/>
              </w:rPr>
              <w:t>Organization</w:t>
            </w:r>
          </w:p>
        </w:tc>
        <w:tc>
          <w:tcPr>
            <w:tcW w:w="1125" w:type="pct"/>
            <w:hideMark/>
          </w:tcPr>
          <w:p w:rsidR="00F42AF9" w:rsidRPr="00F42AF9" w:rsidP="00F42AF9" w14:paraId="17426D7A" w14:textId="77777777">
            <w:pPr>
              <w:spacing w:before="0" w:after="0"/>
              <w:jc w:val="center"/>
              <w:rPr>
                <w:rFonts w:ascii="Times New Roman" w:eastAsia="Times New Roman" w:hAnsi="Times New Roman"/>
                <w:b/>
                <w:bCs/>
                <w:color w:val="000000"/>
                <w:sz w:val="24"/>
              </w:rPr>
            </w:pPr>
            <w:r w:rsidRPr="00F42AF9">
              <w:rPr>
                <w:rFonts w:ascii="Times New Roman" w:eastAsia="Times New Roman" w:hAnsi="Times New Roman"/>
                <w:b/>
                <w:bCs/>
                <w:color w:val="000000"/>
                <w:sz w:val="24"/>
              </w:rPr>
              <w:t>Commenter(s)</w:t>
            </w:r>
          </w:p>
        </w:tc>
        <w:tc>
          <w:tcPr>
            <w:tcW w:w="1988" w:type="pct"/>
            <w:hideMark/>
          </w:tcPr>
          <w:p w:rsidR="00F42AF9" w:rsidRPr="00F42AF9" w:rsidP="00F42AF9" w14:paraId="6A6EA31B" w14:textId="77777777">
            <w:pPr>
              <w:spacing w:before="0" w:after="0"/>
              <w:jc w:val="center"/>
              <w:rPr>
                <w:rFonts w:ascii="Times New Roman" w:eastAsia="Times New Roman" w:hAnsi="Times New Roman"/>
                <w:b/>
                <w:bCs/>
                <w:color w:val="000000"/>
                <w:sz w:val="24"/>
              </w:rPr>
            </w:pPr>
            <w:r w:rsidRPr="00F42AF9">
              <w:rPr>
                <w:rFonts w:ascii="Times New Roman" w:eastAsia="Times New Roman" w:hAnsi="Times New Roman"/>
                <w:b/>
                <w:bCs/>
                <w:color w:val="000000"/>
                <w:sz w:val="24"/>
              </w:rPr>
              <w:t>Comment Document(s)</w:t>
            </w:r>
          </w:p>
        </w:tc>
      </w:tr>
      <w:tr w14:paraId="0DF57126" w14:textId="77777777" w:rsidTr="00072FD7">
        <w:tblPrEx>
          <w:tblW w:w="5195" w:type="pct"/>
          <w:tblLayout w:type="fixed"/>
          <w:tblLook w:val="04A0"/>
        </w:tblPrEx>
        <w:trPr>
          <w:trHeight w:val="310"/>
        </w:trPr>
        <w:tc>
          <w:tcPr>
            <w:tcW w:w="1887" w:type="pct"/>
            <w:hideMark/>
          </w:tcPr>
          <w:p w:rsidR="00F42AF9" w:rsidRPr="00F42AF9" w:rsidP="00F42AF9" w14:paraId="513EFE2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Affonso, Jane</w:t>
            </w:r>
          </w:p>
        </w:tc>
        <w:tc>
          <w:tcPr>
            <w:tcW w:w="1125" w:type="pct"/>
            <w:hideMark/>
          </w:tcPr>
          <w:p w:rsidR="00F42AF9" w:rsidRPr="00F42AF9" w:rsidP="00F42AF9" w14:paraId="78A95A4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Jane Affonso</w:t>
            </w:r>
          </w:p>
        </w:tc>
        <w:tc>
          <w:tcPr>
            <w:tcW w:w="1988" w:type="pct"/>
            <w:hideMark/>
          </w:tcPr>
          <w:p w:rsidR="00F42AF9" w:rsidRPr="00F42AF9" w:rsidP="00F42AF9" w14:paraId="13FA8CB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EPA-HQ-OLEM-2022-0174-0248</w:t>
            </w:r>
          </w:p>
        </w:tc>
      </w:tr>
      <w:tr w14:paraId="067959D5" w14:textId="77777777" w:rsidTr="00072FD7">
        <w:tblPrEx>
          <w:tblW w:w="5195" w:type="pct"/>
          <w:tblLayout w:type="fixed"/>
          <w:tblLook w:val="04A0"/>
        </w:tblPrEx>
        <w:trPr>
          <w:trHeight w:val="310"/>
        </w:trPr>
        <w:tc>
          <w:tcPr>
            <w:tcW w:w="1887" w:type="pct"/>
            <w:vMerge w:val="restart"/>
            <w:hideMark/>
          </w:tcPr>
          <w:p w:rsidR="00F42AF9" w:rsidRPr="00F42AF9" w:rsidP="00F42AF9" w14:paraId="1C026D6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Agricultural Retailers Association (ARA)</w:t>
            </w:r>
          </w:p>
        </w:tc>
        <w:tc>
          <w:tcPr>
            <w:tcW w:w="1125" w:type="pct"/>
            <w:vMerge w:val="restart"/>
            <w:hideMark/>
          </w:tcPr>
          <w:p w:rsidR="00F42AF9" w:rsidRPr="00F42AF9" w:rsidP="00F42AF9" w14:paraId="242C2E3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Richard D. Gupton</w:t>
            </w:r>
          </w:p>
        </w:tc>
        <w:tc>
          <w:tcPr>
            <w:tcW w:w="1988" w:type="pct"/>
            <w:hideMark/>
          </w:tcPr>
          <w:p w:rsidR="00F42AF9" w:rsidRPr="00F42AF9" w:rsidP="00F42AF9" w14:paraId="4DF68C8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EPA-HQ-OLEM-2022-0174-0127</w:t>
            </w:r>
          </w:p>
        </w:tc>
      </w:tr>
      <w:tr w14:paraId="046FBD2F" w14:textId="77777777" w:rsidTr="00072FD7">
        <w:tblPrEx>
          <w:tblW w:w="5195" w:type="pct"/>
          <w:tblLayout w:type="fixed"/>
          <w:tblLook w:val="04A0"/>
        </w:tblPrEx>
        <w:trPr>
          <w:trHeight w:val="310"/>
        </w:trPr>
        <w:tc>
          <w:tcPr>
            <w:tcW w:w="1887" w:type="pct"/>
            <w:vMerge/>
            <w:hideMark/>
          </w:tcPr>
          <w:p w:rsidR="00F42AF9" w:rsidRPr="00F42AF9" w:rsidP="00F42AF9" w14:paraId="7877E47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2A85A4B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40DE74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EPA-HQ-OLEM-2022-0174-0227</w:t>
            </w:r>
          </w:p>
        </w:tc>
      </w:tr>
      <w:tr w14:paraId="6D608D0A" w14:textId="77777777" w:rsidTr="00072FD7">
        <w:tblPrEx>
          <w:tblW w:w="5195" w:type="pct"/>
          <w:tblLayout w:type="fixed"/>
          <w:tblLook w:val="04A0"/>
        </w:tblPrEx>
        <w:trPr>
          <w:trHeight w:val="310"/>
        </w:trPr>
        <w:tc>
          <w:tcPr>
            <w:tcW w:w="1887" w:type="pct"/>
            <w:hideMark/>
          </w:tcPr>
          <w:p w:rsidR="00F42AF9" w:rsidRPr="00F42AF9" w:rsidP="00F42AF9" w14:paraId="4DB974B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Alianza Nacional de Campesinas, Inc.</w:t>
            </w:r>
          </w:p>
        </w:tc>
        <w:tc>
          <w:tcPr>
            <w:tcW w:w="1125" w:type="pct"/>
            <w:hideMark/>
          </w:tcPr>
          <w:p w:rsidR="00F42AF9" w:rsidRPr="00F42AF9" w:rsidP="00F42AF9" w14:paraId="5EC0472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1175C05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EPA-HQ-OLEM-2022-0174-0406</w:t>
            </w:r>
          </w:p>
        </w:tc>
      </w:tr>
      <w:tr w14:paraId="55A77B7A" w14:textId="77777777" w:rsidTr="00072FD7">
        <w:tblPrEx>
          <w:tblW w:w="5195" w:type="pct"/>
          <w:tblLayout w:type="fixed"/>
          <w:tblLook w:val="04A0"/>
        </w:tblPrEx>
        <w:trPr>
          <w:trHeight w:val="310"/>
        </w:trPr>
        <w:tc>
          <w:tcPr>
            <w:tcW w:w="1887" w:type="pct"/>
            <w:vMerge w:val="restart"/>
            <w:hideMark/>
          </w:tcPr>
          <w:p w:rsidR="00F42AF9" w:rsidRPr="00F42AF9" w:rsidP="00F42AF9" w14:paraId="2C0FA4C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Alliance of Nurses for Healthy Environments (ANHE)</w:t>
            </w:r>
          </w:p>
        </w:tc>
        <w:tc>
          <w:tcPr>
            <w:tcW w:w="1125" w:type="pct"/>
            <w:vMerge w:val="restart"/>
            <w:hideMark/>
          </w:tcPr>
          <w:p w:rsidR="00F42AF9" w:rsidRPr="00F42AF9" w:rsidP="00F42AF9" w14:paraId="6F305E2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2D98B01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EPA-HQ-OLEM-2022-0174-0209</w:t>
            </w:r>
          </w:p>
        </w:tc>
      </w:tr>
      <w:tr w14:paraId="7631C875" w14:textId="77777777" w:rsidTr="00072FD7">
        <w:tblPrEx>
          <w:tblW w:w="5195" w:type="pct"/>
          <w:tblLayout w:type="fixed"/>
          <w:tblLook w:val="04A0"/>
        </w:tblPrEx>
        <w:trPr>
          <w:trHeight w:val="310"/>
        </w:trPr>
        <w:tc>
          <w:tcPr>
            <w:tcW w:w="1887" w:type="pct"/>
            <w:vMerge/>
            <w:hideMark/>
          </w:tcPr>
          <w:p w:rsidR="00F42AF9" w:rsidRPr="00F42AF9" w:rsidP="00F42AF9" w14:paraId="1538E877"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433ADB59"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43FDAF1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EPA-HQ-OLEM-2022-0174-0141</w:t>
            </w:r>
          </w:p>
        </w:tc>
      </w:tr>
      <w:tr w14:paraId="523FC381" w14:textId="77777777" w:rsidTr="00072FD7">
        <w:tblPrEx>
          <w:tblW w:w="5195" w:type="pct"/>
          <w:tblLayout w:type="fixed"/>
          <w:tblLook w:val="04A0"/>
        </w:tblPrEx>
        <w:trPr>
          <w:trHeight w:val="310"/>
        </w:trPr>
        <w:tc>
          <w:tcPr>
            <w:tcW w:w="1887" w:type="pct"/>
            <w:hideMark/>
          </w:tcPr>
          <w:p w:rsidR="00F42AF9" w:rsidRPr="00F42AF9" w:rsidP="00F42AF9" w14:paraId="6EE433E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Allied Universal Corporation</w:t>
            </w:r>
          </w:p>
        </w:tc>
        <w:tc>
          <w:tcPr>
            <w:tcW w:w="1125" w:type="pct"/>
            <w:hideMark/>
          </w:tcPr>
          <w:p w:rsidR="00F42AF9" w:rsidRPr="00F42AF9" w:rsidP="00F42AF9" w14:paraId="43A8FC0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Jim Palmer</w:t>
            </w:r>
          </w:p>
        </w:tc>
        <w:tc>
          <w:tcPr>
            <w:tcW w:w="1988" w:type="pct"/>
            <w:hideMark/>
          </w:tcPr>
          <w:p w:rsidR="00F42AF9" w:rsidRPr="00F42AF9" w:rsidP="00F42AF9" w14:paraId="44D8F51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EPA-HQ-OLEM-2022-0174-0205</w:t>
            </w:r>
          </w:p>
        </w:tc>
      </w:tr>
      <w:tr w14:paraId="0F61D62A" w14:textId="77777777" w:rsidTr="00072FD7">
        <w:tblPrEx>
          <w:tblW w:w="5195" w:type="pct"/>
          <w:tblLayout w:type="fixed"/>
          <w:tblLook w:val="04A0"/>
        </w:tblPrEx>
        <w:trPr>
          <w:trHeight w:val="310"/>
        </w:trPr>
        <w:tc>
          <w:tcPr>
            <w:tcW w:w="1887" w:type="pct"/>
            <w:vMerge w:val="restart"/>
            <w:hideMark/>
          </w:tcPr>
          <w:p w:rsidR="00F42AF9" w:rsidRPr="00F42AF9" w:rsidP="00F42AF9" w14:paraId="733C1CA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Chemistry Council (ACC)</w:t>
            </w:r>
          </w:p>
        </w:tc>
        <w:tc>
          <w:tcPr>
            <w:tcW w:w="1125" w:type="pct"/>
            <w:vMerge w:val="restart"/>
            <w:hideMark/>
          </w:tcPr>
          <w:p w:rsidR="00F42AF9" w:rsidRPr="00F42AF9" w:rsidP="00F42AF9" w14:paraId="6423347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Trevor W. Hampton</w:t>
            </w:r>
          </w:p>
        </w:tc>
        <w:tc>
          <w:tcPr>
            <w:tcW w:w="1988" w:type="pct"/>
            <w:hideMark/>
          </w:tcPr>
          <w:p w:rsidR="00F42AF9" w:rsidRPr="00F42AF9" w:rsidP="00F42AF9" w14:paraId="35A17DB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EPA-HQ-OLEM-2022-0174-0215</w:t>
            </w:r>
          </w:p>
        </w:tc>
      </w:tr>
      <w:tr w14:paraId="3A5BE3A4" w14:textId="77777777" w:rsidTr="00072FD7">
        <w:tblPrEx>
          <w:tblW w:w="5195" w:type="pct"/>
          <w:tblLayout w:type="fixed"/>
          <w:tblLook w:val="04A0"/>
        </w:tblPrEx>
        <w:trPr>
          <w:trHeight w:val="310"/>
        </w:trPr>
        <w:tc>
          <w:tcPr>
            <w:tcW w:w="1887" w:type="pct"/>
            <w:vMerge/>
            <w:hideMark/>
          </w:tcPr>
          <w:p w:rsidR="00F42AF9" w:rsidRPr="00F42AF9" w:rsidP="00F42AF9" w14:paraId="3761D191"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EB16604"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6A3861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EPA-HQ-OLEM-2022-0174-0171</w:t>
            </w:r>
          </w:p>
        </w:tc>
      </w:tr>
      <w:tr w14:paraId="0B387574" w14:textId="77777777" w:rsidTr="00072FD7">
        <w:tblPrEx>
          <w:tblW w:w="5195" w:type="pct"/>
          <w:tblLayout w:type="fixed"/>
          <w:tblLook w:val="04A0"/>
        </w:tblPrEx>
        <w:trPr>
          <w:trHeight w:val="310"/>
        </w:trPr>
        <w:tc>
          <w:tcPr>
            <w:tcW w:w="1887" w:type="pct"/>
            <w:hideMark/>
          </w:tcPr>
          <w:p w:rsidR="00F42AF9" w:rsidRPr="00F42AF9" w:rsidP="00F42AF9" w14:paraId="7238E8C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Coatings Association</w:t>
            </w:r>
          </w:p>
        </w:tc>
        <w:tc>
          <w:tcPr>
            <w:tcW w:w="1125" w:type="pct"/>
            <w:hideMark/>
          </w:tcPr>
          <w:p w:rsidR="00F42AF9" w:rsidRPr="00F42AF9" w:rsidP="00F42AF9" w14:paraId="0C46670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Rhett Cash and Suzanne Chang</w:t>
            </w:r>
          </w:p>
        </w:tc>
        <w:tc>
          <w:tcPr>
            <w:tcW w:w="1988" w:type="pct"/>
            <w:hideMark/>
          </w:tcPr>
          <w:p w:rsidR="00F42AF9" w:rsidRPr="00F42AF9" w:rsidP="00F42AF9" w14:paraId="03EBE18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EPA-HQ-OLEM-2022-0174-0196</w:t>
            </w:r>
          </w:p>
        </w:tc>
      </w:tr>
      <w:tr w14:paraId="21251CBA" w14:textId="77777777" w:rsidTr="00072FD7">
        <w:tblPrEx>
          <w:tblW w:w="5195" w:type="pct"/>
          <w:tblLayout w:type="fixed"/>
          <w:tblLook w:val="04A0"/>
        </w:tblPrEx>
        <w:trPr>
          <w:trHeight w:val="310"/>
        </w:trPr>
        <w:tc>
          <w:tcPr>
            <w:tcW w:w="1887" w:type="pct"/>
            <w:vMerge w:val="restart"/>
            <w:hideMark/>
          </w:tcPr>
          <w:p w:rsidR="00F42AF9" w:rsidRPr="00F42AF9" w:rsidP="00F42AF9" w14:paraId="0FFEA27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Forest &amp; Paper Association (AF&amp;PA)</w:t>
            </w:r>
          </w:p>
        </w:tc>
        <w:tc>
          <w:tcPr>
            <w:tcW w:w="1125" w:type="pct"/>
            <w:vMerge w:val="restart"/>
            <w:hideMark/>
          </w:tcPr>
          <w:p w:rsidR="00F42AF9" w:rsidRPr="00F42AF9" w:rsidP="00F42AF9" w14:paraId="36AB28A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Stewart Holm</w:t>
            </w:r>
          </w:p>
        </w:tc>
        <w:tc>
          <w:tcPr>
            <w:tcW w:w="1988" w:type="pct"/>
            <w:hideMark/>
          </w:tcPr>
          <w:p w:rsidR="00F42AF9" w:rsidRPr="00F42AF9" w:rsidP="00F42AF9" w14:paraId="5F42CFA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EPA-HQ-OLEM-2022-0174-0126</w:t>
            </w:r>
          </w:p>
        </w:tc>
      </w:tr>
      <w:tr w14:paraId="2AFA0438" w14:textId="77777777" w:rsidTr="00072FD7">
        <w:tblPrEx>
          <w:tblW w:w="5195" w:type="pct"/>
          <w:tblLayout w:type="fixed"/>
          <w:tblLook w:val="04A0"/>
        </w:tblPrEx>
        <w:trPr>
          <w:trHeight w:val="310"/>
        </w:trPr>
        <w:tc>
          <w:tcPr>
            <w:tcW w:w="1887" w:type="pct"/>
            <w:vMerge/>
            <w:hideMark/>
          </w:tcPr>
          <w:p w:rsidR="00F42AF9" w:rsidRPr="00F42AF9" w:rsidP="00F42AF9" w14:paraId="27CBC3F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4F2AB87F"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4F4B61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EPA-HQ-OLEM-2022-0174-0238</w:t>
            </w:r>
          </w:p>
        </w:tc>
      </w:tr>
      <w:tr w14:paraId="49A62251" w14:textId="77777777" w:rsidTr="00072FD7">
        <w:tblPrEx>
          <w:tblW w:w="5195" w:type="pct"/>
          <w:tblLayout w:type="fixed"/>
          <w:tblLook w:val="04A0"/>
        </w:tblPrEx>
        <w:trPr>
          <w:trHeight w:val="1550"/>
        </w:trPr>
        <w:tc>
          <w:tcPr>
            <w:tcW w:w="1887" w:type="pct"/>
            <w:hideMark/>
          </w:tcPr>
          <w:p w:rsidR="00F42AF9" w:rsidRPr="00F42AF9" w:rsidP="00F42AF9" w14:paraId="5480A1D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Frozen Food Institute, Global Cold Chain Alliance, International Institute of Ammonia Refrigeration, North American Meat Institute, Refrigerating Engineers and Technicians Association</w:t>
            </w:r>
          </w:p>
        </w:tc>
        <w:tc>
          <w:tcPr>
            <w:tcW w:w="1125" w:type="pct"/>
            <w:hideMark/>
          </w:tcPr>
          <w:p w:rsidR="00F42AF9" w:rsidRPr="00F42AF9" w:rsidP="00F42AF9" w14:paraId="65CDE2F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2687FA9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EPA-HQ-OLEM-2022-0174-0184</w:t>
            </w:r>
          </w:p>
        </w:tc>
      </w:tr>
      <w:tr w14:paraId="32A20B1A" w14:textId="77777777" w:rsidTr="00072FD7">
        <w:tblPrEx>
          <w:tblW w:w="5195" w:type="pct"/>
          <w:tblLayout w:type="fixed"/>
          <w:tblLook w:val="04A0"/>
        </w:tblPrEx>
        <w:trPr>
          <w:trHeight w:val="310"/>
        </w:trPr>
        <w:tc>
          <w:tcPr>
            <w:tcW w:w="1887" w:type="pct"/>
            <w:vMerge w:val="restart"/>
            <w:hideMark/>
          </w:tcPr>
          <w:p w:rsidR="00F42AF9" w:rsidRPr="00F42AF9" w:rsidP="00F42AF9" w14:paraId="057F49A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Fuel &amp; Petrochemical Manufacturers (AFPM)</w:t>
            </w:r>
          </w:p>
        </w:tc>
        <w:tc>
          <w:tcPr>
            <w:tcW w:w="1125" w:type="pct"/>
            <w:vMerge w:val="restart"/>
            <w:hideMark/>
          </w:tcPr>
          <w:p w:rsidR="00F42AF9" w:rsidRPr="00F42AF9" w:rsidP="00F42AF9" w14:paraId="7F3874E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Abigale Tardif</w:t>
            </w:r>
          </w:p>
        </w:tc>
        <w:tc>
          <w:tcPr>
            <w:tcW w:w="1988" w:type="pct"/>
            <w:hideMark/>
          </w:tcPr>
          <w:p w:rsidR="00F42AF9" w:rsidRPr="00F42AF9" w:rsidP="00F42AF9" w14:paraId="33E9FD2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EPA-HQ-OLEM-2022-0174-0268</w:t>
            </w:r>
          </w:p>
        </w:tc>
      </w:tr>
      <w:tr w14:paraId="48CC395A" w14:textId="77777777" w:rsidTr="00072FD7">
        <w:tblPrEx>
          <w:tblW w:w="5195" w:type="pct"/>
          <w:tblLayout w:type="fixed"/>
          <w:tblLook w:val="04A0"/>
        </w:tblPrEx>
        <w:trPr>
          <w:trHeight w:val="310"/>
        </w:trPr>
        <w:tc>
          <w:tcPr>
            <w:tcW w:w="1887" w:type="pct"/>
            <w:vMerge/>
            <w:hideMark/>
          </w:tcPr>
          <w:p w:rsidR="00F42AF9" w:rsidRPr="00F42AF9" w:rsidP="00F42AF9" w14:paraId="0D90ABE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022087E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50981F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EPA-HQ-OLEM-2022-0174-0129</w:t>
            </w:r>
          </w:p>
        </w:tc>
      </w:tr>
      <w:tr w14:paraId="158C007C" w14:textId="77777777" w:rsidTr="00072FD7">
        <w:tblPrEx>
          <w:tblW w:w="5195" w:type="pct"/>
          <w:tblLayout w:type="fixed"/>
          <w:tblLook w:val="04A0"/>
        </w:tblPrEx>
        <w:trPr>
          <w:trHeight w:val="310"/>
        </w:trPr>
        <w:tc>
          <w:tcPr>
            <w:tcW w:w="1887" w:type="pct"/>
            <w:hideMark/>
          </w:tcPr>
          <w:p w:rsidR="00F42AF9" w:rsidRPr="00F42AF9" w:rsidP="00F42AF9" w14:paraId="5DC100E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Gas Association (AGA)</w:t>
            </w:r>
          </w:p>
        </w:tc>
        <w:tc>
          <w:tcPr>
            <w:tcW w:w="1125" w:type="pct"/>
            <w:hideMark/>
          </w:tcPr>
          <w:p w:rsidR="00F42AF9" w:rsidRPr="00F42AF9" w:rsidP="00F42AF9" w14:paraId="504C2AC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Pamela A. Lacey</w:t>
            </w:r>
          </w:p>
        </w:tc>
        <w:tc>
          <w:tcPr>
            <w:tcW w:w="1988" w:type="pct"/>
            <w:hideMark/>
          </w:tcPr>
          <w:p w:rsidR="00F42AF9" w:rsidRPr="00F42AF9" w:rsidP="00F42AF9" w14:paraId="151303F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EPA-HQ-OLEM-2022-0174-0246</w:t>
            </w:r>
          </w:p>
        </w:tc>
      </w:tr>
      <w:tr w14:paraId="30237B91" w14:textId="77777777" w:rsidTr="00072FD7">
        <w:tblPrEx>
          <w:tblW w:w="5195" w:type="pct"/>
          <w:tblLayout w:type="fixed"/>
          <w:tblLook w:val="04A0"/>
        </w:tblPrEx>
        <w:trPr>
          <w:trHeight w:val="310"/>
        </w:trPr>
        <w:tc>
          <w:tcPr>
            <w:tcW w:w="1887" w:type="pct"/>
            <w:vMerge w:val="restart"/>
            <w:hideMark/>
          </w:tcPr>
          <w:p w:rsidR="00F42AF9" w:rsidRPr="00F42AF9" w:rsidP="00F42AF9" w14:paraId="36FB622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Petroleum Institute (API)</w:t>
            </w:r>
          </w:p>
        </w:tc>
        <w:tc>
          <w:tcPr>
            <w:tcW w:w="1125" w:type="pct"/>
            <w:vMerge w:val="restart"/>
            <w:hideMark/>
          </w:tcPr>
          <w:p w:rsidR="00F42AF9" w:rsidRPr="00F42AF9" w:rsidP="00F42AF9" w14:paraId="64F1221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Ron Chittim, Will Hupman</w:t>
            </w:r>
          </w:p>
        </w:tc>
        <w:tc>
          <w:tcPr>
            <w:tcW w:w="1988" w:type="pct"/>
            <w:hideMark/>
          </w:tcPr>
          <w:p w:rsidR="00F42AF9" w:rsidRPr="00F42AF9" w:rsidP="00F42AF9" w14:paraId="11B6E2B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EPA-HQ-OLEM-2022-0174-0124</w:t>
            </w:r>
          </w:p>
        </w:tc>
      </w:tr>
      <w:tr w14:paraId="67DF7E19" w14:textId="77777777" w:rsidTr="00072FD7">
        <w:tblPrEx>
          <w:tblW w:w="5195" w:type="pct"/>
          <w:tblLayout w:type="fixed"/>
          <w:tblLook w:val="04A0"/>
        </w:tblPrEx>
        <w:trPr>
          <w:trHeight w:val="310"/>
        </w:trPr>
        <w:tc>
          <w:tcPr>
            <w:tcW w:w="1887" w:type="pct"/>
            <w:vMerge/>
            <w:hideMark/>
          </w:tcPr>
          <w:p w:rsidR="00F42AF9" w:rsidRPr="00F42AF9" w:rsidP="00F42AF9" w14:paraId="5C48264B"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56F1E310"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18A0B22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EPA-HQ-OLEM-2022-0174-0233</w:t>
            </w:r>
          </w:p>
        </w:tc>
      </w:tr>
      <w:tr w14:paraId="44D2034C" w14:textId="77777777" w:rsidTr="00072FD7">
        <w:tblPrEx>
          <w:tblW w:w="5195" w:type="pct"/>
          <w:tblLayout w:type="fixed"/>
          <w:tblLook w:val="04A0"/>
        </w:tblPrEx>
        <w:trPr>
          <w:trHeight w:val="310"/>
        </w:trPr>
        <w:tc>
          <w:tcPr>
            <w:tcW w:w="1887" w:type="pct"/>
            <w:vMerge/>
            <w:hideMark/>
          </w:tcPr>
          <w:p w:rsidR="00F42AF9" w:rsidRPr="00F42AF9" w:rsidP="00F42AF9" w14:paraId="03F56F8F"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79C578B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27B423E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EPA-HQ-OLEM-2022-0174-0189</w:t>
            </w:r>
          </w:p>
        </w:tc>
      </w:tr>
      <w:tr w14:paraId="45949710" w14:textId="77777777" w:rsidTr="00072FD7">
        <w:tblPrEx>
          <w:tblW w:w="5195" w:type="pct"/>
          <w:tblLayout w:type="fixed"/>
          <w:tblLook w:val="04A0"/>
        </w:tblPrEx>
        <w:trPr>
          <w:trHeight w:val="310"/>
        </w:trPr>
        <w:tc>
          <w:tcPr>
            <w:tcW w:w="1887" w:type="pct"/>
            <w:vMerge w:val="restart"/>
            <w:hideMark/>
          </w:tcPr>
          <w:p w:rsidR="00F42AF9" w:rsidRPr="00F42AF9" w:rsidP="00F42AF9" w14:paraId="47D5652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Water Works Association (AWWA)</w:t>
            </w:r>
          </w:p>
        </w:tc>
        <w:tc>
          <w:tcPr>
            <w:tcW w:w="1125" w:type="pct"/>
            <w:vMerge w:val="restart"/>
            <w:hideMark/>
          </w:tcPr>
          <w:p w:rsidR="00F42AF9" w:rsidRPr="00F42AF9" w:rsidP="00F42AF9" w14:paraId="6096949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 Tracy Mehan, III</w:t>
            </w:r>
          </w:p>
        </w:tc>
        <w:tc>
          <w:tcPr>
            <w:tcW w:w="1988" w:type="pct"/>
            <w:hideMark/>
          </w:tcPr>
          <w:p w:rsidR="00F42AF9" w:rsidRPr="00F42AF9" w:rsidP="00F42AF9" w14:paraId="0BCFFFC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EPA-HQ-OLEM-2022-0174-0239</w:t>
            </w:r>
          </w:p>
        </w:tc>
      </w:tr>
      <w:tr w14:paraId="1AAA1991" w14:textId="77777777" w:rsidTr="00072FD7">
        <w:tblPrEx>
          <w:tblW w:w="5195" w:type="pct"/>
          <w:tblLayout w:type="fixed"/>
          <w:tblLook w:val="04A0"/>
        </w:tblPrEx>
        <w:trPr>
          <w:trHeight w:val="310"/>
        </w:trPr>
        <w:tc>
          <w:tcPr>
            <w:tcW w:w="1887" w:type="pct"/>
            <w:vMerge/>
            <w:hideMark/>
          </w:tcPr>
          <w:p w:rsidR="00F42AF9" w:rsidRPr="00F42AF9" w:rsidP="00F42AF9" w14:paraId="707420D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21DDF9B"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F1819F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EPA-HQ-OLEM-2022-0174-0457</w:t>
            </w:r>
          </w:p>
        </w:tc>
      </w:tr>
      <w:tr w14:paraId="18AB39A2" w14:textId="77777777" w:rsidTr="00072FD7">
        <w:tblPrEx>
          <w:tblW w:w="5195" w:type="pct"/>
          <w:tblLayout w:type="fixed"/>
          <w:tblLook w:val="04A0"/>
        </w:tblPrEx>
        <w:trPr>
          <w:trHeight w:val="1550"/>
        </w:trPr>
        <w:tc>
          <w:tcPr>
            <w:tcW w:w="1887" w:type="pct"/>
            <w:hideMark/>
          </w:tcPr>
          <w:p w:rsidR="00F42AF9" w:rsidRPr="00F42AF9" w:rsidP="00F42AF9" w14:paraId="0AA37F8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American Water Works Association, Association of Metropolitan Water Agencies, National Rural Water Association, National Association of Water Companies, National Association of Clean Water Agencies, and Water Environment Foundation</w:t>
            </w:r>
          </w:p>
        </w:tc>
        <w:tc>
          <w:tcPr>
            <w:tcW w:w="1125" w:type="pct"/>
            <w:hideMark/>
          </w:tcPr>
          <w:p w:rsidR="00F42AF9" w:rsidRPr="00F42AF9" w:rsidP="00F42AF9" w14:paraId="3D61470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 Tracy Mehan, III; Tom Dobbins; Robert Powelson; Adam Krantz; Matthew Holmes; Walter T. Marlowe</w:t>
            </w:r>
          </w:p>
        </w:tc>
        <w:tc>
          <w:tcPr>
            <w:tcW w:w="1988" w:type="pct"/>
            <w:hideMark/>
          </w:tcPr>
          <w:p w:rsidR="00F42AF9" w:rsidRPr="00F42AF9" w:rsidP="00F42AF9" w14:paraId="57EF76B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EPA-HQ-OLEM-2022-0174-0122</w:t>
            </w:r>
          </w:p>
        </w:tc>
      </w:tr>
      <w:tr w14:paraId="6E684C09" w14:textId="77777777" w:rsidTr="00072FD7">
        <w:tblPrEx>
          <w:tblW w:w="5195" w:type="pct"/>
          <w:tblLayout w:type="fixed"/>
          <w:tblLook w:val="04A0"/>
        </w:tblPrEx>
        <w:trPr>
          <w:trHeight w:val="310"/>
        </w:trPr>
        <w:tc>
          <w:tcPr>
            <w:tcW w:w="1887" w:type="pct"/>
            <w:hideMark/>
          </w:tcPr>
          <w:p w:rsidR="00F42AF9" w:rsidRPr="00F42AF9" w:rsidP="00F42AF9" w14:paraId="7BCEB0D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Anonymous public comment - 1</w:t>
            </w:r>
          </w:p>
        </w:tc>
        <w:tc>
          <w:tcPr>
            <w:tcW w:w="1125" w:type="pct"/>
            <w:hideMark/>
          </w:tcPr>
          <w:p w:rsidR="00F42AF9" w:rsidRPr="00F42AF9" w:rsidP="00F42AF9" w14:paraId="4362789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Anonymous</w:t>
            </w:r>
          </w:p>
        </w:tc>
        <w:tc>
          <w:tcPr>
            <w:tcW w:w="1988" w:type="pct"/>
            <w:hideMark/>
          </w:tcPr>
          <w:p w:rsidR="00F42AF9" w:rsidRPr="00F42AF9" w:rsidP="00F42AF9" w14:paraId="33B97FC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EPA-HQ-OLEM-2022-0174-0192</w:t>
            </w:r>
          </w:p>
        </w:tc>
      </w:tr>
      <w:tr w14:paraId="444BED76" w14:textId="77777777" w:rsidTr="00072FD7">
        <w:tblPrEx>
          <w:tblW w:w="5195" w:type="pct"/>
          <w:tblLayout w:type="fixed"/>
          <w:tblLook w:val="04A0"/>
        </w:tblPrEx>
        <w:trPr>
          <w:trHeight w:val="320"/>
        </w:trPr>
        <w:tc>
          <w:tcPr>
            <w:tcW w:w="1887" w:type="pct"/>
            <w:hideMark/>
          </w:tcPr>
          <w:p w:rsidR="00F42AF9" w:rsidRPr="00F42AF9" w:rsidP="00F42AF9" w14:paraId="3239E57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Aquino, Jill</w:t>
            </w:r>
          </w:p>
        </w:tc>
        <w:tc>
          <w:tcPr>
            <w:tcW w:w="1125" w:type="pct"/>
            <w:hideMark/>
          </w:tcPr>
          <w:p w:rsidR="00F42AF9" w:rsidRPr="00F42AF9" w:rsidP="00F42AF9" w14:paraId="7223D06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Jill Aquino</w:t>
            </w:r>
          </w:p>
        </w:tc>
        <w:tc>
          <w:tcPr>
            <w:tcW w:w="1988" w:type="pct"/>
            <w:hideMark/>
          </w:tcPr>
          <w:p w:rsidR="00F42AF9" w:rsidRPr="00F42AF9" w:rsidP="00F42AF9" w14:paraId="62FDF92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EPA-HQ-OLEM-2022-0174-0143</w:t>
            </w:r>
          </w:p>
        </w:tc>
      </w:tr>
      <w:tr w14:paraId="34EBD9F1" w14:textId="77777777" w:rsidTr="00072FD7">
        <w:tblPrEx>
          <w:tblW w:w="5195" w:type="pct"/>
          <w:tblLayout w:type="fixed"/>
          <w:tblLook w:val="04A0"/>
        </w:tblPrEx>
        <w:trPr>
          <w:trHeight w:val="320"/>
        </w:trPr>
        <w:tc>
          <w:tcPr>
            <w:tcW w:w="1887" w:type="pct"/>
            <w:hideMark/>
          </w:tcPr>
          <w:p w:rsidR="00F42AF9" w:rsidRPr="00F42AF9" w:rsidP="00F42AF9" w14:paraId="2FE1ACB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Arndt, Dave</w:t>
            </w:r>
          </w:p>
        </w:tc>
        <w:tc>
          <w:tcPr>
            <w:tcW w:w="1125" w:type="pct"/>
            <w:hideMark/>
          </w:tcPr>
          <w:p w:rsidR="00F42AF9" w:rsidRPr="00F42AF9" w:rsidP="00F42AF9" w14:paraId="7FABFB6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Dave Arndt</w:t>
            </w:r>
          </w:p>
        </w:tc>
        <w:tc>
          <w:tcPr>
            <w:tcW w:w="1988" w:type="pct"/>
            <w:hideMark/>
          </w:tcPr>
          <w:p w:rsidR="00F42AF9" w:rsidRPr="00F42AF9" w:rsidP="00F42AF9" w14:paraId="03D8F2E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EPA-HQ-OLEM-2022-0174-0148</w:t>
            </w:r>
          </w:p>
        </w:tc>
      </w:tr>
      <w:tr w14:paraId="59D997F3" w14:textId="77777777" w:rsidTr="00072FD7">
        <w:tblPrEx>
          <w:tblW w:w="5195" w:type="pct"/>
          <w:tblLayout w:type="fixed"/>
          <w:tblLook w:val="04A0"/>
        </w:tblPrEx>
        <w:trPr>
          <w:trHeight w:val="310"/>
        </w:trPr>
        <w:tc>
          <w:tcPr>
            <w:tcW w:w="1887" w:type="pct"/>
            <w:vMerge w:val="restart"/>
            <w:hideMark/>
          </w:tcPr>
          <w:p w:rsidR="00F42AF9" w:rsidRPr="00F42AF9" w:rsidP="00F42AF9" w14:paraId="5714D1B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Association of American Railroads (AAR)</w:t>
            </w:r>
          </w:p>
        </w:tc>
        <w:tc>
          <w:tcPr>
            <w:tcW w:w="1125" w:type="pct"/>
            <w:vMerge w:val="restart"/>
            <w:hideMark/>
          </w:tcPr>
          <w:p w:rsidR="00F42AF9" w:rsidRPr="00F42AF9" w:rsidP="00F42AF9" w14:paraId="54BE00D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Theresa L. Romanosky</w:t>
            </w:r>
          </w:p>
        </w:tc>
        <w:tc>
          <w:tcPr>
            <w:tcW w:w="1988" w:type="pct"/>
            <w:hideMark/>
          </w:tcPr>
          <w:p w:rsidR="00F42AF9" w:rsidRPr="00F42AF9" w:rsidP="00F42AF9" w14:paraId="183239A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EPA-HQ-OLEM-2022-0174-0159</w:t>
            </w:r>
          </w:p>
        </w:tc>
      </w:tr>
      <w:tr w14:paraId="7110C326" w14:textId="77777777" w:rsidTr="00072FD7">
        <w:tblPrEx>
          <w:tblW w:w="5195" w:type="pct"/>
          <w:tblLayout w:type="fixed"/>
          <w:tblLook w:val="04A0"/>
        </w:tblPrEx>
        <w:trPr>
          <w:trHeight w:val="310"/>
        </w:trPr>
        <w:tc>
          <w:tcPr>
            <w:tcW w:w="1887" w:type="pct"/>
            <w:vMerge/>
            <w:hideMark/>
          </w:tcPr>
          <w:p w:rsidR="00F42AF9" w:rsidRPr="00F42AF9" w:rsidP="00F42AF9" w14:paraId="0BA7238A"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260B2BF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15A188F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EPA-HQ-OLEM-2022-0174-0200</w:t>
            </w:r>
          </w:p>
        </w:tc>
      </w:tr>
      <w:tr w14:paraId="6769AB1C" w14:textId="77777777" w:rsidTr="00072FD7">
        <w:tblPrEx>
          <w:tblW w:w="5195" w:type="pct"/>
          <w:tblLayout w:type="fixed"/>
          <w:tblLook w:val="04A0"/>
        </w:tblPrEx>
        <w:trPr>
          <w:trHeight w:val="620"/>
        </w:trPr>
        <w:tc>
          <w:tcPr>
            <w:tcW w:w="1887" w:type="pct"/>
            <w:hideMark/>
          </w:tcPr>
          <w:p w:rsidR="00F42AF9" w:rsidRPr="00F42AF9" w:rsidP="00F42AF9" w14:paraId="2B1B6AF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Association of Metropolitan Water Agencies (AMWA)</w:t>
            </w:r>
          </w:p>
        </w:tc>
        <w:tc>
          <w:tcPr>
            <w:tcW w:w="1125" w:type="pct"/>
            <w:hideMark/>
          </w:tcPr>
          <w:p w:rsidR="00F42AF9" w:rsidRPr="00F42AF9" w:rsidP="00F42AF9" w14:paraId="55E3376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Thomas Dobbins</w:t>
            </w:r>
          </w:p>
        </w:tc>
        <w:tc>
          <w:tcPr>
            <w:tcW w:w="1988" w:type="pct"/>
            <w:hideMark/>
          </w:tcPr>
          <w:p w:rsidR="00F42AF9" w:rsidRPr="00F42AF9" w:rsidP="00F42AF9" w14:paraId="08D17B0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EPA-HQ-OLEM-2022-0174-0197</w:t>
            </w:r>
          </w:p>
        </w:tc>
      </w:tr>
      <w:tr w14:paraId="1815AAB8" w14:textId="77777777" w:rsidTr="00072FD7">
        <w:tblPrEx>
          <w:tblW w:w="5195" w:type="pct"/>
          <w:tblLayout w:type="fixed"/>
          <w:tblLook w:val="04A0"/>
        </w:tblPrEx>
        <w:trPr>
          <w:trHeight w:val="310"/>
        </w:trPr>
        <w:tc>
          <w:tcPr>
            <w:tcW w:w="1887" w:type="pct"/>
            <w:hideMark/>
          </w:tcPr>
          <w:p w:rsidR="00F42AF9" w:rsidRPr="00F42AF9" w:rsidP="00F42AF9" w14:paraId="5BD63CC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Atkinson, Jayla</w:t>
            </w:r>
          </w:p>
        </w:tc>
        <w:tc>
          <w:tcPr>
            <w:tcW w:w="1125" w:type="pct"/>
            <w:hideMark/>
          </w:tcPr>
          <w:p w:rsidR="00F42AF9" w:rsidRPr="00F42AF9" w:rsidP="00F42AF9" w14:paraId="44E6251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Jayla Atkinson</w:t>
            </w:r>
          </w:p>
        </w:tc>
        <w:tc>
          <w:tcPr>
            <w:tcW w:w="1988" w:type="pct"/>
            <w:hideMark/>
          </w:tcPr>
          <w:p w:rsidR="00F42AF9" w:rsidRPr="00F42AF9" w:rsidP="00F42AF9" w14:paraId="4C2A915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EPA-HQ-OLEM-2022-0174-0331</w:t>
            </w:r>
          </w:p>
        </w:tc>
      </w:tr>
      <w:tr w14:paraId="73CAB86D" w14:textId="77777777" w:rsidTr="00072FD7">
        <w:tblPrEx>
          <w:tblW w:w="5195" w:type="pct"/>
          <w:tblLayout w:type="fixed"/>
          <w:tblLook w:val="04A0"/>
        </w:tblPrEx>
        <w:trPr>
          <w:trHeight w:val="2170"/>
        </w:trPr>
        <w:tc>
          <w:tcPr>
            <w:tcW w:w="1887" w:type="pct"/>
            <w:hideMark/>
          </w:tcPr>
          <w:p w:rsidR="00F42AF9" w:rsidRPr="00F42AF9" w:rsidP="00F42AF9" w14:paraId="1243039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Attorneys General of New York, California, Connecticut, District of Columbia, Hawaii, Illinois, Iowa, Maine, Maryland, Massachusetts, Michigan, Minnesota, New Mexico, North Carolina, Oregon, Pennsylvania, Rhode Island, Vermont, Washington, and Wisconsin, and the County Attorney of Harris County, Texas</w:t>
            </w:r>
          </w:p>
        </w:tc>
        <w:tc>
          <w:tcPr>
            <w:tcW w:w="1125" w:type="pct"/>
            <w:hideMark/>
          </w:tcPr>
          <w:p w:rsidR="00F42AF9" w:rsidRPr="00F42AF9" w:rsidP="00F42AF9" w14:paraId="2FEDEB9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5574902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EPA-HQ-OLEM-2022-0174-0444</w:t>
            </w:r>
          </w:p>
        </w:tc>
      </w:tr>
      <w:tr w14:paraId="5B259BFA" w14:textId="77777777" w:rsidTr="00072FD7">
        <w:tblPrEx>
          <w:tblW w:w="5195" w:type="pct"/>
          <w:tblLayout w:type="fixed"/>
          <w:tblLook w:val="04A0"/>
        </w:tblPrEx>
        <w:trPr>
          <w:trHeight w:val="1240"/>
        </w:trPr>
        <w:tc>
          <w:tcPr>
            <w:tcW w:w="1887" w:type="pct"/>
            <w:hideMark/>
          </w:tcPr>
          <w:p w:rsidR="00F42AF9" w:rsidRPr="00F42AF9" w:rsidP="00F42AF9" w14:paraId="4312176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Attorneys General of Oklahoma, Alabama, Arkansas, Georgia, Indiana, Kansas, Kentucky, Louisiana, Mississippi, South Carolina, Texas, and Utah</w:t>
            </w:r>
          </w:p>
        </w:tc>
        <w:tc>
          <w:tcPr>
            <w:tcW w:w="1125" w:type="pct"/>
            <w:hideMark/>
          </w:tcPr>
          <w:p w:rsidR="00F42AF9" w:rsidRPr="00F42AF9" w:rsidP="00F42AF9" w14:paraId="281869D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4BA02E8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EPA-HQ-OLEM-2022-0174-0271</w:t>
            </w:r>
          </w:p>
        </w:tc>
      </w:tr>
      <w:tr w14:paraId="06C13A5E" w14:textId="77777777" w:rsidTr="00072FD7">
        <w:tblPrEx>
          <w:tblW w:w="5195" w:type="pct"/>
          <w:tblLayout w:type="fixed"/>
          <w:tblLook w:val="04A0"/>
        </w:tblPrEx>
        <w:trPr>
          <w:trHeight w:val="310"/>
        </w:trPr>
        <w:tc>
          <w:tcPr>
            <w:tcW w:w="1887" w:type="pct"/>
            <w:hideMark/>
          </w:tcPr>
          <w:p w:rsidR="00F42AF9" w:rsidRPr="00F42AF9" w:rsidP="00F42AF9" w14:paraId="4CDDA2B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Blue Ridge Environmental Defense League</w:t>
            </w:r>
          </w:p>
        </w:tc>
        <w:tc>
          <w:tcPr>
            <w:tcW w:w="1125" w:type="pct"/>
            <w:hideMark/>
          </w:tcPr>
          <w:p w:rsidR="00F42AF9" w:rsidRPr="00F42AF9" w:rsidP="00F42AF9" w14:paraId="6DB8C2C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Mark E. Baker</w:t>
            </w:r>
          </w:p>
        </w:tc>
        <w:tc>
          <w:tcPr>
            <w:tcW w:w="1988" w:type="pct"/>
            <w:hideMark/>
          </w:tcPr>
          <w:p w:rsidR="00F42AF9" w:rsidRPr="00F42AF9" w:rsidP="00F42AF9" w14:paraId="6414A31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EPA-HQ-OLEM-2022-0174-0164</w:t>
            </w:r>
          </w:p>
        </w:tc>
      </w:tr>
      <w:tr w14:paraId="04A7CDDC" w14:textId="77777777" w:rsidTr="00072FD7">
        <w:tblPrEx>
          <w:tblW w:w="5195" w:type="pct"/>
          <w:tblLayout w:type="fixed"/>
          <w:tblLook w:val="04A0"/>
        </w:tblPrEx>
        <w:trPr>
          <w:trHeight w:val="310"/>
        </w:trPr>
        <w:tc>
          <w:tcPr>
            <w:tcW w:w="1887" w:type="pct"/>
            <w:hideMark/>
          </w:tcPr>
          <w:p w:rsidR="00F42AF9" w:rsidRPr="00F42AF9" w:rsidP="00F42AF9" w14:paraId="3DE8E48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Bluegreen Alliance</w:t>
            </w:r>
          </w:p>
        </w:tc>
        <w:tc>
          <w:tcPr>
            <w:tcW w:w="1125" w:type="pct"/>
            <w:hideMark/>
          </w:tcPr>
          <w:p w:rsidR="00F42AF9" w:rsidRPr="00F42AF9" w:rsidP="00F42AF9" w14:paraId="2A946B6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1AE9567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EPA-HQ-OLEM-2022-0174-0250</w:t>
            </w:r>
          </w:p>
        </w:tc>
      </w:tr>
      <w:tr w14:paraId="1E19F362" w14:textId="77777777" w:rsidTr="00072FD7">
        <w:tblPrEx>
          <w:tblW w:w="5195" w:type="pct"/>
          <w:tblLayout w:type="fixed"/>
          <w:tblLook w:val="04A0"/>
        </w:tblPrEx>
        <w:trPr>
          <w:trHeight w:val="310"/>
        </w:trPr>
        <w:tc>
          <w:tcPr>
            <w:tcW w:w="1887" w:type="pct"/>
            <w:hideMark/>
          </w:tcPr>
          <w:p w:rsidR="00F42AF9" w:rsidRPr="00F42AF9" w:rsidP="00F42AF9" w14:paraId="3491193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Brenntag North America, Inc. (Brenntag)</w:t>
            </w:r>
          </w:p>
        </w:tc>
        <w:tc>
          <w:tcPr>
            <w:tcW w:w="1125" w:type="pct"/>
            <w:hideMark/>
          </w:tcPr>
          <w:p w:rsidR="00F42AF9" w:rsidRPr="00F42AF9" w:rsidP="00F42AF9" w14:paraId="3D81E1F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Shawn P. Wiram</w:t>
            </w:r>
          </w:p>
        </w:tc>
        <w:tc>
          <w:tcPr>
            <w:tcW w:w="1988" w:type="pct"/>
            <w:hideMark/>
          </w:tcPr>
          <w:p w:rsidR="00F42AF9" w:rsidRPr="00F42AF9" w:rsidP="00F42AF9" w14:paraId="3AC7CD4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EPA-HQ-OLEM-2022-0174-0458</w:t>
            </w:r>
          </w:p>
        </w:tc>
      </w:tr>
      <w:tr w14:paraId="4CF3FE3B" w14:textId="77777777" w:rsidTr="00072FD7">
        <w:tblPrEx>
          <w:tblW w:w="5195" w:type="pct"/>
          <w:tblLayout w:type="fixed"/>
          <w:tblLook w:val="04A0"/>
        </w:tblPrEx>
        <w:trPr>
          <w:trHeight w:val="310"/>
        </w:trPr>
        <w:tc>
          <w:tcPr>
            <w:tcW w:w="1887" w:type="pct"/>
            <w:hideMark/>
          </w:tcPr>
          <w:p w:rsidR="00F42AF9" w:rsidRPr="00F42AF9" w:rsidP="00F42AF9" w14:paraId="649AB5F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Cary, Jillian</w:t>
            </w:r>
          </w:p>
        </w:tc>
        <w:tc>
          <w:tcPr>
            <w:tcW w:w="1125" w:type="pct"/>
            <w:hideMark/>
          </w:tcPr>
          <w:p w:rsidR="00F42AF9" w:rsidRPr="00F42AF9" w:rsidP="00F42AF9" w14:paraId="1E449E6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Jillian Cary</w:t>
            </w:r>
          </w:p>
        </w:tc>
        <w:tc>
          <w:tcPr>
            <w:tcW w:w="1988" w:type="pct"/>
            <w:hideMark/>
          </w:tcPr>
          <w:p w:rsidR="00F42AF9" w:rsidRPr="00F42AF9" w:rsidP="00F42AF9" w14:paraId="497C9F3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EPA-HQ-OLEM-2022-0174-0385</w:t>
            </w:r>
          </w:p>
        </w:tc>
      </w:tr>
      <w:tr w14:paraId="31D8B3D2" w14:textId="77777777" w:rsidTr="00072FD7">
        <w:tblPrEx>
          <w:tblW w:w="5195" w:type="pct"/>
          <w:tblLayout w:type="fixed"/>
          <w:tblLook w:val="04A0"/>
        </w:tblPrEx>
        <w:trPr>
          <w:trHeight w:val="310"/>
        </w:trPr>
        <w:tc>
          <w:tcPr>
            <w:tcW w:w="1887" w:type="pct"/>
            <w:hideMark/>
          </w:tcPr>
          <w:p w:rsidR="00F42AF9" w:rsidRPr="00F42AF9" w:rsidP="00F42AF9" w14:paraId="476CF8B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Center for Progressive Reform (CPR)</w:t>
            </w:r>
          </w:p>
        </w:tc>
        <w:tc>
          <w:tcPr>
            <w:tcW w:w="1125" w:type="pct"/>
            <w:hideMark/>
          </w:tcPr>
          <w:p w:rsidR="00F42AF9" w:rsidRPr="00F42AF9" w:rsidP="00F42AF9" w14:paraId="3A8DA7A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 Isabelle Chaudry</w:t>
            </w:r>
          </w:p>
        </w:tc>
        <w:tc>
          <w:tcPr>
            <w:tcW w:w="1988" w:type="pct"/>
            <w:hideMark/>
          </w:tcPr>
          <w:p w:rsidR="00F42AF9" w:rsidRPr="00F42AF9" w:rsidP="00F42AF9" w14:paraId="67653CC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EPA-HQ-OLEM-2022-0174-0447</w:t>
            </w:r>
          </w:p>
        </w:tc>
      </w:tr>
      <w:tr w14:paraId="4158E5B0" w14:textId="77777777" w:rsidTr="00072FD7">
        <w:tblPrEx>
          <w:tblW w:w="5195" w:type="pct"/>
          <w:tblLayout w:type="fixed"/>
          <w:tblLook w:val="04A0"/>
        </w:tblPrEx>
        <w:trPr>
          <w:trHeight w:val="310"/>
        </w:trPr>
        <w:tc>
          <w:tcPr>
            <w:tcW w:w="1887" w:type="pct"/>
            <w:hideMark/>
          </w:tcPr>
          <w:p w:rsidR="00F42AF9" w:rsidRPr="00F42AF9" w:rsidP="00F42AF9" w14:paraId="617754D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Chemical Solvents, Inc. (CSI)</w:t>
            </w:r>
          </w:p>
        </w:tc>
        <w:tc>
          <w:tcPr>
            <w:tcW w:w="1125" w:type="pct"/>
            <w:hideMark/>
          </w:tcPr>
          <w:p w:rsidR="00F42AF9" w:rsidRPr="00F42AF9" w:rsidP="00F42AF9" w14:paraId="39FF400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Terri Shimensky</w:t>
            </w:r>
          </w:p>
        </w:tc>
        <w:tc>
          <w:tcPr>
            <w:tcW w:w="1988" w:type="pct"/>
            <w:hideMark/>
          </w:tcPr>
          <w:p w:rsidR="00F42AF9" w:rsidRPr="00F42AF9" w:rsidP="00F42AF9" w14:paraId="1048510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EPA-HQ-OLEM-2022-0174-0226</w:t>
            </w:r>
          </w:p>
        </w:tc>
      </w:tr>
      <w:tr w14:paraId="503E2B7F" w14:textId="77777777" w:rsidTr="00072FD7">
        <w:tblPrEx>
          <w:tblW w:w="5195" w:type="pct"/>
          <w:tblLayout w:type="fixed"/>
          <w:tblLook w:val="04A0"/>
        </w:tblPrEx>
        <w:trPr>
          <w:trHeight w:val="310"/>
        </w:trPr>
        <w:tc>
          <w:tcPr>
            <w:tcW w:w="1887" w:type="pct"/>
            <w:hideMark/>
          </w:tcPr>
          <w:p w:rsidR="00F42AF9" w:rsidRPr="00F42AF9" w:rsidP="00F42AF9" w14:paraId="0A70659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Chicago Environmental Justice Network (CEJN)</w:t>
            </w:r>
          </w:p>
        </w:tc>
        <w:tc>
          <w:tcPr>
            <w:tcW w:w="1125" w:type="pct"/>
            <w:hideMark/>
          </w:tcPr>
          <w:p w:rsidR="00F42AF9" w:rsidRPr="00F42AF9" w:rsidP="00F42AF9" w14:paraId="14F6CEE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Jason Clark</w:t>
            </w:r>
          </w:p>
        </w:tc>
        <w:tc>
          <w:tcPr>
            <w:tcW w:w="1988" w:type="pct"/>
            <w:hideMark/>
          </w:tcPr>
          <w:p w:rsidR="00F42AF9" w:rsidRPr="00F42AF9" w:rsidP="00F42AF9" w14:paraId="5B6BC3A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EPA-HQ-OLEM-2022-0174-0179</w:t>
            </w:r>
          </w:p>
        </w:tc>
      </w:tr>
      <w:tr w14:paraId="6D659CE7" w14:textId="77777777" w:rsidTr="00072FD7">
        <w:tblPrEx>
          <w:tblW w:w="5195" w:type="pct"/>
          <w:tblLayout w:type="fixed"/>
          <w:tblLook w:val="04A0"/>
        </w:tblPrEx>
        <w:trPr>
          <w:trHeight w:val="310"/>
        </w:trPr>
        <w:tc>
          <w:tcPr>
            <w:tcW w:w="1887" w:type="pct"/>
            <w:hideMark/>
          </w:tcPr>
          <w:p w:rsidR="00F42AF9" w:rsidRPr="00F42AF9" w:rsidP="00F42AF9" w14:paraId="7C177FB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City of Aurora, Colorado</w:t>
            </w:r>
          </w:p>
        </w:tc>
        <w:tc>
          <w:tcPr>
            <w:tcW w:w="1125" w:type="pct"/>
            <w:hideMark/>
          </w:tcPr>
          <w:p w:rsidR="00F42AF9" w:rsidRPr="00F42AF9" w:rsidP="00F42AF9" w14:paraId="2C8AEAB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Sherry Scaggiari</w:t>
            </w:r>
          </w:p>
        </w:tc>
        <w:tc>
          <w:tcPr>
            <w:tcW w:w="1988" w:type="pct"/>
            <w:hideMark/>
          </w:tcPr>
          <w:p w:rsidR="00F42AF9" w:rsidRPr="00F42AF9" w:rsidP="00F42AF9" w14:paraId="685A5B1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EPA-HQ-OLEM-2022-0174-0257</w:t>
            </w:r>
          </w:p>
        </w:tc>
      </w:tr>
      <w:tr w14:paraId="0A4FF8E4" w14:textId="77777777" w:rsidTr="00072FD7">
        <w:tblPrEx>
          <w:tblW w:w="5195" w:type="pct"/>
          <w:tblLayout w:type="fixed"/>
          <w:tblLook w:val="04A0"/>
        </w:tblPrEx>
        <w:trPr>
          <w:trHeight w:val="620"/>
        </w:trPr>
        <w:tc>
          <w:tcPr>
            <w:tcW w:w="1887" w:type="pct"/>
            <w:hideMark/>
          </w:tcPr>
          <w:p w:rsidR="00F42AF9" w:rsidRPr="00F42AF9" w:rsidP="00F42AF9" w14:paraId="6E414D6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Class of '85 Regulatory Response Group (Class of '85 or Group)</w:t>
            </w:r>
          </w:p>
        </w:tc>
        <w:tc>
          <w:tcPr>
            <w:tcW w:w="1125" w:type="pct"/>
            <w:hideMark/>
          </w:tcPr>
          <w:p w:rsidR="00F42AF9" w:rsidRPr="00F42AF9" w:rsidP="00F42AF9" w14:paraId="5A43D35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Debra J. Jezouit and Samantha Olson</w:t>
            </w:r>
          </w:p>
        </w:tc>
        <w:tc>
          <w:tcPr>
            <w:tcW w:w="1988" w:type="pct"/>
            <w:hideMark/>
          </w:tcPr>
          <w:p w:rsidR="00F42AF9" w:rsidRPr="00F42AF9" w:rsidP="00F42AF9" w14:paraId="770EB55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EPA-HQ-OLEM-2022-0174-0267</w:t>
            </w:r>
          </w:p>
        </w:tc>
      </w:tr>
      <w:tr w14:paraId="42702F08" w14:textId="77777777" w:rsidTr="00072FD7">
        <w:tblPrEx>
          <w:tblW w:w="5195" w:type="pct"/>
          <w:tblLayout w:type="fixed"/>
          <w:tblLook w:val="04A0"/>
        </w:tblPrEx>
        <w:trPr>
          <w:trHeight w:val="310"/>
        </w:trPr>
        <w:tc>
          <w:tcPr>
            <w:tcW w:w="1887" w:type="pct"/>
            <w:hideMark/>
          </w:tcPr>
          <w:p w:rsidR="00F42AF9" w:rsidRPr="00F42AF9" w:rsidP="00F42AF9" w14:paraId="390C097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Clean Air Now</w:t>
            </w:r>
          </w:p>
        </w:tc>
        <w:tc>
          <w:tcPr>
            <w:tcW w:w="1125" w:type="pct"/>
            <w:hideMark/>
          </w:tcPr>
          <w:p w:rsidR="00F42AF9" w:rsidRPr="00F42AF9" w:rsidP="00F42AF9" w14:paraId="1DD4BEE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Beto Lugo Martinez, Jayla Atkinson</w:t>
            </w:r>
          </w:p>
        </w:tc>
        <w:tc>
          <w:tcPr>
            <w:tcW w:w="1988" w:type="pct"/>
            <w:hideMark/>
          </w:tcPr>
          <w:p w:rsidR="00F42AF9" w:rsidRPr="00F42AF9" w:rsidP="00F42AF9" w14:paraId="05AC6A2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EPA-HQ-OLEM-2022-0174-0219</w:t>
            </w:r>
          </w:p>
        </w:tc>
      </w:tr>
      <w:tr w14:paraId="6D9A601E" w14:textId="77777777" w:rsidTr="00072FD7">
        <w:tblPrEx>
          <w:tblW w:w="5195" w:type="pct"/>
          <w:tblLayout w:type="fixed"/>
          <w:tblLook w:val="04A0"/>
        </w:tblPrEx>
        <w:trPr>
          <w:trHeight w:val="310"/>
        </w:trPr>
        <w:tc>
          <w:tcPr>
            <w:tcW w:w="1887" w:type="pct"/>
            <w:hideMark/>
          </w:tcPr>
          <w:p w:rsidR="00F42AF9" w:rsidRPr="00F42AF9" w:rsidP="00F42AF9" w14:paraId="64C924D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Clean Harbors Environmental Services (CH)</w:t>
            </w:r>
          </w:p>
        </w:tc>
        <w:tc>
          <w:tcPr>
            <w:tcW w:w="1125" w:type="pct"/>
            <w:hideMark/>
          </w:tcPr>
          <w:p w:rsidR="00F42AF9" w:rsidRPr="00F42AF9" w:rsidP="00F42AF9" w14:paraId="13972B4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Michael Crisenbery</w:t>
            </w:r>
          </w:p>
        </w:tc>
        <w:tc>
          <w:tcPr>
            <w:tcW w:w="1988" w:type="pct"/>
            <w:hideMark/>
          </w:tcPr>
          <w:p w:rsidR="00F42AF9" w:rsidRPr="00F42AF9" w:rsidP="00F42AF9" w14:paraId="29639D6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EPA-HQ-OLEM-2022-0174-0181</w:t>
            </w:r>
          </w:p>
        </w:tc>
      </w:tr>
      <w:tr w14:paraId="042C11BD" w14:textId="77777777" w:rsidTr="00072FD7">
        <w:tblPrEx>
          <w:tblW w:w="5195" w:type="pct"/>
          <w:tblLayout w:type="fixed"/>
          <w:tblLook w:val="04A0"/>
        </w:tblPrEx>
        <w:trPr>
          <w:trHeight w:val="310"/>
        </w:trPr>
        <w:tc>
          <w:tcPr>
            <w:tcW w:w="1887" w:type="pct"/>
            <w:hideMark/>
          </w:tcPr>
          <w:p w:rsidR="00F42AF9" w:rsidRPr="00F42AF9" w:rsidP="00F42AF9" w14:paraId="566647B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CleanEarth4Kids.org</w:t>
            </w:r>
          </w:p>
        </w:tc>
        <w:tc>
          <w:tcPr>
            <w:tcW w:w="1125" w:type="pct"/>
            <w:hideMark/>
          </w:tcPr>
          <w:p w:rsidR="00F42AF9" w:rsidRPr="00F42AF9" w:rsidP="00F42AF9" w14:paraId="2CDA628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CleanEarth4Kids.org</w:t>
            </w:r>
          </w:p>
        </w:tc>
        <w:tc>
          <w:tcPr>
            <w:tcW w:w="1988" w:type="pct"/>
            <w:hideMark/>
          </w:tcPr>
          <w:p w:rsidR="00F42AF9" w:rsidRPr="00F42AF9" w:rsidP="00F42AF9" w14:paraId="51033C4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EPA-HQ-OLEM-2022-0174-0252</w:t>
            </w:r>
          </w:p>
        </w:tc>
      </w:tr>
      <w:tr w14:paraId="3EA900AF" w14:textId="77777777" w:rsidTr="00072FD7">
        <w:tblPrEx>
          <w:tblW w:w="5195" w:type="pct"/>
          <w:tblLayout w:type="fixed"/>
          <w:tblLook w:val="04A0"/>
        </w:tblPrEx>
        <w:trPr>
          <w:trHeight w:val="310"/>
        </w:trPr>
        <w:tc>
          <w:tcPr>
            <w:tcW w:w="1887" w:type="pct"/>
            <w:hideMark/>
          </w:tcPr>
          <w:p w:rsidR="00F42AF9" w:rsidRPr="00F42AF9" w:rsidP="00F42AF9" w14:paraId="29B13E0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Cleco Power LLC</w:t>
            </w:r>
          </w:p>
        </w:tc>
        <w:tc>
          <w:tcPr>
            <w:tcW w:w="1125" w:type="pct"/>
            <w:hideMark/>
          </w:tcPr>
          <w:p w:rsidR="00F42AF9" w:rsidRPr="00F42AF9" w:rsidP="00F42AF9" w14:paraId="0FA464A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Bill Matthews</w:t>
            </w:r>
          </w:p>
        </w:tc>
        <w:tc>
          <w:tcPr>
            <w:tcW w:w="1988" w:type="pct"/>
            <w:hideMark/>
          </w:tcPr>
          <w:p w:rsidR="00F42AF9" w:rsidRPr="00F42AF9" w:rsidP="00F42AF9" w14:paraId="30B5848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EPA-HQ-OLEM-2022-0174-0242</w:t>
            </w:r>
          </w:p>
        </w:tc>
      </w:tr>
      <w:tr w14:paraId="24A4FE00" w14:textId="77777777" w:rsidTr="00072FD7">
        <w:tblPrEx>
          <w:tblW w:w="5195" w:type="pct"/>
          <w:tblLayout w:type="fixed"/>
          <w:tblLook w:val="04A0"/>
        </w:tblPrEx>
        <w:trPr>
          <w:trHeight w:val="620"/>
        </w:trPr>
        <w:tc>
          <w:tcPr>
            <w:tcW w:w="1887" w:type="pct"/>
            <w:hideMark/>
          </w:tcPr>
          <w:p w:rsidR="00F42AF9" w:rsidRPr="00F42AF9" w:rsidP="00F42AF9" w14:paraId="748C1FC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Coalition for Responsible Waste Incineration (CRWI)</w:t>
            </w:r>
          </w:p>
        </w:tc>
        <w:tc>
          <w:tcPr>
            <w:tcW w:w="1125" w:type="pct"/>
            <w:hideMark/>
          </w:tcPr>
          <w:p w:rsidR="00F42AF9" w:rsidRPr="00F42AF9" w:rsidP="00F42AF9" w14:paraId="3EABE5D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Melvin E. Keener</w:t>
            </w:r>
          </w:p>
        </w:tc>
        <w:tc>
          <w:tcPr>
            <w:tcW w:w="1988" w:type="pct"/>
            <w:hideMark/>
          </w:tcPr>
          <w:p w:rsidR="00F42AF9" w:rsidRPr="00F42AF9" w:rsidP="00F42AF9" w14:paraId="639D4D2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EPA-HQ-OLEM-2022-0174-0223</w:t>
            </w:r>
          </w:p>
        </w:tc>
      </w:tr>
      <w:tr w14:paraId="7BEC3251" w14:textId="77777777" w:rsidTr="00072FD7">
        <w:tblPrEx>
          <w:tblW w:w="5195" w:type="pct"/>
          <w:tblLayout w:type="fixed"/>
          <w:tblLook w:val="04A0"/>
        </w:tblPrEx>
        <w:trPr>
          <w:trHeight w:val="310"/>
        </w:trPr>
        <w:tc>
          <w:tcPr>
            <w:tcW w:w="1887" w:type="pct"/>
            <w:hideMark/>
          </w:tcPr>
          <w:p w:rsidR="00F42AF9" w:rsidRPr="00F42AF9" w:rsidP="00F42AF9" w14:paraId="68B1080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Coalition to Prevent Chemical Disasters</w:t>
            </w:r>
          </w:p>
        </w:tc>
        <w:tc>
          <w:tcPr>
            <w:tcW w:w="1125" w:type="pct"/>
            <w:hideMark/>
          </w:tcPr>
          <w:p w:rsidR="00F42AF9" w:rsidRPr="00F42AF9" w:rsidP="00F42AF9" w14:paraId="6A8D35E7" w14:textId="512FF57C">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Anonymous</w:t>
            </w:r>
          </w:p>
        </w:tc>
        <w:tc>
          <w:tcPr>
            <w:tcW w:w="1988" w:type="pct"/>
            <w:hideMark/>
          </w:tcPr>
          <w:p w:rsidR="00F42AF9" w:rsidRPr="00F42AF9" w:rsidP="00F42AF9" w14:paraId="4659BE7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EPA-HQ-OLEM-2022-0174-0269</w:t>
            </w:r>
          </w:p>
        </w:tc>
      </w:tr>
      <w:tr w14:paraId="2498BF63" w14:textId="77777777" w:rsidTr="00072FD7">
        <w:tblPrEx>
          <w:tblW w:w="5195" w:type="pct"/>
          <w:tblLayout w:type="fixed"/>
          <w:tblLook w:val="04A0"/>
        </w:tblPrEx>
        <w:trPr>
          <w:trHeight w:val="310"/>
        </w:trPr>
        <w:tc>
          <w:tcPr>
            <w:tcW w:w="1887" w:type="pct"/>
            <w:hideMark/>
          </w:tcPr>
          <w:p w:rsidR="00F42AF9" w:rsidRPr="00F42AF9" w:rsidP="00F42AF9" w14:paraId="2F5346E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Coming Clean</w:t>
            </w:r>
          </w:p>
        </w:tc>
        <w:tc>
          <w:tcPr>
            <w:tcW w:w="1125" w:type="pct"/>
            <w:hideMark/>
          </w:tcPr>
          <w:p w:rsidR="00F42AF9" w:rsidRPr="00F42AF9" w:rsidP="00F42AF9" w14:paraId="28D336E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49ED02F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EPA-HQ-OLEM-2022-0174-0258</w:t>
            </w:r>
          </w:p>
        </w:tc>
      </w:tr>
      <w:tr w14:paraId="21CC2FB1" w14:textId="77777777" w:rsidTr="00072FD7">
        <w:tblPrEx>
          <w:tblW w:w="5195" w:type="pct"/>
          <w:tblLayout w:type="fixed"/>
          <w:tblLook w:val="04A0"/>
        </w:tblPrEx>
        <w:trPr>
          <w:trHeight w:val="310"/>
        </w:trPr>
        <w:tc>
          <w:tcPr>
            <w:tcW w:w="1887" w:type="pct"/>
            <w:hideMark/>
          </w:tcPr>
          <w:p w:rsidR="00F42AF9" w:rsidRPr="00F42AF9" w:rsidP="00F42AF9" w14:paraId="12F30F2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Coming Clean et al.</w:t>
            </w:r>
          </w:p>
        </w:tc>
        <w:tc>
          <w:tcPr>
            <w:tcW w:w="1125" w:type="pct"/>
            <w:hideMark/>
          </w:tcPr>
          <w:p w:rsidR="00F42AF9" w:rsidRPr="00F42AF9" w:rsidP="00F42AF9" w14:paraId="119860D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Coming Clean et al.</w:t>
            </w:r>
          </w:p>
        </w:tc>
        <w:tc>
          <w:tcPr>
            <w:tcW w:w="1988" w:type="pct"/>
            <w:hideMark/>
          </w:tcPr>
          <w:p w:rsidR="00F42AF9" w:rsidRPr="00F42AF9" w:rsidP="00F42AF9" w14:paraId="1DC821F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EPA-HQ-OLEM-2022-0174-0270</w:t>
            </w:r>
          </w:p>
        </w:tc>
      </w:tr>
      <w:tr w14:paraId="71AE3112" w14:textId="77777777" w:rsidTr="00072FD7">
        <w:tblPrEx>
          <w:tblW w:w="5195" w:type="pct"/>
          <w:tblLayout w:type="fixed"/>
          <w:tblLook w:val="04A0"/>
        </w:tblPrEx>
        <w:trPr>
          <w:trHeight w:val="620"/>
        </w:trPr>
        <w:tc>
          <w:tcPr>
            <w:tcW w:w="1887" w:type="pct"/>
            <w:hideMark/>
          </w:tcPr>
          <w:p w:rsidR="00F42AF9" w:rsidRPr="00F42AF9" w:rsidP="00F42AF9" w14:paraId="314E51C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Congress of the United States</w:t>
            </w:r>
          </w:p>
        </w:tc>
        <w:tc>
          <w:tcPr>
            <w:tcW w:w="1125" w:type="pct"/>
            <w:hideMark/>
          </w:tcPr>
          <w:p w:rsidR="00F42AF9" w:rsidRPr="00F42AF9" w:rsidP="00F42AF9" w14:paraId="24A4D74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Shelley Moore Capito, Cathy McMorris Rogers</w:t>
            </w:r>
          </w:p>
        </w:tc>
        <w:tc>
          <w:tcPr>
            <w:tcW w:w="1988" w:type="pct"/>
            <w:hideMark/>
          </w:tcPr>
          <w:p w:rsidR="00F42AF9" w:rsidRPr="00F42AF9" w:rsidP="00F42AF9" w14:paraId="62E476C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EPA-HQ-OLEM-2022-0174-0477</w:t>
            </w:r>
          </w:p>
        </w:tc>
      </w:tr>
      <w:tr w14:paraId="5334F85C" w14:textId="77777777" w:rsidTr="00072FD7">
        <w:tblPrEx>
          <w:tblW w:w="5195" w:type="pct"/>
          <w:tblLayout w:type="fixed"/>
          <w:tblLook w:val="04A0"/>
        </w:tblPrEx>
        <w:trPr>
          <w:trHeight w:val="310"/>
        </w:trPr>
        <w:tc>
          <w:tcPr>
            <w:tcW w:w="1887" w:type="pct"/>
            <w:hideMark/>
          </w:tcPr>
          <w:p w:rsidR="00F42AF9" w:rsidRPr="00F42AF9" w:rsidP="00F42AF9" w14:paraId="429D6BE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CountryMark Cooperative</w:t>
            </w:r>
          </w:p>
        </w:tc>
        <w:tc>
          <w:tcPr>
            <w:tcW w:w="1125" w:type="pct"/>
            <w:hideMark/>
          </w:tcPr>
          <w:p w:rsidR="00F42AF9" w:rsidRPr="00F42AF9" w:rsidP="00F42AF9" w14:paraId="2C40B01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Kimberly Smock</w:t>
            </w:r>
          </w:p>
        </w:tc>
        <w:tc>
          <w:tcPr>
            <w:tcW w:w="1988" w:type="pct"/>
            <w:hideMark/>
          </w:tcPr>
          <w:p w:rsidR="00F42AF9" w:rsidRPr="00F42AF9" w:rsidP="00F42AF9" w14:paraId="48B141C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EPA-HQ-OLEM-2022-0174-0259</w:t>
            </w:r>
          </w:p>
        </w:tc>
      </w:tr>
      <w:tr w14:paraId="7B36C9AD" w14:textId="77777777" w:rsidTr="00072FD7">
        <w:tblPrEx>
          <w:tblW w:w="5195" w:type="pct"/>
          <w:tblLayout w:type="fixed"/>
          <w:tblLook w:val="04A0"/>
        </w:tblPrEx>
        <w:trPr>
          <w:trHeight w:val="310"/>
        </w:trPr>
        <w:tc>
          <w:tcPr>
            <w:tcW w:w="1887" w:type="pct"/>
            <w:hideMark/>
          </w:tcPr>
          <w:p w:rsidR="00F42AF9" w:rsidRPr="00F42AF9" w:rsidP="00F42AF9" w14:paraId="3228BA7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County of Los Angeles Board of Supervisors</w:t>
            </w:r>
          </w:p>
        </w:tc>
        <w:tc>
          <w:tcPr>
            <w:tcW w:w="1125" w:type="pct"/>
            <w:hideMark/>
          </w:tcPr>
          <w:p w:rsidR="00F42AF9" w:rsidRPr="00F42AF9" w:rsidP="00F42AF9" w14:paraId="5F852C6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Holly Mitchell</w:t>
            </w:r>
          </w:p>
        </w:tc>
        <w:tc>
          <w:tcPr>
            <w:tcW w:w="1988" w:type="pct"/>
            <w:hideMark/>
          </w:tcPr>
          <w:p w:rsidR="00F42AF9" w:rsidRPr="00F42AF9" w:rsidP="00F42AF9" w14:paraId="13067EA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EPA-HQ-OLEM-2022-0174-0120</w:t>
            </w:r>
          </w:p>
        </w:tc>
      </w:tr>
      <w:tr w14:paraId="2BE7A89F" w14:textId="77777777" w:rsidTr="00072FD7">
        <w:tblPrEx>
          <w:tblW w:w="5195" w:type="pct"/>
          <w:tblLayout w:type="fixed"/>
          <w:tblLook w:val="04A0"/>
        </w:tblPrEx>
        <w:trPr>
          <w:trHeight w:val="310"/>
        </w:trPr>
        <w:tc>
          <w:tcPr>
            <w:tcW w:w="1887" w:type="pct"/>
            <w:hideMark/>
          </w:tcPr>
          <w:p w:rsidR="00F42AF9" w:rsidRPr="00F42AF9" w:rsidP="00F42AF9" w14:paraId="7FE3E45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Davis, Myles</w:t>
            </w:r>
          </w:p>
        </w:tc>
        <w:tc>
          <w:tcPr>
            <w:tcW w:w="1125" w:type="pct"/>
            <w:hideMark/>
          </w:tcPr>
          <w:p w:rsidR="00F42AF9" w:rsidRPr="00F42AF9" w:rsidP="00F42AF9" w14:paraId="64BBA60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Myles Davis</w:t>
            </w:r>
          </w:p>
        </w:tc>
        <w:tc>
          <w:tcPr>
            <w:tcW w:w="1988" w:type="pct"/>
            <w:hideMark/>
          </w:tcPr>
          <w:p w:rsidR="00F42AF9" w:rsidRPr="00F42AF9" w:rsidP="00F42AF9" w14:paraId="0DDE802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EPA-HQ-OLEM-2022-0174-0142</w:t>
            </w:r>
          </w:p>
        </w:tc>
      </w:tr>
      <w:tr w14:paraId="6B06B173" w14:textId="77777777" w:rsidTr="00072FD7">
        <w:tblPrEx>
          <w:tblW w:w="5195" w:type="pct"/>
          <w:tblLayout w:type="fixed"/>
          <w:tblLook w:val="04A0"/>
        </w:tblPrEx>
        <w:trPr>
          <w:trHeight w:val="310"/>
        </w:trPr>
        <w:tc>
          <w:tcPr>
            <w:tcW w:w="1887" w:type="pct"/>
            <w:hideMark/>
          </w:tcPr>
          <w:p w:rsidR="00F42AF9" w:rsidRPr="00F42AF9" w:rsidP="00F42AF9" w14:paraId="713C9BA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Dillow, Steve</w:t>
            </w:r>
          </w:p>
        </w:tc>
        <w:tc>
          <w:tcPr>
            <w:tcW w:w="1125" w:type="pct"/>
            <w:hideMark/>
          </w:tcPr>
          <w:p w:rsidR="00F42AF9" w:rsidRPr="00F42AF9" w:rsidP="00F42AF9" w14:paraId="3D2D135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Steve Dillow</w:t>
            </w:r>
          </w:p>
        </w:tc>
        <w:tc>
          <w:tcPr>
            <w:tcW w:w="1988" w:type="pct"/>
            <w:hideMark/>
          </w:tcPr>
          <w:p w:rsidR="00F42AF9" w:rsidRPr="00F42AF9" w:rsidP="00F42AF9" w14:paraId="054CB69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EPA-HQ-OLEM-2022-0174-0131</w:t>
            </w:r>
          </w:p>
        </w:tc>
      </w:tr>
      <w:tr w14:paraId="520F2B7B" w14:textId="77777777" w:rsidTr="00072FD7">
        <w:tblPrEx>
          <w:tblW w:w="5195" w:type="pct"/>
          <w:tblLayout w:type="fixed"/>
          <w:tblLook w:val="04A0"/>
        </w:tblPrEx>
        <w:trPr>
          <w:trHeight w:val="310"/>
        </w:trPr>
        <w:tc>
          <w:tcPr>
            <w:tcW w:w="1887" w:type="pct"/>
            <w:hideMark/>
          </w:tcPr>
          <w:p w:rsidR="00F42AF9" w:rsidRPr="00F42AF9" w:rsidP="00F42AF9" w14:paraId="7AD271C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Dossey, Michael</w:t>
            </w:r>
          </w:p>
        </w:tc>
        <w:tc>
          <w:tcPr>
            <w:tcW w:w="1125" w:type="pct"/>
            <w:hideMark/>
          </w:tcPr>
          <w:p w:rsidR="00F42AF9" w:rsidRPr="00F42AF9" w:rsidP="00F42AF9" w14:paraId="7662BF0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Michael Dossey</w:t>
            </w:r>
          </w:p>
        </w:tc>
        <w:tc>
          <w:tcPr>
            <w:tcW w:w="1988" w:type="pct"/>
            <w:hideMark/>
          </w:tcPr>
          <w:p w:rsidR="00F42AF9" w:rsidRPr="00F42AF9" w:rsidP="00F42AF9" w14:paraId="45470EC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EPA-HQ-OLEM-2022-0174-0173</w:t>
            </w:r>
          </w:p>
        </w:tc>
      </w:tr>
      <w:tr w14:paraId="7B1B5343" w14:textId="77777777" w:rsidTr="00072FD7">
        <w:tblPrEx>
          <w:tblW w:w="5195" w:type="pct"/>
          <w:tblLayout w:type="fixed"/>
          <w:tblLook w:val="04A0"/>
        </w:tblPrEx>
        <w:trPr>
          <w:trHeight w:val="310"/>
        </w:trPr>
        <w:tc>
          <w:tcPr>
            <w:tcW w:w="1887" w:type="pct"/>
            <w:vMerge w:val="restart"/>
            <w:hideMark/>
          </w:tcPr>
          <w:p w:rsidR="00F42AF9" w:rsidRPr="00F42AF9" w:rsidP="00F42AF9" w14:paraId="2B03EE3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Earthjustice et al.</w:t>
            </w:r>
          </w:p>
        </w:tc>
        <w:tc>
          <w:tcPr>
            <w:tcW w:w="1125" w:type="pct"/>
            <w:vMerge w:val="restart"/>
            <w:hideMark/>
          </w:tcPr>
          <w:p w:rsidR="00F42AF9" w:rsidRPr="00F42AF9" w:rsidP="00F42AF9" w14:paraId="50D5A5D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Emma Cheuse, Michelle Mabson, Robyn Winz and Victoria Huggett</w:t>
            </w:r>
          </w:p>
        </w:tc>
        <w:tc>
          <w:tcPr>
            <w:tcW w:w="1988" w:type="pct"/>
            <w:hideMark/>
          </w:tcPr>
          <w:p w:rsidR="00F42AF9" w:rsidRPr="00F42AF9" w:rsidP="00F42AF9" w14:paraId="2F48135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EPA-HQ-OLEM-2022-0174-0475</w:t>
            </w:r>
          </w:p>
        </w:tc>
      </w:tr>
      <w:tr w14:paraId="6727A38D" w14:textId="77777777" w:rsidTr="00072FD7">
        <w:tblPrEx>
          <w:tblW w:w="5195" w:type="pct"/>
          <w:tblLayout w:type="fixed"/>
          <w:tblLook w:val="04A0"/>
        </w:tblPrEx>
        <w:trPr>
          <w:trHeight w:val="310"/>
        </w:trPr>
        <w:tc>
          <w:tcPr>
            <w:tcW w:w="1887" w:type="pct"/>
            <w:vMerge/>
            <w:hideMark/>
          </w:tcPr>
          <w:p w:rsidR="00F42AF9" w:rsidRPr="00F42AF9" w:rsidP="00F42AF9" w14:paraId="62561CEF"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CA0F6BC"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626521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EPA-HQ-OLEM-2022-0174-0464</w:t>
            </w:r>
          </w:p>
        </w:tc>
      </w:tr>
      <w:tr w14:paraId="6AF840D3" w14:textId="77777777" w:rsidTr="00072FD7">
        <w:tblPrEx>
          <w:tblW w:w="5195" w:type="pct"/>
          <w:tblLayout w:type="fixed"/>
          <w:tblLook w:val="04A0"/>
        </w:tblPrEx>
        <w:trPr>
          <w:trHeight w:val="310"/>
        </w:trPr>
        <w:tc>
          <w:tcPr>
            <w:tcW w:w="1887" w:type="pct"/>
            <w:vMerge/>
            <w:hideMark/>
          </w:tcPr>
          <w:p w:rsidR="00F42AF9" w:rsidRPr="00F42AF9" w:rsidP="00F42AF9" w14:paraId="76BA53B4"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652A076A"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186B646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EPA-HQ-OLEM-2022-0174-0465</w:t>
            </w:r>
          </w:p>
        </w:tc>
      </w:tr>
      <w:tr w14:paraId="01D42FFE" w14:textId="77777777" w:rsidTr="00072FD7">
        <w:tblPrEx>
          <w:tblW w:w="5195" w:type="pct"/>
          <w:tblLayout w:type="fixed"/>
          <w:tblLook w:val="04A0"/>
        </w:tblPrEx>
        <w:trPr>
          <w:trHeight w:val="310"/>
        </w:trPr>
        <w:tc>
          <w:tcPr>
            <w:tcW w:w="1887" w:type="pct"/>
            <w:vMerge/>
            <w:hideMark/>
          </w:tcPr>
          <w:p w:rsidR="00F42AF9" w:rsidRPr="00F42AF9" w:rsidP="00F42AF9" w14:paraId="50DBC454"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A07B717"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507A86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EPA-HQ-OLEM-2022-0174-0466</w:t>
            </w:r>
          </w:p>
        </w:tc>
      </w:tr>
      <w:tr w14:paraId="0919240C" w14:textId="77777777" w:rsidTr="00072FD7">
        <w:tblPrEx>
          <w:tblW w:w="5195" w:type="pct"/>
          <w:tblLayout w:type="fixed"/>
          <w:tblLook w:val="04A0"/>
        </w:tblPrEx>
        <w:trPr>
          <w:trHeight w:val="310"/>
        </w:trPr>
        <w:tc>
          <w:tcPr>
            <w:tcW w:w="1887" w:type="pct"/>
            <w:vMerge/>
            <w:hideMark/>
          </w:tcPr>
          <w:p w:rsidR="00F42AF9" w:rsidRPr="00F42AF9" w:rsidP="00F42AF9" w14:paraId="4441DC12"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2DA46C3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17D95ED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EPA-HQ-OLEM-2022-0174-0467</w:t>
            </w:r>
          </w:p>
        </w:tc>
      </w:tr>
      <w:tr w14:paraId="08973CFA" w14:textId="77777777" w:rsidTr="00072FD7">
        <w:tblPrEx>
          <w:tblW w:w="5195" w:type="pct"/>
          <w:tblLayout w:type="fixed"/>
          <w:tblLook w:val="04A0"/>
        </w:tblPrEx>
        <w:trPr>
          <w:trHeight w:val="310"/>
        </w:trPr>
        <w:tc>
          <w:tcPr>
            <w:tcW w:w="1887" w:type="pct"/>
            <w:vMerge/>
            <w:hideMark/>
          </w:tcPr>
          <w:p w:rsidR="00F42AF9" w:rsidRPr="00F42AF9" w:rsidP="00F42AF9" w14:paraId="24889915"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2765815D"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7C20923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EPA-HQ-OLEM-2022-0174-0468</w:t>
            </w:r>
          </w:p>
        </w:tc>
      </w:tr>
      <w:tr w14:paraId="3CA540FC" w14:textId="77777777" w:rsidTr="00072FD7">
        <w:tblPrEx>
          <w:tblW w:w="5195" w:type="pct"/>
          <w:tblLayout w:type="fixed"/>
          <w:tblLook w:val="04A0"/>
        </w:tblPrEx>
        <w:trPr>
          <w:trHeight w:val="310"/>
        </w:trPr>
        <w:tc>
          <w:tcPr>
            <w:tcW w:w="1887" w:type="pct"/>
            <w:vMerge/>
            <w:hideMark/>
          </w:tcPr>
          <w:p w:rsidR="00F42AF9" w:rsidRPr="00F42AF9" w:rsidP="00F42AF9" w14:paraId="2D0AFE64"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9CE055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0FAEB6B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EPA-HQ-OLEM-2022-0174-0469</w:t>
            </w:r>
          </w:p>
        </w:tc>
      </w:tr>
      <w:tr w14:paraId="6A74C955" w14:textId="77777777" w:rsidTr="00072FD7">
        <w:tblPrEx>
          <w:tblW w:w="5195" w:type="pct"/>
          <w:tblLayout w:type="fixed"/>
          <w:tblLook w:val="04A0"/>
        </w:tblPrEx>
        <w:trPr>
          <w:trHeight w:val="310"/>
        </w:trPr>
        <w:tc>
          <w:tcPr>
            <w:tcW w:w="1887" w:type="pct"/>
            <w:vMerge/>
            <w:hideMark/>
          </w:tcPr>
          <w:p w:rsidR="00F42AF9" w:rsidRPr="00F42AF9" w:rsidP="00F42AF9" w14:paraId="2ABAD299"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5C2E0342"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C3FE65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EPA-HQ-OLEM-2022-0174-0461</w:t>
            </w:r>
          </w:p>
        </w:tc>
      </w:tr>
      <w:tr w14:paraId="59449E99" w14:textId="77777777" w:rsidTr="00072FD7">
        <w:tblPrEx>
          <w:tblW w:w="5195" w:type="pct"/>
          <w:tblLayout w:type="fixed"/>
          <w:tblLook w:val="04A0"/>
        </w:tblPrEx>
        <w:trPr>
          <w:trHeight w:val="310"/>
        </w:trPr>
        <w:tc>
          <w:tcPr>
            <w:tcW w:w="1887" w:type="pct"/>
            <w:vMerge/>
            <w:hideMark/>
          </w:tcPr>
          <w:p w:rsidR="00F42AF9" w:rsidRPr="00F42AF9" w:rsidP="00F42AF9" w14:paraId="1D5CBC64"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09B3FB22"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58B600A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EPA-HQ-OLEM-2022-0174-0462</w:t>
            </w:r>
          </w:p>
        </w:tc>
      </w:tr>
      <w:tr w14:paraId="01493E0D" w14:textId="77777777" w:rsidTr="00072FD7">
        <w:tblPrEx>
          <w:tblW w:w="5195" w:type="pct"/>
          <w:tblLayout w:type="fixed"/>
          <w:tblLook w:val="04A0"/>
        </w:tblPrEx>
        <w:trPr>
          <w:trHeight w:val="310"/>
        </w:trPr>
        <w:tc>
          <w:tcPr>
            <w:tcW w:w="1887" w:type="pct"/>
            <w:vMerge/>
            <w:hideMark/>
          </w:tcPr>
          <w:p w:rsidR="00F42AF9" w:rsidRPr="00F42AF9" w:rsidP="00F42AF9" w14:paraId="388544CD"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6BAD318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E53008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EPA-HQ-OLEM-2022-0174-0460</w:t>
            </w:r>
          </w:p>
        </w:tc>
      </w:tr>
      <w:tr w14:paraId="1EA3CF02" w14:textId="77777777" w:rsidTr="00072FD7">
        <w:tblPrEx>
          <w:tblW w:w="5195" w:type="pct"/>
          <w:tblLayout w:type="fixed"/>
          <w:tblLook w:val="04A0"/>
        </w:tblPrEx>
        <w:trPr>
          <w:trHeight w:val="310"/>
        </w:trPr>
        <w:tc>
          <w:tcPr>
            <w:tcW w:w="1887" w:type="pct"/>
            <w:vMerge/>
            <w:hideMark/>
          </w:tcPr>
          <w:p w:rsidR="00F42AF9" w:rsidRPr="00F42AF9" w:rsidP="00F42AF9" w14:paraId="71DE32F0"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7455268F"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01B52D9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EPA-HQ-OLEM-2022-0174-0472</w:t>
            </w:r>
          </w:p>
        </w:tc>
      </w:tr>
      <w:tr w14:paraId="3B666910" w14:textId="77777777" w:rsidTr="00072FD7">
        <w:tblPrEx>
          <w:tblW w:w="5195" w:type="pct"/>
          <w:tblLayout w:type="fixed"/>
          <w:tblLook w:val="04A0"/>
        </w:tblPrEx>
        <w:trPr>
          <w:trHeight w:val="310"/>
        </w:trPr>
        <w:tc>
          <w:tcPr>
            <w:tcW w:w="1887" w:type="pct"/>
            <w:vMerge/>
            <w:hideMark/>
          </w:tcPr>
          <w:p w:rsidR="00F42AF9" w:rsidRPr="00F42AF9" w:rsidP="00F42AF9" w14:paraId="0D493395"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4C4C99EB"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1B9AE7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EPA-HQ-OLEM-2022-0174-0460</w:t>
            </w:r>
          </w:p>
        </w:tc>
      </w:tr>
      <w:tr w14:paraId="06EF3CB6" w14:textId="77777777" w:rsidTr="00072FD7">
        <w:tblPrEx>
          <w:tblW w:w="5195" w:type="pct"/>
          <w:tblLayout w:type="fixed"/>
          <w:tblLook w:val="04A0"/>
        </w:tblPrEx>
        <w:trPr>
          <w:trHeight w:val="310"/>
        </w:trPr>
        <w:tc>
          <w:tcPr>
            <w:tcW w:w="1887" w:type="pct"/>
            <w:vMerge/>
            <w:hideMark/>
          </w:tcPr>
          <w:p w:rsidR="00F42AF9" w:rsidRPr="00F42AF9" w:rsidP="00F42AF9" w14:paraId="62D96B3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49F420F5"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5A1456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EPA-HQ-OLEM-2022-0174-0474</w:t>
            </w:r>
          </w:p>
        </w:tc>
      </w:tr>
      <w:tr w14:paraId="6BB86956" w14:textId="77777777" w:rsidTr="00072FD7">
        <w:tblPrEx>
          <w:tblW w:w="5195" w:type="pct"/>
          <w:tblLayout w:type="fixed"/>
          <w:tblLook w:val="04A0"/>
        </w:tblPrEx>
        <w:trPr>
          <w:trHeight w:val="310"/>
        </w:trPr>
        <w:tc>
          <w:tcPr>
            <w:tcW w:w="1887" w:type="pct"/>
            <w:vMerge/>
            <w:hideMark/>
          </w:tcPr>
          <w:p w:rsidR="00F42AF9" w:rsidRPr="00F42AF9" w:rsidP="00F42AF9" w14:paraId="22F8B483"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A31C76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22BA9A2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EPA-HQ-OLEM-2022-0174-0473</w:t>
            </w:r>
          </w:p>
        </w:tc>
      </w:tr>
      <w:tr w14:paraId="35A2B24C" w14:textId="77777777" w:rsidTr="00072FD7">
        <w:tblPrEx>
          <w:tblW w:w="5195" w:type="pct"/>
          <w:tblLayout w:type="fixed"/>
          <w:tblLook w:val="04A0"/>
        </w:tblPrEx>
        <w:trPr>
          <w:trHeight w:val="310"/>
        </w:trPr>
        <w:tc>
          <w:tcPr>
            <w:tcW w:w="1887" w:type="pct"/>
            <w:vMerge/>
            <w:hideMark/>
          </w:tcPr>
          <w:p w:rsidR="00F42AF9" w:rsidRPr="00F42AF9" w:rsidP="00F42AF9" w14:paraId="1CADF7AA"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5902EC2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02990B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EPA-HQ-OLEM-2022-0174-0471</w:t>
            </w:r>
          </w:p>
        </w:tc>
      </w:tr>
      <w:tr w14:paraId="312F7E23" w14:textId="77777777" w:rsidTr="00072FD7">
        <w:tblPrEx>
          <w:tblW w:w="5195" w:type="pct"/>
          <w:tblLayout w:type="fixed"/>
          <w:tblLook w:val="04A0"/>
        </w:tblPrEx>
        <w:trPr>
          <w:trHeight w:val="310"/>
        </w:trPr>
        <w:tc>
          <w:tcPr>
            <w:tcW w:w="1887" w:type="pct"/>
            <w:vMerge/>
            <w:hideMark/>
          </w:tcPr>
          <w:p w:rsidR="00F42AF9" w:rsidRPr="00F42AF9" w:rsidP="00F42AF9" w14:paraId="3D9EEF51"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54FCADF"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1269BB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EPA-HQ-OLEM-2022-0174-0470</w:t>
            </w:r>
          </w:p>
        </w:tc>
      </w:tr>
      <w:tr w14:paraId="5F5393C4" w14:textId="77777777" w:rsidTr="00072FD7">
        <w:tblPrEx>
          <w:tblW w:w="5195" w:type="pct"/>
          <w:tblLayout w:type="fixed"/>
          <w:tblLook w:val="04A0"/>
        </w:tblPrEx>
        <w:trPr>
          <w:trHeight w:val="310"/>
        </w:trPr>
        <w:tc>
          <w:tcPr>
            <w:tcW w:w="1887" w:type="pct"/>
            <w:vMerge/>
            <w:hideMark/>
          </w:tcPr>
          <w:p w:rsidR="00F42AF9" w:rsidRPr="00F42AF9" w:rsidP="00F42AF9" w14:paraId="0606DE55"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508C1FA5"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2AA6E2B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EPA-HQ-OLEM-2022-0174-0463</w:t>
            </w:r>
          </w:p>
        </w:tc>
      </w:tr>
      <w:tr w14:paraId="1AFF3A70" w14:textId="77777777" w:rsidTr="00072FD7">
        <w:tblPrEx>
          <w:tblW w:w="5195" w:type="pct"/>
          <w:tblLayout w:type="fixed"/>
          <w:tblLook w:val="04A0"/>
        </w:tblPrEx>
        <w:trPr>
          <w:trHeight w:val="310"/>
        </w:trPr>
        <w:tc>
          <w:tcPr>
            <w:tcW w:w="1887" w:type="pct"/>
            <w:vMerge/>
            <w:hideMark/>
          </w:tcPr>
          <w:p w:rsidR="00F42AF9" w:rsidRPr="00F42AF9" w:rsidP="00F42AF9" w14:paraId="24589C86"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76797DB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2DD9E3A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EPA-HQ-OLEM-2022-0174-0476</w:t>
            </w:r>
          </w:p>
        </w:tc>
      </w:tr>
      <w:tr w14:paraId="3C79A2A9" w14:textId="77777777" w:rsidTr="00072FD7">
        <w:tblPrEx>
          <w:tblW w:w="5195" w:type="pct"/>
          <w:tblLayout w:type="fixed"/>
          <w:tblLook w:val="04A0"/>
        </w:tblPrEx>
        <w:trPr>
          <w:trHeight w:val="310"/>
        </w:trPr>
        <w:tc>
          <w:tcPr>
            <w:tcW w:w="1887" w:type="pct"/>
            <w:hideMark/>
          </w:tcPr>
          <w:p w:rsidR="00F42AF9" w:rsidRPr="00F42AF9" w:rsidP="00F42AF9" w14:paraId="4C719A1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Edison Electric Institute (EEI)</w:t>
            </w:r>
          </w:p>
        </w:tc>
        <w:tc>
          <w:tcPr>
            <w:tcW w:w="1125" w:type="pct"/>
            <w:hideMark/>
          </w:tcPr>
          <w:p w:rsidR="00F42AF9" w:rsidRPr="00F42AF9" w:rsidP="00F42AF9" w14:paraId="3D30BE5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1203F27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EPA-HQ-OLEM-2022-0174-0244</w:t>
            </w:r>
          </w:p>
        </w:tc>
      </w:tr>
      <w:tr w14:paraId="17DC33A1" w14:textId="77777777" w:rsidTr="00072FD7">
        <w:tblPrEx>
          <w:tblW w:w="5195" w:type="pct"/>
          <w:tblLayout w:type="fixed"/>
          <w:tblLook w:val="04A0"/>
        </w:tblPrEx>
        <w:trPr>
          <w:trHeight w:val="620"/>
        </w:trPr>
        <w:tc>
          <w:tcPr>
            <w:tcW w:w="1887" w:type="pct"/>
            <w:hideMark/>
          </w:tcPr>
          <w:p w:rsidR="00F42AF9" w:rsidRPr="00F42AF9" w:rsidP="00F42AF9" w14:paraId="216208A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EMCO Chemical Distributors, Inc. (EMCO)</w:t>
            </w:r>
          </w:p>
        </w:tc>
        <w:tc>
          <w:tcPr>
            <w:tcW w:w="1125" w:type="pct"/>
            <w:hideMark/>
          </w:tcPr>
          <w:p w:rsidR="00F42AF9" w:rsidRPr="00F42AF9" w:rsidP="00F42AF9" w14:paraId="48F2F803" w14:textId="4D0C1C3F">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 xml:space="preserve">Responsible </w:t>
            </w:r>
            <w:r w:rsidRPr="00F42AF9" w:rsidR="00F36F17">
              <w:rPr>
                <w:rFonts w:ascii="Times New Roman" w:eastAsia="Times New Roman" w:hAnsi="Times New Roman"/>
                <w:color w:val="000000"/>
                <w:sz w:val="24"/>
              </w:rPr>
              <w:t>Distribution</w:t>
            </w:r>
            <w:r w:rsidRPr="00F42AF9">
              <w:rPr>
                <w:rFonts w:ascii="Times New Roman" w:eastAsia="Times New Roman" w:hAnsi="Times New Roman"/>
                <w:color w:val="000000"/>
                <w:sz w:val="24"/>
              </w:rPr>
              <w:t>® Code Coordinator for EMCO</w:t>
            </w:r>
          </w:p>
        </w:tc>
        <w:tc>
          <w:tcPr>
            <w:tcW w:w="1988" w:type="pct"/>
            <w:hideMark/>
          </w:tcPr>
          <w:p w:rsidR="00F42AF9" w:rsidRPr="00F42AF9" w:rsidP="00F42AF9" w14:paraId="2C2162E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EPA-HQ-OLEM-2022-0174-0180</w:t>
            </w:r>
          </w:p>
        </w:tc>
      </w:tr>
      <w:tr w14:paraId="2362FEBD" w14:textId="77777777" w:rsidTr="00072FD7">
        <w:tblPrEx>
          <w:tblW w:w="5195" w:type="pct"/>
          <w:tblLayout w:type="fixed"/>
          <w:tblLook w:val="04A0"/>
        </w:tblPrEx>
        <w:trPr>
          <w:trHeight w:val="310"/>
        </w:trPr>
        <w:tc>
          <w:tcPr>
            <w:tcW w:w="1887" w:type="pct"/>
            <w:hideMark/>
          </w:tcPr>
          <w:p w:rsidR="00F42AF9" w:rsidRPr="00F42AF9" w:rsidP="00F42AF9" w14:paraId="75B556B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Environmental Federation of Oklahoma (EFO)</w:t>
            </w:r>
          </w:p>
        </w:tc>
        <w:tc>
          <w:tcPr>
            <w:tcW w:w="1125" w:type="pct"/>
            <w:hideMark/>
          </w:tcPr>
          <w:p w:rsidR="00F42AF9" w:rsidRPr="00F42AF9" w:rsidP="00F42AF9" w14:paraId="48CBAEC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Howard Ground</w:t>
            </w:r>
          </w:p>
        </w:tc>
        <w:tc>
          <w:tcPr>
            <w:tcW w:w="1988" w:type="pct"/>
            <w:hideMark/>
          </w:tcPr>
          <w:p w:rsidR="00F42AF9" w:rsidRPr="00F42AF9" w:rsidP="00F42AF9" w14:paraId="48FCC01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EPA-HQ-OLEM-2022-0174-0222</w:t>
            </w:r>
          </w:p>
        </w:tc>
      </w:tr>
      <w:tr w14:paraId="154B9F09" w14:textId="77777777" w:rsidTr="00072FD7">
        <w:tblPrEx>
          <w:tblW w:w="5195" w:type="pct"/>
          <w:tblLayout w:type="fixed"/>
          <w:tblLook w:val="04A0"/>
        </w:tblPrEx>
        <w:trPr>
          <w:trHeight w:val="930"/>
        </w:trPr>
        <w:tc>
          <w:tcPr>
            <w:tcW w:w="1887" w:type="pct"/>
            <w:hideMark/>
          </w:tcPr>
          <w:p w:rsidR="00F42AF9" w:rsidRPr="00F42AF9" w:rsidP="00F42AF9" w14:paraId="27D3693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Environmental Justice Health Alliance for Chemical Policy Reform (EJHA), Coming Clean et al.</w:t>
            </w:r>
          </w:p>
        </w:tc>
        <w:tc>
          <w:tcPr>
            <w:tcW w:w="1125" w:type="pct"/>
            <w:hideMark/>
          </w:tcPr>
          <w:p w:rsidR="00F42AF9" w:rsidRPr="00F42AF9" w:rsidP="00F42AF9" w14:paraId="7477FA3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 xml:space="preserve">Environmental Justice Health Alliance for Chemical Policy </w:t>
            </w:r>
            <w:r w:rsidRPr="00F42AF9">
              <w:rPr>
                <w:rFonts w:ascii="Times New Roman" w:eastAsia="Times New Roman" w:hAnsi="Times New Roman"/>
                <w:color w:val="000000"/>
                <w:sz w:val="24"/>
              </w:rPr>
              <w:t>Reform (EJHA), Coming Clean et al.</w:t>
            </w:r>
          </w:p>
        </w:tc>
        <w:tc>
          <w:tcPr>
            <w:tcW w:w="1988" w:type="pct"/>
            <w:hideMark/>
          </w:tcPr>
          <w:p w:rsidR="00F42AF9" w:rsidRPr="00F42AF9" w:rsidP="00F42AF9" w14:paraId="39C6A8E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EPA-HQ-OLEM-2022-0174-0456</w:t>
            </w:r>
          </w:p>
        </w:tc>
      </w:tr>
      <w:tr w14:paraId="49A726CF" w14:textId="77777777" w:rsidTr="00072FD7">
        <w:tblPrEx>
          <w:tblW w:w="5195" w:type="pct"/>
          <w:tblLayout w:type="fixed"/>
          <w:tblLook w:val="04A0"/>
        </w:tblPrEx>
        <w:trPr>
          <w:trHeight w:val="310"/>
        </w:trPr>
        <w:tc>
          <w:tcPr>
            <w:tcW w:w="1887" w:type="pct"/>
            <w:hideMark/>
          </w:tcPr>
          <w:p w:rsidR="00F42AF9" w:rsidRPr="00F42AF9" w:rsidP="00F42AF9" w14:paraId="1120D75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Environmental Technology Council (ETC)</w:t>
            </w:r>
          </w:p>
        </w:tc>
        <w:tc>
          <w:tcPr>
            <w:tcW w:w="1125" w:type="pct"/>
            <w:hideMark/>
          </w:tcPr>
          <w:p w:rsidR="00F42AF9" w:rsidRPr="00F42AF9" w:rsidP="00F42AF9" w14:paraId="33F0F6F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James A. Williams, II</w:t>
            </w:r>
          </w:p>
        </w:tc>
        <w:tc>
          <w:tcPr>
            <w:tcW w:w="1988" w:type="pct"/>
            <w:hideMark/>
          </w:tcPr>
          <w:p w:rsidR="00F42AF9" w:rsidRPr="00F42AF9" w:rsidP="00F42AF9" w14:paraId="3E4073C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EPA-HQ-OLEM-2022-0174-0262</w:t>
            </w:r>
          </w:p>
        </w:tc>
      </w:tr>
      <w:tr w14:paraId="756C624E" w14:textId="77777777" w:rsidTr="00072FD7">
        <w:tblPrEx>
          <w:tblW w:w="5195" w:type="pct"/>
          <w:tblLayout w:type="fixed"/>
          <w:tblLook w:val="04A0"/>
        </w:tblPrEx>
        <w:trPr>
          <w:trHeight w:val="310"/>
        </w:trPr>
        <w:tc>
          <w:tcPr>
            <w:tcW w:w="1887" w:type="pct"/>
            <w:hideMark/>
          </w:tcPr>
          <w:p w:rsidR="00F42AF9" w:rsidRPr="00F42AF9" w:rsidP="00F42AF9" w14:paraId="2C88BAE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Feitelberg, M.P.</w:t>
            </w:r>
          </w:p>
        </w:tc>
        <w:tc>
          <w:tcPr>
            <w:tcW w:w="1125" w:type="pct"/>
            <w:hideMark/>
          </w:tcPr>
          <w:p w:rsidR="00F42AF9" w:rsidRPr="00F42AF9" w:rsidP="00F42AF9" w14:paraId="1476F26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M.P. Feitelberg</w:t>
            </w:r>
          </w:p>
        </w:tc>
        <w:tc>
          <w:tcPr>
            <w:tcW w:w="1988" w:type="pct"/>
            <w:hideMark/>
          </w:tcPr>
          <w:p w:rsidR="00F42AF9" w:rsidRPr="00F42AF9" w:rsidP="00F42AF9" w14:paraId="323D518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EPA-HQ-OLEM-2022-0174-0136</w:t>
            </w:r>
          </w:p>
        </w:tc>
      </w:tr>
      <w:tr w14:paraId="0BE06C27" w14:textId="77777777" w:rsidTr="00072FD7">
        <w:tblPrEx>
          <w:tblW w:w="5195" w:type="pct"/>
          <w:tblLayout w:type="fixed"/>
          <w:tblLook w:val="04A0"/>
        </w:tblPrEx>
        <w:trPr>
          <w:trHeight w:val="310"/>
        </w:trPr>
        <w:tc>
          <w:tcPr>
            <w:tcW w:w="1887" w:type="pct"/>
            <w:hideMark/>
          </w:tcPr>
          <w:p w:rsidR="00F42AF9" w:rsidRPr="00F42AF9" w:rsidP="00F42AF9" w14:paraId="5A043D2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Gasparovic, Charles</w:t>
            </w:r>
          </w:p>
        </w:tc>
        <w:tc>
          <w:tcPr>
            <w:tcW w:w="1125" w:type="pct"/>
            <w:hideMark/>
          </w:tcPr>
          <w:p w:rsidR="00F42AF9" w:rsidRPr="00F42AF9" w:rsidP="00F42AF9" w14:paraId="6FA9D8F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Charles Gasparovic</w:t>
            </w:r>
          </w:p>
        </w:tc>
        <w:tc>
          <w:tcPr>
            <w:tcW w:w="1988" w:type="pct"/>
            <w:hideMark/>
          </w:tcPr>
          <w:p w:rsidR="00F42AF9" w:rsidRPr="00F42AF9" w:rsidP="00F42AF9" w14:paraId="61F4EAC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EPA-HQ-OLEM-2022-0174-0151</w:t>
            </w:r>
          </w:p>
        </w:tc>
      </w:tr>
      <w:tr w14:paraId="7F96A63A" w14:textId="77777777" w:rsidTr="00072FD7">
        <w:tblPrEx>
          <w:tblW w:w="5195" w:type="pct"/>
          <w:tblLayout w:type="fixed"/>
          <w:tblLook w:val="04A0"/>
        </w:tblPrEx>
        <w:trPr>
          <w:trHeight w:val="1550"/>
        </w:trPr>
        <w:tc>
          <w:tcPr>
            <w:tcW w:w="1887" w:type="pct"/>
            <w:hideMark/>
          </w:tcPr>
          <w:p w:rsidR="00F42AF9" w:rsidRPr="00F42AF9" w:rsidP="00F42AF9" w14:paraId="3BA1D80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Getting Residents Engaged in Empowering Neighborhoods (GREEN)</w:t>
            </w:r>
          </w:p>
        </w:tc>
        <w:tc>
          <w:tcPr>
            <w:tcW w:w="1125" w:type="pct"/>
            <w:hideMark/>
          </w:tcPr>
          <w:p w:rsidR="00F42AF9" w:rsidRPr="00F42AF9" w:rsidP="00F42AF9" w14:paraId="4AEA5A4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Cecilia Bautista, Jhoel Muniz, Victor Bustos, Adolfo Sierra, Yezenia Marrujo, Sandra Silva, Elizabeth Medina Muniz, Annette Martinez, Leonel FLores</w:t>
            </w:r>
          </w:p>
        </w:tc>
        <w:tc>
          <w:tcPr>
            <w:tcW w:w="1988" w:type="pct"/>
            <w:hideMark/>
          </w:tcPr>
          <w:p w:rsidR="00F42AF9" w:rsidRPr="00F42AF9" w:rsidP="00F42AF9" w14:paraId="1B96B47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EPA-HQ-OLEM-2022-0174-0156</w:t>
            </w:r>
          </w:p>
        </w:tc>
      </w:tr>
      <w:tr w14:paraId="7D473AE1" w14:textId="77777777" w:rsidTr="00072FD7">
        <w:tblPrEx>
          <w:tblW w:w="5195" w:type="pct"/>
          <w:tblLayout w:type="fixed"/>
          <w:tblLook w:val="04A0"/>
        </w:tblPrEx>
        <w:trPr>
          <w:trHeight w:val="310"/>
        </w:trPr>
        <w:tc>
          <w:tcPr>
            <w:tcW w:w="1887" w:type="pct"/>
            <w:hideMark/>
          </w:tcPr>
          <w:p w:rsidR="00F42AF9" w:rsidRPr="00F42AF9" w:rsidP="00F42AF9" w14:paraId="5173ED3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Gillespie Consulting, LLC</w:t>
            </w:r>
          </w:p>
        </w:tc>
        <w:tc>
          <w:tcPr>
            <w:tcW w:w="1125" w:type="pct"/>
            <w:hideMark/>
          </w:tcPr>
          <w:p w:rsidR="00F42AF9" w:rsidRPr="00F42AF9" w:rsidP="00F42AF9" w14:paraId="6760316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Christopher J. Gillespie</w:t>
            </w:r>
          </w:p>
        </w:tc>
        <w:tc>
          <w:tcPr>
            <w:tcW w:w="1988" w:type="pct"/>
            <w:hideMark/>
          </w:tcPr>
          <w:p w:rsidR="00F42AF9" w:rsidRPr="00F42AF9" w:rsidP="00F42AF9" w14:paraId="7054B8E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EPA-HQ-OLEM-2022-0174-0221</w:t>
            </w:r>
          </w:p>
        </w:tc>
      </w:tr>
      <w:tr w14:paraId="6B352815" w14:textId="77777777" w:rsidTr="00072FD7">
        <w:tblPrEx>
          <w:tblW w:w="5195" w:type="pct"/>
          <w:tblLayout w:type="fixed"/>
          <w:tblLook w:val="04A0"/>
        </w:tblPrEx>
        <w:trPr>
          <w:trHeight w:val="310"/>
        </w:trPr>
        <w:tc>
          <w:tcPr>
            <w:tcW w:w="1887" w:type="pct"/>
            <w:vMerge w:val="restart"/>
            <w:hideMark/>
          </w:tcPr>
          <w:p w:rsidR="00F42AF9" w:rsidRPr="00F42AF9" w:rsidP="00F42AF9" w14:paraId="30AAC16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GPA Midstream Association</w:t>
            </w:r>
          </w:p>
        </w:tc>
        <w:tc>
          <w:tcPr>
            <w:tcW w:w="1125" w:type="pct"/>
            <w:vMerge w:val="restart"/>
            <w:hideMark/>
          </w:tcPr>
          <w:p w:rsidR="00F42AF9" w:rsidRPr="00F42AF9" w:rsidP="00F42AF9" w14:paraId="21CA430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Matt Hite</w:t>
            </w:r>
          </w:p>
        </w:tc>
        <w:tc>
          <w:tcPr>
            <w:tcW w:w="1988" w:type="pct"/>
            <w:hideMark/>
          </w:tcPr>
          <w:p w:rsidR="00F42AF9" w:rsidRPr="00F42AF9" w:rsidP="00F42AF9" w14:paraId="677AC06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EPA-HQ-OLEM-2022-0174-0128</w:t>
            </w:r>
          </w:p>
        </w:tc>
      </w:tr>
      <w:tr w14:paraId="086D8FC0" w14:textId="77777777" w:rsidTr="00072FD7">
        <w:tblPrEx>
          <w:tblW w:w="5195" w:type="pct"/>
          <w:tblLayout w:type="fixed"/>
          <w:tblLook w:val="04A0"/>
        </w:tblPrEx>
        <w:trPr>
          <w:trHeight w:val="310"/>
        </w:trPr>
        <w:tc>
          <w:tcPr>
            <w:tcW w:w="1887" w:type="pct"/>
            <w:vMerge/>
            <w:hideMark/>
          </w:tcPr>
          <w:p w:rsidR="00F42AF9" w:rsidRPr="00F42AF9" w:rsidP="00F42AF9" w14:paraId="714F8B96"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3AAF14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1FF801E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EPA-HQ-OLEM-2022-0174-0207</w:t>
            </w:r>
          </w:p>
        </w:tc>
      </w:tr>
      <w:tr w14:paraId="03323C3D" w14:textId="77777777" w:rsidTr="00072FD7">
        <w:tblPrEx>
          <w:tblW w:w="5195" w:type="pct"/>
          <w:tblLayout w:type="fixed"/>
          <w:tblLook w:val="04A0"/>
        </w:tblPrEx>
        <w:trPr>
          <w:trHeight w:val="310"/>
        </w:trPr>
        <w:tc>
          <w:tcPr>
            <w:tcW w:w="1887" w:type="pct"/>
            <w:hideMark/>
          </w:tcPr>
          <w:p w:rsidR="00F42AF9" w:rsidRPr="00F42AF9" w:rsidP="00F42AF9" w14:paraId="6E307F4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Guerrero, Felicito</w:t>
            </w:r>
          </w:p>
        </w:tc>
        <w:tc>
          <w:tcPr>
            <w:tcW w:w="1125" w:type="pct"/>
            <w:hideMark/>
          </w:tcPr>
          <w:p w:rsidR="00F42AF9" w:rsidRPr="00F42AF9" w:rsidP="00F42AF9" w14:paraId="558EDDE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Felicito Guerrero</w:t>
            </w:r>
          </w:p>
        </w:tc>
        <w:tc>
          <w:tcPr>
            <w:tcW w:w="1988" w:type="pct"/>
            <w:hideMark/>
          </w:tcPr>
          <w:p w:rsidR="00F42AF9" w:rsidRPr="00F42AF9" w:rsidP="00F42AF9" w14:paraId="64E368A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EPA-HQ-OLEM-2022-0174-0177</w:t>
            </w:r>
          </w:p>
        </w:tc>
      </w:tr>
      <w:tr w14:paraId="394EFEEE" w14:textId="77777777" w:rsidTr="00072FD7">
        <w:tblPrEx>
          <w:tblW w:w="5195" w:type="pct"/>
          <w:tblLayout w:type="fixed"/>
          <w:tblLook w:val="04A0"/>
        </w:tblPrEx>
        <w:trPr>
          <w:trHeight w:val="310"/>
        </w:trPr>
        <w:tc>
          <w:tcPr>
            <w:tcW w:w="1887" w:type="pct"/>
            <w:hideMark/>
          </w:tcPr>
          <w:p w:rsidR="00F42AF9" w:rsidRPr="00F42AF9" w:rsidP="00F42AF9" w14:paraId="393DAFC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Harper, Keith</w:t>
            </w:r>
          </w:p>
        </w:tc>
        <w:tc>
          <w:tcPr>
            <w:tcW w:w="1125" w:type="pct"/>
            <w:hideMark/>
          </w:tcPr>
          <w:p w:rsidR="00F42AF9" w:rsidRPr="00F42AF9" w:rsidP="00F42AF9" w14:paraId="0E8D20F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Harper, Keith</w:t>
            </w:r>
          </w:p>
        </w:tc>
        <w:tc>
          <w:tcPr>
            <w:tcW w:w="1988" w:type="pct"/>
            <w:hideMark/>
          </w:tcPr>
          <w:p w:rsidR="00F42AF9" w:rsidRPr="00F42AF9" w:rsidP="00F42AF9" w14:paraId="5735782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EPA-HQ-OLEM-2022-0174-0190</w:t>
            </w:r>
          </w:p>
        </w:tc>
      </w:tr>
      <w:tr w14:paraId="508B9099" w14:textId="77777777" w:rsidTr="00072FD7">
        <w:tblPrEx>
          <w:tblW w:w="5195" w:type="pct"/>
          <w:tblLayout w:type="fixed"/>
          <w:tblLook w:val="04A0"/>
        </w:tblPrEx>
        <w:trPr>
          <w:trHeight w:val="310"/>
        </w:trPr>
        <w:tc>
          <w:tcPr>
            <w:tcW w:w="1887" w:type="pct"/>
            <w:hideMark/>
          </w:tcPr>
          <w:p w:rsidR="00F42AF9" w:rsidRPr="00F42AF9" w:rsidP="00F42AF9" w14:paraId="2696C1F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Harpole, George</w:t>
            </w:r>
          </w:p>
        </w:tc>
        <w:tc>
          <w:tcPr>
            <w:tcW w:w="1125" w:type="pct"/>
            <w:hideMark/>
          </w:tcPr>
          <w:p w:rsidR="00F42AF9" w:rsidRPr="00F42AF9" w:rsidP="00F42AF9" w14:paraId="009CAC0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George Harpole</w:t>
            </w:r>
          </w:p>
        </w:tc>
        <w:tc>
          <w:tcPr>
            <w:tcW w:w="1988" w:type="pct"/>
            <w:hideMark/>
          </w:tcPr>
          <w:p w:rsidR="00F42AF9" w:rsidRPr="00F42AF9" w:rsidP="00F42AF9" w14:paraId="157F527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EPA-HQ-OLEM-2022-0174-0107</w:t>
            </w:r>
          </w:p>
        </w:tc>
      </w:tr>
      <w:tr w14:paraId="7F8F7082" w14:textId="77777777" w:rsidTr="00072FD7">
        <w:tblPrEx>
          <w:tblW w:w="5195" w:type="pct"/>
          <w:tblLayout w:type="fixed"/>
          <w:tblLook w:val="04A0"/>
        </w:tblPrEx>
        <w:trPr>
          <w:trHeight w:val="310"/>
        </w:trPr>
        <w:tc>
          <w:tcPr>
            <w:tcW w:w="1887" w:type="pct"/>
            <w:hideMark/>
          </w:tcPr>
          <w:p w:rsidR="00F42AF9" w:rsidRPr="00F42AF9" w:rsidP="00F42AF9" w14:paraId="15371C1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Hawkins Inc.</w:t>
            </w:r>
          </w:p>
        </w:tc>
        <w:tc>
          <w:tcPr>
            <w:tcW w:w="1125" w:type="pct"/>
            <w:hideMark/>
          </w:tcPr>
          <w:p w:rsidR="00F42AF9" w:rsidRPr="00F42AF9" w:rsidP="00F42AF9" w14:paraId="7E3E03C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Brent Schicker</w:t>
            </w:r>
          </w:p>
        </w:tc>
        <w:tc>
          <w:tcPr>
            <w:tcW w:w="1988" w:type="pct"/>
            <w:hideMark/>
          </w:tcPr>
          <w:p w:rsidR="00F42AF9" w:rsidRPr="00F42AF9" w:rsidP="00F42AF9" w14:paraId="2C2416E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EPA-HQ-OLEM-2022-0174-0217</w:t>
            </w:r>
          </w:p>
        </w:tc>
      </w:tr>
      <w:tr w14:paraId="76199C3F" w14:textId="77777777" w:rsidTr="00072FD7">
        <w:tblPrEx>
          <w:tblW w:w="5195" w:type="pct"/>
          <w:tblLayout w:type="fixed"/>
          <w:tblLook w:val="04A0"/>
        </w:tblPrEx>
        <w:trPr>
          <w:trHeight w:val="310"/>
        </w:trPr>
        <w:tc>
          <w:tcPr>
            <w:tcW w:w="1887" w:type="pct"/>
            <w:hideMark/>
          </w:tcPr>
          <w:p w:rsidR="00F42AF9" w:rsidRPr="00F42AF9" w:rsidP="00F42AF9" w14:paraId="3CDC2E3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Hind et al</w:t>
            </w:r>
          </w:p>
        </w:tc>
        <w:tc>
          <w:tcPr>
            <w:tcW w:w="1125" w:type="pct"/>
            <w:hideMark/>
          </w:tcPr>
          <w:p w:rsidR="00F42AF9" w:rsidRPr="00F42AF9" w:rsidP="00F42AF9" w14:paraId="65E547D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Rick Hind et al.</w:t>
            </w:r>
          </w:p>
        </w:tc>
        <w:tc>
          <w:tcPr>
            <w:tcW w:w="1988" w:type="pct"/>
            <w:hideMark/>
          </w:tcPr>
          <w:p w:rsidR="00F42AF9" w:rsidRPr="00F42AF9" w:rsidP="00F42AF9" w14:paraId="28022A3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EPA-HQ-OLEM-2022-0174-0139</w:t>
            </w:r>
          </w:p>
        </w:tc>
      </w:tr>
      <w:tr w14:paraId="77AAAD95" w14:textId="77777777" w:rsidTr="00072FD7">
        <w:tblPrEx>
          <w:tblW w:w="5195" w:type="pct"/>
          <w:tblLayout w:type="fixed"/>
          <w:tblLook w:val="04A0"/>
        </w:tblPrEx>
        <w:trPr>
          <w:trHeight w:val="310"/>
        </w:trPr>
        <w:tc>
          <w:tcPr>
            <w:tcW w:w="1887" w:type="pct"/>
            <w:vMerge w:val="restart"/>
            <w:hideMark/>
          </w:tcPr>
          <w:p w:rsidR="00F42AF9" w:rsidRPr="00F42AF9" w:rsidP="00F42AF9" w14:paraId="4F8C262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Hind, Rick</w:t>
            </w:r>
          </w:p>
        </w:tc>
        <w:tc>
          <w:tcPr>
            <w:tcW w:w="1125" w:type="pct"/>
            <w:vMerge w:val="restart"/>
            <w:hideMark/>
          </w:tcPr>
          <w:p w:rsidR="00F42AF9" w:rsidRPr="00F42AF9" w:rsidP="00F42AF9" w14:paraId="4EA09D6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Rick Hind</w:t>
            </w:r>
          </w:p>
        </w:tc>
        <w:tc>
          <w:tcPr>
            <w:tcW w:w="1988" w:type="pct"/>
            <w:hideMark/>
          </w:tcPr>
          <w:p w:rsidR="00F42AF9" w:rsidRPr="00F42AF9" w:rsidP="00F42AF9" w14:paraId="02C26BB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EPA-HQ-OLEM-2022-0174-0274</w:t>
            </w:r>
          </w:p>
        </w:tc>
      </w:tr>
      <w:tr w14:paraId="7F08CB4F" w14:textId="77777777" w:rsidTr="00072FD7">
        <w:tblPrEx>
          <w:tblW w:w="5195" w:type="pct"/>
          <w:tblLayout w:type="fixed"/>
          <w:tblLook w:val="04A0"/>
        </w:tblPrEx>
        <w:trPr>
          <w:trHeight w:val="310"/>
        </w:trPr>
        <w:tc>
          <w:tcPr>
            <w:tcW w:w="1887" w:type="pct"/>
            <w:vMerge/>
            <w:hideMark/>
          </w:tcPr>
          <w:p w:rsidR="00F42AF9" w:rsidRPr="00F42AF9" w:rsidP="00F42AF9" w14:paraId="69D21B20"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C677E0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95BBA5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EPA-HQ-OLEM-2022-0174-0459</w:t>
            </w:r>
          </w:p>
        </w:tc>
      </w:tr>
      <w:tr w14:paraId="00C12BA4" w14:textId="77777777" w:rsidTr="00072FD7">
        <w:tblPrEx>
          <w:tblW w:w="5195" w:type="pct"/>
          <w:tblLayout w:type="fixed"/>
          <w:tblLook w:val="04A0"/>
        </w:tblPrEx>
        <w:trPr>
          <w:trHeight w:val="310"/>
        </w:trPr>
        <w:tc>
          <w:tcPr>
            <w:tcW w:w="1887" w:type="pct"/>
            <w:hideMark/>
          </w:tcPr>
          <w:p w:rsidR="00F42AF9" w:rsidRPr="00F42AF9" w:rsidP="00F42AF9" w14:paraId="0F6C93E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Hunton Andrews Kurth LLP</w:t>
            </w:r>
          </w:p>
        </w:tc>
        <w:tc>
          <w:tcPr>
            <w:tcW w:w="1125" w:type="pct"/>
            <w:hideMark/>
          </w:tcPr>
          <w:p w:rsidR="00F42AF9" w:rsidRPr="00F42AF9" w:rsidP="00F42AF9" w14:paraId="5371F41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Penny A. Shamblin</w:t>
            </w:r>
          </w:p>
        </w:tc>
        <w:tc>
          <w:tcPr>
            <w:tcW w:w="1988" w:type="pct"/>
            <w:hideMark/>
          </w:tcPr>
          <w:p w:rsidR="00F42AF9" w:rsidRPr="00F42AF9" w:rsidP="00F42AF9" w14:paraId="55AD9F3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EPA-HQ-OLEM-2022-0174-0206</w:t>
            </w:r>
          </w:p>
        </w:tc>
      </w:tr>
      <w:tr w14:paraId="29ACC18B" w14:textId="77777777" w:rsidTr="00072FD7">
        <w:tblPrEx>
          <w:tblW w:w="5195" w:type="pct"/>
          <w:tblLayout w:type="fixed"/>
          <w:tblLook w:val="04A0"/>
        </w:tblPrEx>
        <w:trPr>
          <w:trHeight w:val="310"/>
        </w:trPr>
        <w:tc>
          <w:tcPr>
            <w:tcW w:w="1887" w:type="pct"/>
            <w:hideMark/>
          </w:tcPr>
          <w:p w:rsidR="00F42AF9" w:rsidRPr="00F42AF9" w:rsidP="00F42AF9" w14:paraId="0DB3EA5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Illinois Fertilizer &amp; Chemical Association (IFCA)</w:t>
            </w:r>
          </w:p>
        </w:tc>
        <w:tc>
          <w:tcPr>
            <w:tcW w:w="1125" w:type="pct"/>
            <w:hideMark/>
          </w:tcPr>
          <w:p w:rsidR="00F42AF9" w:rsidRPr="00F42AF9" w:rsidP="00F42AF9" w14:paraId="4A31516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Kevin 'KJ' Johnson</w:t>
            </w:r>
          </w:p>
        </w:tc>
        <w:tc>
          <w:tcPr>
            <w:tcW w:w="1988" w:type="pct"/>
            <w:hideMark/>
          </w:tcPr>
          <w:p w:rsidR="00F42AF9" w:rsidRPr="00F42AF9" w:rsidP="00F42AF9" w14:paraId="610C232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EPA-HQ-OLEM-2022-0174-0225</w:t>
            </w:r>
          </w:p>
        </w:tc>
      </w:tr>
      <w:tr w14:paraId="5F2E91A0" w14:textId="77777777" w:rsidTr="00072FD7">
        <w:tblPrEx>
          <w:tblW w:w="5195" w:type="pct"/>
          <w:tblLayout w:type="fixed"/>
          <w:tblLook w:val="04A0"/>
        </w:tblPrEx>
        <w:trPr>
          <w:trHeight w:val="620"/>
        </w:trPr>
        <w:tc>
          <w:tcPr>
            <w:tcW w:w="1887" w:type="pct"/>
            <w:hideMark/>
          </w:tcPr>
          <w:p w:rsidR="00F42AF9" w:rsidRPr="00F42AF9" w:rsidP="00F42AF9" w14:paraId="6389C47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Institute for Policy Integrity at New York University School of Law</w:t>
            </w:r>
          </w:p>
        </w:tc>
        <w:tc>
          <w:tcPr>
            <w:tcW w:w="1125" w:type="pct"/>
            <w:hideMark/>
          </w:tcPr>
          <w:p w:rsidR="00F42AF9" w:rsidRPr="00F42AF9" w:rsidP="00F42AF9" w14:paraId="3741FFD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79FFA37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EPA-HQ-OLEM-2022-0174-0266</w:t>
            </w:r>
          </w:p>
        </w:tc>
      </w:tr>
      <w:tr w14:paraId="015B408A" w14:textId="77777777" w:rsidTr="00072FD7">
        <w:tblPrEx>
          <w:tblW w:w="5195" w:type="pct"/>
          <w:tblLayout w:type="fixed"/>
          <w:tblLook w:val="04A0"/>
        </w:tblPrEx>
        <w:trPr>
          <w:trHeight w:val="310"/>
        </w:trPr>
        <w:tc>
          <w:tcPr>
            <w:tcW w:w="1887" w:type="pct"/>
            <w:hideMark/>
          </w:tcPr>
          <w:p w:rsidR="00F42AF9" w:rsidRPr="00F42AF9" w:rsidP="00F42AF9" w14:paraId="189583F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Institute of Makers of Explosives (IME)</w:t>
            </w:r>
          </w:p>
        </w:tc>
        <w:tc>
          <w:tcPr>
            <w:tcW w:w="1125" w:type="pct"/>
            <w:hideMark/>
          </w:tcPr>
          <w:p w:rsidR="00F42AF9" w:rsidRPr="00F42AF9" w:rsidP="00F42AF9" w14:paraId="3AF4503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49B6B56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EPA-HQ-OLEM-2022-0174-0228</w:t>
            </w:r>
          </w:p>
        </w:tc>
      </w:tr>
      <w:tr w14:paraId="47AC3BBD" w14:textId="77777777" w:rsidTr="00072FD7">
        <w:tblPrEx>
          <w:tblW w:w="5195" w:type="pct"/>
          <w:tblLayout w:type="fixed"/>
          <w:tblLook w:val="04A0"/>
        </w:tblPrEx>
        <w:trPr>
          <w:trHeight w:val="930"/>
        </w:trPr>
        <w:tc>
          <w:tcPr>
            <w:tcW w:w="1887" w:type="pct"/>
            <w:hideMark/>
          </w:tcPr>
          <w:p w:rsidR="00F42AF9" w:rsidRPr="00F42AF9" w:rsidP="00F42AF9" w14:paraId="24C7A01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International Union, United Automobile, Aerospace &amp; Agricultural Implement Workers of America - UAW</w:t>
            </w:r>
          </w:p>
        </w:tc>
        <w:tc>
          <w:tcPr>
            <w:tcW w:w="1125" w:type="pct"/>
            <w:hideMark/>
          </w:tcPr>
          <w:p w:rsidR="00F42AF9" w:rsidRPr="00F42AF9" w:rsidP="00F42AF9" w14:paraId="195631E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Ray Curry</w:t>
            </w:r>
          </w:p>
        </w:tc>
        <w:tc>
          <w:tcPr>
            <w:tcW w:w="1988" w:type="pct"/>
            <w:hideMark/>
          </w:tcPr>
          <w:p w:rsidR="00F42AF9" w:rsidRPr="00F42AF9" w:rsidP="00F42AF9" w14:paraId="1AC6620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EPA-HQ-OLEM-2022-0174-0183</w:t>
            </w:r>
          </w:p>
        </w:tc>
      </w:tr>
      <w:tr w14:paraId="066A63D4" w14:textId="77777777" w:rsidTr="00072FD7">
        <w:tblPrEx>
          <w:tblW w:w="5195" w:type="pct"/>
          <w:tblLayout w:type="fixed"/>
          <w:tblLook w:val="04A0"/>
        </w:tblPrEx>
        <w:trPr>
          <w:trHeight w:val="310"/>
        </w:trPr>
        <w:tc>
          <w:tcPr>
            <w:tcW w:w="1887" w:type="pct"/>
            <w:hideMark/>
          </w:tcPr>
          <w:p w:rsidR="00F42AF9" w:rsidRPr="00F42AF9" w:rsidP="00F42AF9" w14:paraId="357CADE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International Dairy Foods Association (IDFA)</w:t>
            </w:r>
          </w:p>
        </w:tc>
        <w:tc>
          <w:tcPr>
            <w:tcW w:w="1125" w:type="pct"/>
            <w:hideMark/>
          </w:tcPr>
          <w:p w:rsidR="00F42AF9" w:rsidRPr="00F42AF9" w:rsidP="00F42AF9" w14:paraId="0B27FF7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Danielle Quist</w:t>
            </w:r>
          </w:p>
        </w:tc>
        <w:tc>
          <w:tcPr>
            <w:tcW w:w="1988" w:type="pct"/>
            <w:hideMark/>
          </w:tcPr>
          <w:p w:rsidR="00F42AF9" w:rsidRPr="00F42AF9" w:rsidP="00F42AF9" w14:paraId="1880207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EPA-HQ-OLEM-2022-0174-0237</w:t>
            </w:r>
          </w:p>
        </w:tc>
      </w:tr>
      <w:tr w14:paraId="6A38239A" w14:textId="77777777" w:rsidTr="00072FD7">
        <w:tblPrEx>
          <w:tblW w:w="5195" w:type="pct"/>
          <w:tblLayout w:type="fixed"/>
          <w:tblLook w:val="04A0"/>
        </w:tblPrEx>
        <w:trPr>
          <w:trHeight w:val="620"/>
        </w:trPr>
        <w:tc>
          <w:tcPr>
            <w:tcW w:w="1887" w:type="pct"/>
            <w:hideMark/>
          </w:tcPr>
          <w:p w:rsidR="00F42AF9" w:rsidRPr="00F42AF9" w:rsidP="00F42AF9" w14:paraId="3A84736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International Warehouse Logistics Association (IWLA)</w:t>
            </w:r>
          </w:p>
        </w:tc>
        <w:tc>
          <w:tcPr>
            <w:tcW w:w="1125" w:type="pct"/>
            <w:hideMark/>
          </w:tcPr>
          <w:p w:rsidR="00F42AF9" w:rsidRPr="00F42AF9" w:rsidP="00F42AF9" w14:paraId="064B7FB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196F9F1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EPA-HQ-OLEM-2022-0174-0231</w:t>
            </w:r>
          </w:p>
        </w:tc>
      </w:tr>
      <w:tr w14:paraId="316454BF" w14:textId="77777777" w:rsidTr="00072FD7">
        <w:tblPrEx>
          <w:tblW w:w="5195" w:type="pct"/>
          <w:tblLayout w:type="fixed"/>
          <w:tblLook w:val="04A0"/>
        </w:tblPrEx>
        <w:trPr>
          <w:trHeight w:val="310"/>
        </w:trPr>
        <w:tc>
          <w:tcPr>
            <w:tcW w:w="1887" w:type="pct"/>
            <w:hideMark/>
          </w:tcPr>
          <w:p w:rsidR="00F42AF9" w:rsidRPr="00F42AF9" w:rsidP="00F42AF9" w14:paraId="06BAC5C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J.R. Simplot Company (Simplot)</w:t>
            </w:r>
          </w:p>
        </w:tc>
        <w:tc>
          <w:tcPr>
            <w:tcW w:w="1125" w:type="pct"/>
            <w:hideMark/>
          </w:tcPr>
          <w:p w:rsidR="00F42AF9" w:rsidRPr="00F42AF9" w:rsidP="00F42AF9" w14:paraId="46414BC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Alan L. Prouty</w:t>
            </w:r>
          </w:p>
        </w:tc>
        <w:tc>
          <w:tcPr>
            <w:tcW w:w="1988" w:type="pct"/>
            <w:hideMark/>
          </w:tcPr>
          <w:p w:rsidR="00F42AF9" w:rsidRPr="00F42AF9" w:rsidP="00F42AF9" w14:paraId="5205539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EPA-HQ-OLEM-2022-0174-0232</w:t>
            </w:r>
          </w:p>
        </w:tc>
      </w:tr>
      <w:tr w14:paraId="1890AECE" w14:textId="77777777" w:rsidTr="00072FD7">
        <w:tblPrEx>
          <w:tblW w:w="5195" w:type="pct"/>
          <w:tblLayout w:type="fixed"/>
          <w:tblLook w:val="04A0"/>
        </w:tblPrEx>
        <w:trPr>
          <w:trHeight w:val="310"/>
        </w:trPr>
        <w:tc>
          <w:tcPr>
            <w:tcW w:w="1887" w:type="pct"/>
            <w:hideMark/>
          </w:tcPr>
          <w:p w:rsidR="00F42AF9" w:rsidRPr="00F42AF9" w:rsidP="00F42AF9" w14:paraId="7113E02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Kansas Agribusiness Retailers Association (KARA)</w:t>
            </w:r>
          </w:p>
        </w:tc>
        <w:tc>
          <w:tcPr>
            <w:tcW w:w="1125" w:type="pct"/>
            <w:hideMark/>
          </w:tcPr>
          <w:p w:rsidR="00F42AF9" w:rsidRPr="00F42AF9" w:rsidP="00F42AF9" w14:paraId="228B1DE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Randy Stookey</w:t>
            </w:r>
          </w:p>
        </w:tc>
        <w:tc>
          <w:tcPr>
            <w:tcW w:w="1988" w:type="pct"/>
            <w:hideMark/>
          </w:tcPr>
          <w:p w:rsidR="00F42AF9" w:rsidRPr="00F42AF9" w:rsidP="00F42AF9" w14:paraId="4E07B3F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EPA-HQ-OLEM-2022-0174-0202</w:t>
            </w:r>
          </w:p>
        </w:tc>
      </w:tr>
      <w:tr w14:paraId="7FC35446" w14:textId="77777777" w:rsidTr="00072FD7">
        <w:tblPrEx>
          <w:tblW w:w="5195" w:type="pct"/>
          <w:tblLayout w:type="fixed"/>
          <w:tblLook w:val="04A0"/>
        </w:tblPrEx>
        <w:trPr>
          <w:trHeight w:val="310"/>
        </w:trPr>
        <w:tc>
          <w:tcPr>
            <w:tcW w:w="1887" w:type="pct"/>
            <w:hideMark/>
          </w:tcPr>
          <w:p w:rsidR="00F42AF9" w:rsidRPr="00F42AF9" w:rsidP="00F42AF9" w14:paraId="018EC9A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Kansas City Board of Public Utilities</w:t>
            </w:r>
          </w:p>
        </w:tc>
        <w:tc>
          <w:tcPr>
            <w:tcW w:w="1125" w:type="pct"/>
            <w:hideMark/>
          </w:tcPr>
          <w:p w:rsidR="00F42AF9" w:rsidRPr="00F42AF9" w:rsidP="00F42AF9" w14:paraId="5DDB346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Brittany Barrientos and Dennis Lane</w:t>
            </w:r>
          </w:p>
        </w:tc>
        <w:tc>
          <w:tcPr>
            <w:tcW w:w="1988" w:type="pct"/>
            <w:hideMark/>
          </w:tcPr>
          <w:p w:rsidR="00F42AF9" w:rsidRPr="00F42AF9" w:rsidP="00F42AF9" w14:paraId="3D7655B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EPA-HQ-OLEM-2022-0174-0261</w:t>
            </w:r>
          </w:p>
        </w:tc>
      </w:tr>
      <w:tr w14:paraId="1C3EFFD3" w14:textId="77777777" w:rsidTr="00072FD7">
        <w:tblPrEx>
          <w:tblW w:w="5195" w:type="pct"/>
          <w:tblLayout w:type="fixed"/>
          <w:tblLook w:val="04A0"/>
        </w:tblPrEx>
        <w:trPr>
          <w:trHeight w:val="310"/>
        </w:trPr>
        <w:tc>
          <w:tcPr>
            <w:tcW w:w="1887" w:type="pct"/>
            <w:hideMark/>
          </w:tcPr>
          <w:p w:rsidR="00F42AF9" w:rsidRPr="00F42AF9" w:rsidP="00F42AF9" w14:paraId="0384F8D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Kelley, Terry</w:t>
            </w:r>
          </w:p>
        </w:tc>
        <w:tc>
          <w:tcPr>
            <w:tcW w:w="1125" w:type="pct"/>
            <w:hideMark/>
          </w:tcPr>
          <w:p w:rsidR="00F42AF9" w:rsidRPr="00F42AF9" w:rsidP="00F42AF9" w14:paraId="1F4C24C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Terry Kelley</w:t>
            </w:r>
          </w:p>
        </w:tc>
        <w:tc>
          <w:tcPr>
            <w:tcW w:w="1988" w:type="pct"/>
            <w:hideMark/>
          </w:tcPr>
          <w:p w:rsidR="00F42AF9" w:rsidRPr="00F42AF9" w:rsidP="00F42AF9" w14:paraId="472CC99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EPA-HQ-OLEM-2022-0174-0402</w:t>
            </w:r>
          </w:p>
        </w:tc>
      </w:tr>
      <w:tr w14:paraId="1A59C601" w14:textId="77777777" w:rsidTr="00072FD7">
        <w:tblPrEx>
          <w:tblW w:w="5195" w:type="pct"/>
          <w:tblLayout w:type="fixed"/>
          <w:tblLook w:val="04A0"/>
        </w:tblPrEx>
        <w:trPr>
          <w:trHeight w:val="310"/>
        </w:trPr>
        <w:tc>
          <w:tcPr>
            <w:tcW w:w="1887" w:type="pct"/>
            <w:hideMark/>
          </w:tcPr>
          <w:p w:rsidR="00F42AF9" w:rsidRPr="00F42AF9" w:rsidP="00F42AF9" w14:paraId="37E9043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Kennecott Utah Copper LLC (KUC)</w:t>
            </w:r>
          </w:p>
        </w:tc>
        <w:tc>
          <w:tcPr>
            <w:tcW w:w="1125" w:type="pct"/>
            <w:hideMark/>
          </w:tcPr>
          <w:p w:rsidR="00F42AF9" w:rsidRPr="00F42AF9" w:rsidP="00F42AF9" w14:paraId="01528AA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Mark Hayes</w:t>
            </w:r>
          </w:p>
        </w:tc>
        <w:tc>
          <w:tcPr>
            <w:tcW w:w="1988" w:type="pct"/>
            <w:hideMark/>
          </w:tcPr>
          <w:p w:rsidR="00F42AF9" w:rsidRPr="00F42AF9" w:rsidP="00F42AF9" w14:paraId="569E84C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EPA-HQ-OLEM-2022-0174-0210</w:t>
            </w:r>
          </w:p>
        </w:tc>
      </w:tr>
      <w:tr w14:paraId="151C382F" w14:textId="77777777" w:rsidTr="00072FD7">
        <w:tblPrEx>
          <w:tblW w:w="5195" w:type="pct"/>
          <w:tblLayout w:type="fixed"/>
          <w:tblLook w:val="04A0"/>
        </w:tblPrEx>
        <w:trPr>
          <w:trHeight w:val="310"/>
        </w:trPr>
        <w:tc>
          <w:tcPr>
            <w:tcW w:w="1887" w:type="pct"/>
            <w:hideMark/>
          </w:tcPr>
          <w:p w:rsidR="00F42AF9" w:rsidRPr="00F42AF9" w:rsidP="00F42AF9" w14:paraId="010DDA4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Landis, Lenore</w:t>
            </w:r>
          </w:p>
        </w:tc>
        <w:tc>
          <w:tcPr>
            <w:tcW w:w="1125" w:type="pct"/>
            <w:hideMark/>
          </w:tcPr>
          <w:p w:rsidR="00F42AF9" w:rsidRPr="00F42AF9" w:rsidP="00F42AF9" w14:paraId="0B7B74F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Lenore Landis</w:t>
            </w:r>
          </w:p>
        </w:tc>
        <w:tc>
          <w:tcPr>
            <w:tcW w:w="1988" w:type="pct"/>
            <w:hideMark/>
          </w:tcPr>
          <w:p w:rsidR="00F42AF9" w:rsidRPr="00F42AF9" w:rsidP="00F42AF9" w14:paraId="1A42F0C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EPA-HQ-OLEM-2022-0174-0145</w:t>
            </w:r>
          </w:p>
        </w:tc>
      </w:tr>
      <w:tr w14:paraId="25BFA934" w14:textId="77777777" w:rsidTr="00072FD7">
        <w:tblPrEx>
          <w:tblW w:w="5195" w:type="pct"/>
          <w:tblLayout w:type="fixed"/>
          <w:tblLook w:val="04A0"/>
        </w:tblPrEx>
        <w:trPr>
          <w:trHeight w:val="310"/>
        </w:trPr>
        <w:tc>
          <w:tcPr>
            <w:tcW w:w="1887" w:type="pct"/>
            <w:hideMark/>
          </w:tcPr>
          <w:p w:rsidR="00F42AF9" w:rsidRPr="00F42AF9" w:rsidP="00F42AF9" w14:paraId="76A4272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League of Women Voters of Lake County</w:t>
            </w:r>
          </w:p>
        </w:tc>
        <w:tc>
          <w:tcPr>
            <w:tcW w:w="1125" w:type="pct"/>
            <w:hideMark/>
          </w:tcPr>
          <w:p w:rsidR="00F42AF9" w:rsidRPr="00F42AF9" w:rsidP="00F42AF9" w14:paraId="127EA44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Mary Matthews</w:t>
            </w:r>
          </w:p>
        </w:tc>
        <w:tc>
          <w:tcPr>
            <w:tcW w:w="1988" w:type="pct"/>
            <w:hideMark/>
          </w:tcPr>
          <w:p w:rsidR="00F42AF9" w:rsidRPr="00F42AF9" w:rsidP="00F42AF9" w14:paraId="1F6FF96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EPA-HQ-OLEM-2022-0174-0191</w:t>
            </w:r>
          </w:p>
        </w:tc>
      </w:tr>
      <w:tr w14:paraId="6A1EC9E4" w14:textId="77777777" w:rsidTr="00072FD7">
        <w:tblPrEx>
          <w:tblW w:w="5195" w:type="pct"/>
          <w:tblLayout w:type="fixed"/>
          <w:tblLook w:val="04A0"/>
        </w:tblPrEx>
        <w:trPr>
          <w:trHeight w:val="620"/>
        </w:trPr>
        <w:tc>
          <w:tcPr>
            <w:tcW w:w="1887" w:type="pct"/>
            <w:hideMark/>
          </w:tcPr>
          <w:p w:rsidR="00F42AF9" w:rsidRPr="00F42AF9" w:rsidP="00F42AF9" w14:paraId="44CAFFF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Learning Disabilities Association of America and Affiliates</w:t>
            </w:r>
          </w:p>
        </w:tc>
        <w:tc>
          <w:tcPr>
            <w:tcW w:w="1125" w:type="pct"/>
            <w:hideMark/>
          </w:tcPr>
          <w:p w:rsidR="00F42AF9" w:rsidRPr="00F42AF9" w:rsidP="00F42AF9" w14:paraId="3ACB6D6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Tracy Gregoire</w:t>
            </w:r>
          </w:p>
        </w:tc>
        <w:tc>
          <w:tcPr>
            <w:tcW w:w="1988" w:type="pct"/>
            <w:hideMark/>
          </w:tcPr>
          <w:p w:rsidR="00F42AF9" w:rsidRPr="00F42AF9" w:rsidP="00F42AF9" w14:paraId="293179E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EPA-HQ-OLEM-2022-0174-0249</w:t>
            </w:r>
          </w:p>
        </w:tc>
      </w:tr>
      <w:tr w14:paraId="5922DED1" w14:textId="77777777" w:rsidTr="00072FD7">
        <w:tblPrEx>
          <w:tblW w:w="5195" w:type="pct"/>
          <w:tblLayout w:type="fixed"/>
          <w:tblLook w:val="04A0"/>
        </w:tblPrEx>
        <w:trPr>
          <w:trHeight w:val="310"/>
        </w:trPr>
        <w:tc>
          <w:tcPr>
            <w:tcW w:w="1887" w:type="pct"/>
            <w:hideMark/>
          </w:tcPr>
          <w:p w:rsidR="00F42AF9" w:rsidRPr="00F42AF9" w:rsidP="00F42AF9" w14:paraId="3A341F6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Lish, Christopher</w:t>
            </w:r>
          </w:p>
        </w:tc>
        <w:tc>
          <w:tcPr>
            <w:tcW w:w="1125" w:type="pct"/>
            <w:hideMark/>
          </w:tcPr>
          <w:p w:rsidR="00F42AF9" w:rsidRPr="00F42AF9" w:rsidP="00F42AF9" w14:paraId="7CA5514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Christopher Lish</w:t>
            </w:r>
          </w:p>
        </w:tc>
        <w:tc>
          <w:tcPr>
            <w:tcW w:w="1988" w:type="pct"/>
            <w:hideMark/>
          </w:tcPr>
          <w:p w:rsidR="00F42AF9" w:rsidRPr="00F42AF9" w:rsidP="00F42AF9" w14:paraId="6D2C576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EPA-HQ-OLEM-2022-0174-0208</w:t>
            </w:r>
          </w:p>
        </w:tc>
      </w:tr>
      <w:tr w14:paraId="795FC8B4" w14:textId="77777777" w:rsidTr="00072FD7">
        <w:tblPrEx>
          <w:tblW w:w="5195" w:type="pct"/>
          <w:tblLayout w:type="fixed"/>
          <w:tblLook w:val="04A0"/>
        </w:tblPrEx>
        <w:trPr>
          <w:trHeight w:val="310"/>
        </w:trPr>
        <w:tc>
          <w:tcPr>
            <w:tcW w:w="1887" w:type="pct"/>
            <w:vMerge w:val="restart"/>
            <w:hideMark/>
          </w:tcPr>
          <w:p w:rsidR="00F42AF9" w:rsidRPr="00F42AF9" w:rsidP="00F42AF9" w14:paraId="29CAD94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Louisiana Chemical Association (LCA)</w:t>
            </w:r>
          </w:p>
        </w:tc>
        <w:tc>
          <w:tcPr>
            <w:tcW w:w="1125" w:type="pct"/>
            <w:vMerge w:val="restart"/>
            <w:hideMark/>
          </w:tcPr>
          <w:p w:rsidR="00F42AF9" w:rsidRPr="00F42AF9" w:rsidP="00F42AF9" w14:paraId="65FD90F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Donald W. Fondel II</w:t>
            </w:r>
          </w:p>
        </w:tc>
        <w:tc>
          <w:tcPr>
            <w:tcW w:w="1988" w:type="pct"/>
            <w:hideMark/>
          </w:tcPr>
          <w:p w:rsidR="00F42AF9" w:rsidRPr="00F42AF9" w:rsidP="00F42AF9" w14:paraId="4BAE50D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EPA-HQ-OLEM-2022-0174-0144</w:t>
            </w:r>
          </w:p>
        </w:tc>
      </w:tr>
      <w:tr w14:paraId="64B4D4AF" w14:textId="77777777" w:rsidTr="00072FD7">
        <w:tblPrEx>
          <w:tblW w:w="5195" w:type="pct"/>
          <w:tblLayout w:type="fixed"/>
          <w:tblLook w:val="04A0"/>
        </w:tblPrEx>
        <w:trPr>
          <w:trHeight w:val="310"/>
        </w:trPr>
        <w:tc>
          <w:tcPr>
            <w:tcW w:w="1887" w:type="pct"/>
            <w:vMerge/>
            <w:hideMark/>
          </w:tcPr>
          <w:p w:rsidR="00F42AF9" w:rsidRPr="00F42AF9" w:rsidP="00F42AF9" w14:paraId="6AA38C9C"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F563A2E"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4A02B3B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EPA-HQ-OLEM-2022-0174-0263</w:t>
            </w:r>
          </w:p>
        </w:tc>
      </w:tr>
      <w:tr w14:paraId="1E29F490" w14:textId="77777777" w:rsidTr="00072FD7">
        <w:tblPrEx>
          <w:tblW w:w="5195" w:type="pct"/>
          <w:tblLayout w:type="fixed"/>
          <w:tblLook w:val="04A0"/>
        </w:tblPrEx>
        <w:trPr>
          <w:trHeight w:val="310"/>
        </w:trPr>
        <w:tc>
          <w:tcPr>
            <w:tcW w:w="1887" w:type="pct"/>
            <w:hideMark/>
          </w:tcPr>
          <w:p w:rsidR="00F42AF9" w:rsidRPr="00F42AF9" w:rsidP="00F42AF9" w14:paraId="085024A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Louisville Metro Air Pollution Control District</w:t>
            </w:r>
          </w:p>
        </w:tc>
        <w:tc>
          <w:tcPr>
            <w:tcW w:w="1125" w:type="pct"/>
            <w:hideMark/>
          </w:tcPr>
          <w:p w:rsidR="00F42AF9" w:rsidRPr="00F42AF9" w:rsidP="00F42AF9" w14:paraId="059BD84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Rachael Hamilton</w:t>
            </w:r>
          </w:p>
        </w:tc>
        <w:tc>
          <w:tcPr>
            <w:tcW w:w="1988" w:type="pct"/>
            <w:hideMark/>
          </w:tcPr>
          <w:p w:rsidR="00F42AF9" w:rsidRPr="00F42AF9" w:rsidP="00F42AF9" w14:paraId="46C567B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EPA-HQ-OLEM-2022-0174-0211</w:t>
            </w:r>
          </w:p>
        </w:tc>
      </w:tr>
      <w:tr w14:paraId="54925E7D" w14:textId="77777777" w:rsidTr="00072FD7">
        <w:tblPrEx>
          <w:tblW w:w="5195" w:type="pct"/>
          <w:tblLayout w:type="fixed"/>
          <w:tblLook w:val="04A0"/>
        </w:tblPrEx>
        <w:trPr>
          <w:trHeight w:val="310"/>
        </w:trPr>
        <w:tc>
          <w:tcPr>
            <w:tcW w:w="1887" w:type="pct"/>
            <w:hideMark/>
          </w:tcPr>
          <w:p w:rsidR="00F42AF9" w:rsidRPr="00F42AF9" w:rsidP="00F42AF9" w14:paraId="4A97FA8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Makuch, Jad</w:t>
            </w:r>
          </w:p>
        </w:tc>
        <w:tc>
          <w:tcPr>
            <w:tcW w:w="1125" w:type="pct"/>
            <w:hideMark/>
          </w:tcPr>
          <w:p w:rsidR="00F42AF9" w:rsidRPr="00F42AF9" w:rsidP="00F42AF9" w14:paraId="4373BC9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Jad Makuch</w:t>
            </w:r>
          </w:p>
        </w:tc>
        <w:tc>
          <w:tcPr>
            <w:tcW w:w="1988" w:type="pct"/>
            <w:hideMark/>
          </w:tcPr>
          <w:p w:rsidR="00F42AF9" w:rsidRPr="00F42AF9" w:rsidP="00F42AF9" w14:paraId="4A164CF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EPA-HQ-OLEM-2022-0174-0480</w:t>
            </w:r>
          </w:p>
        </w:tc>
      </w:tr>
      <w:tr w14:paraId="5C39ECD3" w14:textId="77777777" w:rsidTr="00072FD7">
        <w:tblPrEx>
          <w:tblW w:w="5195" w:type="pct"/>
          <w:tblLayout w:type="fixed"/>
          <w:tblLook w:val="04A0"/>
        </w:tblPrEx>
        <w:trPr>
          <w:trHeight w:val="620"/>
        </w:trPr>
        <w:tc>
          <w:tcPr>
            <w:tcW w:w="1887" w:type="pct"/>
            <w:hideMark/>
          </w:tcPr>
          <w:p w:rsidR="00F42AF9" w:rsidRPr="00F42AF9" w:rsidP="00F42AF9" w14:paraId="0E3FD04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Mass Comment Campaign sponsored by an unknown organization - 1 (22,607)</w:t>
            </w:r>
          </w:p>
        </w:tc>
        <w:tc>
          <w:tcPr>
            <w:tcW w:w="1125" w:type="pct"/>
            <w:hideMark/>
          </w:tcPr>
          <w:p w:rsidR="00F42AF9" w:rsidRPr="00F42AF9" w:rsidP="00F42AF9" w14:paraId="4127139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13270D6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EPA-HQ-OLEM-2022-0174-0448</w:t>
            </w:r>
          </w:p>
        </w:tc>
      </w:tr>
      <w:tr w14:paraId="7428190C" w14:textId="77777777" w:rsidTr="00072FD7">
        <w:tblPrEx>
          <w:tblW w:w="5195" w:type="pct"/>
          <w:tblLayout w:type="fixed"/>
          <w:tblLook w:val="04A0"/>
        </w:tblPrEx>
        <w:trPr>
          <w:trHeight w:val="620"/>
        </w:trPr>
        <w:tc>
          <w:tcPr>
            <w:tcW w:w="1887" w:type="pct"/>
            <w:hideMark/>
          </w:tcPr>
          <w:p w:rsidR="00F42AF9" w:rsidRPr="00F42AF9" w:rsidP="00F42AF9" w14:paraId="353F54A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Mass Comment Campaign sponsored by an unknown organization - 2 (8,216)</w:t>
            </w:r>
          </w:p>
        </w:tc>
        <w:tc>
          <w:tcPr>
            <w:tcW w:w="1125" w:type="pct"/>
            <w:hideMark/>
          </w:tcPr>
          <w:p w:rsidR="00F42AF9" w:rsidRPr="00F42AF9" w:rsidP="00F42AF9" w14:paraId="599EBFF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3A373CE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EPA-HQ-OLEM-2022-0174-0449</w:t>
            </w:r>
          </w:p>
        </w:tc>
      </w:tr>
      <w:tr w14:paraId="6F9725C0" w14:textId="77777777" w:rsidTr="00072FD7">
        <w:tblPrEx>
          <w:tblW w:w="5195" w:type="pct"/>
          <w:tblLayout w:type="fixed"/>
          <w:tblLook w:val="04A0"/>
        </w:tblPrEx>
        <w:trPr>
          <w:trHeight w:val="620"/>
        </w:trPr>
        <w:tc>
          <w:tcPr>
            <w:tcW w:w="1887" w:type="pct"/>
            <w:hideMark/>
          </w:tcPr>
          <w:p w:rsidR="00F42AF9" w:rsidRPr="00F42AF9" w:rsidP="00F42AF9" w14:paraId="4155C4D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Mass Comment Campaign sponsored by an unknown organization - 3 (5,314)</w:t>
            </w:r>
          </w:p>
        </w:tc>
        <w:tc>
          <w:tcPr>
            <w:tcW w:w="1125" w:type="pct"/>
            <w:hideMark/>
          </w:tcPr>
          <w:p w:rsidR="00F42AF9" w:rsidRPr="00F42AF9" w:rsidP="00F42AF9" w14:paraId="126E348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28E18AD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EPA-HQ-OLEM-2022-0174-0450</w:t>
            </w:r>
          </w:p>
        </w:tc>
      </w:tr>
      <w:tr w14:paraId="422368D2" w14:textId="77777777" w:rsidTr="00072FD7">
        <w:tblPrEx>
          <w:tblW w:w="5195" w:type="pct"/>
          <w:tblLayout w:type="fixed"/>
          <w:tblLook w:val="04A0"/>
        </w:tblPrEx>
        <w:trPr>
          <w:trHeight w:val="620"/>
        </w:trPr>
        <w:tc>
          <w:tcPr>
            <w:tcW w:w="1887" w:type="pct"/>
            <w:hideMark/>
          </w:tcPr>
          <w:p w:rsidR="00F42AF9" w:rsidRPr="00F42AF9" w:rsidP="00F42AF9" w14:paraId="14902EF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Mass Comment Campaign sponsored by an unknown organization - 4 (1,877)</w:t>
            </w:r>
          </w:p>
        </w:tc>
        <w:tc>
          <w:tcPr>
            <w:tcW w:w="1125" w:type="pct"/>
            <w:hideMark/>
          </w:tcPr>
          <w:p w:rsidR="00F42AF9" w:rsidRPr="00F42AF9" w:rsidP="00F42AF9" w14:paraId="7A656E2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203F942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EPA-HQ-OLEM-2022-0174-0451</w:t>
            </w:r>
          </w:p>
        </w:tc>
      </w:tr>
      <w:tr w14:paraId="466E6363" w14:textId="77777777" w:rsidTr="00072FD7">
        <w:tblPrEx>
          <w:tblW w:w="5195" w:type="pct"/>
          <w:tblLayout w:type="fixed"/>
          <w:tblLook w:val="04A0"/>
        </w:tblPrEx>
        <w:trPr>
          <w:trHeight w:val="620"/>
        </w:trPr>
        <w:tc>
          <w:tcPr>
            <w:tcW w:w="1887" w:type="pct"/>
            <w:hideMark/>
          </w:tcPr>
          <w:p w:rsidR="00F42AF9" w:rsidRPr="00F42AF9" w:rsidP="00F42AF9" w14:paraId="6379132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Mass Comment Campaign sponsored by an unknown organization - 5 (31)</w:t>
            </w:r>
          </w:p>
        </w:tc>
        <w:tc>
          <w:tcPr>
            <w:tcW w:w="1125" w:type="pct"/>
            <w:hideMark/>
          </w:tcPr>
          <w:p w:rsidR="00F42AF9" w:rsidRPr="00F42AF9" w:rsidP="00F42AF9" w14:paraId="36E0E1B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6C3EF5F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EPA-HQ-OLEM-2022-0174-0452</w:t>
            </w:r>
          </w:p>
        </w:tc>
      </w:tr>
      <w:tr w14:paraId="7A09FF77" w14:textId="77777777" w:rsidTr="00072FD7">
        <w:tblPrEx>
          <w:tblW w:w="5195" w:type="pct"/>
          <w:tblLayout w:type="fixed"/>
          <w:tblLook w:val="04A0"/>
        </w:tblPrEx>
        <w:trPr>
          <w:trHeight w:val="620"/>
        </w:trPr>
        <w:tc>
          <w:tcPr>
            <w:tcW w:w="1887" w:type="pct"/>
            <w:hideMark/>
          </w:tcPr>
          <w:p w:rsidR="00F42AF9" w:rsidRPr="00F42AF9" w:rsidP="00F42AF9" w14:paraId="13E7AD6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Mass Comment Campaign sponsored by Natural Resources Defense Council (NRDC) (19,492)</w:t>
            </w:r>
          </w:p>
        </w:tc>
        <w:tc>
          <w:tcPr>
            <w:tcW w:w="1125" w:type="pct"/>
            <w:hideMark/>
          </w:tcPr>
          <w:p w:rsidR="00F42AF9" w:rsidRPr="00F42AF9" w:rsidP="00F42AF9" w14:paraId="39F3F32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5EC300F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EPA-HQ-OLEM-2022-0174-0453</w:t>
            </w:r>
          </w:p>
        </w:tc>
      </w:tr>
      <w:tr w14:paraId="19172960" w14:textId="77777777" w:rsidTr="00072FD7">
        <w:tblPrEx>
          <w:tblW w:w="5195" w:type="pct"/>
          <w:tblLayout w:type="fixed"/>
          <w:tblLook w:val="04A0"/>
        </w:tblPrEx>
        <w:trPr>
          <w:trHeight w:val="310"/>
        </w:trPr>
        <w:tc>
          <w:tcPr>
            <w:tcW w:w="1887" w:type="pct"/>
            <w:hideMark/>
          </w:tcPr>
          <w:p w:rsidR="00F42AF9" w:rsidRPr="00F42AF9" w:rsidP="00F42AF9" w14:paraId="6C9A675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Meade, Melanie</w:t>
            </w:r>
          </w:p>
        </w:tc>
        <w:tc>
          <w:tcPr>
            <w:tcW w:w="1125" w:type="pct"/>
            <w:hideMark/>
          </w:tcPr>
          <w:p w:rsidR="00F42AF9" w:rsidRPr="00F42AF9" w:rsidP="00F42AF9" w14:paraId="7A7BA98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Melanie Meade</w:t>
            </w:r>
          </w:p>
        </w:tc>
        <w:tc>
          <w:tcPr>
            <w:tcW w:w="1988" w:type="pct"/>
            <w:hideMark/>
          </w:tcPr>
          <w:p w:rsidR="00F42AF9" w:rsidRPr="00F42AF9" w:rsidP="00F42AF9" w14:paraId="75249FE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EPA-HQ-OLEM-2022-0174-0383</w:t>
            </w:r>
          </w:p>
        </w:tc>
      </w:tr>
      <w:tr w14:paraId="5FB877AD" w14:textId="77777777" w:rsidTr="00072FD7">
        <w:tblPrEx>
          <w:tblW w:w="5195" w:type="pct"/>
          <w:tblLayout w:type="fixed"/>
          <w:tblLook w:val="04A0"/>
        </w:tblPrEx>
        <w:trPr>
          <w:trHeight w:val="310"/>
        </w:trPr>
        <w:tc>
          <w:tcPr>
            <w:tcW w:w="1887" w:type="pct"/>
            <w:hideMark/>
          </w:tcPr>
          <w:p w:rsidR="00F42AF9" w:rsidRPr="00F42AF9" w:rsidP="00F42AF9" w14:paraId="289B143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Moms for a Nontoxic New York</w:t>
            </w:r>
          </w:p>
        </w:tc>
        <w:tc>
          <w:tcPr>
            <w:tcW w:w="1125" w:type="pct"/>
            <w:hideMark/>
          </w:tcPr>
          <w:p w:rsidR="00F42AF9" w:rsidRPr="00F42AF9" w:rsidP="00F42AF9" w14:paraId="6063D26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Kathleen Curtis</w:t>
            </w:r>
          </w:p>
        </w:tc>
        <w:tc>
          <w:tcPr>
            <w:tcW w:w="1988" w:type="pct"/>
            <w:hideMark/>
          </w:tcPr>
          <w:p w:rsidR="00F42AF9" w:rsidRPr="00F42AF9" w:rsidP="00F42AF9" w14:paraId="708CAC3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EPA-HQ-OLEM-2022-0174-0409</w:t>
            </w:r>
          </w:p>
        </w:tc>
      </w:tr>
      <w:tr w14:paraId="718BD442" w14:textId="77777777" w:rsidTr="00072FD7">
        <w:tblPrEx>
          <w:tblW w:w="5195" w:type="pct"/>
          <w:tblLayout w:type="fixed"/>
          <w:tblLook w:val="04A0"/>
        </w:tblPrEx>
        <w:trPr>
          <w:trHeight w:val="310"/>
        </w:trPr>
        <w:tc>
          <w:tcPr>
            <w:tcW w:w="1887" w:type="pct"/>
            <w:hideMark/>
          </w:tcPr>
          <w:p w:rsidR="00F42AF9" w:rsidRPr="00F42AF9" w:rsidP="00F42AF9" w14:paraId="42D407A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Naples, Jean</w:t>
            </w:r>
          </w:p>
        </w:tc>
        <w:tc>
          <w:tcPr>
            <w:tcW w:w="1125" w:type="pct"/>
            <w:hideMark/>
          </w:tcPr>
          <w:p w:rsidR="00F42AF9" w:rsidRPr="00F42AF9" w:rsidP="00F42AF9" w14:paraId="5B37844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Jean Naples</w:t>
            </w:r>
          </w:p>
        </w:tc>
        <w:tc>
          <w:tcPr>
            <w:tcW w:w="1988" w:type="pct"/>
            <w:hideMark/>
          </w:tcPr>
          <w:p w:rsidR="00F42AF9" w:rsidRPr="00F42AF9" w:rsidP="00F42AF9" w14:paraId="7BD9E75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EPA-HQ-OLEM-2022-0174-0413</w:t>
            </w:r>
          </w:p>
        </w:tc>
      </w:tr>
      <w:tr w14:paraId="2D061495" w14:textId="77777777" w:rsidTr="00072FD7">
        <w:tblPrEx>
          <w:tblW w:w="5195" w:type="pct"/>
          <w:tblLayout w:type="fixed"/>
          <w:tblLook w:val="04A0"/>
        </w:tblPrEx>
        <w:trPr>
          <w:trHeight w:val="310"/>
        </w:trPr>
        <w:tc>
          <w:tcPr>
            <w:tcW w:w="1887" w:type="pct"/>
            <w:vMerge w:val="restart"/>
            <w:hideMark/>
          </w:tcPr>
          <w:p w:rsidR="00F42AF9" w:rsidRPr="00F42AF9" w:rsidP="00F42AF9" w14:paraId="1C5ACCE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Association of Chemical Distributors (NACD)</w:t>
            </w:r>
          </w:p>
        </w:tc>
        <w:tc>
          <w:tcPr>
            <w:tcW w:w="1125" w:type="pct"/>
            <w:vMerge w:val="restart"/>
            <w:hideMark/>
          </w:tcPr>
          <w:p w:rsidR="00F42AF9" w:rsidRPr="00F42AF9" w:rsidP="00F42AF9" w14:paraId="6273AD8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Jennifer C. Gibson</w:t>
            </w:r>
          </w:p>
        </w:tc>
        <w:tc>
          <w:tcPr>
            <w:tcW w:w="1988" w:type="pct"/>
            <w:hideMark/>
          </w:tcPr>
          <w:p w:rsidR="00F42AF9" w:rsidRPr="00F42AF9" w:rsidP="00F42AF9" w14:paraId="0AD51EA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EPA-HQ-OLEM-2022-0174-0234</w:t>
            </w:r>
          </w:p>
        </w:tc>
      </w:tr>
      <w:tr w14:paraId="70D64B79" w14:textId="77777777" w:rsidTr="00072FD7">
        <w:tblPrEx>
          <w:tblW w:w="5195" w:type="pct"/>
          <w:tblLayout w:type="fixed"/>
          <w:tblLook w:val="04A0"/>
        </w:tblPrEx>
        <w:trPr>
          <w:trHeight w:val="310"/>
        </w:trPr>
        <w:tc>
          <w:tcPr>
            <w:tcW w:w="1887" w:type="pct"/>
            <w:vMerge/>
            <w:hideMark/>
          </w:tcPr>
          <w:p w:rsidR="00F42AF9" w:rsidRPr="00F42AF9" w:rsidP="00F42AF9" w14:paraId="5D507424"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72846503"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5C241F6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EPA-HQ-OLEM-2022-0174-0100</w:t>
            </w:r>
          </w:p>
        </w:tc>
      </w:tr>
      <w:tr w14:paraId="734A2809" w14:textId="77777777" w:rsidTr="00072FD7">
        <w:tblPrEx>
          <w:tblW w:w="5195" w:type="pct"/>
          <w:tblLayout w:type="fixed"/>
          <w:tblLook w:val="04A0"/>
        </w:tblPrEx>
        <w:trPr>
          <w:trHeight w:val="620"/>
        </w:trPr>
        <w:tc>
          <w:tcPr>
            <w:tcW w:w="1887" w:type="pct"/>
            <w:hideMark/>
          </w:tcPr>
          <w:p w:rsidR="00F42AF9" w:rsidRPr="00F42AF9" w:rsidP="00F42AF9" w14:paraId="681A479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Association of SARA Title III Program Officials (NASTTPO)</w:t>
            </w:r>
          </w:p>
        </w:tc>
        <w:tc>
          <w:tcPr>
            <w:tcW w:w="1125" w:type="pct"/>
            <w:hideMark/>
          </w:tcPr>
          <w:p w:rsidR="00F42AF9" w:rsidRPr="00F42AF9" w:rsidP="00F42AF9" w14:paraId="5339FFD1" w14:textId="7235044C">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 </w:t>
            </w:r>
            <w:r w:rsidRPr="00C37674" w:rsidR="00B877D1">
              <w:rPr>
                <w:rFonts w:ascii="Times New Roman" w:eastAsia="Times New Roman" w:hAnsi="Times New Roman"/>
                <w:color w:val="000000"/>
                <w:sz w:val="24"/>
              </w:rPr>
              <w:t>N/A</w:t>
            </w:r>
          </w:p>
        </w:tc>
        <w:tc>
          <w:tcPr>
            <w:tcW w:w="1988" w:type="pct"/>
            <w:hideMark/>
          </w:tcPr>
          <w:p w:rsidR="00F42AF9" w:rsidRPr="00F42AF9" w:rsidP="00F42AF9" w14:paraId="7317CE1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EPA-HQ-OLEM-2022-0174-0241</w:t>
            </w:r>
          </w:p>
        </w:tc>
      </w:tr>
      <w:tr w14:paraId="19739044" w14:textId="77777777" w:rsidTr="00072FD7">
        <w:tblPrEx>
          <w:tblW w:w="5195" w:type="pct"/>
          <w:tblLayout w:type="fixed"/>
          <w:tblLook w:val="04A0"/>
        </w:tblPrEx>
        <w:trPr>
          <w:trHeight w:val="310"/>
        </w:trPr>
        <w:tc>
          <w:tcPr>
            <w:tcW w:w="1887" w:type="pct"/>
            <w:hideMark/>
          </w:tcPr>
          <w:p w:rsidR="00F42AF9" w:rsidRPr="00F42AF9" w:rsidP="00F42AF9" w14:paraId="7EEEDFD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Education Association</w:t>
            </w:r>
          </w:p>
        </w:tc>
        <w:tc>
          <w:tcPr>
            <w:tcW w:w="1125" w:type="pct"/>
            <w:hideMark/>
          </w:tcPr>
          <w:p w:rsidR="00F42AF9" w:rsidRPr="00F42AF9" w:rsidP="00F42AF9" w14:paraId="2D0D738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Daaiyah Bilal-Threats</w:t>
            </w:r>
          </w:p>
        </w:tc>
        <w:tc>
          <w:tcPr>
            <w:tcW w:w="1988" w:type="pct"/>
            <w:hideMark/>
          </w:tcPr>
          <w:p w:rsidR="00F42AF9" w:rsidRPr="00F42AF9" w:rsidP="00F42AF9" w14:paraId="7816B03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EPA-HQ-OLEM-2022-0174-0251</w:t>
            </w:r>
          </w:p>
        </w:tc>
      </w:tr>
      <w:tr w14:paraId="68BF3595" w14:textId="77777777" w:rsidTr="00072FD7">
        <w:tblPrEx>
          <w:tblW w:w="5195" w:type="pct"/>
          <w:tblLayout w:type="fixed"/>
          <w:tblLook w:val="04A0"/>
        </w:tblPrEx>
        <w:trPr>
          <w:trHeight w:val="310"/>
        </w:trPr>
        <w:tc>
          <w:tcPr>
            <w:tcW w:w="1887" w:type="pct"/>
            <w:hideMark/>
          </w:tcPr>
          <w:p w:rsidR="00F42AF9" w:rsidRPr="00F42AF9" w:rsidP="00F42AF9" w14:paraId="0172497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Family Farm Coalition (NFFC)</w:t>
            </w:r>
          </w:p>
        </w:tc>
        <w:tc>
          <w:tcPr>
            <w:tcW w:w="1125" w:type="pct"/>
            <w:hideMark/>
          </w:tcPr>
          <w:p w:rsidR="00F42AF9" w:rsidRPr="00F42AF9" w:rsidP="00F42AF9" w14:paraId="1878F5A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Antonio Tovar</w:t>
            </w:r>
          </w:p>
        </w:tc>
        <w:tc>
          <w:tcPr>
            <w:tcW w:w="1988" w:type="pct"/>
            <w:hideMark/>
          </w:tcPr>
          <w:p w:rsidR="00F42AF9" w:rsidRPr="00F42AF9" w:rsidP="00F42AF9" w14:paraId="7374F3F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EPA-HQ-OLEM-2022-0174-0407</w:t>
            </w:r>
          </w:p>
        </w:tc>
      </w:tr>
      <w:tr w14:paraId="2BE3C896" w14:textId="77777777" w:rsidTr="00072FD7">
        <w:tblPrEx>
          <w:tblW w:w="5195" w:type="pct"/>
          <w:tblLayout w:type="fixed"/>
          <w:tblLook w:val="04A0"/>
        </w:tblPrEx>
        <w:trPr>
          <w:trHeight w:val="310"/>
        </w:trPr>
        <w:tc>
          <w:tcPr>
            <w:tcW w:w="1887" w:type="pct"/>
            <w:hideMark/>
          </w:tcPr>
          <w:p w:rsidR="00F42AF9" w:rsidRPr="00F42AF9" w:rsidP="00F42AF9" w14:paraId="0A77933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Lime Association (NLA)</w:t>
            </w:r>
          </w:p>
        </w:tc>
        <w:tc>
          <w:tcPr>
            <w:tcW w:w="1125" w:type="pct"/>
            <w:hideMark/>
          </w:tcPr>
          <w:p w:rsidR="00F42AF9" w:rsidRPr="00F42AF9" w:rsidP="00F42AF9" w14:paraId="2858332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William Herz</w:t>
            </w:r>
          </w:p>
        </w:tc>
        <w:tc>
          <w:tcPr>
            <w:tcW w:w="1988" w:type="pct"/>
            <w:hideMark/>
          </w:tcPr>
          <w:p w:rsidR="00F42AF9" w:rsidRPr="00F42AF9" w:rsidP="00F42AF9" w14:paraId="5AAFF8A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EPA-HQ-OLEM-2022-0174-0213</w:t>
            </w:r>
          </w:p>
        </w:tc>
      </w:tr>
      <w:tr w14:paraId="2E9DBE88" w14:textId="77777777" w:rsidTr="00072FD7">
        <w:tblPrEx>
          <w:tblW w:w="5195" w:type="pct"/>
          <w:tblLayout w:type="fixed"/>
          <w:tblLook w:val="04A0"/>
        </w:tblPrEx>
        <w:trPr>
          <w:trHeight w:val="310"/>
        </w:trPr>
        <w:tc>
          <w:tcPr>
            <w:tcW w:w="1887" w:type="pct"/>
            <w:hideMark/>
          </w:tcPr>
          <w:p w:rsidR="00F42AF9" w:rsidRPr="00F42AF9" w:rsidP="00F42AF9" w14:paraId="5C92DDC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Mining Association (NMA)</w:t>
            </w:r>
          </w:p>
        </w:tc>
        <w:tc>
          <w:tcPr>
            <w:tcW w:w="1125" w:type="pct"/>
            <w:hideMark/>
          </w:tcPr>
          <w:p w:rsidR="00F42AF9" w:rsidRPr="00F42AF9" w:rsidP="00F42AF9" w14:paraId="09524F5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Tawny A. Bridgeford</w:t>
            </w:r>
          </w:p>
        </w:tc>
        <w:tc>
          <w:tcPr>
            <w:tcW w:w="1988" w:type="pct"/>
            <w:hideMark/>
          </w:tcPr>
          <w:p w:rsidR="00F42AF9" w:rsidRPr="00F42AF9" w:rsidP="00F42AF9" w14:paraId="35B9A93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EPA-HQ-OLEM-2022-0174-0236</w:t>
            </w:r>
          </w:p>
        </w:tc>
      </w:tr>
      <w:tr w14:paraId="7467427E" w14:textId="77777777" w:rsidTr="00072FD7">
        <w:tblPrEx>
          <w:tblW w:w="5195" w:type="pct"/>
          <w:tblLayout w:type="fixed"/>
          <w:tblLook w:val="04A0"/>
        </w:tblPrEx>
        <w:trPr>
          <w:trHeight w:val="310"/>
        </w:trPr>
        <w:tc>
          <w:tcPr>
            <w:tcW w:w="1887" w:type="pct"/>
            <w:hideMark/>
          </w:tcPr>
          <w:p w:rsidR="00F42AF9" w:rsidRPr="00F42AF9" w:rsidP="00F42AF9" w14:paraId="74A3448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Propane Gas Association (NPGA)</w:t>
            </w:r>
          </w:p>
        </w:tc>
        <w:tc>
          <w:tcPr>
            <w:tcW w:w="1125" w:type="pct"/>
            <w:hideMark/>
          </w:tcPr>
          <w:p w:rsidR="00F42AF9" w:rsidRPr="00F42AF9" w:rsidP="00F42AF9" w14:paraId="368959D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Michael A. Caldarera</w:t>
            </w:r>
          </w:p>
        </w:tc>
        <w:tc>
          <w:tcPr>
            <w:tcW w:w="1988" w:type="pct"/>
            <w:hideMark/>
          </w:tcPr>
          <w:p w:rsidR="00F42AF9" w:rsidRPr="00F42AF9" w:rsidP="00F42AF9" w14:paraId="4E497DA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EPA-HQ-OLEM-2022-0174-0247</w:t>
            </w:r>
          </w:p>
        </w:tc>
      </w:tr>
      <w:tr w14:paraId="68BBA0E4" w14:textId="77777777" w:rsidTr="00072FD7">
        <w:tblPrEx>
          <w:tblW w:w="5195" w:type="pct"/>
          <w:tblLayout w:type="fixed"/>
          <w:tblLook w:val="04A0"/>
        </w:tblPrEx>
        <w:trPr>
          <w:trHeight w:val="310"/>
        </w:trPr>
        <w:tc>
          <w:tcPr>
            <w:tcW w:w="1887" w:type="pct"/>
            <w:hideMark/>
          </w:tcPr>
          <w:p w:rsidR="00F42AF9" w:rsidRPr="00F42AF9" w:rsidP="00F42AF9" w14:paraId="386EC42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National Taxpayers Union (NTU)</w:t>
            </w:r>
          </w:p>
        </w:tc>
        <w:tc>
          <w:tcPr>
            <w:tcW w:w="1125" w:type="pct"/>
            <w:hideMark/>
          </w:tcPr>
          <w:p w:rsidR="00F42AF9" w:rsidRPr="00F42AF9" w:rsidP="00F42AF9" w14:paraId="0C67C0B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Pete Sepp &amp; Alex Milliken</w:t>
            </w:r>
          </w:p>
        </w:tc>
        <w:tc>
          <w:tcPr>
            <w:tcW w:w="1988" w:type="pct"/>
            <w:hideMark/>
          </w:tcPr>
          <w:p w:rsidR="00F42AF9" w:rsidRPr="00F42AF9" w:rsidP="00F42AF9" w14:paraId="03582CC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EPA-HQ-OLEM-2022-0174-0214</w:t>
            </w:r>
          </w:p>
        </w:tc>
      </w:tr>
      <w:tr w14:paraId="75865D05" w14:textId="77777777" w:rsidTr="00072FD7">
        <w:tblPrEx>
          <w:tblW w:w="5195" w:type="pct"/>
          <w:tblLayout w:type="fixed"/>
          <w:tblLook w:val="04A0"/>
        </w:tblPrEx>
        <w:trPr>
          <w:trHeight w:val="310"/>
        </w:trPr>
        <w:tc>
          <w:tcPr>
            <w:tcW w:w="1887" w:type="pct"/>
            <w:hideMark/>
          </w:tcPr>
          <w:p w:rsidR="00F42AF9" w:rsidRPr="00F42AF9" w:rsidP="00F42AF9" w14:paraId="011844A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Natural Resources Defense Council (NRDC)</w:t>
            </w:r>
          </w:p>
        </w:tc>
        <w:tc>
          <w:tcPr>
            <w:tcW w:w="1125" w:type="pct"/>
            <w:hideMark/>
          </w:tcPr>
          <w:p w:rsidR="00F42AF9" w:rsidRPr="00F42AF9" w:rsidP="00F42AF9" w14:paraId="1B0EEE9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Jennifer Sass</w:t>
            </w:r>
          </w:p>
        </w:tc>
        <w:tc>
          <w:tcPr>
            <w:tcW w:w="1988" w:type="pct"/>
            <w:hideMark/>
          </w:tcPr>
          <w:p w:rsidR="00F42AF9" w:rsidRPr="00F42AF9" w:rsidP="00F42AF9" w14:paraId="26E3357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EPA-HQ-OLEM-2022-0174-0255</w:t>
            </w:r>
          </w:p>
        </w:tc>
      </w:tr>
      <w:tr w14:paraId="0075BAB0" w14:textId="77777777" w:rsidTr="00072FD7">
        <w:tblPrEx>
          <w:tblW w:w="5195" w:type="pct"/>
          <w:tblLayout w:type="fixed"/>
          <w:tblLook w:val="04A0"/>
        </w:tblPrEx>
        <w:trPr>
          <w:trHeight w:val="620"/>
        </w:trPr>
        <w:tc>
          <w:tcPr>
            <w:tcW w:w="1887" w:type="pct"/>
            <w:hideMark/>
          </w:tcPr>
          <w:p w:rsidR="00F42AF9" w:rsidRPr="00F42AF9" w:rsidP="00F42AF9" w14:paraId="3EAB820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New Jersey Department of Environmental Protection (NJDEP)</w:t>
            </w:r>
          </w:p>
        </w:tc>
        <w:tc>
          <w:tcPr>
            <w:tcW w:w="1125" w:type="pct"/>
            <w:hideMark/>
          </w:tcPr>
          <w:p w:rsidR="00F42AF9" w:rsidRPr="00F42AF9" w:rsidP="00F42AF9" w14:paraId="54A7929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Paul Komosinsky</w:t>
            </w:r>
          </w:p>
        </w:tc>
        <w:tc>
          <w:tcPr>
            <w:tcW w:w="1988" w:type="pct"/>
            <w:hideMark/>
          </w:tcPr>
          <w:p w:rsidR="00F42AF9" w:rsidRPr="00F42AF9" w:rsidP="00F42AF9" w14:paraId="3BB095F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EPA-HQ-OLEM-2022-0174-0185</w:t>
            </w:r>
          </w:p>
        </w:tc>
      </w:tr>
      <w:tr w14:paraId="51D379CC" w14:textId="77777777" w:rsidTr="00072FD7">
        <w:tblPrEx>
          <w:tblW w:w="5195" w:type="pct"/>
          <w:tblLayout w:type="fixed"/>
          <w:tblLook w:val="04A0"/>
        </w:tblPrEx>
        <w:trPr>
          <w:trHeight w:val="310"/>
        </w:trPr>
        <w:tc>
          <w:tcPr>
            <w:tcW w:w="1887" w:type="pct"/>
            <w:vMerge w:val="restart"/>
            <w:hideMark/>
          </w:tcPr>
          <w:p w:rsidR="00F42AF9" w:rsidRPr="00F42AF9" w:rsidP="00F42AF9" w14:paraId="3F87ADE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New Jersey Work Environment Council</w:t>
            </w:r>
          </w:p>
        </w:tc>
        <w:tc>
          <w:tcPr>
            <w:tcW w:w="1125" w:type="pct"/>
            <w:vMerge w:val="restart"/>
            <w:hideMark/>
          </w:tcPr>
          <w:p w:rsidR="00F42AF9" w:rsidRPr="00F42AF9" w:rsidP="00F42AF9" w14:paraId="5326769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Debra Coyle</w:t>
            </w:r>
          </w:p>
        </w:tc>
        <w:tc>
          <w:tcPr>
            <w:tcW w:w="1988" w:type="pct"/>
            <w:hideMark/>
          </w:tcPr>
          <w:p w:rsidR="00F42AF9" w:rsidRPr="00F42AF9" w:rsidP="00F42AF9" w14:paraId="059F783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EPA-HQ-OLEM-2022-0174-0203</w:t>
            </w:r>
          </w:p>
        </w:tc>
      </w:tr>
      <w:tr w14:paraId="0225C61A" w14:textId="77777777" w:rsidTr="00072FD7">
        <w:tblPrEx>
          <w:tblW w:w="5195" w:type="pct"/>
          <w:tblLayout w:type="fixed"/>
          <w:tblLook w:val="04A0"/>
        </w:tblPrEx>
        <w:trPr>
          <w:trHeight w:val="310"/>
        </w:trPr>
        <w:tc>
          <w:tcPr>
            <w:tcW w:w="1887" w:type="pct"/>
            <w:vMerge/>
            <w:hideMark/>
          </w:tcPr>
          <w:p w:rsidR="00F42AF9" w:rsidRPr="00F42AF9" w:rsidP="00F42AF9" w14:paraId="38F45A35"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1356797"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48D3D88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EPA-HQ-OLEM-2022-0174-0481</w:t>
            </w:r>
          </w:p>
        </w:tc>
      </w:tr>
      <w:tr w14:paraId="7459AB6D" w14:textId="77777777" w:rsidTr="00072FD7">
        <w:tblPrEx>
          <w:tblW w:w="5195" w:type="pct"/>
          <w:tblLayout w:type="fixed"/>
          <w:tblLook w:val="04A0"/>
        </w:tblPrEx>
        <w:trPr>
          <w:trHeight w:val="310"/>
        </w:trPr>
        <w:tc>
          <w:tcPr>
            <w:tcW w:w="1887" w:type="pct"/>
            <w:vMerge/>
            <w:hideMark/>
          </w:tcPr>
          <w:p w:rsidR="00F42AF9" w:rsidRPr="00F42AF9" w:rsidP="00F42AF9" w14:paraId="7E2D82DF"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302A465"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0769792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EPA-HQ-OLEM-2022-0174-0178</w:t>
            </w:r>
          </w:p>
        </w:tc>
      </w:tr>
      <w:tr w14:paraId="364F81FE" w14:textId="77777777" w:rsidTr="00072FD7">
        <w:tblPrEx>
          <w:tblW w:w="5195" w:type="pct"/>
          <w:tblLayout w:type="fixed"/>
          <w:tblLook w:val="04A0"/>
        </w:tblPrEx>
        <w:trPr>
          <w:trHeight w:val="620"/>
        </w:trPr>
        <w:tc>
          <w:tcPr>
            <w:tcW w:w="1887" w:type="pct"/>
            <w:hideMark/>
          </w:tcPr>
          <w:p w:rsidR="00F42AF9" w:rsidRPr="00F42AF9" w:rsidP="00F42AF9" w14:paraId="2F1261C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New York City Department of Environmental Protection (DEP)</w:t>
            </w:r>
          </w:p>
        </w:tc>
        <w:tc>
          <w:tcPr>
            <w:tcW w:w="1125" w:type="pct"/>
            <w:hideMark/>
          </w:tcPr>
          <w:p w:rsidR="00F42AF9" w:rsidRPr="00F42AF9" w:rsidP="00F42AF9" w14:paraId="6F3D8F1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Paul Rush</w:t>
            </w:r>
          </w:p>
        </w:tc>
        <w:tc>
          <w:tcPr>
            <w:tcW w:w="1988" w:type="pct"/>
            <w:hideMark/>
          </w:tcPr>
          <w:p w:rsidR="00F42AF9" w:rsidRPr="00F42AF9" w:rsidP="00F42AF9" w14:paraId="27A66A7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EPA-HQ-OLEM-2022-0174-0230</w:t>
            </w:r>
          </w:p>
        </w:tc>
      </w:tr>
      <w:tr w14:paraId="258632E9" w14:textId="77777777" w:rsidTr="00072FD7">
        <w:tblPrEx>
          <w:tblW w:w="5195" w:type="pct"/>
          <w:tblLayout w:type="fixed"/>
          <w:tblLook w:val="04A0"/>
        </w:tblPrEx>
        <w:trPr>
          <w:trHeight w:val="620"/>
        </w:trPr>
        <w:tc>
          <w:tcPr>
            <w:tcW w:w="1887" w:type="pct"/>
            <w:hideMark/>
          </w:tcPr>
          <w:p w:rsidR="00F42AF9" w:rsidRPr="00F42AF9" w:rsidP="00F42AF9" w14:paraId="233AC58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North Carolina State Emergency Response Commission, Hazard Materials Committee</w:t>
            </w:r>
          </w:p>
        </w:tc>
        <w:tc>
          <w:tcPr>
            <w:tcW w:w="1125" w:type="pct"/>
            <w:hideMark/>
          </w:tcPr>
          <w:p w:rsidR="00F42AF9" w:rsidRPr="00F42AF9" w:rsidP="00F42AF9" w14:paraId="20B917E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William C. Ray</w:t>
            </w:r>
          </w:p>
        </w:tc>
        <w:tc>
          <w:tcPr>
            <w:tcW w:w="1988" w:type="pct"/>
            <w:hideMark/>
          </w:tcPr>
          <w:p w:rsidR="00F42AF9" w:rsidRPr="00F42AF9" w:rsidP="00F42AF9" w14:paraId="77D79BF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EPA-HQ-OLEM-2022-0174-0165</w:t>
            </w:r>
          </w:p>
        </w:tc>
      </w:tr>
      <w:tr w14:paraId="6FB7969A" w14:textId="77777777" w:rsidTr="00072FD7">
        <w:tblPrEx>
          <w:tblW w:w="5195" w:type="pct"/>
          <w:tblLayout w:type="fixed"/>
          <w:tblLook w:val="04A0"/>
        </w:tblPrEx>
        <w:trPr>
          <w:trHeight w:val="310"/>
        </w:trPr>
        <w:tc>
          <w:tcPr>
            <w:tcW w:w="1887" w:type="pct"/>
            <w:hideMark/>
          </w:tcPr>
          <w:p w:rsidR="00F42AF9" w:rsidRPr="00F42AF9" w:rsidP="00F42AF9" w14:paraId="285BDDB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North Dakota Department of Agriculture</w:t>
            </w:r>
          </w:p>
        </w:tc>
        <w:tc>
          <w:tcPr>
            <w:tcW w:w="1125" w:type="pct"/>
            <w:hideMark/>
          </w:tcPr>
          <w:p w:rsidR="00F42AF9" w:rsidRPr="00F42AF9" w:rsidP="00F42AF9" w14:paraId="6754F9B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Doug Goehring</w:t>
            </w:r>
          </w:p>
        </w:tc>
        <w:tc>
          <w:tcPr>
            <w:tcW w:w="1988" w:type="pct"/>
            <w:hideMark/>
          </w:tcPr>
          <w:p w:rsidR="00F42AF9" w:rsidRPr="00F42AF9" w:rsidP="00F42AF9" w14:paraId="41FBB0B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EPA-HQ-OLEM-2022-0174-0245</w:t>
            </w:r>
          </w:p>
        </w:tc>
      </w:tr>
      <w:tr w14:paraId="62A4FCA3" w14:textId="77777777" w:rsidTr="00072FD7">
        <w:tblPrEx>
          <w:tblW w:w="5195" w:type="pct"/>
          <w:tblLayout w:type="fixed"/>
          <w:tblLook w:val="04A0"/>
        </w:tblPrEx>
        <w:trPr>
          <w:trHeight w:val="310"/>
        </w:trPr>
        <w:tc>
          <w:tcPr>
            <w:tcW w:w="1887" w:type="pct"/>
            <w:hideMark/>
          </w:tcPr>
          <w:p w:rsidR="00F42AF9" w:rsidRPr="00F42AF9" w:rsidP="00F42AF9" w14:paraId="7119734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Office of New York State Attorney General</w:t>
            </w:r>
          </w:p>
        </w:tc>
        <w:tc>
          <w:tcPr>
            <w:tcW w:w="1125" w:type="pct"/>
            <w:hideMark/>
          </w:tcPr>
          <w:p w:rsidR="00F42AF9" w:rsidRPr="00F42AF9" w:rsidP="00F42AF9" w14:paraId="786842D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Sarah Kam</w:t>
            </w:r>
          </w:p>
        </w:tc>
        <w:tc>
          <w:tcPr>
            <w:tcW w:w="1988" w:type="pct"/>
            <w:hideMark/>
          </w:tcPr>
          <w:p w:rsidR="00F42AF9" w:rsidRPr="00F42AF9" w:rsidP="00F42AF9" w14:paraId="52D8CFB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EPA-HQ-OLEM-2022-0174-0135</w:t>
            </w:r>
          </w:p>
        </w:tc>
      </w:tr>
      <w:tr w14:paraId="2B075282" w14:textId="77777777" w:rsidTr="00072FD7">
        <w:tblPrEx>
          <w:tblW w:w="5195" w:type="pct"/>
          <w:tblLayout w:type="fixed"/>
          <w:tblLook w:val="04A0"/>
        </w:tblPrEx>
        <w:trPr>
          <w:trHeight w:val="310"/>
        </w:trPr>
        <w:tc>
          <w:tcPr>
            <w:tcW w:w="1887" w:type="pct"/>
            <w:hideMark/>
          </w:tcPr>
          <w:p w:rsidR="00F42AF9" w:rsidRPr="00F42AF9" w:rsidP="00F42AF9" w14:paraId="6E7CE7A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Orum, Paul</w:t>
            </w:r>
          </w:p>
        </w:tc>
        <w:tc>
          <w:tcPr>
            <w:tcW w:w="1125" w:type="pct"/>
            <w:hideMark/>
          </w:tcPr>
          <w:p w:rsidR="00F42AF9" w:rsidRPr="00F42AF9" w:rsidP="00F42AF9" w14:paraId="48D00E3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Paul Orum</w:t>
            </w:r>
          </w:p>
        </w:tc>
        <w:tc>
          <w:tcPr>
            <w:tcW w:w="1988" w:type="pct"/>
            <w:hideMark/>
          </w:tcPr>
          <w:p w:rsidR="00F42AF9" w:rsidRPr="00F42AF9" w:rsidP="00F42AF9" w14:paraId="70BD58D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EPA-HQ-OLEM-2022-0174-0220</w:t>
            </w:r>
          </w:p>
        </w:tc>
      </w:tr>
      <w:tr w14:paraId="1E8BD451" w14:textId="77777777" w:rsidTr="00072FD7">
        <w:tblPrEx>
          <w:tblW w:w="5195" w:type="pct"/>
          <w:tblLayout w:type="fixed"/>
          <w:tblLook w:val="04A0"/>
        </w:tblPrEx>
        <w:trPr>
          <w:trHeight w:val="310"/>
        </w:trPr>
        <w:tc>
          <w:tcPr>
            <w:tcW w:w="1887" w:type="pct"/>
            <w:hideMark/>
          </w:tcPr>
          <w:p w:rsidR="00F42AF9" w:rsidRPr="00F42AF9" w:rsidP="00F42AF9" w14:paraId="52F5037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Paradies, Mark</w:t>
            </w:r>
          </w:p>
        </w:tc>
        <w:tc>
          <w:tcPr>
            <w:tcW w:w="1125" w:type="pct"/>
            <w:hideMark/>
          </w:tcPr>
          <w:p w:rsidR="00F42AF9" w:rsidRPr="00F42AF9" w:rsidP="00F42AF9" w14:paraId="1C93D07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Mark Paradies</w:t>
            </w:r>
          </w:p>
        </w:tc>
        <w:tc>
          <w:tcPr>
            <w:tcW w:w="1988" w:type="pct"/>
            <w:hideMark/>
          </w:tcPr>
          <w:p w:rsidR="00F42AF9" w:rsidRPr="00F42AF9" w:rsidP="00F42AF9" w14:paraId="6DB0467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EPA-HQ-OLEM-2022-0174-0108</w:t>
            </w:r>
          </w:p>
        </w:tc>
      </w:tr>
      <w:tr w14:paraId="279F24D7" w14:textId="77777777" w:rsidTr="00072FD7">
        <w:tblPrEx>
          <w:tblW w:w="5195" w:type="pct"/>
          <w:tblLayout w:type="fixed"/>
          <w:tblLook w:val="04A0"/>
        </w:tblPrEx>
        <w:trPr>
          <w:trHeight w:val="630"/>
        </w:trPr>
        <w:tc>
          <w:tcPr>
            <w:tcW w:w="1887" w:type="pct"/>
            <w:hideMark/>
          </w:tcPr>
          <w:p w:rsidR="00F42AF9" w:rsidRPr="00F42AF9" w:rsidP="00F42AF9" w14:paraId="755CEAC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Pollution Control Services (PCS), Harris County, Texas</w:t>
            </w:r>
          </w:p>
        </w:tc>
        <w:tc>
          <w:tcPr>
            <w:tcW w:w="1125" w:type="pct"/>
            <w:hideMark/>
          </w:tcPr>
          <w:p w:rsidR="00F42AF9" w:rsidRPr="00F42AF9" w:rsidP="00F42AF9" w14:paraId="08A8062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Dr. Latrice Babin</w:t>
            </w:r>
          </w:p>
        </w:tc>
        <w:tc>
          <w:tcPr>
            <w:tcW w:w="1988" w:type="pct"/>
            <w:hideMark/>
          </w:tcPr>
          <w:p w:rsidR="00F42AF9" w:rsidRPr="00F42AF9" w:rsidP="00F42AF9" w14:paraId="3101A83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EPA-HQ-OLEM-2022-0174-0198</w:t>
            </w:r>
          </w:p>
        </w:tc>
      </w:tr>
      <w:tr w14:paraId="4E6324DE" w14:textId="77777777" w:rsidTr="00072FD7">
        <w:tblPrEx>
          <w:tblW w:w="5195" w:type="pct"/>
          <w:tblLayout w:type="fixed"/>
          <w:tblLook w:val="04A0"/>
        </w:tblPrEx>
        <w:trPr>
          <w:trHeight w:val="320"/>
        </w:trPr>
        <w:tc>
          <w:tcPr>
            <w:tcW w:w="1887" w:type="pct"/>
            <w:hideMark/>
          </w:tcPr>
          <w:p w:rsidR="00F42AF9" w:rsidRPr="00F42AF9" w:rsidP="00F42AF9" w14:paraId="1F55244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Public Citizen 50</w:t>
            </w:r>
          </w:p>
        </w:tc>
        <w:tc>
          <w:tcPr>
            <w:tcW w:w="1125" w:type="pct"/>
            <w:hideMark/>
          </w:tcPr>
          <w:p w:rsidR="00F42AF9" w:rsidRPr="00F42AF9" w:rsidP="00F42AF9" w14:paraId="205E496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Adrian Shelley</w:t>
            </w:r>
          </w:p>
        </w:tc>
        <w:tc>
          <w:tcPr>
            <w:tcW w:w="1988" w:type="pct"/>
            <w:hideMark/>
          </w:tcPr>
          <w:p w:rsidR="00F42AF9" w:rsidRPr="00F42AF9" w:rsidP="00F42AF9" w14:paraId="5C33E84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EPA-HQ-OLEM-2022-0174-0254</w:t>
            </w:r>
          </w:p>
        </w:tc>
      </w:tr>
      <w:tr w14:paraId="7A491BF2" w14:textId="77777777" w:rsidTr="00072FD7">
        <w:tblPrEx>
          <w:tblW w:w="5195" w:type="pct"/>
          <w:tblLayout w:type="fixed"/>
          <w:tblLook w:val="04A0"/>
        </w:tblPrEx>
        <w:trPr>
          <w:trHeight w:val="310"/>
        </w:trPr>
        <w:tc>
          <w:tcPr>
            <w:tcW w:w="1887" w:type="pct"/>
            <w:hideMark/>
          </w:tcPr>
          <w:p w:rsidR="00F42AF9" w:rsidRPr="00F42AF9" w:rsidP="00F42AF9" w14:paraId="4C8A252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Sata Fire Marshall</w:t>
            </w:r>
          </w:p>
        </w:tc>
        <w:tc>
          <w:tcPr>
            <w:tcW w:w="1125" w:type="pct"/>
            <w:hideMark/>
          </w:tcPr>
          <w:p w:rsidR="00F42AF9" w:rsidRPr="00F42AF9" w:rsidP="00F42AF9" w14:paraId="6AC00E1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 </w:t>
            </w:r>
          </w:p>
        </w:tc>
        <w:tc>
          <w:tcPr>
            <w:tcW w:w="1988" w:type="pct"/>
            <w:hideMark/>
          </w:tcPr>
          <w:p w:rsidR="00F42AF9" w:rsidRPr="00F42AF9" w:rsidP="00F42AF9" w14:paraId="64E9D97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EPA-HQ-OLEM-2022-0174-0403</w:t>
            </w:r>
          </w:p>
        </w:tc>
      </w:tr>
      <w:tr w14:paraId="47BB123D" w14:textId="77777777" w:rsidTr="00072FD7">
        <w:tblPrEx>
          <w:tblW w:w="5195" w:type="pct"/>
          <w:tblLayout w:type="fixed"/>
          <w:tblLook w:val="04A0"/>
        </w:tblPrEx>
        <w:trPr>
          <w:trHeight w:val="310"/>
        </w:trPr>
        <w:tc>
          <w:tcPr>
            <w:tcW w:w="1887" w:type="pct"/>
            <w:hideMark/>
          </w:tcPr>
          <w:p w:rsidR="00F42AF9" w:rsidRPr="00F42AF9" w:rsidP="00F42AF9" w14:paraId="61C2121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Shaut, Sara</w:t>
            </w:r>
          </w:p>
        </w:tc>
        <w:tc>
          <w:tcPr>
            <w:tcW w:w="1125" w:type="pct"/>
            <w:hideMark/>
          </w:tcPr>
          <w:p w:rsidR="00F42AF9" w:rsidRPr="00F42AF9" w:rsidP="00F42AF9" w14:paraId="6D3BF97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Sara Shaut</w:t>
            </w:r>
          </w:p>
        </w:tc>
        <w:tc>
          <w:tcPr>
            <w:tcW w:w="1988" w:type="pct"/>
            <w:hideMark/>
          </w:tcPr>
          <w:p w:rsidR="00F42AF9" w:rsidRPr="00F42AF9" w:rsidP="00F42AF9" w14:paraId="30DDCAD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EPA-HQ-OLEM-2022-0174-0276</w:t>
            </w:r>
          </w:p>
        </w:tc>
      </w:tr>
      <w:tr w14:paraId="7FFE2BF7" w14:textId="77777777" w:rsidTr="00072FD7">
        <w:tblPrEx>
          <w:tblW w:w="5195" w:type="pct"/>
          <w:tblLayout w:type="fixed"/>
          <w:tblLook w:val="04A0"/>
        </w:tblPrEx>
        <w:trPr>
          <w:trHeight w:val="310"/>
        </w:trPr>
        <w:tc>
          <w:tcPr>
            <w:tcW w:w="1887" w:type="pct"/>
            <w:hideMark/>
          </w:tcPr>
          <w:p w:rsidR="00F42AF9" w:rsidRPr="00F42AF9" w:rsidP="00F42AF9" w14:paraId="6EB7853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Shudtz, Matthew</w:t>
            </w:r>
          </w:p>
        </w:tc>
        <w:tc>
          <w:tcPr>
            <w:tcW w:w="1125" w:type="pct"/>
            <w:hideMark/>
          </w:tcPr>
          <w:p w:rsidR="00F42AF9" w:rsidRPr="00F42AF9" w:rsidP="00F42AF9" w14:paraId="117EDE7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 </w:t>
            </w:r>
          </w:p>
        </w:tc>
        <w:tc>
          <w:tcPr>
            <w:tcW w:w="1988" w:type="pct"/>
            <w:hideMark/>
          </w:tcPr>
          <w:p w:rsidR="00F42AF9" w:rsidRPr="00F42AF9" w:rsidP="00F42AF9" w14:paraId="4B2906F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EPA-HQ-OLEM-2022-0174-0204</w:t>
            </w:r>
          </w:p>
        </w:tc>
      </w:tr>
      <w:tr w14:paraId="6F5F040C" w14:textId="77777777" w:rsidTr="00072FD7">
        <w:tblPrEx>
          <w:tblW w:w="5195" w:type="pct"/>
          <w:tblLayout w:type="fixed"/>
          <w:tblLook w:val="04A0"/>
        </w:tblPrEx>
        <w:trPr>
          <w:trHeight w:val="310"/>
        </w:trPr>
        <w:tc>
          <w:tcPr>
            <w:tcW w:w="1887" w:type="pct"/>
            <w:hideMark/>
          </w:tcPr>
          <w:p w:rsidR="00F42AF9" w:rsidRPr="00F42AF9" w:rsidP="00F42AF9" w14:paraId="54E99FE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Skapik, Julia</w:t>
            </w:r>
          </w:p>
        </w:tc>
        <w:tc>
          <w:tcPr>
            <w:tcW w:w="1125" w:type="pct"/>
            <w:hideMark/>
          </w:tcPr>
          <w:p w:rsidR="00F42AF9" w:rsidRPr="00F42AF9" w:rsidP="00F42AF9" w14:paraId="21A981B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Julia Skapik</w:t>
            </w:r>
          </w:p>
        </w:tc>
        <w:tc>
          <w:tcPr>
            <w:tcW w:w="1988" w:type="pct"/>
            <w:hideMark/>
          </w:tcPr>
          <w:p w:rsidR="00F42AF9" w:rsidRPr="00F42AF9" w:rsidP="00F42AF9" w14:paraId="7EE341C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EPA-HQ-OLEM-2022-0174-0392</w:t>
            </w:r>
          </w:p>
        </w:tc>
      </w:tr>
      <w:tr w14:paraId="5B16C155" w14:textId="77777777" w:rsidTr="00072FD7">
        <w:tblPrEx>
          <w:tblW w:w="5195" w:type="pct"/>
          <w:tblLayout w:type="fixed"/>
          <w:tblLook w:val="04A0"/>
        </w:tblPrEx>
        <w:trPr>
          <w:trHeight w:val="620"/>
        </w:trPr>
        <w:tc>
          <w:tcPr>
            <w:tcW w:w="1887" w:type="pct"/>
            <w:hideMark/>
          </w:tcPr>
          <w:p w:rsidR="00F42AF9" w:rsidRPr="00F42AF9" w:rsidP="00F42AF9" w14:paraId="2B2B265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Small Business Administration's Office of Advocacy (SBA)</w:t>
            </w:r>
          </w:p>
        </w:tc>
        <w:tc>
          <w:tcPr>
            <w:tcW w:w="1125" w:type="pct"/>
            <w:hideMark/>
          </w:tcPr>
          <w:p w:rsidR="00F42AF9" w:rsidRPr="00F42AF9" w:rsidP="00F42AF9" w14:paraId="316A935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Major L. Clark, III</w:t>
            </w:r>
          </w:p>
        </w:tc>
        <w:tc>
          <w:tcPr>
            <w:tcW w:w="1988" w:type="pct"/>
            <w:hideMark/>
          </w:tcPr>
          <w:p w:rsidR="00F42AF9" w:rsidRPr="00F42AF9" w:rsidP="00F42AF9" w14:paraId="60A2A81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EPA-HQ-OLEM-2022-0174-0188</w:t>
            </w:r>
          </w:p>
        </w:tc>
      </w:tr>
      <w:tr w14:paraId="710F3E49" w14:textId="77777777" w:rsidTr="00072FD7">
        <w:tblPrEx>
          <w:tblW w:w="5195" w:type="pct"/>
          <w:tblLayout w:type="fixed"/>
          <w:tblLook w:val="04A0"/>
        </w:tblPrEx>
        <w:trPr>
          <w:trHeight w:val="620"/>
        </w:trPr>
        <w:tc>
          <w:tcPr>
            <w:tcW w:w="1887" w:type="pct"/>
            <w:hideMark/>
          </w:tcPr>
          <w:p w:rsidR="00F42AF9" w:rsidRPr="00F42AF9" w:rsidP="00F42AF9" w14:paraId="1303D15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Society of Chemical Manufacturers &amp; Affiliates (SOCMA)</w:t>
            </w:r>
          </w:p>
        </w:tc>
        <w:tc>
          <w:tcPr>
            <w:tcW w:w="1125" w:type="pct"/>
            <w:hideMark/>
          </w:tcPr>
          <w:p w:rsidR="00F42AF9" w:rsidRPr="00F42AF9" w:rsidP="00F42AF9" w14:paraId="1481D86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Robert F. Helminiak</w:t>
            </w:r>
          </w:p>
        </w:tc>
        <w:tc>
          <w:tcPr>
            <w:tcW w:w="1988" w:type="pct"/>
            <w:hideMark/>
          </w:tcPr>
          <w:p w:rsidR="00F42AF9" w:rsidRPr="00F42AF9" w:rsidP="00F42AF9" w14:paraId="5458E32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EPA-HQ-OLEM-2022-0174-0275</w:t>
            </w:r>
          </w:p>
        </w:tc>
      </w:tr>
      <w:tr w14:paraId="0F7337C8" w14:textId="77777777" w:rsidTr="00072FD7">
        <w:tblPrEx>
          <w:tblW w:w="5195" w:type="pct"/>
          <w:tblLayout w:type="fixed"/>
          <w:tblLook w:val="04A0"/>
        </w:tblPrEx>
        <w:trPr>
          <w:trHeight w:val="620"/>
        </w:trPr>
        <w:tc>
          <w:tcPr>
            <w:tcW w:w="1887" w:type="pct"/>
            <w:hideMark/>
          </w:tcPr>
          <w:p w:rsidR="00F42AF9" w:rsidRPr="00F42AF9" w:rsidP="00F42AF9" w14:paraId="70D55EA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Steel Manufacturers Association (SMA), Specialty Steel Industry of North America (SSINA)</w:t>
            </w:r>
          </w:p>
        </w:tc>
        <w:tc>
          <w:tcPr>
            <w:tcW w:w="1125" w:type="pct"/>
            <w:hideMark/>
          </w:tcPr>
          <w:p w:rsidR="00F42AF9" w:rsidRPr="00F42AF9" w:rsidP="00F42AF9" w14:paraId="449DB28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Eric Stuart and Joseph J. Green</w:t>
            </w:r>
          </w:p>
        </w:tc>
        <w:tc>
          <w:tcPr>
            <w:tcW w:w="1988" w:type="pct"/>
            <w:hideMark/>
          </w:tcPr>
          <w:p w:rsidR="00F42AF9" w:rsidRPr="00F42AF9" w:rsidP="00F42AF9" w14:paraId="70D7520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EPA-HQ-OLEM-2022-0174-0212</w:t>
            </w:r>
          </w:p>
        </w:tc>
      </w:tr>
      <w:tr w14:paraId="1F1690E3" w14:textId="77777777" w:rsidTr="00072FD7">
        <w:tblPrEx>
          <w:tblW w:w="5195" w:type="pct"/>
          <w:tblLayout w:type="fixed"/>
          <w:tblLook w:val="04A0"/>
        </w:tblPrEx>
        <w:trPr>
          <w:trHeight w:val="310"/>
        </w:trPr>
        <w:tc>
          <w:tcPr>
            <w:tcW w:w="1887" w:type="pct"/>
            <w:hideMark/>
          </w:tcPr>
          <w:p w:rsidR="00F42AF9" w:rsidRPr="00F42AF9" w:rsidP="00F42AF9" w14:paraId="522FA7B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Super, Katy</w:t>
            </w:r>
          </w:p>
        </w:tc>
        <w:tc>
          <w:tcPr>
            <w:tcW w:w="1125" w:type="pct"/>
            <w:hideMark/>
          </w:tcPr>
          <w:p w:rsidR="00F42AF9" w:rsidRPr="00F42AF9" w:rsidP="00F42AF9" w14:paraId="094293F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Katy Super</w:t>
            </w:r>
          </w:p>
        </w:tc>
        <w:tc>
          <w:tcPr>
            <w:tcW w:w="1988" w:type="pct"/>
            <w:hideMark/>
          </w:tcPr>
          <w:p w:rsidR="00F42AF9" w:rsidRPr="00F42AF9" w:rsidP="00F42AF9" w14:paraId="5A342FB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EPA-HQ-OLEM-2022-0174-0366</w:t>
            </w:r>
          </w:p>
        </w:tc>
      </w:tr>
      <w:tr w14:paraId="27E9C8A8" w14:textId="77777777" w:rsidTr="00072FD7">
        <w:tblPrEx>
          <w:tblW w:w="5195" w:type="pct"/>
          <w:tblLayout w:type="fixed"/>
          <w:tblLook w:val="04A0"/>
        </w:tblPrEx>
        <w:trPr>
          <w:trHeight w:val="310"/>
        </w:trPr>
        <w:tc>
          <w:tcPr>
            <w:tcW w:w="1887" w:type="pct"/>
            <w:hideMark/>
          </w:tcPr>
          <w:p w:rsidR="00F42AF9" w:rsidRPr="00F42AF9" w:rsidP="00F42AF9" w14:paraId="3FC12A6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Texas Pipeline Association (TPA)</w:t>
            </w:r>
          </w:p>
        </w:tc>
        <w:tc>
          <w:tcPr>
            <w:tcW w:w="1125" w:type="pct"/>
            <w:hideMark/>
          </w:tcPr>
          <w:p w:rsidR="00F42AF9" w:rsidRPr="00F42AF9" w:rsidP="00F42AF9" w14:paraId="7084BEB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Thure Canon</w:t>
            </w:r>
          </w:p>
        </w:tc>
        <w:tc>
          <w:tcPr>
            <w:tcW w:w="1988" w:type="pct"/>
            <w:hideMark/>
          </w:tcPr>
          <w:p w:rsidR="00F42AF9" w:rsidRPr="00F42AF9" w:rsidP="00F42AF9" w14:paraId="2F95FBC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EPA-HQ-OLEM-2022-0174-0256</w:t>
            </w:r>
          </w:p>
        </w:tc>
      </w:tr>
      <w:tr w14:paraId="1E84C32D" w14:textId="77777777" w:rsidTr="00072FD7">
        <w:tblPrEx>
          <w:tblW w:w="5195" w:type="pct"/>
          <w:tblLayout w:type="fixed"/>
          <w:tblLook w:val="04A0"/>
        </w:tblPrEx>
        <w:trPr>
          <w:trHeight w:val="310"/>
        </w:trPr>
        <w:tc>
          <w:tcPr>
            <w:tcW w:w="1887" w:type="pct"/>
            <w:hideMark/>
          </w:tcPr>
          <w:p w:rsidR="00F42AF9" w:rsidRPr="00F42AF9" w:rsidP="00F42AF9" w14:paraId="4EC39F0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The Chlorine Institute</w:t>
            </w:r>
          </w:p>
        </w:tc>
        <w:tc>
          <w:tcPr>
            <w:tcW w:w="1125" w:type="pct"/>
            <w:hideMark/>
          </w:tcPr>
          <w:p w:rsidR="00F42AF9" w:rsidRPr="00F42AF9" w:rsidP="00F42AF9" w14:paraId="41B9EDF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Robyn Brooks</w:t>
            </w:r>
          </w:p>
        </w:tc>
        <w:tc>
          <w:tcPr>
            <w:tcW w:w="1988" w:type="pct"/>
            <w:hideMark/>
          </w:tcPr>
          <w:p w:rsidR="00F42AF9" w:rsidRPr="00F42AF9" w:rsidP="00F42AF9" w14:paraId="14EB360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EPA-HQ-OLEM-2022-0174-0201</w:t>
            </w:r>
          </w:p>
        </w:tc>
      </w:tr>
      <w:tr w14:paraId="7B88CFEC" w14:textId="77777777" w:rsidTr="00072FD7">
        <w:tblPrEx>
          <w:tblW w:w="5195" w:type="pct"/>
          <w:tblLayout w:type="fixed"/>
          <w:tblLook w:val="04A0"/>
        </w:tblPrEx>
        <w:trPr>
          <w:trHeight w:val="310"/>
        </w:trPr>
        <w:tc>
          <w:tcPr>
            <w:tcW w:w="1887" w:type="pct"/>
            <w:vMerge w:val="restart"/>
            <w:hideMark/>
          </w:tcPr>
          <w:p w:rsidR="00F42AF9" w:rsidRPr="00F42AF9" w:rsidP="00F42AF9" w14:paraId="664048E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The Fertilizer Institute (TFI)</w:t>
            </w:r>
          </w:p>
        </w:tc>
        <w:tc>
          <w:tcPr>
            <w:tcW w:w="1125" w:type="pct"/>
            <w:vMerge w:val="restart"/>
            <w:hideMark/>
          </w:tcPr>
          <w:p w:rsidR="00F42AF9" w:rsidRPr="00F42AF9" w:rsidP="00F42AF9" w14:paraId="4B39783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Reagan Giesenschlag</w:t>
            </w:r>
          </w:p>
        </w:tc>
        <w:tc>
          <w:tcPr>
            <w:tcW w:w="1988" w:type="pct"/>
            <w:hideMark/>
          </w:tcPr>
          <w:p w:rsidR="00F42AF9" w:rsidRPr="00F42AF9" w:rsidP="00F42AF9" w14:paraId="76C4EB6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EPA-HQ-OLEM-2022-0174-0099</w:t>
            </w:r>
          </w:p>
        </w:tc>
      </w:tr>
      <w:tr w14:paraId="04D1AABC" w14:textId="77777777" w:rsidTr="00072FD7">
        <w:tblPrEx>
          <w:tblW w:w="5195" w:type="pct"/>
          <w:tblLayout w:type="fixed"/>
          <w:tblLook w:val="04A0"/>
        </w:tblPrEx>
        <w:trPr>
          <w:trHeight w:val="310"/>
        </w:trPr>
        <w:tc>
          <w:tcPr>
            <w:tcW w:w="1887" w:type="pct"/>
            <w:vMerge/>
            <w:hideMark/>
          </w:tcPr>
          <w:p w:rsidR="00F42AF9" w:rsidRPr="00F42AF9" w:rsidP="00F42AF9" w14:paraId="4A9D7F67"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72D7733"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46429EC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EPA-HQ-OLEM-2022-0174-0229</w:t>
            </w:r>
          </w:p>
        </w:tc>
      </w:tr>
      <w:tr w14:paraId="5F5AB130" w14:textId="77777777" w:rsidTr="00072FD7">
        <w:tblPrEx>
          <w:tblW w:w="5195" w:type="pct"/>
          <w:tblLayout w:type="fixed"/>
          <w:tblLook w:val="04A0"/>
        </w:tblPrEx>
        <w:trPr>
          <w:trHeight w:val="310"/>
        </w:trPr>
        <w:tc>
          <w:tcPr>
            <w:tcW w:w="1887" w:type="pct"/>
            <w:hideMark/>
          </w:tcPr>
          <w:p w:rsidR="00F42AF9" w:rsidRPr="00F42AF9" w:rsidP="00F42AF9" w14:paraId="7A8FA67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Torian, Jason</w:t>
            </w:r>
          </w:p>
        </w:tc>
        <w:tc>
          <w:tcPr>
            <w:tcW w:w="1125" w:type="pct"/>
            <w:hideMark/>
          </w:tcPr>
          <w:p w:rsidR="00F42AF9" w:rsidRPr="00F42AF9" w:rsidP="00F42AF9" w14:paraId="73F3127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Jason Torian</w:t>
            </w:r>
          </w:p>
        </w:tc>
        <w:tc>
          <w:tcPr>
            <w:tcW w:w="1988" w:type="pct"/>
            <w:hideMark/>
          </w:tcPr>
          <w:p w:rsidR="00F42AF9" w:rsidRPr="00F42AF9" w:rsidP="00F42AF9" w14:paraId="4F17CE8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EPA-HQ-OLEM-2022-0174-0297</w:t>
            </w:r>
          </w:p>
        </w:tc>
      </w:tr>
      <w:tr w14:paraId="1B873515" w14:textId="77777777" w:rsidTr="00072FD7">
        <w:tblPrEx>
          <w:tblW w:w="5195" w:type="pct"/>
          <w:tblLayout w:type="fixed"/>
          <w:tblLook w:val="04A0"/>
        </w:tblPrEx>
        <w:trPr>
          <w:trHeight w:val="310"/>
        </w:trPr>
        <w:tc>
          <w:tcPr>
            <w:tcW w:w="1887" w:type="pct"/>
            <w:vMerge w:val="restart"/>
            <w:hideMark/>
          </w:tcPr>
          <w:p w:rsidR="00F42AF9" w:rsidRPr="00F42AF9" w:rsidP="00F42AF9" w14:paraId="354C555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Torrance Refinery Action Alliance</w:t>
            </w:r>
          </w:p>
        </w:tc>
        <w:tc>
          <w:tcPr>
            <w:tcW w:w="1125" w:type="pct"/>
            <w:vMerge w:val="restart"/>
            <w:hideMark/>
          </w:tcPr>
          <w:p w:rsidR="00F42AF9" w:rsidRPr="00F42AF9" w:rsidP="00F42AF9" w14:paraId="4C73528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7F3125E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EPA-HQ-OLEM-2022-0174-0176</w:t>
            </w:r>
          </w:p>
        </w:tc>
      </w:tr>
      <w:tr w14:paraId="5EDA4C6E" w14:textId="77777777" w:rsidTr="00072FD7">
        <w:tblPrEx>
          <w:tblW w:w="5195" w:type="pct"/>
          <w:tblLayout w:type="fixed"/>
          <w:tblLook w:val="04A0"/>
        </w:tblPrEx>
        <w:trPr>
          <w:trHeight w:val="310"/>
        </w:trPr>
        <w:tc>
          <w:tcPr>
            <w:tcW w:w="1887" w:type="pct"/>
            <w:vMerge/>
            <w:hideMark/>
          </w:tcPr>
          <w:p w:rsidR="00F42AF9" w:rsidRPr="00F42AF9" w:rsidP="00F42AF9" w14:paraId="2D0C2259"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458E8141"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07017B0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EPA-HQ-OLEM-2022-0174-0175</w:t>
            </w:r>
          </w:p>
        </w:tc>
      </w:tr>
      <w:tr w14:paraId="6938F429" w14:textId="77777777" w:rsidTr="00072FD7">
        <w:tblPrEx>
          <w:tblW w:w="5195" w:type="pct"/>
          <w:tblLayout w:type="fixed"/>
          <w:tblLook w:val="04A0"/>
        </w:tblPrEx>
        <w:trPr>
          <w:trHeight w:val="310"/>
        </w:trPr>
        <w:tc>
          <w:tcPr>
            <w:tcW w:w="1887" w:type="pct"/>
            <w:vMerge/>
            <w:hideMark/>
          </w:tcPr>
          <w:p w:rsidR="00F42AF9" w:rsidRPr="00F42AF9" w:rsidP="00F42AF9" w14:paraId="77B30654"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2A06B3B6"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5E2915D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EPA-HQ-OLEM-2022-0174-0153</w:t>
            </w:r>
          </w:p>
        </w:tc>
      </w:tr>
      <w:tr w14:paraId="76835B39" w14:textId="77777777" w:rsidTr="00072FD7">
        <w:tblPrEx>
          <w:tblW w:w="5195" w:type="pct"/>
          <w:tblLayout w:type="fixed"/>
          <w:tblLook w:val="04A0"/>
        </w:tblPrEx>
        <w:trPr>
          <w:trHeight w:val="310"/>
        </w:trPr>
        <w:tc>
          <w:tcPr>
            <w:tcW w:w="1887" w:type="pct"/>
            <w:vMerge/>
            <w:hideMark/>
          </w:tcPr>
          <w:p w:rsidR="00F42AF9" w:rsidRPr="00F42AF9" w:rsidP="00F42AF9" w14:paraId="48FBB52A"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7B61F827"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7879DF9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EPA-HQ-OLEM-2022-0174-0152</w:t>
            </w:r>
          </w:p>
        </w:tc>
      </w:tr>
      <w:tr w14:paraId="11104760" w14:textId="77777777" w:rsidTr="00072FD7">
        <w:tblPrEx>
          <w:tblW w:w="5195" w:type="pct"/>
          <w:tblLayout w:type="fixed"/>
          <w:tblLook w:val="04A0"/>
        </w:tblPrEx>
        <w:trPr>
          <w:trHeight w:val="310"/>
        </w:trPr>
        <w:tc>
          <w:tcPr>
            <w:tcW w:w="1887" w:type="pct"/>
            <w:vMerge/>
            <w:hideMark/>
          </w:tcPr>
          <w:p w:rsidR="00F42AF9" w:rsidRPr="00F42AF9" w:rsidP="00F42AF9" w14:paraId="284FA2E7"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122941E0"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53D0EC9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EPA-HQ-OLEM-2022-0174-0163</w:t>
            </w:r>
          </w:p>
        </w:tc>
      </w:tr>
      <w:tr w14:paraId="28E48373" w14:textId="77777777" w:rsidTr="00072FD7">
        <w:tblPrEx>
          <w:tblW w:w="5195" w:type="pct"/>
          <w:tblLayout w:type="fixed"/>
          <w:tblLook w:val="04A0"/>
        </w:tblPrEx>
        <w:trPr>
          <w:trHeight w:val="310"/>
        </w:trPr>
        <w:tc>
          <w:tcPr>
            <w:tcW w:w="1887" w:type="pct"/>
            <w:vMerge/>
            <w:hideMark/>
          </w:tcPr>
          <w:p w:rsidR="00F42AF9" w:rsidRPr="00F42AF9" w:rsidP="00F42AF9" w14:paraId="388EF967"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6002C1DA"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64D3B57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EPA-HQ-OLEM-2022-0174-0134</w:t>
            </w:r>
          </w:p>
        </w:tc>
      </w:tr>
      <w:tr w14:paraId="4ADB4441" w14:textId="77777777" w:rsidTr="00072FD7">
        <w:tblPrEx>
          <w:tblW w:w="5195" w:type="pct"/>
          <w:tblLayout w:type="fixed"/>
          <w:tblLook w:val="04A0"/>
        </w:tblPrEx>
        <w:trPr>
          <w:trHeight w:val="310"/>
        </w:trPr>
        <w:tc>
          <w:tcPr>
            <w:tcW w:w="1887" w:type="pct"/>
            <w:vMerge w:val="restart"/>
            <w:hideMark/>
          </w:tcPr>
          <w:p w:rsidR="00F42AF9" w:rsidRPr="00F42AF9" w:rsidP="00F42AF9" w14:paraId="61938C9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 S. Chamber of Commerce et al.</w:t>
            </w:r>
          </w:p>
        </w:tc>
        <w:tc>
          <w:tcPr>
            <w:tcW w:w="1125" w:type="pct"/>
            <w:vMerge w:val="restart"/>
            <w:hideMark/>
          </w:tcPr>
          <w:p w:rsidR="00F42AF9" w:rsidRPr="00F42AF9" w:rsidP="00F42AF9" w14:paraId="7486924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Chad Whiteman</w:t>
            </w:r>
          </w:p>
        </w:tc>
        <w:tc>
          <w:tcPr>
            <w:tcW w:w="1988" w:type="pct"/>
            <w:hideMark/>
          </w:tcPr>
          <w:p w:rsidR="00F42AF9" w:rsidRPr="00F42AF9" w:rsidP="00F42AF9" w14:paraId="69A71B9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EPA-HQ-OLEM-2022-0174-0172</w:t>
            </w:r>
          </w:p>
        </w:tc>
      </w:tr>
      <w:tr w14:paraId="646E58F0" w14:textId="77777777" w:rsidTr="00072FD7">
        <w:tblPrEx>
          <w:tblW w:w="5195" w:type="pct"/>
          <w:tblLayout w:type="fixed"/>
          <w:tblLook w:val="04A0"/>
        </w:tblPrEx>
        <w:trPr>
          <w:trHeight w:val="310"/>
        </w:trPr>
        <w:tc>
          <w:tcPr>
            <w:tcW w:w="1887" w:type="pct"/>
            <w:vMerge/>
            <w:hideMark/>
          </w:tcPr>
          <w:p w:rsidR="00F42AF9" w:rsidRPr="00F42AF9" w:rsidP="00F42AF9" w14:paraId="58D652D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1360603"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0091622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EPA-HQ-OLEM-2022-0174-0146</w:t>
            </w:r>
          </w:p>
        </w:tc>
      </w:tr>
      <w:tr w14:paraId="01F81253" w14:textId="77777777" w:rsidTr="00072FD7">
        <w:tblPrEx>
          <w:tblW w:w="5195" w:type="pct"/>
          <w:tblLayout w:type="fixed"/>
          <w:tblLook w:val="04A0"/>
        </w:tblPrEx>
        <w:trPr>
          <w:trHeight w:val="310"/>
        </w:trPr>
        <w:tc>
          <w:tcPr>
            <w:tcW w:w="1887" w:type="pct"/>
            <w:vMerge/>
            <w:hideMark/>
          </w:tcPr>
          <w:p w:rsidR="00F42AF9" w:rsidRPr="00F42AF9" w:rsidP="00F42AF9" w14:paraId="7856DDEE"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378CEA99"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3410C23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EPA-HQ-OLEM-2022-0174-0272</w:t>
            </w:r>
          </w:p>
        </w:tc>
      </w:tr>
      <w:tr w14:paraId="15531F45" w14:textId="77777777" w:rsidTr="00072FD7">
        <w:tblPrEx>
          <w:tblW w:w="5195" w:type="pct"/>
          <w:tblLayout w:type="fixed"/>
          <w:tblLook w:val="04A0"/>
        </w:tblPrEx>
        <w:trPr>
          <w:trHeight w:val="620"/>
        </w:trPr>
        <w:tc>
          <w:tcPr>
            <w:tcW w:w="1887" w:type="pct"/>
            <w:hideMark/>
          </w:tcPr>
          <w:p w:rsidR="00F42AF9" w:rsidRPr="00F42AF9" w:rsidP="00F42AF9" w14:paraId="24E3B92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U.S. Conference of Mayors, National League of Cities, and National Association of Counties</w:t>
            </w:r>
          </w:p>
        </w:tc>
        <w:tc>
          <w:tcPr>
            <w:tcW w:w="1125" w:type="pct"/>
            <w:hideMark/>
          </w:tcPr>
          <w:p w:rsidR="00F42AF9" w:rsidRPr="00F42AF9" w:rsidP="00F42AF9" w14:paraId="4F43773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6A428772"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EPA-HQ-OLEM-2022-0174-0243</w:t>
            </w:r>
          </w:p>
        </w:tc>
      </w:tr>
      <w:tr w14:paraId="36C25D0D" w14:textId="77777777" w:rsidTr="00072FD7">
        <w:tblPrEx>
          <w:tblW w:w="5195" w:type="pct"/>
          <w:tblLayout w:type="fixed"/>
          <w:tblLook w:val="04A0"/>
        </w:tblPrEx>
        <w:trPr>
          <w:trHeight w:val="310"/>
        </w:trPr>
        <w:tc>
          <w:tcPr>
            <w:tcW w:w="1887" w:type="pct"/>
            <w:vMerge w:val="restart"/>
            <w:hideMark/>
          </w:tcPr>
          <w:p w:rsidR="00F42AF9" w:rsidRPr="00F42AF9" w:rsidP="00F42AF9" w14:paraId="30E3616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U.S. PIRG Education Fund</w:t>
            </w:r>
          </w:p>
        </w:tc>
        <w:tc>
          <w:tcPr>
            <w:tcW w:w="1125" w:type="pct"/>
            <w:vMerge w:val="restart"/>
            <w:hideMark/>
          </w:tcPr>
          <w:p w:rsidR="00F42AF9" w:rsidRPr="00F42AF9" w:rsidP="00F42AF9" w14:paraId="1E1C5CE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Emily Rogers</w:t>
            </w:r>
          </w:p>
        </w:tc>
        <w:tc>
          <w:tcPr>
            <w:tcW w:w="1988" w:type="pct"/>
            <w:hideMark/>
          </w:tcPr>
          <w:p w:rsidR="00F42AF9" w:rsidRPr="00F42AF9" w:rsidP="00F42AF9" w14:paraId="4124AB0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EPA-HQ-OLEM-2022-0174-0264</w:t>
            </w:r>
          </w:p>
        </w:tc>
      </w:tr>
      <w:tr w14:paraId="3D3D6F95" w14:textId="77777777" w:rsidTr="00072FD7">
        <w:tblPrEx>
          <w:tblW w:w="5195" w:type="pct"/>
          <w:tblLayout w:type="fixed"/>
          <w:tblLook w:val="04A0"/>
        </w:tblPrEx>
        <w:trPr>
          <w:trHeight w:val="310"/>
        </w:trPr>
        <w:tc>
          <w:tcPr>
            <w:tcW w:w="1887" w:type="pct"/>
            <w:vMerge/>
            <w:hideMark/>
          </w:tcPr>
          <w:p w:rsidR="00F42AF9" w:rsidRPr="00F42AF9" w:rsidP="00F42AF9" w14:paraId="59787AF6" w14:textId="77777777">
            <w:pPr>
              <w:spacing w:before="0" w:after="0"/>
              <w:rPr>
                <w:rFonts w:ascii="Times New Roman" w:eastAsia="Times New Roman" w:hAnsi="Times New Roman"/>
                <w:color w:val="000000"/>
                <w:sz w:val="24"/>
              </w:rPr>
            </w:pPr>
          </w:p>
        </w:tc>
        <w:tc>
          <w:tcPr>
            <w:tcW w:w="1125" w:type="pct"/>
            <w:vMerge/>
            <w:hideMark/>
          </w:tcPr>
          <w:p w:rsidR="00F42AF9" w:rsidRPr="00F42AF9" w:rsidP="00F42AF9" w14:paraId="7E1214E4" w14:textId="77777777">
            <w:pPr>
              <w:spacing w:before="0" w:after="0"/>
              <w:rPr>
                <w:rFonts w:ascii="Times New Roman" w:eastAsia="Times New Roman" w:hAnsi="Times New Roman"/>
                <w:color w:val="000000"/>
                <w:sz w:val="24"/>
              </w:rPr>
            </w:pPr>
          </w:p>
        </w:tc>
        <w:tc>
          <w:tcPr>
            <w:tcW w:w="1988" w:type="pct"/>
            <w:hideMark/>
          </w:tcPr>
          <w:p w:rsidR="00F42AF9" w:rsidRPr="00F42AF9" w:rsidP="00F42AF9" w14:paraId="16B873C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EPA-HQ-OLEM-2022-0174-0265</w:t>
            </w:r>
          </w:p>
        </w:tc>
      </w:tr>
      <w:tr w14:paraId="3583A534" w14:textId="77777777" w:rsidTr="00072FD7">
        <w:tblPrEx>
          <w:tblW w:w="5195" w:type="pct"/>
          <w:tblLayout w:type="fixed"/>
          <w:tblLook w:val="04A0"/>
        </w:tblPrEx>
        <w:trPr>
          <w:trHeight w:val="620"/>
        </w:trPr>
        <w:tc>
          <w:tcPr>
            <w:tcW w:w="1887" w:type="pct"/>
            <w:hideMark/>
          </w:tcPr>
          <w:p w:rsidR="00F42AF9" w:rsidRPr="00F42AF9" w:rsidP="00F42AF9" w14:paraId="78EE7101"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Union of Concerned Scientists</w:t>
            </w:r>
          </w:p>
        </w:tc>
        <w:tc>
          <w:tcPr>
            <w:tcW w:w="1125" w:type="pct"/>
            <w:hideMark/>
          </w:tcPr>
          <w:p w:rsidR="00F42AF9" w:rsidRPr="00F42AF9" w:rsidP="00F42AF9" w14:paraId="6E72374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Darya Minovi, Andres Bachelet, Jessica Thomas</w:t>
            </w:r>
          </w:p>
        </w:tc>
        <w:tc>
          <w:tcPr>
            <w:tcW w:w="1988" w:type="pct"/>
            <w:hideMark/>
          </w:tcPr>
          <w:p w:rsidR="00F42AF9" w:rsidRPr="00F42AF9" w:rsidP="00F42AF9" w14:paraId="2EC0CCF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EPA-HQ-OLEM-2022-0174-0240</w:t>
            </w:r>
          </w:p>
        </w:tc>
      </w:tr>
      <w:tr w14:paraId="6E498367" w14:textId="77777777" w:rsidTr="00072FD7">
        <w:tblPrEx>
          <w:tblW w:w="5195" w:type="pct"/>
          <w:tblLayout w:type="fixed"/>
          <w:tblLook w:val="04A0"/>
        </w:tblPrEx>
        <w:trPr>
          <w:trHeight w:val="2170"/>
        </w:trPr>
        <w:tc>
          <w:tcPr>
            <w:tcW w:w="1887" w:type="pct"/>
            <w:hideMark/>
          </w:tcPr>
          <w:p w:rsidR="00F42AF9" w:rsidRPr="00F42AF9" w:rsidP="00F42AF9" w14:paraId="1665795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Union of Concerned Scientists, BlueGreen Alliance, California Communities Against Toxics, Clean Air Council, Coming Clean, Lone Star Chapter of Sierra Club, New Jersey Work Environment Council, Texas Environmental Justice Advocacy Services, Utah Physicians for a Healthy Environment</w:t>
            </w:r>
          </w:p>
        </w:tc>
        <w:tc>
          <w:tcPr>
            <w:tcW w:w="1125" w:type="pct"/>
            <w:hideMark/>
          </w:tcPr>
          <w:p w:rsidR="00F42AF9" w:rsidRPr="00F42AF9" w:rsidP="00F42AF9" w14:paraId="4DEC899F"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Genna Reed</w:t>
            </w:r>
          </w:p>
        </w:tc>
        <w:tc>
          <w:tcPr>
            <w:tcW w:w="1988" w:type="pct"/>
            <w:hideMark/>
          </w:tcPr>
          <w:p w:rsidR="00F42AF9" w:rsidRPr="00F42AF9" w:rsidP="00F42AF9" w14:paraId="0668672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EPA-HQ-OLEM-2022-0174-0123</w:t>
            </w:r>
          </w:p>
        </w:tc>
      </w:tr>
      <w:tr w14:paraId="39C528E4" w14:textId="77777777" w:rsidTr="00072FD7">
        <w:tblPrEx>
          <w:tblW w:w="5195" w:type="pct"/>
          <w:tblLayout w:type="fixed"/>
          <w:tblLook w:val="04A0"/>
        </w:tblPrEx>
        <w:trPr>
          <w:trHeight w:val="620"/>
        </w:trPr>
        <w:tc>
          <w:tcPr>
            <w:tcW w:w="1887" w:type="pct"/>
            <w:hideMark/>
          </w:tcPr>
          <w:p w:rsidR="00F42AF9" w:rsidRPr="00F42AF9" w:rsidP="00F42AF9" w14:paraId="1542F08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United Association of Union Plumbers and Pipefitters, AFL-CIO</w:t>
            </w:r>
          </w:p>
        </w:tc>
        <w:tc>
          <w:tcPr>
            <w:tcW w:w="1125" w:type="pct"/>
            <w:hideMark/>
          </w:tcPr>
          <w:p w:rsidR="00F42AF9" w:rsidRPr="00F42AF9" w:rsidP="00F42AF9" w14:paraId="4411D99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Gerard M. Waites &amp; Kevin Dill</w:t>
            </w:r>
          </w:p>
        </w:tc>
        <w:tc>
          <w:tcPr>
            <w:tcW w:w="1988" w:type="pct"/>
            <w:hideMark/>
          </w:tcPr>
          <w:p w:rsidR="00F42AF9" w:rsidRPr="00F42AF9" w:rsidP="00F42AF9" w14:paraId="7BD51CF7"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EPA-HQ-OLEM-2022-0174-0235</w:t>
            </w:r>
          </w:p>
        </w:tc>
      </w:tr>
      <w:tr w14:paraId="1236D557" w14:textId="77777777" w:rsidTr="00072FD7">
        <w:tblPrEx>
          <w:tblW w:w="5195" w:type="pct"/>
          <w:tblLayout w:type="fixed"/>
          <w:tblLook w:val="04A0"/>
        </w:tblPrEx>
        <w:trPr>
          <w:trHeight w:val="310"/>
        </w:trPr>
        <w:tc>
          <w:tcPr>
            <w:tcW w:w="1887" w:type="pct"/>
            <w:hideMark/>
          </w:tcPr>
          <w:p w:rsidR="00F42AF9" w:rsidRPr="00F42AF9" w:rsidP="003261A3" w14:paraId="5BBE81B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United States Steel Corporation (U. S. Steel)</w:t>
            </w:r>
          </w:p>
        </w:tc>
        <w:tc>
          <w:tcPr>
            <w:tcW w:w="1125" w:type="pct"/>
            <w:hideMark/>
          </w:tcPr>
          <w:p w:rsidR="00F42AF9" w:rsidRPr="00F42AF9" w:rsidP="003261A3" w14:paraId="3683A0A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Chris Hardin</w:t>
            </w:r>
          </w:p>
        </w:tc>
        <w:tc>
          <w:tcPr>
            <w:tcW w:w="1988" w:type="pct"/>
            <w:hideMark/>
          </w:tcPr>
          <w:p w:rsidR="00F42AF9" w:rsidRPr="00F42AF9" w:rsidP="00F42AF9" w14:paraId="72B7DA1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EPA-HQ-OLEM-2022-0174-0253</w:t>
            </w:r>
          </w:p>
        </w:tc>
      </w:tr>
      <w:tr w14:paraId="1E227E25" w14:textId="77777777" w:rsidTr="00072FD7">
        <w:tblPrEx>
          <w:tblW w:w="5195" w:type="pct"/>
          <w:tblLayout w:type="fixed"/>
          <w:tblLook w:val="04A0"/>
        </w:tblPrEx>
        <w:trPr>
          <w:trHeight w:val="310"/>
        </w:trPr>
        <w:tc>
          <w:tcPr>
            <w:tcW w:w="1887" w:type="pct"/>
            <w:hideMark/>
          </w:tcPr>
          <w:p w:rsidR="00F42AF9" w:rsidRPr="00F42AF9" w:rsidP="003261A3" w14:paraId="5CA31F94"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United Steelworkers (USW)</w:t>
            </w:r>
          </w:p>
        </w:tc>
        <w:tc>
          <w:tcPr>
            <w:tcW w:w="1125" w:type="pct"/>
            <w:hideMark/>
          </w:tcPr>
          <w:p w:rsidR="00F42AF9" w:rsidRPr="00F42AF9" w:rsidP="003261A3" w14:paraId="78FF5AB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Anna Fendley</w:t>
            </w:r>
          </w:p>
        </w:tc>
        <w:tc>
          <w:tcPr>
            <w:tcW w:w="1988" w:type="pct"/>
            <w:hideMark/>
          </w:tcPr>
          <w:p w:rsidR="00F42AF9" w:rsidRPr="00F42AF9" w:rsidP="00F42AF9" w14:paraId="7747F22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EPA-HQ-OLEM-2022-0174-0216</w:t>
            </w:r>
          </w:p>
        </w:tc>
      </w:tr>
      <w:tr w14:paraId="1840CA2A" w14:textId="77777777" w:rsidTr="00072FD7">
        <w:tblPrEx>
          <w:tblW w:w="5195" w:type="pct"/>
          <w:tblLayout w:type="fixed"/>
          <w:tblLook w:val="04A0"/>
        </w:tblPrEx>
        <w:trPr>
          <w:trHeight w:val="310"/>
        </w:trPr>
        <w:tc>
          <w:tcPr>
            <w:tcW w:w="1887" w:type="pct"/>
            <w:hideMark/>
          </w:tcPr>
          <w:p w:rsidR="00F42AF9" w:rsidRPr="00F42AF9" w:rsidP="003261A3" w14:paraId="2C4E042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University of California Irvine</w:t>
            </w:r>
          </w:p>
        </w:tc>
        <w:tc>
          <w:tcPr>
            <w:tcW w:w="1125" w:type="pct"/>
            <w:hideMark/>
          </w:tcPr>
          <w:p w:rsidR="00F42AF9" w:rsidRPr="00F42AF9" w:rsidP="003261A3" w14:paraId="4802BE5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2C4CC57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EPA-HQ-OLEM-2022-0174-0174</w:t>
            </w:r>
          </w:p>
        </w:tc>
      </w:tr>
      <w:tr w14:paraId="39BE5874" w14:textId="77777777" w:rsidTr="00072FD7">
        <w:tblPrEx>
          <w:tblW w:w="5195" w:type="pct"/>
          <w:tblLayout w:type="fixed"/>
          <w:tblLook w:val="04A0"/>
        </w:tblPrEx>
        <w:trPr>
          <w:trHeight w:val="310"/>
        </w:trPr>
        <w:tc>
          <w:tcPr>
            <w:tcW w:w="1887" w:type="pct"/>
            <w:hideMark/>
          </w:tcPr>
          <w:p w:rsidR="00D6476F" w:rsidRPr="00C37674" w:rsidP="003261A3" w14:paraId="2E25F7A9" w14:textId="5C32C05C">
            <w:pPr>
              <w:rPr>
                <w:rFonts w:ascii="Times New Roman" w:eastAsia="Times New Roman" w:hAnsi="Times New Roman"/>
                <w:color w:val="000000"/>
                <w:sz w:val="24"/>
              </w:rPr>
            </w:pPr>
            <w:r w:rsidRPr="00C37674">
              <w:rPr>
                <w:rFonts w:ascii="Times New Roman" w:eastAsia="Times New Roman" w:hAnsi="Times New Roman"/>
                <w:color w:val="000000"/>
                <w:sz w:val="24"/>
              </w:rPr>
              <w:t>University of Wisconsin-Madison</w:t>
            </w:r>
          </w:p>
          <w:p w:rsidR="00F42AF9" w:rsidRPr="00F42AF9" w:rsidP="003261A3" w14:paraId="089875DE" w14:textId="019AD834">
            <w:pPr>
              <w:spacing w:before="0" w:after="0"/>
              <w:rPr>
                <w:rFonts w:ascii="Times New Roman" w:eastAsia="Times New Roman" w:hAnsi="Times New Roman"/>
                <w:color w:val="000000"/>
                <w:sz w:val="24"/>
              </w:rPr>
            </w:pPr>
          </w:p>
        </w:tc>
        <w:tc>
          <w:tcPr>
            <w:tcW w:w="1125" w:type="pct"/>
            <w:hideMark/>
          </w:tcPr>
          <w:p w:rsidR="003261A3" w:rsidRPr="00C37674" w:rsidP="003261A3" w14:paraId="50383003" w14:textId="5068B69F">
            <w:pPr>
              <w:rPr>
                <w:rFonts w:ascii="Times New Roman" w:eastAsia="Times New Roman" w:hAnsi="Times New Roman"/>
                <w:color w:val="000000"/>
                <w:sz w:val="24"/>
              </w:rPr>
            </w:pPr>
            <w:r w:rsidRPr="00C37674">
              <w:rPr>
                <w:rFonts w:ascii="Times New Roman" w:eastAsia="Times New Roman" w:hAnsi="Times New Roman"/>
                <w:color w:val="000000"/>
                <w:sz w:val="24"/>
              </w:rPr>
              <w:t>Douglas Reindl</w:t>
            </w:r>
          </w:p>
          <w:p w:rsidR="00F42AF9" w:rsidRPr="00F42AF9" w:rsidP="003261A3" w14:paraId="5BEE797F" w14:textId="1696D150">
            <w:pPr>
              <w:spacing w:before="0" w:after="0"/>
              <w:rPr>
                <w:rFonts w:ascii="Times New Roman" w:eastAsia="Times New Roman" w:hAnsi="Times New Roman"/>
                <w:color w:val="000000"/>
                <w:sz w:val="24"/>
              </w:rPr>
            </w:pPr>
          </w:p>
        </w:tc>
        <w:tc>
          <w:tcPr>
            <w:tcW w:w="1988" w:type="pct"/>
            <w:hideMark/>
          </w:tcPr>
          <w:p w:rsidR="00F42AF9" w:rsidRPr="00F42AF9" w:rsidP="00F42AF9" w14:paraId="66B7F1A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EPA-HQ-OLEM-2022-0174-0193</w:t>
            </w:r>
          </w:p>
        </w:tc>
      </w:tr>
      <w:tr w14:paraId="3D8E9D38" w14:textId="77777777" w:rsidTr="00072FD7">
        <w:tblPrEx>
          <w:tblW w:w="5195" w:type="pct"/>
          <w:tblLayout w:type="fixed"/>
          <w:tblLook w:val="04A0"/>
        </w:tblPrEx>
        <w:trPr>
          <w:trHeight w:val="310"/>
        </w:trPr>
        <w:tc>
          <w:tcPr>
            <w:tcW w:w="1887" w:type="pct"/>
            <w:hideMark/>
          </w:tcPr>
          <w:p w:rsidR="00F42AF9" w:rsidRPr="00F42AF9" w:rsidP="00F42AF9" w14:paraId="56542A3D"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Utility Solid Waste Activities Group (USWAG)</w:t>
            </w:r>
          </w:p>
        </w:tc>
        <w:tc>
          <w:tcPr>
            <w:tcW w:w="1125" w:type="pct"/>
            <w:hideMark/>
          </w:tcPr>
          <w:p w:rsidR="00F42AF9" w:rsidRPr="00F42AF9" w:rsidP="00F42AF9" w14:paraId="75E546A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Daniel Chartier</w:t>
            </w:r>
          </w:p>
        </w:tc>
        <w:tc>
          <w:tcPr>
            <w:tcW w:w="1988" w:type="pct"/>
            <w:hideMark/>
          </w:tcPr>
          <w:p w:rsidR="00F42AF9" w:rsidRPr="00F42AF9" w:rsidP="00F42AF9" w14:paraId="77D4E629"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EPA-HQ-OLEM-2022-0174-0224</w:t>
            </w:r>
          </w:p>
        </w:tc>
      </w:tr>
      <w:tr w14:paraId="075A3D91" w14:textId="77777777" w:rsidTr="00072FD7">
        <w:tblPrEx>
          <w:tblW w:w="5195" w:type="pct"/>
          <w:tblLayout w:type="fixed"/>
          <w:tblLook w:val="04A0"/>
        </w:tblPrEx>
        <w:trPr>
          <w:trHeight w:val="320"/>
        </w:trPr>
        <w:tc>
          <w:tcPr>
            <w:tcW w:w="1887" w:type="pct"/>
            <w:hideMark/>
          </w:tcPr>
          <w:p w:rsidR="00F42AF9" w:rsidRPr="00F42AF9" w:rsidP="00F42AF9" w14:paraId="23323D9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Vasquez, Diana</w:t>
            </w:r>
          </w:p>
        </w:tc>
        <w:tc>
          <w:tcPr>
            <w:tcW w:w="1125" w:type="pct"/>
            <w:hideMark/>
          </w:tcPr>
          <w:p w:rsidR="00F42AF9" w:rsidRPr="00F42AF9" w:rsidP="00F42AF9" w14:paraId="5971B84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Diana Vasquez</w:t>
            </w:r>
          </w:p>
        </w:tc>
        <w:tc>
          <w:tcPr>
            <w:tcW w:w="1988" w:type="pct"/>
            <w:hideMark/>
          </w:tcPr>
          <w:p w:rsidR="00F42AF9" w:rsidRPr="00F42AF9" w:rsidP="00F42AF9" w14:paraId="7AB831C5"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EPA-HQ-OLEM-2022-0174-0194</w:t>
            </w:r>
          </w:p>
        </w:tc>
      </w:tr>
      <w:tr w14:paraId="57B10F2E" w14:textId="77777777" w:rsidTr="00072FD7">
        <w:tblPrEx>
          <w:tblW w:w="5195" w:type="pct"/>
          <w:tblLayout w:type="fixed"/>
          <w:tblLook w:val="04A0"/>
        </w:tblPrEx>
        <w:trPr>
          <w:trHeight w:val="320"/>
        </w:trPr>
        <w:tc>
          <w:tcPr>
            <w:tcW w:w="1887" w:type="pct"/>
            <w:hideMark/>
          </w:tcPr>
          <w:p w:rsidR="00F42AF9" w:rsidRPr="00F42AF9" w:rsidP="00F42AF9" w14:paraId="2BF8A5D7" w14:textId="77777777">
            <w:pPr>
              <w:spacing w:before="0" w:after="0"/>
              <w:rPr>
                <w:rFonts w:ascii="Times New Roman" w:eastAsia="Times New Roman" w:hAnsi="Times New Roman"/>
                <w:color w:val="000000"/>
                <w:szCs w:val="22"/>
              </w:rPr>
            </w:pPr>
            <w:r w:rsidRPr="00F42AF9">
              <w:rPr>
                <w:rFonts w:ascii="Times New Roman" w:eastAsia="Times New Roman" w:hAnsi="Times New Roman"/>
                <w:color w:val="000000"/>
                <w:szCs w:val="22"/>
              </w:rPr>
              <w:t>Wagner, Shealynn</w:t>
            </w:r>
          </w:p>
        </w:tc>
        <w:tc>
          <w:tcPr>
            <w:tcW w:w="1125" w:type="pct"/>
            <w:hideMark/>
          </w:tcPr>
          <w:p w:rsidR="00F42AF9" w:rsidRPr="00F42AF9" w:rsidP="00F42AF9" w14:paraId="7CFEEB7D" w14:textId="77777777">
            <w:pPr>
              <w:spacing w:before="0" w:after="0"/>
              <w:rPr>
                <w:rFonts w:ascii="Times New Roman" w:eastAsia="Times New Roman" w:hAnsi="Times New Roman"/>
                <w:color w:val="000000"/>
                <w:szCs w:val="22"/>
              </w:rPr>
            </w:pPr>
            <w:r w:rsidRPr="00F42AF9">
              <w:rPr>
                <w:rFonts w:ascii="Times New Roman" w:eastAsia="Times New Roman" w:hAnsi="Times New Roman"/>
                <w:color w:val="000000"/>
                <w:szCs w:val="22"/>
              </w:rPr>
              <w:t>Shealynn Wagner</w:t>
            </w:r>
          </w:p>
        </w:tc>
        <w:tc>
          <w:tcPr>
            <w:tcW w:w="1988" w:type="pct"/>
            <w:hideMark/>
          </w:tcPr>
          <w:p w:rsidR="00F42AF9" w:rsidRPr="00F42AF9" w:rsidP="00F42AF9" w14:paraId="5A9D181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EPA-HQ-OLEM-2022-0174-0273</w:t>
            </w:r>
          </w:p>
        </w:tc>
      </w:tr>
      <w:tr w14:paraId="7D1AD8E6" w14:textId="77777777" w:rsidTr="00072FD7">
        <w:tblPrEx>
          <w:tblW w:w="5195" w:type="pct"/>
          <w:tblLayout w:type="fixed"/>
          <w:tblLook w:val="04A0"/>
        </w:tblPrEx>
        <w:trPr>
          <w:trHeight w:val="620"/>
        </w:trPr>
        <w:tc>
          <w:tcPr>
            <w:tcW w:w="1887" w:type="pct"/>
            <w:hideMark/>
          </w:tcPr>
          <w:p w:rsidR="00F42AF9" w:rsidRPr="00F42AF9" w:rsidP="00F42AF9" w14:paraId="3EA02ABB"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Weld County Local Emergency Planning Committee (LEPC)</w:t>
            </w:r>
          </w:p>
        </w:tc>
        <w:tc>
          <w:tcPr>
            <w:tcW w:w="1125" w:type="pct"/>
            <w:hideMark/>
          </w:tcPr>
          <w:p w:rsidR="00F42AF9" w:rsidRPr="00F42AF9" w:rsidP="00F42AF9" w14:paraId="21942BAA"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N/A</w:t>
            </w:r>
          </w:p>
        </w:tc>
        <w:tc>
          <w:tcPr>
            <w:tcW w:w="1988" w:type="pct"/>
            <w:hideMark/>
          </w:tcPr>
          <w:p w:rsidR="00F42AF9" w:rsidRPr="00F42AF9" w:rsidP="00F42AF9" w14:paraId="4C5BE988"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EPA-HQ-OLEM-2022-0174-0391</w:t>
            </w:r>
          </w:p>
        </w:tc>
      </w:tr>
      <w:tr w14:paraId="194C48F9" w14:textId="77777777" w:rsidTr="00072FD7">
        <w:tblPrEx>
          <w:tblW w:w="5195" w:type="pct"/>
          <w:tblLayout w:type="fixed"/>
          <w:tblLook w:val="04A0"/>
        </w:tblPrEx>
        <w:trPr>
          <w:trHeight w:val="310"/>
        </w:trPr>
        <w:tc>
          <w:tcPr>
            <w:tcW w:w="1887" w:type="pct"/>
            <w:noWrap/>
            <w:hideMark/>
          </w:tcPr>
          <w:p w:rsidR="00F42AF9" w:rsidRPr="00F42AF9" w:rsidP="00F42AF9" w14:paraId="09FFEF3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Wisconsin Department of Natural Resources (WDNR)</w:t>
            </w:r>
          </w:p>
        </w:tc>
        <w:tc>
          <w:tcPr>
            <w:tcW w:w="1125" w:type="pct"/>
            <w:hideMark/>
          </w:tcPr>
          <w:p w:rsidR="00F42AF9" w:rsidRPr="00F42AF9" w:rsidP="00F42AF9" w14:paraId="3A89980E"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 xml:space="preserve">Gail Good </w:t>
            </w:r>
          </w:p>
        </w:tc>
        <w:tc>
          <w:tcPr>
            <w:tcW w:w="1988" w:type="pct"/>
            <w:hideMark/>
          </w:tcPr>
          <w:p w:rsidR="00F42AF9" w:rsidRPr="00F42AF9" w:rsidP="00F42AF9" w14:paraId="4B9B20F6"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EPA-HQ-OLEM-2022-0174-0199</w:t>
            </w:r>
          </w:p>
        </w:tc>
      </w:tr>
      <w:tr w14:paraId="0C7DFBDD" w14:textId="77777777" w:rsidTr="00072FD7">
        <w:tblPrEx>
          <w:tblW w:w="5195" w:type="pct"/>
          <w:tblLayout w:type="fixed"/>
          <w:tblLook w:val="04A0"/>
        </w:tblPrEx>
        <w:trPr>
          <w:trHeight w:val="310"/>
        </w:trPr>
        <w:tc>
          <w:tcPr>
            <w:tcW w:w="1887" w:type="pct"/>
            <w:hideMark/>
          </w:tcPr>
          <w:p w:rsidR="00F42AF9" w:rsidRPr="00F42AF9" w:rsidP="00F42AF9" w14:paraId="1E983680"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Woodbury, Eileen</w:t>
            </w:r>
          </w:p>
        </w:tc>
        <w:tc>
          <w:tcPr>
            <w:tcW w:w="1125" w:type="pct"/>
            <w:hideMark/>
          </w:tcPr>
          <w:p w:rsidR="00F42AF9" w:rsidRPr="00F42AF9" w:rsidP="00F42AF9" w14:paraId="506F8F43"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Eileen Woodbury</w:t>
            </w:r>
          </w:p>
        </w:tc>
        <w:tc>
          <w:tcPr>
            <w:tcW w:w="1988" w:type="pct"/>
            <w:hideMark/>
          </w:tcPr>
          <w:p w:rsidR="00F42AF9" w:rsidRPr="00F42AF9" w:rsidP="00F42AF9" w14:paraId="62D7D11C" w14:textId="77777777">
            <w:pPr>
              <w:spacing w:before="0" w:after="0"/>
              <w:rPr>
                <w:rFonts w:ascii="Times New Roman" w:eastAsia="Times New Roman" w:hAnsi="Times New Roman"/>
                <w:color w:val="000000"/>
                <w:sz w:val="24"/>
              </w:rPr>
            </w:pPr>
            <w:r w:rsidRPr="00F42AF9">
              <w:rPr>
                <w:rFonts w:ascii="Times New Roman" w:eastAsia="Times New Roman" w:hAnsi="Times New Roman"/>
                <w:color w:val="000000"/>
                <w:sz w:val="24"/>
              </w:rPr>
              <w:t>EPA-HQ-OLEM-2022-0174-0137</w:t>
            </w:r>
          </w:p>
        </w:tc>
      </w:tr>
    </w:tbl>
    <w:p w:rsidR="00025134" w:rsidP="00025134" w14:paraId="14212EB4" w14:textId="77777777">
      <w:pPr>
        <w:pStyle w:val="Heading1"/>
        <w:numPr>
          <w:ilvl w:val="0"/>
          <w:numId w:val="0"/>
        </w:numPr>
        <w:ind w:left="408"/>
        <w:rPr>
          <w:b w:val="0"/>
          <w:bCs/>
        </w:rPr>
      </w:pPr>
    </w:p>
    <w:p w:rsidR="00F42AF9" w:rsidP="00F42AF9" w14:paraId="7F10C30D" w14:textId="77777777">
      <w:pPr>
        <w:rPr>
          <w:rFonts w:ascii="Times New Roman" w:eastAsia="Times New Roman" w:hAnsi="Times New Roman"/>
          <w:bCs/>
          <w:sz w:val="24"/>
        </w:rPr>
      </w:pPr>
    </w:p>
    <w:p w:rsidR="00F42AF9" w:rsidP="00F42AF9" w14:paraId="5F104CED" w14:textId="77777777">
      <w:pPr>
        <w:rPr>
          <w:rFonts w:ascii="Times New Roman" w:eastAsia="Times New Roman" w:hAnsi="Times New Roman"/>
          <w:bCs/>
          <w:sz w:val="24"/>
        </w:rPr>
      </w:pPr>
    </w:p>
    <w:p w:rsidR="00F42AF9" w:rsidRPr="00F42AF9" w:rsidP="00CB7EF8" w14:paraId="4766F976" w14:textId="3109C67C">
      <w:pPr>
        <w:sectPr w:rsidSect="00F94626">
          <w:pgSz w:w="12240" w:h="15840"/>
          <w:pgMar w:top="1440" w:right="1440" w:bottom="1440" w:left="1440" w:header="720" w:footer="720" w:gutter="0"/>
          <w:pgNumType w:fmt="lowerRoman" w:start="1"/>
          <w:cols w:space="720"/>
          <w:docGrid w:linePitch="360"/>
        </w:sectPr>
      </w:pPr>
    </w:p>
    <w:p w:rsidR="00025134" w:rsidRPr="006F68E9" w:rsidP="00025134" w14:paraId="17FB6C96" w14:textId="77777777">
      <w:pPr>
        <w:pStyle w:val="Heading1"/>
      </w:pPr>
      <w:bookmarkStart w:id="1" w:name="_Toc153373764"/>
      <w:r w:rsidRPr="006F68E9">
        <w:t>General Feedback on the Proposed Rule</w:t>
      </w:r>
      <w:bookmarkEnd w:id="1"/>
      <w:bookmarkEnd w:id="0"/>
    </w:p>
    <w:p w:rsidR="00025134" w:rsidRPr="006F68E9" w:rsidP="00025134" w14:paraId="23817476" w14:textId="77777777">
      <w:pPr>
        <w:rPr>
          <w:rFonts w:ascii="Times New Roman" w:hAnsi="Times New Roman"/>
          <w:i/>
          <w:iCs/>
          <w:sz w:val="24"/>
        </w:rPr>
      </w:pPr>
      <w:r w:rsidRPr="006F68E9">
        <w:rPr>
          <w:rFonts w:ascii="Times New Roman" w:hAnsi="Times New Roman"/>
          <w:i/>
          <w:iCs/>
          <w:sz w:val="24"/>
        </w:rPr>
        <w:t>Comments associated with this issue are discussed in the sub-issues below.</w:t>
      </w:r>
    </w:p>
    <w:p w:rsidR="00025134" w:rsidRPr="006F68E9" w:rsidP="00025134" w14:paraId="385D8EA9" w14:textId="77777777">
      <w:pPr>
        <w:pStyle w:val="Heading2"/>
        <w:rPr>
          <w:rFonts w:ascii="Times New Roman" w:hAnsi="Times New Roman" w:cs="Times New Roman"/>
          <w:b/>
          <w:bCs/>
          <w:color w:val="auto"/>
          <w:sz w:val="24"/>
          <w:szCs w:val="24"/>
        </w:rPr>
      </w:pPr>
      <w:bookmarkStart w:id="2" w:name="_Toc146879971"/>
      <w:bookmarkStart w:id="3" w:name="_Toc153373765"/>
      <w:r w:rsidRPr="006F68E9">
        <w:rPr>
          <w:rFonts w:ascii="Times New Roman" w:hAnsi="Times New Roman" w:cs="Times New Roman"/>
          <w:b/>
          <w:bCs/>
          <w:color w:val="auto"/>
          <w:sz w:val="24"/>
          <w:szCs w:val="24"/>
        </w:rPr>
        <w:t xml:space="preserve">General </w:t>
      </w:r>
      <w:r>
        <w:rPr>
          <w:rFonts w:ascii="Times New Roman" w:hAnsi="Times New Roman" w:cs="Times New Roman"/>
          <w:b/>
          <w:bCs/>
          <w:color w:val="auto"/>
          <w:sz w:val="24"/>
          <w:szCs w:val="24"/>
        </w:rPr>
        <w:t xml:space="preserve">comments supporting/opposing the </w:t>
      </w:r>
      <w:r w:rsidRPr="006F68E9">
        <w:rPr>
          <w:rFonts w:ascii="Times New Roman" w:hAnsi="Times New Roman" w:cs="Times New Roman"/>
          <w:b/>
          <w:bCs/>
          <w:color w:val="auto"/>
          <w:sz w:val="24"/>
          <w:szCs w:val="24"/>
        </w:rPr>
        <w:t>rulemaking</w:t>
      </w:r>
      <w:bookmarkEnd w:id="2"/>
      <w:bookmarkEnd w:id="3"/>
    </w:p>
    <w:p w:rsidR="00025134" w:rsidP="00025134" w14:paraId="7836C148" w14:textId="77777777">
      <w:pPr>
        <w:rPr>
          <w:rFonts w:ascii="Times New Roman" w:hAnsi="Times New Roman"/>
          <w:i/>
          <w:iCs/>
          <w:sz w:val="24"/>
        </w:rPr>
      </w:pPr>
      <w:r>
        <w:rPr>
          <w:rFonts w:ascii="Times New Roman" w:hAnsi="Times New Roman"/>
          <w:i/>
          <w:iCs/>
          <w:sz w:val="24"/>
        </w:rPr>
        <w:t>General comments in support of the proposed rule</w:t>
      </w:r>
    </w:p>
    <w:p w:rsidR="00025134" w:rsidRPr="008A13FA" w:rsidP="00025134" w14:paraId="67A1E9D4" w14:textId="77777777">
      <w:pPr>
        <w:rPr>
          <w:rFonts w:ascii="Times New Roman" w:hAnsi="Times New Roman"/>
          <w:b/>
          <w:sz w:val="24"/>
        </w:rPr>
      </w:pPr>
      <w:r>
        <w:rPr>
          <w:rFonts w:ascii="Times New Roman" w:hAnsi="Times New Roman"/>
          <w:b/>
          <w:bCs/>
          <w:sz w:val="24"/>
        </w:rPr>
        <w:t xml:space="preserve">Comment 1.1-01: </w:t>
      </w:r>
      <w:r w:rsidRPr="00241EAC">
        <w:rPr>
          <w:rFonts w:ascii="Times New Roman" w:hAnsi="Times New Roman"/>
          <w:sz w:val="24"/>
        </w:rPr>
        <w:t xml:space="preserve">Several commenters supported EPA’s proposed rule to amend its Risk Management Program (RMP) regulations as a result of Agency review (0135, 0148, 0157, 0158, 0160, 0165, 0183, 0191, 0192, 0194, 0203, 0204, 0206, 0208, 0209, 0211, 0215, 0216, 0219, 0235, 0240, 0241, 0244, 0249, 0250, 0251, 0252, 0254, 0258, 0255, 0264, 0265, 0266, 0269, 0270, 0274, 0276, 0407, 0409, 0444, 0447, 0448, 0449, 0450, 0451, 0452, 0453, 0456, 0460, 0480). Many of the commenters also provided additional detailed comments which are categorized under the appropriate topics within this document. </w:t>
      </w:r>
    </w:p>
    <w:p w:rsidR="00870E79" w:rsidRPr="00870E79" w:rsidP="00870E79" w14:paraId="306BB218" w14:textId="70D08694">
      <w:pPr>
        <w:ind w:left="720"/>
        <w:rPr>
          <w:rFonts w:ascii="Times New Roman" w:hAnsi="Times New Roman"/>
          <w:sz w:val="24"/>
        </w:rPr>
      </w:pPr>
      <w:r w:rsidRPr="000A689C">
        <w:rPr>
          <w:rFonts w:ascii="Times New Roman" w:hAnsi="Times New Roman"/>
          <w:b/>
          <w:bCs/>
          <w:sz w:val="24"/>
        </w:rPr>
        <w:t xml:space="preserve">EPA Response: </w:t>
      </w:r>
      <w:r w:rsidRPr="00D879CD">
        <w:rPr>
          <w:rFonts w:ascii="Times New Roman" w:hAnsi="Times New Roman"/>
          <w:sz w:val="24"/>
        </w:rPr>
        <w:t xml:space="preserve">EPA appreciates the commenters’ support. </w:t>
      </w:r>
      <w:r w:rsidR="00DF27E5">
        <w:rPr>
          <w:rFonts w:ascii="Times New Roman" w:hAnsi="Times New Roman"/>
          <w:sz w:val="24"/>
        </w:rPr>
        <w:t>Because</w:t>
      </w:r>
      <w:r w:rsidRPr="00870E79" w:rsidR="00DF27E5">
        <w:rPr>
          <w:rFonts w:ascii="Times New Roman" w:hAnsi="Times New Roman"/>
          <w:sz w:val="24"/>
        </w:rPr>
        <w:t xml:space="preserve"> </w:t>
      </w:r>
      <w:r w:rsidRPr="00870E79">
        <w:rPr>
          <w:rFonts w:ascii="Times New Roman" w:hAnsi="Times New Roman"/>
          <w:sz w:val="24"/>
        </w:rPr>
        <w:t xml:space="preserve">major </w:t>
      </w:r>
      <w:r w:rsidR="00AB135B">
        <w:rPr>
          <w:rFonts w:ascii="Times New Roman" w:hAnsi="Times New Roman"/>
          <w:sz w:val="24"/>
        </w:rPr>
        <w:t xml:space="preserve">and other serious and concerning </w:t>
      </w:r>
      <w:r w:rsidRPr="00870E79">
        <w:rPr>
          <w:rFonts w:ascii="Times New Roman" w:hAnsi="Times New Roman"/>
          <w:sz w:val="24"/>
        </w:rPr>
        <w:t xml:space="preserve">RMP accidents continue to occur, EPA believes </w:t>
      </w:r>
      <w:r w:rsidR="00662A7F">
        <w:rPr>
          <w:rFonts w:ascii="Times New Roman" w:hAnsi="Times New Roman"/>
          <w:sz w:val="24"/>
        </w:rPr>
        <w:t>th</w:t>
      </w:r>
      <w:r w:rsidR="00C60B77">
        <w:rPr>
          <w:rFonts w:ascii="Times New Roman" w:hAnsi="Times New Roman"/>
          <w:sz w:val="24"/>
        </w:rPr>
        <w:t xml:space="preserve">is </w:t>
      </w:r>
      <w:r w:rsidRPr="00870E79">
        <w:rPr>
          <w:rFonts w:ascii="Times New Roman" w:hAnsi="Times New Roman"/>
          <w:sz w:val="24"/>
        </w:rPr>
        <w:t xml:space="preserve">final rule </w:t>
      </w:r>
      <w:r w:rsidRPr="00870E79">
        <w:rPr>
          <w:rFonts w:ascii="Times New Roman" w:hAnsi="Times New Roman"/>
          <w:sz w:val="24"/>
        </w:rPr>
        <w:t xml:space="preserve">will help further protect human health and the environment from chemical hazards through advancement of process safety based on lessons learned.  </w:t>
      </w:r>
    </w:p>
    <w:p w:rsidR="00025134" w:rsidRPr="000A689C" w:rsidP="00025134" w14:paraId="5C79C680" w14:textId="77777777">
      <w:pPr>
        <w:rPr>
          <w:rFonts w:ascii="Times New Roman" w:hAnsi="Times New Roman"/>
          <w:i/>
          <w:sz w:val="24"/>
        </w:rPr>
      </w:pPr>
      <w:r>
        <w:rPr>
          <w:rFonts w:ascii="Times New Roman" w:hAnsi="Times New Roman"/>
          <w:i/>
          <w:iCs/>
          <w:sz w:val="24"/>
        </w:rPr>
        <w:t xml:space="preserve">General comments requesting improvements to the proposed rule </w:t>
      </w:r>
    </w:p>
    <w:p w:rsidR="00025134" w:rsidRPr="008A13FA" w:rsidP="00025134" w14:paraId="46C0F717" w14:textId="77777777">
      <w:pPr>
        <w:rPr>
          <w:rFonts w:ascii="Times New Roman" w:hAnsi="Times New Roman"/>
          <w:b/>
          <w:sz w:val="24"/>
        </w:rPr>
      </w:pPr>
      <w:r w:rsidRPr="000A689C">
        <w:rPr>
          <w:rFonts w:ascii="Times New Roman" w:hAnsi="Times New Roman"/>
          <w:b/>
          <w:sz w:val="24"/>
        </w:rPr>
        <w:t>Comment</w:t>
      </w:r>
      <w:r>
        <w:rPr>
          <w:rFonts w:ascii="Times New Roman" w:hAnsi="Times New Roman"/>
          <w:b/>
          <w:sz w:val="24"/>
        </w:rPr>
        <w:t xml:space="preserve"> 1.1-02</w:t>
      </w:r>
      <w:r w:rsidRPr="000A689C">
        <w:rPr>
          <w:rFonts w:ascii="Times New Roman" w:hAnsi="Times New Roman"/>
          <w:b/>
          <w:sz w:val="24"/>
        </w:rPr>
        <w:t xml:space="preserve">: </w:t>
      </w:r>
      <w:r w:rsidRPr="006F68E9">
        <w:rPr>
          <w:rFonts w:ascii="Times New Roman" w:hAnsi="Times New Roman"/>
          <w:sz w:val="24"/>
        </w:rPr>
        <w:t xml:space="preserve">Several commenters requested EPA consider making the </w:t>
      </w:r>
      <w:r w:rsidRPr="4649018F">
        <w:rPr>
          <w:rFonts w:ascii="Times New Roman" w:hAnsi="Times New Roman"/>
          <w:sz w:val="24"/>
        </w:rPr>
        <w:t>proposed r</w:t>
      </w:r>
      <w:r w:rsidRPr="006F68E9">
        <w:rPr>
          <w:rFonts w:ascii="Times New Roman" w:hAnsi="Times New Roman"/>
          <w:sz w:val="24"/>
        </w:rPr>
        <w:t xml:space="preserve">ule stronger than it is currently written (0157, 0158, 0160, 0183, 0191, 0194, 0203, 0208, 0209, 0219, 0240, 0251, 0252, 0254, 0255, 0258, 0266, 0269, 0270, 0407, 0409, 0447, 0448, 0449, 0450, 0452, 0453, 0456, 0460). Several of these commenters provided detailed examples of recent accidents and incidents, including health impacts to the community dating back to 2004 that they hope stronger RMP regulations would prevent (0157, 0158, 0160, 0216, 0251 0266, 0269 0444, 0456, 0460). A few commenters </w:t>
      </w:r>
      <w:r>
        <w:rPr>
          <w:rFonts w:ascii="Times New Roman" w:hAnsi="Times New Roman"/>
          <w:sz w:val="24"/>
        </w:rPr>
        <w:t>suggested</w:t>
      </w:r>
      <w:r w:rsidRPr="006F68E9">
        <w:rPr>
          <w:rFonts w:ascii="Times New Roman" w:hAnsi="Times New Roman"/>
          <w:sz w:val="24"/>
        </w:rPr>
        <w:t xml:space="preserve"> additional steps EPA should take in tandem with the </w:t>
      </w:r>
      <w:r w:rsidRPr="4649018F">
        <w:rPr>
          <w:rFonts w:ascii="Times New Roman" w:hAnsi="Times New Roman"/>
          <w:sz w:val="24"/>
        </w:rPr>
        <w:t xml:space="preserve">proposed rule (0204, 0265, 0456). </w:t>
      </w:r>
    </w:p>
    <w:p w:rsidR="00025134" w:rsidP="00025134" w14:paraId="73D3F7FB" w14:textId="77777777">
      <w:pPr>
        <w:rPr>
          <w:rFonts w:ascii="Times New Roman" w:hAnsi="Times New Roman"/>
          <w:sz w:val="24"/>
        </w:rPr>
      </w:pPr>
      <w:r>
        <w:rPr>
          <w:rFonts w:ascii="Times New Roman" w:hAnsi="Times New Roman"/>
          <w:sz w:val="24"/>
        </w:rPr>
        <w:t>One</w:t>
      </w:r>
      <w:r w:rsidRPr="00174D14">
        <w:rPr>
          <w:rFonts w:ascii="Times New Roman" w:hAnsi="Times New Roman"/>
          <w:sz w:val="24"/>
        </w:rPr>
        <w:t xml:space="preserve"> commenter stated that the current process puts the onus on community members in close proximity to facilities to protect themselves when it is </w:t>
      </w:r>
      <w:r>
        <w:rPr>
          <w:rFonts w:ascii="Times New Roman" w:hAnsi="Times New Roman"/>
          <w:sz w:val="24"/>
        </w:rPr>
        <w:t>EPA’s</w:t>
      </w:r>
      <w:r w:rsidRPr="00174D14">
        <w:rPr>
          <w:rFonts w:ascii="Times New Roman" w:hAnsi="Times New Roman"/>
          <w:sz w:val="24"/>
        </w:rPr>
        <w:t xml:space="preserve"> responsibility to regulate these facilities and ensure that the public is safe. The commenter </w:t>
      </w:r>
      <w:r>
        <w:rPr>
          <w:rFonts w:ascii="Times New Roman" w:hAnsi="Times New Roman"/>
          <w:sz w:val="24"/>
        </w:rPr>
        <w:t>stated</w:t>
      </w:r>
      <w:r w:rsidRPr="00174D14">
        <w:rPr>
          <w:rFonts w:ascii="Times New Roman" w:hAnsi="Times New Roman"/>
          <w:sz w:val="24"/>
        </w:rPr>
        <w:t xml:space="preserve"> that there needs to be more enforcement by the Federal government to hold facilities accountable, especially in States lacking enforcement (0160). </w:t>
      </w:r>
    </w:p>
    <w:p w:rsidR="00025134" w:rsidP="00025134" w14:paraId="25DD5517" w14:textId="77777777">
      <w:pPr>
        <w:rPr>
          <w:rFonts w:ascii="Times New Roman" w:hAnsi="Times New Roman"/>
          <w:sz w:val="24"/>
        </w:rPr>
      </w:pPr>
      <w:r w:rsidRPr="00174D14">
        <w:rPr>
          <w:rFonts w:ascii="Times New Roman" w:hAnsi="Times New Roman"/>
          <w:sz w:val="24"/>
        </w:rPr>
        <w:t xml:space="preserve">Several commenters stated that the proposed rule relies too much on voluntary commitments from RMP facilities (0157, 0160). One commenter </w:t>
      </w:r>
      <w:r>
        <w:rPr>
          <w:rFonts w:ascii="Times New Roman" w:hAnsi="Times New Roman"/>
          <w:sz w:val="24"/>
        </w:rPr>
        <w:t>stated</w:t>
      </w:r>
      <w:r w:rsidRPr="00174D14">
        <w:rPr>
          <w:rFonts w:ascii="Times New Roman" w:hAnsi="Times New Roman"/>
          <w:sz w:val="24"/>
        </w:rPr>
        <w:t xml:space="preserve"> that the current process remains reactive rather than proactive – and corrective rather than preventative (0157).</w:t>
      </w:r>
    </w:p>
    <w:p w:rsidR="00025134" w:rsidP="00025134" w14:paraId="37162567" w14:textId="77777777">
      <w:pPr>
        <w:rPr>
          <w:rFonts w:ascii="Times New Roman" w:hAnsi="Times New Roman"/>
          <w:sz w:val="24"/>
        </w:rPr>
      </w:pPr>
      <w:r w:rsidRPr="006F68E9">
        <w:rPr>
          <w:rFonts w:ascii="Times New Roman" w:hAnsi="Times New Roman"/>
          <w:sz w:val="24"/>
        </w:rPr>
        <w:t xml:space="preserve">One commenter suggested that in addition to evaluating new information from listening sessions, comment periods, and public hearings, EPA should consult and rely on longstanding evidence, information on safer chemical manufacturing alternatives, and requests for strong regulatory action when developing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(0460).</w:t>
      </w:r>
    </w:p>
    <w:p w:rsidR="00382D63" w:rsidP="00025134" w14:paraId="7E56BE91" w14:textId="60D9ABD2">
      <w:pPr>
        <w:rPr>
          <w:rFonts w:ascii="Times New Roman" w:hAnsi="Times New Roman"/>
          <w:sz w:val="24"/>
        </w:rPr>
      </w:pPr>
      <w:r>
        <w:rPr>
          <w:rFonts w:ascii="Times New Roman" w:eastAsia="Times New Roman" w:hAnsi="Times New Roman"/>
          <w:sz w:val="24"/>
        </w:rPr>
        <w:t xml:space="preserve">One </w:t>
      </w:r>
      <w:r w:rsidRPr="006F68E9">
        <w:rPr>
          <w:rFonts w:ascii="Times New Roman" w:hAnsi="Times New Roman"/>
          <w:sz w:val="24"/>
        </w:rPr>
        <w:t xml:space="preserve">commenter </w:t>
      </w:r>
      <w:r>
        <w:rPr>
          <w:rFonts w:ascii="Times New Roman" w:hAnsi="Times New Roman"/>
          <w:sz w:val="24"/>
        </w:rPr>
        <w:t xml:space="preserve">asserted that </w:t>
      </w:r>
      <w:r w:rsidRPr="006F68E9">
        <w:rPr>
          <w:rFonts w:ascii="Times New Roman" w:hAnsi="Times New Roman"/>
          <w:sz w:val="24"/>
        </w:rPr>
        <w:t xml:space="preserve">EPA’s RMP is inadequate in regulating high hazardous chemicals known to cause death, injury, </w:t>
      </w:r>
      <w:r>
        <w:rPr>
          <w:rFonts w:ascii="Times New Roman" w:hAnsi="Times New Roman"/>
          <w:sz w:val="24"/>
        </w:rPr>
        <w:t xml:space="preserve">and </w:t>
      </w:r>
      <w:r w:rsidRPr="006F68E9">
        <w:rPr>
          <w:rFonts w:ascii="Times New Roman" w:hAnsi="Times New Roman"/>
          <w:sz w:val="24"/>
        </w:rPr>
        <w:t>acute health hazards, which can contribute to serious long-term health problems like cancer. The commenter added that releases of these chemicals can cause serious harm and destroy ecological resources including contaminating water, killing wildlife and plants, and destroying farms and community gardens (0456).</w:t>
      </w:r>
    </w:p>
    <w:p w:rsidR="00025134" w:rsidRPr="00871366" w:rsidP="00025134" w14:paraId="67A5B649" w14:textId="77777777">
      <w:pPr>
        <w:rPr>
          <w:rFonts w:ascii="Times New Roman" w:hAnsi="Times New Roman"/>
          <w:b/>
          <w:bCs/>
          <w:sz w:val="24"/>
        </w:rPr>
      </w:pPr>
      <w:r>
        <w:rPr>
          <w:rFonts w:ascii="Times New Roman" w:hAnsi="Times New Roman"/>
          <w:sz w:val="24"/>
        </w:rPr>
        <w:t>One</w:t>
      </w:r>
      <w:r w:rsidRPr="006F68E9">
        <w:rPr>
          <w:rFonts w:ascii="Times New Roman" w:hAnsi="Times New Roman"/>
          <w:sz w:val="24"/>
        </w:rPr>
        <w:t xml:space="preserve"> commenter suggested EPA incorporate the policy priorities in the Biden Administration’s Executive Order 13990, including public health and safety, environmental justice and protection, science, and worker safety (0456).</w:t>
      </w:r>
    </w:p>
    <w:p w:rsidR="00025134" w:rsidP="00025134" w14:paraId="5B4EEE80" w14:textId="1BDC2166">
      <w:pPr>
        <w:ind w:left="720"/>
        <w:rPr>
          <w:rFonts w:ascii="Times New Roman" w:eastAsia="Times New Roman" w:hAnsi="Times New Roman"/>
          <w:color w:val="000000" w:themeColor="text1"/>
          <w:sz w:val="24"/>
        </w:rPr>
      </w:pPr>
      <w:r>
        <w:rPr>
          <w:rFonts w:ascii="Times New Roman" w:hAnsi="Times New Roman"/>
          <w:b/>
          <w:bCs/>
          <w:sz w:val="24"/>
        </w:rPr>
        <w:t>EPA Response</w:t>
      </w:r>
      <w:r>
        <w:rPr>
          <w:rFonts w:ascii="Times New Roman" w:eastAsia="Times New Roman" w:hAnsi="Times New Roman"/>
          <w:color w:val="000000" w:themeColor="text1"/>
          <w:sz w:val="24"/>
        </w:rPr>
        <w:t xml:space="preserve">: </w:t>
      </w:r>
      <w:r w:rsidRPr="00270969" w:rsidR="00270969">
        <w:rPr>
          <w:rFonts w:ascii="Times New Roman" w:eastAsia="Times New Roman" w:hAnsi="Times New Roman"/>
          <w:color w:val="000000" w:themeColor="text1"/>
          <w:sz w:val="24"/>
        </w:rPr>
        <w:t>E.O. 13990 directed Federal agencies to review existing regulations and take action to address priorities established by the Biden Administration, which include bolstering resilience to the impacts of climate change and prioritizing environmental justice (EJ). As a result, EPA was tasked to review the current RMP regulations.</w:t>
      </w:r>
      <w:r w:rsidR="00E439B4">
        <w:rPr>
          <w:rFonts w:ascii="Times New Roman" w:eastAsia="Times New Roman" w:hAnsi="Times New Roman"/>
          <w:color w:val="000000" w:themeColor="text1"/>
          <w:sz w:val="24"/>
        </w:rPr>
        <w:t xml:space="preserve"> EPA is </w:t>
      </w:r>
      <w:r w:rsidRPr="00E439B4" w:rsidR="00E439B4">
        <w:rPr>
          <w:rFonts w:ascii="Times New Roman" w:eastAsia="Times New Roman" w:hAnsi="Times New Roman"/>
          <w:color w:val="000000" w:themeColor="text1"/>
          <w:sz w:val="24"/>
        </w:rPr>
        <w:t xml:space="preserve">amending its Risk Management Program regulations as a result of </w:t>
      </w:r>
      <w:r w:rsidR="00E439B4">
        <w:rPr>
          <w:rFonts w:ascii="Times New Roman" w:eastAsia="Times New Roman" w:hAnsi="Times New Roman"/>
          <w:color w:val="000000" w:themeColor="text1"/>
          <w:sz w:val="24"/>
        </w:rPr>
        <w:t>its r</w:t>
      </w:r>
      <w:r w:rsidRPr="00E439B4" w:rsidR="00E439B4">
        <w:rPr>
          <w:rFonts w:ascii="Times New Roman" w:eastAsia="Times New Roman" w:hAnsi="Times New Roman"/>
          <w:color w:val="000000" w:themeColor="text1"/>
          <w:sz w:val="24"/>
        </w:rPr>
        <w:t>eview.</w:t>
      </w:r>
      <w:r w:rsidR="00E439B4">
        <w:rPr>
          <w:rFonts w:ascii="Times New Roman" w:eastAsia="Times New Roman" w:hAnsi="Times New Roman"/>
          <w:color w:val="000000" w:themeColor="text1"/>
          <w:sz w:val="24"/>
        </w:rPr>
        <w:t xml:space="preserve"> </w:t>
      </w:r>
      <w:r w:rsidRPr="4649018F">
        <w:rPr>
          <w:rFonts w:ascii="Times New Roman" w:eastAsia="Times New Roman" w:hAnsi="Times New Roman"/>
          <w:color w:val="000000" w:themeColor="text1"/>
          <w:sz w:val="24"/>
        </w:rPr>
        <w:t>EPA is finalizing several amendments to the RMP rule to further protect human health and the environment from RMP accidents</w:t>
      </w:r>
      <w:r w:rsidRPr="00E439B4" w:rsidR="00E439B4">
        <w:t xml:space="preserve"> </w:t>
      </w:r>
      <w:r w:rsidRPr="00E439B4" w:rsidR="00E439B4">
        <w:rPr>
          <w:rFonts w:ascii="Times New Roman" w:hAnsi="Times New Roman"/>
          <w:sz w:val="24"/>
        </w:rPr>
        <w:t>through advancement of process safety based on lessons learned</w:t>
      </w:r>
      <w:r w:rsidRPr="00E439B4" w:rsidR="00E439B4">
        <w:rPr>
          <w:rFonts w:ascii="Times New Roman" w:eastAsia="Times New Roman" w:hAnsi="Times New Roman"/>
          <w:color w:val="000000" w:themeColor="text1"/>
          <w:sz w:val="24"/>
        </w:rPr>
        <w:t>.</w:t>
      </w:r>
      <w:r w:rsidRPr="4649018F">
        <w:rPr>
          <w:rFonts w:ascii="Times New Roman" w:eastAsia="Times New Roman" w:hAnsi="Times New Roman"/>
          <w:color w:val="000000" w:themeColor="text1"/>
          <w:sz w:val="24"/>
        </w:rPr>
        <w:t xml:space="preserve"> The</w:t>
      </w:r>
      <w:r w:rsidRPr="0031614A">
        <w:rPr>
          <w:rFonts w:ascii="Times New Roman" w:eastAsia="Times New Roman" w:hAnsi="Times New Roman"/>
          <w:color w:val="000000" w:themeColor="text1"/>
          <w:sz w:val="24"/>
        </w:rPr>
        <w:t xml:space="preserve"> final</w:t>
      </w:r>
      <w:r w:rsidRPr="4649018F">
        <w:rPr>
          <w:rFonts w:ascii="Times New Roman" w:eastAsia="Times New Roman" w:hAnsi="Times New Roman"/>
          <w:color w:val="000000" w:themeColor="text1"/>
          <w:sz w:val="24"/>
        </w:rPr>
        <w:t xml:space="preserve"> rule’s emphasis is on protecting communities most at risk of having an accidental release from a facility in their midst. Under the final rule, facilities in these communities will be required to do more to prevent chemical accidents, including conducting a</w:t>
      </w:r>
      <w:r w:rsidRPr="001478BB">
        <w:rPr>
          <w:rFonts w:ascii="Times New Roman" w:eastAsia="Times New Roman" w:hAnsi="Times New Roman"/>
          <w:color w:val="000000" w:themeColor="text1"/>
          <w:sz w:val="24"/>
        </w:rPr>
        <w:t>n</w:t>
      </w:r>
      <w:r w:rsidRPr="4649018F">
        <w:rPr>
          <w:rFonts w:ascii="Times New Roman" w:eastAsia="Times New Roman" w:hAnsi="Times New Roman"/>
          <w:color w:val="000000" w:themeColor="text1"/>
          <w:sz w:val="24"/>
        </w:rPr>
        <w:t xml:space="preserve"> STAA</w:t>
      </w:r>
      <w:r w:rsidRPr="001478BB">
        <w:rPr>
          <w:rFonts w:ascii="Times New Roman" w:eastAsia="Times New Roman" w:hAnsi="Times New Roman"/>
          <w:color w:val="000000" w:themeColor="text1"/>
          <w:sz w:val="24"/>
        </w:rPr>
        <w:t>,</w:t>
      </w:r>
      <w:r w:rsidRPr="4649018F">
        <w:rPr>
          <w:rFonts w:ascii="Times New Roman" w:eastAsia="Times New Roman" w:hAnsi="Times New Roman"/>
          <w:color w:val="000000" w:themeColor="text1"/>
          <w:sz w:val="24"/>
        </w:rPr>
        <w:t xml:space="preserve"> more</w:t>
      </w:r>
      <w:r w:rsidRPr="001478BB">
        <w:rPr>
          <w:rFonts w:ascii="Times New Roman" w:eastAsia="Times New Roman" w:hAnsi="Times New Roman"/>
          <w:sz w:val="24"/>
        </w:rPr>
        <w:t xml:space="preserve"> </w:t>
      </w:r>
      <w:r w:rsidRPr="4649018F">
        <w:rPr>
          <w:rFonts w:ascii="Times New Roman" w:eastAsia="Times New Roman" w:hAnsi="Times New Roman"/>
          <w:color w:val="000000" w:themeColor="text1"/>
          <w:sz w:val="24"/>
        </w:rPr>
        <w:t>thorough incident investigations, and third-party audits. The final rule also includes new prevention provisions that have not been addressed in prior RMP rules, including empowering workers to make safety decisions and report non-</w:t>
      </w:r>
      <w:r w:rsidRPr="001478BB">
        <w:rPr>
          <w:rFonts w:ascii="Times New Roman" w:eastAsia="Times New Roman" w:hAnsi="Times New Roman"/>
          <w:sz w:val="24"/>
        </w:rPr>
        <w:t xml:space="preserve">compliance. The Agency is </w:t>
      </w:r>
      <w:r w:rsidRPr="4649018F">
        <w:rPr>
          <w:rFonts w:ascii="Times New Roman" w:eastAsia="Times New Roman" w:hAnsi="Times New Roman"/>
          <w:color w:val="000000" w:themeColor="text1"/>
          <w:sz w:val="24"/>
        </w:rPr>
        <w:t xml:space="preserve">also increasing access to RMP facility information for fenceline communities in commonly spoken languages. EPA believes this final rule promotes transparency and gives more opportunities for the public and workers to be involved in accident prevention and emergency planning. </w:t>
      </w:r>
    </w:p>
    <w:p w:rsidR="00025134" w:rsidP="00025134" w14:paraId="7E20987C" w14:textId="6CDC2B04">
      <w:pPr>
        <w:ind w:left="720"/>
        <w:rPr>
          <w:rFonts w:ascii="Times New Roman" w:eastAsia="Times New Roman" w:hAnsi="Times New Roman"/>
          <w:color w:val="000000" w:themeColor="text1"/>
          <w:sz w:val="24"/>
        </w:rPr>
      </w:pPr>
      <w:r w:rsidRPr="4649018F">
        <w:rPr>
          <w:rFonts w:ascii="Times New Roman" w:eastAsia="Times New Roman" w:hAnsi="Times New Roman"/>
          <w:color w:val="000000" w:themeColor="text1"/>
          <w:sz w:val="24"/>
        </w:rPr>
        <w:t xml:space="preserve">EPA agrees </w:t>
      </w:r>
      <w:r w:rsidRPr="1464C6FC">
        <w:rPr>
          <w:rFonts w:ascii="Times New Roman" w:eastAsia="Times New Roman" w:hAnsi="Times New Roman"/>
          <w:color w:val="000000" w:themeColor="text1"/>
          <w:sz w:val="24"/>
        </w:rPr>
        <w:t>assistance, outreach, and enforcement</w:t>
      </w:r>
      <w:r w:rsidRPr="4649018F">
        <w:rPr>
          <w:rFonts w:ascii="Times New Roman" w:eastAsia="Times New Roman" w:hAnsi="Times New Roman"/>
          <w:color w:val="000000" w:themeColor="text1"/>
          <w:sz w:val="24"/>
        </w:rPr>
        <w:t xml:space="preserve"> will help ensure compliance with the rule. For example, enforcement of the RMP regulation has and will continue to occur. Because of that</w:t>
      </w:r>
      <w:r w:rsidRPr="1464C6FC">
        <w:rPr>
          <w:rFonts w:ascii="Times New Roman" w:eastAsia="Times New Roman" w:hAnsi="Times New Roman"/>
          <w:color w:val="000000" w:themeColor="text1"/>
          <w:sz w:val="24"/>
        </w:rPr>
        <w:t xml:space="preserve"> fact</w:t>
      </w:r>
      <w:r w:rsidRPr="4649018F">
        <w:rPr>
          <w:rFonts w:ascii="Times New Roman" w:eastAsia="Times New Roman" w:hAnsi="Times New Roman"/>
          <w:color w:val="000000" w:themeColor="text1"/>
          <w:sz w:val="24"/>
        </w:rPr>
        <w:t xml:space="preserve">, EPA expects most facilities will proactively make the necessary prevention improvements in order to </w:t>
      </w:r>
      <w:r w:rsidRPr="1464C6FC">
        <w:rPr>
          <w:rFonts w:ascii="Times New Roman" w:eastAsia="Times New Roman" w:hAnsi="Times New Roman"/>
          <w:color w:val="000000" w:themeColor="text1"/>
          <w:sz w:val="24"/>
        </w:rPr>
        <w:t>comply</w:t>
      </w:r>
      <w:r w:rsidRPr="4649018F">
        <w:rPr>
          <w:rFonts w:ascii="Times New Roman" w:eastAsia="Times New Roman" w:hAnsi="Times New Roman"/>
          <w:color w:val="000000" w:themeColor="text1"/>
          <w:sz w:val="24"/>
        </w:rPr>
        <w:t xml:space="preserve"> with the rule and thus avoid enforcement.</w:t>
      </w:r>
      <w:r w:rsidRPr="1464C6FC">
        <w:rPr>
          <w:rFonts w:ascii="Times New Roman" w:eastAsia="Times New Roman" w:hAnsi="Times New Roman"/>
          <w:color w:val="000000" w:themeColor="text1"/>
          <w:sz w:val="24"/>
        </w:rPr>
        <w:t xml:space="preserve"> Enforcement</w:t>
      </w:r>
      <w:r w:rsidRPr="4649018F">
        <w:rPr>
          <w:rFonts w:ascii="Times New Roman" w:eastAsia="Times New Roman" w:hAnsi="Times New Roman"/>
          <w:color w:val="000000" w:themeColor="text1"/>
          <w:sz w:val="24"/>
        </w:rPr>
        <w:t xml:space="preserve"> of RMP facilities remains an Agency priority, as indicated by its adoption as a National Enforcement and Compliance Initiative (NECI) since 2017</w:t>
      </w:r>
      <w:r>
        <w:rPr>
          <w:rStyle w:val="FootnoteReference"/>
          <w:rFonts w:ascii="Times New Roman" w:eastAsia="Times New Roman" w:hAnsi="Times New Roman"/>
          <w:color w:val="000000" w:themeColor="text1"/>
          <w:sz w:val="24"/>
        </w:rPr>
        <w:footnoteReference w:id="3"/>
      </w:r>
      <w:r w:rsidRPr="4649018F">
        <w:rPr>
          <w:rFonts w:ascii="Times New Roman" w:eastAsia="Times New Roman" w:hAnsi="Times New Roman"/>
          <w:color w:val="000000" w:themeColor="text1"/>
          <w:sz w:val="24"/>
        </w:rPr>
        <w:t xml:space="preserve">. </w:t>
      </w:r>
      <w:r w:rsidR="00655439">
        <w:rPr>
          <w:rFonts w:ascii="Times New Roman" w:eastAsia="Times New Roman" w:hAnsi="Times New Roman"/>
          <w:color w:val="000000" w:themeColor="text1"/>
          <w:sz w:val="24"/>
        </w:rPr>
        <w:t xml:space="preserve">For </w:t>
      </w:r>
      <w:r w:rsidR="00345D06">
        <w:rPr>
          <w:rFonts w:ascii="Times New Roman" w:eastAsia="Times New Roman" w:hAnsi="Times New Roman"/>
          <w:color w:val="000000" w:themeColor="text1"/>
          <w:sz w:val="24"/>
        </w:rPr>
        <w:t>additional information on the NECI, please refer to the final rule</w:t>
      </w:r>
      <w:r w:rsidR="00ED2EC0">
        <w:rPr>
          <w:rFonts w:ascii="Times New Roman" w:eastAsia="Times New Roman" w:hAnsi="Times New Roman"/>
          <w:color w:val="000000" w:themeColor="text1"/>
          <w:sz w:val="24"/>
        </w:rPr>
        <w:t xml:space="preserve"> preamble, Section IV.B.</w:t>
      </w:r>
    </w:p>
    <w:p w:rsidR="00EA57CB" w:rsidP="00EA57CB" w14:paraId="734AD91B" w14:textId="49F230CC">
      <w:pPr>
        <w:rPr>
          <w:rFonts w:ascii="Times New Roman" w:hAnsi="Times New Roman"/>
          <w:sz w:val="24"/>
        </w:rPr>
      </w:pPr>
      <w:r w:rsidRPr="00A23784">
        <w:rPr>
          <w:rFonts w:ascii="Times New Roman" w:hAnsi="Times New Roman"/>
          <w:b/>
          <w:bCs/>
          <w:sz w:val="24"/>
        </w:rPr>
        <w:t>Comment 1.1-03:</w:t>
      </w:r>
      <w:r>
        <w:rPr>
          <w:rFonts w:ascii="Times New Roman" w:hAnsi="Times New Roman"/>
          <w:sz w:val="24"/>
        </w:rPr>
        <w:t xml:space="preserve"> </w:t>
      </w:r>
      <w:r>
        <w:rPr>
          <w:rFonts w:ascii="Times New Roman" w:hAnsi="Times New Roman"/>
          <w:sz w:val="24"/>
        </w:rPr>
        <w:t>One</w:t>
      </w:r>
      <w:r w:rsidRPr="006F68E9">
        <w:rPr>
          <w:rFonts w:ascii="Times New Roman" w:hAnsi="Times New Roman"/>
          <w:sz w:val="24"/>
        </w:rPr>
        <w:t xml:space="preserve"> commenter stated that the new RMP rule should include how to involve existing </w:t>
      </w:r>
      <w:r>
        <w:rPr>
          <w:rFonts w:ascii="Times New Roman" w:hAnsi="Times New Roman"/>
          <w:sz w:val="24"/>
        </w:rPr>
        <w:t>S</w:t>
      </w:r>
      <w:r w:rsidRPr="006F68E9">
        <w:rPr>
          <w:rFonts w:ascii="Times New Roman" w:hAnsi="Times New Roman"/>
          <w:sz w:val="24"/>
        </w:rPr>
        <w:t>tate and local agencies that already have some oversight responsibilities for hazardous chemical facilities and</w:t>
      </w:r>
      <w:r>
        <w:rPr>
          <w:rFonts w:ascii="Times New Roman" w:hAnsi="Times New Roman"/>
          <w:sz w:val="24"/>
        </w:rPr>
        <w:t xml:space="preserve"> address</w:t>
      </w:r>
      <w:r w:rsidRPr="006F68E9">
        <w:rPr>
          <w:rFonts w:ascii="Times New Roman" w:hAnsi="Times New Roman"/>
          <w:sz w:val="24"/>
        </w:rPr>
        <w:t xml:space="preserve"> EPA’s role in training and supervision of local agency staff </w:t>
      </w:r>
      <w:r>
        <w:rPr>
          <w:rFonts w:ascii="Times New Roman" w:hAnsi="Times New Roman"/>
          <w:sz w:val="24"/>
        </w:rPr>
        <w:t>o</w:t>
      </w:r>
      <w:r w:rsidRPr="006F68E9">
        <w:rPr>
          <w:rFonts w:ascii="Times New Roman" w:hAnsi="Times New Roman"/>
          <w:sz w:val="24"/>
        </w:rPr>
        <w:t>n the new rule’s requirements (0402).</w:t>
      </w:r>
    </w:p>
    <w:p w:rsidR="00A23784" w:rsidRPr="00A23784" w:rsidP="00EC66F5" w14:paraId="75D7EF34" w14:textId="02A7EFC0">
      <w:pPr>
        <w:pStyle w:val="pf0"/>
        <w:spacing w:before="0" w:beforeAutospacing="0" w:after="120" w:afterAutospacing="0"/>
        <w:ind w:left="720"/>
        <w:rPr>
          <w:color w:val="000000" w:themeColor="text1"/>
        </w:rPr>
      </w:pPr>
      <w:r w:rsidRPr="00A23784">
        <w:rPr>
          <w:b/>
          <w:bCs/>
          <w:color w:val="000000" w:themeColor="text1"/>
        </w:rPr>
        <w:t>EPA Response:</w:t>
      </w:r>
      <w:r w:rsidRPr="00A23784">
        <w:rPr>
          <w:color w:val="000000" w:themeColor="text1"/>
        </w:rPr>
        <w:t xml:space="preserve"> On April 7, 2022, September 1, 2022, and September 5, 2023, EPA met with small governments concerning the regulatory requirements that might affect them.</w:t>
      </w:r>
    </w:p>
    <w:p w:rsidR="00A23784" w:rsidRPr="00A23784" w:rsidP="00EC66F5" w14:paraId="7B6BFA26" w14:textId="203F9B2E">
      <w:pPr>
        <w:pStyle w:val="pf0"/>
        <w:spacing w:before="120" w:beforeAutospacing="0" w:after="120" w:afterAutospacing="0"/>
        <w:ind w:left="720"/>
        <w:rPr>
          <w:color w:val="000000" w:themeColor="text1"/>
        </w:rPr>
      </w:pPr>
      <w:r w:rsidRPr="00A23784">
        <w:rPr>
          <w:color w:val="000000" w:themeColor="text1"/>
        </w:rPr>
        <w:t>Further, the RIA associated with the rulemaking identifies and accounts for rule familiarization activities for RMP delegated State and county implementing agencies.</w:t>
      </w:r>
    </w:p>
    <w:p w:rsidR="00025134" w:rsidRPr="009E10A3" w:rsidP="00025134" w14:paraId="4386D425" w14:textId="77777777">
      <w:pPr>
        <w:rPr>
          <w:rFonts w:ascii="Times New Roman" w:hAnsi="Times New Roman"/>
          <w:i/>
          <w:iCs/>
          <w:sz w:val="24"/>
        </w:rPr>
      </w:pPr>
      <w:r>
        <w:rPr>
          <w:rFonts w:ascii="Times New Roman" w:hAnsi="Times New Roman"/>
          <w:i/>
          <w:iCs/>
          <w:sz w:val="24"/>
        </w:rPr>
        <w:t>General comments opposing the proposed rule</w:t>
      </w:r>
    </w:p>
    <w:p w:rsidR="00025134" w:rsidP="00025134" w14:paraId="2685561A" w14:textId="2501C139">
      <w:pPr>
        <w:rPr>
          <w:rFonts w:ascii="Times New Roman" w:hAnsi="Times New Roman"/>
          <w:sz w:val="24"/>
        </w:rPr>
      </w:pPr>
      <w:r w:rsidRPr="00D04920">
        <w:rPr>
          <w:rFonts w:ascii="Times New Roman" w:hAnsi="Times New Roman"/>
          <w:b/>
          <w:sz w:val="24"/>
        </w:rPr>
        <w:t>Comment</w:t>
      </w:r>
      <w:r>
        <w:rPr>
          <w:rFonts w:ascii="Times New Roman" w:hAnsi="Times New Roman"/>
          <w:b/>
          <w:sz w:val="24"/>
        </w:rPr>
        <w:t xml:space="preserve"> 1.1-0</w:t>
      </w:r>
      <w:r w:rsidR="00161DF0">
        <w:rPr>
          <w:rFonts w:ascii="Times New Roman" w:hAnsi="Times New Roman"/>
          <w:b/>
          <w:sz w:val="24"/>
        </w:rPr>
        <w:t>4</w:t>
      </w:r>
      <w:r w:rsidRPr="00D04920">
        <w:rPr>
          <w:rFonts w:ascii="Times New Roman" w:hAnsi="Times New Roman"/>
          <w:b/>
          <w:sz w:val="24"/>
        </w:rPr>
        <w:t xml:space="preserve">: </w:t>
      </w:r>
      <w:r w:rsidRPr="4649018F">
        <w:rPr>
          <w:rFonts w:ascii="Times New Roman" w:hAnsi="Times New Roman"/>
          <w:sz w:val="24"/>
        </w:rPr>
        <w:t>Several commenters opposed EPA’s proposed rule to amend its RMP regulations as a result of Agency review (</w:t>
      </w:r>
      <w:r w:rsidRPr="4649018F">
        <w:rPr>
          <w:rFonts w:ascii="Times New Roman" w:eastAsia="Times New Roman" w:hAnsi="Times New Roman"/>
          <w:sz w:val="24"/>
        </w:rPr>
        <w:t xml:space="preserve">0180, 0188, 0196, 0197, 0201, 0202, 0205, 0207, 0210, 0213, 0214, 0215, 0217, 0222, 0224, 0225, 0226, 0229, 0233, 0234, 0237, 0238, 0239, 0243, 0245, 0253, 0256, 0263, 0267, 0268, 0272, 0275, 0458, 0477). </w:t>
      </w:r>
      <w:r w:rsidRPr="4649018F">
        <w:rPr>
          <w:rFonts w:ascii="Times New Roman" w:hAnsi="Times New Roman"/>
          <w:sz w:val="24"/>
        </w:rPr>
        <w:t xml:space="preserve">Many of the commenters also provided additional detailed comments, which are categorized under the appropriate topics </w:t>
      </w:r>
      <w:r w:rsidRPr="4649018F">
        <w:rPr>
          <w:rFonts w:ascii="Times New Roman" w:hAnsi="Times New Roman"/>
          <w:sz w:val="24"/>
        </w:rPr>
        <w:t>within this document.</w:t>
      </w:r>
      <w:r>
        <w:rPr>
          <w:rFonts w:ascii="Times New Roman" w:hAnsi="Times New Roman"/>
          <w:sz w:val="24"/>
        </w:rPr>
        <w:t xml:space="preserve"> </w:t>
      </w:r>
      <w:r w:rsidRPr="4649018F">
        <w:rPr>
          <w:rFonts w:ascii="Times New Roman" w:hAnsi="Times New Roman"/>
          <w:sz w:val="24"/>
        </w:rPr>
        <w:t xml:space="preserve">Several commenters recommended EPA withdraw the proposed rule (0180, 0188, 0205, 0210, 0217, 0226, 0234, 0245, 0268, 0272, 0458). </w:t>
      </w:r>
    </w:p>
    <w:p w:rsidR="00025134" w:rsidRPr="00871366" w:rsidP="00EC66F5" w14:paraId="6444E1EF" w14:textId="77777777">
      <w:pPr>
        <w:pStyle w:val="pf0"/>
        <w:spacing w:before="120" w:beforeAutospacing="0" w:after="120" w:afterAutospacing="0"/>
        <w:ind w:left="720"/>
        <w:rPr>
          <w:rStyle w:val="cf01"/>
        </w:rPr>
      </w:pPr>
      <w:r w:rsidRPr="00395405">
        <w:rPr>
          <w:b/>
        </w:rPr>
        <w:t>EPA Response:</w:t>
      </w:r>
      <w:r w:rsidRPr="00395405">
        <w:t xml:space="preserve"> In the final rule, EPA is finalizing almost all of the proposed changes, with some modifications. Where EPA has finalized a modification to a proposed rule provision, the Agency’s rationale is further explained in the final rule. EPA’s responses to comments on specific provisions are summarized in the appropriate sections of this document, significant comments are also summarized in the final rule.</w:t>
      </w:r>
    </w:p>
    <w:p w:rsidR="00025134" w:rsidRPr="00437189" w:rsidP="00025134" w14:paraId="419C7A65" w14:textId="24410B86">
      <w:pPr>
        <w:pStyle w:val="pf0"/>
        <w:spacing w:before="120" w:beforeAutospacing="0" w:after="120" w:afterAutospacing="0"/>
        <w:rPr>
          <w:rFonts w:ascii="Arial" w:hAnsi="Arial" w:cs="Arial"/>
          <w:sz w:val="20"/>
          <w:szCs w:val="20"/>
        </w:rPr>
      </w:pPr>
      <w:r w:rsidRPr="00285FF2">
        <w:rPr>
          <w:b/>
          <w:bCs/>
        </w:rPr>
        <w:t>Comment</w:t>
      </w:r>
      <w:r>
        <w:rPr>
          <w:b/>
          <w:bCs/>
        </w:rPr>
        <w:t xml:space="preserve"> 1.1-0</w:t>
      </w:r>
      <w:r w:rsidR="00161DF0">
        <w:rPr>
          <w:b/>
          <w:bCs/>
        </w:rPr>
        <w:t>5</w:t>
      </w:r>
      <w:r w:rsidRPr="00285FF2">
        <w:rPr>
          <w:b/>
          <w:bCs/>
        </w:rPr>
        <w:t>:</w:t>
      </w:r>
      <w:r>
        <w:t xml:space="preserve"> </w:t>
      </w:r>
      <w:r w:rsidRPr="4649018F">
        <w:t xml:space="preserve">A few commenters opposed the proposed rule due to </w:t>
      </w:r>
      <w:r w:rsidRPr="1464C6FC">
        <w:t xml:space="preserve">what the commenters asserted are </w:t>
      </w:r>
      <w:r w:rsidRPr="4649018F">
        <w:t xml:space="preserve">vague standards and definitions that could create uncertainties (0233, 0239, 0243, 0268). </w:t>
      </w:r>
      <w:r w:rsidRPr="00957726">
        <w:t xml:space="preserve">One commenter noted that the </w:t>
      </w:r>
      <w:r>
        <w:t>p</w:t>
      </w:r>
      <w:r w:rsidRPr="00957726">
        <w:t xml:space="preserve">roposed </w:t>
      </w:r>
      <w:r>
        <w:t>r</w:t>
      </w:r>
      <w:r w:rsidRPr="00957726">
        <w:t xml:space="preserve">ule could create unintended issues that the </w:t>
      </w:r>
      <w:r>
        <w:t>p</w:t>
      </w:r>
      <w:r w:rsidRPr="00957726">
        <w:t xml:space="preserve">roposed </w:t>
      </w:r>
      <w:r>
        <w:t>r</w:t>
      </w:r>
      <w:r w:rsidRPr="00957726">
        <w:t>ule attempts to address (0263).</w:t>
      </w:r>
    </w:p>
    <w:p w:rsidR="00025134" w:rsidRPr="00F008CE" w:rsidP="00025134" w14:paraId="2B10561A" w14:textId="13C8CD0F">
      <w:pPr>
        <w:ind w:left="720"/>
        <w:rPr>
          <w:rFonts w:ascii="Times New Roman" w:hAnsi="Times New Roman"/>
          <w:b/>
          <w:sz w:val="24"/>
        </w:rPr>
      </w:pPr>
      <w:r>
        <w:rPr>
          <w:rFonts w:ascii="Times New Roman" w:hAnsi="Times New Roman"/>
          <w:b/>
          <w:bCs/>
          <w:sz w:val="24"/>
        </w:rPr>
        <w:t xml:space="preserve">EPA Response: </w:t>
      </w:r>
      <w:r w:rsidR="005E49D8">
        <w:rPr>
          <w:rFonts w:ascii="Times New Roman" w:eastAsia="Times New Roman" w:hAnsi="Times New Roman"/>
          <w:color w:val="000000" w:themeColor="text1"/>
          <w:sz w:val="24"/>
        </w:rPr>
        <w:t xml:space="preserve">Because </w:t>
      </w:r>
      <w:r w:rsidR="00277260">
        <w:rPr>
          <w:rFonts w:ascii="Times New Roman" w:eastAsia="Times New Roman" w:hAnsi="Times New Roman"/>
          <w:color w:val="000000" w:themeColor="text1"/>
          <w:sz w:val="24"/>
        </w:rPr>
        <w:t xml:space="preserve">major </w:t>
      </w:r>
      <w:r w:rsidR="00165560">
        <w:rPr>
          <w:rFonts w:ascii="Times New Roman" w:eastAsia="Times New Roman" w:hAnsi="Times New Roman"/>
          <w:color w:val="000000" w:themeColor="text1"/>
          <w:sz w:val="24"/>
        </w:rPr>
        <w:t xml:space="preserve">and other serious and concerning </w:t>
      </w:r>
      <w:r w:rsidR="00277260">
        <w:rPr>
          <w:rFonts w:ascii="Times New Roman" w:eastAsia="Times New Roman" w:hAnsi="Times New Roman"/>
          <w:color w:val="000000" w:themeColor="text1"/>
          <w:sz w:val="24"/>
        </w:rPr>
        <w:t xml:space="preserve">RMP accidents continue to occur, </w:t>
      </w:r>
      <w:r w:rsidR="00105D0A">
        <w:rPr>
          <w:rFonts w:ascii="Times New Roman" w:eastAsia="Times New Roman" w:hAnsi="Times New Roman"/>
          <w:color w:val="000000" w:themeColor="text1"/>
          <w:sz w:val="24"/>
        </w:rPr>
        <w:t>EPA</w:t>
      </w:r>
      <w:r>
        <w:rPr>
          <w:rFonts w:ascii="Times New Roman" w:eastAsia="Times New Roman" w:hAnsi="Times New Roman"/>
          <w:color w:val="000000" w:themeColor="text1"/>
          <w:sz w:val="24"/>
        </w:rPr>
        <w:t xml:space="preserve"> </w:t>
      </w:r>
      <w:r w:rsidRPr="4649018F">
        <w:rPr>
          <w:rFonts w:ascii="Times New Roman" w:eastAsia="Times New Roman" w:hAnsi="Times New Roman"/>
          <w:color w:val="000000" w:themeColor="text1"/>
          <w:sz w:val="24"/>
        </w:rPr>
        <w:t>believe</w:t>
      </w:r>
      <w:r w:rsidR="00277260">
        <w:rPr>
          <w:rFonts w:ascii="Times New Roman" w:eastAsia="Times New Roman" w:hAnsi="Times New Roman"/>
          <w:color w:val="000000" w:themeColor="text1"/>
          <w:sz w:val="24"/>
        </w:rPr>
        <w:t>s</w:t>
      </w:r>
      <w:r w:rsidRPr="4649018F">
        <w:rPr>
          <w:rFonts w:ascii="Times New Roman" w:eastAsia="Times New Roman" w:hAnsi="Times New Roman"/>
          <w:color w:val="000000" w:themeColor="text1"/>
          <w:sz w:val="24"/>
        </w:rPr>
        <w:t xml:space="preserve"> </w:t>
      </w:r>
      <w:r w:rsidR="00277260">
        <w:rPr>
          <w:rFonts w:ascii="Times New Roman" w:eastAsia="Times New Roman" w:hAnsi="Times New Roman"/>
          <w:color w:val="000000" w:themeColor="text1"/>
          <w:sz w:val="24"/>
        </w:rPr>
        <w:t>that</w:t>
      </w:r>
      <w:r w:rsidRPr="4649018F">
        <w:rPr>
          <w:rFonts w:ascii="Times New Roman" w:eastAsia="Times New Roman" w:hAnsi="Times New Roman"/>
          <w:color w:val="000000" w:themeColor="text1"/>
          <w:sz w:val="24"/>
        </w:rPr>
        <w:t xml:space="preserve"> this final rule will </w:t>
      </w:r>
      <w:r w:rsidR="00277260">
        <w:rPr>
          <w:rFonts w:ascii="Times New Roman" w:eastAsia="Times New Roman" w:hAnsi="Times New Roman"/>
          <w:color w:val="000000" w:themeColor="text1"/>
          <w:sz w:val="24"/>
        </w:rPr>
        <w:t>help fu</w:t>
      </w:r>
      <w:r w:rsidR="000A31AA">
        <w:rPr>
          <w:rFonts w:ascii="Times New Roman" w:eastAsia="Times New Roman" w:hAnsi="Times New Roman"/>
          <w:color w:val="000000" w:themeColor="text1"/>
          <w:sz w:val="24"/>
        </w:rPr>
        <w:t>r</w:t>
      </w:r>
      <w:r w:rsidR="00277260">
        <w:rPr>
          <w:rFonts w:ascii="Times New Roman" w:eastAsia="Times New Roman" w:hAnsi="Times New Roman"/>
          <w:color w:val="000000" w:themeColor="text1"/>
          <w:sz w:val="24"/>
        </w:rPr>
        <w:t>ther protect human health and the environment from chemical hazards through advancement of process safety based on lessons learn</w:t>
      </w:r>
      <w:r w:rsidR="00105D0A">
        <w:rPr>
          <w:rFonts w:ascii="Times New Roman" w:eastAsia="Times New Roman" w:hAnsi="Times New Roman"/>
          <w:color w:val="000000" w:themeColor="text1"/>
          <w:sz w:val="24"/>
        </w:rPr>
        <w:t>ed</w:t>
      </w:r>
      <w:r w:rsidRPr="4649018F">
        <w:rPr>
          <w:rFonts w:ascii="Times New Roman" w:eastAsia="Times New Roman" w:hAnsi="Times New Roman"/>
          <w:color w:val="000000" w:themeColor="text1"/>
          <w:sz w:val="24"/>
        </w:rPr>
        <w:t xml:space="preserve">. EPA believes this has and will continue to occur because of the performance-based nature of the regulation, and also because the requirements provide facility owners with latitude in their methods of implementing the requirements. This type of regulation does not create uncertainties or unnecessary burdens, but rather offers </w:t>
      </w:r>
      <w:r w:rsidRPr="1464C6FC">
        <w:rPr>
          <w:rFonts w:ascii="Times New Roman" w:eastAsia="Times New Roman" w:hAnsi="Times New Roman"/>
          <w:color w:val="000000" w:themeColor="text1"/>
          <w:sz w:val="24"/>
        </w:rPr>
        <w:t>reasonable</w:t>
      </w:r>
      <w:r w:rsidRPr="4649018F">
        <w:rPr>
          <w:rFonts w:ascii="Times New Roman" w:eastAsia="Times New Roman" w:hAnsi="Times New Roman"/>
          <w:color w:val="000000" w:themeColor="text1"/>
          <w:sz w:val="24"/>
        </w:rPr>
        <w:t xml:space="preserve"> flexibilities in adopting the most effective measures to prevent and mitigate accidents. For example, </w:t>
      </w:r>
      <w:r w:rsidRPr="1464C6FC">
        <w:rPr>
          <w:rFonts w:ascii="Times New Roman" w:eastAsia="Times New Roman" w:hAnsi="Times New Roman"/>
          <w:color w:val="000000" w:themeColor="text1"/>
          <w:sz w:val="24"/>
        </w:rPr>
        <w:t xml:space="preserve">while EPA requires implementation of at least one practicable passive measure, or its equivalent, </w:t>
      </w:r>
      <w:r w:rsidRPr="4649018F">
        <w:rPr>
          <w:rFonts w:ascii="Times New Roman" w:eastAsia="Times New Roman" w:hAnsi="Times New Roman"/>
          <w:color w:val="000000" w:themeColor="text1"/>
          <w:sz w:val="24"/>
        </w:rPr>
        <w:t>the new STAA requirements are not prescriptive in nature</w:t>
      </w:r>
      <w:r w:rsidRPr="1464C6FC">
        <w:rPr>
          <w:rFonts w:ascii="Times New Roman" w:eastAsia="Times New Roman" w:hAnsi="Times New Roman"/>
          <w:color w:val="000000" w:themeColor="text1"/>
          <w:sz w:val="24"/>
        </w:rPr>
        <w:t xml:space="preserve"> as to what a facility can choose as its measure. The rule gives </w:t>
      </w:r>
      <w:r w:rsidRPr="4649018F">
        <w:rPr>
          <w:rFonts w:ascii="Times New Roman" w:eastAsia="Times New Roman" w:hAnsi="Times New Roman"/>
          <w:color w:val="000000" w:themeColor="text1"/>
          <w:sz w:val="24"/>
        </w:rPr>
        <w:t xml:space="preserve">facilities flexibility and </w:t>
      </w:r>
      <w:r w:rsidRPr="1464C6FC">
        <w:rPr>
          <w:rFonts w:ascii="Times New Roman" w:eastAsia="Times New Roman" w:hAnsi="Times New Roman"/>
          <w:color w:val="000000" w:themeColor="text1"/>
          <w:sz w:val="24"/>
        </w:rPr>
        <w:t>allows</w:t>
      </w:r>
      <w:r w:rsidRPr="4649018F">
        <w:rPr>
          <w:rFonts w:ascii="Times New Roman" w:eastAsia="Times New Roman" w:hAnsi="Times New Roman"/>
          <w:color w:val="000000" w:themeColor="text1"/>
          <w:sz w:val="24"/>
        </w:rPr>
        <w:t xml:space="preserve"> facility owners and operators to exercise reasonable judgement to determine </w:t>
      </w:r>
      <w:r w:rsidRPr="000B75EF">
        <w:rPr>
          <w:rFonts w:ascii="Times New Roman" w:eastAsia="Times New Roman" w:hAnsi="Times New Roman"/>
          <w:sz w:val="24"/>
        </w:rPr>
        <w:t>what technology or risk reduction measures work best for their particular chemical uses, processes</w:t>
      </w:r>
      <w:r>
        <w:rPr>
          <w:rFonts w:ascii="Times New Roman" w:eastAsia="Times New Roman" w:hAnsi="Times New Roman"/>
          <w:sz w:val="24"/>
        </w:rPr>
        <w:t>,</w:t>
      </w:r>
      <w:r w:rsidRPr="000B75EF">
        <w:rPr>
          <w:rFonts w:ascii="Times New Roman" w:eastAsia="Times New Roman" w:hAnsi="Times New Roman"/>
          <w:sz w:val="24"/>
        </w:rPr>
        <w:t xml:space="preserve"> or facility. The final rule’s emergency exercise requirements also give owners and operators </w:t>
      </w:r>
      <w:r w:rsidRPr="4649018F">
        <w:rPr>
          <w:rFonts w:ascii="Times New Roman" w:eastAsia="Times New Roman" w:hAnsi="Times New Roman"/>
          <w:color w:val="000000" w:themeColor="text1"/>
          <w:sz w:val="24"/>
        </w:rPr>
        <w:t>significant flexibility in establishing exercise schedules and exercise scenarios. Other provisions of the final rule afford similar flexibilities.</w:t>
      </w:r>
    </w:p>
    <w:p w:rsidR="00025134" w:rsidP="00025134" w14:paraId="2CC3DC05" w14:textId="7FFCD775">
      <w:pPr>
        <w:rPr>
          <w:rFonts w:ascii="Times New Roman" w:eastAsia="Times New Roman" w:hAnsi="Times New Roman"/>
          <w:sz w:val="24"/>
        </w:rPr>
      </w:pPr>
      <w:r>
        <w:rPr>
          <w:rFonts w:ascii="Times New Roman" w:hAnsi="Times New Roman"/>
          <w:b/>
          <w:bCs/>
          <w:sz w:val="24"/>
        </w:rPr>
        <w:t>Comment 1.1-0</w:t>
      </w:r>
      <w:r w:rsidR="00161DF0">
        <w:rPr>
          <w:rFonts w:ascii="Times New Roman" w:hAnsi="Times New Roman"/>
          <w:b/>
          <w:bCs/>
          <w:sz w:val="24"/>
        </w:rPr>
        <w:t>6</w:t>
      </w:r>
      <w:r>
        <w:rPr>
          <w:rFonts w:ascii="Times New Roman" w:hAnsi="Times New Roman"/>
          <w:b/>
          <w:bCs/>
          <w:sz w:val="24"/>
        </w:rPr>
        <w:t xml:space="preserve">: </w:t>
      </w:r>
      <w:r w:rsidRPr="00BC408F">
        <w:rPr>
          <w:rFonts w:ascii="Times New Roman" w:hAnsi="Times New Roman"/>
          <w:sz w:val="24"/>
        </w:rPr>
        <w:t>Several commenters asserted that there is no basis or evidence that the proposed rule is necessary (</w:t>
      </w:r>
      <w:r w:rsidRPr="00BC408F">
        <w:rPr>
          <w:rFonts w:ascii="Times New Roman" w:eastAsia="Times New Roman" w:hAnsi="Times New Roman"/>
          <w:sz w:val="24"/>
        </w:rPr>
        <w:t>0180, 0188, 0197, 0210, 0214, 0217, 0224, 0225, 0226, 0233, 0234, 0238, 0239, 0253, 0256, 0268, 0458).</w:t>
      </w:r>
      <w:r>
        <w:rPr>
          <w:rFonts w:ascii="Times New Roman" w:eastAsia="Times New Roman" w:hAnsi="Times New Roman"/>
          <w:sz w:val="24"/>
        </w:rPr>
        <w:t xml:space="preserve"> </w:t>
      </w:r>
    </w:p>
    <w:p w:rsidR="00025134" w:rsidP="00025134" w14:paraId="70DC649C" w14:textId="77777777">
      <w:pPr>
        <w:rPr>
          <w:rFonts w:ascii="Times New Roman" w:hAnsi="Times New Roman"/>
          <w:sz w:val="24"/>
        </w:rPr>
      </w:pPr>
      <w:r w:rsidRPr="006F68E9">
        <w:rPr>
          <w:rFonts w:ascii="Times New Roman" w:hAnsi="Times New Roman"/>
          <w:sz w:val="24"/>
        </w:rPr>
        <w:t xml:space="preserve">A couple of commenters suggested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is unnecessary because only a few facilities are in violation</w:t>
      </w:r>
      <w:r>
        <w:rPr>
          <w:rFonts w:ascii="Times New Roman" w:hAnsi="Times New Roman"/>
          <w:sz w:val="24"/>
        </w:rPr>
        <w:t>,</w:t>
      </w:r>
      <w:r w:rsidRPr="006F68E9">
        <w:rPr>
          <w:rFonts w:ascii="Times New Roman" w:hAnsi="Times New Roman"/>
          <w:sz w:val="24"/>
        </w:rPr>
        <w:t xml:space="preserve"> and </w:t>
      </w:r>
      <w:r>
        <w:rPr>
          <w:rFonts w:ascii="Times New Roman" w:hAnsi="Times New Roman"/>
          <w:sz w:val="24"/>
        </w:rPr>
        <w:t>the commenters suggested that</w:t>
      </w:r>
      <w:r w:rsidRPr="006F68E9">
        <w:rPr>
          <w:rFonts w:ascii="Times New Roman" w:hAnsi="Times New Roman"/>
          <w:sz w:val="24"/>
        </w:rPr>
        <w:t xml:space="preserve"> better enforcement is the better solution (0272, 0275).</w:t>
      </w:r>
      <w:r>
        <w:rPr>
          <w:rFonts w:ascii="Times New Roman" w:hAnsi="Times New Roman"/>
          <w:sz w:val="24"/>
        </w:rPr>
        <w:t xml:space="preserve"> </w:t>
      </w:r>
    </w:p>
    <w:p w:rsidR="00025134" w:rsidRPr="007B2AF5" w:rsidP="00025134" w14:paraId="520CA8BC" w14:textId="77777777">
      <w:pPr>
        <w:rPr>
          <w:rFonts w:ascii="Times New Roman" w:hAnsi="Times New Roman"/>
          <w:sz w:val="24"/>
        </w:rPr>
      </w:pPr>
      <w:r>
        <w:rPr>
          <w:rFonts w:ascii="Times New Roman" w:hAnsi="Times New Roman"/>
          <w:sz w:val="24"/>
        </w:rPr>
        <w:t>A</w:t>
      </w:r>
      <w:r w:rsidRPr="006F68E9">
        <w:rPr>
          <w:rFonts w:ascii="Times New Roman" w:hAnsi="Times New Roman"/>
          <w:sz w:val="24"/>
        </w:rPr>
        <w:t xml:space="preserve"> couple of commenters </w:t>
      </w:r>
      <w:r>
        <w:rPr>
          <w:rFonts w:ascii="Times New Roman" w:hAnsi="Times New Roman"/>
          <w:sz w:val="24"/>
        </w:rPr>
        <w:t>asserted</w:t>
      </w:r>
      <w:r w:rsidRPr="006F68E9">
        <w:rPr>
          <w:rFonts w:ascii="Times New Roman" w:hAnsi="Times New Roman"/>
          <w:sz w:val="24"/>
        </w:rPr>
        <w:t xml:space="preserve"> that EPA’s own data undermines, rather than makes the case, of this rulemaking as reportable accidents have continued to decline (0250, 0275). </w:t>
      </w:r>
      <w:r w:rsidRPr="00742F9F">
        <w:rPr>
          <w:rFonts w:ascii="Times New Roman" w:hAnsi="Times New Roman"/>
          <w:sz w:val="24"/>
        </w:rPr>
        <w:t>One commenter asserted that EPA provides no evidence or explanation that any of the proposed rule’s provisions would have prevented any accident or would shorten highly complex litigation. The commenter stated that the proposed rule describes a single, arguably new incident (a fire and evacuation at a TCP Group facility in Port Neches), yet EPA offers no evidence that any aspect of the proposed rule would have stopped or mitigated the TCP Group facility incident (0207).</w:t>
      </w:r>
    </w:p>
    <w:p w:rsidR="00025134" w:rsidRPr="008F2FC2" w:rsidP="00025134" w14:paraId="4AB21C12" w14:textId="77777777">
      <w:pPr>
        <w:rPr>
          <w:rFonts w:ascii="Times New Roman" w:hAnsi="Times New Roman"/>
          <w:sz w:val="24"/>
        </w:rPr>
      </w:pPr>
      <w:r w:rsidRPr="006F68E9">
        <w:rPr>
          <w:rFonts w:ascii="Times New Roman" w:hAnsi="Times New Roman"/>
          <w:sz w:val="24"/>
        </w:rPr>
        <w:t xml:space="preserve">Another commenter stated that many of the proposed requirements could increase the risk of accidental releases, ignoring Congress’ statutory intent for the RMP to reduce the accidental release risks. In assessing EPA’s data, the commenter found that the current RMP requirements </w:t>
      </w:r>
      <w:r w:rsidRPr="006F68E9">
        <w:rPr>
          <w:rFonts w:ascii="Times New Roman" w:hAnsi="Times New Roman"/>
          <w:sz w:val="24"/>
        </w:rPr>
        <w:t xml:space="preserve">have already been highly effective in reducing accidental chemical releases. The commenter expressed concern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will depart from a collaborative and data-driven process and focus on additional unnecessary regulatory mandates that could unintentionally increase risk levels (0215).</w:t>
      </w:r>
      <w:r>
        <w:rPr>
          <w:rFonts w:ascii="Times New Roman" w:hAnsi="Times New Roman"/>
          <w:sz w:val="24"/>
        </w:rPr>
        <w:t xml:space="preserve"> </w:t>
      </w:r>
    </w:p>
    <w:p w:rsidR="00025134" w:rsidRPr="008F2FC2" w:rsidP="00025134" w14:paraId="2DEBCE55" w14:textId="77777777">
      <w:pPr>
        <w:rPr>
          <w:rFonts w:ascii="Times New Roman" w:hAnsi="Times New Roman"/>
          <w:sz w:val="24"/>
        </w:rPr>
      </w:pPr>
      <w:r w:rsidRPr="006F68E9">
        <w:rPr>
          <w:rFonts w:ascii="Times New Roman" w:hAnsi="Times New Roman"/>
          <w:sz w:val="24"/>
        </w:rPr>
        <w:t>Another commenter rejected the approach of basing regulations on past performance because they are not predictive of future performance (0456).</w:t>
      </w:r>
    </w:p>
    <w:p w:rsidR="0028355B" w:rsidP="00025134" w14:paraId="3E8FD05B" w14:textId="6543D578">
      <w:pPr>
        <w:ind w:left="720"/>
        <w:rPr>
          <w:rFonts w:ascii="Times New Roman" w:eastAsia="Times New Roman" w:hAnsi="Times New Roman"/>
          <w:color w:val="000000" w:themeColor="text1"/>
          <w:sz w:val="24"/>
        </w:rPr>
      </w:pPr>
      <w:r>
        <w:rPr>
          <w:rFonts w:ascii="Times New Roman" w:eastAsia="Times New Roman" w:hAnsi="Times New Roman"/>
          <w:b/>
          <w:bCs/>
          <w:sz w:val="24"/>
        </w:rPr>
        <w:t xml:space="preserve">EPA Response: </w:t>
      </w:r>
      <w:r w:rsidRPr="4649018F">
        <w:rPr>
          <w:rFonts w:ascii="Times New Roman" w:eastAsia="Times New Roman" w:hAnsi="Times New Roman"/>
          <w:color w:val="000000" w:themeColor="text1"/>
          <w:sz w:val="24"/>
        </w:rPr>
        <w:t xml:space="preserve">EPA disagrees that that there is no basis or evidence that the </w:t>
      </w:r>
      <w:r>
        <w:rPr>
          <w:rFonts w:ascii="Times New Roman" w:eastAsia="Times New Roman" w:hAnsi="Times New Roman"/>
          <w:color w:val="000000" w:themeColor="text1"/>
          <w:sz w:val="24"/>
        </w:rPr>
        <w:t>proposed</w:t>
      </w:r>
      <w:r w:rsidRPr="4649018F">
        <w:rPr>
          <w:rFonts w:ascii="Times New Roman" w:eastAsia="Times New Roman" w:hAnsi="Times New Roman"/>
          <w:color w:val="D13438"/>
          <w:sz w:val="24"/>
          <w:u w:val="single"/>
        </w:rPr>
        <w:t xml:space="preserve"> </w:t>
      </w:r>
      <w:r w:rsidRPr="4649018F">
        <w:rPr>
          <w:rFonts w:ascii="Times New Roman" w:eastAsia="Times New Roman" w:hAnsi="Times New Roman"/>
          <w:color w:val="000000" w:themeColor="text1"/>
          <w:sz w:val="24"/>
        </w:rPr>
        <w:t xml:space="preserve">rule is necessary. </w:t>
      </w:r>
      <w:r w:rsidRPr="1464C6FC">
        <w:rPr>
          <w:rFonts w:ascii="Times New Roman" w:eastAsia="Times New Roman" w:hAnsi="Times New Roman"/>
          <w:color w:val="000000" w:themeColor="text1"/>
          <w:sz w:val="24"/>
        </w:rPr>
        <w:t xml:space="preserve">Congress charged EPA to promulgate reasonable regulations to provide to the greatest extent practicable for the prevention and detection of accidental releases. Even when EPA has discharged its mandatory duty under CAA section 112(r)(7)(B), the Agency retains the discretion to amend the regulations when they can be improved to further the intent of the statute. </w:t>
      </w:r>
      <w:r w:rsidRPr="1464C6FC">
        <w:rPr>
          <w:rFonts w:ascii="Times New Roman" w:eastAsia="Times New Roman" w:hAnsi="Times New Roman"/>
          <w:color w:val="000000" w:themeColor="text1"/>
          <w:sz w:val="24"/>
        </w:rPr>
        <w:t>Therefore, when m</w:t>
      </w:r>
      <w:r w:rsidRPr="4649018F">
        <w:rPr>
          <w:rFonts w:ascii="Times New Roman" w:eastAsia="Times New Roman" w:hAnsi="Times New Roman"/>
          <w:color w:val="000000" w:themeColor="text1"/>
          <w:sz w:val="24"/>
        </w:rPr>
        <w:t xml:space="preserve">ajor </w:t>
      </w:r>
      <w:r w:rsidR="00197AA2">
        <w:rPr>
          <w:rFonts w:ascii="Times New Roman" w:eastAsia="Times New Roman" w:hAnsi="Times New Roman"/>
          <w:color w:val="000000" w:themeColor="text1"/>
          <w:sz w:val="24"/>
        </w:rPr>
        <w:t xml:space="preserve">concerning </w:t>
      </w:r>
      <w:r w:rsidRPr="4649018F">
        <w:rPr>
          <w:rFonts w:ascii="Times New Roman" w:eastAsia="Times New Roman" w:hAnsi="Times New Roman"/>
          <w:color w:val="000000" w:themeColor="text1"/>
          <w:sz w:val="24"/>
        </w:rPr>
        <w:t>RMP accidents</w:t>
      </w:r>
      <w:r w:rsidR="00BE1938">
        <w:rPr>
          <w:rFonts w:ascii="Times New Roman" w:eastAsia="Times New Roman" w:hAnsi="Times New Roman"/>
          <w:color w:val="000000" w:themeColor="text1"/>
          <w:sz w:val="24"/>
        </w:rPr>
        <w:t>, including major accidents,</w:t>
      </w:r>
      <w:r w:rsidRPr="4649018F">
        <w:rPr>
          <w:rFonts w:ascii="Times New Roman" w:eastAsia="Times New Roman" w:hAnsi="Times New Roman"/>
          <w:color w:val="000000" w:themeColor="text1"/>
          <w:sz w:val="24"/>
        </w:rPr>
        <w:t xml:space="preserve"> </w:t>
      </w:r>
      <w:r w:rsidRPr="4649018F">
        <w:rPr>
          <w:rFonts w:ascii="Times New Roman" w:eastAsia="Times New Roman" w:hAnsi="Times New Roman"/>
          <w:color w:val="000000" w:themeColor="text1"/>
          <w:sz w:val="24"/>
        </w:rPr>
        <w:t>continue to occur</w:t>
      </w:r>
      <w:r w:rsidRPr="1464C6FC">
        <w:rPr>
          <w:rFonts w:ascii="Times New Roman" w:eastAsia="Times New Roman" w:hAnsi="Times New Roman"/>
          <w:color w:val="000000" w:themeColor="text1"/>
          <w:sz w:val="24"/>
        </w:rPr>
        <w:t xml:space="preserve"> as they have,</w:t>
      </w:r>
      <w:r w:rsidRPr="4649018F">
        <w:rPr>
          <w:rFonts w:ascii="Times New Roman" w:eastAsia="Times New Roman" w:hAnsi="Times New Roman"/>
          <w:color w:val="000000" w:themeColor="text1"/>
          <w:sz w:val="24"/>
        </w:rPr>
        <w:t xml:space="preserve"> it is EPA’s responsibility to further protect human health and the environment, if there are </w:t>
      </w:r>
      <w:r w:rsidRPr="1464C6FC">
        <w:rPr>
          <w:rFonts w:ascii="Times New Roman" w:eastAsia="Times New Roman" w:hAnsi="Times New Roman"/>
          <w:color w:val="000000" w:themeColor="text1"/>
          <w:sz w:val="24"/>
        </w:rPr>
        <w:t xml:space="preserve">reasonable </w:t>
      </w:r>
      <w:r w:rsidRPr="4649018F">
        <w:rPr>
          <w:rFonts w:ascii="Times New Roman" w:eastAsia="Times New Roman" w:hAnsi="Times New Roman"/>
          <w:color w:val="000000" w:themeColor="text1"/>
          <w:sz w:val="24"/>
        </w:rPr>
        <w:t xml:space="preserve">opportunities to do so. Many of the amendments </w:t>
      </w:r>
      <w:r w:rsidRPr="1464C6FC">
        <w:rPr>
          <w:rFonts w:ascii="Times New Roman" w:eastAsia="Times New Roman" w:hAnsi="Times New Roman"/>
          <w:color w:val="000000" w:themeColor="text1"/>
          <w:sz w:val="24"/>
        </w:rPr>
        <w:t>being</w:t>
      </w:r>
      <w:r>
        <w:rPr>
          <w:rFonts w:ascii="Times New Roman" w:eastAsia="Times New Roman" w:hAnsi="Times New Roman"/>
          <w:color w:val="000000" w:themeColor="text1"/>
          <w:sz w:val="24"/>
        </w:rPr>
        <w:t xml:space="preserve"> </w:t>
      </w:r>
      <w:r w:rsidRPr="4649018F">
        <w:rPr>
          <w:rFonts w:ascii="Times New Roman" w:eastAsia="Times New Roman" w:hAnsi="Times New Roman"/>
          <w:color w:val="000000" w:themeColor="text1"/>
          <w:sz w:val="24"/>
        </w:rPr>
        <w:t xml:space="preserve">finalized in this action, some stronger than what was proposed, </w:t>
      </w:r>
      <w:r w:rsidRPr="1464C6FC">
        <w:rPr>
          <w:rFonts w:ascii="Times New Roman" w:eastAsia="Times New Roman" w:hAnsi="Times New Roman"/>
          <w:color w:val="000000" w:themeColor="text1"/>
          <w:sz w:val="24"/>
        </w:rPr>
        <w:t>were</w:t>
      </w:r>
      <w:r w:rsidRPr="4649018F">
        <w:rPr>
          <w:rFonts w:ascii="Times New Roman" w:eastAsia="Times New Roman" w:hAnsi="Times New Roman"/>
          <w:color w:val="D13438"/>
          <w:sz w:val="24"/>
          <w:u w:val="single"/>
        </w:rPr>
        <w:t xml:space="preserve"> </w:t>
      </w:r>
      <w:r w:rsidRPr="4649018F">
        <w:rPr>
          <w:rFonts w:ascii="Times New Roman" w:eastAsia="Times New Roman" w:hAnsi="Times New Roman"/>
          <w:color w:val="000000" w:themeColor="text1"/>
          <w:sz w:val="24"/>
        </w:rPr>
        <w:t>informed by commen</w:t>
      </w:r>
      <w:r>
        <w:rPr>
          <w:rFonts w:ascii="Times New Roman" w:eastAsia="Times New Roman" w:hAnsi="Times New Roman"/>
          <w:color w:val="000000" w:themeColor="text1"/>
          <w:sz w:val="24"/>
        </w:rPr>
        <w:t>te</w:t>
      </w:r>
      <w:r w:rsidRPr="4649018F">
        <w:rPr>
          <w:rFonts w:ascii="Times New Roman" w:eastAsia="Times New Roman" w:hAnsi="Times New Roman"/>
          <w:color w:val="000000" w:themeColor="text1"/>
          <w:sz w:val="24"/>
        </w:rPr>
        <w:t xml:space="preserve">rs, </w:t>
      </w:r>
      <w:r w:rsidRPr="1464C6FC">
        <w:rPr>
          <w:rFonts w:ascii="Times New Roman" w:eastAsia="Times New Roman" w:hAnsi="Times New Roman"/>
          <w:color w:val="000000" w:themeColor="text1"/>
          <w:sz w:val="24"/>
        </w:rPr>
        <w:t xml:space="preserve">including </w:t>
      </w:r>
      <w:r w:rsidRPr="4649018F">
        <w:rPr>
          <w:rFonts w:ascii="Times New Roman" w:eastAsia="Times New Roman" w:hAnsi="Times New Roman"/>
          <w:color w:val="000000" w:themeColor="text1"/>
          <w:sz w:val="24"/>
        </w:rPr>
        <w:t>many that suffer the consequences of accidents occurring at RMP facilities or work in RMP</w:t>
      </w:r>
      <w:r w:rsidRPr="4649018F">
        <w:rPr>
          <w:rFonts w:ascii="Times New Roman" w:eastAsia="Times New Roman" w:hAnsi="Times New Roman"/>
          <w:color w:val="0078D4"/>
          <w:sz w:val="24"/>
          <w:u w:val="single"/>
        </w:rPr>
        <w:t>-</w:t>
      </w:r>
      <w:r w:rsidRPr="4649018F">
        <w:rPr>
          <w:rFonts w:ascii="Times New Roman" w:eastAsia="Times New Roman" w:hAnsi="Times New Roman"/>
          <w:strike/>
          <w:color w:val="0078D4"/>
          <w:sz w:val="24"/>
        </w:rPr>
        <w:t xml:space="preserve"> </w:t>
      </w:r>
      <w:r w:rsidRPr="4649018F">
        <w:rPr>
          <w:rFonts w:ascii="Times New Roman" w:eastAsia="Times New Roman" w:hAnsi="Times New Roman"/>
          <w:color w:val="000000" w:themeColor="text1"/>
          <w:sz w:val="24"/>
        </w:rPr>
        <w:t xml:space="preserve">covered processes. The amendments are also informed by RMP accident data which indicate trends in accident occurrence. </w:t>
      </w:r>
      <w:r w:rsidRPr="1464C6FC">
        <w:rPr>
          <w:rFonts w:ascii="Times New Roman" w:eastAsia="Times New Roman" w:hAnsi="Times New Roman"/>
          <w:color w:val="000000" w:themeColor="text1"/>
          <w:sz w:val="24"/>
        </w:rPr>
        <w:t>For example, as discussed in the proposal, recent accidents highlight that while the annual count of accidents decreased overall between 2016 and 2020</w:t>
      </w:r>
      <w:r w:rsidRPr="0076074F">
        <w:rPr>
          <w:rFonts w:ascii="Times New Roman" w:eastAsia="Times New Roman" w:hAnsi="Times New Roman"/>
          <w:color w:val="000000" w:themeColor="text1"/>
          <w:sz w:val="24"/>
        </w:rPr>
        <w:t>,</w:t>
      </w:r>
      <w:r>
        <w:rPr>
          <w:rStyle w:val="FootnoteReference"/>
          <w:rFonts w:ascii="Times New Roman" w:hAnsi="Times New Roman"/>
          <w:sz w:val="24"/>
          <w:highlight w:val="yellow"/>
        </w:rPr>
        <w:footnoteReference w:id="4"/>
      </w:r>
      <w:r w:rsidRPr="0076074F">
        <w:rPr>
          <w:rFonts w:ascii="Times New Roman" w:eastAsia="Times New Roman" w:hAnsi="Times New Roman"/>
          <w:color w:val="000000" w:themeColor="text1"/>
          <w:sz w:val="24"/>
        </w:rPr>
        <w:t xml:space="preserve"> </w:t>
      </w:r>
      <w:r w:rsidRPr="0076074F">
        <w:rPr>
          <w:rFonts w:ascii="Times New Roman" w:eastAsia="Times New Roman" w:hAnsi="Times New Roman"/>
          <w:color w:val="000000" w:themeColor="text1"/>
          <w:sz w:val="24"/>
        </w:rPr>
        <w:t>i</w:t>
      </w:r>
      <w:r w:rsidRPr="1464C6FC">
        <w:rPr>
          <w:rFonts w:ascii="Times New Roman" w:eastAsia="Times New Roman" w:hAnsi="Times New Roman"/>
          <w:color w:val="000000" w:themeColor="text1"/>
          <w:sz w:val="24"/>
        </w:rPr>
        <w:t xml:space="preserve">n 2019, the TPC Group explosion </w:t>
      </w:r>
      <w:r w:rsidR="00153E8C">
        <w:rPr>
          <w:rFonts w:ascii="Times New Roman" w:eastAsia="Times New Roman" w:hAnsi="Times New Roman"/>
          <w:color w:val="000000" w:themeColor="text1"/>
          <w:sz w:val="24"/>
        </w:rPr>
        <w:t xml:space="preserve">(TPC) </w:t>
      </w:r>
      <w:r w:rsidRPr="1464C6FC">
        <w:rPr>
          <w:rFonts w:ascii="Times New Roman" w:eastAsia="Times New Roman" w:hAnsi="Times New Roman"/>
          <w:color w:val="000000" w:themeColor="text1"/>
          <w:sz w:val="24"/>
        </w:rPr>
        <w:t>and fire in Port Neches, Texas, reported the largest number of persons ever evacuated (50,000 people) as the result of an RMP-reportable incident, as well as $153 million in offsite property damage.</w:t>
      </w:r>
      <w:r>
        <w:rPr>
          <w:rStyle w:val="FootnoteReference"/>
          <w:rFonts w:ascii="Times New Roman" w:eastAsia="Times New Roman" w:hAnsi="Times New Roman"/>
          <w:color w:val="000000" w:themeColor="text1"/>
          <w:sz w:val="24"/>
        </w:rPr>
        <w:footnoteReference w:id="5"/>
      </w:r>
      <w:r w:rsidRPr="1464C6FC">
        <w:rPr>
          <w:rFonts w:ascii="Times New Roman" w:eastAsia="Times New Roman" w:hAnsi="Times New Roman"/>
          <w:color w:val="000000" w:themeColor="text1"/>
          <w:sz w:val="24"/>
        </w:rPr>
        <w:t xml:space="preserve"> </w:t>
      </w:r>
      <w:r w:rsidRPr="00A81757" w:rsidR="00DB1EB9">
        <w:rPr>
          <w:rFonts w:ascii="Times New Roman" w:eastAsia="Times New Roman" w:hAnsi="Times New Roman"/>
          <w:color w:val="000000" w:themeColor="text1"/>
          <w:sz w:val="24"/>
        </w:rPr>
        <w:t xml:space="preserve">EPA did not conduct an inspection at TPC just prior to this accident because as indicated in the 2019 reconsideration rule, EPA prioritizes inspections at facilities that have had accidental releases. TPC had no recent prior RMP accidental release and was not otherwise due for inspection under EPA’s routine oversight plan. </w:t>
      </w:r>
      <w:r w:rsidRPr="00A81757" w:rsidR="00DB1EB9">
        <w:rPr>
          <w:rFonts w:ascii="Times New Roman" w:eastAsia="Times New Roman" w:hAnsi="Times New Roman"/>
          <w:color w:val="000000" w:themeColor="text1"/>
          <w:sz w:val="24"/>
        </w:rPr>
        <w:t xml:space="preserve">Therefore, we believe our </w:t>
      </w:r>
      <w:r w:rsidR="00C943EA">
        <w:rPr>
          <w:rFonts w:ascii="Times New Roman" w:eastAsia="Times New Roman" w:hAnsi="Times New Roman"/>
          <w:color w:val="000000" w:themeColor="text1"/>
          <w:sz w:val="24"/>
        </w:rPr>
        <w:t xml:space="preserve">current </w:t>
      </w:r>
      <w:r w:rsidRPr="00A81757" w:rsidR="00DB1EB9">
        <w:rPr>
          <w:rFonts w:ascii="Times New Roman" w:eastAsia="Times New Roman" w:hAnsi="Times New Roman"/>
          <w:color w:val="000000" w:themeColor="text1"/>
          <w:sz w:val="24"/>
        </w:rPr>
        <w:t>enforcement resources</w:t>
      </w:r>
      <w:r w:rsidR="00C943EA">
        <w:rPr>
          <w:rFonts w:ascii="Times New Roman" w:eastAsia="Times New Roman" w:hAnsi="Times New Roman"/>
          <w:color w:val="000000" w:themeColor="text1"/>
          <w:sz w:val="24"/>
        </w:rPr>
        <w:t>,</w:t>
      </w:r>
      <w:r w:rsidRPr="00A81757" w:rsidR="00DB1EB9">
        <w:rPr>
          <w:rFonts w:ascii="Times New Roman" w:eastAsia="Times New Roman" w:hAnsi="Times New Roman"/>
          <w:color w:val="000000" w:themeColor="text1"/>
          <w:sz w:val="24"/>
        </w:rPr>
        <w:t xml:space="preserve"> and </w:t>
      </w:r>
      <w:r w:rsidR="00C943EA">
        <w:rPr>
          <w:rFonts w:ascii="Times New Roman" w:eastAsia="Times New Roman" w:hAnsi="Times New Roman"/>
          <w:color w:val="000000" w:themeColor="text1"/>
          <w:sz w:val="24"/>
        </w:rPr>
        <w:t xml:space="preserve">even prioritizing inspections, </w:t>
      </w:r>
      <w:r w:rsidRPr="00A81757" w:rsidR="00DB1EB9">
        <w:rPr>
          <w:rFonts w:ascii="Times New Roman" w:eastAsia="Times New Roman" w:hAnsi="Times New Roman"/>
          <w:color w:val="000000" w:themeColor="text1"/>
          <w:sz w:val="24"/>
        </w:rPr>
        <w:t xml:space="preserve">are not capable of </w:t>
      </w:r>
      <w:r w:rsidR="00C943EA">
        <w:rPr>
          <w:rFonts w:ascii="Times New Roman" w:eastAsia="Times New Roman" w:hAnsi="Times New Roman"/>
          <w:color w:val="000000" w:themeColor="text1"/>
          <w:sz w:val="24"/>
        </w:rPr>
        <w:t xml:space="preserve">effectively </w:t>
      </w:r>
      <w:r w:rsidRPr="00A81757" w:rsidR="00DB1EB9">
        <w:rPr>
          <w:rFonts w:ascii="Times New Roman" w:eastAsia="Times New Roman" w:hAnsi="Times New Roman"/>
          <w:color w:val="000000" w:themeColor="text1"/>
          <w:sz w:val="24"/>
        </w:rPr>
        <w:t xml:space="preserve">addressing accident-prone facilities without additional regulatory </w:t>
      </w:r>
      <w:r w:rsidR="004E1B00">
        <w:rPr>
          <w:rFonts w:ascii="Times New Roman" w:eastAsia="Times New Roman" w:hAnsi="Times New Roman"/>
          <w:color w:val="000000" w:themeColor="text1"/>
          <w:sz w:val="24"/>
        </w:rPr>
        <w:t xml:space="preserve">requirements </w:t>
      </w:r>
      <w:r w:rsidRPr="00A81757" w:rsidR="00DB1EB9">
        <w:rPr>
          <w:rFonts w:ascii="Times New Roman" w:eastAsia="Times New Roman" w:hAnsi="Times New Roman"/>
          <w:color w:val="000000" w:themeColor="text1"/>
          <w:sz w:val="24"/>
        </w:rPr>
        <w:t xml:space="preserve">mandates. </w:t>
      </w:r>
      <w:r w:rsidRPr="00E92F0E" w:rsidR="00CF7529">
        <w:rPr>
          <w:rFonts w:ascii="Times New Roman" w:eastAsia="Times New Roman" w:hAnsi="Times New Roman"/>
          <w:color w:val="000000" w:themeColor="text1"/>
          <w:sz w:val="24"/>
        </w:rPr>
        <w:t>Had the provisions</w:t>
      </w:r>
      <w:r w:rsidRPr="00E92F0E" w:rsidR="00984BFA">
        <w:rPr>
          <w:rFonts w:ascii="Times New Roman" w:eastAsia="Times New Roman" w:hAnsi="Times New Roman"/>
          <w:color w:val="000000" w:themeColor="text1"/>
          <w:sz w:val="24"/>
        </w:rPr>
        <w:t xml:space="preserve"> being finalized today b</w:t>
      </w:r>
      <w:r w:rsidRPr="00E92F0E" w:rsidR="00CF7529">
        <w:rPr>
          <w:rFonts w:ascii="Times New Roman" w:eastAsia="Times New Roman" w:hAnsi="Times New Roman"/>
          <w:color w:val="000000" w:themeColor="text1"/>
          <w:sz w:val="24"/>
        </w:rPr>
        <w:t>een in effect prior to the TPC Group accident</w:t>
      </w:r>
      <w:r w:rsidRPr="00E92F0E" w:rsidR="00984BFA">
        <w:rPr>
          <w:rFonts w:ascii="Times New Roman" w:eastAsia="Times New Roman" w:hAnsi="Times New Roman"/>
          <w:color w:val="000000" w:themeColor="text1"/>
          <w:sz w:val="24"/>
        </w:rPr>
        <w:t>, the owner or operator of TPC Group</w:t>
      </w:r>
      <w:r w:rsidR="00F62DF5">
        <w:rPr>
          <w:rFonts w:ascii="Times New Roman" w:eastAsia="Times New Roman" w:hAnsi="Times New Roman"/>
          <w:color w:val="000000" w:themeColor="text1"/>
          <w:sz w:val="24"/>
        </w:rPr>
        <w:t>, prior to the accident</w:t>
      </w:r>
      <w:r w:rsidR="00B674E3">
        <w:rPr>
          <w:rFonts w:ascii="Times New Roman" w:eastAsia="Times New Roman" w:hAnsi="Times New Roman"/>
          <w:color w:val="000000" w:themeColor="text1"/>
          <w:sz w:val="24"/>
        </w:rPr>
        <w:t>,</w:t>
      </w:r>
      <w:r w:rsidR="00F62DF5">
        <w:rPr>
          <w:rFonts w:ascii="Times New Roman" w:eastAsia="Times New Roman" w:hAnsi="Times New Roman"/>
          <w:color w:val="000000" w:themeColor="text1"/>
          <w:sz w:val="24"/>
        </w:rPr>
        <w:t xml:space="preserve"> would </w:t>
      </w:r>
      <w:r w:rsidRPr="00E92F0E" w:rsidR="00984BFA">
        <w:rPr>
          <w:rFonts w:ascii="Times New Roman" w:eastAsia="Times New Roman" w:hAnsi="Times New Roman"/>
          <w:color w:val="000000" w:themeColor="text1"/>
          <w:sz w:val="24"/>
        </w:rPr>
        <w:t>have</w:t>
      </w:r>
      <w:r w:rsidR="00E30A98">
        <w:rPr>
          <w:rFonts w:ascii="Times New Roman" w:eastAsia="Times New Roman" w:hAnsi="Times New Roman"/>
          <w:color w:val="000000" w:themeColor="text1"/>
          <w:sz w:val="24"/>
        </w:rPr>
        <w:t xml:space="preserve"> </w:t>
      </w:r>
      <w:r w:rsidRPr="00E92F0E" w:rsidR="00984BFA">
        <w:rPr>
          <w:rFonts w:ascii="Times New Roman" w:eastAsia="Times New Roman" w:hAnsi="Times New Roman"/>
          <w:color w:val="000000" w:themeColor="text1"/>
          <w:sz w:val="24"/>
        </w:rPr>
        <w:t xml:space="preserve">been required to </w:t>
      </w:r>
      <w:r w:rsidRPr="00E92F0E" w:rsidR="00DC25C3">
        <w:rPr>
          <w:rFonts w:ascii="Times New Roman" w:eastAsia="Times New Roman" w:hAnsi="Times New Roman"/>
          <w:color w:val="000000" w:themeColor="text1"/>
          <w:sz w:val="24"/>
        </w:rPr>
        <w:t xml:space="preserve">conduct </w:t>
      </w:r>
      <w:r w:rsidRPr="00E92F0E" w:rsidR="00B510AB">
        <w:rPr>
          <w:rFonts w:ascii="Times New Roman" w:eastAsia="Times New Roman" w:hAnsi="Times New Roman"/>
          <w:color w:val="000000" w:themeColor="text1"/>
          <w:sz w:val="24"/>
        </w:rPr>
        <w:t>an initial STAA evaluation</w:t>
      </w:r>
      <w:r w:rsidR="00CB36CC">
        <w:rPr>
          <w:rFonts w:ascii="Times New Roman" w:eastAsia="Times New Roman" w:hAnsi="Times New Roman"/>
          <w:color w:val="000000" w:themeColor="text1"/>
          <w:sz w:val="24"/>
        </w:rPr>
        <w:t xml:space="preserve"> and a</w:t>
      </w:r>
      <w:r w:rsidRPr="00E92F0E" w:rsidR="00B510AB">
        <w:rPr>
          <w:rFonts w:ascii="Times New Roman" w:eastAsia="Times New Roman" w:hAnsi="Times New Roman"/>
          <w:color w:val="000000" w:themeColor="text1"/>
          <w:sz w:val="24"/>
        </w:rPr>
        <w:t xml:space="preserve"> </w:t>
      </w:r>
      <w:r w:rsidRPr="00E92F0E" w:rsidR="00DC25C3">
        <w:rPr>
          <w:rFonts w:ascii="Times New Roman" w:eastAsia="Times New Roman" w:hAnsi="Times New Roman"/>
          <w:color w:val="000000" w:themeColor="text1"/>
          <w:sz w:val="24"/>
        </w:rPr>
        <w:t>practicability</w:t>
      </w:r>
      <w:r w:rsidRPr="00E92F0E" w:rsidR="00B510AB">
        <w:rPr>
          <w:rFonts w:ascii="Times New Roman" w:eastAsia="Times New Roman" w:hAnsi="Times New Roman"/>
          <w:color w:val="000000" w:themeColor="text1"/>
          <w:sz w:val="24"/>
        </w:rPr>
        <w:t xml:space="preserve"> </w:t>
      </w:r>
      <w:r w:rsidR="0053521E">
        <w:rPr>
          <w:rFonts w:ascii="Times New Roman" w:eastAsia="Times New Roman" w:hAnsi="Times New Roman"/>
          <w:color w:val="000000" w:themeColor="text1"/>
          <w:sz w:val="24"/>
        </w:rPr>
        <w:t>study</w:t>
      </w:r>
      <w:r w:rsidRPr="00E92F0E" w:rsidR="00DC25C3">
        <w:rPr>
          <w:rFonts w:ascii="Times New Roman" w:eastAsia="Times New Roman" w:hAnsi="Times New Roman"/>
          <w:color w:val="000000" w:themeColor="text1"/>
          <w:sz w:val="24"/>
        </w:rPr>
        <w:t xml:space="preserve"> on IST/ISD</w:t>
      </w:r>
      <w:r w:rsidR="00CB36CC">
        <w:rPr>
          <w:rFonts w:ascii="Times New Roman" w:eastAsia="Times New Roman" w:hAnsi="Times New Roman"/>
          <w:color w:val="000000" w:themeColor="text1"/>
          <w:sz w:val="24"/>
        </w:rPr>
        <w:t xml:space="preserve">, </w:t>
      </w:r>
      <w:r w:rsidRPr="00E92F0E" w:rsidR="00DC25C3">
        <w:rPr>
          <w:rFonts w:ascii="Times New Roman" w:eastAsia="Times New Roman" w:hAnsi="Times New Roman"/>
          <w:color w:val="000000" w:themeColor="text1"/>
          <w:sz w:val="24"/>
        </w:rPr>
        <w:t>and</w:t>
      </w:r>
      <w:r w:rsidR="00CB36CC">
        <w:rPr>
          <w:rFonts w:ascii="Times New Roman" w:eastAsia="Times New Roman" w:hAnsi="Times New Roman"/>
          <w:color w:val="000000" w:themeColor="text1"/>
          <w:sz w:val="24"/>
        </w:rPr>
        <w:t xml:space="preserve"> to </w:t>
      </w:r>
      <w:bookmarkStart w:id="4" w:name="_Hlk143161752"/>
      <w:r w:rsidRPr="00B674E3" w:rsidR="00E92F0E">
        <w:rPr>
          <w:rFonts w:ascii="Times New Roman" w:eastAsia="Times New Roman" w:hAnsi="Times New Roman"/>
          <w:sz w:val="24"/>
        </w:rPr>
        <w:t xml:space="preserve">implement </w:t>
      </w:r>
      <w:bookmarkStart w:id="5" w:name="_Hlk142380848"/>
      <w:r w:rsidRPr="00B674E3" w:rsidR="00E92F0E">
        <w:rPr>
          <w:rFonts w:ascii="Times New Roman" w:eastAsia="Times New Roman" w:hAnsi="Times New Roman"/>
          <w:sz w:val="24"/>
        </w:rPr>
        <w:t xml:space="preserve">at least one passive measure, or an inherently safer technology or design, or a </w:t>
      </w:r>
      <w:r w:rsidRPr="00B674E3" w:rsidR="00E92F0E">
        <w:rPr>
          <w:rFonts w:ascii="Times New Roman" w:eastAsia="Times New Roman" w:hAnsi="Times New Roman"/>
          <w:sz w:val="24"/>
        </w:rPr>
        <w:t>combination of active and procedural measures equivalent to or greater than the risk reduction of a passive measure</w:t>
      </w:r>
      <w:bookmarkEnd w:id="4"/>
      <w:bookmarkEnd w:id="5"/>
      <w:r w:rsidR="00D65AE8">
        <w:rPr>
          <w:rFonts w:ascii="Times New Roman" w:eastAsia="Times New Roman" w:hAnsi="Times New Roman"/>
          <w:sz w:val="24"/>
        </w:rPr>
        <w:t>.</w:t>
      </w:r>
      <w:r>
        <w:rPr>
          <w:rStyle w:val="FootnoteReference"/>
          <w:rFonts w:ascii="Times New Roman" w:eastAsia="Times New Roman" w:hAnsi="Times New Roman"/>
          <w:sz w:val="24"/>
        </w:rPr>
        <w:footnoteReference w:id="6"/>
      </w:r>
      <w:r w:rsidR="00D65AE8">
        <w:rPr>
          <w:rFonts w:ascii="Times New Roman" w:eastAsia="Times New Roman" w:hAnsi="Times New Roman"/>
          <w:sz w:val="24"/>
        </w:rPr>
        <w:t xml:space="preserve"> </w:t>
      </w:r>
      <w:r w:rsidR="00E92F0E">
        <w:rPr>
          <w:rFonts w:eastAsia="Times New Roman"/>
        </w:rPr>
        <w:t xml:space="preserve"> </w:t>
      </w:r>
      <w:r w:rsidR="00E92F0E">
        <w:rPr>
          <w:rFonts w:ascii="Times New Roman" w:eastAsia="Times New Roman" w:hAnsi="Times New Roman"/>
          <w:color w:val="000000" w:themeColor="text1"/>
          <w:sz w:val="24"/>
        </w:rPr>
        <w:t xml:space="preserve"> </w:t>
      </w:r>
      <w:r w:rsidR="00B510AB">
        <w:rPr>
          <w:rFonts w:ascii="Times New Roman" w:eastAsia="Times New Roman" w:hAnsi="Times New Roman"/>
          <w:color w:val="000000" w:themeColor="text1"/>
          <w:sz w:val="24"/>
        </w:rPr>
        <w:t xml:space="preserve"> </w:t>
      </w:r>
    </w:p>
    <w:p w:rsidR="00025134" w:rsidP="00025134" w14:paraId="4A576D04" w14:textId="394C42A5">
      <w:pPr>
        <w:ind w:left="720"/>
        <w:rPr>
          <w:rFonts w:ascii="Times New Roman" w:eastAsia="Times New Roman" w:hAnsi="Times New Roman"/>
          <w:color w:val="000000" w:themeColor="text1"/>
          <w:sz w:val="24"/>
        </w:rPr>
      </w:pPr>
      <w:r w:rsidRPr="1464C6FC">
        <w:rPr>
          <w:rFonts w:ascii="Times New Roman" w:eastAsia="Times New Roman" w:hAnsi="Times New Roman"/>
          <w:color w:val="000000" w:themeColor="text1"/>
          <w:sz w:val="24"/>
        </w:rPr>
        <w:t>While large events are rare, CAA section 112(r) was intended as a prevention program for large catastrophic releases as well as more accidental releases. Post-event compliance measures such as outreach and enforcement are “too little, too late” for such large, but rare, events. Therefore, th</w:t>
      </w:r>
      <w:r w:rsidR="00DB1EB9">
        <w:rPr>
          <w:rFonts w:ascii="Times New Roman" w:eastAsia="Times New Roman" w:hAnsi="Times New Roman"/>
          <w:color w:val="000000" w:themeColor="text1"/>
          <w:sz w:val="24"/>
        </w:rPr>
        <w:t>is final</w:t>
      </w:r>
      <w:r w:rsidRPr="1464C6FC">
        <w:rPr>
          <w:rFonts w:ascii="Times New Roman" w:eastAsia="Times New Roman" w:hAnsi="Times New Roman"/>
          <w:color w:val="000000" w:themeColor="text1"/>
          <w:sz w:val="24"/>
        </w:rPr>
        <w:t xml:space="preserve"> rule </w:t>
      </w:r>
      <w:r w:rsidR="00DB1EB9">
        <w:rPr>
          <w:rFonts w:ascii="Times New Roman" w:eastAsia="Times New Roman" w:hAnsi="Times New Roman"/>
          <w:color w:val="000000" w:themeColor="text1"/>
          <w:sz w:val="24"/>
        </w:rPr>
        <w:t>provides additional prevention program provisions reasonably calculated for</w:t>
      </w:r>
      <w:r w:rsidRPr="1464C6FC">
        <w:rPr>
          <w:rFonts w:ascii="Times New Roman" w:eastAsia="Times New Roman" w:hAnsi="Times New Roman"/>
          <w:color w:val="000000" w:themeColor="text1"/>
          <w:sz w:val="24"/>
        </w:rPr>
        <w:t xml:space="preserve"> stationary sources handling dangerous chemicals to prevent potentially catastrophic incidents. </w:t>
      </w:r>
      <w:r w:rsidRPr="4649018F">
        <w:rPr>
          <w:rFonts w:ascii="Times New Roman" w:eastAsia="Times New Roman" w:hAnsi="Times New Roman"/>
          <w:color w:val="000000" w:themeColor="text1"/>
          <w:sz w:val="24"/>
        </w:rPr>
        <w:t xml:space="preserve">EPA </w:t>
      </w:r>
      <w:r w:rsidRPr="1464C6FC">
        <w:rPr>
          <w:rFonts w:ascii="Times New Roman" w:eastAsia="Times New Roman" w:hAnsi="Times New Roman"/>
          <w:color w:val="000000" w:themeColor="text1"/>
          <w:sz w:val="24"/>
        </w:rPr>
        <w:t xml:space="preserve">therefore </w:t>
      </w:r>
      <w:r w:rsidRPr="4649018F">
        <w:rPr>
          <w:rFonts w:ascii="Times New Roman" w:eastAsia="Times New Roman" w:hAnsi="Times New Roman"/>
          <w:color w:val="000000" w:themeColor="text1"/>
          <w:sz w:val="24"/>
        </w:rPr>
        <w:t xml:space="preserve">believes the provisions of this final rule </w:t>
      </w:r>
      <w:r w:rsidR="00A517EB">
        <w:rPr>
          <w:rFonts w:ascii="Times New Roman" w:eastAsia="Times New Roman" w:hAnsi="Times New Roman"/>
          <w:color w:val="000000" w:themeColor="text1"/>
          <w:sz w:val="24"/>
        </w:rPr>
        <w:t>will be generally effective</w:t>
      </w:r>
      <w:r w:rsidRPr="1464C6FC">
        <w:rPr>
          <w:rFonts w:ascii="Times New Roman" w:eastAsia="Times New Roman" w:hAnsi="Times New Roman"/>
          <w:color w:val="000000" w:themeColor="text1"/>
          <w:sz w:val="24"/>
        </w:rPr>
        <w:t xml:space="preserve"> to</w:t>
      </w:r>
      <w:r w:rsidRPr="4649018F">
        <w:rPr>
          <w:rFonts w:ascii="Times New Roman" w:eastAsia="Times New Roman" w:hAnsi="Times New Roman"/>
          <w:color w:val="000000" w:themeColor="text1"/>
          <w:sz w:val="24"/>
        </w:rPr>
        <w:t xml:space="preserve"> help improve chemical process safety </w:t>
      </w:r>
      <w:r w:rsidR="00FC0D69">
        <w:rPr>
          <w:rFonts w:ascii="Times New Roman" w:eastAsia="Times New Roman" w:hAnsi="Times New Roman"/>
          <w:color w:val="000000" w:themeColor="text1"/>
          <w:sz w:val="24"/>
        </w:rPr>
        <w:t xml:space="preserve">by preventing accidents that result in harm and damage; </w:t>
      </w:r>
      <w:r w:rsidRPr="4649018F">
        <w:rPr>
          <w:rFonts w:ascii="Times New Roman" w:eastAsia="Times New Roman" w:hAnsi="Times New Roman"/>
          <w:color w:val="000000" w:themeColor="text1"/>
          <w:sz w:val="24"/>
        </w:rPr>
        <w:t xml:space="preserve">assist in planning, preparedness, and </w:t>
      </w:r>
      <w:r>
        <w:rPr>
          <w:rFonts w:ascii="Times New Roman" w:eastAsia="Times New Roman" w:hAnsi="Times New Roman"/>
          <w:color w:val="000000" w:themeColor="text1"/>
          <w:sz w:val="24"/>
        </w:rPr>
        <w:t>responding</w:t>
      </w:r>
      <w:r w:rsidRPr="4649018F">
        <w:rPr>
          <w:rFonts w:ascii="Times New Roman" w:eastAsia="Times New Roman" w:hAnsi="Times New Roman"/>
          <w:color w:val="000000" w:themeColor="text1"/>
          <w:sz w:val="24"/>
        </w:rPr>
        <w:t xml:space="preserve"> to RMP-reportable accidents; and improve public awareness of chemical hazards at regulated sources</w:t>
      </w:r>
      <w:r w:rsidRPr="1464C6FC">
        <w:rPr>
          <w:rFonts w:ascii="Times New Roman" w:eastAsia="Times New Roman" w:hAnsi="Times New Roman"/>
          <w:color w:val="000000" w:themeColor="text1"/>
          <w:sz w:val="24"/>
        </w:rPr>
        <w:t>.</w:t>
      </w:r>
      <w:r w:rsidRPr="1464C6FC">
        <w:rPr>
          <w:rFonts w:ascii="Times New Roman" w:eastAsia="Times New Roman" w:hAnsi="Times New Roman"/>
          <w:color w:val="000000" w:themeColor="text1"/>
          <w:sz w:val="24"/>
        </w:rPr>
        <w:t xml:space="preserve"> </w:t>
      </w:r>
      <w:r w:rsidRPr="1464C6FC">
        <w:rPr>
          <w:rFonts w:ascii="Times New Roman" w:eastAsia="Times New Roman" w:hAnsi="Times New Roman"/>
          <w:color w:val="000000" w:themeColor="text1"/>
          <w:sz w:val="24"/>
        </w:rPr>
        <w:t>Thus, these</w:t>
      </w:r>
      <w:r w:rsidRPr="4649018F">
        <w:rPr>
          <w:rFonts w:ascii="Times New Roman" w:eastAsia="Times New Roman" w:hAnsi="Times New Roman"/>
          <w:color w:val="000000" w:themeColor="text1"/>
          <w:sz w:val="24"/>
        </w:rPr>
        <w:t xml:space="preserve"> are necessary updates to the existing RMP rule to ensure chemical </w:t>
      </w:r>
      <w:r w:rsidR="00CB5226">
        <w:rPr>
          <w:rFonts w:ascii="Times New Roman" w:eastAsia="Times New Roman" w:hAnsi="Times New Roman"/>
          <w:color w:val="000000" w:themeColor="text1"/>
          <w:sz w:val="24"/>
        </w:rPr>
        <w:t xml:space="preserve">accident prevention </w:t>
      </w:r>
      <w:r w:rsidRPr="4649018F">
        <w:rPr>
          <w:rFonts w:ascii="Times New Roman" w:eastAsia="Times New Roman" w:hAnsi="Times New Roman"/>
          <w:color w:val="000000" w:themeColor="text1"/>
          <w:sz w:val="24"/>
        </w:rPr>
        <w:t>and</w:t>
      </w:r>
      <w:r w:rsidR="00CB5226">
        <w:rPr>
          <w:rFonts w:ascii="Times New Roman" w:eastAsia="Times New Roman" w:hAnsi="Times New Roman"/>
          <w:color w:val="000000" w:themeColor="text1"/>
          <w:sz w:val="24"/>
        </w:rPr>
        <w:t xml:space="preserve"> mitigation</w:t>
      </w:r>
      <w:r w:rsidRPr="4649018F">
        <w:rPr>
          <w:rFonts w:ascii="Times New Roman" w:eastAsia="Times New Roman" w:hAnsi="Times New Roman"/>
          <w:color w:val="000000" w:themeColor="text1"/>
          <w:sz w:val="24"/>
        </w:rPr>
        <w:t xml:space="preserve">. </w:t>
      </w:r>
      <w:r w:rsidR="00A517EB">
        <w:rPr>
          <w:rFonts w:ascii="Times New Roman" w:eastAsia="Times New Roman" w:hAnsi="Times New Roman"/>
          <w:color w:val="000000" w:themeColor="text1"/>
          <w:sz w:val="24"/>
        </w:rPr>
        <w:t xml:space="preserve">Further, while many </w:t>
      </w:r>
      <w:r w:rsidR="000A3C36">
        <w:rPr>
          <w:rFonts w:ascii="Times New Roman" w:eastAsia="Times New Roman" w:hAnsi="Times New Roman"/>
          <w:color w:val="000000" w:themeColor="text1"/>
          <w:sz w:val="24"/>
        </w:rPr>
        <w:t xml:space="preserve">of the </w:t>
      </w:r>
      <w:r w:rsidR="00A517EB">
        <w:rPr>
          <w:rFonts w:ascii="Times New Roman" w:eastAsia="Times New Roman" w:hAnsi="Times New Roman"/>
          <w:color w:val="000000" w:themeColor="text1"/>
          <w:sz w:val="24"/>
        </w:rPr>
        <w:t xml:space="preserve">provisions of this final rule reinforce each other, </w:t>
      </w:r>
      <w:r w:rsidR="00CB5226">
        <w:rPr>
          <w:rFonts w:ascii="Times New Roman" w:eastAsia="Times New Roman" w:hAnsi="Times New Roman"/>
          <w:color w:val="000000" w:themeColor="text1"/>
          <w:sz w:val="24"/>
        </w:rPr>
        <w:t xml:space="preserve">it is EPA’s intent that </w:t>
      </w:r>
      <w:r w:rsidR="00A517EB">
        <w:rPr>
          <w:rFonts w:ascii="Times New Roman" w:eastAsia="Times New Roman" w:hAnsi="Times New Roman"/>
          <w:color w:val="000000" w:themeColor="text1"/>
          <w:sz w:val="24"/>
        </w:rPr>
        <w:t xml:space="preserve">each one </w:t>
      </w:r>
      <w:r w:rsidR="00CB5226">
        <w:rPr>
          <w:rFonts w:ascii="Times New Roman" w:eastAsia="Times New Roman" w:hAnsi="Times New Roman"/>
          <w:color w:val="000000" w:themeColor="text1"/>
          <w:sz w:val="24"/>
        </w:rPr>
        <w:t>is</w:t>
      </w:r>
      <w:r w:rsidR="00A517EB">
        <w:rPr>
          <w:rFonts w:ascii="Times New Roman" w:eastAsia="Times New Roman" w:hAnsi="Times New Roman"/>
          <w:color w:val="000000" w:themeColor="text1"/>
          <w:sz w:val="24"/>
        </w:rPr>
        <w:t xml:space="preserve"> merited on its own, and they are thus severable.</w:t>
      </w:r>
    </w:p>
    <w:p w:rsidR="00C76C61" w:rsidP="00C76C61" w14:paraId="55BB6881" w14:textId="0DF5AEC4">
      <w:pPr>
        <w:rPr>
          <w:rFonts w:ascii="Times New Roman" w:hAnsi="Times New Roman"/>
          <w:sz w:val="24"/>
        </w:rPr>
      </w:pPr>
      <w:r>
        <w:rPr>
          <w:rFonts w:ascii="Times New Roman" w:hAnsi="Times New Roman"/>
          <w:b/>
          <w:bCs/>
          <w:sz w:val="24"/>
        </w:rPr>
        <w:t>Comment 1.1-0</w:t>
      </w:r>
      <w:r w:rsidR="00161DF0">
        <w:rPr>
          <w:rFonts w:ascii="Times New Roman" w:hAnsi="Times New Roman"/>
          <w:b/>
          <w:bCs/>
          <w:sz w:val="24"/>
        </w:rPr>
        <w:t>7</w:t>
      </w:r>
      <w:r>
        <w:rPr>
          <w:rFonts w:ascii="Times New Roman" w:hAnsi="Times New Roman"/>
          <w:b/>
          <w:bCs/>
          <w:sz w:val="24"/>
        </w:rPr>
        <w:t xml:space="preserve">: </w:t>
      </w:r>
      <w:r w:rsidRPr="006F68E9">
        <w:rPr>
          <w:rFonts w:ascii="Times New Roman" w:hAnsi="Times New Roman"/>
          <w:sz w:val="24"/>
        </w:rPr>
        <w:t xml:space="preserve">One commenter disagreed with EPA’s claim that the number of accidents is declining. The commenter </w:t>
      </w:r>
      <w:r>
        <w:rPr>
          <w:rFonts w:ascii="Times New Roman" w:hAnsi="Times New Roman"/>
          <w:sz w:val="24"/>
        </w:rPr>
        <w:t>stated</w:t>
      </w:r>
      <w:r w:rsidRPr="006F68E9">
        <w:rPr>
          <w:rFonts w:ascii="Times New Roman" w:hAnsi="Times New Roman"/>
          <w:sz w:val="24"/>
        </w:rPr>
        <w:t xml:space="preserve"> that this claim is based on data that are incomplete because of delayed reporting. The commenter highlighted from 2004-2015, there has been no significant change in accident rates. Furthermore, the commenter </w:t>
      </w:r>
      <w:r>
        <w:rPr>
          <w:rFonts w:ascii="Times New Roman" w:hAnsi="Times New Roman"/>
          <w:sz w:val="24"/>
        </w:rPr>
        <w:t>said</w:t>
      </w:r>
      <w:r w:rsidRPr="006F68E9">
        <w:rPr>
          <w:rFonts w:ascii="Times New Roman" w:hAnsi="Times New Roman"/>
          <w:sz w:val="24"/>
        </w:rPr>
        <w:t xml:space="preserve"> that from years 2010-2015, there was a non-statistically significant increase in accident rates. The commenter added that 2015 is the most recent year for which data are complete when extracted from a database in the middle of 2021 because of the five-year reporting. The commenter further </w:t>
      </w:r>
      <w:r>
        <w:rPr>
          <w:rFonts w:ascii="Times New Roman" w:hAnsi="Times New Roman"/>
          <w:sz w:val="24"/>
        </w:rPr>
        <w:t>stated</w:t>
      </w:r>
      <w:r w:rsidRPr="006F68E9">
        <w:rPr>
          <w:rFonts w:ascii="Times New Roman" w:hAnsi="Times New Roman"/>
          <w:sz w:val="24"/>
        </w:rPr>
        <w:t xml:space="preserve"> that the overall trend of the data does not capture low probability, high consequence events</w:t>
      </w:r>
      <w:r>
        <w:rPr>
          <w:rFonts w:ascii="Times New Roman" w:hAnsi="Times New Roman"/>
          <w:sz w:val="24"/>
        </w:rPr>
        <w:t xml:space="preserve"> </w:t>
      </w:r>
      <w:r w:rsidRPr="006F68E9">
        <w:rPr>
          <w:rFonts w:ascii="Times New Roman" w:hAnsi="Times New Roman"/>
          <w:sz w:val="24"/>
        </w:rPr>
        <w:t xml:space="preserve">(0160). Another commenter stated that EPA’s prior analysis regarding a potential recent incident decline is incorrect based on currently available data, and there has been no statistically significant decline in recent years. The commenter </w:t>
      </w:r>
      <w:r>
        <w:rPr>
          <w:rFonts w:ascii="Times New Roman" w:hAnsi="Times New Roman"/>
          <w:sz w:val="24"/>
        </w:rPr>
        <w:t>said</w:t>
      </w:r>
      <w:r w:rsidRPr="006F68E9">
        <w:rPr>
          <w:rFonts w:ascii="Times New Roman" w:hAnsi="Times New Roman"/>
          <w:sz w:val="24"/>
        </w:rPr>
        <w:t xml:space="preserve"> that chemical disasters have increased in frequency, and existing RMP rules have failed to prevent a total of 1,568 harmful chemical disasters. The commenter </w:t>
      </w:r>
      <w:r>
        <w:rPr>
          <w:rFonts w:ascii="Times New Roman" w:hAnsi="Times New Roman"/>
          <w:sz w:val="24"/>
        </w:rPr>
        <w:t>stated</w:t>
      </w:r>
      <w:r w:rsidRPr="006F68E9">
        <w:rPr>
          <w:rFonts w:ascii="Times New Roman" w:hAnsi="Times New Roman"/>
          <w:sz w:val="24"/>
        </w:rPr>
        <w:t xml:space="preserve"> that it is unclear how EPA can make conclusions about incident rates from absolute numbers since reporting was not required before the program and since incomplete data is available for a limited number of years (0460).</w:t>
      </w:r>
    </w:p>
    <w:p w:rsidR="00196F77" w:rsidP="00C76C61" w14:paraId="3719962A" w14:textId="28BB0B1C">
      <w:pPr>
        <w:rPr>
          <w:rFonts w:ascii="Times New Roman" w:hAnsi="Times New Roman"/>
          <w:sz w:val="24"/>
        </w:rPr>
      </w:pPr>
      <w:r w:rsidRPr="006F68E9">
        <w:rPr>
          <w:rFonts w:ascii="Times New Roman" w:hAnsi="Times New Roman"/>
          <w:sz w:val="24"/>
        </w:rPr>
        <w:t xml:space="preserve">One commenter stated that past reported incident data is a poor predictor of major chemical disasters as they cannot reliably predict rare catastrophic releases. The commenter </w:t>
      </w:r>
      <w:r>
        <w:rPr>
          <w:rFonts w:ascii="Times New Roman" w:hAnsi="Times New Roman"/>
          <w:sz w:val="24"/>
        </w:rPr>
        <w:t>stated</w:t>
      </w:r>
      <w:r w:rsidRPr="006F68E9">
        <w:rPr>
          <w:rFonts w:ascii="Times New Roman" w:hAnsi="Times New Roman"/>
          <w:sz w:val="24"/>
        </w:rPr>
        <w:t xml:space="preserve"> that past accidental releases cannot predict low probability, high consequence accidental releases such as, for example, intentional acts of sabotage. The commenter stated that the presence of inherent catastrophic dangers and potential consequences to communities is sufficient in and of itself for EPA to require preventive measures such as the assessment of available alternatives. The commenter added that risk assessments and cost benefit analyses based on the frequency or likelihood of accidents tend to sanction inaction and should not preempt an alternatives assessment which can generate solutions that reduce catastrophic hazards (0220).</w:t>
      </w:r>
    </w:p>
    <w:p w:rsidR="008A4166" w:rsidP="0015536F" w14:paraId="0333E5DF" w14:textId="5F8C152C">
      <w:pPr>
        <w:ind w:left="720"/>
        <w:rPr>
          <w:rFonts w:ascii="Times New Roman" w:hAnsi="Times New Roman"/>
          <w:bCs/>
          <w:sz w:val="24"/>
        </w:rPr>
      </w:pPr>
      <w:r w:rsidRPr="00B674E3">
        <w:rPr>
          <w:rFonts w:ascii="Times New Roman" w:hAnsi="Times New Roman"/>
          <w:b/>
          <w:sz w:val="24"/>
        </w:rPr>
        <w:t>EPA Response:</w:t>
      </w:r>
      <w:r w:rsidR="00C53B28">
        <w:t xml:space="preserve"> </w:t>
      </w:r>
      <w:r w:rsidRPr="00B674E3" w:rsidR="2FDD74E6">
        <w:rPr>
          <w:rFonts w:ascii="Times New Roman" w:hAnsi="Times New Roman"/>
          <w:sz w:val="24"/>
        </w:rPr>
        <w:t>As an initial matter, EPA notes that the</w:t>
      </w:r>
      <w:r w:rsidRPr="00B674E3" w:rsidR="2DB7E1C2">
        <w:rPr>
          <w:rFonts w:ascii="Times New Roman" w:hAnsi="Times New Roman"/>
          <w:sz w:val="24"/>
        </w:rPr>
        <w:t>se</w:t>
      </w:r>
      <w:r w:rsidRPr="00B674E3" w:rsidR="2FDD74E6">
        <w:rPr>
          <w:rFonts w:ascii="Times New Roman" w:hAnsi="Times New Roman"/>
          <w:sz w:val="24"/>
        </w:rPr>
        <w:t xml:space="preserve"> comment</w:t>
      </w:r>
      <w:r w:rsidRPr="00B674E3" w:rsidR="57BF63C5">
        <w:rPr>
          <w:rFonts w:ascii="Times New Roman" w:hAnsi="Times New Roman"/>
          <w:sz w:val="24"/>
        </w:rPr>
        <w:t>s</w:t>
      </w:r>
      <w:r w:rsidRPr="00B674E3" w:rsidR="2FDD74E6">
        <w:rPr>
          <w:rFonts w:ascii="Times New Roman" w:hAnsi="Times New Roman"/>
          <w:sz w:val="24"/>
        </w:rPr>
        <w:t xml:space="preserve"> focus on the overall trend in accidental releases</w:t>
      </w:r>
      <w:r w:rsidRPr="00B674E3" w:rsidR="4CC91FAB">
        <w:rPr>
          <w:rFonts w:ascii="Times New Roman" w:hAnsi="Times New Roman"/>
          <w:sz w:val="24"/>
        </w:rPr>
        <w:t>, la</w:t>
      </w:r>
      <w:r w:rsidRPr="00B674E3" w:rsidR="16531D33">
        <w:rPr>
          <w:rFonts w:ascii="Times New Roman" w:hAnsi="Times New Roman"/>
          <w:sz w:val="24"/>
        </w:rPr>
        <w:t>rgely due to delays in reporting</w:t>
      </w:r>
      <w:r w:rsidRPr="00B674E3" w:rsidR="4CC91FAB">
        <w:rPr>
          <w:rFonts w:ascii="Times New Roman" w:hAnsi="Times New Roman"/>
          <w:sz w:val="24"/>
        </w:rPr>
        <w:t>; it does not dispute EPA’s conclusions about the frequency of accidental releases in various sectors.</w:t>
      </w:r>
      <w:r w:rsidRPr="00C53B28" w:rsidR="00C53B28">
        <w:t xml:space="preserve"> </w:t>
      </w:r>
      <w:r w:rsidR="00C64A07">
        <w:rPr>
          <w:rFonts w:ascii="Times New Roman" w:hAnsi="Times New Roman"/>
          <w:bCs/>
          <w:sz w:val="24"/>
        </w:rPr>
        <w:t xml:space="preserve">In the SCCAP </w:t>
      </w:r>
      <w:r w:rsidRPr="00B434A9" w:rsidR="00C53B28">
        <w:rPr>
          <w:rFonts w:ascii="Times New Roman" w:hAnsi="Times New Roman"/>
          <w:bCs/>
          <w:sz w:val="24"/>
        </w:rPr>
        <w:t xml:space="preserve">proposal, EPA acknowledged the likelihood of late-reported accidents affecting the last few years of data. Based on its prior experience, EPA judged that there would be a slight increase in the number of accidents in the last few years of data. </w:t>
      </w:r>
      <w:r w:rsidR="00D07DE6">
        <w:rPr>
          <w:rFonts w:ascii="Times New Roman" w:hAnsi="Times New Roman"/>
          <w:bCs/>
          <w:sz w:val="24"/>
        </w:rPr>
        <w:t xml:space="preserve">The proposal further </w:t>
      </w:r>
      <w:r w:rsidR="00DE06AE">
        <w:rPr>
          <w:rFonts w:ascii="Times New Roman" w:hAnsi="Times New Roman"/>
          <w:bCs/>
          <w:sz w:val="24"/>
        </w:rPr>
        <w:t xml:space="preserve">discussed that </w:t>
      </w:r>
      <w:r w:rsidRPr="00D07DE6" w:rsidR="00D07DE6">
        <w:rPr>
          <w:rFonts w:ascii="Times New Roman" w:hAnsi="Times New Roman"/>
          <w:bCs/>
          <w:sz w:val="24"/>
        </w:rPr>
        <w:t>the more current accident data since the 2019 analyses shows that reliance on a declining trend in accidents and impacts to conduct selective, often post</w:t>
      </w:r>
      <w:r w:rsidR="006C579D">
        <w:rPr>
          <w:rFonts w:ascii="Times New Roman" w:hAnsi="Times New Roman"/>
          <w:bCs/>
          <w:sz w:val="24"/>
        </w:rPr>
        <w:t>-</w:t>
      </w:r>
      <w:r w:rsidRPr="00D07DE6" w:rsidR="00D07DE6">
        <w:rPr>
          <w:rFonts w:ascii="Times New Roman" w:hAnsi="Times New Roman"/>
          <w:bCs/>
          <w:sz w:val="24"/>
        </w:rPr>
        <w:t>incident oversight may prove insufficiently effective over time and make it difficult to stay ahead of reversals in trends</w:t>
      </w:r>
      <w:r w:rsidR="00EB3D4F">
        <w:rPr>
          <w:rFonts w:ascii="Times New Roman" w:hAnsi="Times New Roman"/>
          <w:bCs/>
          <w:sz w:val="24"/>
        </w:rPr>
        <w:t xml:space="preserve"> (</w:t>
      </w:r>
      <w:r w:rsidR="00B5770B">
        <w:rPr>
          <w:rFonts w:ascii="Times New Roman" w:hAnsi="Times New Roman"/>
          <w:bCs/>
          <w:sz w:val="24"/>
        </w:rPr>
        <w:t>87 FR 53565)</w:t>
      </w:r>
      <w:r w:rsidRPr="00D07DE6" w:rsidR="00D07DE6">
        <w:rPr>
          <w:rFonts w:ascii="Times New Roman" w:hAnsi="Times New Roman"/>
          <w:bCs/>
          <w:sz w:val="24"/>
        </w:rPr>
        <w:t>.</w:t>
      </w:r>
    </w:p>
    <w:p w:rsidR="002C01A9" w:rsidRPr="00B434A9" w:rsidP="00D37EA7" w14:paraId="7AA12A03" w14:textId="1C152ABA">
      <w:pPr>
        <w:ind w:left="720"/>
        <w:rPr>
          <w:rFonts w:ascii="Times New Roman" w:hAnsi="Times New Roman"/>
          <w:bCs/>
          <w:sz w:val="24"/>
        </w:rPr>
      </w:pPr>
      <w:r>
        <w:rPr>
          <w:rFonts w:ascii="Times New Roman" w:hAnsi="Times New Roman"/>
          <w:bCs/>
          <w:sz w:val="24"/>
        </w:rPr>
        <w:t xml:space="preserve">Regarding </w:t>
      </w:r>
      <w:r w:rsidR="00862DD3">
        <w:rPr>
          <w:rFonts w:ascii="Times New Roman" w:hAnsi="Times New Roman"/>
          <w:bCs/>
          <w:sz w:val="24"/>
        </w:rPr>
        <w:t>s</w:t>
      </w:r>
      <w:r w:rsidRPr="00B434A9" w:rsidR="00B434A9">
        <w:rPr>
          <w:rFonts w:ascii="Times New Roman" w:hAnsi="Times New Roman"/>
          <w:bCs/>
          <w:sz w:val="24"/>
        </w:rPr>
        <w:t>tatistical significance</w:t>
      </w:r>
      <w:r w:rsidR="00862DD3">
        <w:rPr>
          <w:rFonts w:ascii="Times New Roman" w:hAnsi="Times New Roman"/>
          <w:bCs/>
          <w:sz w:val="24"/>
        </w:rPr>
        <w:t xml:space="preserve">, </w:t>
      </w:r>
      <w:r w:rsidR="00A748E6">
        <w:rPr>
          <w:rFonts w:ascii="Times New Roman" w:hAnsi="Times New Roman"/>
          <w:bCs/>
          <w:sz w:val="24"/>
        </w:rPr>
        <w:t>EPA notes that</w:t>
      </w:r>
      <w:r w:rsidRPr="00B434A9" w:rsidR="00B434A9">
        <w:rPr>
          <w:rFonts w:ascii="Times New Roman" w:hAnsi="Times New Roman"/>
          <w:bCs/>
          <w:sz w:val="24"/>
        </w:rPr>
        <w:t xml:space="preserve"> is a technical term with a precise mathematical definition, namely, the probability under a given statistical model of a test statistic being more extreme than the observed test statistic. Historically, many scientists have called an experimental result statistically significant if this probability was lower than 5% (i.e., p-value less than 0.05). But statistical significance is a continuous spectrum rather than a binary yes/no choice, and there is no magic significance level that distinguishes results that are true (in this case, indicating a real decline in accidents) from those that are</w:t>
      </w:r>
      <w:r w:rsidR="001E3D24">
        <w:rPr>
          <w:rFonts w:ascii="Times New Roman" w:hAnsi="Times New Roman"/>
          <w:bCs/>
          <w:sz w:val="24"/>
        </w:rPr>
        <w:t xml:space="preserve"> not. </w:t>
      </w:r>
      <w:r w:rsidRPr="00B434A9" w:rsidR="00B434A9">
        <w:rPr>
          <w:rFonts w:ascii="Times New Roman" w:hAnsi="Times New Roman"/>
          <w:bCs/>
          <w:sz w:val="24"/>
        </w:rPr>
        <w:t>EPA does not</w:t>
      </w:r>
      <w:r w:rsidR="0099752A">
        <w:rPr>
          <w:rFonts w:ascii="Times New Roman" w:hAnsi="Times New Roman"/>
          <w:bCs/>
          <w:sz w:val="24"/>
        </w:rPr>
        <w:t xml:space="preserve"> believe </w:t>
      </w:r>
      <w:r w:rsidRPr="00B434A9" w:rsidR="00B434A9">
        <w:rPr>
          <w:rFonts w:ascii="Times New Roman" w:hAnsi="Times New Roman"/>
          <w:bCs/>
          <w:sz w:val="24"/>
        </w:rPr>
        <w:t>that the Agency must meet a specified statistical significance level in order to take account of accident trend data</w:t>
      </w:r>
      <w:r w:rsidR="009D47CA">
        <w:rPr>
          <w:rFonts w:ascii="Times New Roman" w:hAnsi="Times New Roman"/>
          <w:bCs/>
          <w:sz w:val="24"/>
        </w:rPr>
        <w:t>.</w:t>
      </w:r>
    </w:p>
    <w:p w:rsidR="00974D98" w:rsidRPr="005F5ED3" w:rsidP="005F5ED3" w14:paraId="1EF72AE5" w14:textId="50EF8DF1">
      <w:pPr>
        <w:ind w:left="720"/>
        <w:rPr>
          <w:rFonts w:ascii="Times New Roman" w:hAnsi="Times New Roman"/>
          <w:bCs/>
          <w:sz w:val="24"/>
        </w:rPr>
      </w:pPr>
      <w:r w:rsidRPr="00B434A9">
        <w:rPr>
          <w:rFonts w:ascii="Times New Roman" w:hAnsi="Times New Roman"/>
          <w:bCs/>
          <w:sz w:val="24"/>
        </w:rPr>
        <w:t xml:space="preserve">But the important question is not whether EPA can show that the rate of decline in RMP facility accidents is at the 95% confidence level – a statistical measure that goes to the weight of the trend. Given the importance of the underlying effect – whether or not severe chemical accidents are declining – the appropriate question to ask is whether or not the observed trend has practical policy significance. With the relatively small sample size and high variability associated with RMP facility accidents, which ultimately depend on complex and often unpredictable interactions between human behaviors, management systems, and chemical processes, it is unsurprising that the accident trend does not conform to a tight statistical confidence level. </w:t>
      </w:r>
      <w:r w:rsidR="007F3DAA">
        <w:rPr>
          <w:rFonts w:ascii="Times New Roman" w:hAnsi="Times New Roman"/>
          <w:bCs/>
          <w:sz w:val="24"/>
        </w:rPr>
        <w:t xml:space="preserve">The SCCAP proposal </w:t>
      </w:r>
      <w:r w:rsidR="008A42C5">
        <w:rPr>
          <w:rFonts w:ascii="Times New Roman" w:hAnsi="Times New Roman"/>
          <w:bCs/>
          <w:sz w:val="24"/>
        </w:rPr>
        <w:t xml:space="preserve">even highlighted </w:t>
      </w:r>
      <w:r w:rsidR="007F3DAA">
        <w:rPr>
          <w:rFonts w:ascii="Times New Roman" w:hAnsi="Times New Roman"/>
          <w:bCs/>
          <w:sz w:val="24"/>
        </w:rPr>
        <w:t>r</w:t>
      </w:r>
      <w:r w:rsidRPr="008A42C5" w:rsidR="008A42C5">
        <w:rPr>
          <w:rFonts w:ascii="Times New Roman" w:hAnsi="Times New Roman"/>
          <w:bCs/>
          <w:sz w:val="24"/>
        </w:rPr>
        <w:t xml:space="preserve">ecent accidents </w:t>
      </w:r>
      <w:r w:rsidR="007F3DAA">
        <w:rPr>
          <w:rFonts w:ascii="Times New Roman" w:hAnsi="Times New Roman"/>
          <w:bCs/>
          <w:sz w:val="24"/>
        </w:rPr>
        <w:t xml:space="preserve">that showed </w:t>
      </w:r>
      <w:r w:rsidRPr="008A42C5" w:rsidR="008A42C5">
        <w:rPr>
          <w:rFonts w:ascii="Times New Roman" w:hAnsi="Times New Roman"/>
          <w:bCs/>
          <w:sz w:val="24"/>
        </w:rPr>
        <w:t>EPA’s</w:t>
      </w:r>
      <w:r w:rsidR="007F3DAA">
        <w:rPr>
          <w:rFonts w:ascii="Times New Roman" w:hAnsi="Times New Roman"/>
          <w:bCs/>
          <w:sz w:val="24"/>
        </w:rPr>
        <w:t xml:space="preserve"> </w:t>
      </w:r>
      <w:r w:rsidRPr="3280A790" w:rsidR="70F45E5D">
        <w:rPr>
          <w:rFonts w:ascii="Times New Roman" w:hAnsi="Times New Roman"/>
          <w:sz w:val="24"/>
        </w:rPr>
        <w:t>2019</w:t>
      </w:r>
      <w:r w:rsidR="007F3DAA">
        <w:rPr>
          <w:rFonts w:ascii="Times New Roman" w:hAnsi="Times New Roman"/>
          <w:bCs/>
          <w:sz w:val="24"/>
        </w:rPr>
        <w:t xml:space="preserve"> </w:t>
      </w:r>
      <w:r w:rsidRPr="008A42C5" w:rsidR="008A42C5">
        <w:rPr>
          <w:rFonts w:ascii="Times New Roman" w:hAnsi="Times New Roman"/>
          <w:bCs/>
          <w:sz w:val="24"/>
        </w:rPr>
        <w:t xml:space="preserve">improper reliance on only </w:t>
      </w:r>
      <w:r w:rsidR="006C579D">
        <w:rPr>
          <w:rFonts w:ascii="Times New Roman" w:hAnsi="Times New Roman"/>
          <w:bCs/>
          <w:sz w:val="24"/>
        </w:rPr>
        <w:t xml:space="preserve">the </w:t>
      </w:r>
      <w:r w:rsidRPr="008A42C5" w:rsidR="008A42C5">
        <w:rPr>
          <w:rFonts w:ascii="Times New Roman" w:hAnsi="Times New Roman"/>
          <w:bCs/>
          <w:sz w:val="24"/>
        </w:rPr>
        <w:t>annual count</w:t>
      </w:r>
      <w:r w:rsidR="007F3DAA">
        <w:rPr>
          <w:rFonts w:ascii="Times New Roman" w:hAnsi="Times New Roman"/>
          <w:bCs/>
          <w:sz w:val="24"/>
        </w:rPr>
        <w:t xml:space="preserve"> </w:t>
      </w:r>
      <w:r w:rsidRPr="008A42C5" w:rsidR="008A42C5">
        <w:rPr>
          <w:rFonts w:ascii="Times New Roman" w:hAnsi="Times New Roman"/>
          <w:bCs/>
          <w:sz w:val="24"/>
        </w:rPr>
        <w:t>of total accidents to address the low</w:t>
      </w:r>
      <w:r w:rsidR="001326D0">
        <w:rPr>
          <w:rFonts w:ascii="Times New Roman" w:hAnsi="Times New Roman"/>
          <w:bCs/>
          <w:sz w:val="24"/>
        </w:rPr>
        <w:t xml:space="preserve"> </w:t>
      </w:r>
      <w:r w:rsidRPr="008A42C5" w:rsidR="008A42C5">
        <w:rPr>
          <w:rFonts w:ascii="Times New Roman" w:hAnsi="Times New Roman"/>
          <w:bCs/>
          <w:sz w:val="24"/>
        </w:rPr>
        <w:t>probability,</w:t>
      </w:r>
      <w:r w:rsidR="001326D0">
        <w:rPr>
          <w:rFonts w:ascii="Times New Roman" w:hAnsi="Times New Roman"/>
          <w:bCs/>
          <w:sz w:val="24"/>
        </w:rPr>
        <w:t xml:space="preserve"> </w:t>
      </w:r>
      <w:r w:rsidRPr="008A42C5" w:rsidR="008A42C5">
        <w:rPr>
          <w:rFonts w:ascii="Times New Roman" w:hAnsi="Times New Roman"/>
          <w:bCs/>
          <w:sz w:val="24"/>
        </w:rPr>
        <w:t>high-consequence nature of</w:t>
      </w:r>
      <w:r w:rsidR="001326D0">
        <w:rPr>
          <w:rFonts w:ascii="Times New Roman" w:hAnsi="Times New Roman"/>
          <w:bCs/>
          <w:sz w:val="24"/>
        </w:rPr>
        <w:t xml:space="preserve"> </w:t>
      </w:r>
      <w:r w:rsidRPr="008A42C5" w:rsidR="008A42C5">
        <w:rPr>
          <w:rFonts w:ascii="Times New Roman" w:hAnsi="Times New Roman"/>
          <w:bCs/>
          <w:sz w:val="24"/>
        </w:rPr>
        <w:t>accidental releases</w:t>
      </w:r>
      <w:r w:rsidR="001326D0">
        <w:rPr>
          <w:rFonts w:ascii="Times New Roman" w:hAnsi="Times New Roman"/>
          <w:bCs/>
          <w:sz w:val="24"/>
        </w:rPr>
        <w:t xml:space="preserve">. </w:t>
      </w:r>
      <w:r w:rsidRPr="00B434A9">
        <w:rPr>
          <w:rFonts w:ascii="Times New Roman" w:hAnsi="Times New Roman"/>
          <w:bCs/>
          <w:sz w:val="24"/>
        </w:rPr>
        <w:t>EPA sees no need to be held to a particular statistical metric, and purposefully did not attempt to bind itself to such</w:t>
      </w:r>
      <w:r w:rsidR="00CD77C9">
        <w:rPr>
          <w:rFonts w:ascii="Times New Roman" w:hAnsi="Times New Roman"/>
          <w:bCs/>
          <w:sz w:val="24"/>
        </w:rPr>
        <w:t>.</w:t>
      </w:r>
      <w:r w:rsidRPr="00B434A9" w:rsidR="00D37EA7">
        <w:rPr>
          <w:rFonts w:ascii="Times New Roman" w:hAnsi="Times New Roman"/>
          <w:bCs/>
          <w:sz w:val="24"/>
        </w:rPr>
        <w:t xml:space="preserve"> </w:t>
      </w:r>
      <w:r w:rsidR="005A6A48">
        <w:rPr>
          <w:rFonts w:ascii="Times New Roman" w:hAnsi="Times New Roman"/>
          <w:bCs/>
          <w:sz w:val="24"/>
        </w:rPr>
        <w:t>T</w:t>
      </w:r>
      <w:r w:rsidRPr="00606192" w:rsidR="00606192">
        <w:rPr>
          <w:rFonts w:ascii="Times New Roman" w:hAnsi="Times New Roman"/>
          <w:bCs/>
          <w:sz w:val="24"/>
        </w:rPr>
        <w:t>he fact that accidents continue to occur shows that we still have reason to exercise statutory authority to promulgate reasonable regulations to provide for the prevention and detection of those accidents to the greatest extent practicable when the opportunity exists to improve the performance of our regulatory program.</w:t>
      </w:r>
    </w:p>
    <w:p w:rsidR="00025134" w:rsidRPr="0068374F" w:rsidP="005F5ED3" w14:paraId="16FE2000" w14:textId="77777777">
      <w:pPr>
        <w:pStyle w:val="Heading2"/>
        <w:spacing w:before="120"/>
        <w:rPr>
          <w:rFonts w:ascii="Times New Roman" w:hAnsi="Times New Roman" w:cs="Times New Roman"/>
          <w:b/>
          <w:bCs/>
          <w:color w:val="auto"/>
          <w:sz w:val="24"/>
          <w:szCs w:val="24"/>
        </w:rPr>
      </w:pPr>
      <w:bookmarkStart w:id="6" w:name="_Toc146879972"/>
      <w:bookmarkStart w:id="7" w:name="_Toc153373766"/>
      <w:r w:rsidRPr="006F68E9">
        <w:rPr>
          <w:rFonts w:ascii="Times New Roman" w:hAnsi="Times New Roman" w:cs="Times New Roman"/>
          <w:b/>
          <w:bCs/>
          <w:color w:val="auto"/>
          <w:sz w:val="24"/>
          <w:szCs w:val="24"/>
        </w:rPr>
        <w:t xml:space="preserve">Regulatory </w:t>
      </w:r>
      <w:r>
        <w:rPr>
          <w:rFonts w:ascii="Times New Roman" w:hAnsi="Times New Roman" w:cs="Times New Roman"/>
          <w:b/>
          <w:bCs/>
          <w:color w:val="auto"/>
          <w:sz w:val="24"/>
          <w:szCs w:val="24"/>
        </w:rPr>
        <w:t>p</w:t>
      </w:r>
      <w:r w:rsidRPr="006F68E9">
        <w:rPr>
          <w:rFonts w:ascii="Times New Roman" w:hAnsi="Times New Roman" w:cs="Times New Roman"/>
          <w:b/>
          <w:bCs/>
          <w:color w:val="auto"/>
          <w:sz w:val="24"/>
          <w:szCs w:val="24"/>
        </w:rPr>
        <w:t>ro</w:t>
      </w:r>
      <w:r w:rsidRPr="0068374F">
        <w:rPr>
          <w:rFonts w:ascii="Times New Roman" w:hAnsi="Times New Roman" w:cs="Times New Roman"/>
          <w:b/>
          <w:bCs/>
          <w:color w:val="auto"/>
          <w:sz w:val="24"/>
          <w:szCs w:val="24"/>
        </w:rPr>
        <w:t>cess</w:t>
      </w:r>
      <w:bookmarkEnd w:id="6"/>
      <w:bookmarkEnd w:id="7"/>
    </w:p>
    <w:p w:rsidR="00025134" w:rsidRPr="001835AB" w:rsidP="00025134" w14:paraId="2E1E68E8" w14:textId="77777777">
      <w:pPr>
        <w:rPr>
          <w:rFonts w:ascii="Times New Roman" w:hAnsi="Times New Roman"/>
          <w:i/>
          <w:iCs/>
          <w:sz w:val="24"/>
        </w:rPr>
      </w:pPr>
      <w:r w:rsidRPr="001835AB">
        <w:rPr>
          <w:rFonts w:ascii="Times New Roman" w:hAnsi="Times New Roman"/>
          <w:i/>
          <w:iCs/>
          <w:sz w:val="24"/>
        </w:rPr>
        <w:t>Comments on the length of the comment period</w:t>
      </w:r>
    </w:p>
    <w:p w:rsidR="00025134" w:rsidRPr="00B664CD" w:rsidP="00025134" w14:paraId="5FAB5C01" w14:textId="77777777">
      <w:pPr>
        <w:rPr>
          <w:rFonts w:ascii="Times New Roman" w:hAnsi="Times New Roman"/>
          <w:b/>
          <w:bCs/>
          <w:sz w:val="24"/>
        </w:rPr>
      </w:pPr>
      <w:r>
        <w:rPr>
          <w:rFonts w:ascii="Times New Roman" w:hAnsi="Times New Roman"/>
          <w:b/>
          <w:bCs/>
          <w:sz w:val="24"/>
        </w:rPr>
        <w:t xml:space="preserve">Comment 1.2-01: </w:t>
      </w:r>
      <w:r w:rsidRPr="006F68E9">
        <w:rPr>
          <w:rFonts w:ascii="Times New Roman" w:hAnsi="Times New Roman"/>
          <w:sz w:val="24"/>
        </w:rPr>
        <w:t>One commenter supported maintaining the current 60-day comment period ending October 31, 202</w:t>
      </w:r>
      <w:r>
        <w:rPr>
          <w:rFonts w:ascii="Times New Roman" w:hAnsi="Times New Roman"/>
          <w:sz w:val="24"/>
        </w:rPr>
        <w:t>2</w:t>
      </w:r>
      <w:r w:rsidRPr="006F68E9">
        <w:rPr>
          <w:rFonts w:ascii="Times New Roman" w:hAnsi="Times New Roman"/>
          <w:sz w:val="24"/>
        </w:rPr>
        <w:t xml:space="preserve">. The commenter stated that extending the comment period by 60 days is an unjustified delay tactic, especially given that EPA held listening sessions in June 2021 and July 2021 in advance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and the current 60-day comment period will include opportunities for both oral and written comments (0123).</w:t>
      </w:r>
    </w:p>
    <w:p w:rsidR="00025134" w:rsidRPr="00B12E15" w:rsidP="00025134" w14:paraId="4BF57664" w14:textId="77777777">
      <w:pPr>
        <w:ind w:left="720"/>
        <w:rPr>
          <w:rFonts w:ascii="Times New Roman" w:hAnsi="Times New Roman"/>
          <w:b/>
          <w:bCs/>
          <w:sz w:val="24"/>
        </w:rPr>
      </w:pPr>
      <w:r w:rsidRPr="00715A01">
        <w:rPr>
          <w:rFonts w:ascii="Times New Roman" w:hAnsi="Times New Roman"/>
          <w:b/>
          <w:bCs/>
          <w:sz w:val="24"/>
        </w:rPr>
        <w:t>EPA Response:</w:t>
      </w:r>
      <w:r>
        <w:rPr>
          <w:rFonts w:ascii="Times New Roman" w:hAnsi="Times New Roman"/>
          <w:b/>
          <w:bCs/>
          <w:sz w:val="24"/>
        </w:rPr>
        <w:t xml:space="preserve"> </w:t>
      </w:r>
      <w:r w:rsidRPr="00627EEC">
        <w:rPr>
          <w:rFonts w:ascii="Times New Roman" w:hAnsi="Times New Roman"/>
          <w:sz w:val="24"/>
        </w:rPr>
        <w:t>EPA appreciates the commenter’s support.</w:t>
      </w:r>
      <w:r>
        <w:rPr>
          <w:rFonts w:ascii="Times New Roman" w:hAnsi="Times New Roman"/>
          <w:b/>
          <w:bCs/>
          <w:sz w:val="24"/>
        </w:rPr>
        <w:t xml:space="preserve"> </w:t>
      </w:r>
      <w:r w:rsidRPr="00503303">
        <w:rPr>
          <w:rFonts w:ascii="Times New Roman" w:hAnsi="Times New Roman"/>
          <w:sz w:val="24"/>
        </w:rPr>
        <w:t>EPA did not extend the comment period beyond October 31, 2022.</w:t>
      </w:r>
      <w:r>
        <w:rPr>
          <w:rFonts w:ascii="Times New Roman" w:hAnsi="Times New Roman"/>
          <w:b/>
          <w:bCs/>
          <w:sz w:val="24"/>
        </w:rPr>
        <w:t xml:space="preserve"> </w:t>
      </w:r>
    </w:p>
    <w:p w:rsidR="00025134" w:rsidRPr="00CE664F" w:rsidP="00025134" w14:paraId="22CBC6FA" w14:textId="77777777">
      <w:pPr>
        <w:rPr>
          <w:rFonts w:ascii="Times New Roman" w:hAnsi="Times New Roman"/>
          <w:b/>
          <w:sz w:val="24"/>
        </w:rPr>
      </w:pPr>
      <w:r w:rsidRPr="00A30B35">
        <w:rPr>
          <w:rFonts w:ascii="Times New Roman" w:hAnsi="Times New Roman"/>
          <w:b/>
          <w:bCs/>
          <w:sz w:val="24"/>
        </w:rPr>
        <w:t>Comment</w:t>
      </w:r>
      <w:r>
        <w:rPr>
          <w:rFonts w:ascii="Times New Roman" w:hAnsi="Times New Roman"/>
          <w:b/>
          <w:bCs/>
          <w:sz w:val="24"/>
        </w:rPr>
        <w:t xml:space="preserve"> 1.2-02</w:t>
      </w:r>
      <w:r w:rsidRPr="00A30B35">
        <w:rPr>
          <w:rFonts w:ascii="Times New Roman" w:hAnsi="Times New Roman"/>
          <w:b/>
          <w:bCs/>
          <w:sz w:val="24"/>
        </w:rPr>
        <w:t xml:space="preserve">: </w:t>
      </w:r>
      <w:r w:rsidRPr="006F68E9">
        <w:rPr>
          <w:rFonts w:ascii="Times New Roman" w:hAnsi="Times New Roman"/>
          <w:sz w:val="24"/>
        </w:rPr>
        <w:t xml:space="preserve">Several commenters opposed maintaining the current comment period and urged EPA to extend the comment deadline by at least 60 days (0099, 0100, 0122, 0124, 0126, 0127, 0128, 0129, 0144, 0146, 0171, 0214, 0222, 0232, 0239, 0253, 0275, 0477). A couple of commenters </w:t>
      </w:r>
      <w:r>
        <w:rPr>
          <w:rFonts w:ascii="Times New Roman" w:hAnsi="Times New Roman"/>
          <w:sz w:val="24"/>
        </w:rPr>
        <w:t>expressed that</w:t>
      </w:r>
      <w:r w:rsidRPr="006F68E9">
        <w:rPr>
          <w:rFonts w:ascii="Times New Roman" w:hAnsi="Times New Roman"/>
          <w:sz w:val="24"/>
        </w:rPr>
        <w:t xml:space="preserve"> the current comment period is insufficient to address all facets of the proposal, including addressing over 50 comment requests by EPA and reviewing nearly </w:t>
      </w:r>
      <w:r>
        <w:rPr>
          <w:rFonts w:ascii="Times New Roman" w:hAnsi="Times New Roman"/>
          <w:sz w:val="24"/>
        </w:rPr>
        <w:t>one</w:t>
      </w:r>
      <w:r w:rsidRPr="006F68E9">
        <w:rPr>
          <w:rFonts w:ascii="Times New Roman" w:hAnsi="Times New Roman"/>
          <w:sz w:val="24"/>
        </w:rPr>
        <w:t xml:space="preserve"> hundred supporting documents and data provided by EPA (0100, 0124, 0127, 0129, 0144, 0229, 0232). Some commenters stated that EPA needs to consider the other EPA and Occupational Safety and Health Administration (OSHA) rules whose comment period is at the same time preventing full review of the proposal (0129, 0146, 0239). A couple of commenters from the water utility industry suggested that EPA needs to give more time for comments due to the many small entities in the industry (0122, 0239).</w:t>
      </w:r>
    </w:p>
    <w:p w:rsidR="001217A6" w:rsidP="00025134" w14:paraId="5AD94020" w14:textId="77777777">
      <w:pPr>
        <w:ind w:left="720"/>
        <w:rPr>
          <w:rFonts w:ascii="Times New Roman" w:hAnsi="Times New Roman"/>
          <w:sz w:val="24"/>
        </w:rPr>
      </w:pPr>
      <w:r>
        <w:rPr>
          <w:rFonts w:ascii="Times New Roman" w:hAnsi="Times New Roman"/>
          <w:b/>
          <w:bCs/>
          <w:sz w:val="24"/>
        </w:rPr>
        <w:t xml:space="preserve">EPA Response: </w:t>
      </w:r>
      <w:r w:rsidRPr="00ED5D4E">
        <w:rPr>
          <w:rFonts w:ascii="Times New Roman" w:hAnsi="Times New Roman"/>
          <w:sz w:val="24"/>
        </w:rPr>
        <w:t xml:space="preserve">EPA disagrees that the Agency did not allow for meaningful and thorough public review of the proposal or for </w:t>
      </w:r>
      <w:bookmarkStart w:id="8" w:name="_Hlk147146069"/>
      <w:r w:rsidRPr="00ED5D4E">
        <w:rPr>
          <w:rFonts w:ascii="Times New Roman" w:hAnsi="Times New Roman"/>
          <w:sz w:val="24"/>
        </w:rPr>
        <w:t>appropriate agency consideration of public comment</w:t>
      </w:r>
      <w:bookmarkEnd w:id="8"/>
      <w:r w:rsidRPr="00ED5D4E">
        <w:rPr>
          <w:rFonts w:ascii="Times New Roman" w:hAnsi="Times New Roman"/>
          <w:sz w:val="24"/>
        </w:rPr>
        <w:t>.</w:t>
      </w:r>
    </w:p>
    <w:p w:rsidR="001217A6" w:rsidRPr="000F577C" w:rsidP="00025134" w14:paraId="0A261F0F" w14:textId="4FB0F414">
      <w:pPr>
        <w:ind w:left="720"/>
        <w:rPr>
          <w:rFonts w:ascii="Times New Roman" w:hAnsi="Times New Roman"/>
          <w:sz w:val="24"/>
        </w:rPr>
      </w:pPr>
      <w:r w:rsidRPr="00513D7E">
        <w:rPr>
          <w:rFonts w:ascii="Times New Roman" w:hAnsi="Times New Roman"/>
          <w:sz w:val="24"/>
        </w:rPr>
        <w:t xml:space="preserve">The EPA was tasked to review the RMP rule by Executive Order 13990: Protecting Public Health and the Environment and Restoring Science to Tackle the Climate Crisis. As part of this review, the agency held public listening sessions on June 16 and July 8, 2021, as well as an open comment period from May 28 to July 31, 2021. During the development of the proposed rule, the EPA met with a broad range of stakeholders, including those in the regulated community. The rulemaking process includes analyzing impacts to a variety of stakeholders, including small businesses, and state and local governments. The EPA considered all this input, and any additional comments received through official correspondence, prior to publishing the proposed rule. </w:t>
      </w:r>
    </w:p>
    <w:p w:rsidR="001217A6" w:rsidRPr="000F577C" w:rsidP="00025134" w14:paraId="7D4DF4FB" w14:textId="75EE4DB0">
      <w:pPr>
        <w:ind w:left="720"/>
        <w:rPr>
          <w:rFonts w:ascii="Times New Roman" w:hAnsi="Times New Roman"/>
          <w:sz w:val="24"/>
        </w:rPr>
      </w:pPr>
      <w:r w:rsidRPr="001C5B80">
        <w:rPr>
          <w:rFonts w:ascii="Times New Roman" w:hAnsi="Times New Roman"/>
          <w:sz w:val="24"/>
        </w:rPr>
        <w:t xml:space="preserve">Further, the Agency met the statutory requirement to provide a “reasonable period for public participation.” The initial notice and comment period satisfied the requirements of CAA section 307(d) and other relevant rulemaking procedures that apply to this rulemaking. </w:t>
      </w:r>
      <w:r w:rsidRPr="001D5019" w:rsidR="001D5019">
        <w:rPr>
          <w:rFonts w:ascii="Times New Roman" w:hAnsi="Times New Roman"/>
          <w:sz w:val="24"/>
        </w:rPr>
        <w:t>In addition to the proposed rule’s 60-day public comment period, the EPA made a prepublication version available on our website on August 19, 2022, nearly two weeks before publication in the Federal Register on August 31, 2022. We also made critical supporting documents available on our website, including the regulatory impact analysis and the technical background document. Additionally, the prepublication version of the proposed rule contained numerous footnote references to supporting documents that are otherwise available, including reports of the Chemical Safety Board, EPA accident investigation reports, technical reports, and journal articles. After the proposed rule was made available, the EPA continued to have outreach meetings with various stakeholder groups to discuss the proposed provisions and listen to comments. The agency also held three public hearings during the public comment period on September 26, 27, and 28, 2022.</w:t>
      </w:r>
    </w:p>
    <w:p w:rsidR="005519B8" w:rsidRPr="00944FEB" w:rsidP="00025134" w14:paraId="4C498DC4" w14:textId="4CDBAF3A">
      <w:pPr>
        <w:ind w:left="720"/>
        <w:rPr>
          <w:rFonts w:ascii="Times New Roman" w:hAnsi="Times New Roman"/>
          <w:sz w:val="24"/>
        </w:rPr>
      </w:pPr>
      <w:bookmarkStart w:id="9" w:name="_Hlk137797290"/>
      <w:r w:rsidRPr="00FF6CF4">
        <w:rPr>
          <w:rFonts w:ascii="Times New Roman" w:hAnsi="Times New Roman"/>
          <w:sz w:val="24"/>
        </w:rPr>
        <w:t xml:space="preserve">Considering the significant outreach efforts described above, as well as the substantial amount of supporting material in the public domain prior to publication of the proposed rule, the EPA believes that the comment period’s closing date </w:t>
      </w:r>
      <w:r>
        <w:rPr>
          <w:rFonts w:ascii="Times New Roman" w:hAnsi="Times New Roman"/>
          <w:sz w:val="24"/>
        </w:rPr>
        <w:t>was</w:t>
      </w:r>
      <w:r w:rsidRPr="00FF6CF4">
        <w:rPr>
          <w:rFonts w:ascii="Times New Roman" w:hAnsi="Times New Roman"/>
          <w:sz w:val="24"/>
        </w:rPr>
        <w:t xml:space="preserve"> sufficient. </w:t>
      </w:r>
      <w:r w:rsidR="001964DF">
        <w:rPr>
          <w:rFonts w:ascii="Times New Roman" w:hAnsi="Times New Roman"/>
          <w:sz w:val="24"/>
        </w:rPr>
        <w:t>The Agency</w:t>
      </w:r>
      <w:r w:rsidRPr="00FF6CF4" w:rsidR="001964DF">
        <w:rPr>
          <w:rFonts w:ascii="Times New Roman" w:hAnsi="Times New Roman"/>
          <w:sz w:val="24"/>
        </w:rPr>
        <w:t xml:space="preserve"> </w:t>
      </w:r>
      <w:r w:rsidR="00DF4A07">
        <w:rPr>
          <w:rFonts w:ascii="Times New Roman" w:hAnsi="Times New Roman"/>
          <w:sz w:val="24"/>
        </w:rPr>
        <w:t>believed</w:t>
      </w:r>
      <w:r w:rsidRPr="00FF6CF4">
        <w:rPr>
          <w:rFonts w:ascii="Times New Roman" w:hAnsi="Times New Roman"/>
          <w:sz w:val="24"/>
        </w:rPr>
        <w:t xml:space="preserve"> that no extension of the comment period </w:t>
      </w:r>
      <w:r w:rsidR="001964DF">
        <w:rPr>
          <w:rFonts w:ascii="Times New Roman" w:hAnsi="Times New Roman"/>
          <w:sz w:val="24"/>
        </w:rPr>
        <w:t>was</w:t>
      </w:r>
      <w:r w:rsidRPr="00FF6CF4" w:rsidR="001964DF">
        <w:rPr>
          <w:rFonts w:ascii="Times New Roman" w:hAnsi="Times New Roman"/>
          <w:sz w:val="24"/>
        </w:rPr>
        <w:t xml:space="preserve"> </w:t>
      </w:r>
      <w:r w:rsidRPr="00FF6CF4">
        <w:rPr>
          <w:rFonts w:ascii="Times New Roman" w:hAnsi="Times New Roman"/>
          <w:sz w:val="24"/>
        </w:rPr>
        <w:t>necessary to provide the public with a meaningful opportunity to comment.</w:t>
      </w:r>
    </w:p>
    <w:bookmarkEnd w:id="9"/>
    <w:p w:rsidR="00025134" w:rsidP="00025134" w14:paraId="08C1CE34" w14:textId="77777777">
      <w:pPr>
        <w:rPr>
          <w:rFonts w:ascii="Times New Roman" w:hAnsi="Times New Roman"/>
          <w:i/>
          <w:iCs/>
          <w:sz w:val="24"/>
        </w:rPr>
      </w:pPr>
      <w:r>
        <w:rPr>
          <w:rFonts w:ascii="Times New Roman" w:hAnsi="Times New Roman"/>
          <w:i/>
          <w:iCs/>
          <w:sz w:val="24"/>
        </w:rPr>
        <w:t xml:space="preserve">Comments related to stakeholder involvement </w:t>
      </w:r>
    </w:p>
    <w:p w:rsidR="00025134" w:rsidP="00025134" w14:paraId="0E10611C" w14:textId="0D004F4A">
      <w:pPr>
        <w:rPr>
          <w:rFonts w:ascii="Times New Roman" w:hAnsi="Times New Roman"/>
          <w:sz w:val="24"/>
        </w:rPr>
      </w:pPr>
      <w:r w:rsidRPr="004714E9">
        <w:rPr>
          <w:rFonts w:ascii="Times New Roman" w:hAnsi="Times New Roman"/>
          <w:b/>
          <w:bCs/>
          <w:sz w:val="24"/>
        </w:rPr>
        <w:t>Comment</w:t>
      </w:r>
      <w:r>
        <w:rPr>
          <w:rFonts w:ascii="Times New Roman" w:hAnsi="Times New Roman"/>
          <w:b/>
          <w:bCs/>
          <w:sz w:val="24"/>
        </w:rPr>
        <w:t xml:space="preserve"> 1.2-0</w:t>
      </w:r>
      <w:r w:rsidR="00606011">
        <w:rPr>
          <w:rFonts w:ascii="Times New Roman" w:hAnsi="Times New Roman"/>
          <w:b/>
          <w:bCs/>
          <w:sz w:val="24"/>
        </w:rPr>
        <w:t>3</w:t>
      </w:r>
      <w:r w:rsidRPr="004714E9">
        <w:rPr>
          <w:rFonts w:ascii="Times New Roman" w:hAnsi="Times New Roman"/>
          <w:b/>
          <w:bCs/>
          <w:sz w:val="24"/>
        </w:rPr>
        <w:t>:</w:t>
      </w:r>
      <w:r w:rsidRPr="00B75833">
        <w:rPr>
          <w:rFonts w:ascii="Times New Roman" w:hAnsi="Times New Roman"/>
          <w:sz w:val="24"/>
        </w:rPr>
        <w:t xml:space="preserve"> Several commenters suggested that EPA </w:t>
      </w:r>
      <w:r>
        <w:rPr>
          <w:rFonts w:ascii="Times New Roman" w:hAnsi="Times New Roman"/>
          <w:sz w:val="24"/>
        </w:rPr>
        <w:t xml:space="preserve">conduct additional coordination activities to support the rulemaking. In particular: </w:t>
      </w:r>
    </w:p>
    <w:p w:rsidR="00025134" w:rsidRPr="005755D3" w:rsidP="00025134" w14:paraId="256A15D6" w14:textId="77777777">
      <w:pPr>
        <w:pStyle w:val="ListParagraph"/>
        <w:numPr>
          <w:ilvl w:val="0"/>
          <w:numId w:val="3"/>
        </w:numPr>
        <w:rPr>
          <w:rFonts w:ascii="Times New Roman" w:hAnsi="Times New Roman"/>
          <w:sz w:val="24"/>
        </w:rPr>
      </w:pPr>
      <w:r w:rsidRPr="005755D3">
        <w:rPr>
          <w:rFonts w:ascii="Times New Roman" w:hAnsi="Times New Roman"/>
          <w:sz w:val="24"/>
        </w:rPr>
        <w:t>A couple of the commenters suggested EPA seek information from the Chemical Safety Board (CSB) investigators (0456, 0460).</w:t>
      </w:r>
    </w:p>
    <w:p w:rsidR="00025134" w:rsidRPr="004714E9" w:rsidP="00025134" w14:paraId="71D48217" w14:textId="74583999">
      <w:pPr>
        <w:pStyle w:val="ListParagraph"/>
        <w:numPr>
          <w:ilvl w:val="0"/>
          <w:numId w:val="3"/>
        </w:numPr>
        <w:rPr>
          <w:rFonts w:ascii="Times New Roman" w:hAnsi="Times New Roman"/>
          <w:b/>
          <w:bCs/>
          <w:sz w:val="24"/>
        </w:rPr>
      </w:pPr>
      <w:r w:rsidRPr="004714E9">
        <w:rPr>
          <w:rFonts w:ascii="Times New Roman" w:hAnsi="Times New Roman"/>
          <w:sz w:val="24"/>
        </w:rPr>
        <w:t xml:space="preserve">One commenter suggested that EPA have the regulations reviewed by a Federal Advisory Committee (0127). </w:t>
      </w:r>
    </w:p>
    <w:p w:rsidR="00025134" w:rsidRPr="005755D3" w:rsidP="00025134" w14:paraId="008F93E9" w14:textId="77777777">
      <w:pPr>
        <w:pStyle w:val="ListParagraph"/>
        <w:numPr>
          <w:ilvl w:val="0"/>
          <w:numId w:val="3"/>
        </w:numPr>
        <w:rPr>
          <w:rFonts w:ascii="Times New Roman" w:hAnsi="Times New Roman"/>
          <w:sz w:val="24"/>
        </w:rPr>
      </w:pPr>
      <w:r w:rsidRPr="005755D3">
        <w:rPr>
          <w:rFonts w:ascii="Times New Roman" w:hAnsi="Times New Roman"/>
          <w:sz w:val="24"/>
        </w:rPr>
        <w:t xml:space="preserve">Several commenters urged EPA to listen to individuals from affected communities and prioritize their commentary in further updating and strengthening the RMP (0157, 0158, 0160). </w:t>
      </w:r>
    </w:p>
    <w:p w:rsidR="00025134" w:rsidRPr="00C22FC9" w:rsidP="00025134" w14:paraId="1F2A0652" w14:textId="77777777">
      <w:pPr>
        <w:pStyle w:val="ListParagraph"/>
        <w:numPr>
          <w:ilvl w:val="0"/>
          <w:numId w:val="3"/>
        </w:numPr>
        <w:rPr>
          <w:rFonts w:ascii="Times New Roman" w:hAnsi="Times New Roman"/>
          <w:b/>
          <w:bCs/>
          <w:sz w:val="24"/>
        </w:rPr>
      </w:pPr>
      <w:r w:rsidRPr="004714E9">
        <w:rPr>
          <w:rFonts w:ascii="Times New Roman" w:hAnsi="Times New Roman"/>
          <w:sz w:val="24"/>
        </w:rPr>
        <w:t>One commenter commended EPA for hosting the virtual listening sessions in advance of the proposed rule. The commenter hoped EPA will keep the lived experiences of the workers and many members of the fenceline communities who testified at the listening sessions in mind as they work on this rule (0456).</w:t>
      </w:r>
    </w:p>
    <w:p w:rsidR="003E7727" w:rsidRPr="003E7727" w:rsidP="003E7727" w14:paraId="49B21561" w14:textId="23525988">
      <w:pPr>
        <w:pStyle w:val="ListParagraph"/>
        <w:numPr>
          <w:ilvl w:val="0"/>
          <w:numId w:val="3"/>
        </w:numPr>
        <w:rPr>
          <w:rFonts w:ascii="Times New Roman" w:hAnsi="Times New Roman"/>
          <w:b/>
          <w:bCs/>
          <w:sz w:val="24"/>
        </w:rPr>
      </w:pPr>
      <w:r>
        <w:rPr>
          <w:rFonts w:ascii="Times New Roman" w:hAnsi="Times New Roman"/>
          <w:sz w:val="24"/>
        </w:rPr>
        <w:t>One commenter suggested that EPA evaluate new information from the NRC</w:t>
      </w:r>
      <w:r w:rsidR="009361E1">
        <w:rPr>
          <w:rFonts w:ascii="Times New Roman" w:hAnsi="Times New Roman"/>
          <w:sz w:val="24"/>
        </w:rPr>
        <w:t>, including</w:t>
      </w:r>
      <w:r w:rsidRPr="006F68E9">
        <w:rPr>
          <w:rFonts w:ascii="Times New Roman" w:hAnsi="Times New Roman"/>
          <w:sz w:val="24"/>
        </w:rPr>
        <w:t xml:space="preserve"> incident reports </w:t>
      </w:r>
      <w:r w:rsidR="009361E1">
        <w:rPr>
          <w:rFonts w:ascii="Times New Roman" w:hAnsi="Times New Roman"/>
          <w:sz w:val="24"/>
        </w:rPr>
        <w:t xml:space="preserve">from the </w:t>
      </w:r>
      <w:r w:rsidRPr="006F68E9">
        <w:rPr>
          <w:rFonts w:ascii="Times New Roman" w:hAnsi="Times New Roman"/>
          <w:sz w:val="24"/>
        </w:rPr>
        <w:t xml:space="preserve">last </w:t>
      </w:r>
      <w:r>
        <w:rPr>
          <w:rFonts w:ascii="Times New Roman" w:hAnsi="Times New Roman"/>
          <w:sz w:val="24"/>
        </w:rPr>
        <w:t>five</w:t>
      </w:r>
      <w:r w:rsidRPr="006F68E9">
        <w:rPr>
          <w:rFonts w:ascii="Times New Roman" w:hAnsi="Times New Roman"/>
          <w:sz w:val="24"/>
        </w:rPr>
        <w:t xml:space="preserve"> years </w:t>
      </w:r>
      <w:r w:rsidR="009361E1">
        <w:rPr>
          <w:rFonts w:ascii="Times New Roman" w:hAnsi="Times New Roman"/>
          <w:sz w:val="24"/>
        </w:rPr>
        <w:t>(0456).</w:t>
      </w:r>
    </w:p>
    <w:p w:rsidR="006E1B08" w:rsidP="00025134" w14:paraId="4765DC86" w14:textId="25B710DA">
      <w:pPr>
        <w:ind w:left="720"/>
        <w:rPr>
          <w:rFonts w:ascii="Times New Roman" w:eastAsia="Times New Roman" w:hAnsi="Times New Roman"/>
          <w:sz w:val="24"/>
          <w:highlight w:val="cyan"/>
        </w:rPr>
      </w:pPr>
      <w:r w:rsidRPr="00AF54AD">
        <w:rPr>
          <w:rFonts w:ascii="Times New Roman" w:eastAsia="Times New Roman" w:hAnsi="Times New Roman"/>
          <w:b/>
          <w:bCs/>
          <w:sz w:val="24"/>
        </w:rPr>
        <w:t>EPA Response:</w:t>
      </w:r>
      <w:r w:rsidRPr="00AF54AD" w:rsidR="005712E5">
        <w:rPr>
          <w:rFonts w:ascii="Times New Roman" w:eastAsia="Times New Roman" w:hAnsi="Times New Roman"/>
          <w:b/>
          <w:bCs/>
          <w:sz w:val="24"/>
        </w:rPr>
        <w:t xml:space="preserve"> </w:t>
      </w:r>
      <w:r w:rsidRPr="00AF54AD" w:rsidR="005712E5">
        <w:rPr>
          <w:rFonts w:ascii="Times New Roman" w:eastAsia="Times New Roman" w:hAnsi="Times New Roman"/>
          <w:sz w:val="24"/>
        </w:rPr>
        <w:t>EPA believes it provided sufficient coordination activities to support the rulemaking.</w:t>
      </w:r>
      <w:r w:rsidR="005712E5">
        <w:rPr>
          <w:rFonts w:ascii="Times New Roman" w:eastAsia="Times New Roman" w:hAnsi="Times New Roman"/>
          <w:b/>
          <w:bCs/>
          <w:sz w:val="24"/>
        </w:rPr>
        <w:t xml:space="preserve"> </w:t>
      </w:r>
      <w:r w:rsidRPr="00AF54AD" w:rsidR="005712E5">
        <w:rPr>
          <w:rFonts w:ascii="Times New Roman" w:eastAsia="Times New Roman" w:hAnsi="Times New Roman"/>
          <w:sz w:val="24"/>
        </w:rPr>
        <w:t xml:space="preserve">EPA </w:t>
      </w:r>
      <w:r w:rsidR="005712E5">
        <w:rPr>
          <w:rFonts w:ascii="Times New Roman" w:eastAsia="Times New Roman" w:hAnsi="Times New Roman"/>
          <w:sz w:val="24"/>
        </w:rPr>
        <w:t xml:space="preserve">held </w:t>
      </w:r>
      <w:r w:rsidRPr="00AF54AD" w:rsidR="005712E5">
        <w:rPr>
          <w:rFonts w:ascii="Times New Roman" w:eastAsia="Times New Roman" w:hAnsi="Times New Roman"/>
          <w:sz w:val="24"/>
        </w:rPr>
        <w:t xml:space="preserve">virtual public listening sessions on June 16 and July 8, 2021, and had an open docket for public comment (86 FR 28828). </w:t>
      </w:r>
      <w:r w:rsidR="005712E5">
        <w:rPr>
          <w:rFonts w:ascii="Times New Roman" w:eastAsia="Times New Roman" w:hAnsi="Times New Roman"/>
          <w:sz w:val="24"/>
        </w:rPr>
        <w:t xml:space="preserve">OSHA </w:t>
      </w:r>
      <w:r w:rsidRPr="005712E5" w:rsidR="005712E5">
        <w:rPr>
          <w:rFonts w:ascii="Times New Roman" w:eastAsia="Times New Roman" w:hAnsi="Times New Roman"/>
          <w:sz w:val="24"/>
        </w:rPr>
        <w:t>participate</w:t>
      </w:r>
      <w:r w:rsidR="005712E5">
        <w:rPr>
          <w:rFonts w:ascii="Times New Roman" w:eastAsia="Times New Roman" w:hAnsi="Times New Roman"/>
          <w:sz w:val="24"/>
        </w:rPr>
        <w:t>d</w:t>
      </w:r>
      <w:r w:rsidRPr="005712E5" w:rsidR="005712E5">
        <w:rPr>
          <w:rFonts w:ascii="Times New Roman" w:eastAsia="Times New Roman" w:hAnsi="Times New Roman"/>
          <w:sz w:val="24"/>
        </w:rPr>
        <w:t xml:space="preserve"> in the listening sessions to foster continued coordination with the EPA</w:t>
      </w:r>
      <w:r w:rsidR="005712E5">
        <w:rPr>
          <w:rFonts w:ascii="Times New Roman" w:eastAsia="Times New Roman" w:hAnsi="Times New Roman"/>
          <w:sz w:val="24"/>
        </w:rPr>
        <w:t xml:space="preserve">. </w:t>
      </w:r>
      <w:r w:rsidRPr="005712E5" w:rsidR="005712E5">
        <w:rPr>
          <w:rFonts w:ascii="Times New Roman" w:eastAsia="Times New Roman" w:hAnsi="Times New Roman"/>
          <w:sz w:val="24"/>
        </w:rPr>
        <w:t xml:space="preserve">After the request for public comment the Agency further </w:t>
      </w:r>
      <w:r w:rsidRPr="00A3013A" w:rsidR="005712E5">
        <w:rPr>
          <w:rFonts w:ascii="Times New Roman" w:eastAsia="Times New Roman" w:hAnsi="Times New Roman"/>
          <w:sz w:val="24"/>
        </w:rPr>
        <w:t>held numerous outreach meetings with stakeholders. Following publication of the proposed rule, EPA held three public hearings (September 26, 27, and 28, 2022)</w:t>
      </w:r>
      <w:r w:rsidRPr="00A3013A" w:rsidR="00A3013A">
        <w:rPr>
          <w:rFonts w:ascii="Times New Roman" w:eastAsia="Times New Roman" w:hAnsi="Times New Roman"/>
          <w:sz w:val="24"/>
        </w:rPr>
        <w:t xml:space="preserve"> </w:t>
      </w:r>
      <w:r w:rsidRPr="00A3013A" w:rsidR="00A3013A">
        <w:rPr>
          <w:rFonts w:ascii="Times New Roman" w:hAnsi="Times New Roman"/>
          <w:sz w:val="24"/>
        </w:rPr>
        <w:t>and had a 60-day open public comment period</w:t>
      </w:r>
      <w:r w:rsidRPr="00A3013A" w:rsidR="005712E5">
        <w:rPr>
          <w:rFonts w:ascii="Times New Roman" w:eastAsia="Times New Roman" w:hAnsi="Times New Roman"/>
          <w:sz w:val="24"/>
        </w:rPr>
        <w:t xml:space="preserve">. </w:t>
      </w:r>
      <w:r w:rsidRPr="00A3013A" w:rsidR="005712E5">
        <w:rPr>
          <w:rFonts w:ascii="Times New Roman" w:eastAsia="Times New Roman" w:hAnsi="Times New Roman"/>
          <w:sz w:val="24"/>
        </w:rPr>
        <w:t>Participants in the virtual public listening sessions and hearings included a wide range of stakeholders including environmental and community groups, individual regulated facilities, industry groups, local and State governments, Federal agencies, and private</w:t>
      </w:r>
      <w:r w:rsidRPr="00AF54AD" w:rsidR="005712E5">
        <w:rPr>
          <w:rFonts w:ascii="Times New Roman" w:eastAsia="Times New Roman" w:hAnsi="Times New Roman"/>
          <w:sz w:val="24"/>
        </w:rPr>
        <w:t xml:space="preserve"> citizens. Information collected through oral testimonies and written comments from the listening sessions and hearings respectively informed the proposed and final rule</w:t>
      </w:r>
      <w:r w:rsidR="00056F2F">
        <w:rPr>
          <w:rFonts w:ascii="Times New Roman" w:eastAsia="Times New Roman" w:hAnsi="Times New Roman"/>
          <w:sz w:val="24"/>
        </w:rPr>
        <w:t>s</w:t>
      </w:r>
      <w:r w:rsidRPr="00AF54AD" w:rsidR="005712E5">
        <w:rPr>
          <w:rFonts w:ascii="Times New Roman" w:eastAsia="Times New Roman" w:hAnsi="Times New Roman"/>
          <w:sz w:val="24"/>
        </w:rPr>
        <w:t>.</w:t>
      </w:r>
      <w:r w:rsidRPr="00AF54AD" w:rsidR="005712E5">
        <w:rPr>
          <w:rFonts w:ascii="Times New Roman" w:eastAsia="Times New Roman" w:hAnsi="Times New Roman"/>
          <w:sz w:val="24"/>
          <w:highlight w:val="cyan"/>
        </w:rPr>
        <w:t xml:space="preserve"> </w:t>
      </w:r>
    </w:p>
    <w:p w:rsidR="00025134" w:rsidRPr="00AF54AD" w:rsidP="00025134" w14:paraId="2A4145DE" w14:textId="25032DF8">
      <w:pPr>
        <w:ind w:left="720"/>
        <w:rPr>
          <w:rFonts w:ascii="Times New Roman" w:hAnsi="Times New Roman"/>
          <w:sz w:val="24"/>
        </w:rPr>
      </w:pPr>
      <w:r w:rsidRPr="00AF54AD">
        <w:rPr>
          <w:rFonts w:ascii="Times New Roman" w:eastAsia="Times New Roman" w:hAnsi="Times New Roman"/>
          <w:sz w:val="24"/>
        </w:rPr>
        <w:t xml:space="preserve">EPA will </w:t>
      </w:r>
      <w:r w:rsidRPr="00AF54AD" w:rsidR="00AF54AD">
        <w:rPr>
          <w:rFonts w:ascii="Times New Roman" w:eastAsia="Times New Roman" w:hAnsi="Times New Roman"/>
          <w:sz w:val="24"/>
        </w:rPr>
        <w:t xml:space="preserve">also further </w:t>
      </w:r>
      <w:r w:rsidRPr="00AF54AD">
        <w:rPr>
          <w:rFonts w:ascii="Times New Roman" w:eastAsia="Times New Roman" w:hAnsi="Times New Roman"/>
          <w:sz w:val="24"/>
        </w:rPr>
        <w:t xml:space="preserve">consider these comments as we develop complementary regulatory activities such as updating guidance and implementing and enforcing the RMP rule. </w:t>
      </w:r>
      <w:r w:rsidRPr="00AF54AD">
        <w:rPr>
          <w:rFonts w:ascii="Times New Roman" w:eastAsia="Times New Roman" w:hAnsi="Times New Roman"/>
          <w:sz w:val="24"/>
          <w:highlight w:val="cyan"/>
        </w:rPr>
        <w:fldChar w:fldCharType="begin"/>
      </w:r>
      <w:r w:rsidRPr="00AF54AD">
        <w:rPr>
          <w:rFonts w:ascii="Times New Roman" w:eastAsia="Times New Roman" w:hAnsi="Times New Roman"/>
          <w:sz w:val="24"/>
          <w:highlight w:val="cyan"/>
        </w:rPr>
        <w:instrText xml:space="preserve"> PAGE </w:instrText>
      </w:r>
      <w:r w:rsidR="00EA66D6">
        <w:rPr>
          <w:rFonts w:ascii="Times New Roman" w:eastAsia="Times New Roman" w:hAnsi="Times New Roman"/>
          <w:sz w:val="24"/>
          <w:highlight w:val="cyan"/>
        </w:rPr>
        <w:fldChar w:fldCharType="separate"/>
      </w:r>
      <w:r w:rsidRPr="00AF54AD">
        <w:rPr>
          <w:rFonts w:ascii="Times New Roman" w:eastAsia="Times New Roman" w:hAnsi="Times New Roman"/>
          <w:sz w:val="24"/>
          <w:highlight w:val="cyan"/>
        </w:rPr>
        <w:fldChar w:fldCharType="end"/>
      </w:r>
    </w:p>
    <w:p w:rsidR="00025134" w:rsidRPr="00392D70" w:rsidP="00025134" w14:paraId="25221EF8" w14:textId="77777777">
      <w:pPr>
        <w:rPr>
          <w:rFonts w:ascii="Times New Roman" w:hAnsi="Times New Roman"/>
          <w:i/>
          <w:iCs/>
          <w:sz w:val="24"/>
        </w:rPr>
      </w:pPr>
      <w:r>
        <w:rPr>
          <w:rFonts w:ascii="Times New Roman" w:hAnsi="Times New Roman"/>
          <w:i/>
          <w:iCs/>
          <w:sz w:val="24"/>
        </w:rPr>
        <w:t>Other comments on EPA’s rulemaking process</w:t>
      </w:r>
    </w:p>
    <w:p w:rsidR="00025134" w:rsidRPr="00871366" w:rsidP="00025134" w14:paraId="290ACC9A" w14:textId="5D686BC7">
      <w:pPr>
        <w:rPr>
          <w:rFonts w:ascii="Times New Roman" w:hAnsi="Times New Roman"/>
          <w:b/>
          <w:sz w:val="24"/>
        </w:rPr>
      </w:pPr>
      <w:r>
        <w:rPr>
          <w:rFonts w:ascii="Times New Roman" w:hAnsi="Times New Roman"/>
          <w:b/>
          <w:bCs/>
          <w:sz w:val="24"/>
        </w:rPr>
        <w:t>Comment 1.2-0</w:t>
      </w:r>
      <w:r w:rsidR="00606011">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 xml:space="preserve">One commenter suggested that EPA make the rulemaking fact sheets on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translated into Spanish well ahead of the virtual public hearing to improve accessibility in rulemaking. The commenter noted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t>
      </w:r>
      <w:r w:rsidR="00650165">
        <w:rPr>
          <w:rFonts w:ascii="Times New Roman" w:hAnsi="Times New Roman"/>
          <w:sz w:val="24"/>
        </w:rPr>
        <w:t xml:space="preserve">fact sheet </w:t>
      </w:r>
      <w:r w:rsidRPr="006F68E9">
        <w:rPr>
          <w:rFonts w:ascii="Times New Roman" w:hAnsi="Times New Roman"/>
          <w:sz w:val="24"/>
        </w:rPr>
        <w:t>was not translated into Spanish until the day of the hearing (0270).</w:t>
      </w:r>
    </w:p>
    <w:p w:rsidR="00025134" w:rsidRPr="00235872" w:rsidP="003A4D2E" w14:paraId="1E57EA21" w14:textId="122D8239">
      <w:pPr>
        <w:ind w:left="720"/>
        <w:rPr>
          <w:rFonts w:ascii="Times New Roman" w:hAnsi="Times New Roman"/>
          <w:b/>
          <w:bCs/>
          <w:sz w:val="24"/>
        </w:rPr>
      </w:pPr>
      <w:r w:rsidRPr="00801C8D">
        <w:rPr>
          <w:rFonts w:ascii="Times New Roman" w:hAnsi="Times New Roman"/>
          <w:b/>
          <w:bCs/>
          <w:sz w:val="24"/>
        </w:rPr>
        <w:t>EPA Response:</w:t>
      </w:r>
      <w:r w:rsidR="00270969">
        <w:rPr>
          <w:rFonts w:ascii="Times New Roman" w:hAnsi="Times New Roman"/>
          <w:b/>
          <w:bCs/>
          <w:sz w:val="24"/>
        </w:rPr>
        <w:t xml:space="preserve"> </w:t>
      </w:r>
      <w:r w:rsidRPr="00801C8D" w:rsidR="00801C8D">
        <w:rPr>
          <w:rFonts w:ascii="Times New Roman" w:hAnsi="Times New Roman"/>
          <w:sz w:val="24"/>
        </w:rPr>
        <w:t xml:space="preserve">EPA appreciates the commenter’s suggestions and recognizes the concern. EPA will consider this comment in future rulemaking activities. </w:t>
      </w:r>
    </w:p>
    <w:p w:rsidR="00025134" w:rsidRPr="006F68E9" w:rsidP="005F5ED3" w14:paraId="2DBDBC55" w14:textId="77777777">
      <w:pPr>
        <w:pStyle w:val="Heading2"/>
        <w:spacing w:before="120"/>
        <w:rPr>
          <w:rFonts w:ascii="Times New Roman" w:hAnsi="Times New Roman" w:cs="Times New Roman"/>
          <w:b/>
          <w:bCs/>
          <w:color w:val="auto"/>
          <w:sz w:val="24"/>
          <w:szCs w:val="24"/>
        </w:rPr>
      </w:pPr>
      <w:bookmarkStart w:id="10" w:name="_Toc146879973"/>
      <w:bookmarkStart w:id="11" w:name="_Toc153373767"/>
      <w:r w:rsidRPr="006F68E9">
        <w:rPr>
          <w:rFonts w:ascii="Times New Roman" w:hAnsi="Times New Roman" w:cs="Times New Roman"/>
          <w:b/>
          <w:bCs/>
          <w:color w:val="auto"/>
          <w:sz w:val="24"/>
          <w:szCs w:val="24"/>
        </w:rPr>
        <w:t xml:space="preserve">Statutory </w:t>
      </w:r>
      <w:r>
        <w:rPr>
          <w:rFonts w:ascii="Times New Roman" w:hAnsi="Times New Roman" w:cs="Times New Roman"/>
          <w:b/>
          <w:bCs/>
          <w:color w:val="auto"/>
          <w:sz w:val="24"/>
          <w:szCs w:val="24"/>
        </w:rPr>
        <w:t>a</w:t>
      </w:r>
      <w:r w:rsidRPr="006F68E9">
        <w:rPr>
          <w:rFonts w:ascii="Times New Roman" w:hAnsi="Times New Roman" w:cs="Times New Roman"/>
          <w:b/>
          <w:bCs/>
          <w:color w:val="auto"/>
          <w:sz w:val="24"/>
          <w:szCs w:val="24"/>
        </w:rPr>
        <w:t>uthority</w:t>
      </w:r>
      <w:bookmarkEnd w:id="10"/>
      <w:bookmarkEnd w:id="11"/>
    </w:p>
    <w:p w:rsidR="00025134" w:rsidRPr="00C56D1C" w:rsidP="00025134" w14:paraId="62EEDDE2" w14:textId="77777777">
      <w:pPr>
        <w:rPr>
          <w:rFonts w:ascii="Times New Roman" w:hAnsi="Times New Roman"/>
          <w:i/>
          <w:iCs/>
          <w:sz w:val="24"/>
        </w:rPr>
      </w:pPr>
      <w:r w:rsidRPr="00C56D1C">
        <w:rPr>
          <w:rFonts w:ascii="Times New Roman" w:hAnsi="Times New Roman"/>
          <w:i/>
          <w:iCs/>
          <w:sz w:val="24"/>
        </w:rPr>
        <w:t>Comments that EPA has not fully exercised its statutory authority</w:t>
      </w:r>
    </w:p>
    <w:p w:rsidR="00025134" w:rsidRPr="00B17A8C" w:rsidP="00025134" w14:paraId="00C316DC" w14:textId="668A6555">
      <w:pPr>
        <w:rPr>
          <w:rFonts w:ascii="Times New Roman" w:hAnsi="Times New Roman"/>
          <w:b/>
          <w:sz w:val="24"/>
        </w:rPr>
      </w:pPr>
      <w:r>
        <w:rPr>
          <w:rFonts w:ascii="Times New Roman" w:hAnsi="Times New Roman"/>
          <w:b/>
          <w:bCs/>
          <w:sz w:val="24"/>
        </w:rPr>
        <w:t xml:space="preserve">Comment 1.3-01: </w:t>
      </w:r>
      <w:r w:rsidRPr="006F68E9">
        <w:rPr>
          <w:rFonts w:ascii="Times New Roman" w:hAnsi="Times New Roman"/>
          <w:sz w:val="24"/>
        </w:rPr>
        <w:t xml:space="preserve">A couple of commenters called on EPA to exercise its </w:t>
      </w:r>
      <w:r w:rsidR="007F5BEB">
        <w:rPr>
          <w:rFonts w:ascii="Times New Roman" w:hAnsi="Times New Roman"/>
          <w:sz w:val="24"/>
        </w:rPr>
        <w:t>“</w:t>
      </w:r>
      <w:r w:rsidR="008A2095">
        <w:rPr>
          <w:rFonts w:ascii="Times New Roman" w:hAnsi="Times New Roman"/>
          <w:sz w:val="24"/>
        </w:rPr>
        <w:t>full</w:t>
      </w:r>
      <w:r w:rsidRPr="006F68E9">
        <w:rPr>
          <w:rFonts w:ascii="Times New Roman" w:hAnsi="Times New Roman"/>
          <w:sz w:val="24"/>
        </w:rPr>
        <w:t xml:space="preserve"> statutory authority</w:t>
      </w:r>
      <w:r w:rsidR="007F5BEB">
        <w:rPr>
          <w:rFonts w:ascii="Times New Roman" w:hAnsi="Times New Roman"/>
          <w:sz w:val="24"/>
        </w:rPr>
        <w:t>”</w:t>
      </w:r>
      <w:r w:rsidRPr="006F68E9">
        <w:rPr>
          <w:rFonts w:ascii="Times New Roman" w:hAnsi="Times New Roman"/>
          <w:sz w:val="24"/>
        </w:rPr>
        <w:t xml:space="preserve"> to issue measures that prevent disasters </w:t>
      </w:r>
      <w:r w:rsidR="00B405C5">
        <w:rPr>
          <w:rFonts w:ascii="Times New Roman" w:hAnsi="Times New Roman"/>
          <w:sz w:val="24"/>
        </w:rPr>
        <w:t>“</w:t>
      </w:r>
      <w:r w:rsidRPr="006F68E9">
        <w:rPr>
          <w:rFonts w:ascii="Times New Roman" w:hAnsi="Times New Roman"/>
          <w:sz w:val="24"/>
        </w:rPr>
        <w:t xml:space="preserve">to the “greatest extent practicable” </w:t>
      </w:r>
      <w:r w:rsidR="007109FC">
        <w:rPr>
          <w:rFonts w:ascii="Times New Roman" w:hAnsi="Times New Roman"/>
          <w:sz w:val="24"/>
        </w:rPr>
        <w:t>(0456, 0460</w:t>
      </w:r>
      <w:r w:rsidR="008A2095">
        <w:rPr>
          <w:rFonts w:ascii="Times New Roman" w:hAnsi="Times New Roman"/>
          <w:sz w:val="24"/>
        </w:rPr>
        <w:t>). One</w:t>
      </w:r>
      <w:r w:rsidRPr="006F68E9">
        <w:rPr>
          <w:rFonts w:ascii="Times New Roman" w:hAnsi="Times New Roman"/>
          <w:sz w:val="24"/>
        </w:rPr>
        <w:t xml:space="preserve"> commenter noted that this section of the CAA does not require EPA to justify prevention measures through a cost-benefit analysis (0460). </w:t>
      </w:r>
    </w:p>
    <w:p w:rsidR="00025134" w:rsidRPr="00B17A8C" w:rsidP="00025134" w14:paraId="5750B95B" w14:textId="3DA5864A">
      <w:pPr>
        <w:pStyle w:val="paragraph"/>
        <w:spacing w:before="0" w:beforeAutospacing="0" w:after="120" w:afterAutospacing="0"/>
        <w:ind w:left="720"/>
        <w:textAlignment w:val="baseline"/>
        <w:rPr>
          <w:b/>
        </w:rPr>
      </w:pPr>
      <w:r>
        <w:rPr>
          <w:rStyle w:val="normaltextrun"/>
          <w:b/>
          <w:bCs/>
        </w:rPr>
        <w:t xml:space="preserve">EPA Response: </w:t>
      </w:r>
      <w:r w:rsidRPr="003F7DEC" w:rsidR="003F7DEC">
        <w:rPr>
          <w:rStyle w:val="normaltextrun"/>
        </w:rPr>
        <w:t>Although EPA is authorized to promulgate regulations that provide</w:t>
      </w:r>
      <w:r w:rsidR="003F7DEC">
        <w:rPr>
          <w:rStyle w:val="normaltextrun"/>
          <w:b/>
          <w:bCs/>
        </w:rPr>
        <w:t xml:space="preserve"> </w:t>
      </w:r>
      <w:r>
        <w:rPr>
          <w:rStyle w:val="normaltextrun"/>
        </w:rPr>
        <w:t>for the prevention and detection of accidental releases to the greatest extent practicable, so too must these regulations be reasonable. The relevant statutory phrase describing EPA’s authority to regulate under CAA section 112(r)(7)(B)(i), authorizes “reasonable regulations . . . to provide, to the greatest extent practicable,” for the prevention and detection of and response to accidental releases of substances listed in 40 CFR 68.130. EPA interprets the term “practicable” in this context to include concepts such as cost-effectiveness of the regulatory and implementation approach, as well as the availability of relevant technical expertise and resources to the implementing and enforcement agencies and the owners and operators who must comply with the rule. Further, an interpretation of the statute that does not give meaning to the qualifier “reasonable” to the authority to regulate “to the greatest extent practicable,” as the commenters suggest, would be inconsistent with the structure of the statute.</w:t>
      </w:r>
      <w:r>
        <w:rPr>
          <w:rStyle w:val="eop"/>
          <w:b/>
          <w:bCs/>
        </w:rPr>
        <w:t> </w:t>
      </w:r>
      <w:r w:rsidRPr="000D321D" w:rsidR="00FC04BA">
        <w:rPr>
          <w:noProof/>
        </w:rPr>
        <w:t>The terms “reasonable” and “practicable” operate both as authorization for EPA’s regulations and as limitations on the scope  of EPA’s authority under CAA section 112(r)(7)(B)(i)</w:t>
      </w:r>
      <w:r w:rsidR="00AD69B8">
        <w:rPr>
          <w:noProof/>
        </w:rPr>
        <w:t xml:space="preserve">, </w:t>
      </w:r>
      <w:r w:rsidR="00AD69B8">
        <w:rPr>
          <w:noProof/>
        </w:rPr>
        <w:t xml:space="preserve">while the phrase “greatest extent practicable” directs EPA to select the regulatory option that “provide[s] the greatest level of </w:t>
      </w:r>
      <w:r w:rsidR="00506E07">
        <w:rPr>
          <w:noProof/>
        </w:rPr>
        <w:t xml:space="preserve">practicable protection” from “among those regulatory options that are reasonable.” 84 FR 69849 (Dec. 19, 2019); see also 87 FR 53566 (Aug. 31, 2022). To the extent both the 2019 compliance-driven and the 2022 rule-based, prevention-focused approaches are reasonable, the approach of this final rule would be more protective and therefore be </w:t>
      </w:r>
      <w:r w:rsidR="006866BE">
        <w:rPr>
          <w:noProof/>
        </w:rPr>
        <w:t>“‘to the greatest extent practicable’ among the reasonable approaches.”</w:t>
      </w:r>
      <w:r w:rsidR="00C65B99">
        <w:rPr>
          <w:noProof/>
        </w:rPr>
        <w:t>)</w:t>
      </w:r>
      <w:r w:rsidR="006866BE">
        <w:rPr>
          <w:noProof/>
        </w:rPr>
        <w:t>.</w:t>
      </w:r>
    </w:p>
    <w:p w:rsidR="00025134" w:rsidRPr="000A2001" w:rsidP="005F5ED3" w14:paraId="4EE3C42E" w14:textId="5335EC3B">
      <w:pPr>
        <w:pStyle w:val="paragraph"/>
        <w:spacing w:before="120" w:beforeAutospacing="0" w:after="120" w:afterAutospacing="0"/>
        <w:ind w:left="720"/>
        <w:textAlignment w:val="baseline"/>
        <w:rPr>
          <w:rFonts w:ascii="Segoe UI" w:hAnsi="Segoe UI" w:cs="Segoe UI"/>
          <w:b/>
          <w:bCs/>
          <w:sz w:val="18"/>
          <w:szCs w:val="18"/>
        </w:rPr>
      </w:pPr>
      <w:r>
        <w:rPr>
          <w:rStyle w:val="normaltextrun"/>
        </w:rPr>
        <w:t xml:space="preserve">As recognized by the Supreme Court in </w:t>
      </w:r>
      <w:r>
        <w:rPr>
          <w:rStyle w:val="normaltextrun"/>
          <w:i/>
          <w:iCs/>
        </w:rPr>
        <w:t>Michigan v. EPA</w:t>
      </w:r>
      <w:r>
        <w:rPr>
          <w:rStyle w:val="normaltextrun"/>
        </w:rPr>
        <w:t xml:space="preserve">, 135 S. Ct. 2699, 2707 (2015), “reasonable regulation” generally involves some sort of examination of the benefits and the burdens of a rule. Nevertheless, the Court in </w:t>
      </w:r>
      <w:r>
        <w:rPr>
          <w:rStyle w:val="normaltextrun"/>
          <w:i/>
          <w:iCs/>
        </w:rPr>
        <w:t>Michigan v. EPA</w:t>
      </w:r>
      <w:r>
        <w:rPr>
          <w:rStyle w:val="normaltextrun"/>
        </w:rPr>
        <w:t xml:space="preserve"> did not mandate a strict analysis of quantified cost and benefits and limit the Agency to adopting only those measures that have quantified costs exceeding benefits. </w:t>
      </w:r>
      <w:r w:rsidR="00D31EF5">
        <w:rPr>
          <w:rStyle w:val="normaltextrun"/>
        </w:rPr>
        <w:t xml:space="preserve">In assessing the types of benefits EPA should consider in a rulemaking under CAA 112(r)(7), EPA recognizes </w:t>
      </w:r>
      <w:r>
        <w:rPr>
          <w:rStyle w:val="normaltextrun"/>
        </w:rPr>
        <w:t xml:space="preserve">that a major purpose of the accidental release provisions of the CAA is to </w:t>
      </w:r>
      <w:r w:rsidR="00F3702A">
        <w:rPr>
          <w:rStyle w:val="normaltextrun"/>
        </w:rPr>
        <w:t xml:space="preserve">help mitigate and </w:t>
      </w:r>
      <w:r>
        <w:rPr>
          <w:rStyle w:val="normaltextrun"/>
        </w:rPr>
        <w:t>prevent large scale catastrophic incidents that are rare and therefore difficult to quantify.</w:t>
      </w:r>
      <w:r>
        <w:rPr>
          <w:rStyle w:val="superscript"/>
          <w:sz w:val="19"/>
          <w:szCs w:val="19"/>
          <w:vertAlign w:val="superscript"/>
        </w:rPr>
        <w:t>18</w:t>
      </w:r>
      <w:r>
        <w:rPr>
          <w:rStyle w:val="normaltextrun"/>
        </w:rPr>
        <w:t xml:space="preserve"> Both the Senate and the House committee reports on the </w:t>
      </w:r>
      <w:r w:rsidR="00CF2373">
        <w:rPr>
          <w:rStyle w:val="normaltextrun"/>
        </w:rPr>
        <w:t>Clean Air Act Amendments (</w:t>
      </w:r>
      <w:r>
        <w:rPr>
          <w:rStyle w:val="normaltextrun"/>
        </w:rPr>
        <w:t>CAAA</w:t>
      </w:r>
      <w:r w:rsidR="00CF2373">
        <w:rPr>
          <w:rStyle w:val="normaltextrun"/>
        </w:rPr>
        <w:t>)</w:t>
      </w:r>
      <w:r>
        <w:rPr>
          <w:rStyle w:val="normaltextrun"/>
        </w:rPr>
        <w:t xml:space="preserve"> specifically identify the </w:t>
      </w:r>
      <w:r w:rsidR="007E1BED">
        <w:rPr>
          <w:rStyle w:val="normaltextrun"/>
        </w:rPr>
        <w:t>Union Carbide-</w:t>
      </w:r>
      <w:r>
        <w:rPr>
          <w:rStyle w:val="normaltextrun"/>
        </w:rPr>
        <w:t>Bhopal</w:t>
      </w:r>
      <w:r w:rsidR="007C7589">
        <w:rPr>
          <w:rStyle w:val="normaltextrun"/>
        </w:rPr>
        <w:t xml:space="preserve"> incident</w:t>
      </w:r>
      <w:r>
        <w:rPr>
          <w:rStyle w:val="normaltextrun"/>
        </w:rPr>
        <w:t xml:space="preserve"> as one that demonstrated the need for the accidental release prevention provision (House Report at 155-57; Senate Report at 134-35, 143-44). The Congressional reports and floor debates also cite an EPA study identifying 17 events that, based only the volume and toxicity of the chemicals involved (and not accounting for factors such as location, climate, and operating conditions) had the potential for more damage than the </w:t>
      </w:r>
      <w:r w:rsidR="007C7589">
        <w:rPr>
          <w:rStyle w:val="normaltextrun"/>
        </w:rPr>
        <w:t>Union Carbide-</w:t>
      </w:r>
      <w:r>
        <w:rPr>
          <w:rStyle w:val="normaltextrun"/>
        </w:rPr>
        <w:t xml:space="preserve">Bhopal incident. </w:t>
      </w:r>
      <w:r>
        <w:rPr>
          <w:rStyle w:val="normaltextrun"/>
        </w:rPr>
        <w:t xml:space="preserve">Therefore, when assessing the reasonableness of the benefits and burdens of various regulatory options, EPA places weight on both preventing more common accidental releases captured in the accident history portion of the RMP database while also placing weight on less quantifiable potential catastrophic events. Our judgment as to what regulations are “reasonable” is informed by both quantifiable and unquantifiable burdens and benefits. </w:t>
      </w:r>
    </w:p>
    <w:p w:rsidR="00025134" w:rsidRPr="00F5284C" w:rsidP="00025134" w14:paraId="12EA0223" w14:textId="77777777">
      <w:pPr>
        <w:rPr>
          <w:rFonts w:ascii="Times New Roman" w:hAnsi="Times New Roman"/>
          <w:i/>
          <w:iCs/>
          <w:sz w:val="24"/>
        </w:rPr>
      </w:pPr>
      <w:r>
        <w:rPr>
          <w:rFonts w:ascii="Times New Roman" w:hAnsi="Times New Roman"/>
          <w:i/>
          <w:iCs/>
          <w:sz w:val="24"/>
        </w:rPr>
        <w:t>Comments supporting EPA’s use of its statutory authority</w:t>
      </w:r>
    </w:p>
    <w:p w:rsidR="00025134" w:rsidRPr="008F483E" w:rsidP="00025134" w14:paraId="3660C1FF" w14:textId="77777777">
      <w:pPr>
        <w:rPr>
          <w:rFonts w:ascii="Times New Roman" w:hAnsi="Times New Roman"/>
          <w:b/>
          <w:sz w:val="24"/>
        </w:rPr>
      </w:pPr>
      <w:r w:rsidRPr="00292EDB">
        <w:rPr>
          <w:rFonts w:ascii="Times New Roman" w:hAnsi="Times New Roman"/>
          <w:b/>
          <w:bCs/>
          <w:sz w:val="24"/>
        </w:rPr>
        <w:t>Comment</w:t>
      </w:r>
      <w:r>
        <w:rPr>
          <w:rFonts w:ascii="Times New Roman" w:hAnsi="Times New Roman"/>
          <w:b/>
          <w:bCs/>
          <w:sz w:val="24"/>
        </w:rPr>
        <w:t xml:space="preserve"> 1.3-02</w:t>
      </w:r>
      <w:r w:rsidRPr="00292EDB">
        <w:rPr>
          <w:rFonts w:ascii="Times New Roman" w:hAnsi="Times New Roman"/>
          <w:b/>
          <w:bCs/>
          <w:sz w:val="24"/>
        </w:rPr>
        <w:t xml:space="preserve">: </w:t>
      </w:r>
      <w:r w:rsidRPr="006F68E9">
        <w:rPr>
          <w:rFonts w:ascii="Times New Roman" w:hAnsi="Times New Roman"/>
          <w:sz w:val="24"/>
        </w:rPr>
        <w:t xml:space="preserve">A couple of commenters concurred that EPA has ample authority to revise RMP regulations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(0183, 0266, 0444, 0456, 0460, 0480). One of the commenters urged EPA to enforce their regulatory authority under § 112(r) of the CAA to carry out their mission to protect the public’s health and the environment in which we live and make communities safer by preventing and mitigating accidental releases of regulated substances (0480). Another commenter stated that, under the CAA, Congress directed OSHA to focus on workplace safety regulations and EPA to focus on public health and environmental impact mitigation. The commenter stated EPA has reasonably explained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does not conflict with the workplace safety regulations of OSHA, so EPA is not exceeding its statutory authority (0444).</w:t>
      </w:r>
    </w:p>
    <w:p w:rsidR="00025134" w:rsidRPr="00411830" w:rsidP="0A6A77D8" w14:paraId="38FF1FD7" w14:textId="136C0C2A">
      <w:pPr>
        <w:ind w:left="720"/>
        <w:rPr>
          <w:rFonts w:ascii="Times New Roman" w:hAnsi="Times New Roman"/>
          <w:sz w:val="24"/>
        </w:rPr>
      </w:pPr>
      <w:r w:rsidRPr="0A6A77D8">
        <w:rPr>
          <w:rFonts w:ascii="Times New Roman" w:hAnsi="Times New Roman"/>
          <w:b/>
          <w:bCs/>
          <w:sz w:val="24"/>
        </w:rPr>
        <w:t xml:space="preserve">EPA Response: </w:t>
      </w:r>
      <w:r w:rsidRPr="0A6A77D8">
        <w:rPr>
          <w:rFonts w:ascii="Times New Roman" w:hAnsi="Times New Roman"/>
          <w:sz w:val="24"/>
        </w:rPr>
        <w:t>EPA agrees with these comments.</w:t>
      </w:r>
      <w:r w:rsidRPr="0A6A77D8" w:rsidR="06393B33">
        <w:rPr>
          <w:rFonts w:ascii="Times New Roman" w:hAnsi="Times New Roman"/>
          <w:sz w:val="24"/>
        </w:rPr>
        <w:t xml:space="preserve"> </w:t>
      </w:r>
      <w:r w:rsidRPr="0A6A77D8" w:rsidR="1EE31D95">
        <w:rPr>
          <w:rFonts w:ascii="Times New Roman" w:hAnsi="Times New Roman"/>
          <w:sz w:val="24"/>
        </w:rPr>
        <w:t>EPA has an active program enforcing the General Duty Clause and the RMP</w:t>
      </w:r>
      <w:r w:rsidRPr="0A6A77D8" w:rsidR="5A82077D">
        <w:rPr>
          <w:rFonts w:ascii="Times New Roman" w:hAnsi="Times New Roman"/>
          <w:sz w:val="24"/>
        </w:rPr>
        <w:t xml:space="preserve">, which together prevent and mitigate accidental releases. </w:t>
      </w:r>
      <w:r w:rsidRPr="0A6A77D8" w:rsidR="7D876BE0">
        <w:rPr>
          <w:rFonts w:ascii="Times New Roman" w:hAnsi="Times New Roman"/>
          <w:sz w:val="24"/>
        </w:rPr>
        <w:t>EPA has coordinated and consulted with OSHA in the development of 40 CFR part 68 and these amendments</w:t>
      </w:r>
      <w:r w:rsidRPr="0A6A77D8" w:rsidR="58552601">
        <w:rPr>
          <w:rFonts w:ascii="Times New Roman" w:hAnsi="Times New Roman"/>
          <w:sz w:val="24"/>
        </w:rPr>
        <w:t xml:space="preserve"> to the chemical accident prevention provisions to ensure that the rules are compatible and do not conflict.</w:t>
      </w:r>
    </w:p>
    <w:p w:rsidR="00025134" w:rsidRPr="00C314BB" w:rsidP="00025134" w14:paraId="2E754A88" w14:textId="77777777">
      <w:pPr>
        <w:rPr>
          <w:rFonts w:ascii="Times New Roman" w:hAnsi="Times New Roman"/>
          <w:i/>
          <w:iCs/>
          <w:sz w:val="24"/>
        </w:rPr>
      </w:pPr>
      <w:r>
        <w:rPr>
          <w:rFonts w:ascii="Times New Roman" w:hAnsi="Times New Roman"/>
          <w:i/>
          <w:iCs/>
          <w:sz w:val="24"/>
        </w:rPr>
        <w:t>Comments stating EPA has exceeded its statutory authority</w:t>
      </w:r>
    </w:p>
    <w:p w:rsidR="00025134" w:rsidRPr="00D3797D" w:rsidP="00025134" w14:paraId="64B90B8F" w14:textId="77777777">
      <w:pPr>
        <w:rPr>
          <w:rFonts w:ascii="Times New Roman" w:hAnsi="Times New Roman"/>
          <w:b/>
          <w:bCs/>
          <w:sz w:val="24"/>
        </w:rPr>
      </w:pPr>
      <w:r>
        <w:rPr>
          <w:rFonts w:ascii="Times New Roman" w:hAnsi="Times New Roman"/>
          <w:b/>
          <w:bCs/>
          <w:sz w:val="24"/>
        </w:rPr>
        <w:t xml:space="preserve">Comment 1.3-03: </w:t>
      </w:r>
      <w:r w:rsidRPr="006F68E9">
        <w:rPr>
          <w:rFonts w:ascii="Times New Roman" w:hAnsi="Times New Roman"/>
          <w:sz w:val="24"/>
        </w:rPr>
        <w:t xml:space="preserve">Several commenters stated that in taking this proposed action, EPA is exceeding its statutory authority provided by § 112(r) of the CAA (0065, 0227, 0229, 0233, 0237, 0238, 0253, 0268, 0271, 0272, 0275, 0277). Several commenters stated that EPA is exceeding its statutory authority under the CAA as several provisions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drift into the lane of other agencies (0207, 0229, 0233, 0268, 0277). </w:t>
      </w:r>
    </w:p>
    <w:p w:rsidR="00025134" w:rsidP="00025134" w14:paraId="29FD6A15" w14:textId="77777777">
      <w:pPr>
        <w:rPr>
          <w:rFonts w:ascii="Times New Roman" w:hAnsi="Times New Roman"/>
          <w:sz w:val="24"/>
        </w:rPr>
      </w:pPr>
      <w:r>
        <w:rPr>
          <w:rFonts w:ascii="Times New Roman" w:hAnsi="Times New Roman"/>
          <w:sz w:val="24"/>
        </w:rPr>
        <w:t>A</w:t>
      </w:r>
      <w:r w:rsidRPr="006F68E9">
        <w:rPr>
          <w:rFonts w:ascii="Times New Roman" w:hAnsi="Times New Roman"/>
          <w:sz w:val="24"/>
        </w:rPr>
        <w:t xml:space="preserve"> few commenters stated that EPA does not have jurisdiction over worker safety issues as that is reserved for OSHA (0202, 0233, 0268). A couple of commenters highlighted that, under the CAA § 112(r)(7), Congress directed EPA to prevent and mitigate public health and environmental impacts that could arise from accidental releases, which EPA addressed by issuing the initial RMP rule in 1996. The commenters noted that in its first RMP rulemaking, EPA recognized this division of statutory authority—OSHA’s focus is on workplace impacts, while EPA’s focus is on offsite consequences. The commenters said that in this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EPA fails to respect the historical jurisdictional boundaries by layering novel requirements that conflict with OSHA regulations (0233, 0268).</w:t>
      </w:r>
    </w:p>
    <w:p w:rsidR="00025134" w:rsidP="503323F3" w14:paraId="79DB6824" w14:textId="77777777">
      <w:pPr>
        <w:rPr>
          <w:rFonts w:ascii="Times New Roman" w:hAnsi="Times New Roman"/>
          <w:sz w:val="24"/>
        </w:rPr>
      </w:pPr>
      <w:r w:rsidRPr="503323F3">
        <w:rPr>
          <w:rFonts w:ascii="Times New Roman" w:hAnsi="Times New Roman"/>
          <w:sz w:val="24"/>
        </w:rPr>
        <w:t xml:space="preserve">Some commenters stated that OSHA is the proper statutory agency to implement virtually all aspects of process safety in the workplace in contrast to risk management regarding releases or emissions from facilities subject to RMP. The commenters noted that EPA’s proposed rule encroaches on the PSM standard and other OSHA programs and EPA should not finalize any new RMP requirements directed solely to governing the internal aspects of covered processes that are intrinsic to on-site safety at workplaces (0229, 0232, 0233, 0253, 0272). One commenter noted that the CAA explicitly states that EPA must not use its authority to “proscribe or enforce standards or regulations affecting occupational health or safety.” The commenter further stated that throughout the proposed rule, EPA explicitly cites worker safety measures to justify the proposed regulatory provision that extends existing OSHA standards and guidance. The commenter stated that citing worker safety as a basis for new RMP regulatory requirements crosses the line between EPA and OSHA, as OSHA has exclusive authority to address worker safety issues (0237). </w:t>
      </w:r>
    </w:p>
    <w:p w:rsidR="00025134" w:rsidP="00025134" w14:paraId="713715FA" w14:textId="77232DB5">
      <w:pPr>
        <w:ind w:left="720"/>
        <w:rPr>
          <w:rStyle w:val="normaltextrun"/>
          <w:rFonts w:ascii="Times New Roman" w:hAnsi="Times New Roman"/>
          <w:color w:val="000000"/>
          <w:sz w:val="24"/>
        </w:rPr>
      </w:pPr>
      <w:r w:rsidRPr="002011E5">
        <w:rPr>
          <w:rFonts w:ascii="Times New Roman" w:hAnsi="Times New Roman"/>
          <w:b/>
          <w:bCs/>
          <w:sz w:val="24"/>
        </w:rPr>
        <w:t xml:space="preserve">EPA Response: </w:t>
      </w:r>
      <w:bookmarkStart w:id="12" w:name="_Hlk149130982"/>
      <w:r w:rsidRPr="7B47B50B">
        <w:rPr>
          <w:rStyle w:val="normaltextrun"/>
          <w:rFonts w:ascii="Times New Roman" w:hAnsi="Times New Roman"/>
          <w:color w:val="000000" w:themeColor="text1"/>
          <w:sz w:val="24"/>
        </w:rPr>
        <w:t xml:space="preserve">EPA disagrees that it has exceeded its statutory authority in this way in this rulemaking. EPA acknowledges that both EPA and OSHA have separate mandates under the Occupational Safety and Health Act (29 U.S.C. 651), the CAA, and the requirements enacted in the CAAA. In the 1990s, both Agencies fulfilled their mandatory duties to promulgate and issue the rules required by CAA sections 112(r)(3)-(5) and 112(r)(7)(B), as well as section 304 of the CAAA. The focus of OSHA’s regulations in the PSM standard is on workplace safety, while EPA’s focus in the RMP regulations has been primarily on minimizing the public impacts of accidental releases through prevention and response. Today’s rule maintains EPA’s focus on minimizing the public impacts of accidental releases even as it also reduces impacts on facilities and workers. As explained throughout the proposal and in this final action, the OSHA PSM standard and EPA RMP regulations are closely aligned in content, policy interpretations, and enforcement. This is not surprising, as accident prevention steps that make a process safe for workers often will be similar, or the same as, steps that would prevent deleterious impacts on the public. </w:t>
      </w:r>
      <w:r w:rsidRPr="348D741D" w:rsidR="299F82AF">
        <w:rPr>
          <w:rStyle w:val="normaltextrun"/>
          <w:rFonts w:ascii="Times New Roman" w:hAnsi="Times New Roman"/>
          <w:color w:val="000000" w:themeColor="text1"/>
          <w:sz w:val="24"/>
        </w:rPr>
        <w:t xml:space="preserve">Thus, enhancing the PHA through additional employee participation authority will enhance the </w:t>
      </w:r>
      <w:r w:rsidRPr="348D741D" w:rsidR="64FAF337">
        <w:rPr>
          <w:rStyle w:val="normaltextrun"/>
          <w:rFonts w:ascii="Times New Roman" w:hAnsi="Times New Roman"/>
          <w:color w:val="000000" w:themeColor="text1"/>
          <w:sz w:val="24"/>
        </w:rPr>
        <w:t xml:space="preserve">chemical accident </w:t>
      </w:r>
      <w:r w:rsidRPr="348D741D" w:rsidR="299F82AF">
        <w:rPr>
          <w:rStyle w:val="normaltextrun"/>
          <w:rFonts w:ascii="Times New Roman" w:hAnsi="Times New Roman"/>
          <w:color w:val="000000" w:themeColor="text1"/>
          <w:sz w:val="24"/>
        </w:rPr>
        <w:t xml:space="preserve">safety of the </w:t>
      </w:r>
      <w:r w:rsidRPr="348D741D" w:rsidR="348116A7">
        <w:rPr>
          <w:rStyle w:val="normaltextrun"/>
          <w:rFonts w:ascii="Times New Roman" w:hAnsi="Times New Roman"/>
          <w:color w:val="000000" w:themeColor="text1"/>
          <w:sz w:val="24"/>
        </w:rPr>
        <w:t xml:space="preserve">public. </w:t>
      </w:r>
      <w:r w:rsidRPr="348D741D">
        <w:rPr>
          <w:rStyle w:val="normaltextrun"/>
          <w:rFonts w:ascii="Times New Roman" w:hAnsi="Times New Roman"/>
          <w:color w:val="000000" w:themeColor="text1"/>
          <w:sz w:val="24"/>
        </w:rPr>
        <w:t>Congress</w:t>
      </w:r>
      <w:r w:rsidRPr="7B47B50B">
        <w:rPr>
          <w:rStyle w:val="normaltextrun"/>
          <w:rFonts w:ascii="Times New Roman" w:hAnsi="Times New Roman"/>
          <w:color w:val="000000" w:themeColor="text1"/>
          <w:sz w:val="24"/>
        </w:rPr>
        <w:t xml:space="preserve"> recognized </w:t>
      </w:r>
      <w:r w:rsidRPr="39322156" w:rsidR="5AF3C24C">
        <w:rPr>
          <w:rStyle w:val="normaltextrun"/>
          <w:rFonts w:ascii="Times New Roman" w:hAnsi="Times New Roman"/>
          <w:color w:val="000000" w:themeColor="text1"/>
          <w:sz w:val="24"/>
        </w:rPr>
        <w:t>the RMP-PSM</w:t>
      </w:r>
      <w:r w:rsidRPr="7B47B50B">
        <w:rPr>
          <w:rStyle w:val="normaltextrun"/>
          <w:rFonts w:ascii="Times New Roman" w:hAnsi="Times New Roman"/>
          <w:color w:val="000000" w:themeColor="text1"/>
          <w:sz w:val="24"/>
        </w:rPr>
        <w:t xml:space="preserve"> relationship by requiring EPA to coordinate its requirements with those of OSHA in developing accident prevention regulations and requiring OSHA to coordinate with EPA when developing its PSM standard (see CAA section 112(r)((7)(D) and CAAA section 304(a)). Therefore, since the inception of these regulations, EPA and OSHA have coordinated closely on their implementation in order to minimize regulatory burden and avoid conflicting requirements for regulated facilities. This coordination has continued throughout the development of this rule. </w:t>
      </w:r>
      <w:r w:rsidRPr="7B47B50B" w:rsidR="6F211982">
        <w:rPr>
          <w:rStyle w:val="normaltextrun"/>
          <w:rFonts w:ascii="Times New Roman" w:hAnsi="Times New Roman"/>
          <w:color w:val="000000" w:themeColor="text1"/>
          <w:sz w:val="24"/>
        </w:rPr>
        <w:t xml:space="preserve">Appendix </w:t>
      </w:r>
      <w:r w:rsidR="00331A75">
        <w:rPr>
          <w:rStyle w:val="normaltextrun"/>
          <w:rFonts w:ascii="Times New Roman" w:hAnsi="Times New Roman"/>
          <w:color w:val="000000" w:themeColor="text1"/>
          <w:sz w:val="24"/>
        </w:rPr>
        <w:t>A</w:t>
      </w:r>
      <w:r w:rsidRPr="2BA4B425" w:rsidR="6F211982">
        <w:rPr>
          <w:rStyle w:val="normaltextrun"/>
          <w:rFonts w:ascii="Times New Roman" w:hAnsi="Times New Roman"/>
          <w:color w:val="000000" w:themeColor="text1"/>
          <w:sz w:val="24"/>
        </w:rPr>
        <w:t xml:space="preserve"> documents a series of meetings </w:t>
      </w:r>
      <w:r w:rsidRPr="2BA4B425" w:rsidR="29D3C6E6">
        <w:rPr>
          <w:rStyle w:val="normaltextrun"/>
          <w:rFonts w:ascii="Times New Roman" w:hAnsi="Times New Roman"/>
          <w:color w:val="000000" w:themeColor="text1"/>
          <w:sz w:val="24"/>
        </w:rPr>
        <w:t xml:space="preserve">among </w:t>
      </w:r>
      <w:r w:rsidRPr="2BA4B425" w:rsidR="6F211982">
        <w:rPr>
          <w:rStyle w:val="normaltextrun"/>
          <w:rFonts w:ascii="Times New Roman" w:hAnsi="Times New Roman"/>
          <w:color w:val="000000" w:themeColor="text1"/>
          <w:sz w:val="24"/>
        </w:rPr>
        <w:t xml:space="preserve">staff </w:t>
      </w:r>
      <w:r w:rsidRPr="2BA4B425" w:rsidR="22DBC674">
        <w:rPr>
          <w:rStyle w:val="normaltextrun"/>
          <w:rFonts w:ascii="Times New Roman" w:hAnsi="Times New Roman"/>
          <w:color w:val="000000" w:themeColor="text1"/>
          <w:sz w:val="24"/>
        </w:rPr>
        <w:t xml:space="preserve">from EPA and OSHA during </w:t>
      </w:r>
      <w:r w:rsidRPr="2BA4B425" w:rsidR="063660FC">
        <w:rPr>
          <w:rStyle w:val="normaltextrun"/>
          <w:rFonts w:ascii="Times New Roman" w:hAnsi="Times New Roman"/>
          <w:color w:val="000000" w:themeColor="text1"/>
          <w:sz w:val="24"/>
        </w:rPr>
        <w:t>SCCAP rule development.</w:t>
      </w:r>
      <w:r w:rsidRPr="2BA4B425" w:rsidR="6F211982">
        <w:rPr>
          <w:rStyle w:val="normaltextrun"/>
          <w:rFonts w:ascii="Times New Roman" w:hAnsi="Times New Roman"/>
          <w:color w:val="000000" w:themeColor="text1"/>
          <w:sz w:val="24"/>
        </w:rPr>
        <w:t xml:space="preserve"> </w:t>
      </w:r>
    </w:p>
    <w:p w:rsidR="00025134" w:rsidP="2E042D03" w14:paraId="2FC29E7C" w14:textId="598D974D">
      <w:pPr>
        <w:ind w:left="720"/>
        <w:rPr>
          <w:rFonts w:ascii="Times New Roman" w:hAnsi="Times New Roman"/>
          <w:sz w:val="24"/>
        </w:rPr>
      </w:pPr>
      <w:r w:rsidRPr="35ECC77D">
        <w:rPr>
          <w:rFonts w:ascii="Times New Roman" w:hAnsi="Times New Roman"/>
          <w:sz w:val="24"/>
        </w:rPr>
        <w:t>Nothing in the structure of the 1990 CAA A</w:t>
      </w:r>
      <w:r w:rsidRPr="35ECC77D" w:rsidR="5426656F">
        <w:rPr>
          <w:rFonts w:ascii="Times New Roman" w:hAnsi="Times New Roman"/>
          <w:sz w:val="24"/>
        </w:rPr>
        <w:t xml:space="preserve">mendments nor its legislative history suggests that only one agency is the exclusive, proper, or prime </w:t>
      </w:r>
      <w:r w:rsidRPr="35ECC77D" w:rsidR="278B9C71">
        <w:rPr>
          <w:rFonts w:ascii="Times New Roman" w:hAnsi="Times New Roman"/>
          <w:sz w:val="24"/>
        </w:rPr>
        <w:t xml:space="preserve">authority for chemical process safety. </w:t>
      </w:r>
      <w:r w:rsidRPr="35ECC77D" w:rsidR="32FC61C2">
        <w:rPr>
          <w:rFonts w:ascii="Times New Roman" w:hAnsi="Times New Roman"/>
          <w:sz w:val="24"/>
        </w:rPr>
        <w:t xml:space="preserve">The </w:t>
      </w:r>
      <w:r w:rsidRPr="35ECC77D" w:rsidR="2D344B55">
        <w:rPr>
          <w:rFonts w:ascii="Times New Roman" w:hAnsi="Times New Roman"/>
          <w:sz w:val="24"/>
        </w:rPr>
        <w:t xml:space="preserve">statute </w:t>
      </w:r>
      <w:r w:rsidRPr="35ECC77D" w:rsidR="32FC61C2">
        <w:rPr>
          <w:rFonts w:ascii="Times New Roman" w:hAnsi="Times New Roman"/>
          <w:sz w:val="24"/>
        </w:rPr>
        <w:t xml:space="preserve">required both EPA and OSHA to proceed with provisions to prevent chemical accidents. The Senate Report discusses the relationship and expertise of both agencies in the field of accident prevention, including the issue of whether OSHA should be the lead agency in the area, and noted that “EPA has developed considerable expertise in the area of accident prevention.” (Senate Report at 244 -45). The Senate Report provides an extended discussion of the types of accident prevention authorities provided to EPA (see generally Senate Report at 237 – 45), including intrinsic systems designed into processes and extrinsic systems to be retrofitted to processes to prevent releases (Id. at 239). The approach of the bill was to require coordination among agencies rather than primacy or preemption. Sections 129(f)(1) and (2) of the Senate bill closely parallel section 112(r)(7)(A) and (B)(i), and section 129(f)(3) has the same consultation and coordination requirement for EPA with U.S. Department of Labor (DOL) and OSHA as CAA section 112(r)(7)(D). Therefore, the arguments raised by the commenters regarding “primary jurisdiction” and “lead” for OSHA on process safety do not reflect origins of the statutory provisions. </w:t>
      </w:r>
    </w:p>
    <w:p w:rsidR="00025134" w:rsidRPr="00B87DCA" w:rsidP="0A6A77D8" w14:paraId="5846CED1" w14:textId="3C49D7B9">
      <w:pPr>
        <w:ind w:left="720"/>
        <w:rPr>
          <w:rFonts w:ascii="Times New Roman" w:hAnsi="Times New Roman"/>
          <w:b/>
          <w:bCs/>
          <w:sz w:val="24"/>
        </w:rPr>
      </w:pPr>
      <w:r w:rsidRPr="0A6A77D8">
        <w:rPr>
          <w:rFonts w:ascii="Times New Roman" w:hAnsi="Times New Roman"/>
          <w:sz w:val="24"/>
        </w:rPr>
        <w:t xml:space="preserve">Nothing in the final rule impacts adversely OSHA’s ability to regulate workplace safety or asserts “primary jurisdiction over workplace safety.” 29 USC 653(b)(1) is a preemption provision that generally bars OSHA from acting on a workplace safety matter when is it is within the jurisdiction of another federal agency (“Nothing in this Act shall </w:t>
      </w:r>
      <w:r w:rsidRPr="0A6A77D8">
        <w:rPr>
          <w:rFonts w:ascii="Times New Roman" w:hAnsi="Times New Roman"/>
          <w:sz w:val="24"/>
        </w:rPr>
        <w:t>apply to working conditions of employees with respect to which other Federal agencies, and State agencies acting under section 274 of the Atomic Energy Act of 1954, as amended (42 United States Code (U.S.C.) § 2021), exercise statutory authority to prescribe or enforce standards or regulations affecting occupational safety or health.”).</w:t>
      </w:r>
      <w:r w:rsidRPr="0A6A77D8" w:rsidR="68726D37">
        <w:rPr>
          <w:rFonts w:ascii="Times New Roman" w:hAnsi="Times New Roman"/>
          <w:sz w:val="24"/>
        </w:rPr>
        <w:t xml:space="preserve"> The House Report reflects a concern that the grant of authority to EPA to regulate accidental releases could be rea</w:t>
      </w:r>
      <w:r w:rsidRPr="0A6A77D8" w:rsidR="7B21FE41">
        <w:rPr>
          <w:rFonts w:ascii="Times New Roman" w:hAnsi="Times New Roman"/>
          <w:sz w:val="24"/>
        </w:rPr>
        <w:t>d as preempting OSHA’s authority pro</w:t>
      </w:r>
      <w:r w:rsidRPr="0A6A77D8" w:rsidR="2134EE27">
        <w:rPr>
          <w:rFonts w:ascii="Times New Roman" w:hAnsi="Times New Roman"/>
          <w:sz w:val="24"/>
        </w:rPr>
        <w:t>tect workers from chemical accidents. See House Report at 335-336.</w:t>
      </w:r>
      <w:r w:rsidRPr="0A6A77D8" w:rsidR="008760C0">
        <w:rPr>
          <w:rFonts w:ascii="Times New Roman" w:hAnsi="Times New Roman"/>
          <w:sz w:val="24"/>
        </w:rPr>
        <w:t xml:space="preserve"> </w:t>
      </w:r>
      <w:r w:rsidRPr="0A6A77D8">
        <w:rPr>
          <w:rFonts w:ascii="Times New Roman" w:hAnsi="Times New Roman"/>
          <w:sz w:val="24"/>
        </w:rPr>
        <w:t xml:space="preserve">The provision in section 112(r)(7)(G) simply reflects that EPA, by regulating process safety under section 112(r), does not preempt OSHA’s authority also to act. </w:t>
      </w:r>
      <w:r w:rsidRPr="02A15786" w:rsidR="75E74D01">
        <w:rPr>
          <w:rFonts w:ascii="Times New Roman" w:hAnsi="Times New Roman"/>
          <w:sz w:val="24"/>
        </w:rPr>
        <w:t xml:space="preserve">EPA “shall not </w:t>
      </w:r>
      <w:r w:rsidRPr="5590CA72" w:rsidR="75E74D01">
        <w:rPr>
          <w:rFonts w:ascii="Times New Roman" w:hAnsi="Times New Roman"/>
          <w:sz w:val="24"/>
        </w:rPr>
        <w:t xml:space="preserve">. . . </w:t>
      </w:r>
      <w:r w:rsidRPr="02A15786" w:rsidR="75E74D01">
        <w:rPr>
          <w:rFonts w:ascii="Times New Roman" w:hAnsi="Times New Roman"/>
          <w:sz w:val="24"/>
        </w:rPr>
        <w:t xml:space="preserve"> </w:t>
      </w:r>
      <w:r w:rsidRPr="0A214C9D" w:rsidR="75E74D01">
        <w:rPr>
          <w:rFonts w:ascii="Times New Roman" w:hAnsi="Times New Roman"/>
          <w:sz w:val="24"/>
        </w:rPr>
        <w:t>be deemed to be” setting occupational saf</w:t>
      </w:r>
      <w:r w:rsidRPr="0A214C9D" w:rsidR="2CBB4854">
        <w:rPr>
          <w:rFonts w:ascii="Times New Roman" w:hAnsi="Times New Roman"/>
          <w:sz w:val="24"/>
        </w:rPr>
        <w:t xml:space="preserve">ety and health </w:t>
      </w:r>
      <w:r w:rsidRPr="4DDA56BC" w:rsidR="2CBB4854">
        <w:rPr>
          <w:rFonts w:ascii="Times New Roman" w:hAnsi="Times New Roman"/>
          <w:sz w:val="24"/>
        </w:rPr>
        <w:t xml:space="preserve">measures </w:t>
      </w:r>
      <w:r w:rsidRPr="59427F01" w:rsidR="074D8CA3">
        <w:rPr>
          <w:rFonts w:ascii="Times New Roman" w:hAnsi="Times New Roman"/>
          <w:sz w:val="24"/>
        </w:rPr>
        <w:t xml:space="preserve">that potentially preempts OSHA. </w:t>
      </w:r>
      <w:r w:rsidRPr="2052DE05" w:rsidR="074D8CA3">
        <w:rPr>
          <w:rFonts w:ascii="Times New Roman" w:hAnsi="Times New Roman"/>
          <w:sz w:val="24"/>
        </w:rPr>
        <w:t xml:space="preserve">Id. </w:t>
      </w:r>
      <w:r w:rsidRPr="5914EA07" w:rsidR="007C4D56">
        <w:rPr>
          <w:rFonts w:ascii="Times New Roman" w:hAnsi="Times New Roman"/>
          <w:sz w:val="24"/>
        </w:rPr>
        <w:t>Subparagraph</w:t>
      </w:r>
      <w:r w:rsidRPr="5914EA07" w:rsidR="62497335">
        <w:rPr>
          <w:rFonts w:ascii="Times New Roman" w:hAnsi="Times New Roman"/>
          <w:sz w:val="24"/>
        </w:rPr>
        <w:t xml:space="preserve"> (</w:t>
      </w:r>
      <w:r w:rsidRPr="6F91CB52" w:rsidR="62497335">
        <w:rPr>
          <w:rFonts w:ascii="Times New Roman" w:hAnsi="Times New Roman"/>
          <w:sz w:val="24"/>
        </w:rPr>
        <w:t xml:space="preserve">G) </w:t>
      </w:r>
      <w:r w:rsidRPr="0A6A77D8">
        <w:rPr>
          <w:rFonts w:ascii="Times New Roman" w:hAnsi="Times New Roman"/>
          <w:sz w:val="24"/>
        </w:rPr>
        <w:t>cannot be read to work a preemption of EPA’s authority to act. EPA is well within its discretion and authority to promulgate the process safety provisions of the final rule.</w:t>
      </w:r>
    </w:p>
    <w:bookmarkEnd w:id="12"/>
    <w:p w:rsidR="00025134" w:rsidP="00025134" w14:paraId="2F79049D" w14:textId="77777777">
      <w:pPr>
        <w:rPr>
          <w:rFonts w:ascii="Times New Roman" w:hAnsi="Times New Roman"/>
          <w:sz w:val="24"/>
        </w:rPr>
      </w:pPr>
      <w:r>
        <w:rPr>
          <w:rFonts w:ascii="Times New Roman" w:hAnsi="Times New Roman"/>
          <w:b/>
          <w:bCs/>
          <w:sz w:val="24"/>
        </w:rPr>
        <w:t xml:space="preserve">Comment 1.3-04: </w:t>
      </w:r>
      <w:r w:rsidRPr="006F68E9">
        <w:rPr>
          <w:rFonts w:ascii="Times New Roman" w:hAnsi="Times New Roman"/>
          <w:sz w:val="24"/>
        </w:rPr>
        <w:t>One commenter stated that EPA does not have the statutory authority to include Fertilizer Grade Ammonium Nitrate (FGAN) under the RMP regulations because the safe and secure storage and handling of FGAN is the responsibility of OSHA. The commenter also stated that the RMP program should address the accidental releases into the air of hazardous chemicals in liquid or gas form (0227).</w:t>
      </w:r>
    </w:p>
    <w:p w:rsidR="00025134" w:rsidRPr="005D4F1F" w:rsidP="00025134" w14:paraId="50B2C8F6" w14:textId="77777777">
      <w:pPr>
        <w:rPr>
          <w:rFonts w:ascii="Times New Roman" w:hAnsi="Times New Roman"/>
          <w:b/>
          <w:bCs/>
          <w:sz w:val="24"/>
        </w:rPr>
      </w:pPr>
      <w:r>
        <w:rPr>
          <w:rFonts w:ascii="Times New Roman" w:hAnsi="Times New Roman"/>
          <w:sz w:val="24"/>
        </w:rPr>
        <w:t xml:space="preserve">Another commenter stated </w:t>
      </w:r>
      <w:r w:rsidRPr="006F68E9">
        <w:rPr>
          <w:rFonts w:ascii="Times New Roman" w:hAnsi="Times New Roman"/>
          <w:sz w:val="24"/>
        </w:rPr>
        <w:t>that the scope of regulations for RMP chemicals used in agriculture (anhydrous ammonia and aqua ammonia) are already subject to EPA, OSHA, Department of Homeland Security (DHS) and Emergency Planning and Community Right-to-Know Act (EPCRA) requirements and expressed concern about confusion and contradicting requirements across these agencies’ chemical safety rules (0232).</w:t>
      </w:r>
    </w:p>
    <w:p w:rsidR="005A2816" w:rsidP="005A2816" w14:paraId="64558BEE" w14:textId="76C0E795">
      <w:pPr>
        <w:ind w:left="720"/>
        <w:rPr>
          <w:rFonts w:ascii="Times New Roman" w:hAnsi="Times New Roman"/>
          <w:sz w:val="24"/>
        </w:rPr>
      </w:pPr>
      <w:r w:rsidRPr="5FD83940">
        <w:rPr>
          <w:rFonts w:ascii="Times New Roman" w:hAnsi="Times New Roman"/>
          <w:b/>
          <w:bCs/>
          <w:sz w:val="24"/>
        </w:rPr>
        <w:t>EPA Response</w:t>
      </w:r>
      <w:r>
        <w:rPr>
          <w:rFonts w:ascii="Times New Roman" w:hAnsi="Times New Roman"/>
          <w:b/>
          <w:bCs/>
          <w:sz w:val="24"/>
        </w:rPr>
        <w:t xml:space="preserve">: </w:t>
      </w:r>
      <w:r w:rsidRPr="5FD83940">
        <w:rPr>
          <w:rFonts w:ascii="Times New Roman" w:hAnsi="Times New Roman"/>
          <w:sz w:val="24"/>
        </w:rPr>
        <w:t xml:space="preserve">The SCCAP NPRM solicited input on upcoming potential additions the 40 CFR 68.130 list of regulated substances without proposing to list additional chemicals. In the final rule, EPA is not listing any additional chemicals. Issues regarding EPA’s authority to list FGAN will be addressed in a future rulemaking if and when EPA makes a proposal to list FGAN. EPA acknowledges that there is both support and opposition to regulating ammonium nitrate (AN) and will consider these comments when determining whether to take further action on this issue. In the interim, EPA encourages fertilizer retailers to review and use existing guidance. OSHA compiles several resources on their Fertilizer Industry Guidance on Storage and Use of Ammonium Nitrate webpage at </w:t>
      </w:r>
      <w:hyperlink r:id="rId12">
        <w:r w:rsidRPr="5FD83940">
          <w:rPr>
            <w:rStyle w:val="Hyperlink"/>
            <w:rFonts w:ascii="Times New Roman" w:hAnsi="Times New Roman"/>
            <w:sz w:val="24"/>
          </w:rPr>
          <w:t>https://www.osha.gov/dep/fertilizer_industry/</w:t>
        </w:r>
      </w:hyperlink>
      <w:r w:rsidRPr="5FD83940">
        <w:rPr>
          <w:rFonts w:ascii="Times New Roman" w:hAnsi="Times New Roman"/>
          <w:sz w:val="24"/>
        </w:rPr>
        <w:t>.</w:t>
      </w:r>
    </w:p>
    <w:p w:rsidR="00025134" w:rsidRPr="007D2D9C" w:rsidP="66EC77F8" w14:paraId="083493E4" w14:textId="77777777">
      <w:pPr>
        <w:rPr>
          <w:rFonts w:ascii="Times New Roman" w:hAnsi="Times New Roman"/>
          <w:b/>
          <w:bCs/>
          <w:sz w:val="24"/>
        </w:rPr>
      </w:pPr>
      <w:r w:rsidRPr="66EC77F8">
        <w:rPr>
          <w:rFonts w:ascii="Times New Roman" w:hAnsi="Times New Roman"/>
          <w:b/>
          <w:bCs/>
          <w:sz w:val="24"/>
        </w:rPr>
        <w:t xml:space="preserve">Comment 1.3-05: </w:t>
      </w:r>
      <w:r w:rsidRPr="66EC77F8">
        <w:rPr>
          <w:rFonts w:ascii="Times New Roman" w:hAnsi="Times New Roman"/>
          <w:sz w:val="24"/>
        </w:rPr>
        <w:t xml:space="preserve">One commenter stated that the proposed definitions of active measures, passive measures, and procedural measures in </w:t>
      </w:r>
      <w:bookmarkStart w:id="13" w:name="_Hlk122611205"/>
      <w:r w:rsidRPr="66EC77F8">
        <w:rPr>
          <w:rFonts w:ascii="Times New Roman" w:hAnsi="Times New Roman"/>
          <w:sz w:val="24"/>
        </w:rPr>
        <w:t>40 CFR § 68.3</w:t>
      </w:r>
      <w:bookmarkEnd w:id="13"/>
      <w:r w:rsidRPr="66EC77F8">
        <w:rPr>
          <w:rFonts w:ascii="Times New Roman" w:hAnsi="Times New Roman"/>
          <w:sz w:val="24"/>
        </w:rPr>
        <w:t xml:space="preserve"> exceed the statutory authority granted to EPA under the CAA. The commenter noted that the proposed definition of “active measures” introduces the ambiguous undefined concept of detecting and responding to process deviations. The commenter noted that the proposed definition of “passive measures” also introduces the ambiguous undefined concept of reducing the frequency or consequence of the hazard. The commenter also noted that the proposed definition of “procedural measures” introduces the ambiguous undefined concept of preventing or minimizing incidents (0238).</w:t>
      </w:r>
    </w:p>
    <w:p w:rsidR="00025134" w:rsidRPr="00475BAE" w:rsidP="001D7FAA" w14:paraId="759B83DB" w14:textId="48D55D8C">
      <w:pPr>
        <w:ind w:left="720"/>
        <w:rPr>
          <w:rFonts w:ascii="Times New Roman" w:hAnsi="Times New Roman"/>
          <w:b/>
          <w:bCs/>
          <w:sz w:val="24"/>
        </w:rPr>
      </w:pPr>
      <w:r>
        <w:rPr>
          <w:rFonts w:ascii="Times New Roman" w:hAnsi="Times New Roman"/>
          <w:b/>
          <w:bCs/>
          <w:sz w:val="24"/>
        </w:rPr>
        <w:t xml:space="preserve">EPA Response: </w:t>
      </w:r>
      <w:r w:rsidRPr="001D7FAA" w:rsidR="001D7FAA">
        <w:rPr>
          <w:rFonts w:ascii="Segoe UI" w:hAnsi="Segoe UI" w:cs="Segoe UI"/>
          <w:sz w:val="18"/>
          <w:szCs w:val="18"/>
        </w:rPr>
        <w:t xml:space="preserve"> </w:t>
      </w:r>
      <w:r w:rsidRPr="001D7FAA" w:rsidR="001D7FAA">
        <w:rPr>
          <w:rFonts w:ascii="Times New Roman" w:hAnsi="Times New Roman"/>
          <w:sz w:val="24"/>
        </w:rPr>
        <w:t xml:space="preserve">Beyond characterizing the definitions of passive, active, and procedural measure as introducing "ambiguous undefined concept[s]," the commenter claims that the ambiguity results in definitions that are beyond the scope of the CAA and the authority </w:t>
      </w:r>
      <w:r w:rsidRPr="001D7FAA" w:rsidR="001D7FAA">
        <w:rPr>
          <w:rFonts w:ascii="Times New Roman" w:hAnsi="Times New Roman"/>
          <w:sz w:val="24"/>
        </w:rPr>
        <w:t xml:space="preserve">granted to EPA. We address the purported ambiguities in </w:t>
      </w:r>
      <w:r w:rsidR="00A467B4">
        <w:rPr>
          <w:rFonts w:ascii="Times New Roman" w:hAnsi="Times New Roman"/>
          <w:sz w:val="24"/>
        </w:rPr>
        <w:t>the Amendments Rule R</w:t>
      </w:r>
      <w:r w:rsidR="002A6199">
        <w:rPr>
          <w:rFonts w:ascii="Times New Roman" w:hAnsi="Times New Roman"/>
          <w:sz w:val="24"/>
        </w:rPr>
        <w:t>esponse</w:t>
      </w:r>
      <w:r w:rsidR="001D7FAA">
        <w:rPr>
          <w:rFonts w:ascii="Times New Roman" w:hAnsi="Times New Roman"/>
          <w:sz w:val="24"/>
        </w:rPr>
        <w:t xml:space="preserve"> to </w:t>
      </w:r>
      <w:r w:rsidR="002A6199">
        <w:rPr>
          <w:rFonts w:ascii="Times New Roman" w:hAnsi="Times New Roman"/>
          <w:sz w:val="24"/>
        </w:rPr>
        <w:t>Comments document</w:t>
      </w:r>
      <w:r w:rsidR="003D6E72">
        <w:rPr>
          <w:rFonts w:ascii="Times New Roman" w:hAnsi="Times New Roman"/>
          <w:sz w:val="24"/>
        </w:rPr>
        <w:t>,</w:t>
      </w:r>
      <w:r>
        <w:rPr>
          <w:rStyle w:val="FootnoteReference"/>
          <w:rFonts w:ascii="Times New Roman" w:hAnsi="Times New Roman"/>
          <w:sz w:val="24"/>
        </w:rPr>
        <w:footnoteReference w:id="7"/>
      </w:r>
      <w:r w:rsidR="00533761">
        <w:rPr>
          <w:rFonts w:ascii="Times New Roman" w:hAnsi="Times New Roman"/>
          <w:sz w:val="24"/>
        </w:rPr>
        <w:t xml:space="preserve"> Section 2.3.2</w:t>
      </w:r>
      <w:r w:rsidRPr="001D7FAA" w:rsidR="001D7FAA">
        <w:rPr>
          <w:rFonts w:ascii="Times New Roman" w:hAnsi="Times New Roman"/>
          <w:sz w:val="24"/>
        </w:rPr>
        <w:t>. Generally, EPA's definitions conform to the definitions used by CCPS, which is one of the industry-recognized expert bodies in the field of process safety. Without further explanation of why using commonly</w:t>
      </w:r>
      <w:r w:rsidRPr="001D7FAA" w:rsidR="00E62DFF">
        <w:rPr>
          <w:rFonts w:ascii="Times New Roman" w:hAnsi="Times New Roman"/>
          <w:sz w:val="24"/>
        </w:rPr>
        <w:t xml:space="preserve"> </w:t>
      </w:r>
      <w:r w:rsidRPr="001D7FAA" w:rsidR="001D7FAA">
        <w:rPr>
          <w:rFonts w:ascii="Times New Roman" w:hAnsi="Times New Roman"/>
          <w:sz w:val="24"/>
        </w:rPr>
        <w:t>accepted definitions is beyond the scope of the CAA, EPA believes these responses demonstrate that that the terms are sufficiently clear to be within the scope of our authority under CAA 112(r)(7)</w:t>
      </w:r>
      <w:r w:rsidR="009435CD">
        <w:rPr>
          <w:rFonts w:ascii="Times New Roman" w:hAnsi="Times New Roman"/>
          <w:sz w:val="24"/>
        </w:rPr>
        <w:t>.</w:t>
      </w:r>
    </w:p>
    <w:p w:rsidR="00025134" w:rsidRPr="006F68E9" w:rsidP="00025134" w14:paraId="6A1E5BF2" w14:textId="77777777">
      <w:pPr>
        <w:rPr>
          <w:rFonts w:ascii="Times New Roman" w:hAnsi="Times New Roman"/>
          <w:sz w:val="24"/>
        </w:rPr>
      </w:pPr>
      <w:r>
        <w:rPr>
          <w:rFonts w:ascii="Times New Roman" w:hAnsi="Times New Roman"/>
          <w:b/>
          <w:bCs/>
          <w:sz w:val="24"/>
        </w:rPr>
        <w:t xml:space="preserve">Comment 1.3-06: </w:t>
      </w:r>
      <w:r w:rsidRPr="006F68E9">
        <w:rPr>
          <w:rFonts w:ascii="Times New Roman" w:hAnsi="Times New Roman"/>
          <w:sz w:val="24"/>
        </w:rPr>
        <w:t>One commenter expressed concern that the proposed Process Hazard Analysis (PHA) requirements, including analyzing external events like natural hazards and risks posed by proximate facilities—exceed EPA’s statutory authority and are otherwise arbitrary and capricious (0272).</w:t>
      </w:r>
    </w:p>
    <w:p w:rsidR="00025134" w:rsidRPr="002365DE" w:rsidP="00025134" w14:paraId="29BA48A1" w14:textId="77777777">
      <w:pPr>
        <w:rPr>
          <w:rFonts w:ascii="Times New Roman" w:hAnsi="Times New Roman"/>
          <w:b/>
          <w:bCs/>
          <w:sz w:val="24"/>
        </w:rPr>
      </w:pPr>
      <w:r>
        <w:rPr>
          <w:rFonts w:ascii="Times New Roman" w:hAnsi="Times New Roman"/>
          <w:sz w:val="24"/>
        </w:rPr>
        <w:t>One</w:t>
      </w:r>
      <w:r w:rsidRPr="006F68E9">
        <w:rPr>
          <w:rFonts w:ascii="Times New Roman" w:hAnsi="Times New Roman"/>
          <w:sz w:val="24"/>
        </w:rPr>
        <w:t xml:space="preserve"> commenter suggested that the provisions </w:t>
      </w:r>
      <w:r>
        <w:rPr>
          <w:rFonts w:ascii="Times New Roman" w:hAnsi="Times New Roman"/>
          <w:sz w:val="24"/>
        </w:rPr>
        <w:t xml:space="preserve">to </w:t>
      </w:r>
      <w:r w:rsidRPr="006F68E9">
        <w:rPr>
          <w:rFonts w:ascii="Times New Roman" w:hAnsi="Times New Roman"/>
          <w:sz w:val="24"/>
        </w:rPr>
        <w:t>impose additional RMP requirements that incorporate climate change risks and impacts into regulations and prioritize environmental justice are beyond the statutory authority of EPA (0271). A couple of</w:t>
      </w:r>
      <w:r>
        <w:rPr>
          <w:rFonts w:ascii="Times New Roman" w:hAnsi="Times New Roman"/>
          <w:sz w:val="24"/>
        </w:rPr>
        <w:t xml:space="preserve"> additional</w:t>
      </w:r>
      <w:r w:rsidRPr="006F68E9">
        <w:rPr>
          <w:rFonts w:ascii="Times New Roman" w:hAnsi="Times New Roman"/>
          <w:sz w:val="24"/>
        </w:rPr>
        <w:t xml:space="preserve"> commenters noted that EPA does not have the statutory authority to address climate change through the RMP (0253, 0232). One of the commenters highlighted that the CAA requires the RMP to prevent, detect, and respond to the release of hazardous substances, which is unrelated to climate change (0232).</w:t>
      </w:r>
    </w:p>
    <w:p w:rsidR="00025134" w:rsidRPr="00B92582" w:rsidP="005F5ED3" w14:paraId="4C43B7FB" w14:textId="1E11FFB7">
      <w:pPr>
        <w:pStyle w:val="BodyText"/>
        <w:spacing w:before="120" w:after="120" w:line="240" w:lineRule="auto"/>
        <w:ind w:left="720" w:firstLine="0"/>
      </w:pPr>
      <w:r w:rsidRPr="00B92582">
        <w:rPr>
          <w:b/>
          <w:bCs/>
        </w:rPr>
        <w:t xml:space="preserve">EPA Response: </w:t>
      </w:r>
      <w:r w:rsidR="6164BB59">
        <w:t>The manner in which the SCCAP rule addresses or considers climate change and risks posed by proximate facilities is to require consideration of potential accidental release- initiating events. The purpose of these provisions is not to prevent climate change or otherwise address the causes of climate change, nor are we requiring the regulated facility to prevent accidents at another facility.</w:t>
      </w:r>
      <w:r w:rsidRPr="00B92582" w:rsidR="6164BB59">
        <w:t xml:space="preserve"> </w:t>
      </w:r>
    </w:p>
    <w:p w:rsidR="5FD83940" w:rsidP="005F5ED3" w14:paraId="15064BA1" w14:textId="3C729B60">
      <w:pPr>
        <w:pStyle w:val="BodyText"/>
        <w:spacing w:before="120" w:after="120" w:line="240" w:lineRule="auto"/>
        <w:ind w:left="720" w:firstLine="0"/>
      </w:pPr>
      <w:r w:rsidRPr="00B92582">
        <w:t>In response to comments that</w:t>
      </w:r>
      <w:r>
        <w:t xml:space="preserve"> </w:t>
      </w:r>
      <w:r w:rsidR="2099CF34">
        <w:t>the</w:t>
      </w:r>
      <w:r w:rsidRPr="00B92582">
        <w:t xml:space="preserve"> </w:t>
      </w:r>
      <w:r w:rsidRPr="005F15D2" w:rsidR="005F15D2">
        <w:t>Agency does not have authorization from Congress to transform the PHA program to include natural hazards “caused by climate change or other triggering events</w:t>
      </w:r>
      <w:r w:rsidR="00D904C1">
        <w:t>,</w:t>
      </w:r>
      <w:r w:rsidRPr="005F15D2" w:rsidR="005F15D2">
        <w:t xml:space="preserve">” EPA disagrees. EPA has stated this provision makes more explicit what is already required in the RMP regulations. As noted in the proposed rule, since the 1996 RMP rule, EPA has said events such as floods and high winds should be considered as potential release-initiating events when conducting a PHA, and the RMP guidance further expands on this point. </w:t>
      </w:r>
      <w:r w:rsidRPr="00B92582">
        <w:t>Furthermore, the hazard evaluation amplifications reflect existing industry practice, and therefore, EPA assumes that these hazard evaluation amplifications impose no new requirements or costs on facilities that are in compliance with the RMP rule and common industry practice. By amplifying and making more explicit the need to evaluate natural hazards as potential causes of releases, EPA expects those facilities that are currently not performing such evaluations will better understand what the rule requires. Additionally, each modification of the RMP rule that EPA proposed and is finalizing is based on EPA’s rulemaking authority under CAA section 112(r)(7). EPA has outlined its authority for all the changes to the regulation in section III.C of this preamble.</w:t>
      </w:r>
      <w:r w:rsidR="5A279C4B">
        <w:t xml:space="preserve"> </w:t>
      </w:r>
    </w:p>
    <w:p w:rsidR="5FD83940" w:rsidP="005F5ED3" w14:paraId="717E258E" w14:textId="13BF91B6">
      <w:pPr>
        <w:pStyle w:val="BodyText"/>
        <w:spacing w:before="120" w:after="120" w:line="240" w:lineRule="auto"/>
        <w:ind w:left="720" w:firstLine="0"/>
      </w:pPr>
      <w:r>
        <w:t>Accidental releases caused by a release or accident at a second process</w:t>
      </w:r>
      <w:r w:rsidR="6A133C69">
        <w:t xml:space="preserve"> or facility</w:t>
      </w:r>
      <w:r>
        <w:t xml:space="preserve"> is commonly referred to as a “knock-on” </w:t>
      </w:r>
      <w:r w:rsidR="2B6E5738">
        <w:t xml:space="preserve">release or incident. Knock-on </w:t>
      </w:r>
      <w:r w:rsidR="00E3101A">
        <w:t xml:space="preserve">effects </w:t>
      </w:r>
      <w:r w:rsidR="2B6E5738">
        <w:t xml:space="preserve">are a well-recognized </w:t>
      </w:r>
      <w:r w:rsidR="006528BF">
        <w:t xml:space="preserve">industry </w:t>
      </w:r>
      <w:r w:rsidR="2B6E5738">
        <w:t>release scenario.</w:t>
      </w:r>
      <w:r>
        <w:rPr>
          <w:rStyle w:val="FootnoteReference"/>
        </w:rPr>
        <w:footnoteReference w:id="8"/>
      </w:r>
    </w:p>
    <w:p w:rsidR="5FD83940" w:rsidP="005F5ED3" w14:paraId="1C9E7D2E" w14:textId="6A83BB6B">
      <w:pPr>
        <w:pStyle w:val="BodyText"/>
        <w:spacing w:before="120" w:after="120" w:line="240" w:lineRule="auto"/>
        <w:ind w:left="720" w:firstLine="0"/>
      </w:pPr>
      <w:r>
        <w:t>Preventing and mitigating the impacts of accidental releases is the objective of CAA 112(r), and promulgating rules to prevent and mitigate the effects of accidental releases is explicitly authorized by CAA 112(r)(7).</w:t>
      </w:r>
      <w:r w:rsidR="7830FA10">
        <w:t xml:space="preserve"> </w:t>
      </w:r>
      <w:r w:rsidR="56A877E8">
        <w:t xml:space="preserve">The SCCAP rule is a discretionary exercise of this authority. </w:t>
      </w:r>
      <w:r w:rsidR="6014D62A">
        <w:t>Because communities that are overb</w:t>
      </w:r>
      <w:r w:rsidR="77A59790">
        <w:t xml:space="preserve">urdened by the potential for accidental releases tend to be disproportionately minority and </w:t>
      </w:r>
      <w:r w:rsidR="5D5EA08D">
        <w:t xml:space="preserve">less wealthy, </w:t>
      </w:r>
      <w:r w:rsidR="7D8F2C30">
        <w:t xml:space="preserve">most </w:t>
      </w:r>
      <w:r w:rsidR="5D5EA08D">
        <w:t>rule</w:t>
      </w:r>
      <w:r w:rsidR="4F59BE32">
        <w:t>s</w:t>
      </w:r>
      <w:r w:rsidR="5D5EA08D">
        <w:t xml:space="preserve"> exercising the grant of authority under CAA 1</w:t>
      </w:r>
      <w:r w:rsidR="4B3341A5">
        <w:t>12(r) to prevent accident</w:t>
      </w:r>
      <w:r w:rsidR="415731C5">
        <w:t>al releases</w:t>
      </w:r>
      <w:r w:rsidR="4B3341A5">
        <w:t xml:space="preserve"> </w:t>
      </w:r>
      <w:r w:rsidR="5BAA72A6">
        <w:t xml:space="preserve">and mitigate their impacts </w:t>
      </w:r>
      <w:r w:rsidR="4B3341A5">
        <w:t>will benefit such communities.</w:t>
      </w:r>
    </w:p>
    <w:p w:rsidR="00025134" w:rsidRPr="00A4459D" w:rsidP="00025134" w14:paraId="735D0CBC" w14:textId="77777777">
      <w:pPr>
        <w:rPr>
          <w:rFonts w:ascii="Times New Roman" w:hAnsi="Times New Roman"/>
          <w:i/>
          <w:iCs/>
          <w:sz w:val="24"/>
        </w:rPr>
      </w:pPr>
      <w:r w:rsidRPr="00A4459D">
        <w:rPr>
          <w:rFonts w:ascii="Times New Roman" w:hAnsi="Times New Roman"/>
          <w:i/>
          <w:iCs/>
          <w:sz w:val="24"/>
        </w:rPr>
        <w:t>Other legal comments</w:t>
      </w:r>
    </w:p>
    <w:p w:rsidR="00025134" w:rsidP="1972F38A" w14:paraId="53BE6ECC" w14:textId="609DC19F">
      <w:pPr>
        <w:rPr>
          <w:rFonts w:ascii="Times New Roman" w:hAnsi="Times New Roman"/>
          <w:sz w:val="24"/>
        </w:rPr>
      </w:pPr>
      <w:r w:rsidRPr="1972F38A">
        <w:rPr>
          <w:rFonts w:ascii="Times New Roman" w:hAnsi="Times New Roman"/>
          <w:b/>
          <w:bCs/>
          <w:sz w:val="24"/>
        </w:rPr>
        <w:t>Comment 1.3-07:</w:t>
      </w:r>
      <w:r w:rsidRPr="1972F38A">
        <w:rPr>
          <w:rFonts w:ascii="Times New Roman" w:hAnsi="Times New Roman"/>
          <w:sz w:val="24"/>
        </w:rPr>
        <w:t xml:space="preserve"> A few commenters stated that they believe the proposal provides vague and insufficient information and justification to be legally defensible and a supplemental </w:t>
      </w:r>
      <w:r w:rsidRPr="1972F38A" w:rsidR="00452FAE">
        <w:rPr>
          <w:rFonts w:ascii="Times New Roman" w:hAnsi="Times New Roman"/>
          <w:sz w:val="24"/>
        </w:rPr>
        <w:t>proposal</w:t>
      </w:r>
      <w:r w:rsidRPr="1972F38A">
        <w:rPr>
          <w:rFonts w:ascii="Times New Roman" w:hAnsi="Times New Roman"/>
          <w:sz w:val="24"/>
        </w:rPr>
        <w:t xml:space="preserve"> is legally required (0232, 0253, 0272). </w:t>
      </w:r>
      <w:r w:rsidRPr="3146A48F" w:rsidR="61D72CEF">
        <w:rPr>
          <w:rFonts w:ascii="Times New Roman" w:hAnsi="Times New Roman"/>
          <w:sz w:val="24"/>
        </w:rPr>
        <w:t xml:space="preserve">One commenter criticizes “numerous data and information gaps” as well as comment solicitations for </w:t>
      </w:r>
      <w:r w:rsidRPr="3146A48F" w:rsidR="237B81D1">
        <w:rPr>
          <w:rFonts w:ascii="Times New Roman" w:hAnsi="Times New Roman"/>
          <w:sz w:val="24"/>
        </w:rPr>
        <w:t>“missing data and information” that would potentially be used in a final rule.</w:t>
      </w:r>
      <w:r w:rsidRPr="3146A48F" w:rsidR="636D3BD4">
        <w:rPr>
          <w:rFonts w:ascii="Times New Roman" w:hAnsi="Times New Roman"/>
          <w:sz w:val="24"/>
        </w:rPr>
        <w:t xml:space="preserve"> </w:t>
      </w:r>
      <w:r w:rsidRPr="3146A48F" w:rsidR="00572AD8">
        <w:rPr>
          <w:rFonts w:ascii="Times New Roman" w:hAnsi="Times New Roman"/>
          <w:sz w:val="24"/>
        </w:rPr>
        <w:t>According</w:t>
      </w:r>
      <w:r w:rsidRPr="3146A48F" w:rsidR="636D3BD4">
        <w:rPr>
          <w:rFonts w:ascii="Times New Roman" w:hAnsi="Times New Roman"/>
          <w:sz w:val="24"/>
        </w:rPr>
        <w:t xml:space="preserve"> to the commenter, such “open-ended requests for public input and vague proposed requirements limit the opportunity to meaning</w:t>
      </w:r>
      <w:r w:rsidRPr="3146A48F" w:rsidR="7713CC74">
        <w:rPr>
          <w:rFonts w:ascii="Times New Roman" w:hAnsi="Times New Roman"/>
          <w:sz w:val="24"/>
        </w:rPr>
        <w:t>fully comment on the proposed requirements</w:t>
      </w:r>
      <w:r w:rsidRPr="3146A48F" w:rsidR="5981C746">
        <w:rPr>
          <w:rFonts w:ascii="Times New Roman" w:hAnsi="Times New Roman"/>
          <w:sz w:val="24"/>
        </w:rPr>
        <w:t xml:space="preserve">. The commenter asks that EPA provide a supplemental proposal and reopen the comment period to allow for </w:t>
      </w:r>
      <w:r w:rsidRPr="38D673B7" w:rsidR="5981C746">
        <w:rPr>
          <w:rFonts w:ascii="Times New Roman" w:hAnsi="Times New Roman"/>
          <w:sz w:val="24"/>
        </w:rPr>
        <w:t>comment</w:t>
      </w:r>
      <w:r w:rsidRPr="38D673B7" w:rsidR="57AB188B">
        <w:rPr>
          <w:rFonts w:ascii="Times New Roman" w:hAnsi="Times New Roman"/>
          <w:sz w:val="24"/>
        </w:rPr>
        <w:t xml:space="preserve"> on any </w:t>
      </w:r>
      <w:r w:rsidRPr="5E65A9F2" w:rsidR="6A85550F">
        <w:rPr>
          <w:rFonts w:ascii="Times New Roman" w:hAnsi="Times New Roman"/>
          <w:sz w:val="24"/>
        </w:rPr>
        <w:t xml:space="preserve">new regulatory requirements </w:t>
      </w:r>
      <w:r w:rsidRPr="5E65A9F2" w:rsidR="00572AD8">
        <w:rPr>
          <w:rFonts w:ascii="Times New Roman" w:hAnsi="Times New Roman"/>
          <w:sz w:val="24"/>
        </w:rPr>
        <w:t>or information</w:t>
      </w:r>
      <w:r w:rsidRPr="38D673B7" w:rsidR="57AB188B">
        <w:rPr>
          <w:rFonts w:ascii="Times New Roman" w:hAnsi="Times New Roman"/>
          <w:sz w:val="24"/>
        </w:rPr>
        <w:t xml:space="preserve"> EPA </w:t>
      </w:r>
      <w:r w:rsidRPr="12B09DB6" w:rsidR="57AB188B">
        <w:rPr>
          <w:rFonts w:ascii="Times New Roman" w:hAnsi="Times New Roman"/>
          <w:sz w:val="24"/>
        </w:rPr>
        <w:t>intends to rel</w:t>
      </w:r>
      <w:r w:rsidRPr="12B09DB6" w:rsidR="085A57F4">
        <w:rPr>
          <w:rFonts w:ascii="Times New Roman" w:hAnsi="Times New Roman"/>
          <w:sz w:val="24"/>
        </w:rPr>
        <w:t>y</w:t>
      </w:r>
      <w:r w:rsidRPr="32BDC99B" w:rsidR="57AB188B">
        <w:rPr>
          <w:rFonts w:ascii="Times New Roman" w:hAnsi="Times New Roman"/>
          <w:sz w:val="24"/>
        </w:rPr>
        <w:t xml:space="preserve"> on</w:t>
      </w:r>
      <w:r w:rsidRPr="38D673B7" w:rsidR="5981C746">
        <w:rPr>
          <w:rFonts w:ascii="Times New Roman" w:hAnsi="Times New Roman"/>
          <w:sz w:val="24"/>
        </w:rPr>
        <w:t xml:space="preserve"> </w:t>
      </w:r>
      <w:r w:rsidRPr="38D673B7" w:rsidR="7713CC74">
        <w:rPr>
          <w:rFonts w:ascii="Times New Roman" w:hAnsi="Times New Roman"/>
          <w:sz w:val="24"/>
        </w:rPr>
        <w:t xml:space="preserve">(0272). </w:t>
      </w:r>
      <w:r w:rsidRPr="38D673B7" w:rsidR="237B81D1">
        <w:rPr>
          <w:rFonts w:ascii="Times New Roman" w:hAnsi="Times New Roman"/>
          <w:sz w:val="24"/>
        </w:rPr>
        <w:t xml:space="preserve"> </w:t>
      </w:r>
    </w:p>
    <w:p w:rsidR="00025134" w:rsidRPr="00A4459D" w:rsidP="00552AE5" w14:paraId="1332749F" w14:textId="655D3904">
      <w:pPr>
        <w:ind w:left="720"/>
        <w:rPr>
          <w:rFonts w:ascii="Times New Roman" w:hAnsi="Times New Roman"/>
          <w:sz w:val="24"/>
        </w:rPr>
      </w:pPr>
      <w:r w:rsidRPr="00062521">
        <w:rPr>
          <w:rFonts w:ascii="Times New Roman" w:hAnsi="Times New Roman"/>
          <w:b/>
          <w:bCs/>
          <w:sz w:val="24"/>
        </w:rPr>
        <w:t>EPA Response:</w:t>
      </w:r>
      <w:r w:rsidRPr="4B29EA86">
        <w:rPr>
          <w:rFonts w:ascii="Times New Roman" w:hAnsi="Times New Roman"/>
          <w:b/>
          <w:bCs/>
          <w:sz w:val="24"/>
        </w:rPr>
        <w:t xml:space="preserve"> </w:t>
      </w:r>
      <w:r w:rsidRPr="19FAFC5B" w:rsidR="035EC0E2">
        <w:rPr>
          <w:rFonts w:ascii="Times New Roman" w:hAnsi="Times New Roman"/>
          <w:sz w:val="24"/>
        </w:rPr>
        <w:t xml:space="preserve"> EPA believes no supplemental proposal </w:t>
      </w:r>
      <w:r w:rsidRPr="4B29EA86" w:rsidR="0F811C50">
        <w:rPr>
          <w:rFonts w:ascii="Times New Roman" w:hAnsi="Times New Roman"/>
          <w:sz w:val="24"/>
        </w:rPr>
        <w:t xml:space="preserve">is </w:t>
      </w:r>
      <w:r w:rsidRPr="19FAFC5B" w:rsidR="035EC0E2">
        <w:rPr>
          <w:rFonts w:ascii="Times New Roman" w:hAnsi="Times New Roman"/>
          <w:sz w:val="24"/>
        </w:rPr>
        <w:t>needed</w:t>
      </w:r>
      <w:r w:rsidRPr="4B29EA86" w:rsidR="0F811C50">
        <w:rPr>
          <w:rFonts w:ascii="Times New Roman" w:hAnsi="Times New Roman"/>
          <w:sz w:val="24"/>
        </w:rPr>
        <w:t xml:space="preserve"> to </w:t>
      </w:r>
      <w:r w:rsidRPr="19FAFC5B" w:rsidR="5F1A3E42">
        <w:rPr>
          <w:rFonts w:ascii="Times New Roman" w:hAnsi="Times New Roman"/>
          <w:sz w:val="24"/>
        </w:rPr>
        <w:t xml:space="preserve">provide a meaningful opportunity for comment on the </w:t>
      </w:r>
      <w:r w:rsidRPr="19FAFC5B" w:rsidR="71C9CF4C">
        <w:rPr>
          <w:rFonts w:ascii="Times New Roman" w:hAnsi="Times New Roman"/>
          <w:sz w:val="24"/>
        </w:rPr>
        <w:t xml:space="preserve">basis </w:t>
      </w:r>
      <w:r w:rsidRPr="4B29EA86" w:rsidR="0F811C50">
        <w:rPr>
          <w:rFonts w:ascii="Times New Roman" w:hAnsi="Times New Roman"/>
          <w:sz w:val="24"/>
        </w:rPr>
        <w:t xml:space="preserve">of </w:t>
      </w:r>
      <w:r w:rsidRPr="19FAFC5B" w:rsidR="61A09C93">
        <w:rPr>
          <w:rFonts w:ascii="Times New Roman" w:hAnsi="Times New Roman"/>
          <w:sz w:val="24"/>
        </w:rPr>
        <w:t xml:space="preserve">and justification for </w:t>
      </w:r>
      <w:r w:rsidRPr="19FAFC5B" w:rsidR="71C9CF4C">
        <w:rPr>
          <w:rFonts w:ascii="Times New Roman" w:hAnsi="Times New Roman"/>
          <w:sz w:val="24"/>
        </w:rPr>
        <w:t xml:space="preserve">the </w:t>
      </w:r>
      <w:r w:rsidRPr="19FAFC5B" w:rsidR="5F1A3E42">
        <w:rPr>
          <w:rFonts w:ascii="Times New Roman" w:hAnsi="Times New Roman"/>
          <w:sz w:val="24"/>
        </w:rPr>
        <w:t>requirements</w:t>
      </w:r>
      <w:r w:rsidRPr="19FAFC5B" w:rsidR="6BE76B0A">
        <w:rPr>
          <w:rFonts w:ascii="Times New Roman" w:hAnsi="Times New Roman"/>
          <w:sz w:val="24"/>
        </w:rPr>
        <w:t xml:space="preserve"> adopted in the final rule</w:t>
      </w:r>
      <w:r w:rsidRPr="19FAFC5B" w:rsidR="5F1A3E42">
        <w:rPr>
          <w:rFonts w:ascii="Times New Roman" w:hAnsi="Times New Roman"/>
          <w:sz w:val="24"/>
        </w:rPr>
        <w:t>.</w:t>
      </w:r>
      <w:r w:rsidRPr="19FAFC5B" w:rsidR="19DEEB61">
        <w:rPr>
          <w:rFonts w:ascii="Times New Roman" w:hAnsi="Times New Roman"/>
          <w:sz w:val="24"/>
        </w:rPr>
        <w:t xml:space="preserve"> The commenter has not identified any impermissible </w:t>
      </w:r>
      <w:r w:rsidRPr="19FAFC5B" w:rsidR="204581C5">
        <w:rPr>
          <w:rFonts w:ascii="Times New Roman" w:hAnsi="Times New Roman"/>
          <w:sz w:val="24"/>
        </w:rPr>
        <w:t>vagueness in the proposed rule when the issues identified are read in the context of the whole notice.</w:t>
      </w:r>
      <w:r w:rsidRPr="4B29EA86" w:rsidR="0F811C50">
        <w:rPr>
          <w:rFonts w:ascii="Times New Roman" w:hAnsi="Times New Roman"/>
          <w:sz w:val="24"/>
        </w:rPr>
        <w:t xml:space="preserve"> </w:t>
      </w:r>
    </w:p>
    <w:p w:rsidR="64AF1B1A" w:rsidP="00552AE5" w14:paraId="7250E043" w14:textId="46B12960">
      <w:pPr>
        <w:ind w:left="720"/>
        <w:rPr>
          <w:rFonts w:ascii="Times New Roman" w:hAnsi="Times New Roman"/>
          <w:sz w:val="24"/>
        </w:rPr>
      </w:pPr>
      <w:r w:rsidRPr="1EB1BB67">
        <w:rPr>
          <w:rFonts w:ascii="Times New Roman" w:hAnsi="Times New Roman"/>
          <w:sz w:val="24"/>
        </w:rPr>
        <w:t xml:space="preserve">The commenter cites comment solicitations made on </w:t>
      </w:r>
      <w:r w:rsidRPr="1EB1BB67" w:rsidR="340F62A4">
        <w:rPr>
          <w:rFonts w:ascii="Times New Roman" w:hAnsi="Times New Roman"/>
          <w:sz w:val="24"/>
        </w:rPr>
        <w:t>87 F</w:t>
      </w:r>
      <w:r w:rsidR="00EA75C9">
        <w:rPr>
          <w:rFonts w:ascii="Times New Roman" w:hAnsi="Times New Roman"/>
          <w:sz w:val="24"/>
        </w:rPr>
        <w:t>R</w:t>
      </w:r>
      <w:r w:rsidRPr="1EB1BB67" w:rsidR="340F62A4">
        <w:rPr>
          <w:rFonts w:ascii="Times New Roman" w:hAnsi="Times New Roman"/>
          <w:sz w:val="24"/>
        </w:rPr>
        <w:t xml:space="preserve"> 53558 of the proposal as examples of </w:t>
      </w:r>
      <w:r w:rsidRPr="1EB1BB67" w:rsidR="64321956">
        <w:rPr>
          <w:rFonts w:ascii="Times New Roman" w:hAnsi="Times New Roman"/>
          <w:sz w:val="24"/>
        </w:rPr>
        <w:t>“open-ended requests” and “vague proposed requirements</w:t>
      </w:r>
      <w:r w:rsidRPr="1EB1BB67" w:rsidR="2F1FF92E">
        <w:rPr>
          <w:rFonts w:ascii="Times New Roman" w:hAnsi="Times New Roman"/>
          <w:sz w:val="24"/>
        </w:rPr>
        <w:t>.” We note that this portion of the preamble of the proposed rule is a set of summaries of comment solicitations in the body of the preamble and not the detail</w:t>
      </w:r>
      <w:r w:rsidRPr="1EB1BB67" w:rsidR="293D94EC">
        <w:rPr>
          <w:rFonts w:ascii="Times New Roman" w:hAnsi="Times New Roman"/>
          <w:sz w:val="24"/>
        </w:rPr>
        <w:t>ed discussions explaining the requests, the issues involved, or the basis and purpose of the requirement</w:t>
      </w:r>
      <w:r w:rsidRPr="1EB1BB67" w:rsidR="34855BAC">
        <w:rPr>
          <w:rFonts w:ascii="Times New Roman" w:hAnsi="Times New Roman"/>
          <w:sz w:val="24"/>
        </w:rPr>
        <w:t xml:space="preserve"> and its statutory authority. The topic of “comment headings” </w:t>
      </w:r>
      <w:r w:rsidRPr="1EB1BB67" w:rsidR="620015DB">
        <w:rPr>
          <w:rFonts w:ascii="Times New Roman" w:hAnsi="Times New Roman"/>
          <w:sz w:val="24"/>
        </w:rPr>
        <w:t xml:space="preserve">was a requested way to reference topics in comments to simplify handling. Id. </w:t>
      </w:r>
      <w:r w:rsidRPr="1EB1BB67" w:rsidR="3E1820B5">
        <w:rPr>
          <w:rFonts w:ascii="Times New Roman" w:hAnsi="Times New Roman"/>
          <w:sz w:val="24"/>
        </w:rPr>
        <w:t>a</w:t>
      </w:r>
      <w:r w:rsidRPr="1EB1BB67" w:rsidR="620015DB">
        <w:rPr>
          <w:rFonts w:ascii="Times New Roman" w:hAnsi="Times New Roman"/>
          <w:sz w:val="24"/>
        </w:rPr>
        <w:t>t 53557</w:t>
      </w:r>
      <w:r w:rsidRPr="1EB1BB67" w:rsidR="3B702432">
        <w:rPr>
          <w:rFonts w:ascii="Times New Roman" w:hAnsi="Times New Roman"/>
          <w:sz w:val="24"/>
        </w:rPr>
        <w:t>-58</w:t>
      </w:r>
      <w:r w:rsidRPr="1EB1BB67" w:rsidR="620015DB">
        <w:rPr>
          <w:rFonts w:ascii="Times New Roman" w:hAnsi="Times New Roman"/>
          <w:sz w:val="24"/>
        </w:rPr>
        <w:t xml:space="preserve">. </w:t>
      </w:r>
      <w:r w:rsidRPr="1EB1BB67" w:rsidR="6C461C1C">
        <w:rPr>
          <w:rFonts w:ascii="Times New Roman" w:hAnsi="Times New Roman"/>
          <w:sz w:val="24"/>
        </w:rPr>
        <w:t xml:space="preserve">The method is labelled as optional. </w:t>
      </w:r>
      <w:r w:rsidRPr="1EB1BB67" w:rsidR="301A2458">
        <w:rPr>
          <w:rFonts w:ascii="Times New Roman" w:hAnsi="Times New Roman"/>
          <w:sz w:val="24"/>
        </w:rPr>
        <w:t xml:space="preserve">We state, “Commentors should review the discussions in the preamble and may comment on any matter that is addressed by the proposed rule.” Id. </w:t>
      </w:r>
      <w:r w:rsidRPr="1EB1BB67" w:rsidR="7D413808">
        <w:rPr>
          <w:rFonts w:ascii="Times New Roman" w:hAnsi="Times New Roman"/>
          <w:sz w:val="24"/>
        </w:rPr>
        <w:t xml:space="preserve">Citing this summary of comment solicitations elsewhere in the document rather than </w:t>
      </w:r>
      <w:r w:rsidRPr="1EB1BB67" w:rsidR="7A06D049">
        <w:rPr>
          <w:rFonts w:ascii="Times New Roman" w:hAnsi="Times New Roman"/>
          <w:sz w:val="24"/>
        </w:rPr>
        <w:t xml:space="preserve">the substantive discussion from the body of the preamble is insufficient to establish </w:t>
      </w:r>
      <w:r w:rsidRPr="1EB1BB67" w:rsidR="38ABB57B">
        <w:rPr>
          <w:rFonts w:ascii="Times New Roman" w:hAnsi="Times New Roman"/>
          <w:sz w:val="24"/>
        </w:rPr>
        <w:t>lack of adequate notice of the matters for which EPA sought comment.</w:t>
      </w:r>
    </w:p>
    <w:p w:rsidR="21761C0A" w:rsidP="00552AE5" w14:paraId="426D8661" w14:textId="445081E3">
      <w:pPr>
        <w:ind w:left="720"/>
        <w:rPr>
          <w:rFonts w:ascii="Times New Roman" w:hAnsi="Times New Roman"/>
          <w:sz w:val="24"/>
        </w:rPr>
      </w:pPr>
      <w:r w:rsidRPr="1EB1BB67">
        <w:rPr>
          <w:rFonts w:ascii="Times New Roman" w:hAnsi="Times New Roman"/>
          <w:sz w:val="24"/>
        </w:rPr>
        <w:t>One such detailed discussion of the request for comments on “natural hazard resources such as databases, checklists, or na</w:t>
      </w:r>
      <w:r w:rsidRPr="1EB1BB67" w:rsidR="59B46AD7">
        <w:rPr>
          <w:rFonts w:ascii="Times New Roman" w:hAnsi="Times New Roman"/>
          <w:sz w:val="24"/>
        </w:rPr>
        <w:t>rrative discussions” provides an understanding of both the requirement for assessing natural hazards as potential causes of a</w:t>
      </w:r>
      <w:r w:rsidRPr="1EB1BB67" w:rsidR="3F6D73D4">
        <w:rPr>
          <w:rFonts w:ascii="Times New Roman" w:hAnsi="Times New Roman"/>
          <w:sz w:val="24"/>
        </w:rPr>
        <w:t xml:space="preserve">ccidental releases </w:t>
      </w:r>
      <w:r w:rsidRPr="19FAFC5B" w:rsidR="2BCC8422">
        <w:rPr>
          <w:rFonts w:ascii="Times New Roman" w:hAnsi="Times New Roman"/>
          <w:sz w:val="24"/>
        </w:rPr>
        <w:t>as well as</w:t>
      </w:r>
      <w:r w:rsidRPr="1EB1BB67" w:rsidR="3F6D73D4">
        <w:rPr>
          <w:rFonts w:ascii="Times New Roman" w:hAnsi="Times New Roman"/>
          <w:sz w:val="24"/>
        </w:rPr>
        <w:t xml:space="preserve"> the types of resources that w</w:t>
      </w:r>
      <w:r w:rsidRPr="1EB1BB67" w:rsidR="545638B7">
        <w:rPr>
          <w:rFonts w:ascii="Times New Roman" w:hAnsi="Times New Roman"/>
          <w:sz w:val="24"/>
        </w:rPr>
        <w:t xml:space="preserve">ould be helpful to sources seeking to comply with the requirement. </w:t>
      </w:r>
      <w:r w:rsidRPr="1EB1BB67" w:rsidR="6E4E49A7">
        <w:rPr>
          <w:rFonts w:ascii="Times New Roman" w:hAnsi="Times New Roman"/>
          <w:sz w:val="24"/>
        </w:rPr>
        <w:t xml:space="preserve">The Agency explains that it will continue to rely on available industry </w:t>
      </w:r>
      <w:r w:rsidRPr="1EB1BB67" w:rsidR="6E4E49A7">
        <w:rPr>
          <w:rFonts w:ascii="Times New Roman" w:hAnsi="Times New Roman"/>
          <w:sz w:val="24"/>
        </w:rPr>
        <w:t>guidance doc</w:t>
      </w:r>
      <w:r w:rsidRPr="1EB1BB67" w:rsidR="1E71005A">
        <w:rPr>
          <w:rFonts w:ascii="Times New Roman" w:hAnsi="Times New Roman"/>
          <w:sz w:val="24"/>
        </w:rPr>
        <w:t>u</w:t>
      </w:r>
      <w:r w:rsidRPr="1EB1BB67" w:rsidR="6E4E49A7">
        <w:rPr>
          <w:rFonts w:ascii="Times New Roman" w:hAnsi="Times New Roman"/>
          <w:sz w:val="24"/>
        </w:rPr>
        <w:t>ments to evaluate compliance</w:t>
      </w:r>
      <w:r w:rsidRPr="1EB1BB67" w:rsidR="62F849CD">
        <w:rPr>
          <w:rFonts w:ascii="Times New Roman" w:hAnsi="Times New Roman"/>
          <w:sz w:val="24"/>
        </w:rPr>
        <w:t>. We s</w:t>
      </w:r>
      <w:r w:rsidRPr="1EB1BB67" w:rsidR="15543459">
        <w:rPr>
          <w:rFonts w:ascii="Times New Roman" w:hAnsi="Times New Roman"/>
          <w:sz w:val="24"/>
        </w:rPr>
        <w:t xml:space="preserve">olicited comment on whether EPA should itself develop additional guidance beyond </w:t>
      </w:r>
      <w:r w:rsidRPr="1EB1BB67" w:rsidR="198196E4">
        <w:rPr>
          <w:rFonts w:ascii="Times New Roman" w:hAnsi="Times New Roman"/>
          <w:sz w:val="24"/>
        </w:rPr>
        <w:t xml:space="preserve">EPA’s current general guidance to help regulated facilities comply with the natural hazard provision. We then solicit information </w:t>
      </w:r>
      <w:r w:rsidRPr="1EB1BB67" w:rsidR="04A0025F">
        <w:rPr>
          <w:rFonts w:ascii="Times New Roman" w:hAnsi="Times New Roman"/>
          <w:sz w:val="24"/>
        </w:rPr>
        <w:t xml:space="preserve">on databases, checklists and the like that could support such compliance assistance materials. 87 </w:t>
      </w:r>
      <w:r w:rsidR="009E0748">
        <w:rPr>
          <w:rFonts w:ascii="Times New Roman" w:hAnsi="Times New Roman"/>
          <w:sz w:val="24"/>
        </w:rPr>
        <w:t>FR</w:t>
      </w:r>
      <w:r w:rsidRPr="1EB1BB67" w:rsidR="04A0025F">
        <w:rPr>
          <w:rFonts w:ascii="Times New Roman" w:hAnsi="Times New Roman"/>
          <w:sz w:val="24"/>
        </w:rPr>
        <w:t xml:space="preserve"> 5</w:t>
      </w:r>
      <w:r w:rsidRPr="1EB1BB67" w:rsidR="4344E790">
        <w:rPr>
          <w:rFonts w:ascii="Times New Roman" w:hAnsi="Times New Roman"/>
          <w:sz w:val="24"/>
        </w:rPr>
        <w:t>3569. Thus, in conte</w:t>
      </w:r>
      <w:r w:rsidRPr="1EB1BB67" w:rsidR="0E32C768">
        <w:rPr>
          <w:rFonts w:ascii="Times New Roman" w:hAnsi="Times New Roman"/>
          <w:sz w:val="24"/>
        </w:rPr>
        <w:t xml:space="preserve">xt, the cited comment solicitation is about </w:t>
      </w:r>
      <w:r w:rsidRPr="19FAFC5B" w:rsidR="589C20DC">
        <w:rPr>
          <w:rFonts w:ascii="Times New Roman" w:hAnsi="Times New Roman"/>
          <w:sz w:val="24"/>
        </w:rPr>
        <w:t xml:space="preserve">potentially developing </w:t>
      </w:r>
      <w:r w:rsidRPr="1EB1BB67" w:rsidR="0E32C768">
        <w:rPr>
          <w:rFonts w:ascii="Times New Roman" w:hAnsi="Times New Roman"/>
          <w:sz w:val="24"/>
        </w:rPr>
        <w:t xml:space="preserve">assistance material rather than the </w:t>
      </w:r>
      <w:r w:rsidRPr="19FAFC5B" w:rsidR="308091C0">
        <w:rPr>
          <w:rFonts w:ascii="Times New Roman" w:hAnsi="Times New Roman"/>
          <w:sz w:val="24"/>
        </w:rPr>
        <w:t xml:space="preserve">regulatory language establishing the </w:t>
      </w:r>
      <w:r w:rsidRPr="1EB1BB67" w:rsidR="0E32C768">
        <w:rPr>
          <w:rFonts w:ascii="Times New Roman" w:hAnsi="Times New Roman"/>
          <w:sz w:val="24"/>
        </w:rPr>
        <w:t>requirement to evaluate natural hazards as potential causes for releases.</w:t>
      </w:r>
      <w:r w:rsidRPr="1EB1BB67" w:rsidR="1F5CF26A">
        <w:rPr>
          <w:rFonts w:ascii="Times New Roman" w:hAnsi="Times New Roman"/>
          <w:sz w:val="24"/>
        </w:rPr>
        <w:t xml:space="preserve"> </w:t>
      </w:r>
    </w:p>
    <w:p w:rsidR="07847B4F" w:rsidP="00552AE5" w14:paraId="41ED4E44" w14:textId="4F62A333">
      <w:pPr>
        <w:ind w:left="720"/>
        <w:rPr>
          <w:rFonts w:ascii="Times New Roman" w:hAnsi="Times New Roman"/>
          <w:sz w:val="24"/>
        </w:rPr>
      </w:pPr>
      <w:r w:rsidRPr="1EB1BB67">
        <w:rPr>
          <w:rFonts w:ascii="Times New Roman" w:hAnsi="Times New Roman"/>
          <w:sz w:val="24"/>
        </w:rPr>
        <w:t>Other comment solicitations were for information that perhaps could have dissuaded EPA from promulgating a proposed amendment</w:t>
      </w:r>
      <w:r w:rsidRPr="19FAFC5B" w:rsidR="2C7C5D04">
        <w:rPr>
          <w:rFonts w:ascii="Times New Roman" w:hAnsi="Times New Roman"/>
          <w:sz w:val="24"/>
        </w:rPr>
        <w:t xml:space="preserve"> or modifying EPA’s approach</w:t>
      </w:r>
      <w:r w:rsidRPr="19FAFC5B">
        <w:rPr>
          <w:rFonts w:ascii="Times New Roman" w:hAnsi="Times New Roman"/>
          <w:sz w:val="24"/>
        </w:rPr>
        <w:t>.</w:t>
      </w:r>
      <w:r w:rsidRPr="1EB1BB67">
        <w:rPr>
          <w:rFonts w:ascii="Times New Roman" w:hAnsi="Times New Roman"/>
          <w:sz w:val="24"/>
        </w:rPr>
        <w:t xml:space="preserve"> For example, the </w:t>
      </w:r>
      <w:r w:rsidRPr="1EB1BB67" w:rsidR="6A0A2548">
        <w:rPr>
          <w:rFonts w:ascii="Times New Roman" w:hAnsi="Times New Roman"/>
          <w:sz w:val="24"/>
        </w:rPr>
        <w:t>comment solicitation regarding “any potential safety issues” associated with the</w:t>
      </w:r>
      <w:r w:rsidRPr="1EB1BB67" w:rsidR="373138F9">
        <w:rPr>
          <w:rFonts w:ascii="Times New Roman" w:hAnsi="Times New Roman"/>
          <w:sz w:val="24"/>
        </w:rPr>
        <w:t xml:space="preserve"> proposed requirement for monitor back-up power is simply a </w:t>
      </w:r>
      <w:r w:rsidRPr="1EB1BB67" w:rsidR="6FDE5070">
        <w:rPr>
          <w:rFonts w:ascii="Times New Roman" w:hAnsi="Times New Roman"/>
          <w:sz w:val="24"/>
        </w:rPr>
        <w:t xml:space="preserve">request for information that may impact a safety-related balancing of </w:t>
      </w:r>
      <w:r w:rsidRPr="1EB1BB67" w:rsidR="21CB7252">
        <w:rPr>
          <w:rFonts w:ascii="Times New Roman" w:hAnsi="Times New Roman"/>
          <w:sz w:val="24"/>
        </w:rPr>
        <w:t>concerns.</w:t>
      </w:r>
      <w:r w:rsidRPr="1EB1BB67" w:rsidR="46296080">
        <w:rPr>
          <w:rFonts w:ascii="Times New Roman" w:hAnsi="Times New Roman"/>
          <w:sz w:val="24"/>
        </w:rPr>
        <w:t xml:space="preserve"> </w:t>
      </w:r>
      <w:r w:rsidRPr="1EB1BB67" w:rsidR="7986FCAA">
        <w:rPr>
          <w:rFonts w:ascii="Times New Roman" w:hAnsi="Times New Roman"/>
          <w:sz w:val="24"/>
        </w:rPr>
        <w:t xml:space="preserve">87 </w:t>
      </w:r>
      <w:r w:rsidR="00EA75C9">
        <w:rPr>
          <w:rFonts w:ascii="Times New Roman" w:hAnsi="Times New Roman"/>
          <w:sz w:val="24"/>
        </w:rPr>
        <w:t>FR</w:t>
      </w:r>
      <w:r w:rsidRPr="1EB1BB67" w:rsidR="7986FCAA">
        <w:rPr>
          <w:rFonts w:ascii="Times New Roman" w:hAnsi="Times New Roman"/>
          <w:sz w:val="24"/>
        </w:rPr>
        <w:t xml:space="preserve"> 53571.</w:t>
      </w:r>
      <w:r w:rsidRPr="1EB1BB67" w:rsidR="46296080">
        <w:rPr>
          <w:rFonts w:ascii="Times New Roman" w:hAnsi="Times New Roman"/>
          <w:sz w:val="24"/>
        </w:rPr>
        <w:t xml:space="preserve">Were new information to come in from comments and lead </w:t>
      </w:r>
      <w:r w:rsidRPr="1EB1BB67" w:rsidR="6FE580CE">
        <w:rPr>
          <w:rFonts w:ascii="Times New Roman" w:hAnsi="Times New Roman"/>
          <w:sz w:val="24"/>
        </w:rPr>
        <w:t>the Agency not to adopt the proposed amendment</w:t>
      </w:r>
      <w:r w:rsidRPr="1EB1BB67" w:rsidR="1AEAB25A">
        <w:rPr>
          <w:rFonts w:ascii="Times New Roman" w:hAnsi="Times New Roman"/>
          <w:sz w:val="24"/>
        </w:rPr>
        <w:t xml:space="preserve"> due to safety concerns</w:t>
      </w:r>
      <w:r w:rsidRPr="1EB1BB67" w:rsidR="6FE580CE">
        <w:rPr>
          <w:rFonts w:ascii="Times New Roman" w:hAnsi="Times New Roman"/>
          <w:sz w:val="24"/>
        </w:rPr>
        <w:t xml:space="preserve">, arguably </w:t>
      </w:r>
      <w:r w:rsidRPr="1EB1BB67" w:rsidR="5412699D">
        <w:rPr>
          <w:rFonts w:ascii="Times New Roman" w:hAnsi="Times New Roman"/>
          <w:sz w:val="24"/>
        </w:rPr>
        <w:t>such information would have been of central relevance to the rule and not raised for comment</w:t>
      </w:r>
      <w:r w:rsidRPr="1EB1BB67" w:rsidR="6BBAF673">
        <w:rPr>
          <w:rFonts w:ascii="Times New Roman" w:hAnsi="Times New Roman"/>
          <w:sz w:val="24"/>
        </w:rPr>
        <w:t xml:space="preserve">. While the Agency may have been obligated to provide an opportunity for comment at that point, no such centrally relevant information </w:t>
      </w:r>
      <w:r w:rsidRPr="1EB1BB67" w:rsidR="205014D8">
        <w:rPr>
          <w:rFonts w:ascii="Times New Roman" w:hAnsi="Times New Roman"/>
          <w:sz w:val="24"/>
        </w:rPr>
        <w:t xml:space="preserve">was received. </w:t>
      </w:r>
      <w:r w:rsidRPr="19FAFC5B" w:rsidR="1AA339E0">
        <w:rPr>
          <w:rFonts w:ascii="Times New Roman" w:hAnsi="Times New Roman"/>
          <w:sz w:val="24"/>
        </w:rPr>
        <w:t>Similarly, EPA solicited comments supporting alternate distances between NAICS 324 and 325 processes that would have trig</w:t>
      </w:r>
      <w:r w:rsidRPr="19FAFC5B" w:rsidR="17C8897A">
        <w:rPr>
          <w:rFonts w:ascii="Times New Roman" w:hAnsi="Times New Roman"/>
          <w:sz w:val="24"/>
        </w:rPr>
        <w:t xml:space="preserve">gered certain STAA requirements; EPA did not change the distance from the proposed 1-mile. </w:t>
      </w:r>
      <w:r w:rsidRPr="19FAFC5B" w:rsidR="4E18BA2E">
        <w:rPr>
          <w:rFonts w:ascii="Times New Roman" w:hAnsi="Times New Roman"/>
          <w:sz w:val="24"/>
        </w:rPr>
        <w:t xml:space="preserve">87 </w:t>
      </w:r>
      <w:r w:rsidR="00EA75C9">
        <w:rPr>
          <w:rFonts w:ascii="Times New Roman" w:hAnsi="Times New Roman"/>
          <w:sz w:val="24"/>
        </w:rPr>
        <w:t>FR</w:t>
      </w:r>
      <w:r w:rsidRPr="19FAFC5B" w:rsidR="4E18BA2E">
        <w:rPr>
          <w:rFonts w:ascii="Times New Roman" w:hAnsi="Times New Roman"/>
          <w:sz w:val="24"/>
        </w:rPr>
        <w:t xml:space="preserve"> 53580</w:t>
      </w:r>
      <w:r w:rsidRPr="19FAFC5B" w:rsidR="3914CE21">
        <w:rPr>
          <w:rFonts w:ascii="Times New Roman" w:hAnsi="Times New Roman"/>
          <w:sz w:val="24"/>
        </w:rPr>
        <w:t xml:space="preserve">; see also 87 </w:t>
      </w:r>
      <w:r w:rsidR="00EA75C9">
        <w:rPr>
          <w:rFonts w:ascii="Times New Roman" w:hAnsi="Times New Roman"/>
          <w:sz w:val="24"/>
        </w:rPr>
        <w:t>FR</w:t>
      </w:r>
      <w:r w:rsidRPr="19FAFC5B" w:rsidR="3914CE21">
        <w:rPr>
          <w:rFonts w:ascii="Times New Roman" w:hAnsi="Times New Roman"/>
          <w:sz w:val="24"/>
        </w:rPr>
        <w:t xml:space="preserve"> 53577.</w:t>
      </w:r>
      <w:r w:rsidRPr="19FAFC5B" w:rsidR="22E997FB">
        <w:rPr>
          <w:rFonts w:ascii="Times New Roman" w:hAnsi="Times New Roman"/>
          <w:sz w:val="24"/>
        </w:rPr>
        <w:t xml:space="preserve"> Rather than indicating some insufficiency of the proposal, these comment solicitations demonstrate the fairness of</w:t>
      </w:r>
      <w:r w:rsidRPr="19FAFC5B" w:rsidR="1F406792">
        <w:rPr>
          <w:rFonts w:ascii="Times New Roman" w:hAnsi="Times New Roman"/>
          <w:sz w:val="24"/>
        </w:rPr>
        <w:t xml:space="preserve"> the process by pointing commenters towards potentially relevant issues. That is precisely the purpose of notice and comment.</w:t>
      </w:r>
    </w:p>
    <w:p w:rsidR="21CB7252" w:rsidP="00552AE5" w14:paraId="65C0F59D" w14:textId="02CE8C14">
      <w:pPr>
        <w:ind w:left="720"/>
        <w:rPr>
          <w:rFonts w:ascii="Times New Roman" w:hAnsi="Times New Roman"/>
          <w:sz w:val="24"/>
        </w:rPr>
      </w:pPr>
      <w:r w:rsidRPr="19FAFC5B">
        <w:rPr>
          <w:rFonts w:ascii="Times New Roman" w:hAnsi="Times New Roman"/>
          <w:sz w:val="24"/>
        </w:rPr>
        <w:t>The proposal drew robust substantive comment on the issues raised by the proposal. The volume and detail of the comments supports the adequacy of the notice</w:t>
      </w:r>
      <w:r w:rsidRPr="19FAFC5B" w:rsidR="23A2B35A">
        <w:rPr>
          <w:rFonts w:ascii="Times New Roman" w:hAnsi="Times New Roman"/>
          <w:sz w:val="24"/>
        </w:rPr>
        <w:t xml:space="preserve">. </w:t>
      </w:r>
      <w:r w:rsidRPr="19FAFC5B" w:rsidR="7FAE601A">
        <w:rPr>
          <w:rFonts w:ascii="Times New Roman" w:hAnsi="Times New Roman"/>
          <w:sz w:val="24"/>
        </w:rPr>
        <w:t>Finally, to the extent that the commenters contend that any provision of the final rule lacked notice of information of central rele</w:t>
      </w:r>
      <w:r w:rsidRPr="19FAFC5B" w:rsidR="125DF125">
        <w:rPr>
          <w:rFonts w:ascii="Times New Roman" w:hAnsi="Times New Roman"/>
          <w:sz w:val="24"/>
        </w:rPr>
        <w:t>vance within the timeframes established by CAA 307(d)(7), the CAA provides a remedy procedure through the reconsideration pr</w:t>
      </w:r>
      <w:r w:rsidRPr="19FAFC5B" w:rsidR="1DA5B7E5">
        <w:rPr>
          <w:rFonts w:ascii="Times New Roman" w:hAnsi="Times New Roman"/>
          <w:sz w:val="24"/>
        </w:rPr>
        <w:t xml:space="preserve">ocess under CAA 307(d)(7)(B). </w:t>
      </w:r>
    </w:p>
    <w:p w:rsidR="00025134" w:rsidRPr="006F68E9" w:rsidP="005F5ED3" w14:paraId="585C58E0" w14:textId="77777777">
      <w:pPr>
        <w:pStyle w:val="Heading2"/>
        <w:spacing w:before="120"/>
        <w:rPr>
          <w:rFonts w:ascii="Times New Roman" w:hAnsi="Times New Roman" w:cs="Times New Roman"/>
          <w:b/>
          <w:bCs/>
          <w:color w:val="auto"/>
          <w:sz w:val="24"/>
          <w:szCs w:val="24"/>
        </w:rPr>
      </w:pPr>
      <w:bookmarkStart w:id="14" w:name="_Toc146879974"/>
      <w:bookmarkStart w:id="15" w:name="_Toc153373768"/>
      <w:r w:rsidRPr="006F68E9">
        <w:rPr>
          <w:rFonts w:ascii="Times New Roman" w:hAnsi="Times New Roman" w:cs="Times New Roman"/>
          <w:b/>
          <w:bCs/>
          <w:color w:val="auto"/>
          <w:sz w:val="24"/>
          <w:szCs w:val="24"/>
        </w:rPr>
        <w:t xml:space="preserve">General </w:t>
      </w:r>
      <w:r>
        <w:rPr>
          <w:rFonts w:ascii="Times New Roman" w:hAnsi="Times New Roman" w:cs="Times New Roman"/>
          <w:b/>
          <w:bCs/>
          <w:color w:val="auto"/>
          <w:sz w:val="24"/>
          <w:szCs w:val="24"/>
        </w:rPr>
        <w:t>r</w:t>
      </w:r>
      <w:r w:rsidRPr="006F68E9">
        <w:rPr>
          <w:rFonts w:ascii="Times New Roman" w:hAnsi="Times New Roman" w:cs="Times New Roman"/>
          <w:b/>
          <w:bCs/>
          <w:color w:val="auto"/>
          <w:sz w:val="24"/>
          <w:szCs w:val="24"/>
        </w:rPr>
        <w:t xml:space="preserve">egulatory </w:t>
      </w:r>
      <w:r>
        <w:rPr>
          <w:rFonts w:ascii="Times New Roman" w:hAnsi="Times New Roman" w:cs="Times New Roman"/>
          <w:b/>
          <w:bCs/>
          <w:color w:val="auto"/>
          <w:sz w:val="24"/>
          <w:szCs w:val="24"/>
        </w:rPr>
        <w:t>o</w:t>
      </w:r>
      <w:r w:rsidRPr="006F68E9">
        <w:rPr>
          <w:rFonts w:ascii="Times New Roman" w:hAnsi="Times New Roman" w:cs="Times New Roman"/>
          <w:b/>
          <w:bCs/>
          <w:color w:val="auto"/>
          <w:sz w:val="24"/>
          <w:szCs w:val="24"/>
        </w:rPr>
        <w:t>verlap</w:t>
      </w:r>
      <w:bookmarkEnd w:id="14"/>
      <w:bookmarkEnd w:id="15"/>
    </w:p>
    <w:p w:rsidR="00025134" w:rsidRPr="00FC3A0E" w:rsidP="00025134" w14:paraId="69CA708D" w14:textId="77777777">
      <w:pPr>
        <w:rPr>
          <w:rFonts w:ascii="Times New Roman" w:hAnsi="Times New Roman"/>
          <w:i/>
          <w:iCs/>
          <w:sz w:val="24"/>
        </w:rPr>
      </w:pPr>
      <w:r>
        <w:rPr>
          <w:rFonts w:ascii="Times New Roman" w:hAnsi="Times New Roman"/>
          <w:i/>
          <w:iCs/>
          <w:sz w:val="24"/>
        </w:rPr>
        <w:t>General comments related to overlap with OSHA</w:t>
      </w:r>
    </w:p>
    <w:p w:rsidR="00025134" w:rsidP="00025134" w14:paraId="164CAFA3" w14:textId="77777777">
      <w:pPr>
        <w:rPr>
          <w:rFonts w:ascii="Times New Roman" w:hAnsi="Times New Roman"/>
          <w:sz w:val="24"/>
        </w:rPr>
      </w:pPr>
      <w:r>
        <w:rPr>
          <w:rFonts w:ascii="Times New Roman" w:hAnsi="Times New Roman"/>
          <w:b/>
          <w:bCs/>
          <w:sz w:val="24"/>
        </w:rPr>
        <w:t xml:space="preserve">Comment 1.4-01: </w:t>
      </w:r>
      <w:r w:rsidRPr="006F68E9">
        <w:rPr>
          <w:rFonts w:ascii="Times New Roman" w:hAnsi="Times New Roman"/>
          <w:sz w:val="24"/>
        </w:rPr>
        <w:t>Many commenters urged EPA to coordinate efforts with other agencies to ensure that any regulatory changes are consistent across different regulations, do not create unneeded confusion among regulated entities or federal, state, and local agencies, are not in conflict, duplicative, and burdensome, and do not inadvertently undo progress other agencies have made. The commenters stated that EPA should wait for OSHA to review and amend their rules first. The commenters were also concerned about inconsistent enforcement from inspectors from the two different agencies (0180, 0184, 0185, 0188, 0205, 0213, 0214, 0215, 0217, 0226, 0229, 0230, 0232, 0233, 0234, 0237, 0238, 0245, 0253, 0262, 0272, 0274, 0402, 0458).</w:t>
      </w:r>
      <w:r>
        <w:rPr>
          <w:rFonts w:ascii="Times New Roman" w:hAnsi="Times New Roman"/>
          <w:sz w:val="24"/>
        </w:rPr>
        <w:t xml:space="preserve"> </w:t>
      </w:r>
    </w:p>
    <w:p w:rsidR="00025134" w:rsidP="00025134" w14:paraId="16FAAE99" w14:textId="428D5843">
      <w:pPr>
        <w:rPr>
          <w:rFonts w:ascii="Times New Roman" w:hAnsi="Times New Roman"/>
          <w:sz w:val="24"/>
        </w:rPr>
      </w:pPr>
      <w:r>
        <w:rPr>
          <w:rFonts w:ascii="Times New Roman" w:hAnsi="Times New Roman"/>
          <w:sz w:val="24"/>
        </w:rPr>
        <w:t>S</w:t>
      </w:r>
      <w:r w:rsidRPr="006F68E9">
        <w:rPr>
          <w:rFonts w:ascii="Times New Roman" w:hAnsi="Times New Roman"/>
          <w:sz w:val="24"/>
        </w:rPr>
        <w:t>everal</w:t>
      </w:r>
      <w:r>
        <w:rPr>
          <w:rFonts w:ascii="Times New Roman" w:hAnsi="Times New Roman"/>
          <w:sz w:val="24"/>
        </w:rPr>
        <w:t xml:space="preserve"> commenters </w:t>
      </w:r>
      <w:r w:rsidRPr="006F68E9">
        <w:rPr>
          <w:rFonts w:ascii="Times New Roman" w:hAnsi="Times New Roman"/>
          <w:sz w:val="24"/>
        </w:rPr>
        <w:t>asked</w:t>
      </w:r>
      <w:r>
        <w:rPr>
          <w:rFonts w:ascii="Times New Roman" w:hAnsi="Times New Roman"/>
          <w:sz w:val="24"/>
        </w:rPr>
        <w:t xml:space="preserve"> that EPA pause the RMP rulemaking to </w:t>
      </w:r>
      <w:r w:rsidRPr="006F68E9">
        <w:rPr>
          <w:rFonts w:ascii="Times New Roman" w:hAnsi="Times New Roman"/>
          <w:sz w:val="24"/>
        </w:rPr>
        <w:t xml:space="preserve">allow OSHA’s review of the PSM standard to advance ahead of any major revisions to the RMP (0229, 0232, 0237, 0253, 0272). A couple of commenters </w:t>
      </w:r>
      <w:r>
        <w:rPr>
          <w:rFonts w:ascii="Times New Roman" w:hAnsi="Times New Roman"/>
          <w:sz w:val="24"/>
        </w:rPr>
        <w:t>similarly recommend that</w:t>
      </w:r>
      <w:r w:rsidRPr="006F68E9">
        <w:rPr>
          <w:rFonts w:ascii="Times New Roman" w:hAnsi="Times New Roman"/>
          <w:sz w:val="24"/>
        </w:rPr>
        <w:t xml:space="preserve"> EPA wait until OSHA has finished its </w:t>
      </w:r>
      <w:r>
        <w:rPr>
          <w:rFonts w:ascii="Times New Roman" w:hAnsi="Times New Roman"/>
          <w:sz w:val="24"/>
        </w:rPr>
        <w:t xml:space="preserve">PSM </w:t>
      </w:r>
      <w:r w:rsidRPr="006F68E9">
        <w:rPr>
          <w:rFonts w:ascii="Times New Roman" w:hAnsi="Times New Roman"/>
          <w:sz w:val="24"/>
        </w:rPr>
        <w:t xml:space="preserve">rulemaking, so it can be subject to meaningful review, before moving ahead with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(0214, 0232</w:t>
      </w:r>
      <w:r w:rsidRPr="006F68E9" w:rsidR="002F0DDB">
        <w:rPr>
          <w:rFonts w:ascii="Times New Roman" w:hAnsi="Times New Roman"/>
          <w:sz w:val="24"/>
        </w:rPr>
        <w:t>). One</w:t>
      </w:r>
      <w:r w:rsidRPr="006F68E9">
        <w:rPr>
          <w:rFonts w:ascii="Times New Roman" w:hAnsi="Times New Roman"/>
          <w:sz w:val="24"/>
        </w:rPr>
        <w:t xml:space="preserve"> commenter pointed out issues that could occur if the RMP regulations are in flux while PSM requirements are changing. The commenter urged EPA to </w:t>
      </w:r>
      <w:r w:rsidRPr="006F68E9">
        <w:rPr>
          <w:rFonts w:ascii="Times New Roman" w:hAnsi="Times New Roman"/>
          <w:sz w:val="24"/>
        </w:rPr>
        <w:t xml:space="preserve">defer finalizing any changes to the RMP regulations until OSHA completes their specific action noting that this will avoid confusion, duplication of requirements, and contradicting requirements across chemical safety rules (0229). </w:t>
      </w:r>
    </w:p>
    <w:p w:rsidR="00025134" w:rsidP="00025134" w14:paraId="2A08E7C5" w14:textId="77777777">
      <w:pPr>
        <w:rPr>
          <w:rFonts w:ascii="Times New Roman" w:hAnsi="Times New Roman"/>
          <w:sz w:val="24"/>
        </w:rPr>
      </w:pPr>
      <w:r w:rsidRPr="006F68E9">
        <w:rPr>
          <w:rFonts w:ascii="Times New Roman" w:hAnsi="Times New Roman"/>
          <w:sz w:val="24"/>
        </w:rPr>
        <w:t>Several commenters requested that EPA harmonize its RMP requirements with OSHA’s PSM standard</w:t>
      </w:r>
      <w:r>
        <w:rPr>
          <w:rFonts w:ascii="Times New Roman" w:hAnsi="Times New Roman"/>
          <w:sz w:val="24"/>
        </w:rPr>
        <w:t xml:space="preserve"> (with</w:t>
      </w:r>
      <w:r w:rsidRPr="006F68E9">
        <w:rPr>
          <w:rFonts w:ascii="Times New Roman" w:hAnsi="Times New Roman"/>
          <w:sz w:val="24"/>
        </w:rPr>
        <w:t xml:space="preserve"> one commenter pointing out that it is required by § 122(r)(7) (0184, 0188, 0215, 0217, 0229, 0233, 0234, 0237, 0238, 0253, 0272). A few commenters requested that EPA work closely with OSHA to ensure that the RMP and PSM regulatory programs remain complementary (0232, 0237, 0275).</w:t>
      </w:r>
      <w:r>
        <w:rPr>
          <w:rFonts w:ascii="Times New Roman" w:hAnsi="Times New Roman"/>
          <w:sz w:val="24"/>
        </w:rPr>
        <w:t xml:space="preserve"> One</w:t>
      </w:r>
      <w:r w:rsidRPr="006F68E9">
        <w:rPr>
          <w:rFonts w:ascii="Times New Roman" w:hAnsi="Times New Roman"/>
          <w:sz w:val="24"/>
        </w:rPr>
        <w:t xml:space="preserve"> commenter noted that there is no pending PSM proposal from OSHA that is available for public comment, much less a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 xml:space="preserve">ule. The commenter added that rushing to revise RMP ahead of OSHA’s review would create more confusion, burdens, and potential safety risks for covered facilities, Local Emergency Planning Committees (LEPCs), and communities (0272). </w:t>
      </w:r>
    </w:p>
    <w:p w:rsidR="00025134" w:rsidP="00025134" w14:paraId="32B02F48" w14:textId="77777777">
      <w:pPr>
        <w:rPr>
          <w:rFonts w:ascii="Times New Roman" w:hAnsi="Times New Roman"/>
          <w:sz w:val="24"/>
        </w:rPr>
      </w:pPr>
      <w:r w:rsidRPr="006F68E9">
        <w:rPr>
          <w:rFonts w:ascii="Times New Roman" w:hAnsi="Times New Roman"/>
          <w:sz w:val="24"/>
        </w:rPr>
        <w:t xml:space="preserve">Several commenters specifically noted instances of the duplicative requirements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and OSHA PSM standards (0217, 0234, 0237, 0245). </w:t>
      </w:r>
    </w:p>
    <w:p w:rsidR="00025134" w:rsidP="00025134" w14:paraId="2C12B845" w14:textId="172DD381">
      <w:pPr>
        <w:rPr>
          <w:rFonts w:ascii="Times New Roman" w:hAnsi="Times New Roman"/>
          <w:sz w:val="24"/>
        </w:rPr>
      </w:pPr>
      <w:r w:rsidRPr="006F68E9">
        <w:rPr>
          <w:rFonts w:ascii="Times New Roman" w:hAnsi="Times New Roman"/>
          <w:sz w:val="24"/>
        </w:rPr>
        <w:t xml:space="preserve">A couple of commenters noted that EPA’s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amends what is necessary in site evaluations and pointed out that facilities covered by OSHA’s PSM regulations already undergo similar facility siting requirements</w:t>
      </w:r>
      <w:r>
        <w:rPr>
          <w:rFonts w:ascii="Times New Roman" w:hAnsi="Times New Roman"/>
          <w:sz w:val="24"/>
        </w:rPr>
        <w:t>; the commenters stated that</w:t>
      </w:r>
      <w:r w:rsidRPr="006F68E9">
        <w:rPr>
          <w:rFonts w:ascii="Times New Roman" w:hAnsi="Times New Roman"/>
          <w:sz w:val="24"/>
        </w:rPr>
        <w:t xml:space="preserve"> implementing this would be unnecessary and duplicative while creating opportunities for inconsistent enforcement between EPA and OSHA. The commenters expressed concern that requirements to coordinate with LEPCs in EPA’s proposal would conflict with current OSHA regulations, are duplicative, and make it more difficult for facilities to comply. The commenters also stated that there should be one standard that facilities look to in order to ensure compliance and urged EPA to work with OSHA in the adoption of any new regulations related to emergency response (0217, 0234). </w:t>
      </w:r>
    </w:p>
    <w:p w:rsidR="00025134" w:rsidP="00025134" w14:paraId="6534041C" w14:textId="77777777">
      <w:pPr>
        <w:rPr>
          <w:rFonts w:ascii="Times New Roman" w:hAnsi="Times New Roman"/>
          <w:sz w:val="24"/>
        </w:rPr>
      </w:pPr>
      <w:r w:rsidRPr="006F68E9">
        <w:rPr>
          <w:rFonts w:ascii="Times New Roman" w:hAnsi="Times New Roman"/>
          <w:sz w:val="24"/>
        </w:rPr>
        <w:t>Some commenters pointed out that the requirement to include employees in written plans of action in EPA’s proposal is duplicative of PSM as this is already required in PHAs. The commenters recommended that this requirement not be added to RMP regulations (0217, 0234, 0237).</w:t>
      </w:r>
    </w:p>
    <w:p w:rsidR="0019249D" w:rsidP="00025134" w14:paraId="3C68BED1" w14:textId="6D01776A">
      <w:pPr>
        <w:ind w:left="720"/>
        <w:rPr>
          <w:rFonts w:ascii="Times New Roman" w:hAnsi="Times New Roman"/>
          <w:sz w:val="24"/>
        </w:rPr>
      </w:pPr>
      <w:r>
        <w:rPr>
          <w:rFonts w:ascii="Times New Roman" w:hAnsi="Times New Roman"/>
          <w:b/>
          <w:bCs/>
          <w:sz w:val="24"/>
        </w:rPr>
        <w:t xml:space="preserve">EPA </w:t>
      </w:r>
      <w:r w:rsidR="00025134">
        <w:rPr>
          <w:rFonts w:ascii="Times New Roman" w:hAnsi="Times New Roman"/>
          <w:b/>
          <w:bCs/>
          <w:sz w:val="24"/>
        </w:rPr>
        <w:t xml:space="preserve">Response: </w:t>
      </w:r>
      <w:r w:rsidRPr="00A43B32" w:rsidR="00A43B32">
        <w:rPr>
          <w:rFonts w:ascii="Times New Roman" w:hAnsi="Times New Roman"/>
          <w:sz w:val="24"/>
        </w:rPr>
        <w:t>EPA believes that the</w:t>
      </w:r>
      <w:r w:rsidR="00A43B32">
        <w:rPr>
          <w:rFonts w:ascii="Times New Roman" w:hAnsi="Times New Roman"/>
          <w:sz w:val="24"/>
        </w:rPr>
        <w:t xml:space="preserve"> facility siting regulatory text changes </w:t>
      </w:r>
      <w:r w:rsidRPr="00A43B32" w:rsidR="00A43B32">
        <w:rPr>
          <w:rFonts w:ascii="Times New Roman" w:hAnsi="Times New Roman"/>
          <w:sz w:val="24"/>
        </w:rPr>
        <w:t>finaliz</w:t>
      </w:r>
      <w:r w:rsidR="00A43B32">
        <w:rPr>
          <w:rFonts w:ascii="Times New Roman" w:hAnsi="Times New Roman"/>
          <w:sz w:val="24"/>
        </w:rPr>
        <w:t xml:space="preserve">ed today are </w:t>
      </w:r>
      <w:r w:rsidRPr="00A43B32" w:rsidR="00A43B32">
        <w:rPr>
          <w:rFonts w:ascii="Times New Roman" w:hAnsi="Times New Roman"/>
          <w:sz w:val="24"/>
        </w:rPr>
        <w:t xml:space="preserve">compatible and do not conflict with the prevention provisions of OSHA’s PSM regulations. </w:t>
      </w:r>
      <w:r w:rsidRPr="003D6738" w:rsidR="003D6738">
        <w:rPr>
          <w:rFonts w:ascii="Times New Roman" w:hAnsi="Times New Roman"/>
          <w:sz w:val="24"/>
        </w:rPr>
        <w:t xml:space="preserve">Rather than propose additional requirements, EPA is instead expounding on the current regulatory text to ensure that siting evaluations properly account for hazards resulting from the location of processes, equipment, building, and proximate facilities, and their effects on the surrounding community. </w:t>
      </w:r>
      <w:r w:rsidR="00CC7C71">
        <w:rPr>
          <w:rFonts w:ascii="Times New Roman" w:hAnsi="Times New Roman"/>
          <w:sz w:val="24"/>
        </w:rPr>
        <w:t xml:space="preserve">Further, </w:t>
      </w:r>
      <w:r w:rsidRPr="0019249D">
        <w:rPr>
          <w:rFonts w:ascii="Times New Roman" w:hAnsi="Times New Roman"/>
          <w:sz w:val="24"/>
        </w:rPr>
        <w:t xml:space="preserve">EPA disagrees with comments that implementing the facility siting requirements would create the opportunity for inconsistent enforcement between EPA and OSHA. The OSHA PSM standard and RMP rule both require that facility siting be addressed as one element of a PHA (29 CFR 1910.119(e)(3)(v) and 40 CFR 68.67(c)(5)). In response to comments on the proposed PSM rule, OSHA indicated that facility siting should always be considered during PHAs and therefore </w:t>
      </w:r>
      <w:r w:rsidRPr="007B14E5">
        <w:rPr>
          <w:rFonts w:ascii="Times New Roman" w:hAnsi="Times New Roman"/>
          <w:sz w:val="24"/>
        </w:rPr>
        <w:t xml:space="preserve">decided to emphasize this element by specifically listing siting evaluation in regulatory text.  EPA’s approach to the siting requirement is consistent with its general approach to PSM in the 1996 RMP rule: sound, comprehensive PSM systems can protect workers, the public, and the environment. </w:t>
      </w:r>
      <w:r w:rsidRPr="007B14E5" w:rsidR="007C44E5">
        <w:rPr>
          <w:rFonts w:ascii="Times New Roman" w:hAnsi="Times New Roman"/>
          <w:sz w:val="24"/>
        </w:rPr>
        <w:t>Therefore, c</w:t>
      </w:r>
      <w:r w:rsidRPr="007B14E5">
        <w:rPr>
          <w:rFonts w:ascii="Times New Roman" w:hAnsi="Times New Roman"/>
          <w:sz w:val="24"/>
        </w:rPr>
        <w:t>ompliance with RMP as amended by SCCAP and PSM and other relevant OSHA regulations should be possible.</w:t>
      </w:r>
      <w:r w:rsidRPr="00990798" w:rsidR="00212427">
        <w:rPr>
          <w:rFonts w:ascii="Times New Roman" w:hAnsi="Times New Roman"/>
          <w:sz w:val="24"/>
        </w:rPr>
        <w:t xml:space="preserve"> Lastly as with</w:t>
      </w:r>
      <w:r w:rsidRPr="00990798" w:rsidR="007C44E5">
        <w:rPr>
          <w:rFonts w:ascii="Times New Roman" w:hAnsi="Times New Roman"/>
          <w:sz w:val="24"/>
        </w:rPr>
        <w:t xml:space="preserve"> any RMP provision, i</w:t>
      </w:r>
      <w:r w:rsidRPr="007B14E5" w:rsidR="00212427">
        <w:rPr>
          <w:rFonts w:ascii="Times New Roman" w:hAnsi="Times New Roman"/>
          <w:sz w:val="24"/>
        </w:rPr>
        <w:t xml:space="preserve">f a regulated source is already subject to another requirement </w:t>
      </w:r>
      <w:r w:rsidRPr="007B14E5" w:rsidR="00212427">
        <w:rPr>
          <w:rFonts w:ascii="Times New Roman" w:hAnsi="Times New Roman"/>
          <w:sz w:val="24"/>
        </w:rPr>
        <w:t>that duplicates a requirement found in the final</w:t>
      </w:r>
      <w:r w:rsidRPr="00212427" w:rsidR="00212427">
        <w:rPr>
          <w:rFonts w:ascii="Times New Roman" w:hAnsi="Times New Roman"/>
          <w:sz w:val="24"/>
        </w:rPr>
        <w:t xml:space="preserve"> rule, the source may use its compliance with that other requirement to demonstrate compliance with the equivalent requirement in part 68.</w:t>
      </w:r>
    </w:p>
    <w:p w:rsidR="00025134" w:rsidRPr="004B57C9" w:rsidP="00025134" w14:paraId="178E863C" w14:textId="68E02CEB">
      <w:pPr>
        <w:ind w:left="720"/>
        <w:rPr>
          <w:rFonts w:ascii="Times New Roman" w:hAnsi="Times New Roman"/>
          <w:b/>
          <w:sz w:val="24"/>
        </w:rPr>
      </w:pPr>
      <w:r>
        <w:rPr>
          <w:rStyle w:val="normaltextrun"/>
          <w:rFonts w:ascii="Times New Roman" w:hAnsi="Times New Roman"/>
          <w:color w:val="000000"/>
          <w:sz w:val="24"/>
          <w:shd w:val="clear" w:color="auto" w:fill="FFFFFF"/>
        </w:rPr>
        <w:t>Further, f</w:t>
      </w:r>
      <w:r w:rsidRPr="00D07BB2">
        <w:rPr>
          <w:rStyle w:val="normaltextrun"/>
          <w:rFonts w:ascii="Times New Roman" w:hAnsi="Times New Roman"/>
          <w:color w:val="000000"/>
          <w:sz w:val="24"/>
          <w:shd w:val="clear" w:color="auto" w:fill="FFFFFF"/>
        </w:rPr>
        <w:t>or many years, EPA and OSHA have established a regular meeting to consult with the DOL and coordinate the PSM and RMP programs, including but not limited to interpretation of overlapping regulatory provisions and the development of potential amendments to the rules.</w:t>
      </w:r>
      <w:r>
        <w:rPr>
          <w:rStyle w:val="normaltextrun"/>
          <w:rFonts w:ascii="Times New Roman" w:hAnsi="Times New Roman"/>
          <w:color w:val="000000"/>
          <w:sz w:val="24"/>
          <w:shd w:val="clear" w:color="auto" w:fill="FFFFFF"/>
        </w:rPr>
        <w:t xml:space="preserve"> </w:t>
      </w:r>
      <w:r w:rsidRPr="00D07BB2">
        <w:rPr>
          <w:rStyle w:val="normaltextrun"/>
          <w:rFonts w:ascii="Times New Roman" w:hAnsi="Times New Roman"/>
          <w:color w:val="000000"/>
          <w:sz w:val="24"/>
          <w:shd w:val="clear" w:color="auto" w:fill="FFFFFF"/>
        </w:rPr>
        <w:t xml:space="preserve">During several of these regular meetings (including but not limited to meetings on various dates in Appendix A to this document), staff from the agencies discussed the development of the RMP </w:t>
      </w:r>
      <w:r w:rsidR="002F0DDB">
        <w:rPr>
          <w:rStyle w:val="normaltextrun"/>
          <w:rFonts w:ascii="Times New Roman" w:hAnsi="Times New Roman"/>
          <w:color w:val="000000"/>
          <w:sz w:val="24"/>
          <w:shd w:val="clear" w:color="auto" w:fill="FFFFFF"/>
        </w:rPr>
        <w:t>SCCAP</w:t>
      </w:r>
      <w:r w:rsidRPr="00D07BB2" w:rsidR="002F0DDB">
        <w:rPr>
          <w:rStyle w:val="normaltextrun"/>
          <w:rFonts w:ascii="Times New Roman" w:hAnsi="Times New Roman"/>
          <w:color w:val="000000"/>
          <w:sz w:val="24"/>
          <w:shd w:val="clear" w:color="auto" w:fill="FFFFFF"/>
        </w:rPr>
        <w:t xml:space="preserve"> </w:t>
      </w:r>
      <w:r w:rsidRPr="00D07BB2">
        <w:rPr>
          <w:rStyle w:val="normaltextrun"/>
          <w:rFonts w:ascii="Times New Roman" w:hAnsi="Times New Roman"/>
          <w:color w:val="000000"/>
          <w:sz w:val="24"/>
          <w:shd w:val="clear" w:color="auto" w:fill="FFFFFF"/>
        </w:rPr>
        <w:t>Rule</w:t>
      </w:r>
      <w:r w:rsidR="002F0DDB">
        <w:rPr>
          <w:rStyle w:val="normaltextrun"/>
          <w:rFonts w:ascii="Times New Roman" w:hAnsi="Times New Roman"/>
          <w:color w:val="000000"/>
          <w:sz w:val="24"/>
          <w:shd w:val="clear" w:color="auto" w:fill="FFFFFF"/>
        </w:rPr>
        <w:t xml:space="preserve"> and </w:t>
      </w:r>
      <w:r w:rsidRPr="00D07BB2">
        <w:rPr>
          <w:rStyle w:val="normaltextrun"/>
          <w:rFonts w:ascii="Times New Roman" w:hAnsi="Times New Roman"/>
          <w:color w:val="000000"/>
          <w:sz w:val="24"/>
          <w:shd w:val="clear" w:color="auto" w:fill="FFFFFF"/>
        </w:rPr>
        <w:t>potential issues to be addressed by EPA</w:t>
      </w:r>
      <w:r w:rsidR="00F4305F">
        <w:rPr>
          <w:rStyle w:val="normaltextrun"/>
          <w:rFonts w:ascii="Times New Roman" w:hAnsi="Times New Roman"/>
          <w:color w:val="000000"/>
          <w:sz w:val="24"/>
          <w:shd w:val="clear" w:color="auto" w:fill="FFFFFF"/>
        </w:rPr>
        <w:t>, and OSHA’s intent to convene an informal stakeholder meeting in October 2022,</w:t>
      </w:r>
      <w:r w:rsidR="002F0DDB">
        <w:rPr>
          <w:rStyle w:val="normaltextrun"/>
          <w:rFonts w:ascii="Times New Roman" w:hAnsi="Times New Roman"/>
          <w:color w:val="000000"/>
          <w:sz w:val="24"/>
          <w:shd w:val="clear" w:color="auto" w:fill="FFFFFF"/>
        </w:rPr>
        <w:t xml:space="preserve"> </w:t>
      </w:r>
      <w:r w:rsidRPr="00D07BB2">
        <w:rPr>
          <w:rStyle w:val="normaltextrun"/>
          <w:rFonts w:ascii="Times New Roman" w:hAnsi="Times New Roman"/>
          <w:color w:val="000000"/>
          <w:sz w:val="24"/>
          <w:shd w:val="clear" w:color="auto" w:fill="FFFFFF"/>
        </w:rPr>
        <w:t>as it explore</w:t>
      </w:r>
      <w:r w:rsidR="00F4305F">
        <w:rPr>
          <w:rStyle w:val="normaltextrun"/>
          <w:rFonts w:ascii="Times New Roman" w:hAnsi="Times New Roman"/>
          <w:color w:val="000000"/>
          <w:sz w:val="24"/>
          <w:shd w:val="clear" w:color="auto" w:fill="FFFFFF"/>
        </w:rPr>
        <w:t>d</w:t>
      </w:r>
      <w:r w:rsidRPr="00D07BB2">
        <w:rPr>
          <w:rStyle w:val="normaltextrun"/>
          <w:rFonts w:ascii="Times New Roman" w:hAnsi="Times New Roman"/>
          <w:color w:val="000000"/>
          <w:sz w:val="24"/>
          <w:shd w:val="clear" w:color="auto" w:fill="FFFFFF"/>
        </w:rPr>
        <w:t xml:space="preserve"> potential regulatory amendments.</w:t>
      </w:r>
      <w:r>
        <w:rPr>
          <w:rStyle w:val="normaltextrun"/>
          <w:rFonts w:ascii="Times New Roman" w:hAnsi="Times New Roman"/>
          <w:color w:val="000000"/>
          <w:sz w:val="24"/>
          <w:shd w:val="clear" w:color="auto" w:fill="FFFFFF"/>
        </w:rPr>
        <w:t xml:space="preserve"> </w:t>
      </w:r>
    </w:p>
    <w:p w:rsidR="00025134" w:rsidRPr="00504FD4" w:rsidP="00025134" w14:paraId="51C05A07" w14:textId="62E3D016">
      <w:pPr>
        <w:ind w:left="720"/>
        <w:rPr>
          <w:rFonts w:ascii="Times New Roman" w:hAnsi="Times New Roman"/>
          <w:sz w:val="24"/>
        </w:rPr>
      </w:pPr>
      <w:r w:rsidRPr="003F2158">
        <w:rPr>
          <w:rFonts w:ascii="Times New Roman" w:hAnsi="Times New Roman"/>
          <w:sz w:val="24"/>
        </w:rPr>
        <w:t xml:space="preserve">Each agency has distinct rulemaking procedures and the statute itself contemplates that the rulemakings may proceed on different schedules. OSHA’s rulemaking under section 304 of the CAAA of 1990 was due within 1 year of enactment, while EPA’s list rule was due 2 years after enactment and the RMP rule was due 3 years after enactment. Due to the statutory structure, it is not unreasonable for there to be some lack of synchronous process. Nevertheless, EPA has coordinated, and will continue to coordinate, with OSHA on revisions to the RMP rule and PSM standard to ensure </w:t>
      </w:r>
      <w:r w:rsidR="002F0DDB">
        <w:rPr>
          <w:rFonts w:ascii="Times New Roman" w:hAnsi="Times New Roman"/>
          <w:sz w:val="24"/>
        </w:rPr>
        <w:t>RMP</w:t>
      </w:r>
      <w:r w:rsidRPr="00F503BC">
        <w:rPr>
          <w:rStyle w:val="normaltextrun"/>
          <w:rFonts w:ascii="Times New Roman" w:hAnsi="Times New Roman"/>
          <w:color w:val="000000"/>
          <w:sz w:val="24"/>
          <w:shd w:val="clear" w:color="auto" w:fill="FFFFFF"/>
        </w:rPr>
        <w:t xml:space="preserve"> provisions do not contradict OSHA </w:t>
      </w:r>
      <w:r w:rsidRPr="00F503BC">
        <w:rPr>
          <w:rStyle w:val="findhit"/>
          <w:rFonts w:ascii="Times New Roman" w:hAnsi="Times New Roman"/>
          <w:color w:val="000000"/>
          <w:sz w:val="24"/>
        </w:rPr>
        <w:t>PSM</w:t>
      </w:r>
      <w:r w:rsidRPr="00F503BC">
        <w:rPr>
          <w:rStyle w:val="normaltextrun"/>
          <w:rFonts w:ascii="Times New Roman" w:hAnsi="Times New Roman"/>
          <w:color w:val="000000"/>
          <w:sz w:val="24"/>
          <w:shd w:val="clear" w:color="auto" w:fill="FFFFFF"/>
        </w:rPr>
        <w:t xml:space="preserve"> requirements.</w:t>
      </w:r>
      <w:r>
        <w:rPr>
          <w:rStyle w:val="normaltextrun"/>
          <w:rFonts w:ascii="Times New Roman" w:hAnsi="Times New Roman"/>
          <w:color w:val="000000"/>
          <w:sz w:val="24"/>
          <w:shd w:val="clear" w:color="auto" w:fill="FFFFFF"/>
        </w:rPr>
        <w:t xml:space="preserve"> </w:t>
      </w:r>
    </w:p>
    <w:p w:rsidR="00025134" w:rsidP="00025134" w14:paraId="5B4A9B27" w14:textId="392023C2">
      <w:pPr>
        <w:ind w:left="720"/>
        <w:rPr>
          <w:rFonts w:ascii="Times New Roman" w:hAnsi="Times New Roman"/>
          <w:b/>
          <w:sz w:val="24"/>
        </w:rPr>
      </w:pPr>
      <w:r w:rsidRPr="00636283">
        <w:rPr>
          <w:rFonts w:ascii="Times New Roman" w:hAnsi="Times New Roman"/>
          <w:sz w:val="24"/>
        </w:rPr>
        <w:t>Regarding comments requesting that EPA withdraw its rulemaking and coordinate more closely with OSHA, EPA notes that it did coordinate with OSHA in the development of the proposed and final rules. However, EPA does not believe it is necessary for the Agency to conduct its rulemaking on exactly the same timeline as OSHA.</w:t>
      </w:r>
    </w:p>
    <w:p w:rsidR="00025134" w:rsidRPr="008F49D4" w:rsidP="00025134" w14:paraId="582F147D" w14:textId="77777777">
      <w:pPr>
        <w:rPr>
          <w:rFonts w:ascii="Times New Roman" w:hAnsi="Times New Roman"/>
          <w:i/>
          <w:iCs/>
          <w:sz w:val="24"/>
        </w:rPr>
      </w:pPr>
      <w:r>
        <w:rPr>
          <w:rFonts w:ascii="Times New Roman" w:hAnsi="Times New Roman"/>
          <w:i/>
          <w:iCs/>
          <w:sz w:val="24"/>
        </w:rPr>
        <w:t>More specific comments related to overlap with OSHA</w:t>
      </w:r>
    </w:p>
    <w:p w:rsidR="00025134" w:rsidRPr="00BF187B" w:rsidP="00025134" w14:paraId="4F7CAE42" w14:textId="5DA5E514">
      <w:pPr>
        <w:rPr>
          <w:rFonts w:ascii="Times New Roman" w:hAnsi="Times New Roman"/>
          <w:b/>
          <w:sz w:val="24"/>
        </w:rPr>
      </w:pPr>
      <w:r>
        <w:rPr>
          <w:rFonts w:ascii="Times New Roman" w:hAnsi="Times New Roman"/>
          <w:b/>
          <w:bCs/>
          <w:sz w:val="24"/>
        </w:rPr>
        <w:t>Comment 1.4-0</w:t>
      </w:r>
      <w:r w:rsidR="009B53FB">
        <w:rPr>
          <w:rFonts w:ascii="Times New Roman" w:hAnsi="Times New Roman"/>
          <w:b/>
          <w:bCs/>
          <w:sz w:val="24"/>
        </w:rPr>
        <w:t>2</w:t>
      </w:r>
      <w:r>
        <w:rPr>
          <w:rFonts w:ascii="Times New Roman" w:hAnsi="Times New Roman"/>
          <w:b/>
          <w:bCs/>
          <w:sz w:val="24"/>
        </w:rPr>
        <w:t xml:space="preserve">: </w:t>
      </w:r>
      <w:r w:rsidRPr="006F68E9">
        <w:rPr>
          <w:rFonts w:ascii="Times New Roman" w:hAnsi="Times New Roman"/>
          <w:sz w:val="24"/>
        </w:rPr>
        <w:t>One commenter noted that the chemicals and processes used in manufacturing bleached pulp and paper products are regulated by OSHA’s PSM program and requested that the RMP rule be harmonized with PSM requirements (0238).</w:t>
      </w:r>
    </w:p>
    <w:p w:rsidR="00261FF3" w:rsidRPr="00F62BE5" w:rsidP="00B8412C" w14:paraId="33A8F7AA" w14:textId="485BF7D4">
      <w:pPr>
        <w:ind w:left="720"/>
        <w:rPr>
          <w:rFonts w:ascii="Times New Roman" w:hAnsi="Times New Roman"/>
          <w:sz w:val="24"/>
        </w:rPr>
      </w:pPr>
      <w:r w:rsidRPr="00F62BE5">
        <w:rPr>
          <w:rFonts w:ascii="Times New Roman" w:hAnsi="Times New Roman"/>
          <w:b/>
          <w:bCs/>
          <w:sz w:val="24"/>
        </w:rPr>
        <w:t>EPA Response:</w:t>
      </w:r>
      <w:r w:rsidRPr="00863C48">
        <w:rPr>
          <w:rFonts w:ascii="Times New Roman" w:hAnsi="Times New Roman"/>
          <w:b/>
          <w:bCs/>
          <w:sz w:val="24"/>
        </w:rPr>
        <w:t xml:space="preserve"> </w:t>
      </w:r>
      <w:r w:rsidRPr="00F62BE5">
        <w:rPr>
          <w:rFonts w:ascii="Times New Roman" w:hAnsi="Times New Roman"/>
          <w:sz w:val="24"/>
        </w:rPr>
        <w:t xml:space="preserve">EPA </w:t>
      </w:r>
      <w:r w:rsidRPr="00F62BE5" w:rsidR="00F62BE5">
        <w:rPr>
          <w:rFonts w:ascii="Times New Roman" w:hAnsi="Times New Roman"/>
          <w:sz w:val="24"/>
        </w:rPr>
        <w:t xml:space="preserve">acknowledges </w:t>
      </w:r>
      <w:r w:rsidRPr="00F62BE5">
        <w:rPr>
          <w:rFonts w:ascii="Times New Roman" w:hAnsi="Times New Roman"/>
          <w:sz w:val="24"/>
        </w:rPr>
        <w:t>that m</w:t>
      </w:r>
      <w:r w:rsidRPr="00F62BE5" w:rsidR="00784D5D">
        <w:rPr>
          <w:rFonts w:ascii="Times New Roman" w:hAnsi="Times New Roman"/>
          <w:sz w:val="24"/>
        </w:rPr>
        <w:t xml:space="preserve">any chemicals and processes </w:t>
      </w:r>
      <w:r w:rsidRPr="00F62BE5">
        <w:rPr>
          <w:rFonts w:ascii="Times New Roman" w:hAnsi="Times New Roman"/>
          <w:sz w:val="24"/>
        </w:rPr>
        <w:t>regulated by EPA RMP are also regulated by OSHA PSM</w:t>
      </w:r>
      <w:r w:rsidRPr="6C75FE4E" w:rsidR="07C5F449">
        <w:rPr>
          <w:rFonts w:ascii="Times New Roman" w:hAnsi="Times New Roman"/>
          <w:sz w:val="24"/>
        </w:rPr>
        <w:t>, as has been the case since the inception of both programs</w:t>
      </w:r>
      <w:r w:rsidRPr="6C75FE4E">
        <w:rPr>
          <w:rFonts w:ascii="Times New Roman" w:hAnsi="Times New Roman"/>
          <w:sz w:val="24"/>
        </w:rPr>
        <w:t>.</w:t>
      </w:r>
      <w:r w:rsidRPr="00F62BE5">
        <w:rPr>
          <w:rFonts w:ascii="Times New Roman" w:hAnsi="Times New Roman"/>
          <w:sz w:val="24"/>
        </w:rPr>
        <w:t xml:space="preserve"> </w:t>
      </w:r>
      <w:bookmarkStart w:id="16" w:name="_Hlk147236429"/>
      <w:r w:rsidRPr="00F62BE5" w:rsidR="00F62BE5">
        <w:rPr>
          <w:rFonts w:ascii="Times New Roman" w:hAnsi="Times New Roman"/>
          <w:sz w:val="24"/>
        </w:rPr>
        <w:t xml:space="preserve">Nevertheless, </w:t>
      </w:r>
      <w:r w:rsidRPr="00F62BE5">
        <w:rPr>
          <w:rFonts w:ascii="Times New Roman" w:hAnsi="Times New Roman"/>
          <w:sz w:val="24"/>
        </w:rPr>
        <w:t>EPA and OSHA have separate mandates under the Occupational Safety and Health Act (</w:t>
      </w:r>
      <w:r w:rsidRPr="6C75FE4E">
        <w:rPr>
          <w:rFonts w:ascii="Times New Roman" w:hAnsi="Times New Roman"/>
          <w:sz w:val="24"/>
        </w:rPr>
        <w:t>29 U</w:t>
      </w:r>
      <w:r w:rsidRPr="00F62BE5">
        <w:rPr>
          <w:rFonts w:ascii="Times New Roman" w:hAnsi="Times New Roman"/>
          <w:sz w:val="24"/>
        </w:rPr>
        <w:t>.S.C. 651), the CAA, and the requirements enacted in the CAAA. In the 1990s, both Agencies fulfilled their mandatory duties to promulgate and issue the rules required by CAA sections 112(r)(3)-(5) and 112(r)(7)(B), as well as section 304 of the CAAA. The focus of OSHA’s regulations in the PSM standard is on workplace safety, while EPA’s focus in the RMP regulations has been primarily on minimizing the public impacts of accidental releases through prevention and response. Today’s rule maintains EPA’s focus on minimizing the public impacts of accidental releases even as it also reduces impacts on facilities and workers. As explained throughout the proposal and in this final action, the OSHA PSM standard and EPA RMP regulations are closely aligned in content, policy interpretations, and enforcement.</w:t>
      </w:r>
    </w:p>
    <w:p w:rsidR="00025134" w:rsidRPr="00F62BE5" w:rsidP="00A550EE" w14:paraId="7D360040" w14:textId="3D47204B">
      <w:pPr>
        <w:ind w:left="720"/>
        <w:rPr>
          <w:rFonts w:ascii="Times New Roman" w:hAnsi="Times New Roman"/>
          <w:sz w:val="24"/>
        </w:rPr>
      </w:pPr>
      <w:r w:rsidRPr="00F62BE5">
        <w:rPr>
          <w:rFonts w:ascii="Times New Roman" w:hAnsi="Times New Roman"/>
          <w:sz w:val="24"/>
        </w:rPr>
        <w:t xml:space="preserve">Further, for many years, EPA and OSHA have established a regular meeting to consult with the DOL and coordinate the PSM and RMP programs, including but not limited to interpretation of overlapping regulatory provisions and the development of potential </w:t>
      </w:r>
      <w:r w:rsidRPr="00F62BE5">
        <w:rPr>
          <w:rFonts w:ascii="Times New Roman" w:hAnsi="Times New Roman"/>
          <w:sz w:val="24"/>
        </w:rPr>
        <w:t>amendments to the rules. During several of these regular meetings (including but not limited to meetings on various dates in Appendix A to this document), staff from the agencies discussed the development of the RMP SCCAP Rule and potential issues to be addressed by EPA, and OSHA’s intent to convene an informal stakeholder meeting in October 2022, as it explored potential regulatory amendments.</w:t>
      </w:r>
      <w:bookmarkEnd w:id="16"/>
    </w:p>
    <w:p w:rsidR="52CD95C6" w:rsidP="6C75FE4E" w14:paraId="4282E29F" w14:textId="04CA9106">
      <w:pPr>
        <w:ind w:left="720"/>
        <w:rPr>
          <w:rFonts w:ascii="Times New Roman" w:hAnsi="Times New Roman"/>
          <w:sz w:val="24"/>
        </w:rPr>
      </w:pPr>
      <w:r w:rsidRPr="6C75FE4E">
        <w:rPr>
          <w:rFonts w:ascii="Times New Roman" w:hAnsi="Times New Roman"/>
          <w:sz w:val="24"/>
        </w:rPr>
        <w:t>T</w:t>
      </w:r>
      <w:r w:rsidRPr="6C75FE4E" w:rsidR="31E62885">
        <w:rPr>
          <w:rFonts w:ascii="Times New Roman" w:hAnsi="Times New Roman"/>
          <w:sz w:val="24"/>
        </w:rPr>
        <w:t xml:space="preserve">he RMP SCCAP rule </w:t>
      </w:r>
      <w:r w:rsidRPr="6C75FE4E" w:rsidR="5A9DCC2C">
        <w:rPr>
          <w:rFonts w:ascii="Times New Roman" w:hAnsi="Times New Roman"/>
          <w:sz w:val="24"/>
        </w:rPr>
        <w:t xml:space="preserve">does not </w:t>
      </w:r>
      <w:r w:rsidRPr="6C75FE4E" w:rsidR="2F9FCAFF">
        <w:rPr>
          <w:rFonts w:ascii="Times New Roman" w:hAnsi="Times New Roman"/>
          <w:sz w:val="24"/>
        </w:rPr>
        <w:t>subject additional</w:t>
      </w:r>
      <w:r w:rsidRPr="6C75FE4E" w:rsidR="5A9DCC2C">
        <w:rPr>
          <w:rFonts w:ascii="Times New Roman" w:hAnsi="Times New Roman"/>
          <w:sz w:val="24"/>
        </w:rPr>
        <w:t xml:space="preserve"> chemicals or pulp and paper processes to </w:t>
      </w:r>
      <w:r w:rsidRPr="6C75FE4E" w:rsidR="1E14D4D0">
        <w:rPr>
          <w:rFonts w:ascii="Times New Roman" w:hAnsi="Times New Roman"/>
          <w:sz w:val="24"/>
        </w:rPr>
        <w:t xml:space="preserve">the coverage by the RMP rule. </w:t>
      </w:r>
      <w:r w:rsidRPr="0BD32F40" w:rsidR="778D7908">
        <w:rPr>
          <w:rFonts w:ascii="Times New Roman" w:hAnsi="Times New Roman"/>
          <w:sz w:val="24"/>
        </w:rPr>
        <w:t xml:space="preserve">NAICS 322 is not subject to the new STAA provisions. The only impacts on NAICS 322 </w:t>
      </w:r>
      <w:r w:rsidRPr="44C5F865" w:rsidR="7E740CA5">
        <w:rPr>
          <w:rFonts w:ascii="Times New Roman" w:hAnsi="Times New Roman"/>
          <w:sz w:val="24"/>
        </w:rPr>
        <w:t xml:space="preserve">processes </w:t>
      </w:r>
      <w:r w:rsidRPr="0BD32F40" w:rsidR="778D7908">
        <w:rPr>
          <w:rFonts w:ascii="Times New Roman" w:hAnsi="Times New Roman"/>
          <w:sz w:val="24"/>
        </w:rPr>
        <w:t>would be from provisions that apply genera</w:t>
      </w:r>
      <w:r w:rsidRPr="0BD32F40" w:rsidR="0EBC455B">
        <w:rPr>
          <w:rFonts w:ascii="Times New Roman" w:hAnsi="Times New Roman"/>
          <w:sz w:val="24"/>
        </w:rPr>
        <w:t xml:space="preserve">lly to </w:t>
      </w:r>
      <w:r w:rsidRPr="51D049FF" w:rsidR="72DEE6DE">
        <w:rPr>
          <w:rFonts w:ascii="Times New Roman" w:hAnsi="Times New Roman"/>
          <w:sz w:val="24"/>
        </w:rPr>
        <w:t xml:space="preserve">Program 3 processes. </w:t>
      </w:r>
    </w:p>
    <w:p w:rsidR="00025134" w:rsidRPr="000E3152" w:rsidP="00025134" w14:paraId="1BB49522" w14:textId="77777777">
      <w:pPr>
        <w:rPr>
          <w:rFonts w:ascii="Times New Roman" w:hAnsi="Times New Roman"/>
          <w:i/>
          <w:iCs/>
          <w:sz w:val="24"/>
        </w:rPr>
      </w:pPr>
      <w:r>
        <w:rPr>
          <w:rFonts w:ascii="Times New Roman" w:hAnsi="Times New Roman"/>
          <w:i/>
          <w:iCs/>
          <w:sz w:val="24"/>
        </w:rPr>
        <w:t xml:space="preserve">Other regulatory overlap comments </w:t>
      </w:r>
    </w:p>
    <w:p w:rsidR="00025134" w:rsidRPr="00034CEB" w:rsidP="00025134" w14:paraId="79C9F2D2" w14:textId="74B57702">
      <w:pPr>
        <w:rPr>
          <w:rFonts w:ascii="Times New Roman" w:hAnsi="Times New Roman"/>
          <w:b/>
          <w:sz w:val="24"/>
        </w:rPr>
      </w:pPr>
      <w:r>
        <w:rPr>
          <w:rFonts w:ascii="Times New Roman" w:hAnsi="Times New Roman"/>
          <w:b/>
          <w:bCs/>
          <w:sz w:val="24"/>
        </w:rPr>
        <w:t>Comment 1.4-0</w:t>
      </w:r>
      <w:r w:rsidR="009B53FB">
        <w:rPr>
          <w:rFonts w:ascii="Times New Roman" w:hAnsi="Times New Roman"/>
          <w:b/>
          <w:bCs/>
          <w:sz w:val="24"/>
        </w:rPr>
        <w:t>3</w:t>
      </w:r>
      <w:r>
        <w:rPr>
          <w:rFonts w:ascii="Times New Roman" w:hAnsi="Times New Roman"/>
          <w:b/>
          <w:bCs/>
          <w:sz w:val="24"/>
        </w:rPr>
        <w:t xml:space="preserve">: </w:t>
      </w:r>
      <w:r>
        <w:rPr>
          <w:rFonts w:ascii="Times New Roman" w:hAnsi="Times New Roman"/>
          <w:sz w:val="24"/>
        </w:rPr>
        <w:t>One</w:t>
      </w:r>
      <w:r w:rsidRPr="006F68E9">
        <w:rPr>
          <w:rFonts w:ascii="Times New Roman" w:hAnsi="Times New Roman"/>
          <w:sz w:val="24"/>
        </w:rPr>
        <w:t xml:space="preserve"> commenter noted that EPA’s </w:t>
      </w:r>
      <w:r w:rsidRPr="00AC7608">
        <w:rPr>
          <w:rFonts w:ascii="Times New Roman" w:hAnsi="Times New Roman"/>
          <w:sz w:val="24"/>
        </w:rPr>
        <w:t xml:space="preserve">proposed </w:t>
      </w:r>
      <w:r>
        <w:rPr>
          <w:rFonts w:ascii="Times New Roman" w:hAnsi="Times New Roman"/>
          <w:sz w:val="24"/>
        </w:rPr>
        <w:t>r</w:t>
      </w:r>
      <w:r w:rsidRPr="006F68E9">
        <w:rPr>
          <w:rFonts w:ascii="Times New Roman" w:hAnsi="Times New Roman"/>
          <w:sz w:val="24"/>
        </w:rPr>
        <w:t>ule preamble doesn’t mention significant regulatory programs of the Mine Safety and Health Administration (MSHA) which has a safety program that goes above and beyond what even OSHA requires to provide significant additional protections to mine workers. The commenter expressed support for not including additional protections for MSHA</w:t>
      </w:r>
      <w:r>
        <w:rPr>
          <w:rFonts w:ascii="Times New Roman" w:hAnsi="Times New Roman"/>
          <w:sz w:val="24"/>
        </w:rPr>
        <w:t>-</w:t>
      </w:r>
      <w:r w:rsidRPr="006F68E9">
        <w:rPr>
          <w:rFonts w:ascii="Times New Roman" w:hAnsi="Times New Roman"/>
          <w:sz w:val="24"/>
        </w:rPr>
        <w:t>regulated facilities in EPA regulation (0213).</w:t>
      </w:r>
    </w:p>
    <w:p w:rsidR="00025134" w:rsidRPr="00BB302C" w:rsidP="00025134" w14:paraId="53754857" w14:textId="714952CD">
      <w:pPr>
        <w:rPr>
          <w:rFonts w:ascii="Times New Roman" w:hAnsi="Times New Roman"/>
          <w:sz w:val="24"/>
        </w:rPr>
      </w:pPr>
      <w:r>
        <w:rPr>
          <w:rFonts w:ascii="Times New Roman" w:hAnsi="Times New Roman"/>
          <w:sz w:val="24"/>
        </w:rPr>
        <w:tab/>
      </w:r>
      <w:r w:rsidRPr="00BB302C">
        <w:rPr>
          <w:rFonts w:ascii="Times New Roman" w:hAnsi="Times New Roman"/>
          <w:b/>
          <w:bCs/>
          <w:sz w:val="24"/>
        </w:rPr>
        <w:t>EPA Response:</w:t>
      </w:r>
      <w:r w:rsidRPr="00BB302C" w:rsidR="00BB302C">
        <w:t xml:space="preserve"> </w:t>
      </w:r>
      <w:r w:rsidRPr="00BB302C" w:rsidR="00BB302C">
        <w:rPr>
          <w:rFonts w:ascii="Times New Roman" w:hAnsi="Times New Roman"/>
          <w:sz w:val="24"/>
        </w:rPr>
        <w:t>These comments are outside of the scope of the proposed rule.</w:t>
      </w:r>
    </w:p>
    <w:p w:rsidR="00025134" w:rsidRPr="0051364E" w:rsidP="00025134" w14:paraId="55651ABB" w14:textId="52AF3351">
      <w:pPr>
        <w:rPr>
          <w:rFonts w:ascii="Times New Roman" w:hAnsi="Times New Roman"/>
          <w:b/>
          <w:sz w:val="24"/>
        </w:rPr>
      </w:pPr>
      <w:r>
        <w:rPr>
          <w:rFonts w:ascii="Times New Roman" w:hAnsi="Times New Roman"/>
          <w:b/>
          <w:bCs/>
          <w:sz w:val="24"/>
        </w:rPr>
        <w:t>Comment 1.4-0</w:t>
      </w:r>
      <w:r w:rsidR="009B53FB">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One commenter encouraged EPA to expand its efforts to ensure consistency and alignment of regulatory requirements with other programs including the Safe Drinking Water Act (SDWA) and America’s Water Infrastructure Act (AWIA) to eliminate discrepancies, inconsistencies and ensure the cost of compliance will result in clear and commensurate benefits (0230).</w:t>
      </w:r>
    </w:p>
    <w:p w:rsidR="00B21DFB" w:rsidP="002041A5" w14:paraId="098629CA" w14:textId="7B397E21">
      <w:pPr>
        <w:ind w:left="720"/>
      </w:pPr>
      <w:r w:rsidRPr="00E868B1">
        <w:rPr>
          <w:rFonts w:ascii="Times New Roman" w:hAnsi="Times New Roman"/>
          <w:b/>
          <w:bCs/>
          <w:sz w:val="24"/>
        </w:rPr>
        <w:t>EPA Response:</w:t>
      </w:r>
      <w:r w:rsidRPr="00E868B1" w:rsidR="00E868B1">
        <w:t xml:space="preserve"> </w:t>
      </w:r>
      <w:r w:rsidRPr="000655F3" w:rsidR="000655F3">
        <w:rPr>
          <w:rFonts w:ascii="Times New Roman" w:hAnsi="Times New Roman"/>
          <w:sz w:val="24"/>
        </w:rPr>
        <w:t>The Agency notes</w:t>
      </w:r>
      <w:r w:rsidR="00A17271">
        <w:rPr>
          <w:rFonts w:ascii="Times New Roman" w:hAnsi="Times New Roman"/>
          <w:sz w:val="24"/>
        </w:rPr>
        <w:t xml:space="preserve"> that</w:t>
      </w:r>
      <w:r w:rsidRPr="000655F3" w:rsidR="000655F3">
        <w:rPr>
          <w:rFonts w:ascii="Times New Roman" w:hAnsi="Times New Roman"/>
          <w:sz w:val="24"/>
        </w:rPr>
        <w:t xml:space="preserve"> i</w:t>
      </w:r>
      <w:r w:rsidRPr="000655F3" w:rsidR="007B65CA">
        <w:rPr>
          <w:rFonts w:ascii="Times New Roman" w:hAnsi="Times New Roman"/>
          <w:sz w:val="24"/>
        </w:rPr>
        <w:t xml:space="preserve">t is unclear from the submitted </w:t>
      </w:r>
      <w:r w:rsidRPr="00B35A4E" w:rsidR="00B35A4E">
        <w:rPr>
          <w:rFonts w:ascii="Times New Roman" w:hAnsi="Times New Roman"/>
          <w:sz w:val="24"/>
        </w:rPr>
        <w:t xml:space="preserve">comment </w:t>
      </w:r>
      <w:r w:rsidRPr="000655F3" w:rsidR="009A645F">
        <w:rPr>
          <w:rFonts w:ascii="Times New Roman" w:hAnsi="Times New Roman"/>
          <w:sz w:val="24"/>
        </w:rPr>
        <w:t xml:space="preserve">what </w:t>
      </w:r>
      <w:r w:rsidR="00B35A4E">
        <w:rPr>
          <w:rFonts w:ascii="Times New Roman" w:hAnsi="Times New Roman"/>
          <w:sz w:val="24"/>
        </w:rPr>
        <w:t xml:space="preserve">specific </w:t>
      </w:r>
      <w:r w:rsidRPr="000655F3" w:rsidR="009A645F">
        <w:rPr>
          <w:rFonts w:ascii="Times New Roman" w:hAnsi="Times New Roman"/>
          <w:sz w:val="24"/>
        </w:rPr>
        <w:t>discrepancies and inconsistencies</w:t>
      </w:r>
      <w:r w:rsidRPr="00C06963" w:rsidR="009A645F">
        <w:rPr>
          <w:rFonts w:ascii="Times New Roman" w:hAnsi="Times New Roman"/>
          <w:sz w:val="24"/>
        </w:rPr>
        <w:t xml:space="preserve"> exists that are cause for concer</w:t>
      </w:r>
      <w:r w:rsidR="00B35A4E">
        <w:rPr>
          <w:rFonts w:ascii="Times New Roman" w:hAnsi="Times New Roman"/>
          <w:sz w:val="24"/>
        </w:rPr>
        <w:t>n</w:t>
      </w:r>
      <w:r w:rsidR="00EE463E">
        <w:rPr>
          <w:rFonts w:ascii="Times New Roman" w:hAnsi="Times New Roman"/>
          <w:sz w:val="24"/>
        </w:rPr>
        <w:t xml:space="preserve">. </w:t>
      </w:r>
      <w:r w:rsidR="002B659D">
        <w:rPr>
          <w:rFonts w:ascii="Times New Roman" w:hAnsi="Times New Roman"/>
          <w:sz w:val="24"/>
        </w:rPr>
        <w:t xml:space="preserve">Further, </w:t>
      </w:r>
      <w:r w:rsidRPr="002B659D" w:rsidR="002B659D">
        <w:rPr>
          <w:rFonts w:ascii="Times New Roman" w:hAnsi="Times New Roman"/>
          <w:sz w:val="24"/>
        </w:rPr>
        <w:t xml:space="preserve">this final rule provides prevention program provisions reasonably calculated for </w:t>
      </w:r>
      <w:r w:rsidR="00D46FD3">
        <w:rPr>
          <w:rFonts w:ascii="Times New Roman" w:hAnsi="Times New Roman"/>
          <w:sz w:val="24"/>
        </w:rPr>
        <w:t xml:space="preserve">facilities </w:t>
      </w:r>
      <w:r w:rsidRPr="002B659D" w:rsidR="002B659D">
        <w:rPr>
          <w:rFonts w:ascii="Times New Roman" w:hAnsi="Times New Roman"/>
          <w:sz w:val="24"/>
        </w:rPr>
        <w:t xml:space="preserve">handling dangerous chemicals to prevent potentially catastrophic incidents. </w:t>
      </w:r>
      <w:r w:rsidRPr="00D46FD3" w:rsidR="00D46FD3">
        <w:rPr>
          <w:rFonts w:ascii="Times New Roman" w:hAnsi="Times New Roman"/>
          <w:sz w:val="24"/>
        </w:rPr>
        <w:t xml:space="preserve">Because other EPA program requirements may have other purposes, </w:t>
      </w:r>
      <w:r w:rsidR="00011376">
        <w:rPr>
          <w:rFonts w:ascii="Times New Roman" w:hAnsi="Times New Roman"/>
          <w:sz w:val="24"/>
        </w:rPr>
        <w:t xml:space="preserve">it is not expected </w:t>
      </w:r>
      <w:r w:rsidR="00BB4317">
        <w:rPr>
          <w:rFonts w:ascii="Times New Roman" w:hAnsi="Times New Roman"/>
          <w:sz w:val="24"/>
        </w:rPr>
        <w:t xml:space="preserve">that </w:t>
      </w:r>
      <w:r w:rsidR="00235DE9">
        <w:rPr>
          <w:rFonts w:ascii="Times New Roman" w:hAnsi="Times New Roman"/>
          <w:sz w:val="24"/>
        </w:rPr>
        <w:t xml:space="preserve">provisions </w:t>
      </w:r>
      <w:r w:rsidR="00BB4317">
        <w:rPr>
          <w:rFonts w:ascii="Times New Roman" w:hAnsi="Times New Roman"/>
          <w:sz w:val="24"/>
        </w:rPr>
        <w:t xml:space="preserve">from other EPA programs </w:t>
      </w:r>
      <w:r w:rsidR="00235DE9">
        <w:rPr>
          <w:rFonts w:ascii="Times New Roman" w:hAnsi="Times New Roman"/>
          <w:sz w:val="24"/>
        </w:rPr>
        <w:t xml:space="preserve">will completely align. </w:t>
      </w:r>
      <w:r w:rsidR="00771F1F">
        <w:rPr>
          <w:rFonts w:ascii="Times New Roman" w:hAnsi="Times New Roman"/>
          <w:sz w:val="24"/>
        </w:rPr>
        <w:t xml:space="preserve">Nevertheless, </w:t>
      </w:r>
      <w:r w:rsidRPr="008B17BB" w:rsidR="008B17BB">
        <w:rPr>
          <w:rFonts w:ascii="Times New Roman" w:hAnsi="Times New Roman"/>
          <w:sz w:val="24"/>
        </w:rPr>
        <w:t xml:space="preserve">to reduce administrative burden </w:t>
      </w:r>
      <w:r w:rsidR="00771F1F">
        <w:rPr>
          <w:rFonts w:ascii="Times New Roman" w:hAnsi="Times New Roman"/>
          <w:sz w:val="24"/>
        </w:rPr>
        <w:t>a</w:t>
      </w:r>
      <w:r w:rsidRPr="00D46FD3" w:rsidR="00D46FD3">
        <w:rPr>
          <w:rFonts w:ascii="Times New Roman" w:hAnsi="Times New Roman"/>
          <w:sz w:val="24"/>
        </w:rPr>
        <w:t xml:space="preserve"> facility is welcome to augment </w:t>
      </w:r>
      <w:r w:rsidR="00A54AC0">
        <w:rPr>
          <w:rFonts w:ascii="Times New Roman" w:hAnsi="Times New Roman"/>
          <w:sz w:val="24"/>
        </w:rPr>
        <w:t>compliance with other similar programs to also comply with RMP</w:t>
      </w:r>
      <w:r w:rsidR="008B17BB">
        <w:rPr>
          <w:rFonts w:ascii="Times New Roman" w:hAnsi="Times New Roman"/>
          <w:sz w:val="24"/>
        </w:rPr>
        <w:t xml:space="preserve">. </w:t>
      </w:r>
    </w:p>
    <w:p w:rsidR="00025134" w:rsidRPr="0086493B" w:rsidP="00025134" w14:paraId="1FC81514" w14:textId="45AE1954">
      <w:pPr>
        <w:rPr>
          <w:rFonts w:ascii="Times New Roman" w:hAnsi="Times New Roman"/>
          <w:b/>
          <w:sz w:val="24"/>
        </w:rPr>
      </w:pPr>
      <w:r>
        <w:rPr>
          <w:rFonts w:ascii="Times New Roman" w:hAnsi="Times New Roman"/>
          <w:b/>
          <w:bCs/>
          <w:sz w:val="24"/>
        </w:rPr>
        <w:t>Comment 1.4-0</w:t>
      </w:r>
      <w:r w:rsidR="009B53FB">
        <w:rPr>
          <w:rFonts w:ascii="Times New Roman" w:hAnsi="Times New Roman"/>
          <w:b/>
          <w:bCs/>
          <w:sz w:val="24"/>
        </w:rPr>
        <w:t>5</w:t>
      </w:r>
      <w:r>
        <w:rPr>
          <w:rFonts w:ascii="Times New Roman" w:hAnsi="Times New Roman"/>
          <w:b/>
          <w:bCs/>
          <w:sz w:val="24"/>
        </w:rPr>
        <w:t xml:space="preserve">: </w:t>
      </w:r>
      <w:r w:rsidRPr="006F68E9">
        <w:rPr>
          <w:rFonts w:ascii="Times New Roman" w:hAnsi="Times New Roman"/>
          <w:sz w:val="24"/>
        </w:rPr>
        <w:t>Several commenters recommended that EPA amend 40 CFR § 68.215 so Title V air permits assure full RMP compliance to ensure that people living near RMP facilities that are also major sources of air pollution receive the full benefit of the Title V Clean Air Act (CAA) operating permit process (0270, 0409, 0413, 0219, 0264, 0456, 0460).</w:t>
      </w:r>
      <w:r>
        <w:rPr>
          <w:rFonts w:ascii="Times New Roman" w:hAnsi="Times New Roman"/>
          <w:sz w:val="24"/>
        </w:rPr>
        <w:t xml:space="preserve"> </w:t>
      </w:r>
      <w:r w:rsidRPr="006F68E9">
        <w:rPr>
          <w:rFonts w:ascii="Times New Roman" w:hAnsi="Times New Roman"/>
          <w:sz w:val="24"/>
        </w:rPr>
        <w:t>A couple of commenters stated that such an action would increase enforceability, corrective action and accountability and assure full RMP compliance (0409, 0460). One commenter suggested that EPA simply include the monitoring and reporting that EPA adds in the new RMP rule as terms and conditions in a permit. The commenter noted that doing so would retain EPA’s authority to review and determine whether to object to a permit for failure to incorporate the RMP rule and plan (0456).</w:t>
      </w:r>
    </w:p>
    <w:p w:rsidR="00025134" w:rsidRPr="006F68E9" w:rsidP="00025134" w14:paraId="59DD6E31" w14:textId="77777777">
      <w:pPr>
        <w:rPr>
          <w:rFonts w:ascii="Times New Roman" w:hAnsi="Times New Roman"/>
          <w:sz w:val="24"/>
        </w:rPr>
      </w:pPr>
      <w:r>
        <w:rPr>
          <w:rFonts w:ascii="Times New Roman" w:hAnsi="Times New Roman"/>
          <w:sz w:val="24"/>
        </w:rPr>
        <w:t xml:space="preserve">Other </w:t>
      </w:r>
      <w:r w:rsidRPr="006F68E9">
        <w:rPr>
          <w:rFonts w:ascii="Times New Roman" w:hAnsi="Times New Roman"/>
          <w:sz w:val="24"/>
        </w:rPr>
        <w:t>commenter</w:t>
      </w:r>
      <w:r>
        <w:rPr>
          <w:rFonts w:ascii="Times New Roman" w:hAnsi="Times New Roman"/>
          <w:sz w:val="24"/>
        </w:rPr>
        <w:t>s</w:t>
      </w:r>
      <w:r w:rsidRPr="006F68E9">
        <w:rPr>
          <w:rFonts w:ascii="Times New Roman" w:hAnsi="Times New Roman"/>
          <w:sz w:val="24"/>
        </w:rPr>
        <w:t xml:space="preserve"> stated that prompt implementation and compliance design should be built into new rules so that air permits for major sources regulated by the RMP must include safety plans and incident reports (0413</w:t>
      </w:r>
      <w:r>
        <w:rPr>
          <w:rFonts w:ascii="Times New Roman" w:hAnsi="Times New Roman"/>
          <w:sz w:val="24"/>
        </w:rPr>
        <w:t xml:space="preserve">, </w:t>
      </w:r>
      <w:r w:rsidRPr="006F68E9">
        <w:rPr>
          <w:rFonts w:ascii="Times New Roman" w:hAnsi="Times New Roman"/>
          <w:sz w:val="24"/>
        </w:rPr>
        <w:t>0208).</w:t>
      </w:r>
      <w:r>
        <w:rPr>
          <w:rFonts w:ascii="Times New Roman" w:hAnsi="Times New Roman"/>
          <w:sz w:val="24"/>
        </w:rPr>
        <w:t xml:space="preserve"> </w:t>
      </w:r>
      <w:r w:rsidRPr="006F68E9">
        <w:rPr>
          <w:rFonts w:ascii="Times New Roman" w:hAnsi="Times New Roman"/>
          <w:sz w:val="24"/>
        </w:rPr>
        <w:t xml:space="preserve">Some commenters asked EPA to assure CAA Title V implementation of the RMP occurs rather than treat the RMP program as less important than other applicable clean air requirements, by revising 40 CFR § 68.215 so that permits for major </w:t>
      </w:r>
      <w:r w:rsidRPr="006F68E9">
        <w:rPr>
          <w:rFonts w:ascii="Times New Roman" w:hAnsi="Times New Roman"/>
          <w:sz w:val="24"/>
        </w:rPr>
        <w:t xml:space="preserve">air pollution sources that are also RMP facilities have sufficient terms to assure compliance with the RMP rule, including adequate monitoring and reporting requirements (0219, 0270, 0456, 0460). </w:t>
      </w:r>
    </w:p>
    <w:p w:rsidR="00025134" w:rsidRPr="006F68E9" w:rsidP="00025134" w14:paraId="1ED9240C" w14:textId="77777777">
      <w:pPr>
        <w:rPr>
          <w:rFonts w:ascii="Times New Roman" w:hAnsi="Times New Roman"/>
          <w:sz w:val="24"/>
        </w:rPr>
      </w:pPr>
      <w:r w:rsidRPr="006F68E9">
        <w:rPr>
          <w:rFonts w:ascii="Times New Roman" w:hAnsi="Times New Roman"/>
          <w:sz w:val="24"/>
        </w:rPr>
        <w:t>A couple of commenters stated that fully incorporating the RMP requirements under Title V would make the RMP requirements more understandable and more enforceable by community members and local governments by allowing community members to comment on and seek an EPA objection if the RMP was not fully implemented in the permit. Also, the commenters noted that including the RMP fully in Title V permits would give air permitting authorities more information and ability to assist with oversight of compliance, including by adding additional monitoring or reporting where there is need to do so to assure compliance and it would also allow air permitting authorities to simply implement the RMP rule and plan like other EPA clean air rules, and state implementation plans without adding any requirements if not needed (0456, 0460). One of the commenters said that incorporating RMP requirements under Title V would give States, local governments, workers, and community members the ability to enforce the RMP rules (0460).</w:t>
      </w:r>
    </w:p>
    <w:p w:rsidR="00025134" w:rsidRPr="006F68E9" w:rsidP="00025134" w14:paraId="0B489676" w14:textId="77777777">
      <w:pPr>
        <w:rPr>
          <w:rFonts w:ascii="Times New Roman" w:hAnsi="Times New Roman"/>
          <w:sz w:val="24"/>
        </w:rPr>
      </w:pPr>
      <w:r>
        <w:rPr>
          <w:rFonts w:ascii="Times New Roman" w:hAnsi="Times New Roman"/>
          <w:sz w:val="24"/>
        </w:rPr>
        <w:t>O</w:t>
      </w:r>
      <w:r w:rsidRPr="006F68E9">
        <w:rPr>
          <w:rFonts w:ascii="Times New Roman" w:hAnsi="Times New Roman"/>
          <w:sz w:val="24"/>
        </w:rPr>
        <w:t xml:space="preserve">ne commenter </w:t>
      </w:r>
      <w:r>
        <w:rPr>
          <w:rFonts w:ascii="Times New Roman" w:hAnsi="Times New Roman"/>
          <w:sz w:val="24"/>
        </w:rPr>
        <w:t>stated that, g</w:t>
      </w:r>
      <w:r w:rsidRPr="006F68E9">
        <w:rPr>
          <w:rFonts w:ascii="Times New Roman" w:hAnsi="Times New Roman"/>
          <w:sz w:val="24"/>
        </w:rPr>
        <w:t xml:space="preserve">iven the significant problems under the existing RMP rule and the need for stronger compliance assurance to be built into the rules, </w:t>
      </w:r>
      <w:r>
        <w:rPr>
          <w:rFonts w:ascii="Times New Roman" w:hAnsi="Times New Roman"/>
          <w:sz w:val="24"/>
        </w:rPr>
        <w:t>the</w:t>
      </w:r>
      <w:r w:rsidRPr="006F68E9">
        <w:rPr>
          <w:rFonts w:ascii="Times New Roman" w:hAnsi="Times New Roman"/>
          <w:sz w:val="24"/>
        </w:rPr>
        <w:t xml:space="preserve"> commenter urged EPA to reevaluate the old permitting rule (40 CFR § 68.215) and recognize that stronger implementation is needed under Title V. The commenter suggested a tailored approach to strengthen compliance at some of the most hazardous RMP facilities that are also major air sources subject to Title V (about 1,891 in the May 2021 RMP Database). The commenter added that it would apply to the industry sectors with the highest accident rates, e.g., petroleum refineries, chemical manufacturers, and pulp and paper mills – most of which are major air sources subject to Title V. The commenter asserted making this change would advance the prevention objective of § 112(r) and the goal of making the Title V permit the primary CAA blueprint or unified compliance guide for all sources, state permitting authorities, and the public. Without this change, the commenter said, the RMP will continue to be a neglected, harder to enforce, lower compliance program – which is directly contrary to the goal of CAA § 112(r) (0460).</w:t>
      </w:r>
    </w:p>
    <w:p w:rsidR="00025134" w:rsidRPr="009B081E" w:rsidP="00025134" w14:paraId="7AC0E5E2" w14:textId="1853E646">
      <w:pPr>
        <w:rPr>
          <w:rFonts w:ascii="Times New Roman" w:hAnsi="Times New Roman"/>
          <w:b/>
          <w:bCs/>
          <w:sz w:val="24"/>
        </w:rPr>
      </w:pPr>
      <w:r>
        <w:rPr>
          <w:rFonts w:ascii="Times New Roman" w:hAnsi="Times New Roman"/>
          <w:sz w:val="24"/>
        </w:rPr>
        <w:tab/>
      </w:r>
      <w:r w:rsidRPr="009B081E">
        <w:rPr>
          <w:rFonts w:ascii="Times New Roman" w:hAnsi="Times New Roman"/>
          <w:b/>
          <w:bCs/>
          <w:sz w:val="24"/>
        </w:rPr>
        <w:t>EPA Response:</w:t>
      </w:r>
      <w:r w:rsidRPr="00422A08" w:rsidR="00422A08">
        <w:t xml:space="preserve"> </w:t>
      </w:r>
      <w:r w:rsidRPr="009B081E" w:rsidR="009B081E">
        <w:rPr>
          <w:rFonts w:ascii="Times New Roman" w:hAnsi="Times New Roman"/>
          <w:sz w:val="24"/>
        </w:rPr>
        <w:t>These comments are outside of the scope of the proposed rule.</w:t>
      </w:r>
    </w:p>
    <w:p w:rsidR="00025134" w:rsidRPr="00DE21D0" w:rsidP="00025134" w14:paraId="55401812" w14:textId="2DCFC5B8">
      <w:pPr>
        <w:rPr>
          <w:rFonts w:ascii="Times New Roman" w:hAnsi="Times New Roman"/>
          <w:b/>
          <w:bCs/>
          <w:sz w:val="24"/>
        </w:rPr>
      </w:pPr>
      <w:r w:rsidRPr="00DB24AC">
        <w:rPr>
          <w:rFonts w:ascii="Times New Roman" w:hAnsi="Times New Roman"/>
          <w:b/>
          <w:bCs/>
          <w:sz w:val="24"/>
        </w:rPr>
        <w:t>Comment</w:t>
      </w:r>
      <w:r>
        <w:rPr>
          <w:rFonts w:ascii="Times New Roman" w:hAnsi="Times New Roman"/>
          <w:b/>
          <w:bCs/>
          <w:sz w:val="24"/>
        </w:rPr>
        <w:t xml:space="preserve"> 1.4-0</w:t>
      </w:r>
      <w:r w:rsidR="009B53FB">
        <w:rPr>
          <w:rFonts w:ascii="Times New Roman" w:hAnsi="Times New Roman"/>
          <w:b/>
          <w:bCs/>
          <w:sz w:val="24"/>
        </w:rPr>
        <w:t>6</w:t>
      </w:r>
      <w:r w:rsidRPr="00DB24AC">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w:t>
      </w:r>
      <w:r>
        <w:rPr>
          <w:rFonts w:ascii="Times New Roman" w:hAnsi="Times New Roman"/>
          <w:sz w:val="24"/>
        </w:rPr>
        <w:t>specifically stated</w:t>
      </w:r>
      <w:r w:rsidRPr="006F68E9">
        <w:rPr>
          <w:rFonts w:ascii="Times New Roman" w:hAnsi="Times New Roman"/>
          <w:sz w:val="24"/>
        </w:rPr>
        <w:t xml:space="preserve"> that while they support EPA efforts to improve process safety at regulated facilities,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conflicts with New Jersey regulations </w:t>
      </w:r>
      <w:r w:rsidR="00C31426">
        <w:rPr>
          <w:rFonts w:ascii="Times New Roman" w:hAnsi="Times New Roman"/>
          <w:sz w:val="24"/>
        </w:rPr>
        <w:t>in</w:t>
      </w:r>
      <w:r w:rsidR="0079578A">
        <w:rPr>
          <w:rFonts w:ascii="Times New Roman" w:hAnsi="Times New Roman"/>
          <w:sz w:val="24"/>
        </w:rPr>
        <w:t xml:space="preserve"> some areas. </w:t>
      </w:r>
      <w:r w:rsidRPr="006F68E9">
        <w:rPr>
          <w:rFonts w:ascii="Times New Roman" w:hAnsi="Times New Roman"/>
          <w:sz w:val="24"/>
        </w:rPr>
        <w:t>(0185).</w:t>
      </w:r>
    </w:p>
    <w:p w:rsidR="00813BDA" w:rsidRPr="00C76246" w:rsidP="00813BDA" w14:paraId="48CA0BDC" w14:textId="5C3F7C16">
      <w:pPr>
        <w:ind w:left="720"/>
        <w:rPr>
          <w:rFonts w:ascii="Times New Roman" w:hAnsi="Times New Roman"/>
          <w:sz w:val="24"/>
        </w:rPr>
      </w:pPr>
      <w:r w:rsidRPr="00C76246">
        <w:rPr>
          <w:rFonts w:ascii="Times New Roman" w:hAnsi="Times New Roman"/>
          <w:b/>
          <w:bCs/>
          <w:sz w:val="24"/>
        </w:rPr>
        <w:t>EPA Response:</w:t>
      </w:r>
      <w:r w:rsidRPr="00C76246">
        <w:rPr>
          <w:rFonts w:ascii="Times New Roman" w:hAnsi="Times New Roman"/>
          <w:sz w:val="24"/>
        </w:rPr>
        <w:t xml:space="preserve"> </w:t>
      </w:r>
      <w:bookmarkStart w:id="17" w:name="_Hlk148610387"/>
      <w:r w:rsidRPr="0021199C" w:rsidR="0021199C">
        <w:rPr>
          <w:rFonts w:ascii="Times New Roman" w:hAnsi="Times New Roman"/>
          <w:sz w:val="24"/>
        </w:rPr>
        <w:t>When developing this rulemaking, EPA had the authority to include multiple factors when determining what is reasonable, such as frequency of RMP accidents or proximity to both nearby communities and other RMP facilities that could, as a result, make the communities and other facilities be more susceptible when it comes to being exposed to a worst-case scenario.</w:t>
      </w:r>
      <w:bookmarkEnd w:id="17"/>
      <w:r w:rsidR="0021199C">
        <w:rPr>
          <w:rFonts w:ascii="Times New Roman" w:hAnsi="Times New Roman"/>
          <w:sz w:val="24"/>
        </w:rPr>
        <w:t xml:space="preserve"> </w:t>
      </w:r>
      <w:r w:rsidRPr="00C76246">
        <w:rPr>
          <w:rFonts w:ascii="Times New Roman" w:hAnsi="Times New Roman"/>
          <w:sz w:val="24"/>
        </w:rPr>
        <w:t>EPA acknowledges that certain aspects of the final rule’s requirements may</w:t>
      </w:r>
      <w:r w:rsidR="00FA20D0">
        <w:rPr>
          <w:rFonts w:ascii="Times New Roman" w:hAnsi="Times New Roman"/>
          <w:sz w:val="24"/>
        </w:rPr>
        <w:t xml:space="preserve"> or may not</w:t>
      </w:r>
      <w:r w:rsidRPr="00C76246">
        <w:rPr>
          <w:rFonts w:ascii="Times New Roman" w:hAnsi="Times New Roman"/>
          <w:sz w:val="24"/>
        </w:rPr>
        <w:t xml:space="preserve"> appear in other regulations that cover limited subsets of regulated facilities</w:t>
      </w:r>
      <w:r w:rsidR="00477A76">
        <w:rPr>
          <w:rFonts w:ascii="Times New Roman" w:hAnsi="Times New Roman"/>
          <w:sz w:val="24"/>
        </w:rPr>
        <w:t xml:space="preserve">. </w:t>
      </w:r>
    </w:p>
    <w:p w:rsidR="00025134" w:rsidRPr="006F68E9" w:rsidP="000D6E09" w14:paraId="67CD8C52" w14:textId="77777777">
      <w:pPr>
        <w:pStyle w:val="Heading2"/>
        <w:spacing w:before="120"/>
        <w:rPr>
          <w:rFonts w:ascii="Times New Roman" w:hAnsi="Times New Roman" w:cs="Times New Roman"/>
          <w:b/>
          <w:bCs/>
          <w:color w:val="auto"/>
          <w:sz w:val="24"/>
          <w:szCs w:val="24"/>
        </w:rPr>
      </w:pPr>
      <w:bookmarkStart w:id="18" w:name="_Toc146879975"/>
      <w:bookmarkStart w:id="19" w:name="_Toc153373769"/>
      <w:r w:rsidRPr="006F68E9">
        <w:rPr>
          <w:rFonts w:ascii="Times New Roman" w:hAnsi="Times New Roman" w:cs="Times New Roman"/>
          <w:b/>
          <w:bCs/>
          <w:color w:val="auto"/>
          <w:sz w:val="24"/>
          <w:szCs w:val="24"/>
        </w:rPr>
        <w:t xml:space="preserve">General </w:t>
      </w:r>
      <w:r>
        <w:rPr>
          <w:rFonts w:ascii="Times New Roman" w:hAnsi="Times New Roman" w:cs="Times New Roman"/>
          <w:b/>
          <w:bCs/>
          <w:color w:val="auto"/>
          <w:sz w:val="24"/>
          <w:szCs w:val="24"/>
        </w:rPr>
        <w:t>a</w:t>
      </w:r>
      <w:r w:rsidRPr="006F68E9">
        <w:rPr>
          <w:rFonts w:ascii="Times New Roman" w:hAnsi="Times New Roman" w:cs="Times New Roman"/>
          <w:b/>
          <w:bCs/>
          <w:color w:val="auto"/>
          <w:sz w:val="24"/>
          <w:szCs w:val="24"/>
        </w:rPr>
        <w:t>pplicability</w:t>
      </w:r>
      <w:bookmarkEnd w:id="18"/>
      <w:bookmarkEnd w:id="19"/>
    </w:p>
    <w:p w:rsidR="00025134" w:rsidRPr="00590D63" w:rsidP="00025134" w14:paraId="538D1FD9" w14:textId="77777777">
      <w:pPr>
        <w:rPr>
          <w:rFonts w:ascii="Times New Roman" w:hAnsi="Times New Roman"/>
          <w:i/>
          <w:iCs/>
          <w:sz w:val="24"/>
        </w:rPr>
      </w:pPr>
      <w:r>
        <w:rPr>
          <w:rFonts w:ascii="Times New Roman" w:hAnsi="Times New Roman"/>
          <w:i/>
          <w:iCs/>
          <w:sz w:val="24"/>
        </w:rPr>
        <w:t xml:space="preserve">General applicability comments </w:t>
      </w:r>
    </w:p>
    <w:p w:rsidR="00025134" w:rsidRPr="00380CD9" w:rsidP="00025134" w14:paraId="680B9D8C" w14:textId="47ECCDE3">
      <w:pPr>
        <w:rPr>
          <w:rFonts w:ascii="Times New Roman" w:hAnsi="Times New Roman"/>
          <w:b/>
          <w:bCs/>
          <w:sz w:val="24"/>
        </w:rPr>
      </w:pPr>
      <w:r w:rsidRPr="004E0535">
        <w:rPr>
          <w:rFonts w:ascii="Times New Roman" w:hAnsi="Times New Roman"/>
          <w:b/>
          <w:bCs/>
          <w:sz w:val="24"/>
        </w:rPr>
        <w:t>Comment</w:t>
      </w:r>
      <w:r>
        <w:rPr>
          <w:rFonts w:ascii="Times New Roman" w:hAnsi="Times New Roman"/>
          <w:b/>
          <w:bCs/>
          <w:sz w:val="24"/>
        </w:rPr>
        <w:t xml:space="preserve"> 1.5-01</w:t>
      </w:r>
      <w:r w:rsidRPr="004E0535">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said that applicability of the different Program Levels in RMP regulations should be based on four factors: product, threshold quantity, type of process the </w:t>
      </w:r>
      <w:r w:rsidRPr="006F68E9">
        <w:rPr>
          <w:rFonts w:ascii="Times New Roman" w:hAnsi="Times New Roman"/>
          <w:sz w:val="24"/>
        </w:rPr>
        <w:t xml:space="preserve">facility does and whether it is near population centers. </w:t>
      </w:r>
      <w:r>
        <w:rPr>
          <w:rFonts w:ascii="Times New Roman" w:hAnsi="Times New Roman"/>
          <w:sz w:val="24"/>
        </w:rPr>
        <w:t xml:space="preserve">The </w:t>
      </w:r>
      <w:r w:rsidRPr="006F68E9">
        <w:rPr>
          <w:rFonts w:ascii="Times New Roman" w:hAnsi="Times New Roman"/>
          <w:sz w:val="24"/>
        </w:rPr>
        <w:t>commenter urged EPA to focus on the location of the facility noting that facilities located closer to more populated areas storing an RMP regulated product above the TQ are likely to pose a greater risk of causing death, injury, or serious adverse effect, while facilities located in more rural areas with lower populations are likely to pose a lower risk (0227).</w:t>
      </w:r>
    </w:p>
    <w:p w:rsidR="00FA6A9F" w:rsidRPr="003C42F0" w:rsidP="005D0CC5" w14:paraId="4C9C47DC" w14:textId="0890D55D">
      <w:pPr>
        <w:ind w:left="720"/>
        <w:rPr>
          <w:rFonts w:ascii="Times New Roman" w:hAnsi="Times New Roman"/>
          <w:sz w:val="24"/>
        </w:rPr>
      </w:pPr>
      <w:r w:rsidRPr="003C42F0">
        <w:rPr>
          <w:rFonts w:ascii="Times New Roman" w:hAnsi="Times New Roman"/>
          <w:b/>
          <w:bCs/>
          <w:sz w:val="24"/>
        </w:rPr>
        <w:t>EPA Response:</w:t>
      </w:r>
      <w:r w:rsidR="009457FF">
        <w:rPr>
          <w:rFonts w:ascii="Times New Roman" w:hAnsi="Times New Roman"/>
          <w:b/>
          <w:bCs/>
          <w:sz w:val="24"/>
        </w:rPr>
        <w:t xml:space="preserve"> </w:t>
      </w:r>
      <w:r w:rsidRPr="003C42F0" w:rsidR="005D0CC5">
        <w:rPr>
          <w:rFonts w:ascii="Times New Roman" w:hAnsi="Times New Roman"/>
          <w:sz w:val="24"/>
        </w:rPr>
        <w:t>The</w:t>
      </w:r>
      <w:r w:rsidRPr="003C42F0" w:rsidR="00217237">
        <w:rPr>
          <w:rFonts w:ascii="Times New Roman" w:hAnsi="Times New Roman"/>
          <w:sz w:val="24"/>
        </w:rPr>
        <w:t xml:space="preserve"> current RMP</w:t>
      </w:r>
      <w:r w:rsidRPr="003C42F0" w:rsidR="005D0CC5">
        <w:rPr>
          <w:rFonts w:ascii="Times New Roman" w:hAnsi="Times New Roman"/>
          <w:sz w:val="24"/>
        </w:rPr>
        <w:t xml:space="preserve"> rule defines three Program levels based on processes’ relative potential for public impacts and the level of effort needed to prevent accidents. </w:t>
      </w:r>
      <w:r w:rsidRPr="003C42F0" w:rsidR="00CA0D93">
        <w:rPr>
          <w:rFonts w:ascii="Times New Roman" w:hAnsi="Times New Roman"/>
          <w:sz w:val="24"/>
        </w:rPr>
        <w:t>EPA believes these factors the commentor suggests are</w:t>
      </w:r>
      <w:r w:rsidRPr="003C42F0" w:rsidR="00656AC0">
        <w:rPr>
          <w:rFonts w:ascii="Times New Roman" w:hAnsi="Times New Roman"/>
          <w:sz w:val="24"/>
        </w:rPr>
        <w:t xml:space="preserve"> </w:t>
      </w:r>
      <w:r w:rsidRPr="026497DD" w:rsidR="5A8B25B4">
        <w:rPr>
          <w:rFonts w:ascii="Times New Roman" w:hAnsi="Times New Roman"/>
          <w:sz w:val="24"/>
        </w:rPr>
        <w:t xml:space="preserve">to an </w:t>
      </w:r>
      <w:r w:rsidRPr="003C42F0" w:rsidR="00656AC0">
        <w:rPr>
          <w:rFonts w:ascii="Times New Roman" w:hAnsi="Times New Roman"/>
          <w:sz w:val="24"/>
        </w:rPr>
        <w:t xml:space="preserve">extent </w:t>
      </w:r>
      <w:r w:rsidRPr="003C42F0" w:rsidR="00402989">
        <w:rPr>
          <w:rFonts w:ascii="Times New Roman" w:hAnsi="Times New Roman"/>
          <w:sz w:val="24"/>
        </w:rPr>
        <w:t>embedded</w:t>
      </w:r>
      <w:r w:rsidRPr="003C42F0" w:rsidR="005B3F36">
        <w:rPr>
          <w:rFonts w:ascii="Times New Roman" w:hAnsi="Times New Roman"/>
          <w:sz w:val="24"/>
        </w:rPr>
        <w:t xml:space="preserve"> in how E</w:t>
      </w:r>
      <w:r w:rsidRPr="003C42F0" w:rsidR="0018298F">
        <w:rPr>
          <w:rFonts w:ascii="Times New Roman" w:hAnsi="Times New Roman"/>
          <w:sz w:val="24"/>
        </w:rPr>
        <w:t>P</w:t>
      </w:r>
      <w:r w:rsidRPr="003C42F0" w:rsidR="005B3F36">
        <w:rPr>
          <w:rFonts w:ascii="Times New Roman" w:hAnsi="Times New Roman"/>
          <w:sz w:val="24"/>
        </w:rPr>
        <w:t xml:space="preserve">A currently defines Program Levels. </w:t>
      </w:r>
      <w:r w:rsidRPr="003C42F0" w:rsidR="00A73BA3">
        <w:rPr>
          <w:rFonts w:ascii="Times New Roman" w:hAnsi="Times New Roman"/>
          <w:sz w:val="24"/>
        </w:rPr>
        <w:t xml:space="preserve">For more details see, </w:t>
      </w:r>
      <w:r w:rsidRPr="003C42F0" w:rsidR="00E2276F">
        <w:rPr>
          <w:rFonts w:ascii="Times New Roman" w:hAnsi="Times New Roman"/>
          <w:sz w:val="24"/>
        </w:rPr>
        <w:t>40 CFR 68</w:t>
      </w:r>
      <w:r w:rsidRPr="003C42F0" w:rsidR="003C42F0">
        <w:rPr>
          <w:rFonts w:ascii="Times New Roman" w:hAnsi="Times New Roman"/>
          <w:sz w:val="24"/>
        </w:rPr>
        <w:t xml:space="preserve">.10(g)-(i). </w:t>
      </w:r>
      <w:r w:rsidRPr="003C42F0" w:rsidR="006A6B09">
        <w:rPr>
          <w:rFonts w:ascii="Times New Roman" w:hAnsi="Times New Roman"/>
          <w:sz w:val="24"/>
        </w:rPr>
        <w:t xml:space="preserve"> </w:t>
      </w:r>
    </w:p>
    <w:p w:rsidR="00740CCB" w:rsidP="000D6E09" w14:paraId="084A90D5" w14:textId="79EDA178">
      <w:pPr>
        <w:pStyle w:val="BodyText"/>
        <w:spacing w:before="120" w:after="120" w:line="240" w:lineRule="auto"/>
        <w:ind w:left="720" w:firstLine="0"/>
      </w:pPr>
      <w:r w:rsidRPr="005B1B02">
        <w:t>Further</w:t>
      </w:r>
      <w:r w:rsidR="00A92851">
        <w:t>,</w:t>
      </w:r>
      <w:r w:rsidRPr="005B1B02">
        <w:t xml:space="preserve"> </w:t>
      </w:r>
      <w:r w:rsidRPr="005B1B02" w:rsidR="006B3B7A">
        <w:t xml:space="preserve">in this final rule, EPA is emphasizing the regulatory requirement to evaluate hazards associated with stationary source siting. </w:t>
      </w:r>
      <w:r w:rsidRPr="005B1B02" w:rsidR="003B43F6">
        <w:t>EPA agrees that amending the regulatory text to make more explicit the requirement that process hazard evaluations for both Program 2 (hazard review) and Program 3 (PHA) include in the siting evaluation the placement of processes, equipment, buildings, and hazards posed by proximate facilities, and accident release consequences posed by proximity to the public, will help ensure the protection of human health and the environment. As discussed in the proposal, siting of processes and equipment within a stationary source can impact the surrounding community, not only through the proximity of the accidental release to offsite receptors adjacent to the facility boundary (e.g., people, infrastructure, environmental resources), but also through increasing the likelihood of a secondary ‘‘knock-on’’ release by compromising nearby processes.</w:t>
      </w:r>
      <w:r w:rsidRPr="00740CCB">
        <w:t xml:space="preserve"> </w:t>
      </w:r>
      <w:r>
        <w:t xml:space="preserve">Accidental releases caused by a release or accident at a second process or facility is commonly referred to as a “knock-on” release or incident. Knock-on effects are a well-recognized </w:t>
      </w:r>
      <w:r w:rsidR="006528BF">
        <w:t xml:space="preserve">industry </w:t>
      </w:r>
      <w:r>
        <w:t>release scenario.</w:t>
      </w:r>
      <w:r>
        <w:rPr>
          <w:rStyle w:val="FootnoteReference"/>
        </w:rPr>
        <w:footnoteReference w:id="9"/>
      </w:r>
    </w:p>
    <w:p w:rsidR="00025134" w:rsidP="00025134" w14:paraId="6785B8EF" w14:textId="77777777">
      <w:pPr>
        <w:rPr>
          <w:rFonts w:ascii="Times New Roman" w:hAnsi="Times New Roman"/>
          <w:i/>
          <w:iCs/>
          <w:sz w:val="24"/>
        </w:rPr>
      </w:pPr>
      <w:r>
        <w:rPr>
          <w:rFonts w:ascii="Times New Roman" w:hAnsi="Times New Roman"/>
          <w:i/>
          <w:iCs/>
          <w:sz w:val="24"/>
        </w:rPr>
        <w:t>Comments on the applicability of the proposed rule to specific industries</w:t>
      </w:r>
    </w:p>
    <w:p w:rsidR="00025134" w:rsidRPr="00605C07" w:rsidP="00025134" w14:paraId="101488D0" w14:textId="77777777">
      <w:pPr>
        <w:rPr>
          <w:rFonts w:ascii="Times New Roman" w:hAnsi="Times New Roman"/>
          <w:sz w:val="24"/>
        </w:rPr>
      </w:pPr>
      <w:r>
        <w:rPr>
          <w:rFonts w:ascii="Times New Roman" w:hAnsi="Times New Roman"/>
          <w:b/>
          <w:bCs/>
          <w:sz w:val="24"/>
        </w:rPr>
        <w:t xml:space="preserve">Comment 1.5-02: </w:t>
      </w:r>
      <w:r w:rsidRPr="006F68E9">
        <w:rPr>
          <w:rFonts w:ascii="Times New Roman" w:hAnsi="Times New Roman"/>
          <w:sz w:val="24"/>
        </w:rPr>
        <w:t>One commenter</w:t>
      </w:r>
      <w:r>
        <w:rPr>
          <w:rFonts w:ascii="Times New Roman" w:hAnsi="Times New Roman"/>
          <w:sz w:val="24"/>
        </w:rPr>
        <w:t xml:space="preserve"> supported the current </w:t>
      </w:r>
      <w:r w:rsidRPr="006F68E9">
        <w:rPr>
          <w:rFonts w:ascii="Times New Roman" w:hAnsi="Times New Roman"/>
          <w:sz w:val="24"/>
        </w:rPr>
        <w:t xml:space="preserve">criteria used by EPA to determine the Program Level for certain processes and facilities </w:t>
      </w:r>
      <w:r>
        <w:rPr>
          <w:rFonts w:ascii="Times New Roman" w:hAnsi="Times New Roman"/>
          <w:sz w:val="24"/>
        </w:rPr>
        <w:t>and the existing P</w:t>
      </w:r>
      <w:r w:rsidRPr="006F68E9">
        <w:rPr>
          <w:rFonts w:ascii="Times New Roman" w:hAnsi="Times New Roman"/>
          <w:sz w:val="24"/>
        </w:rPr>
        <w:t>rogram Level 2 requirements for agricultural retail facilities as it usually invokes the storage and handling of a single product</w:t>
      </w:r>
      <w:r>
        <w:rPr>
          <w:rFonts w:ascii="Times New Roman" w:hAnsi="Times New Roman"/>
          <w:sz w:val="24"/>
        </w:rPr>
        <w:t>—</w:t>
      </w:r>
      <w:r w:rsidRPr="006F68E9">
        <w:rPr>
          <w:rFonts w:ascii="Times New Roman" w:hAnsi="Times New Roman"/>
          <w:sz w:val="24"/>
        </w:rPr>
        <w:t>anhydrous ammonia. The commenter added that the storage and handling of anhydrous ammonia are relatively simple compared to complex processing involving multiple chemicals at a manufacturing facility. The commenter also noted that adding significant additional regulatory requirements on agricultural retailers could reduce availability of a critical fertilizer product (0227).</w:t>
      </w:r>
    </w:p>
    <w:p w:rsidR="00025134" w:rsidRPr="00EC6FBE" w:rsidP="00025134" w14:paraId="7ED13AD2" w14:textId="77777777">
      <w:pPr>
        <w:ind w:left="720"/>
        <w:rPr>
          <w:rFonts w:ascii="Times New Roman" w:hAnsi="Times New Roman"/>
          <w:sz w:val="24"/>
        </w:rPr>
      </w:pPr>
      <w:r w:rsidRPr="00DB293A">
        <w:rPr>
          <w:rFonts w:ascii="Times New Roman" w:hAnsi="Times New Roman"/>
          <w:b/>
          <w:bCs/>
          <w:sz w:val="24"/>
        </w:rPr>
        <w:t xml:space="preserve">EPA Response: </w:t>
      </w:r>
      <w:r w:rsidRPr="00DB293A">
        <w:rPr>
          <w:rFonts w:ascii="Times New Roman" w:hAnsi="Times New Roman"/>
          <w:sz w:val="24"/>
        </w:rPr>
        <w:t>EPA</w:t>
      </w:r>
      <w:r w:rsidRPr="00D879CD">
        <w:rPr>
          <w:rFonts w:ascii="Times New Roman" w:hAnsi="Times New Roman"/>
          <w:sz w:val="24"/>
        </w:rPr>
        <w:t xml:space="preserve"> appreciates the commenters’ support.</w:t>
      </w:r>
    </w:p>
    <w:p w:rsidR="00025134" w:rsidP="00025134" w14:paraId="3BCA9163" w14:textId="77777777">
      <w:pPr>
        <w:rPr>
          <w:rFonts w:ascii="Times New Roman" w:hAnsi="Times New Roman"/>
          <w:sz w:val="24"/>
        </w:rPr>
      </w:pPr>
      <w:r>
        <w:rPr>
          <w:rFonts w:ascii="Times New Roman" w:hAnsi="Times New Roman"/>
          <w:b/>
          <w:bCs/>
          <w:sz w:val="24"/>
        </w:rPr>
        <w:t xml:space="preserve">Comment 1.5-03: </w:t>
      </w:r>
      <w:r w:rsidRPr="006F68E9">
        <w:rPr>
          <w:rFonts w:ascii="Times New Roman" w:hAnsi="Times New Roman"/>
          <w:sz w:val="24"/>
        </w:rPr>
        <w:t>One commenter suggested EPA focus on the types of products being stored at a facility, rather than focusing on the type of ownership of the facility. The commenter stated that, for example, when anhydrous ammonia is held by farmers, it is exempt from all provisions of the RMP regulations. The commenter pointed out that there are many large farming operations storing as much or more anhydrous ammonia than an independent agricultural retail dealer, adding that the risk of accidental release from anhydrous ammonia is as great or greater from these nonregulated facilities</w:t>
      </w:r>
      <w:r>
        <w:rPr>
          <w:rFonts w:ascii="Times New Roman" w:hAnsi="Times New Roman"/>
          <w:sz w:val="24"/>
        </w:rPr>
        <w:t xml:space="preserve">. </w:t>
      </w:r>
      <w:r w:rsidRPr="006F68E9">
        <w:rPr>
          <w:rFonts w:ascii="Times New Roman" w:hAnsi="Times New Roman"/>
          <w:sz w:val="24"/>
        </w:rPr>
        <w:t>The commenter stated that exemptions for farmers should be repealed</w:t>
      </w:r>
      <w:r>
        <w:rPr>
          <w:rFonts w:ascii="Times New Roman" w:hAnsi="Times New Roman"/>
          <w:sz w:val="24"/>
        </w:rPr>
        <w:t xml:space="preserve"> (0227).</w:t>
      </w:r>
    </w:p>
    <w:p w:rsidR="00025134" w:rsidRPr="007E5A71" w:rsidP="00025134" w14:paraId="3B6D3D9E" w14:textId="3B1C6D74">
      <w:pPr>
        <w:rPr>
          <w:rFonts w:ascii="Times New Roman" w:hAnsi="Times New Roman"/>
          <w:sz w:val="24"/>
        </w:rPr>
      </w:pPr>
      <w:r>
        <w:rPr>
          <w:rFonts w:ascii="Times New Roman" w:hAnsi="Times New Roman"/>
          <w:sz w:val="24"/>
        </w:rPr>
        <w:tab/>
      </w:r>
      <w:r w:rsidRPr="007E5A71">
        <w:rPr>
          <w:rFonts w:ascii="Times New Roman" w:hAnsi="Times New Roman"/>
          <w:b/>
          <w:bCs/>
          <w:sz w:val="24"/>
        </w:rPr>
        <w:t>EPA Response:</w:t>
      </w:r>
      <w:r w:rsidR="00F16EBD">
        <w:rPr>
          <w:rFonts w:ascii="Times New Roman" w:hAnsi="Times New Roman"/>
          <w:b/>
          <w:bCs/>
          <w:sz w:val="24"/>
        </w:rPr>
        <w:t xml:space="preserve"> </w:t>
      </w:r>
      <w:r w:rsidRPr="007E5A71" w:rsidR="007E5A71">
        <w:rPr>
          <w:rFonts w:ascii="Times New Roman" w:hAnsi="Times New Roman"/>
          <w:sz w:val="24"/>
        </w:rPr>
        <w:t>These comments are outside of the scope of the proposed rule.</w:t>
      </w:r>
    </w:p>
    <w:p w:rsidR="00025134" w:rsidP="00025134" w14:paraId="68E19C9B" w14:textId="21802434">
      <w:pPr>
        <w:rPr>
          <w:rFonts w:ascii="Times New Roman" w:hAnsi="Times New Roman"/>
          <w:sz w:val="24"/>
        </w:rPr>
      </w:pPr>
      <w:r>
        <w:rPr>
          <w:rFonts w:ascii="Times New Roman" w:hAnsi="Times New Roman"/>
          <w:b/>
          <w:bCs/>
          <w:sz w:val="24"/>
        </w:rPr>
        <w:t>Comment 1.5-0</w:t>
      </w:r>
      <w:r w:rsidR="000644A6">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 xml:space="preserve">One commenter stated that when reading the general applicability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w:t>
      </w:r>
      <w:r>
        <w:rPr>
          <w:rFonts w:ascii="Times New Roman" w:hAnsi="Times New Roman"/>
          <w:sz w:val="24"/>
        </w:rPr>
        <w:t>,</w:t>
      </w:r>
      <w:r w:rsidRPr="006F68E9">
        <w:rPr>
          <w:rFonts w:ascii="Times New Roman" w:hAnsi="Times New Roman"/>
          <w:sz w:val="24"/>
        </w:rPr>
        <w:t xml:space="preserve"> it was unclear if tank farms would be required to submit an RMP, since oil and gas production facilities are exempt. However, the commenter stated that if gasoline or jet fuel tank farms are exempt, they request that they be added to the list of industries covered by the RMP (0160).</w:t>
      </w:r>
    </w:p>
    <w:p w:rsidR="00E96448" w:rsidP="00025134" w14:paraId="152A23A7" w14:textId="062CE643">
      <w:pPr>
        <w:rPr>
          <w:rFonts w:ascii="Times New Roman" w:hAnsi="Times New Roman"/>
          <w:sz w:val="24"/>
        </w:rPr>
      </w:pPr>
      <w:r w:rsidRPr="006F68E9">
        <w:rPr>
          <w:rFonts w:ascii="Times New Roman" w:hAnsi="Times New Roman"/>
          <w:sz w:val="24"/>
        </w:rPr>
        <w:t xml:space="preserve">Another commenter requested clarification concerning the nature of facilities to which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would apply, asking if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would apply to large-scale agricultural operations. The commenter pointed out that farmworkers often live nearby or on-site of these operations (0406).</w:t>
      </w:r>
    </w:p>
    <w:p w:rsidR="00E96448" w:rsidRPr="00E96448" w:rsidP="00025134" w14:paraId="56D191BC" w14:textId="4FB1278C">
      <w:pPr>
        <w:rPr>
          <w:rFonts w:ascii="Times New Roman" w:hAnsi="Times New Roman"/>
          <w:sz w:val="24"/>
        </w:rPr>
      </w:pPr>
      <w:r w:rsidRPr="006F68E9">
        <w:rPr>
          <w:rFonts w:ascii="Times New Roman" w:hAnsi="Times New Roman"/>
          <w:sz w:val="24"/>
        </w:rPr>
        <w:t>One commenter asked EPA to clarify by response to comment and/or preamble discussion that biogas from the anaerobic digestion of dairy and swine that is stored in a digester is exempt due to qualifying as reservoirs of naturally occurring hydrocarbons and/or due to non-volatile flammability characteristics analogous to exempt Naturally Occurring Hydrocarbon Mixtures. The commenter also pointed out that EPA does not define naturally occurring hydrocarbon reservoirs in the regulations, noting that a digester should qualify as a reservoir. To support their assertion, the commenter presented a technical analysis that confirmed dairy and swine biogas have a low potential for vapor cloud explosion and thus should be exempt (0206).</w:t>
      </w:r>
    </w:p>
    <w:p w:rsidR="00025134" w:rsidRPr="00345DF4" w:rsidP="009C7589" w14:paraId="3241C7B7" w14:textId="504A19D5">
      <w:pPr>
        <w:ind w:left="720"/>
        <w:rPr>
          <w:rFonts w:ascii="Times New Roman" w:hAnsi="Times New Roman"/>
          <w:sz w:val="24"/>
        </w:rPr>
      </w:pPr>
      <w:r w:rsidRPr="00393927">
        <w:rPr>
          <w:rFonts w:ascii="Times New Roman" w:hAnsi="Times New Roman"/>
          <w:b/>
          <w:bCs/>
          <w:sz w:val="24"/>
        </w:rPr>
        <w:t>EPA Response:</w:t>
      </w:r>
      <w:r w:rsidRPr="009C7589" w:rsidR="009C7589">
        <w:t xml:space="preserve"> </w:t>
      </w:r>
      <w:r w:rsidRPr="00345DF4" w:rsidR="009C7589">
        <w:rPr>
          <w:rFonts w:ascii="Times New Roman" w:hAnsi="Times New Roman"/>
          <w:sz w:val="24"/>
        </w:rPr>
        <w:t xml:space="preserve">Table 1 in the proposed and final </w:t>
      </w:r>
      <w:r w:rsidR="004622C7">
        <w:rPr>
          <w:rFonts w:ascii="Times New Roman" w:hAnsi="Times New Roman"/>
          <w:sz w:val="24"/>
        </w:rPr>
        <w:t>rule preambles</w:t>
      </w:r>
      <w:r w:rsidRPr="00345DF4" w:rsidR="009C7589">
        <w:rPr>
          <w:rFonts w:ascii="Times New Roman" w:hAnsi="Times New Roman"/>
          <w:sz w:val="24"/>
        </w:rPr>
        <w:t xml:space="preserve"> provide industrial sectors and the associated North American Industry Classification System (NAICS) codes for entities potentially affected by th</w:t>
      </w:r>
      <w:r w:rsidRPr="00345DF4" w:rsidR="005B48D0">
        <w:rPr>
          <w:rFonts w:ascii="Times New Roman" w:hAnsi="Times New Roman"/>
          <w:sz w:val="24"/>
        </w:rPr>
        <w:t>e final</w:t>
      </w:r>
      <w:r w:rsidRPr="00345DF4" w:rsidR="009C7589">
        <w:rPr>
          <w:rFonts w:ascii="Times New Roman" w:hAnsi="Times New Roman"/>
          <w:sz w:val="24"/>
        </w:rPr>
        <w:t xml:space="preserve"> action</w:t>
      </w:r>
      <w:r w:rsidR="00A8349E">
        <w:rPr>
          <w:rFonts w:ascii="Times New Roman" w:hAnsi="Times New Roman"/>
          <w:sz w:val="24"/>
        </w:rPr>
        <w:t xml:space="preserve"> as there are many factors that determine </w:t>
      </w:r>
      <w:r w:rsidR="00B177C2">
        <w:rPr>
          <w:rFonts w:ascii="Times New Roman" w:hAnsi="Times New Roman"/>
          <w:sz w:val="24"/>
        </w:rPr>
        <w:t>RMP</w:t>
      </w:r>
      <w:r w:rsidR="00A8349E">
        <w:rPr>
          <w:rFonts w:ascii="Times New Roman" w:hAnsi="Times New Roman"/>
          <w:sz w:val="24"/>
        </w:rPr>
        <w:t xml:space="preserve"> </w:t>
      </w:r>
      <w:r w:rsidR="00FC38EC">
        <w:rPr>
          <w:rFonts w:ascii="Times New Roman" w:hAnsi="Times New Roman"/>
          <w:sz w:val="24"/>
        </w:rPr>
        <w:t>applicability such as</w:t>
      </w:r>
      <w:r w:rsidR="0098765E">
        <w:rPr>
          <w:rFonts w:ascii="Times New Roman" w:hAnsi="Times New Roman"/>
          <w:sz w:val="24"/>
        </w:rPr>
        <w:t xml:space="preserve"> the type of facility,</w:t>
      </w:r>
      <w:r w:rsidR="00FC38EC">
        <w:rPr>
          <w:rFonts w:ascii="Times New Roman" w:hAnsi="Times New Roman"/>
          <w:sz w:val="24"/>
        </w:rPr>
        <w:t xml:space="preserve"> regulated substance, threshold quantit</w:t>
      </w:r>
      <w:r w:rsidR="00DF7A40">
        <w:rPr>
          <w:rFonts w:ascii="Times New Roman" w:hAnsi="Times New Roman"/>
          <w:sz w:val="24"/>
        </w:rPr>
        <w:t>y</w:t>
      </w:r>
      <w:r w:rsidR="002B6B0E">
        <w:rPr>
          <w:rFonts w:ascii="Times New Roman" w:hAnsi="Times New Roman"/>
          <w:sz w:val="24"/>
        </w:rPr>
        <w:t xml:space="preserve">, </w:t>
      </w:r>
      <w:r w:rsidR="00FC38EC">
        <w:rPr>
          <w:rFonts w:ascii="Times New Roman" w:hAnsi="Times New Roman"/>
          <w:sz w:val="24"/>
        </w:rPr>
        <w:t>type of process</w:t>
      </w:r>
      <w:r w:rsidR="002B6B0E">
        <w:rPr>
          <w:rFonts w:ascii="Times New Roman" w:hAnsi="Times New Roman"/>
          <w:sz w:val="24"/>
        </w:rPr>
        <w:t xml:space="preserve"> and consideration of </w:t>
      </w:r>
      <w:r w:rsidR="00045AE0">
        <w:rPr>
          <w:rFonts w:ascii="Times New Roman" w:hAnsi="Times New Roman"/>
          <w:sz w:val="24"/>
        </w:rPr>
        <w:t>exemptions</w:t>
      </w:r>
      <w:r w:rsidRPr="00345DF4" w:rsidR="009C7589">
        <w:rPr>
          <w:rFonts w:ascii="Times New Roman" w:hAnsi="Times New Roman"/>
          <w:sz w:val="24"/>
        </w:rPr>
        <w:t>.</w:t>
      </w:r>
      <w:r w:rsidR="0005613C">
        <w:rPr>
          <w:rFonts w:ascii="Times New Roman" w:hAnsi="Times New Roman"/>
          <w:sz w:val="24"/>
        </w:rPr>
        <w:t xml:space="preserve"> </w:t>
      </w:r>
      <w:r w:rsidRPr="026497DD" w:rsidR="064AE234">
        <w:rPr>
          <w:rFonts w:ascii="Times New Roman" w:hAnsi="Times New Roman"/>
          <w:sz w:val="24"/>
        </w:rPr>
        <w:t xml:space="preserve">The SCCAP rule does not alter the applicability of the RMP rule. </w:t>
      </w:r>
      <w:r w:rsidR="0005613C">
        <w:rPr>
          <w:rFonts w:ascii="Times New Roman" w:hAnsi="Times New Roman"/>
          <w:sz w:val="24"/>
        </w:rPr>
        <w:t>Please refer to</w:t>
      </w:r>
      <w:r w:rsidRPr="00345DF4" w:rsidR="00745B5C">
        <w:rPr>
          <w:rFonts w:ascii="Times New Roman" w:hAnsi="Times New Roman"/>
          <w:sz w:val="24"/>
        </w:rPr>
        <w:t xml:space="preserve"> </w:t>
      </w:r>
      <w:r w:rsidRPr="00345DF4" w:rsidR="00655184">
        <w:rPr>
          <w:rFonts w:ascii="Times New Roman" w:hAnsi="Times New Roman"/>
          <w:sz w:val="24"/>
        </w:rPr>
        <w:t xml:space="preserve">40 CFR Part 68.10 </w:t>
      </w:r>
      <w:r w:rsidR="0005613C">
        <w:rPr>
          <w:rFonts w:ascii="Times New Roman" w:hAnsi="Times New Roman"/>
          <w:sz w:val="24"/>
        </w:rPr>
        <w:t xml:space="preserve">to determine </w:t>
      </w:r>
      <w:r w:rsidR="00DF7A40">
        <w:rPr>
          <w:rFonts w:ascii="Times New Roman" w:hAnsi="Times New Roman"/>
          <w:sz w:val="24"/>
        </w:rPr>
        <w:t>applicability</w:t>
      </w:r>
      <w:r w:rsidR="0005613C">
        <w:rPr>
          <w:rFonts w:ascii="Times New Roman" w:hAnsi="Times New Roman"/>
          <w:sz w:val="24"/>
        </w:rPr>
        <w:t xml:space="preserve"> to the RMP rule. </w:t>
      </w:r>
      <w:r w:rsidRPr="00345DF4" w:rsidR="00CD22E0">
        <w:rPr>
          <w:rFonts w:ascii="Times New Roman" w:hAnsi="Times New Roman"/>
          <w:sz w:val="24"/>
        </w:rPr>
        <w:t>EPA’s guidance</w:t>
      </w:r>
      <w:r>
        <w:rPr>
          <w:rStyle w:val="FootnoteReference"/>
          <w:rFonts w:ascii="Times New Roman" w:hAnsi="Times New Roman"/>
          <w:sz w:val="24"/>
        </w:rPr>
        <w:footnoteReference w:id="10"/>
      </w:r>
      <w:r w:rsidRPr="00345DF4" w:rsidR="00CD22E0">
        <w:rPr>
          <w:rFonts w:ascii="Times New Roman" w:hAnsi="Times New Roman"/>
          <w:sz w:val="24"/>
        </w:rPr>
        <w:t xml:space="preserve"> </w:t>
      </w:r>
      <w:r w:rsidR="009C0819">
        <w:rPr>
          <w:rFonts w:ascii="Times New Roman" w:hAnsi="Times New Roman"/>
          <w:sz w:val="24"/>
        </w:rPr>
        <w:t>and contacting RMP regional contacts</w:t>
      </w:r>
      <w:r>
        <w:rPr>
          <w:rStyle w:val="FootnoteReference"/>
          <w:rFonts w:ascii="Times New Roman" w:hAnsi="Times New Roman"/>
          <w:sz w:val="24"/>
        </w:rPr>
        <w:footnoteReference w:id="11"/>
      </w:r>
      <w:r w:rsidR="009C0819">
        <w:rPr>
          <w:rFonts w:ascii="Times New Roman" w:hAnsi="Times New Roman"/>
          <w:sz w:val="24"/>
        </w:rPr>
        <w:t xml:space="preserve"> should also be </w:t>
      </w:r>
      <w:r w:rsidRPr="00345DF4" w:rsidR="00CD22E0">
        <w:rPr>
          <w:rFonts w:ascii="Times New Roman" w:hAnsi="Times New Roman"/>
          <w:sz w:val="24"/>
        </w:rPr>
        <w:t xml:space="preserve">useful in </w:t>
      </w:r>
      <w:r w:rsidRPr="00345DF4" w:rsidR="0005613C">
        <w:rPr>
          <w:rFonts w:ascii="Times New Roman" w:hAnsi="Times New Roman"/>
          <w:sz w:val="24"/>
        </w:rPr>
        <w:t>determining</w:t>
      </w:r>
      <w:r w:rsidRPr="00345DF4" w:rsidR="00CD22E0">
        <w:rPr>
          <w:rFonts w:ascii="Times New Roman" w:hAnsi="Times New Roman"/>
          <w:sz w:val="24"/>
        </w:rPr>
        <w:t xml:space="preserve"> </w:t>
      </w:r>
      <w:r w:rsidR="00710D6F">
        <w:rPr>
          <w:rFonts w:ascii="Times New Roman" w:hAnsi="Times New Roman"/>
          <w:sz w:val="24"/>
        </w:rPr>
        <w:t>applicability</w:t>
      </w:r>
      <w:r w:rsidR="00045AE0">
        <w:rPr>
          <w:rFonts w:ascii="Times New Roman" w:hAnsi="Times New Roman"/>
          <w:sz w:val="24"/>
        </w:rPr>
        <w:t>.</w:t>
      </w:r>
    </w:p>
    <w:p w:rsidR="00025134" w:rsidRPr="007539DC" w:rsidP="00025134" w14:paraId="240150D3" w14:textId="20A9E774">
      <w:pPr>
        <w:rPr>
          <w:rFonts w:ascii="Times New Roman" w:hAnsi="Times New Roman"/>
          <w:b/>
          <w:bCs/>
          <w:sz w:val="24"/>
        </w:rPr>
      </w:pPr>
      <w:r>
        <w:rPr>
          <w:rFonts w:ascii="Times New Roman" w:hAnsi="Times New Roman"/>
          <w:b/>
          <w:bCs/>
          <w:sz w:val="24"/>
        </w:rPr>
        <w:t>Comment 1.5-0</w:t>
      </w:r>
      <w:r w:rsidR="0077776F">
        <w:rPr>
          <w:rFonts w:ascii="Times New Roman" w:hAnsi="Times New Roman"/>
          <w:b/>
          <w:bCs/>
          <w:sz w:val="24"/>
        </w:rPr>
        <w:t>5</w:t>
      </w:r>
      <w:r>
        <w:rPr>
          <w:rFonts w:ascii="Times New Roman" w:hAnsi="Times New Roman"/>
          <w:b/>
          <w:bCs/>
          <w:sz w:val="24"/>
        </w:rPr>
        <w:t xml:space="preserve">: </w:t>
      </w:r>
      <w:r>
        <w:rPr>
          <w:rFonts w:ascii="Times New Roman" w:hAnsi="Times New Roman"/>
          <w:sz w:val="24"/>
        </w:rPr>
        <w:t>One</w:t>
      </w:r>
      <w:r w:rsidRPr="006F68E9">
        <w:rPr>
          <w:rFonts w:ascii="Times New Roman" w:hAnsi="Times New Roman"/>
          <w:sz w:val="24"/>
        </w:rPr>
        <w:t xml:space="preserve"> commenter requested that EPA remove North American Industry Classification System (NAICS) codes 32741 and 212312 from the applicability section of the RMP rule since the commenter is not aware of any significant accidents involving EPA regulated substances above threshold quantities at lime plants or the limestone quarries that supply them (0213).</w:t>
      </w:r>
    </w:p>
    <w:p w:rsidR="00025134" w:rsidRPr="00EB7707" w:rsidP="026497DD" w14:paraId="3013A8B7" w14:textId="78F14D3D">
      <w:pPr>
        <w:ind w:left="720"/>
        <w:rPr>
          <w:rFonts w:ascii="Times New Roman" w:hAnsi="Times New Roman"/>
          <w:sz w:val="24"/>
        </w:rPr>
      </w:pPr>
      <w:r w:rsidRPr="00EB7707">
        <w:rPr>
          <w:rFonts w:ascii="Times New Roman" w:hAnsi="Times New Roman"/>
          <w:b/>
          <w:bCs/>
          <w:sz w:val="24"/>
        </w:rPr>
        <w:t>EPA Response:</w:t>
      </w:r>
      <w:r w:rsidRPr="00637833" w:rsidR="00637833">
        <w:t xml:space="preserve"> </w:t>
      </w:r>
      <w:r w:rsidRPr="00012E76" w:rsidR="641373B8">
        <w:rPr>
          <w:rFonts w:ascii="Times New Roman" w:hAnsi="Times New Roman"/>
          <w:sz w:val="24"/>
        </w:rPr>
        <w:t>CAA section 112(r)(7)(B) requires the RMP rule to apply to all stationary sources with mo</w:t>
      </w:r>
      <w:r w:rsidRPr="00012E76" w:rsidR="235A8FE7">
        <w:rPr>
          <w:rFonts w:ascii="Times New Roman" w:hAnsi="Times New Roman"/>
          <w:sz w:val="24"/>
        </w:rPr>
        <w:t xml:space="preserve">re than a threshold quantity of a regulated substance. </w:t>
      </w:r>
      <w:r w:rsidRPr="00012E76" w:rsidR="31588C44">
        <w:rPr>
          <w:rFonts w:ascii="Times New Roman" w:hAnsi="Times New Roman"/>
          <w:sz w:val="24"/>
        </w:rPr>
        <w:t xml:space="preserve">Certain types of processes have specific exemptions in the statute (see </w:t>
      </w:r>
      <w:r w:rsidRPr="00012E76" w:rsidR="771701DA">
        <w:rPr>
          <w:rFonts w:ascii="Times New Roman" w:hAnsi="Times New Roman"/>
          <w:sz w:val="24"/>
        </w:rPr>
        <w:t>CAA 112(r)(4)(B)</w:t>
      </w:r>
      <w:r w:rsidRPr="00012E76" w:rsidR="426C79FE">
        <w:rPr>
          <w:rFonts w:ascii="Times New Roman" w:hAnsi="Times New Roman"/>
          <w:sz w:val="24"/>
        </w:rPr>
        <w:t>)</w:t>
      </w:r>
      <w:r w:rsidRPr="00012E76" w:rsidR="771701DA">
        <w:rPr>
          <w:rFonts w:ascii="Times New Roman" w:hAnsi="Times New Roman"/>
          <w:sz w:val="24"/>
        </w:rPr>
        <w:t xml:space="preserve"> while EPA is permitted to exempt </w:t>
      </w:r>
      <w:r w:rsidRPr="00012E76" w:rsidR="17C48F42">
        <w:rPr>
          <w:rFonts w:ascii="Times New Roman" w:hAnsi="Times New Roman"/>
          <w:sz w:val="24"/>
        </w:rPr>
        <w:t>substances when held under certain conditions (see CAA 112(r)(5)</w:t>
      </w:r>
      <w:r w:rsidRPr="00012E76" w:rsidR="0872F172">
        <w:rPr>
          <w:rFonts w:ascii="Times New Roman" w:hAnsi="Times New Roman"/>
          <w:sz w:val="24"/>
        </w:rPr>
        <w:t xml:space="preserve">). </w:t>
      </w:r>
      <w:r w:rsidRPr="00012E76" w:rsidR="4C0D7821">
        <w:rPr>
          <w:rFonts w:ascii="Times New Roman" w:hAnsi="Times New Roman"/>
          <w:sz w:val="24"/>
        </w:rPr>
        <w:t xml:space="preserve">Nothing in the statute provides authority to exempt either NAICS 32741 or 212312 from the general applicability </w:t>
      </w:r>
      <w:r w:rsidRPr="00012E76" w:rsidR="395DE717">
        <w:rPr>
          <w:rFonts w:ascii="Times New Roman" w:hAnsi="Times New Roman"/>
          <w:sz w:val="24"/>
        </w:rPr>
        <w:t>provisions.</w:t>
      </w:r>
    </w:p>
    <w:p w:rsidR="00025134" w:rsidRPr="00EB7707" w:rsidP="004843C0" w14:paraId="61867010" w14:textId="1925FA81">
      <w:pPr>
        <w:ind w:left="720"/>
        <w:rPr>
          <w:rFonts w:ascii="Times New Roman" w:hAnsi="Times New Roman"/>
          <w:sz w:val="24"/>
        </w:rPr>
      </w:pPr>
      <w:r>
        <w:rPr>
          <w:rFonts w:ascii="Times New Roman" w:hAnsi="Times New Roman"/>
          <w:sz w:val="24"/>
        </w:rPr>
        <w:t>The</w:t>
      </w:r>
      <w:r w:rsidRPr="003A6555" w:rsidR="00CB7A82">
        <w:rPr>
          <w:rFonts w:ascii="Times New Roman" w:hAnsi="Times New Roman"/>
          <w:sz w:val="24"/>
        </w:rPr>
        <w:t xml:space="preserve"> fact that accidents continue to occur shows that we still have reason to exercise statutory authority to promulgate reasonable regulations to provide for the prevention and detection of those accidents to the greatest extent practicable when the opportunity exists to improve the performance of our regulatory program.</w:t>
      </w:r>
      <w:r w:rsidRPr="003A6555" w:rsidR="00CB7A82">
        <w:rPr>
          <w:rFonts w:ascii="Times New Roman" w:hAnsi="Times New Roman"/>
          <w:b/>
          <w:bCs/>
          <w:sz w:val="24"/>
        </w:rPr>
        <w:t xml:space="preserve"> </w:t>
      </w:r>
      <w:r w:rsidRPr="004D6528" w:rsidR="00CB7A82">
        <w:rPr>
          <w:rFonts w:ascii="Times New Roman" w:hAnsi="Times New Roman"/>
          <w:sz w:val="24"/>
        </w:rPr>
        <w:t xml:space="preserve">When determining </w:t>
      </w:r>
      <w:r w:rsidRPr="0051089E" w:rsidR="00CB7A82">
        <w:rPr>
          <w:rFonts w:ascii="Times New Roman" w:hAnsi="Times New Roman"/>
          <w:sz w:val="24"/>
        </w:rPr>
        <w:t xml:space="preserve">what is </w:t>
      </w:r>
      <w:r w:rsidRPr="0051089E" w:rsidR="00CB7A82">
        <w:rPr>
          <w:rFonts w:ascii="Times New Roman" w:hAnsi="Times New Roman"/>
          <w:sz w:val="24"/>
        </w:rPr>
        <w:t>“reasonable” when developing regulations under CAA section 112(r)(7)(B)</w:t>
      </w:r>
      <w:r w:rsidR="00EB3130">
        <w:rPr>
          <w:rFonts w:ascii="Times New Roman" w:hAnsi="Times New Roman"/>
          <w:sz w:val="24"/>
        </w:rPr>
        <w:t>(i)</w:t>
      </w:r>
      <w:r w:rsidRPr="0051089E" w:rsidR="00CB7A82">
        <w:rPr>
          <w:rFonts w:ascii="Times New Roman" w:hAnsi="Times New Roman"/>
          <w:sz w:val="24"/>
        </w:rPr>
        <w:t xml:space="preserve">, EPA acknowledges that some facilities are less likely to have an accidental release than others and that the statute gives the Agency the authority to distinguish among classes of facilities. When developing this rulemaking, EPA therefore had the authority to include multiple factors when determining what is reasonable, such as frequency of RMP accidents or proximity to both nearby communities and other RMP facilities that could, as a result, make the communities and other facilities be more susceptible when it comes to being exposed to a worst-case scenario. </w:t>
      </w:r>
      <w:r w:rsidRPr="009929CE" w:rsidR="007913E6">
        <w:rPr>
          <w:rFonts w:ascii="Times New Roman" w:hAnsi="Times New Roman"/>
          <w:sz w:val="24"/>
        </w:rPr>
        <w:t>For example, as mentioned in the proposed rulemaking, the per facility accident rate between 2016 and 2020</w:t>
      </w:r>
      <w:r>
        <w:rPr>
          <w:rStyle w:val="FootnoteReference"/>
          <w:rFonts w:ascii="Times New Roman" w:hAnsi="Times New Roman"/>
          <w:sz w:val="24"/>
        </w:rPr>
        <w:footnoteReference w:id="12"/>
      </w:r>
      <w:r w:rsidRPr="009929CE" w:rsidR="007913E6">
        <w:rPr>
          <w:rFonts w:ascii="Times New Roman" w:hAnsi="Times New Roman"/>
          <w:sz w:val="24"/>
        </w:rPr>
        <w:t xml:space="preserve"> </w:t>
      </w:r>
      <w:r w:rsidRPr="009929CE" w:rsidR="007913E6">
        <w:rPr>
          <w:rFonts w:ascii="Times New Roman" w:hAnsi="Times New Roman"/>
          <w:sz w:val="24"/>
        </w:rPr>
        <w:t xml:space="preserve">for all regulated facilities was 3 percent </w:t>
      </w:r>
      <w:r w:rsidRPr="009929CE" w:rsidR="007913E6">
        <w:rPr>
          <w:rFonts w:ascii="Times New Roman" w:hAnsi="Times New Roman"/>
          <w:sz w:val="24"/>
        </w:rPr>
        <w:t>(n = 382 facilities reporting at least one accident out of 12,855 unique facilities reporting between 2016 and 2020), the sector accident rates (number of unique facilities with accidents per sector divided by the number of unique facilities in each sector) for petroleum and coal manufacturing were seven times higher (23 percent, n = 41 out of 177) and two times higher for chemical manufacturing (6 percent, n = 96 out of 1631).  Also, based on accidents occurring between 2016 and 2020, communities located near facilities in NAICS 324/325 that are located within 1 mile of another 324/325 facility are 1.5 times more likely to have been exposed to accidents at these facilities as compared to communities near facilities in NAICS 324/325 that are not located within 1 mile of another 324/325 facility (87 FR 53578)</w:t>
      </w:r>
      <w:r>
        <w:rPr>
          <w:rStyle w:val="FootnoteReference"/>
          <w:rFonts w:ascii="Times New Roman" w:hAnsi="Times New Roman"/>
          <w:sz w:val="24"/>
        </w:rPr>
        <w:footnoteReference w:id="13"/>
      </w:r>
      <w:r w:rsidRPr="009929CE" w:rsidR="007913E6">
        <w:rPr>
          <w:rFonts w:ascii="Times New Roman" w:hAnsi="Times New Roman"/>
          <w:sz w:val="24"/>
        </w:rPr>
        <w:t>. Also</w:t>
      </w:r>
      <w:r w:rsidRPr="0051089E" w:rsidR="00CB7A82">
        <w:rPr>
          <w:rFonts w:ascii="Times New Roman" w:hAnsi="Times New Roman"/>
          <w:sz w:val="24"/>
        </w:rPr>
        <w:t xml:space="preserve"> mentioned in the proposed rulemaking, these surrounding communities would benefit from rule-based prevention prior to incidents, rather than the case-by-case oversight approach of the 2019 reconsideration rule</w:t>
      </w:r>
      <w:r w:rsidR="009054D5">
        <w:rPr>
          <w:rFonts w:ascii="Times New Roman" w:hAnsi="Times New Roman"/>
          <w:sz w:val="24"/>
        </w:rPr>
        <w:t xml:space="preserve"> </w:t>
      </w:r>
      <w:r w:rsidRPr="009054D5" w:rsidR="009054D5">
        <w:rPr>
          <w:rFonts w:ascii="Times New Roman" w:hAnsi="Times New Roman"/>
          <w:sz w:val="24"/>
        </w:rPr>
        <w:t>(87 FR 53565)</w:t>
      </w:r>
      <w:r w:rsidRPr="0051089E" w:rsidR="00CB7A82">
        <w:rPr>
          <w:rFonts w:ascii="Times New Roman" w:hAnsi="Times New Roman"/>
          <w:sz w:val="24"/>
        </w:rPr>
        <w:t>.</w:t>
      </w:r>
    </w:p>
    <w:p w:rsidR="00025134" w:rsidRPr="007539DC" w:rsidP="00025134" w14:paraId="7D86059A" w14:textId="6C3B5545">
      <w:pPr>
        <w:rPr>
          <w:rFonts w:ascii="Times New Roman" w:hAnsi="Times New Roman"/>
          <w:b/>
          <w:bCs/>
          <w:sz w:val="24"/>
        </w:rPr>
      </w:pPr>
      <w:r>
        <w:rPr>
          <w:rFonts w:ascii="Times New Roman" w:hAnsi="Times New Roman"/>
          <w:b/>
          <w:bCs/>
          <w:sz w:val="24"/>
        </w:rPr>
        <w:t>Comment 1.5-0</w:t>
      </w:r>
      <w:r w:rsidR="0077776F">
        <w:rPr>
          <w:rFonts w:ascii="Times New Roman" w:hAnsi="Times New Roman"/>
          <w:b/>
          <w:bCs/>
          <w:sz w:val="24"/>
        </w:rPr>
        <w:t>6</w:t>
      </w:r>
      <w:r>
        <w:rPr>
          <w:rFonts w:ascii="Times New Roman" w:hAnsi="Times New Roman"/>
          <w:b/>
          <w:bCs/>
          <w:sz w:val="24"/>
        </w:rPr>
        <w:t xml:space="preserve">: </w:t>
      </w:r>
      <w:r w:rsidRPr="006F68E9">
        <w:rPr>
          <w:rFonts w:ascii="Times New Roman" w:hAnsi="Times New Roman"/>
          <w:sz w:val="24"/>
        </w:rPr>
        <w:t>One commenter s</w:t>
      </w:r>
      <w:r>
        <w:rPr>
          <w:rFonts w:ascii="Times New Roman" w:hAnsi="Times New Roman"/>
          <w:sz w:val="24"/>
        </w:rPr>
        <w:t>uggested</w:t>
      </w:r>
      <w:r w:rsidRPr="006F68E9">
        <w:rPr>
          <w:rFonts w:ascii="Times New Roman" w:hAnsi="Times New Roman"/>
          <w:sz w:val="24"/>
        </w:rPr>
        <w:t xml:space="preserve"> that EPA provide an exemption for batch manufacturing processes from provisions of the rule re</w:t>
      </w:r>
      <w:r>
        <w:rPr>
          <w:rFonts w:ascii="Times New Roman" w:hAnsi="Times New Roman"/>
          <w:sz w:val="24"/>
        </w:rPr>
        <w:t>lated to</w:t>
      </w:r>
      <w:r w:rsidRPr="006F68E9">
        <w:rPr>
          <w:rFonts w:ascii="Times New Roman" w:hAnsi="Times New Roman"/>
          <w:sz w:val="24"/>
        </w:rPr>
        <w:t xml:space="preserve"> STAA, third-party audits, and fenceline monitoring because</w:t>
      </w:r>
      <w:r>
        <w:rPr>
          <w:rFonts w:ascii="Times New Roman" w:hAnsi="Times New Roman"/>
          <w:sz w:val="24"/>
        </w:rPr>
        <w:t xml:space="preserve"> these provisions</w:t>
      </w:r>
      <w:r w:rsidRPr="006F68E9">
        <w:rPr>
          <w:rFonts w:ascii="Times New Roman" w:hAnsi="Times New Roman"/>
          <w:sz w:val="24"/>
        </w:rPr>
        <w:t xml:space="preserve"> will not have a positive impact and waste resources better directed by the facility (0275).</w:t>
      </w:r>
    </w:p>
    <w:p w:rsidR="00241B5E" w:rsidP="00025134" w14:paraId="04195104" w14:textId="77777777">
      <w:pPr>
        <w:ind w:left="720"/>
        <w:rPr>
          <w:rStyle w:val="normaltextrun"/>
          <w:rFonts w:ascii="Times New Roman" w:hAnsi="Times New Roman"/>
          <w:color w:val="000000"/>
          <w:sz w:val="24"/>
          <w:shd w:val="clear" w:color="auto" w:fill="FFFFFF"/>
        </w:rPr>
      </w:pPr>
      <w:r>
        <w:rPr>
          <w:rFonts w:ascii="Times New Roman" w:hAnsi="Times New Roman"/>
          <w:b/>
          <w:bCs/>
          <w:sz w:val="24"/>
        </w:rPr>
        <w:t xml:space="preserve">EPA Response: </w:t>
      </w:r>
      <w:r w:rsidRPr="001308E7">
        <w:rPr>
          <w:rStyle w:val="normaltextrun"/>
          <w:rFonts w:ascii="Times New Roman" w:hAnsi="Times New Roman"/>
          <w:color w:val="000000"/>
          <w:sz w:val="24"/>
          <w:shd w:val="clear" w:color="auto" w:fill="FFFFFF"/>
        </w:rPr>
        <w:t xml:space="preserve">EPA disagrees with the suggestion to exempt </w:t>
      </w:r>
      <w:r w:rsidRPr="001308E7">
        <w:rPr>
          <w:rStyle w:val="findhit"/>
          <w:rFonts w:ascii="Times New Roman" w:hAnsi="Times New Roman"/>
          <w:color w:val="000000"/>
          <w:sz w:val="24"/>
          <w:shd w:val="clear" w:color="auto" w:fill="FFFFFF"/>
        </w:rPr>
        <w:t>batch</w:t>
      </w:r>
      <w:r w:rsidRPr="001308E7">
        <w:rPr>
          <w:rStyle w:val="normaltextrun"/>
          <w:rFonts w:ascii="Times New Roman" w:hAnsi="Times New Roman"/>
          <w:color w:val="000000"/>
          <w:sz w:val="24"/>
          <w:shd w:val="clear" w:color="auto" w:fill="FFFFFF"/>
        </w:rPr>
        <w:t xml:space="preserve"> toll manufacturers from </w:t>
      </w:r>
      <w:r w:rsidR="00BD2011">
        <w:rPr>
          <w:rStyle w:val="normaltextrun"/>
          <w:rFonts w:ascii="Times New Roman" w:hAnsi="Times New Roman"/>
          <w:color w:val="000000"/>
          <w:sz w:val="24"/>
          <w:shd w:val="clear" w:color="auto" w:fill="FFFFFF"/>
        </w:rPr>
        <w:t xml:space="preserve">specific </w:t>
      </w:r>
      <w:r w:rsidRPr="001308E7">
        <w:rPr>
          <w:rStyle w:val="normaltextrun"/>
          <w:rFonts w:ascii="Times New Roman" w:hAnsi="Times New Roman"/>
          <w:color w:val="000000"/>
          <w:sz w:val="24"/>
          <w:shd w:val="clear" w:color="auto" w:fill="FFFFFF"/>
        </w:rPr>
        <w:t>requirement</w:t>
      </w:r>
      <w:r w:rsidR="00BD2011">
        <w:rPr>
          <w:rStyle w:val="normaltextrun"/>
          <w:rFonts w:ascii="Times New Roman" w:hAnsi="Times New Roman"/>
          <w:color w:val="000000"/>
          <w:sz w:val="24"/>
          <w:shd w:val="clear" w:color="auto" w:fill="FFFFFF"/>
        </w:rPr>
        <w:t>s</w:t>
      </w:r>
      <w:r w:rsidRPr="001308E7">
        <w:rPr>
          <w:rStyle w:val="normaltextrun"/>
          <w:rFonts w:ascii="Times New Roman" w:hAnsi="Times New Roman"/>
          <w:color w:val="000000"/>
          <w:sz w:val="24"/>
          <w:shd w:val="clear" w:color="auto" w:fill="FFFFFF"/>
        </w:rPr>
        <w:t>.</w:t>
      </w:r>
      <w:r>
        <w:rPr>
          <w:rStyle w:val="normaltextrun"/>
          <w:rFonts w:ascii="Times New Roman" w:hAnsi="Times New Roman"/>
          <w:color w:val="000000"/>
          <w:sz w:val="24"/>
          <w:shd w:val="clear" w:color="auto" w:fill="FFFFFF"/>
        </w:rPr>
        <w:t xml:space="preserve"> </w:t>
      </w:r>
      <w:r w:rsidR="005D0843">
        <w:rPr>
          <w:rStyle w:val="normaltextrun"/>
          <w:rFonts w:ascii="Times New Roman" w:hAnsi="Times New Roman"/>
          <w:color w:val="000000"/>
          <w:sz w:val="24"/>
          <w:shd w:val="clear" w:color="auto" w:fill="FFFFFF"/>
        </w:rPr>
        <w:t>In regard to</w:t>
      </w:r>
      <w:r w:rsidR="00136C01">
        <w:rPr>
          <w:rStyle w:val="normaltextrun"/>
          <w:rFonts w:ascii="Times New Roman" w:hAnsi="Times New Roman"/>
          <w:color w:val="000000"/>
          <w:sz w:val="24"/>
          <w:shd w:val="clear" w:color="auto" w:fill="FFFFFF"/>
        </w:rPr>
        <w:t xml:space="preserve"> </w:t>
      </w:r>
      <w:r w:rsidRPr="001308E7">
        <w:rPr>
          <w:rStyle w:val="normaltextrun"/>
          <w:rFonts w:ascii="Times New Roman" w:hAnsi="Times New Roman"/>
          <w:color w:val="000000"/>
          <w:sz w:val="24"/>
          <w:shd w:val="clear" w:color="auto" w:fill="FFFFFF"/>
        </w:rPr>
        <w:t>STAA</w:t>
      </w:r>
      <w:r w:rsidR="00466EBC">
        <w:rPr>
          <w:rStyle w:val="normaltextrun"/>
          <w:rFonts w:ascii="Times New Roman" w:hAnsi="Times New Roman"/>
          <w:color w:val="000000"/>
          <w:sz w:val="24"/>
          <w:shd w:val="clear" w:color="auto" w:fill="FFFFFF"/>
        </w:rPr>
        <w:t>, s</w:t>
      </w:r>
      <w:r w:rsidRPr="001308E7">
        <w:rPr>
          <w:rStyle w:val="normaltextrun"/>
          <w:rFonts w:ascii="Times New Roman" w:hAnsi="Times New Roman"/>
          <w:color w:val="000000"/>
          <w:sz w:val="24"/>
          <w:shd w:val="clear" w:color="auto" w:fill="FFFFFF"/>
        </w:rPr>
        <w:t>afer technology alternatives include many options beyond chemical substitution.</w:t>
      </w:r>
      <w:r>
        <w:rPr>
          <w:rStyle w:val="normaltextrun"/>
          <w:rFonts w:ascii="Times New Roman" w:hAnsi="Times New Roman"/>
          <w:color w:val="000000"/>
          <w:sz w:val="24"/>
          <w:shd w:val="clear" w:color="auto" w:fill="FFFFFF"/>
        </w:rPr>
        <w:t xml:space="preserve"> </w:t>
      </w:r>
      <w:r w:rsidRPr="001308E7">
        <w:rPr>
          <w:rStyle w:val="normaltextrun"/>
          <w:rFonts w:ascii="Times New Roman" w:hAnsi="Times New Roman"/>
          <w:color w:val="000000"/>
          <w:sz w:val="24"/>
          <w:shd w:val="clear" w:color="auto" w:fill="FFFFFF"/>
        </w:rPr>
        <w:t xml:space="preserve">IST could involve minimization of stored raw material chemicals, making process changes that make it less likely to release the chemical (moderation), or reducing complexity in the process that could make accidents more likely (simplification). Therefore, even where a contractual relationship or regulation requires a regulated </w:t>
      </w:r>
      <w:r w:rsidRPr="001308E7">
        <w:rPr>
          <w:rStyle w:val="findhit"/>
          <w:rFonts w:ascii="Times New Roman" w:hAnsi="Times New Roman"/>
          <w:color w:val="000000"/>
          <w:sz w:val="24"/>
          <w:shd w:val="clear" w:color="auto" w:fill="FFFFFF"/>
        </w:rPr>
        <w:t>batch</w:t>
      </w:r>
      <w:r w:rsidRPr="001308E7">
        <w:rPr>
          <w:rStyle w:val="normaltextrun"/>
          <w:rFonts w:ascii="Times New Roman" w:hAnsi="Times New Roman"/>
          <w:color w:val="000000"/>
          <w:sz w:val="24"/>
          <w:shd w:val="clear" w:color="auto" w:fill="FFFFFF"/>
        </w:rPr>
        <w:t xml:space="preserve"> toll manufacturing facility to use a particular </w:t>
      </w:r>
      <w:r w:rsidRPr="001308E7">
        <w:rPr>
          <w:rStyle w:val="normaltextrun"/>
          <w:rFonts w:ascii="Times New Roman" w:hAnsi="Times New Roman"/>
          <w:color w:val="000000"/>
          <w:sz w:val="24"/>
          <w:shd w:val="clear" w:color="auto" w:fill="FFFFFF"/>
        </w:rPr>
        <w:t xml:space="preserve">regulated substance in specified quantities, owners and operators of </w:t>
      </w:r>
      <w:r w:rsidRPr="001308E7">
        <w:rPr>
          <w:rStyle w:val="findhit"/>
          <w:rFonts w:ascii="Times New Roman" w:hAnsi="Times New Roman"/>
          <w:color w:val="000000"/>
          <w:sz w:val="24"/>
          <w:shd w:val="clear" w:color="auto" w:fill="FFFFFF"/>
        </w:rPr>
        <w:t>batch</w:t>
      </w:r>
      <w:r w:rsidRPr="001308E7">
        <w:rPr>
          <w:rStyle w:val="normaltextrun"/>
          <w:rFonts w:ascii="Times New Roman" w:hAnsi="Times New Roman"/>
          <w:color w:val="000000"/>
          <w:sz w:val="24"/>
          <w:shd w:val="clear" w:color="auto" w:fill="FFFFFF"/>
        </w:rPr>
        <w:t xml:space="preserve"> toll manufacturing facilities should still consider other potential IST measures besides chemical substitution.</w:t>
      </w:r>
      <w:r>
        <w:rPr>
          <w:rStyle w:val="normaltextrun"/>
          <w:rFonts w:ascii="Times New Roman" w:hAnsi="Times New Roman"/>
          <w:color w:val="000000"/>
          <w:sz w:val="24"/>
          <w:shd w:val="clear" w:color="auto" w:fill="FFFFFF"/>
        </w:rPr>
        <w:t xml:space="preserve"> </w:t>
      </w:r>
      <w:r w:rsidRPr="001308E7">
        <w:rPr>
          <w:rStyle w:val="normaltextrun"/>
          <w:rFonts w:ascii="Times New Roman" w:hAnsi="Times New Roman"/>
          <w:color w:val="000000"/>
          <w:sz w:val="24"/>
          <w:shd w:val="clear" w:color="auto" w:fill="FFFFFF"/>
        </w:rPr>
        <w:t xml:space="preserve">Toll manufacturers may use RMP chemicals for purposes in addition to making a formulated product, such as for cleaning equipment, wastewater treatment or refrigeration, for which chemical substitution may not be prohibited by regulation or contractual relationship. </w:t>
      </w:r>
    </w:p>
    <w:p w:rsidR="00025134" w:rsidP="00025134" w14:paraId="1991E573" w14:textId="220A11EB">
      <w:pPr>
        <w:ind w:left="720"/>
        <w:rPr>
          <w:rStyle w:val="normaltextrun"/>
          <w:rFonts w:ascii="Times New Roman" w:hAnsi="Times New Roman"/>
          <w:color w:val="000000"/>
          <w:sz w:val="24"/>
          <w:shd w:val="clear" w:color="auto" w:fill="FFFFFF"/>
        </w:rPr>
      </w:pPr>
      <w:r>
        <w:rPr>
          <w:rStyle w:val="normaltextrun"/>
          <w:rFonts w:ascii="Times New Roman" w:hAnsi="Times New Roman"/>
          <w:color w:val="000000"/>
          <w:sz w:val="24"/>
          <w:shd w:val="clear" w:color="auto" w:fill="FFFFFF"/>
        </w:rPr>
        <w:t>Additionally</w:t>
      </w:r>
      <w:r w:rsidR="00497234">
        <w:rPr>
          <w:rStyle w:val="normaltextrun"/>
          <w:rFonts w:ascii="Times New Roman" w:hAnsi="Times New Roman"/>
          <w:color w:val="000000"/>
          <w:sz w:val="24"/>
          <w:shd w:val="clear" w:color="auto" w:fill="FFFFFF"/>
        </w:rPr>
        <w:t xml:space="preserve">, under </w:t>
      </w:r>
      <w:r w:rsidR="00303FA9">
        <w:rPr>
          <w:rStyle w:val="normaltextrun"/>
          <w:rFonts w:ascii="Times New Roman" w:hAnsi="Times New Roman"/>
          <w:color w:val="000000"/>
          <w:sz w:val="24"/>
          <w:shd w:val="clear" w:color="auto" w:fill="FFFFFF"/>
        </w:rPr>
        <w:t xml:space="preserve">the </w:t>
      </w:r>
      <w:r w:rsidR="00497234">
        <w:rPr>
          <w:rStyle w:val="normaltextrun"/>
          <w:rFonts w:ascii="Times New Roman" w:hAnsi="Times New Roman"/>
          <w:color w:val="000000"/>
          <w:sz w:val="24"/>
          <w:shd w:val="clear" w:color="auto" w:fill="FFFFFF"/>
        </w:rPr>
        <w:t>STAA</w:t>
      </w:r>
      <w:r w:rsidR="00303FA9">
        <w:rPr>
          <w:rStyle w:val="normaltextrun"/>
          <w:rFonts w:ascii="Times New Roman" w:hAnsi="Times New Roman"/>
          <w:color w:val="000000"/>
          <w:sz w:val="24"/>
          <w:shd w:val="clear" w:color="auto" w:fill="FFFFFF"/>
        </w:rPr>
        <w:t xml:space="preserve"> requirements </w:t>
      </w:r>
      <w:r w:rsidR="001672D1">
        <w:rPr>
          <w:rStyle w:val="normaltextrun"/>
          <w:rFonts w:ascii="Times New Roman" w:hAnsi="Times New Roman"/>
          <w:color w:val="000000"/>
          <w:sz w:val="24"/>
          <w:shd w:val="clear" w:color="auto" w:fill="FFFFFF"/>
        </w:rPr>
        <w:t>applicable facilities</w:t>
      </w:r>
      <w:r w:rsidR="00497234">
        <w:rPr>
          <w:rStyle w:val="normaltextrun"/>
          <w:rFonts w:ascii="Times New Roman" w:hAnsi="Times New Roman"/>
          <w:color w:val="000000"/>
          <w:sz w:val="24"/>
          <w:shd w:val="clear" w:color="auto" w:fill="FFFFFF"/>
        </w:rPr>
        <w:t xml:space="preserve"> </w:t>
      </w:r>
      <w:r w:rsidR="00763338">
        <w:rPr>
          <w:rStyle w:val="normaltextrun"/>
          <w:rFonts w:ascii="Times New Roman" w:hAnsi="Times New Roman"/>
          <w:color w:val="000000"/>
          <w:sz w:val="24"/>
          <w:shd w:val="clear" w:color="auto" w:fill="FFFFFF"/>
        </w:rPr>
        <w:t xml:space="preserve">would still need to consider and </w:t>
      </w:r>
      <w:r w:rsidR="001F4154">
        <w:rPr>
          <w:rStyle w:val="normaltextrun"/>
          <w:rFonts w:ascii="Times New Roman" w:hAnsi="Times New Roman"/>
          <w:color w:val="000000"/>
          <w:sz w:val="24"/>
          <w:shd w:val="clear" w:color="auto" w:fill="FFFFFF"/>
        </w:rPr>
        <w:t>implement</w:t>
      </w:r>
      <w:r>
        <w:rPr>
          <w:rStyle w:val="normaltextrun"/>
          <w:rFonts w:ascii="Times New Roman" w:hAnsi="Times New Roman"/>
          <w:color w:val="000000"/>
          <w:sz w:val="24"/>
          <w:shd w:val="clear" w:color="auto" w:fill="FFFFFF"/>
        </w:rPr>
        <w:t xml:space="preserve">, if practicable, </w:t>
      </w:r>
      <w:r w:rsidR="00101961">
        <w:rPr>
          <w:rStyle w:val="normaltextrun"/>
          <w:rFonts w:ascii="Times New Roman" w:hAnsi="Times New Roman"/>
          <w:color w:val="000000"/>
          <w:sz w:val="24"/>
          <w:shd w:val="clear" w:color="auto" w:fill="FFFFFF"/>
        </w:rPr>
        <w:t xml:space="preserve">other safeguards to reduce </w:t>
      </w:r>
      <w:r>
        <w:rPr>
          <w:rStyle w:val="normaltextrun"/>
          <w:rFonts w:ascii="Times New Roman" w:hAnsi="Times New Roman"/>
          <w:color w:val="000000"/>
          <w:sz w:val="24"/>
          <w:shd w:val="clear" w:color="auto" w:fill="FFFFFF"/>
        </w:rPr>
        <w:t>risks,</w:t>
      </w:r>
      <w:r w:rsidR="00B5583E">
        <w:rPr>
          <w:rStyle w:val="normaltextrun"/>
          <w:rFonts w:ascii="Times New Roman" w:hAnsi="Times New Roman"/>
          <w:color w:val="000000"/>
          <w:sz w:val="24"/>
          <w:shd w:val="clear" w:color="auto" w:fill="FFFFFF"/>
        </w:rPr>
        <w:t xml:space="preserve"> including</w:t>
      </w:r>
      <w:r>
        <w:rPr>
          <w:rStyle w:val="normaltextrun"/>
          <w:rFonts w:ascii="Times New Roman" w:hAnsi="Times New Roman"/>
          <w:color w:val="000000"/>
          <w:sz w:val="24"/>
          <w:shd w:val="clear" w:color="auto" w:fill="FFFFFF"/>
        </w:rPr>
        <w:t xml:space="preserve"> </w:t>
      </w:r>
      <w:r w:rsidRPr="00B81555" w:rsidR="00B81555">
        <w:rPr>
          <w:rStyle w:val="normaltextrun"/>
          <w:rFonts w:ascii="Times New Roman" w:hAnsi="Times New Roman"/>
          <w:color w:val="000000"/>
          <w:sz w:val="24"/>
          <w:shd w:val="clear" w:color="auto" w:fill="FFFFFF"/>
        </w:rPr>
        <w:t>at least one passive measure, or an inherently safer technology or design, or a combination of active and procedural measures equivalent to or greater than the risk reduction of a passive measure</w:t>
      </w:r>
      <w:r w:rsidR="00136018">
        <w:rPr>
          <w:rStyle w:val="normaltextrun"/>
          <w:rFonts w:ascii="Times New Roman" w:hAnsi="Times New Roman"/>
          <w:color w:val="000000"/>
          <w:sz w:val="24"/>
          <w:shd w:val="clear" w:color="auto" w:fill="FFFFFF"/>
        </w:rPr>
        <w:t>.</w:t>
      </w:r>
      <w:r w:rsidRPr="004F790E" w:rsidR="004F790E">
        <w:rPr>
          <w:rStyle w:val="normaltextrun"/>
          <w:rFonts w:ascii="Times New Roman" w:hAnsi="Times New Roman"/>
          <w:color w:val="000000"/>
          <w:sz w:val="24"/>
          <w:shd w:val="clear" w:color="auto" w:fill="FFFFFF"/>
        </w:rPr>
        <w:t xml:space="preserve"> EPA believes that measures lower on the hierarchy of controls, passive, active and procedural measures, when implemented appropriately, can be used to help operate a hazardous chemical process safely and can also reduce hazard risks of that process. When compared with IST, these measures could also more likely be added, modified, and improved </w:t>
      </w:r>
      <w:r w:rsidR="00BC12B5">
        <w:rPr>
          <w:rStyle w:val="normaltextrun"/>
          <w:rFonts w:ascii="Times New Roman" w:hAnsi="Times New Roman"/>
          <w:color w:val="000000"/>
          <w:sz w:val="24"/>
          <w:shd w:val="clear" w:color="auto" w:fill="FFFFFF"/>
        </w:rPr>
        <w:t xml:space="preserve">at </w:t>
      </w:r>
      <w:r w:rsidR="008D614A">
        <w:rPr>
          <w:rStyle w:val="normaltextrun"/>
          <w:rFonts w:ascii="Times New Roman" w:hAnsi="Times New Roman"/>
          <w:color w:val="000000"/>
          <w:sz w:val="24"/>
          <w:shd w:val="clear" w:color="auto" w:fill="FFFFFF"/>
        </w:rPr>
        <w:t xml:space="preserve">variable </w:t>
      </w:r>
      <w:r w:rsidR="008E13FC">
        <w:rPr>
          <w:rStyle w:val="normaltextrun"/>
          <w:rFonts w:ascii="Times New Roman" w:hAnsi="Times New Roman"/>
          <w:color w:val="000000"/>
          <w:sz w:val="24"/>
          <w:shd w:val="clear" w:color="auto" w:fill="FFFFFF"/>
        </w:rPr>
        <w:t>chemica</w:t>
      </w:r>
      <w:r w:rsidR="001672D1">
        <w:rPr>
          <w:rStyle w:val="normaltextrun"/>
          <w:rFonts w:ascii="Times New Roman" w:hAnsi="Times New Roman"/>
          <w:color w:val="000000"/>
          <w:sz w:val="24"/>
          <w:shd w:val="clear" w:color="auto" w:fill="FFFFFF"/>
        </w:rPr>
        <w:t>l operations such as batch toll manufacturing facilities.</w:t>
      </w:r>
    </w:p>
    <w:p w:rsidR="00136C01" w:rsidRPr="002B12ED" w:rsidP="00136C01" w14:paraId="4B15BEBB" w14:textId="41243E38">
      <w:pPr>
        <w:ind w:left="720"/>
        <w:rPr>
          <w:rFonts w:ascii="Times New Roman" w:hAnsi="Times New Roman"/>
          <w:sz w:val="24"/>
        </w:rPr>
      </w:pPr>
      <w:r>
        <w:rPr>
          <w:rFonts w:ascii="Times New Roman" w:hAnsi="Times New Roman"/>
          <w:sz w:val="24"/>
        </w:rPr>
        <w:t>In regard to</w:t>
      </w:r>
      <w:r>
        <w:rPr>
          <w:rFonts w:ascii="Times New Roman" w:hAnsi="Times New Roman"/>
          <w:sz w:val="24"/>
        </w:rPr>
        <w:t xml:space="preserve"> third-party audits, </w:t>
      </w:r>
      <w:r w:rsidRPr="002B12ED">
        <w:rPr>
          <w:rFonts w:ascii="Times New Roman" w:hAnsi="Times New Roman"/>
          <w:sz w:val="24"/>
        </w:rPr>
        <w:t>EPA is finalizing an approach that allows owners or operators to meet their third-party auditing obligations either by:</w:t>
      </w:r>
    </w:p>
    <w:p w:rsidR="00136C01" w:rsidRPr="002B12ED" w:rsidP="00E57324" w14:paraId="1C42F06A" w14:textId="77777777">
      <w:pPr>
        <w:pStyle w:val="ListParagraph"/>
        <w:numPr>
          <w:ilvl w:val="0"/>
          <w:numId w:val="9"/>
        </w:numPr>
        <w:ind w:left="1440"/>
        <w:rPr>
          <w:rFonts w:ascii="Times New Roman" w:hAnsi="Times New Roman"/>
          <w:sz w:val="24"/>
        </w:rPr>
      </w:pPr>
      <w:r w:rsidRPr="002B12ED">
        <w:rPr>
          <w:rFonts w:ascii="Times New Roman" w:hAnsi="Times New Roman"/>
          <w:sz w:val="24"/>
        </w:rPr>
        <w:t>Engaging third-party auditors meeting all applicable competency and independence criteria, as originally proposed, or</w:t>
      </w:r>
    </w:p>
    <w:p w:rsidR="00136C01" w:rsidRPr="002B12ED" w:rsidP="00E57324" w14:paraId="4F0DDC3D" w14:textId="77777777">
      <w:pPr>
        <w:pStyle w:val="ListParagraph"/>
        <w:numPr>
          <w:ilvl w:val="0"/>
          <w:numId w:val="9"/>
        </w:numPr>
        <w:ind w:left="1440"/>
        <w:rPr>
          <w:rFonts w:ascii="Times New Roman" w:hAnsi="Times New Roman"/>
          <w:sz w:val="24"/>
        </w:rPr>
      </w:pPr>
      <w:r w:rsidRPr="002B12ED">
        <w:rPr>
          <w:rFonts w:ascii="Times New Roman" w:hAnsi="Times New Roman"/>
          <w:sz w:val="24"/>
        </w:rPr>
        <w:t>By assembling an auditing team which is led by a third-party auditor but may include other audit team members. The audit team may be comprised of:</w:t>
      </w:r>
    </w:p>
    <w:p w:rsidR="00136C01" w:rsidRPr="002B12ED" w:rsidP="00E57324" w14:paraId="61C6DFCF" w14:textId="77777777">
      <w:pPr>
        <w:pStyle w:val="ListParagraph"/>
        <w:numPr>
          <w:ilvl w:val="1"/>
          <w:numId w:val="9"/>
        </w:numPr>
        <w:ind w:left="2160"/>
        <w:rPr>
          <w:rFonts w:ascii="Times New Roman" w:hAnsi="Times New Roman"/>
          <w:sz w:val="24"/>
        </w:rPr>
      </w:pPr>
      <w:r w:rsidRPr="002B12ED">
        <w:rPr>
          <w:rFonts w:ascii="Times New Roman" w:hAnsi="Times New Roman"/>
          <w:sz w:val="24"/>
        </w:rPr>
        <w:t>A team leader – this must be an employee of the third-party auditor firm who meets all of the competency and independence criteria of the rule;</w:t>
      </w:r>
    </w:p>
    <w:p w:rsidR="00136C01" w:rsidRPr="002B12ED" w:rsidP="00E57324" w14:paraId="2584E543" w14:textId="77777777">
      <w:pPr>
        <w:pStyle w:val="ListParagraph"/>
        <w:numPr>
          <w:ilvl w:val="1"/>
          <w:numId w:val="9"/>
        </w:numPr>
        <w:ind w:left="2160"/>
        <w:rPr>
          <w:rFonts w:ascii="Times New Roman" w:hAnsi="Times New Roman"/>
          <w:sz w:val="24"/>
        </w:rPr>
      </w:pPr>
      <w:r w:rsidRPr="002B12ED">
        <w:rPr>
          <w:rFonts w:ascii="Times New Roman" w:hAnsi="Times New Roman"/>
          <w:sz w:val="24"/>
        </w:rPr>
        <w:t>Other employees of the third-party auditor firm – these personnel must meet the independence criteria of the rule; and</w:t>
      </w:r>
    </w:p>
    <w:p w:rsidR="00136C01" w:rsidRPr="002B12ED" w:rsidP="00E57324" w14:paraId="765C05BE" w14:textId="77777777">
      <w:pPr>
        <w:pStyle w:val="ListParagraph"/>
        <w:numPr>
          <w:ilvl w:val="1"/>
          <w:numId w:val="9"/>
        </w:numPr>
        <w:ind w:left="2160"/>
        <w:rPr>
          <w:rFonts w:ascii="Times New Roman" w:hAnsi="Times New Roman"/>
          <w:sz w:val="24"/>
        </w:rPr>
      </w:pPr>
      <w:r w:rsidRPr="002B12ED">
        <w:rPr>
          <w:rFonts w:ascii="Times New Roman" w:hAnsi="Times New Roman"/>
          <w:sz w:val="24"/>
        </w:rPr>
        <w:t>Other personnel not employed by the third-party auditor firm (e.g. facility personnel or employees of another consulting firm with specialized expertise) – these personnel are not required to meet the competency and/or independence criteria of the rule.</w:t>
      </w:r>
    </w:p>
    <w:p w:rsidR="00136C01" w:rsidP="00136C01" w14:paraId="43553206" w14:textId="77777777">
      <w:pPr>
        <w:ind w:left="720"/>
        <w:rPr>
          <w:rFonts w:ascii="Times New Roman" w:hAnsi="Times New Roman"/>
          <w:sz w:val="24"/>
        </w:rPr>
      </w:pPr>
      <w:r w:rsidRPr="00BF76F2">
        <w:rPr>
          <w:rFonts w:ascii="Times New Roman" w:hAnsi="Times New Roman"/>
          <w:sz w:val="24"/>
        </w:rPr>
        <w:t>EPA believes that allowing facility personnel and other knowledgeable but independent contractors and consultants to participate in the audit would improve the audit teams’ performance and outcomes. This approach will allow qualified personnel with critical sector or facility-specific experience to participate in the audit and enable facility personnel to provide input during the compliance audit. EPA also notes that having a third-party conduct a compliance audit does not preclude the facility from conducting an in-house compliance audit in tandem. If the goal is to ensure that preventative measures are in place to prevent future accidents, EPA hopes that a facility would want to implement all such measures to ensure it is compliant.</w:t>
      </w:r>
    </w:p>
    <w:p w:rsidR="00136C01" w:rsidP="00136C01" w14:paraId="366CEE84" w14:textId="77777777">
      <w:pPr>
        <w:ind w:left="720"/>
        <w:rPr>
          <w:rFonts w:ascii="Times New Roman" w:hAnsi="Times New Roman"/>
          <w:sz w:val="24"/>
        </w:rPr>
      </w:pPr>
      <w:r w:rsidRPr="0044230D">
        <w:rPr>
          <w:rFonts w:ascii="Times New Roman" w:hAnsi="Times New Roman"/>
          <w:sz w:val="24"/>
        </w:rPr>
        <w:t xml:space="preserve">EPA </w:t>
      </w:r>
      <w:r>
        <w:rPr>
          <w:rFonts w:ascii="Times New Roman" w:hAnsi="Times New Roman"/>
          <w:sz w:val="24"/>
        </w:rPr>
        <w:t xml:space="preserve">further </w:t>
      </w:r>
      <w:r w:rsidRPr="0044230D">
        <w:rPr>
          <w:rFonts w:ascii="Times New Roman" w:hAnsi="Times New Roman"/>
          <w:sz w:val="24"/>
        </w:rPr>
        <w:t xml:space="preserve">notes that these independence requirements were simplified and streamlined from the 2017 rule, which included a limitation for auditors who conducted consulting type services for the owner or operator within the last two years, or for a period of at least 2 years following the audit report. EPA believes the provision, as adopted, ensures </w:t>
      </w:r>
      <w:r w:rsidRPr="0044230D">
        <w:rPr>
          <w:rFonts w:ascii="Times New Roman" w:hAnsi="Times New Roman"/>
          <w:sz w:val="24"/>
        </w:rPr>
        <w:t xml:space="preserve">additional available independent auditors to act in an independent and impartial manner, allowing more flexibility in choosing auditors.  </w:t>
      </w:r>
    </w:p>
    <w:p w:rsidR="00CA48D1" w:rsidP="00025134" w14:paraId="18A7ACB7" w14:textId="25744AA1">
      <w:pPr>
        <w:ind w:left="720"/>
        <w:rPr>
          <w:rStyle w:val="normaltextrun"/>
          <w:rFonts w:ascii="Times New Roman" w:hAnsi="Times New Roman"/>
          <w:color w:val="000000"/>
          <w:sz w:val="24"/>
          <w:shd w:val="clear" w:color="auto" w:fill="FFFFFF"/>
        </w:rPr>
      </w:pPr>
      <w:r>
        <w:rPr>
          <w:rStyle w:val="normaltextrun"/>
          <w:rFonts w:ascii="Times New Roman" w:hAnsi="Times New Roman"/>
          <w:color w:val="000000"/>
          <w:sz w:val="24"/>
          <w:shd w:val="clear" w:color="auto" w:fill="FFFFFF"/>
        </w:rPr>
        <w:t>Lastly</w:t>
      </w:r>
      <w:r w:rsidRPr="00CA48D1">
        <w:rPr>
          <w:rStyle w:val="normaltextrun"/>
          <w:rFonts w:ascii="Times New Roman" w:hAnsi="Times New Roman"/>
          <w:color w:val="000000"/>
          <w:sz w:val="24"/>
          <w:shd w:val="clear" w:color="auto" w:fill="FFFFFF"/>
        </w:rPr>
        <w:t>, as stated in the SCCAP proposal, EPA acknowledges the need for considering expanding fenceline monitoring for RMP-regulated facilities. While EPA is considering this issue for a future action, it is beyond the scope of this rulemaking.</w:t>
      </w:r>
    </w:p>
    <w:p w:rsidR="00025134" w:rsidRPr="00EF091F" w:rsidP="00025134" w14:paraId="0D1C340A" w14:textId="7D02319B">
      <w:pPr>
        <w:rPr>
          <w:rFonts w:ascii="Times New Roman" w:hAnsi="Times New Roman"/>
          <w:b/>
          <w:bCs/>
          <w:sz w:val="24"/>
        </w:rPr>
      </w:pPr>
      <w:r>
        <w:rPr>
          <w:rFonts w:ascii="Times New Roman" w:hAnsi="Times New Roman"/>
          <w:b/>
          <w:bCs/>
          <w:sz w:val="24"/>
        </w:rPr>
        <w:t>Comment 1.5-0</w:t>
      </w:r>
      <w:r w:rsidR="0077776F">
        <w:rPr>
          <w:rFonts w:ascii="Times New Roman" w:hAnsi="Times New Roman"/>
          <w:b/>
          <w:bCs/>
          <w:sz w:val="24"/>
        </w:rPr>
        <w:t>7</w:t>
      </w:r>
      <w:r>
        <w:rPr>
          <w:rFonts w:ascii="Times New Roman" w:hAnsi="Times New Roman"/>
          <w:b/>
          <w:bCs/>
          <w:sz w:val="24"/>
        </w:rPr>
        <w:t xml:space="preserve">: </w:t>
      </w:r>
      <w:r w:rsidRPr="006F68E9">
        <w:rPr>
          <w:rFonts w:ascii="Times New Roman" w:hAnsi="Times New Roman"/>
          <w:sz w:val="24"/>
        </w:rPr>
        <w:t xml:space="preserve">Citing the water </w:t>
      </w:r>
      <w:r w:rsidRPr="23183FED">
        <w:rPr>
          <w:rFonts w:ascii="Times New Roman" w:hAnsi="Times New Roman"/>
          <w:sz w:val="24"/>
        </w:rPr>
        <w:t>sector</w:t>
      </w:r>
      <w:r w:rsidRPr="23183FED" w:rsidR="3C410DE8">
        <w:rPr>
          <w:rFonts w:ascii="Times New Roman" w:hAnsi="Times New Roman"/>
          <w:sz w:val="24"/>
        </w:rPr>
        <w:t>’</w:t>
      </w:r>
      <w:r w:rsidRPr="23183FED">
        <w:rPr>
          <w:rFonts w:ascii="Times New Roman" w:hAnsi="Times New Roman"/>
          <w:sz w:val="24"/>
        </w:rPr>
        <w:t>s</w:t>
      </w:r>
      <w:r w:rsidRPr="006F68E9">
        <w:rPr>
          <w:rFonts w:ascii="Times New Roman" w:hAnsi="Times New Roman"/>
          <w:sz w:val="24"/>
        </w:rPr>
        <w:t xml:space="preserve"> demonstrated record of safety under the existing RMP rule, another commenter asked how additional regulatory requirements could meaningfully reduce the risk or reportable incidents beyond the sector’s extremely low baseline. The commenter called on EPA to recognize differences in water sector size, operations, processes, class, and categories of sources when developing the RMP requirements and provide additional regulatory flexibilities. The commenter added that new regulatory requirements that constrain operational choices regarding water contamination control technologies must be carefully weighed again a continued ability to provide these services without compromising public health. The commenter recommended that EPA tailor the RMP regulatory requirements to account for the water sector’s differentiated characteristics. The commenter added that this approach would classify facilities under NAICS codes 22131 and 22132 under a “lowest risk” subset of EPA’s existing “simple process” category</w:t>
      </w:r>
      <w:r>
        <w:rPr>
          <w:rFonts w:ascii="Times New Roman" w:hAnsi="Times New Roman"/>
          <w:sz w:val="24"/>
        </w:rPr>
        <w:t xml:space="preserve"> </w:t>
      </w:r>
      <w:r w:rsidRPr="006F68E9">
        <w:rPr>
          <w:rFonts w:ascii="Times New Roman" w:hAnsi="Times New Roman"/>
          <w:sz w:val="24"/>
        </w:rPr>
        <w:t>(0239).</w:t>
      </w:r>
    </w:p>
    <w:p w:rsidR="008A6D72" w:rsidRPr="000F78B9" w:rsidP="325D7EBF" w14:paraId="6886D9DB" w14:textId="63327994">
      <w:pPr>
        <w:ind w:left="720"/>
        <w:rPr>
          <w:rFonts w:ascii="Times New Roman" w:hAnsi="Times New Roman"/>
          <w:sz w:val="24"/>
        </w:rPr>
      </w:pPr>
      <w:r w:rsidRPr="00657BAB">
        <w:rPr>
          <w:rFonts w:ascii="Times New Roman" w:hAnsi="Times New Roman"/>
          <w:b/>
          <w:bCs/>
          <w:sz w:val="24"/>
        </w:rPr>
        <w:t>EPA Response:</w:t>
      </w:r>
      <w:r w:rsidR="00611575">
        <w:rPr>
          <w:rFonts w:ascii="Times New Roman" w:hAnsi="Times New Roman"/>
          <w:b/>
          <w:bCs/>
          <w:sz w:val="24"/>
        </w:rPr>
        <w:t xml:space="preserve"> </w:t>
      </w:r>
      <w:r w:rsidRPr="4136E87B" w:rsidR="276D9EF0">
        <w:rPr>
          <w:rFonts w:ascii="Times New Roman" w:hAnsi="Times New Roman"/>
          <w:sz w:val="24"/>
        </w:rPr>
        <w:t>I</w:t>
      </w:r>
      <w:r w:rsidRPr="4136E87B" w:rsidR="399831AE">
        <w:rPr>
          <w:rFonts w:ascii="Times New Roman" w:hAnsi="Times New Roman"/>
          <w:sz w:val="24"/>
        </w:rPr>
        <w:t>nitially, EPA notes that the requirements related to STAA only apply within the chemical manufacturing sect</w:t>
      </w:r>
      <w:r w:rsidRPr="4136E87B" w:rsidR="53770EC7">
        <w:rPr>
          <w:rFonts w:ascii="Times New Roman" w:hAnsi="Times New Roman"/>
          <w:sz w:val="24"/>
        </w:rPr>
        <w:t>or and the petroleum refining sector, not the water sector. Furthermore, the requirements related to root cause incident investigation and third-p</w:t>
      </w:r>
      <w:r w:rsidRPr="4136E87B" w:rsidR="113ABD92">
        <w:rPr>
          <w:rFonts w:ascii="Times New Roman" w:hAnsi="Times New Roman"/>
          <w:sz w:val="24"/>
        </w:rPr>
        <w:t xml:space="preserve">arty audits only apply to sources that have had accidental releases. Thus, regardless of </w:t>
      </w:r>
      <w:r w:rsidRPr="4136E87B" w:rsidR="13C0EC94">
        <w:rPr>
          <w:rFonts w:ascii="Times New Roman" w:hAnsi="Times New Roman"/>
          <w:sz w:val="24"/>
        </w:rPr>
        <w:t>accident history of the water sector, only those facilities within the sector with a demonstrated record of safe</w:t>
      </w:r>
      <w:r w:rsidRPr="4136E87B" w:rsidR="6DD30CF8">
        <w:rPr>
          <w:rFonts w:ascii="Times New Roman" w:hAnsi="Times New Roman"/>
          <w:sz w:val="24"/>
        </w:rPr>
        <w:t>ty failures will be impacted by these major changes to the prevention program.</w:t>
      </w:r>
      <w:r w:rsidRPr="4136E87B" w:rsidR="24A092D0">
        <w:rPr>
          <w:rFonts w:ascii="Times New Roman" w:hAnsi="Times New Roman"/>
          <w:sz w:val="24"/>
        </w:rPr>
        <w:t xml:space="preserve"> There are no constraints on technologies for the water sector under the new reg</w:t>
      </w:r>
      <w:r w:rsidRPr="4136E87B" w:rsidR="58B59E7D">
        <w:rPr>
          <w:rFonts w:ascii="Times New Roman" w:hAnsi="Times New Roman"/>
          <w:sz w:val="24"/>
        </w:rPr>
        <w:t>ulatory requirements.</w:t>
      </w:r>
      <w:r w:rsidRPr="4136E87B" w:rsidR="3C2CD451">
        <w:rPr>
          <w:rFonts w:ascii="Times New Roman" w:hAnsi="Times New Roman"/>
          <w:sz w:val="24"/>
        </w:rPr>
        <w:t xml:space="preserve"> To the extent that water facilities meet the criteria for Program 1, </w:t>
      </w:r>
      <w:r w:rsidRPr="4136E87B" w:rsidR="37AF6AE0">
        <w:rPr>
          <w:rFonts w:ascii="Times New Roman" w:hAnsi="Times New Roman"/>
          <w:sz w:val="24"/>
        </w:rPr>
        <w:t xml:space="preserve">the “lowest risk” program level, </w:t>
      </w:r>
      <w:r w:rsidRPr="4136E87B" w:rsidR="3C2CD451">
        <w:rPr>
          <w:rFonts w:ascii="Times New Roman" w:hAnsi="Times New Roman"/>
          <w:sz w:val="24"/>
        </w:rPr>
        <w:t>individual facilities may</w:t>
      </w:r>
      <w:r w:rsidRPr="4136E87B" w:rsidR="6C97E669">
        <w:rPr>
          <w:rFonts w:ascii="Times New Roman" w:hAnsi="Times New Roman"/>
          <w:sz w:val="24"/>
        </w:rPr>
        <w:t xml:space="preserve"> comply with that program for their prevention and response activ</w:t>
      </w:r>
      <w:r w:rsidRPr="4136E87B" w:rsidR="737A7B33">
        <w:rPr>
          <w:rFonts w:ascii="Times New Roman" w:hAnsi="Times New Roman"/>
          <w:sz w:val="24"/>
        </w:rPr>
        <w:t xml:space="preserve">ities. </w:t>
      </w:r>
      <w:r w:rsidRPr="4136E87B" w:rsidR="2B78F546">
        <w:rPr>
          <w:rFonts w:ascii="Times New Roman" w:hAnsi="Times New Roman"/>
          <w:sz w:val="24"/>
        </w:rPr>
        <w:t xml:space="preserve">With respect to Program 2 and Program 3 classification, while generally Program 2 facilities </w:t>
      </w:r>
      <w:r w:rsidRPr="4136E87B" w:rsidR="15B4C5C3">
        <w:rPr>
          <w:rFonts w:ascii="Times New Roman" w:hAnsi="Times New Roman"/>
          <w:sz w:val="24"/>
        </w:rPr>
        <w:t xml:space="preserve">experience fewer accidents based on historic accident rates, the classification of </w:t>
      </w:r>
      <w:r w:rsidRPr="4136E87B" w:rsidR="4A1159FF">
        <w:rPr>
          <w:rFonts w:ascii="Times New Roman" w:hAnsi="Times New Roman"/>
          <w:sz w:val="24"/>
        </w:rPr>
        <w:t xml:space="preserve">water facilities </w:t>
      </w:r>
      <w:r w:rsidRPr="4136E87B" w:rsidR="15B4C5C3">
        <w:rPr>
          <w:rFonts w:ascii="Times New Roman" w:hAnsi="Times New Roman"/>
          <w:sz w:val="24"/>
        </w:rPr>
        <w:t xml:space="preserve">as Program 2 or Program 3 </w:t>
      </w:r>
      <w:r w:rsidRPr="4136E87B" w:rsidR="77E3F5F7">
        <w:rPr>
          <w:rFonts w:ascii="Times New Roman" w:hAnsi="Times New Roman"/>
          <w:sz w:val="24"/>
        </w:rPr>
        <w:t>processes depends on whether th</w:t>
      </w:r>
      <w:r w:rsidRPr="4136E87B" w:rsidR="39F348AF">
        <w:rPr>
          <w:rFonts w:ascii="Times New Roman" w:hAnsi="Times New Roman"/>
          <w:sz w:val="24"/>
        </w:rPr>
        <w:t>e state has an authorized OSH program</w:t>
      </w:r>
      <w:r w:rsidRPr="4136E87B" w:rsidR="77DD96D4">
        <w:rPr>
          <w:rFonts w:ascii="Times New Roman" w:hAnsi="Times New Roman"/>
          <w:sz w:val="24"/>
        </w:rPr>
        <w:t xml:space="preserve"> rather than risk water treatment processes present. </w:t>
      </w:r>
      <w:r w:rsidRPr="4136E87B" w:rsidR="62196751">
        <w:rPr>
          <w:rFonts w:ascii="Times New Roman" w:hAnsi="Times New Roman"/>
          <w:sz w:val="24"/>
        </w:rPr>
        <w:t xml:space="preserve">Retaining water facilities as Program 3 when otherwise </w:t>
      </w:r>
      <w:r w:rsidRPr="4136E87B" w:rsidR="4535FB56">
        <w:rPr>
          <w:rFonts w:ascii="Times New Roman" w:hAnsi="Times New Roman"/>
          <w:sz w:val="24"/>
        </w:rPr>
        <w:t xml:space="preserve">a </w:t>
      </w:r>
      <w:r w:rsidRPr="4136E87B" w:rsidR="62196751">
        <w:rPr>
          <w:rFonts w:ascii="Times New Roman" w:hAnsi="Times New Roman"/>
          <w:sz w:val="24"/>
        </w:rPr>
        <w:t xml:space="preserve">PSM program would apply </w:t>
      </w:r>
      <w:r w:rsidRPr="4136E87B" w:rsidR="4DF1082F">
        <w:rPr>
          <w:rFonts w:ascii="Times New Roman" w:hAnsi="Times New Roman"/>
          <w:sz w:val="24"/>
        </w:rPr>
        <w:t>generally simplifies compliance for regulated sources.</w:t>
      </w:r>
    </w:p>
    <w:p w:rsidR="008A6D72" w:rsidRPr="000F78B9" w:rsidP="0051089E" w14:paraId="79406358" w14:textId="5794E587">
      <w:pPr>
        <w:ind w:left="720"/>
        <w:rPr>
          <w:rFonts w:ascii="Times New Roman" w:hAnsi="Times New Roman"/>
          <w:sz w:val="24"/>
        </w:rPr>
      </w:pPr>
      <w:r>
        <w:rPr>
          <w:rFonts w:ascii="Times New Roman" w:hAnsi="Times New Roman"/>
          <w:sz w:val="24"/>
        </w:rPr>
        <w:t>The</w:t>
      </w:r>
      <w:r w:rsidRPr="003A6555" w:rsidR="003A6555">
        <w:rPr>
          <w:rFonts w:ascii="Times New Roman" w:hAnsi="Times New Roman"/>
          <w:sz w:val="24"/>
        </w:rPr>
        <w:t xml:space="preserve"> </w:t>
      </w:r>
      <w:r w:rsidRPr="003A6555" w:rsidR="003A6555">
        <w:rPr>
          <w:rFonts w:ascii="Times New Roman" w:hAnsi="Times New Roman"/>
          <w:sz w:val="24"/>
        </w:rPr>
        <w:t>fact that accidents continue to occur shows that we still have reason to exercise statutory authority to promulgate reasonable regulations to provide for the prevention and detection of those accidents to the greatest extent practicable when the opportunity exists to improve the performance of our regulatory program.</w:t>
      </w:r>
      <w:r w:rsidRPr="003A6555" w:rsidR="003A6555">
        <w:rPr>
          <w:rFonts w:ascii="Times New Roman" w:hAnsi="Times New Roman"/>
          <w:b/>
          <w:bCs/>
          <w:sz w:val="24"/>
        </w:rPr>
        <w:t xml:space="preserve"> </w:t>
      </w:r>
      <w:r w:rsidRPr="004D6528" w:rsidR="004D6528">
        <w:rPr>
          <w:rFonts w:ascii="Times New Roman" w:hAnsi="Times New Roman"/>
          <w:sz w:val="24"/>
        </w:rPr>
        <w:t>When</w:t>
      </w:r>
      <w:r w:rsidRPr="004D6528" w:rsidR="00BC3376">
        <w:rPr>
          <w:rFonts w:ascii="Times New Roman" w:hAnsi="Times New Roman"/>
          <w:sz w:val="24"/>
        </w:rPr>
        <w:t xml:space="preserve"> </w:t>
      </w:r>
      <w:r w:rsidRPr="004D6528" w:rsidR="0051089E">
        <w:rPr>
          <w:rFonts w:ascii="Times New Roman" w:hAnsi="Times New Roman"/>
          <w:sz w:val="24"/>
        </w:rPr>
        <w:t xml:space="preserve">determining </w:t>
      </w:r>
      <w:r w:rsidRPr="0051089E" w:rsidR="0051089E">
        <w:rPr>
          <w:rFonts w:ascii="Times New Roman" w:hAnsi="Times New Roman"/>
          <w:sz w:val="24"/>
        </w:rPr>
        <w:t>what is “reasonable” when developing regulations under CAA section 112(r)(7)(B)</w:t>
      </w:r>
      <w:r w:rsidR="008E5EB3">
        <w:rPr>
          <w:rFonts w:ascii="Times New Roman" w:hAnsi="Times New Roman"/>
          <w:sz w:val="24"/>
        </w:rPr>
        <w:t>(i)</w:t>
      </w:r>
      <w:r w:rsidRPr="0051089E" w:rsidR="0051089E">
        <w:rPr>
          <w:rFonts w:ascii="Times New Roman" w:hAnsi="Times New Roman"/>
          <w:sz w:val="24"/>
        </w:rPr>
        <w:t xml:space="preserve">, EPA acknowledges that some facilities are less likely to have an accidental release than others and that the statute gives the Agency the authority to distinguish among classes of facilities. When developing this rulemaking, EPA therefore had the authority to include multiple factors when determining what is reasonable, such as frequency of RMP accidents or proximity to both nearby communities and other RMP facilities that could, as a result, make the communities and other facilities be more susceptible when it comes to being exposed to a worst-case scenario. </w:t>
      </w:r>
      <w:r w:rsidRPr="009929CE" w:rsidR="00D8057E">
        <w:rPr>
          <w:rFonts w:ascii="Times New Roman" w:hAnsi="Times New Roman"/>
          <w:sz w:val="24"/>
        </w:rPr>
        <w:t xml:space="preserve">For example, as mentioned in the proposed </w:t>
      </w:r>
      <w:r w:rsidRPr="009929CE" w:rsidR="00D8057E">
        <w:rPr>
          <w:rFonts w:ascii="Times New Roman" w:hAnsi="Times New Roman"/>
          <w:sz w:val="24"/>
        </w:rPr>
        <w:t>rulemaking, the per facility accident rate between 2016 and 2020</w:t>
      </w:r>
      <w:r>
        <w:rPr>
          <w:rStyle w:val="FootnoteReference"/>
          <w:rFonts w:ascii="Times New Roman" w:hAnsi="Times New Roman"/>
          <w:sz w:val="24"/>
        </w:rPr>
        <w:footnoteReference w:id="14"/>
      </w:r>
      <w:r w:rsidRPr="003168B3" w:rsidR="00D8057E">
        <w:rPr>
          <w:rFonts w:ascii="Times New Roman" w:hAnsi="Times New Roman"/>
          <w:sz w:val="24"/>
        </w:rPr>
        <w:t xml:space="preserve"> </w:t>
      </w:r>
      <w:r w:rsidRPr="009929CE" w:rsidR="00D8057E">
        <w:rPr>
          <w:rFonts w:ascii="Times New Roman" w:hAnsi="Times New Roman"/>
          <w:sz w:val="24"/>
        </w:rPr>
        <w:t xml:space="preserve">for all regulated facilities </w:t>
      </w:r>
      <w:r w:rsidRPr="009929CE" w:rsidR="00D8057E">
        <w:rPr>
          <w:rFonts w:ascii="Times New Roman" w:hAnsi="Times New Roman"/>
          <w:sz w:val="24"/>
        </w:rPr>
        <w:t>was 3 percent (n = 382 facilities reporting at least one accident out of 12,855 unique facilities reporting between 2016 and 2020), the sector accident rates (number of unique facilities with accidents per sector divided by the number of unique facilities in each sector) for petroleum and coal manufacturing were seven times higher (23 percent, n = 41 out of 177) and two times higher for chemical manufacturing (6 percent, n = 96 out of 1631).  Also, based on accidents occurring between 2016 and 2020, communities located near facilities in NAICS 324/325 that are located within 1 mile of another 324/325 facility are 1.5 times more likely to have been exposed to accidents at these facilities as compared to communities near facilities in NAICS 324/325 that are not located within 1 mile of another 324/325 facility (87 FR 53578)</w:t>
      </w:r>
      <w:r>
        <w:rPr>
          <w:rStyle w:val="FootnoteReference"/>
          <w:rFonts w:ascii="Times New Roman" w:hAnsi="Times New Roman"/>
          <w:sz w:val="24"/>
        </w:rPr>
        <w:footnoteReference w:id="15"/>
      </w:r>
      <w:r w:rsidRPr="009929CE" w:rsidR="00D8057E">
        <w:rPr>
          <w:rFonts w:ascii="Times New Roman" w:hAnsi="Times New Roman"/>
          <w:sz w:val="24"/>
        </w:rPr>
        <w:t>. Also</w:t>
      </w:r>
      <w:r w:rsidRPr="0051089E" w:rsidR="0051089E">
        <w:rPr>
          <w:rFonts w:ascii="Times New Roman" w:hAnsi="Times New Roman"/>
          <w:sz w:val="24"/>
        </w:rPr>
        <w:t xml:space="preserve"> mentioned in the proposed rulemaking, these surrounding communities would benefit from rule-based prevention prior to incidents, rather than the case-by-case oversight approach of the 2019 reconsideration rule</w:t>
      </w:r>
      <w:r w:rsidR="000203BF">
        <w:rPr>
          <w:rFonts w:ascii="Times New Roman" w:hAnsi="Times New Roman"/>
          <w:sz w:val="24"/>
        </w:rPr>
        <w:t xml:space="preserve"> </w:t>
      </w:r>
      <w:r w:rsidRPr="000203BF" w:rsidR="000203BF">
        <w:rPr>
          <w:rFonts w:ascii="Times New Roman" w:hAnsi="Times New Roman"/>
          <w:sz w:val="24"/>
        </w:rPr>
        <w:t>(87 FR 53565)</w:t>
      </w:r>
      <w:r w:rsidRPr="0051089E" w:rsidR="0051089E">
        <w:rPr>
          <w:rFonts w:ascii="Times New Roman" w:hAnsi="Times New Roman"/>
          <w:sz w:val="24"/>
        </w:rPr>
        <w:t xml:space="preserve">. </w:t>
      </w:r>
    </w:p>
    <w:p w:rsidR="00025134" w:rsidRPr="007029A4" w:rsidP="00025134" w14:paraId="72D6100B" w14:textId="4474CEF1">
      <w:pPr>
        <w:rPr>
          <w:rFonts w:ascii="Times New Roman" w:hAnsi="Times New Roman"/>
          <w:b/>
          <w:bCs/>
          <w:sz w:val="24"/>
        </w:rPr>
      </w:pPr>
      <w:r w:rsidRPr="00106E3E">
        <w:rPr>
          <w:rFonts w:ascii="Times New Roman" w:hAnsi="Times New Roman"/>
          <w:b/>
          <w:bCs/>
          <w:sz w:val="24"/>
        </w:rPr>
        <w:t>Comment 1.5-0</w:t>
      </w:r>
      <w:r w:rsidR="0077776F">
        <w:rPr>
          <w:rFonts w:ascii="Times New Roman" w:hAnsi="Times New Roman"/>
          <w:b/>
          <w:bCs/>
          <w:sz w:val="24"/>
        </w:rPr>
        <w:t>8</w:t>
      </w:r>
      <w:r w:rsidRPr="00106E3E">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Pointing to current data on incidents by NAICS or industry sector code showing reported human or ecological harm, another commenter stated that the data show that EPA must ensure strong new prevention measures to cover the chemical manufacturing sector, petroleum refinery and oil and gas sector, pulp and paper sector, farm supplies and industrial agricultural sector (including fertilizer and pesticide production), and the water supply and sewage treatment sector. The commenter added that each of these sectors have some of the largest share of reported harm incidents. The commenter added that EPA should provide protection for more people and more communities from chemical disasters by expanding the program’s coverage to more chemicals and hazardous facilities, including their distribution network (0456).</w:t>
      </w:r>
    </w:p>
    <w:p w:rsidR="00201126" w:rsidP="00CE2902" w14:paraId="2854A074" w14:textId="056C6E10">
      <w:pPr>
        <w:ind w:left="720"/>
        <w:rPr>
          <w:rFonts w:ascii="Times New Roman" w:eastAsia="Calibri" w:hAnsi="Times New Roman"/>
          <w:sz w:val="24"/>
        </w:rPr>
      </w:pPr>
      <w:r w:rsidRPr="006D72C7">
        <w:rPr>
          <w:rFonts w:ascii="Times New Roman" w:eastAsia="Calibri" w:hAnsi="Times New Roman"/>
          <w:b/>
          <w:bCs/>
          <w:sz w:val="24"/>
        </w:rPr>
        <w:t>EPA Response:</w:t>
      </w:r>
      <w:r w:rsidRPr="00CE2902" w:rsidR="00CE2902">
        <w:t xml:space="preserve"> </w:t>
      </w:r>
      <w:r w:rsidRPr="00241C0F" w:rsidR="00215719">
        <w:rPr>
          <w:rFonts w:ascii="Times New Roman" w:hAnsi="Times New Roman"/>
          <w:sz w:val="24"/>
        </w:rPr>
        <w:t xml:space="preserve">When major </w:t>
      </w:r>
      <w:r w:rsidR="00F67D0A">
        <w:rPr>
          <w:rFonts w:ascii="Times New Roman" w:hAnsi="Times New Roman"/>
          <w:sz w:val="24"/>
        </w:rPr>
        <w:t xml:space="preserve">concerning </w:t>
      </w:r>
      <w:r w:rsidRPr="00241C0F" w:rsidR="00215719">
        <w:rPr>
          <w:rFonts w:ascii="Times New Roman" w:hAnsi="Times New Roman"/>
          <w:sz w:val="24"/>
        </w:rPr>
        <w:t>RMP accidents</w:t>
      </w:r>
      <w:r w:rsidR="00F67D0A">
        <w:rPr>
          <w:rFonts w:ascii="Times New Roman" w:hAnsi="Times New Roman"/>
          <w:sz w:val="24"/>
        </w:rPr>
        <w:t>, including major accidents,</w:t>
      </w:r>
      <w:r w:rsidRPr="00241C0F" w:rsidR="00215719">
        <w:rPr>
          <w:rFonts w:ascii="Times New Roman" w:hAnsi="Times New Roman"/>
          <w:sz w:val="24"/>
        </w:rPr>
        <w:t xml:space="preserve"> continue to occur as they </w:t>
      </w:r>
      <w:r w:rsidRPr="00241C0F" w:rsidR="0088491B">
        <w:rPr>
          <w:rFonts w:ascii="Times New Roman" w:hAnsi="Times New Roman"/>
          <w:sz w:val="24"/>
        </w:rPr>
        <w:t>have, it</w:t>
      </w:r>
      <w:r w:rsidRPr="00241C0F" w:rsidR="00215719">
        <w:rPr>
          <w:rFonts w:ascii="Times New Roman" w:hAnsi="Times New Roman"/>
          <w:sz w:val="24"/>
        </w:rPr>
        <w:t xml:space="preserve"> is EPA’s responsibility to further protect human health and the environment, if there are reasonable opportunities to do so.</w:t>
      </w:r>
      <w:r w:rsidRPr="00215719" w:rsidR="00215719">
        <w:t xml:space="preserve"> </w:t>
      </w:r>
      <w:r w:rsidRPr="00A66399" w:rsidR="00CE2902">
        <w:rPr>
          <w:rFonts w:ascii="Times New Roman" w:eastAsia="Calibri" w:hAnsi="Times New Roman"/>
          <w:sz w:val="24"/>
        </w:rPr>
        <w:t>Many of the amendments being finalized in t</w:t>
      </w:r>
      <w:r w:rsidRPr="00A66399" w:rsidR="000B4ED8">
        <w:rPr>
          <w:rFonts w:ascii="Times New Roman" w:eastAsia="Calibri" w:hAnsi="Times New Roman"/>
          <w:sz w:val="24"/>
        </w:rPr>
        <w:t>he SCCAP final rule</w:t>
      </w:r>
      <w:r w:rsidRPr="00A66399" w:rsidR="00CE2902">
        <w:rPr>
          <w:rFonts w:ascii="Times New Roman" w:eastAsia="Calibri" w:hAnsi="Times New Roman"/>
          <w:sz w:val="24"/>
        </w:rPr>
        <w:t>, some stronger than what was proposed, were informed by commenters, including many that suffer the consequences of accidents occurring at RMP facilities or work in RMP-covered processes. The amendments are also informed by RMP accident data which indicate trends in accident occurrence.</w:t>
      </w:r>
      <w:r w:rsidRPr="00A66399" w:rsidR="00661C27">
        <w:rPr>
          <w:rFonts w:ascii="Times New Roman" w:eastAsia="Calibri" w:hAnsi="Times New Roman"/>
          <w:sz w:val="24"/>
        </w:rPr>
        <w:t xml:space="preserve"> </w:t>
      </w:r>
    </w:p>
    <w:p w:rsidR="00025134" w:rsidRPr="00002ECE" w:rsidP="00CE2902" w14:paraId="3BC2E42E" w14:textId="6F2E9237">
      <w:pPr>
        <w:ind w:left="720"/>
        <w:rPr>
          <w:rFonts w:ascii="Times New Roman" w:eastAsia="Calibri" w:hAnsi="Times New Roman"/>
          <w:sz w:val="24"/>
        </w:rPr>
      </w:pPr>
      <w:r w:rsidRPr="00A66399">
        <w:rPr>
          <w:rFonts w:ascii="Times New Roman" w:eastAsia="Calibri" w:hAnsi="Times New Roman"/>
          <w:sz w:val="24"/>
        </w:rPr>
        <w:t xml:space="preserve">For example, </w:t>
      </w:r>
      <w:r w:rsidRPr="00A66399" w:rsidR="00DD0549">
        <w:rPr>
          <w:rFonts w:ascii="Times New Roman" w:eastAsia="Calibri" w:hAnsi="Times New Roman"/>
          <w:sz w:val="24"/>
        </w:rPr>
        <w:t xml:space="preserve">for the final rule, </w:t>
      </w:r>
      <w:r w:rsidRPr="00A66399">
        <w:rPr>
          <w:rFonts w:ascii="Times New Roman" w:eastAsia="Calibri" w:hAnsi="Times New Roman"/>
          <w:sz w:val="24"/>
        </w:rPr>
        <w:t>EPA is expanding the initial STAA evaluation to all Program 3 facilities with NAICS 324 and 325 processes</w:t>
      </w:r>
      <w:r w:rsidR="00234F6D">
        <w:rPr>
          <w:rFonts w:ascii="Times New Roman" w:eastAsia="Calibri" w:hAnsi="Times New Roman"/>
          <w:sz w:val="24"/>
        </w:rPr>
        <w:t>.</w:t>
      </w:r>
      <w:r w:rsidRPr="00A66399">
        <w:rPr>
          <w:rFonts w:ascii="Times New Roman" w:eastAsia="Calibri" w:hAnsi="Times New Roman"/>
          <w:sz w:val="24"/>
        </w:rPr>
        <w:t xml:space="preserve"> EPA believes that high RMP accident frequency among NAICS 324 and 325 processes </w:t>
      </w:r>
      <w:r w:rsidR="006C28E4">
        <w:rPr>
          <w:rFonts w:ascii="Times New Roman" w:eastAsia="Calibri" w:hAnsi="Times New Roman"/>
          <w:sz w:val="24"/>
        </w:rPr>
        <w:t>as shown by recent data</w:t>
      </w:r>
      <w:r>
        <w:rPr>
          <w:rStyle w:val="FootnoteReference"/>
          <w:rFonts w:ascii="Times New Roman" w:eastAsia="Calibri" w:hAnsi="Times New Roman"/>
          <w:sz w:val="24"/>
        </w:rPr>
        <w:footnoteReference w:id="16"/>
      </w:r>
      <w:r w:rsidR="005368BE">
        <w:rPr>
          <w:rFonts w:ascii="Times New Roman" w:eastAsia="Calibri" w:hAnsi="Times New Roman"/>
          <w:sz w:val="24"/>
        </w:rPr>
        <w:t xml:space="preserve"> presented in the proposed rule, </w:t>
      </w:r>
      <w:r w:rsidRPr="00A66399">
        <w:rPr>
          <w:rFonts w:ascii="Times New Roman" w:eastAsia="Calibri" w:hAnsi="Times New Roman"/>
          <w:sz w:val="24"/>
        </w:rPr>
        <w:t xml:space="preserve">is reasonable justification for requiring RMP owners and operators to evaluate safer technologies and alternatives to help prevent accidental releases. </w:t>
      </w:r>
      <w:r w:rsidRPr="00201126" w:rsidR="00201126">
        <w:rPr>
          <w:rFonts w:ascii="Times New Roman" w:eastAsia="Calibri" w:hAnsi="Times New Roman"/>
          <w:sz w:val="24"/>
        </w:rPr>
        <w:t xml:space="preserve">EPA notes that </w:t>
      </w:r>
      <w:r w:rsidR="00696FE2">
        <w:rPr>
          <w:rFonts w:ascii="Times New Roman" w:eastAsia="Calibri" w:hAnsi="Times New Roman"/>
          <w:sz w:val="24"/>
        </w:rPr>
        <w:t>because it has</w:t>
      </w:r>
      <w:r w:rsidRPr="00201126" w:rsidR="00201126">
        <w:rPr>
          <w:rFonts w:ascii="Times New Roman" w:eastAsia="Calibri" w:hAnsi="Times New Roman"/>
          <w:sz w:val="24"/>
        </w:rPr>
        <w:t xml:space="preserve"> provided justification for applying the STAA requirement to facilities with NAICS 324 and 325 processes</w:t>
      </w:r>
      <w:r w:rsidR="0088491B">
        <w:rPr>
          <w:rFonts w:ascii="Times New Roman" w:eastAsia="Calibri" w:hAnsi="Times New Roman"/>
          <w:sz w:val="24"/>
        </w:rPr>
        <w:t xml:space="preserve">, it </w:t>
      </w:r>
      <w:r w:rsidRPr="00201126" w:rsidR="00201126">
        <w:rPr>
          <w:rFonts w:ascii="Times New Roman" w:eastAsia="Calibri" w:hAnsi="Times New Roman"/>
          <w:sz w:val="24"/>
        </w:rPr>
        <w:t>does not believe that the final provisions have been limited arbitrarily, or that the Agency’s decision to limit applicability of the STAA provisions to the petroleum refining and chemical manufacturing sectors implies that other sectors do not have viable safer technology alternatives. EPA notes that sources involved in complex manufacturing operations have the greatest range of opportunities to identify and implement safer technologies, particularly in the area of inherent safety, because these sources generally produce, transform, and consume large quantities of regulated substances under sometimes extreme process conditions and using a wide range of complex technologies. Therefore, such sources can often consider the full range of inherent safety options, including minimization, substitution, moderation, and simplification, as well as passive, active, and procedural measures. Further, EPA notes that RMP facilities in the selected sectors have been responsible for a relatively large number of accidents, deaths, injuries, and property damage and have significantly higher accidents rates as compared to other sectors.</w:t>
      </w:r>
      <w:r w:rsidRPr="004D3CC1" w:rsidR="004D3CC1">
        <w:t xml:space="preserve"> </w:t>
      </w:r>
      <w:r w:rsidRPr="00002ECE" w:rsidR="004D3CC1">
        <w:rPr>
          <w:rFonts w:ascii="Times New Roman" w:hAnsi="Times New Roman"/>
        </w:rPr>
        <w:t>R</w:t>
      </w:r>
      <w:r w:rsidRPr="00002ECE" w:rsidR="004D3CC1">
        <w:rPr>
          <w:rFonts w:ascii="Times New Roman" w:eastAsia="Calibri" w:hAnsi="Times New Roman"/>
          <w:sz w:val="24"/>
        </w:rPr>
        <w:t>efineries and chemical manufacturer facilities that have had accidents in the past 5 years, are responsible for 42% of the total accidents from RMP-covered sources over the period from 2016-2020, and 83% of the accident damage</w:t>
      </w:r>
      <w:r w:rsidR="00B82F07">
        <w:rPr>
          <w:rFonts w:ascii="Times New Roman" w:eastAsia="Calibri" w:hAnsi="Times New Roman"/>
          <w:sz w:val="24"/>
        </w:rPr>
        <w:t>, which supports additional requirements beyond STAA (i.e., a practicability assessment and the implementation requirement)</w:t>
      </w:r>
      <w:r w:rsidRPr="00002ECE" w:rsidR="004D3CC1">
        <w:rPr>
          <w:rFonts w:ascii="Times New Roman" w:eastAsia="Calibri" w:hAnsi="Times New Roman"/>
          <w:sz w:val="24"/>
        </w:rPr>
        <w:t xml:space="preserve">. Concentrating the most demanding requirements on this subset of sources recognizes the track </w:t>
      </w:r>
      <w:r w:rsidRPr="00002ECE" w:rsidR="004D3CC1">
        <w:rPr>
          <w:rFonts w:ascii="Times New Roman" w:eastAsia="Calibri" w:hAnsi="Times New Roman"/>
          <w:sz w:val="24"/>
        </w:rPr>
        <w:t>record of heightened risk presented by these sources to their nearby communities.</w:t>
      </w:r>
      <w:r w:rsidR="0072725B">
        <w:rPr>
          <w:rFonts w:ascii="Times New Roman" w:eastAsia="Calibri" w:hAnsi="Times New Roman"/>
          <w:sz w:val="24"/>
        </w:rPr>
        <w:t xml:space="preserve"> </w:t>
      </w:r>
      <w:r w:rsidR="00843B92">
        <w:rPr>
          <w:rFonts w:ascii="Times New Roman" w:eastAsia="Calibri" w:hAnsi="Times New Roman"/>
          <w:sz w:val="24"/>
        </w:rPr>
        <w:t xml:space="preserve">Other </w:t>
      </w:r>
      <w:r w:rsidR="008A64AB">
        <w:rPr>
          <w:rFonts w:ascii="Times New Roman" w:eastAsia="Calibri" w:hAnsi="Times New Roman"/>
          <w:sz w:val="24"/>
        </w:rPr>
        <w:t>sectors</w:t>
      </w:r>
      <w:r w:rsidR="00621063">
        <w:rPr>
          <w:rFonts w:ascii="Times New Roman" w:eastAsia="Calibri" w:hAnsi="Times New Roman"/>
          <w:sz w:val="24"/>
        </w:rPr>
        <w:t>,</w:t>
      </w:r>
      <w:r w:rsidR="008A64AB">
        <w:rPr>
          <w:rFonts w:ascii="Times New Roman" w:eastAsia="Calibri" w:hAnsi="Times New Roman"/>
          <w:sz w:val="24"/>
        </w:rPr>
        <w:t xml:space="preserve"> </w:t>
      </w:r>
      <w:r w:rsidR="00B83CA1">
        <w:rPr>
          <w:rFonts w:ascii="Times New Roman" w:eastAsia="Calibri" w:hAnsi="Times New Roman"/>
          <w:sz w:val="24"/>
        </w:rPr>
        <w:t>including those mentioned by the commentor</w:t>
      </w:r>
      <w:r w:rsidR="00321FCB">
        <w:rPr>
          <w:rFonts w:ascii="Times New Roman" w:eastAsia="Calibri" w:hAnsi="Times New Roman"/>
          <w:sz w:val="24"/>
        </w:rPr>
        <w:t>,</w:t>
      </w:r>
      <w:r w:rsidR="00B83CA1">
        <w:rPr>
          <w:rFonts w:ascii="Times New Roman" w:eastAsia="Calibri" w:hAnsi="Times New Roman"/>
          <w:sz w:val="24"/>
        </w:rPr>
        <w:t xml:space="preserve"> </w:t>
      </w:r>
      <w:r w:rsidR="00155612">
        <w:rPr>
          <w:rFonts w:ascii="Times New Roman" w:eastAsia="Calibri" w:hAnsi="Times New Roman"/>
          <w:sz w:val="24"/>
        </w:rPr>
        <w:t>such</w:t>
      </w:r>
      <w:r w:rsidR="008A64AB">
        <w:rPr>
          <w:rFonts w:ascii="Times New Roman" w:eastAsia="Calibri" w:hAnsi="Times New Roman"/>
          <w:sz w:val="24"/>
        </w:rPr>
        <w:t xml:space="preserve"> as </w:t>
      </w:r>
      <w:r w:rsidR="00155612">
        <w:rPr>
          <w:rFonts w:ascii="Times New Roman" w:eastAsia="Calibri" w:hAnsi="Times New Roman"/>
          <w:sz w:val="24"/>
        </w:rPr>
        <w:t>industrial</w:t>
      </w:r>
      <w:r w:rsidR="008A64AB">
        <w:rPr>
          <w:rFonts w:ascii="Times New Roman" w:eastAsia="Calibri" w:hAnsi="Times New Roman"/>
          <w:sz w:val="24"/>
        </w:rPr>
        <w:t xml:space="preserve"> </w:t>
      </w:r>
      <w:r w:rsidR="00155612">
        <w:rPr>
          <w:rFonts w:ascii="Times New Roman" w:eastAsia="Calibri" w:hAnsi="Times New Roman"/>
          <w:sz w:val="24"/>
        </w:rPr>
        <w:t>agriculture</w:t>
      </w:r>
      <w:r w:rsidR="008A64AB">
        <w:rPr>
          <w:rFonts w:ascii="Times New Roman" w:eastAsia="Calibri" w:hAnsi="Times New Roman"/>
          <w:sz w:val="24"/>
        </w:rPr>
        <w:t xml:space="preserve"> and the wa</w:t>
      </w:r>
      <w:r w:rsidR="00627348">
        <w:rPr>
          <w:rFonts w:ascii="Times New Roman" w:eastAsia="Calibri" w:hAnsi="Times New Roman"/>
          <w:sz w:val="24"/>
        </w:rPr>
        <w:t xml:space="preserve">ter supply and sewage treatment sectors </w:t>
      </w:r>
      <w:r w:rsidR="00155612">
        <w:rPr>
          <w:rFonts w:ascii="Times New Roman" w:eastAsia="Calibri" w:hAnsi="Times New Roman"/>
          <w:sz w:val="24"/>
        </w:rPr>
        <w:t xml:space="preserve">have </w:t>
      </w:r>
      <w:r w:rsidR="007C3190">
        <w:rPr>
          <w:rFonts w:ascii="Times New Roman" w:eastAsia="Calibri" w:hAnsi="Times New Roman"/>
          <w:sz w:val="24"/>
        </w:rPr>
        <w:t>had</w:t>
      </w:r>
      <w:r w:rsidR="00155612">
        <w:rPr>
          <w:rFonts w:ascii="Times New Roman" w:eastAsia="Calibri" w:hAnsi="Times New Roman"/>
          <w:sz w:val="24"/>
        </w:rPr>
        <w:t xml:space="preserve"> lower accident rates</w:t>
      </w:r>
      <w:r w:rsidR="00745360">
        <w:rPr>
          <w:rFonts w:ascii="Times New Roman" w:eastAsia="Calibri" w:hAnsi="Times New Roman"/>
          <w:sz w:val="24"/>
        </w:rPr>
        <w:t xml:space="preserve"> </w:t>
      </w:r>
      <w:r w:rsidR="007C3190">
        <w:rPr>
          <w:rFonts w:ascii="Times New Roman" w:eastAsia="Calibri" w:hAnsi="Times New Roman"/>
          <w:sz w:val="24"/>
        </w:rPr>
        <w:t>(</w:t>
      </w:r>
      <w:r w:rsidR="006D1B45">
        <w:rPr>
          <w:rFonts w:ascii="Times New Roman" w:eastAsia="Calibri" w:hAnsi="Times New Roman"/>
          <w:sz w:val="24"/>
        </w:rPr>
        <w:t>i.e., a</w:t>
      </w:r>
      <w:r w:rsidR="00AF091A">
        <w:rPr>
          <w:rFonts w:ascii="Times New Roman" w:eastAsia="Calibri" w:hAnsi="Times New Roman"/>
          <w:sz w:val="24"/>
        </w:rPr>
        <w:t>verage number of accidents per facility</w:t>
      </w:r>
      <w:r w:rsidR="007C3190">
        <w:rPr>
          <w:rFonts w:ascii="Times New Roman" w:eastAsia="Calibri" w:hAnsi="Times New Roman"/>
          <w:sz w:val="24"/>
        </w:rPr>
        <w:t xml:space="preserve">) in the past 5 years </w:t>
      </w:r>
      <w:r w:rsidR="000B3644">
        <w:rPr>
          <w:rFonts w:ascii="Times New Roman" w:eastAsia="Calibri" w:hAnsi="Times New Roman"/>
          <w:sz w:val="24"/>
        </w:rPr>
        <w:t>when</w:t>
      </w:r>
      <w:r w:rsidR="007C3190">
        <w:rPr>
          <w:rFonts w:ascii="Times New Roman" w:eastAsia="Calibri" w:hAnsi="Times New Roman"/>
          <w:sz w:val="24"/>
        </w:rPr>
        <w:t xml:space="preserve"> compared to the refining and chemical manufacturing sectors</w:t>
      </w:r>
      <w:r w:rsidR="000B3644">
        <w:rPr>
          <w:rFonts w:ascii="Times New Roman" w:eastAsia="Calibri" w:hAnsi="Times New Roman"/>
          <w:sz w:val="24"/>
        </w:rPr>
        <w:t>.</w:t>
      </w:r>
      <w:r>
        <w:rPr>
          <w:rStyle w:val="FootnoteReference"/>
          <w:rFonts w:ascii="Times New Roman" w:eastAsia="Calibri" w:hAnsi="Times New Roman"/>
          <w:sz w:val="24"/>
        </w:rPr>
        <w:footnoteReference w:id="17"/>
      </w:r>
      <w:r w:rsidR="00AF091A">
        <w:rPr>
          <w:rFonts w:ascii="Times New Roman" w:eastAsia="Calibri" w:hAnsi="Times New Roman"/>
          <w:sz w:val="24"/>
        </w:rPr>
        <w:t xml:space="preserve"> The pulp and paper </w:t>
      </w:r>
      <w:r w:rsidR="004F5728">
        <w:rPr>
          <w:rFonts w:ascii="Times New Roman" w:eastAsia="Calibri" w:hAnsi="Times New Roman"/>
          <w:sz w:val="24"/>
        </w:rPr>
        <w:t xml:space="preserve">sector </w:t>
      </w:r>
      <w:r w:rsidR="00B60A07">
        <w:rPr>
          <w:rFonts w:ascii="Times New Roman" w:eastAsia="Calibri" w:hAnsi="Times New Roman"/>
          <w:sz w:val="24"/>
        </w:rPr>
        <w:t xml:space="preserve">(NAICS 322) </w:t>
      </w:r>
      <w:r w:rsidR="004F5728">
        <w:rPr>
          <w:rFonts w:ascii="Times New Roman" w:eastAsia="Calibri" w:hAnsi="Times New Roman"/>
          <w:sz w:val="24"/>
        </w:rPr>
        <w:t>is an exception to the lower accident rate</w:t>
      </w:r>
      <w:r w:rsidR="001678D6">
        <w:rPr>
          <w:rFonts w:ascii="Times New Roman" w:eastAsia="Calibri" w:hAnsi="Times New Roman"/>
          <w:sz w:val="24"/>
        </w:rPr>
        <w:t>;</w:t>
      </w:r>
      <w:r w:rsidR="004F5728">
        <w:rPr>
          <w:rFonts w:ascii="Times New Roman" w:eastAsia="Calibri" w:hAnsi="Times New Roman"/>
          <w:sz w:val="24"/>
        </w:rPr>
        <w:t xml:space="preserve"> however </w:t>
      </w:r>
      <w:r w:rsidRPr="004F5728" w:rsidR="004F5728">
        <w:rPr>
          <w:rFonts w:ascii="Times New Roman" w:eastAsia="Calibri" w:hAnsi="Times New Roman"/>
          <w:sz w:val="24"/>
        </w:rPr>
        <w:t>EPA</w:t>
      </w:r>
      <w:r w:rsidR="004F5728">
        <w:rPr>
          <w:rFonts w:ascii="Times New Roman" w:eastAsia="Calibri" w:hAnsi="Times New Roman"/>
          <w:sz w:val="24"/>
        </w:rPr>
        <w:t xml:space="preserve"> </w:t>
      </w:r>
      <w:r w:rsidR="007C3190">
        <w:rPr>
          <w:rFonts w:ascii="Times New Roman" w:eastAsia="Calibri" w:hAnsi="Times New Roman"/>
          <w:sz w:val="24"/>
        </w:rPr>
        <w:t>did</w:t>
      </w:r>
      <w:r w:rsidR="004F5728">
        <w:rPr>
          <w:rFonts w:ascii="Times New Roman" w:eastAsia="Calibri" w:hAnsi="Times New Roman"/>
          <w:sz w:val="24"/>
        </w:rPr>
        <w:t xml:space="preserve"> not </w:t>
      </w:r>
      <w:r w:rsidR="007F371A">
        <w:rPr>
          <w:rFonts w:ascii="Times New Roman" w:eastAsia="Calibri" w:hAnsi="Times New Roman"/>
          <w:sz w:val="24"/>
        </w:rPr>
        <w:t>apply S</w:t>
      </w:r>
      <w:r w:rsidR="00125FD8">
        <w:rPr>
          <w:rFonts w:ascii="Times New Roman" w:eastAsia="Calibri" w:hAnsi="Times New Roman"/>
          <w:sz w:val="24"/>
        </w:rPr>
        <w:t xml:space="preserve">TAA to </w:t>
      </w:r>
      <w:r w:rsidR="001678D6">
        <w:rPr>
          <w:rFonts w:ascii="Times New Roman" w:eastAsia="Calibri" w:hAnsi="Times New Roman"/>
          <w:sz w:val="24"/>
        </w:rPr>
        <w:t>this sector</w:t>
      </w:r>
      <w:r w:rsidRPr="004F5728" w:rsidR="004F5728">
        <w:rPr>
          <w:rFonts w:ascii="Times New Roman" w:eastAsia="Calibri" w:hAnsi="Times New Roman"/>
          <w:sz w:val="24"/>
        </w:rPr>
        <w:t xml:space="preserve"> based on the </w:t>
      </w:r>
      <w:r w:rsidR="007C3190">
        <w:rPr>
          <w:rFonts w:ascii="Times New Roman" w:eastAsia="Calibri" w:hAnsi="Times New Roman"/>
          <w:sz w:val="24"/>
        </w:rPr>
        <w:t>overall small</w:t>
      </w:r>
      <w:r w:rsidRPr="004F5728" w:rsidR="004F5728">
        <w:rPr>
          <w:rFonts w:ascii="Times New Roman" w:eastAsia="Calibri" w:hAnsi="Times New Roman"/>
          <w:sz w:val="24"/>
        </w:rPr>
        <w:t xml:space="preserve"> number of</w:t>
      </w:r>
      <w:r w:rsidR="001678D6">
        <w:rPr>
          <w:rFonts w:ascii="Times New Roman" w:eastAsia="Calibri" w:hAnsi="Times New Roman"/>
          <w:sz w:val="24"/>
        </w:rPr>
        <w:t xml:space="preserve"> </w:t>
      </w:r>
      <w:r w:rsidRPr="004F5728" w:rsidR="004F5728">
        <w:rPr>
          <w:rFonts w:ascii="Times New Roman" w:eastAsia="Calibri" w:hAnsi="Times New Roman"/>
          <w:sz w:val="24"/>
        </w:rPr>
        <w:t>accidents at these facilities in the last 5</w:t>
      </w:r>
      <w:r w:rsidR="001678D6">
        <w:rPr>
          <w:rFonts w:ascii="Times New Roman" w:eastAsia="Calibri" w:hAnsi="Times New Roman"/>
          <w:sz w:val="24"/>
        </w:rPr>
        <w:t xml:space="preserve"> </w:t>
      </w:r>
      <w:r w:rsidRPr="004F5728" w:rsidR="004F5728">
        <w:rPr>
          <w:rFonts w:ascii="Times New Roman" w:eastAsia="Calibri" w:hAnsi="Times New Roman"/>
          <w:sz w:val="24"/>
        </w:rPr>
        <w:t>years</w:t>
      </w:r>
      <w:r w:rsidR="00560CB0">
        <w:rPr>
          <w:rFonts w:ascii="Times New Roman" w:eastAsia="Calibri" w:hAnsi="Times New Roman"/>
          <w:sz w:val="24"/>
        </w:rPr>
        <w:t>.</w:t>
      </w:r>
    </w:p>
    <w:p w:rsidR="00854CB7" w:rsidRPr="006F68E9" w:rsidP="293A3889" w14:paraId="62FD38F8" w14:textId="34416B1A">
      <w:pPr>
        <w:rPr>
          <w:rFonts w:ascii="Times New Roman" w:hAnsi="Times New Roman"/>
          <w:sz w:val="24"/>
        </w:rPr>
      </w:pPr>
      <w:r w:rsidRPr="293A3889">
        <w:rPr>
          <w:rFonts w:ascii="Times New Roman" w:hAnsi="Times New Roman"/>
          <w:b/>
          <w:bCs/>
          <w:sz w:val="24"/>
        </w:rPr>
        <w:t>Comment 1.5-09:</w:t>
      </w:r>
      <w:r w:rsidRPr="293A3889">
        <w:rPr>
          <w:rFonts w:ascii="Times New Roman" w:hAnsi="Times New Roman"/>
          <w:sz w:val="24"/>
        </w:rPr>
        <w:t xml:space="preserve"> One commenter, citing data from the Technical Background Document, questioned the need for RMP requirements for the fossil-based power generation industry given the rare incidence of accidents and the increasing retirement of old and inefficient coal-based electric generating units in the U.S. (0244). </w:t>
      </w:r>
    </w:p>
    <w:p w:rsidR="00854CB7" w:rsidRPr="00854CB7" w:rsidP="4136E87B" w14:paraId="4C369112" w14:textId="68AC2DF5">
      <w:pPr>
        <w:ind w:left="720"/>
        <w:rPr>
          <w:rFonts w:ascii="Times New Roman" w:hAnsi="Times New Roman"/>
          <w:sz w:val="24"/>
        </w:rPr>
      </w:pPr>
      <w:r w:rsidRPr="4136E87B">
        <w:rPr>
          <w:rFonts w:ascii="Times New Roman" w:hAnsi="Times New Roman"/>
          <w:b/>
          <w:bCs/>
          <w:sz w:val="24"/>
        </w:rPr>
        <w:t xml:space="preserve">EPA Response: </w:t>
      </w:r>
      <w:r w:rsidR="001A1868">
        <w:rPr>
          <w:rFonts w:ascii="Times New Roman" w:hAnsi="Times New Roman"/>
          <w:sz w:val="24"/>
        </w:rPr>
        <w:t>The</w:t>
      </w:r>
      <w:r w:rsidRPr="4136E87B">
        <w:rPr>
          <w:rFonts w:ascii="Times New Roman" w:hAnsi="Times New Roman"/>
          <w:sz w:val="24"/>
        </w:rPr>
        <w:t xml:space="preserve"> </w:t>
      </w:r>
      <w:r w:rsidRPr="4136E87B">
        <w:rPr>
          <w:rFonts w:ascii="Times New Roman" w:hAnsi="Times New Roman"/>
          <w:sz w:val="24"/>
        </w:rPr>
        <w:t xml:space="preserve">fact that accidents continue to occur shows that we still have reason to exercise statutory authority to promulgate reasonable regulations to provide for the prevention and detection of those accidents to the greatest extent practicable when the </w:t>
      </w:r>
      <w:r w:rsidRPr="4136E87B">
        <w:rPr>
          <w:rFonts w:ascii="Times New Roman" w:hAnsi="Times New Roman"/>
          <w:sz w:val="24"/>
        </w:rPr>
        <w:t>opportunity exists to improve the performance of our regulatory program. When determining what is “reasonable” when developing regulations under CAA section 112(r)(7)(B)</w:t>
      </w:r>
      <w:r w:rsidR="008E5EB3">
        <w:rPr>
          <w:rFonts w:ascii="Times New Roman" w:hAnsi="Times New Roman"/>
          <w:sz w:val="24"/>
        </w:rPr>
        <w:t>(i)</w:t>
      </w:r>
      <w:r w:rsidRPr="4136E87B">
        <w:rPr>
          <w:rFonts w:ascii="Times New Roman" w:hAnsi="Times New Roman"/>
          <w:sz w:val="24"/>
        </w:rPr>
        <w:t xml:space="preserve">, EPA acknowledges that some facilities are less likely to have an accidental release than others and that the statute gives the Agency the authority to distinguish among classes of facilities. When developing this rulemaking, EPA therefore had the authority to include multiple factors when determining what is reasonable, such as frequency of RMP accidents or proximity to both nearby communities and other RMP facilities that could, as a result, make the communities and other facilities be more susceptible when it comes to being exposed to a worst-case scenario. </w:t>
      </w:r>
      <w:r w:rsidRPr="00EE29CC" w:rsidR="00EE29CC">
        <w:rPr>
          <w:rFonts w:ascii="Times New Roman" w:hAnsi="Times New Roman"/>
          <w:sz w:val="24"/>
        </w:rPr>
        <w:t>For example, as mentioned in the proposed rulemaking, the per facility accident rate between 2016 and 2020</w:t>
      </w:r>
      <w:r>
        <w:rPr>
          <w:rStyle w:val="FootnoteReference"/>
          <w:rFonts w:ascii="Times New Roman" w:hAnsi="Times New Roman"/>
          <w:sz w:val="24"/>
        </w:rPr>
        <w:footnoteReference w:id="18"/>
      </w:r>
      <w:r w:rsidRPr="00EE29CC" w:rsidR="00EE29CC">
        <w:rPr>
          <w:rFonts w:ascii="Times New Roman" w:hAnsi="Times New Roman"/>
          <w:sz w:val="24"/>
        </w:rPr>
        <w:t xml:space="preserve"> for all regulated facilities was 3 percent </w:t>
      </w:r>
      <w:r w:rsidRPr="00EE29CC" w:rsidR="00EE29CC">
        <w:rPr>
          <w:rFonts w:ascii="Times New Roman" w:hAnsi="Times New Roman"/>
          <w:sz w:val="24"/>
        </w:rPr>
        <w:t>(n = 382 facilities reporting at least one accident out of 12,855 unique facilities reporting between 2016 and 2020), the sector accident rates (number of unique facilities with accidents per sector divided by the number of unique facilities in each sector) for petroleum and coal manufacturing were seven times higher (23 percent, n = 41 out of 177) and two times higher for chemical manufacturing (6 percent, n = 96 out of 1631).  Also, based on accidents occurring between 2016 and 2020, communities located near facilities in NAICS 324/325 that are located within 1 mile of another 324/325 facility are 1.5 times more likely to have been exposed to accidents at these facilities as compared to communities near facilities in NAICS 324/325 that are not located within 1 mile of another 324/325 facility (87 FR 53578)</w:t>
      </w:r>
      <w:r>
        <w:rPr>
          <w:rStyle w:val="FootnoteReference"/>
          <w:rFonts w:ascii="Times New Roman" w:hAnsi="Times New Roman"/>
          <w:sz w:val="24"/>
        </w:rPr>
        <w:footnoteReference w:id="19"/>
      </w:r>
      <w:r w:rsidRPr="00EE29CC" w:rsidR="00EE29CC">
        <w:rPr>
          <w:rFonts w:ascii="Times New Roman" w:hAnsi="Times New Roman"/>
          <w:sz w:val="24"/>
        </w:rPr>
        <w:t>. Also</w:t>
      </w:r>
      <w:r w:rsidRPr="4136E87B">
        <w:rPr>
          <w:rFonts w:ascii="Times New Roman" w:hAnsi="Times New Roman"/>
          <w:sz w:val="24"/>
        </w:rPr>
        <w:t xml:space="preserve"> mentioned in the proposed rulemaking, these surrounding communities would benefit from rule-based prevention prior to incidents, rather than the case-by-case oversight approach of the 2019 reconsideration rule</w:t>
      </w:r>
      <w:r w:rsidR="00FC351E">
        <w:rPr>
          <w:rFonts w:ascii="Times New Roman" w:hAnsi="Times New Roman"/>
          <w:sz w:val="24"/>
        </w:rPr>
        <w:t xml:space="preserve"> </w:t>
      </w:r>
      <w:r w:rsidRPr="00EE29CC" w:rsidR="00FC351E">
        <w:rPr>
          <w:rFonts w:ascii="Times New Roman" w:hAnsi="Times New Roman"/>
          <w:sz w:val="24"/>
        </w:rPr>
        <w:t>(87 FR 53565)</w:t>
      </w:r>
      <w:r w:rsidRPr="4136E87B">
        <w:rPr>
          <w:rFonts w:ascii="Times New Roman" w:hAnsi="Times New Roman"/>
          <w:sz w:val="24"/>
        </w:rPr>
        <w:t>.</w:t>
      </w:r>
    </w:p>
    <w:p w:rsidR="4136E87B" w:rsidP="000D6E09" w14:paraId="09BA85A7" w14:textId="64DA02CE">
      <w:pPr>
        <w:ind w:left="720"/>
        <w:rPr>
          <w:rFonts w:ascii="Times New Roman" w:hAnsi="Times New Roman"/>
          <w:sz w:val="24"/>
        </w:rPr>
      </w:pPr>
      <w:r w:rsidRPr="00EE467D">
        <w:rPr>
          <w:rFonts w:ascii="Times New Roman" w:hAnsi="Times New Roman"/>
          <w:sz w:val="24"/>
        </w:rPr>
        <w:t>CAA section 112(r)(7)(B) requires the RMP rule to apply to all stationary sources with more than a threshold quantity of a regulated substance. Certain types of processes have specific exemptions in the statute (see CAA 112(r)(4)(B)) while EPA is permitted to exempt substances when held under certain conditions (see CAA 112(r)(5)). Nothing in the statute provides authority to exempt fossil-based power generation industry from the general applicability provisions.</w:t>
      </w:r>
    </w:p>
    <w:p w:rsidR="00025134" w:rsidP="00025134" w14:paraId="3EB88C7B" w14:textId="77777777">
      <w:pPr>
        <w:rPr>
          <w:rFonts w:ascii="Times New Roman" w:hAnsi="Times New Roman"/>
          <w:i/>
          <w:iCs/>
          <w:sz w:val="24"/>
        </w:rPr>
      </w:pPr>
      <w:r>
        <w:rPr>
          <w:rFonts w:ascii="Times New Roman" w:hAnsi="Times New Roman"/>
          <w:i/>
          <w:iCs/>
          <w:sz w:val="24"/>
        </w:rPr>
        <w:t xml:space="preserve">Suggestions for a performance-based or compliance-based approach </w:t>
      </w:r>
    </w:p>
    <w:p w:rsidR="00025134" w:rsidRPr="00790656" w:rsidP="00025134" w14:paraId="48F2275F" w14:textId="7C23DEE7">
      <w:pPr>
        <w:rPr>
          <w:rFonts w:ascii="Times New Roman" w:hAnsi="Times New Roman"/>
          <w:b/>
          <w:sz w:val="24"/>
        </w:rPr>
      </w:pPr>
      <w:r>
        <w:rPr>
          <w:rFonts w:ascii="Times New Roman" w:hAnsi="Times New Roman"/>
          <w:b/>
          <w:bCs/>
          <w:sz w:val="24"/>
        </w:rPr>
        <w:t>Comment 1</w:t>
      </w:r>
      <w:r>
        <w:rPr>
          <w:rFonts w:ascii="Times New Roman" w:hAnsi="Times New Roman"/>
          <w:b/>
          <w:sz w:val="24"/>
        </w:rPr>
        <w:t>.5</w:t>
      </w:r>
      <w:r>
        <w:rPr>
          <w:rFonts w:ascii="Times New Roman" w:hAnsi="Times New Roman"/>
          <w:b/>
          <w:bCs/>
          <w:sz w:val="24"/>
        </w:rPr>
        <w:t>-</w:t>
      </w:r>
      <w:r w:rsidR="00DF6B7D">
        <w:rPr>
          <w:rFonts w:ascii="Times New Roman" w:hAnsi="Times New Roman"/>
          <w:b/>
          <w:sz w:val="24"/>
        </w:rPr>
        <w:t>10</w:t>
      </w:r>
      <w:r>
        <w:rPr>
          <w:rFonts w:ascii="Times New Roman" w:hAnsi="Times New Roman"/>
          <w:b/>
          <w:bCs/>
          <w:sz w:val="24"/>
        </w:rPr>
        <w:t xml:space="preserve">: </w:t>
      </w:r>
      <w:r w:rsidRPr="006F68E9">
        <w:rPr>
          <w:rFonts w:ascii="Times New Roman" w:hAnsi="Times New Roman"/>
          <w:sz w:val="24"/>
        </w:rPr>
        <w:t xml:space="preserve">Several commenters suggested that instead of requiring new regulations for all facilities covered by RMP, EPA should instead focus on facilities that are noncompliant and/or experiencing the majority of accidents. The commenters stated that a compliance-driven </w:t>
      </w:r>
      <w:r w:rsidRPr="006F68E9">
        <w:rPr>
          <w:rFonts w:ascii="Times New Roman" w:hAnsi="Times New Roman"/>
          <w:sz w:val="24"/>
        </w:rPr>
        <w:t>approach would accomplish EPA’s regulatory objectives without burdening regulated facilities (0180, 0205, 0226, 0458, 0275). Some of the commenters also pointed out that when applying the 3% accident rate for facilities between 2016 to 2020 to the 11,740 total facilities, only about 350 facilities experienced accidents in that timeframe, adding that this number is an overestimate as it does not account for facilities with multiple releases (0180, 0205, 0226, 0458).</w:t>
      </w:r>
    </w:p>
    <w:p w:rsidR="00025134" w:rsidP="00025134" w14:paraId="0CDD3571"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 suggested that instead of wholesale or sector-wide regulatory revisions, EPA should consider a more robust inspection and compliance assistance approach to ensure the existing regulations are properly implemented at outlier facilities. </w:t>
      </w:r>
      <w:r>
        <w:rPr>
          <w:rFonts w:ascii="Times New Roman" w:hAnsi="Times New Roman"/>
          <w:sz w:val="24"/>
        </w:rPr>
        <w:t>The</w:t>
      </w:r>
      <w:r w:rsidRPr="006F68E9">
        <w:rPr>
          <w:rFonts w:ascii="Times New Roman" w:hAnsi="Times New Roman"/>
          <w:sz w:val="24"/>
        </w:rPr>
        <w:t xml:space="preserve"> commenter stated that the RMP data show the existing rule is effective. The commenter pointed out that when incidents do occur, they have been concentrated among just a few facilities--RMP-reportable accidents occurred at only 3% of all RMP covered facilities. The commenter added that EPA also reported that only 0.5% of all facilities had multiple accidents in the preceding 5-years, which represents an improvement over the 2% of facilities reporting multiple accidents in the 10-year period noted in the 2019 rule</w:t>
      </w:r>
      <w:r>
        <w:rPr>
          <w:rFonts w:ascii="Times New Roman" w:hAnsi="Times New Roman"/>
          <w:sz w:val="24"/>
        </w:rPr>
        <w:t xml:space="preserve">. </w:t>
      </w:r>
      <w:r w:rsidRPr="006F68E9">
        <w:rPr>
          <w:rFonts w:ascii="Times New Roman" w:hAnsi="Times New Roman"/>
          <w:sz w:val="24"/>
        </w:rPr>
        <w:t xml:space="preserve">The </w:t>
      </w:r>
      <w:r>
        <w:rPr>
          <w:rFonts w:ascii="Times New Roman" w:hAnsi="Times New Roman"/>
          <w:sz w:val="24"/>
        </w:rPr>
        <w:t>commenter stated</w:t>
      </w:r>
      <w:r w:rsidRPr="006F68E9">
        <w:rPr>
          <w:rFonts w:ascii="Times New Roman" w:hAnsi="Times New Roman"/>
          <w:sz w:val="24"/>
        </w:rPr>
        <w:t xml:space="preserve"> that as a practical matter, EPA’s </w:t>
      </w:r>
      <w:r>
        <w:rPr>
          <w:rFonts w:ascii="Times New Roman" w:hAnsi="Times New Roman"/>
          <w:sz w:val="24"/>
        </w:rPr>
        <w:t>p</w:t>
      </w:r>
      <w:r w:rsidRPr="006F68E9">
        <w:rPr>
          <w:rFonts w:ascii="Times New Roman" w:hAnsi="Times New Roman"/>
          <w:sz w:val="24"/>
        </w:rPr>
        <w:t>roposal to overhaul the RMP regulations is not going to help facilities continue the downward trend of incidents (0268).</w:t>
      </w:r>
    </w:p>
    <w:p w:rsidR="00025134" w:rsidP="00025134" w14:paraId="1D57DFEF" w14:textId="77777777">
      <w:pPr>
        <w:rPr>
          <w:rFonts w:ascii="Times New Roman" w:hAnsi="Times New Roman"/>
          <w:sz w:val="24"/>
        </w:rPr>
      </w:pPr>
      <w:r>
        <w:rPr>
          <w:rFonts w:ascii="Times New Roman" w:hAnsi="Times New Roman"/>
          <w:sz w:val="24"/>
        </w:rPr>
        <w:t>One commenter</w:t>
      </w:r>
      <w:r w:rsidRPr="006F68E9">
        <w:rPr>
          <w:rFonts w:ascii="Times New Roman" w:hAnsi="Times New Roman"/>
          <w:sz w:val="24"/>
        </w:rPr>
        <w:t xml:space="preserve"> asked EPA to consider if it should issue more targeted regulations aimed at particular facilities that pose a larger threat to public safety or have specific concerns that are not addressed by the existing regulations</w:t>
      </w:r>
      <w:r>
        <w:rPr>
          <w:rFonts w:ascii="Times New Roman" w:hAnsi="Times New Roman"/>
          <w:sz w:val="24"/>
        </w:rPr>
        <w:t xml:space="preserve"> (0239).</w:t>
      </w:r>
    </w:p>
    <w:p w:rsidR="00025134" w:rsidP="00025134" w14:paraId="4F3689EC" w14:textId="77777777">
      <w:pPr>
        <w:rPr>
          <w:rFonts w:ascii="Times New Roman" w:hAnsi="Times New Roman"/>
          <w:sz w:val="24"/>
        </w:rPr>
      </w:pPr>
      <w:r w:rsidRPr="006F68E9">
        <w:rPr>
          <w:rFonts w:ascii="Times New Roman" w:hAnsi="Times New Roman"/>
          <w:sz w:val="24"/>
        </w:rPr>
        <w:t>Several commenters suggested that EPA adopt a severe violator enforcement program like the one in place at OSHA. The commenters noted that this focus would make EPA’s efforts more concentrated and effective while not unduly burdening compliant facilities (0180, 0205, 0226, 0458).</w:t>
      </w:r>
    </w:p>
    <w:p w:rsidR="00025134" w:rsidP="00025134" w14:paraId="7A56021D" w14:textId="0EB66F05">
      <w:pPr>
        <w:ind w:left="720"/>
        <w:rPr>
          <w:rStyle w:val="normaltextrun"/>
          <w:rFonts w:ascii="Times New Roman" w:hAnsi="Times New Roman"/>
          <w:color w:val="000000"/>
          <w:sz w:val="24"/>
        </w:rPr>
      </w:pPr>
      <w:r>
        <w:rPr>
          <w:rFonts w:ascii="Times New Roman" w:hAnsi="Times New Roman"/>
          <w:b/>
          <w:bCs/>
          <w:sz w:val="24"/>
        </w:rPr>
        <w:t xml:space="preserve">EPA Response: </w:t>
      </w:r>
      <w:r w:rsidRPr="002A0CE6" w:rsidR="002A0CE6">
        <w:t xml:space="preserve"> </w:t>
      </w:r>
      <w:r w:rsidRPr="4136E87B" w:rsidR="002A0CE6">
        <w:rPr>
          <w:rStyle w:val="normaltextrun"/>
          <w:rFonts w:ascii="Times New Roman" w:hAnsi="Times New Roman"/>
          <w:color w:val="000000" w:themeColor="text1"/>
          <w:sz w:val="24"/>
        </w:rPr>
        <w:t>EPA agrees assistance, outreach, and enforcement will help ensure compliance with the rule. For example, enforcement of the RMP regulation has and will continue to occur. Because of that fact, EPA expects most facilities will proactively make the necessary prevention improvements in order to comply with the rule and thus avoid enforcement. Enforcement of RMP facilities remains an Agency priority, as indicated by its adoption as a National Enforcement and Compliance Initiative (NECI) since 2017.</w:t>
      </w:r>
      <w:r w:rsidRPr="4136E87B" w:rsidR="00AB3D3B">
        <w:rPr>
          <w:rStyle w:val="normaltextrun"/>
          <w:rFonts w:ascii="Times New Roman" w:hAnsi="Times New Roman"/>
          <w:color w:val="000000" w:themeColor="text1"/>
          <w:sz w:val="24"/>
        </w:rPr>
        <w:t xml:space="preserve"> The goal of this NECI is to reduce the risk to human health and the environment by decreasing the likelihood of chemical accidents. Activities under the initiative include having regulated facilities and industry associations work to improve safety; increase compliance with RMP; and promote coordination and communication with State and local responders and communities.</w:t>
      </w:r>
      <w:r w:rsidRPr="4136E87B" w:rsidR="00D27071">
        <w:rPr>
          <w:rStyle w:val="normaltextrun"/>
          <w:rFonts w:ascii="Times New Roman" w:hAnsi="Times New Roman"/>
          <w:color w:val="000000" w:themeColor="text1"/>
          <w:sz w:val="24"/>
        </w:rPr>
        <w:t xml:space="preserve"> The capacity built by the NECI will continue to benefit oversight by EPA and its partner implementing agencies even after the NECI.</w:t>
      </w:r>
    </w:p>
    <w:p w:rsidR="00480DA6" w:rsidP="00025134" w14:paraId="7E8DB44A" w14:textId="383306EA">
      <w:pPr>
        <w:ind w:left="720"/>
      </w:pPr>
      <w:r>
        <w:rPr>
          <w:rFonts w:ascii="Times New Roman" w:hAnsi="Times New Roman"/>
          <w:color w:val="000000"/>
          <w:sz w:val="24"/>
          <w:shd w:val="clear" w:color="auto" w:fill="FFFFFF"/>
        </w:rPr>
        <w:t xml:space="preserve">However, </w:t>
      </w:r>
      <w:r w:rsidRPr="00580D51">
        <w:rPr>
          <w:rFonts w:ascii="Times New Roman" w:hAnsi="Times New Roman"/>
          <w:color w:val="000000"/>
          <w:sz w:val="24"/>
          <w:shd w:val="clear" w:color="auto" w:fill="FFFFFF"/>
        </w:rPr>
        <w:t xml:space="preserve">when major </w:t>
      </w:r>
      <w:r w:rsidR="00ED2518">
        <w:rPr>
          <w:rFonts w:ascii="Times New Roman" w:hAnsi="Times New Roman"/>
          <w:color w:val="000000"/>
          <w:sz w:val="24"/>
          <w:shd w:val="clear" w:color="auto" w:fill="FFFFFF"/>
        </w:rPr>
        <w:t xml:space="preserve">concerning </w:t>
      </w:r>
      <w:r w:rsidRPr="00580D51">
        <w:rPr>
          <w:rFonts w:ascii="Times New Roman" w:hAnsi="Times New Roman"/>
          <w:color w:val="000000"/>
          <w:sz w:val="24"/>
          <w:shd w:val="clear" w:color="auto" w:fill="FFFFFF"/>
        </w:rPr>
        <w:t>RMP accidents</w:t>
      </w:r>
      <w:r w:rsidR="00ED2518">
        <w:rPr>
          <w:rFonts w:ascii="Times New Roman" w:hAnsi="Times New Roman"/>
          <w:color w:val="000000"/>
          <w:sz w:val="24"/>
          <w:shd w:val="clear" w:color="auto" w:fill="FFFFFF"/>
        </w:rPr>
        <w:t>, including major accidents,</w:t>
      </w:r>
      <w:r w:rsidRPr="00580D51">
        <w:rPr>
          <w:rFonts w:ascii="Times New Roman" w:hAnsi="Times New Roman"/>
          <w:color w:val="000000"/>
          <w:sz w:val="24"/>
          <w:shd w:val="clear" w:color="auto" w:fill="FFFFFF"/>
        </w:rPr>
        <w:t xml:space="preserve"> continue to occur as they have, </w:t>
      </w:r>
      <w:r w:rsidRPr="00580D51">
        <w:rPr>
          <w:rFonts w:ascii="Times New Roman" w:hAnsi="Times New Roman"/>
          <w:color w:val="000000"/>
          <w:sz w:val="24"/>
          <w:shd w:val="clear" w:color="auto" w:fill="FFFFFF"/>
        </w:rPr>
        <w:t xml:space="preserve">it is EPA’s responsibility to further protect human health and the environment, if there are reasonable opportunities to do so. Many of the amendments being finalized in this action, some stronger than what was proposed, were informed by commenters, including many that suffer the consequences of accidents occurring at RMP facilities or work in RMP-covered processes. </w:t>
      </w:r>
      <w:r w:rsidRPr="00580D51">
        <w:rPr>
          <w:rFonts w:ascii="Times New Roman" w:hAnsi="Times New Roman"/>
          <w:color w:val="000000"/>
          <w:sz w:val="24"/>
          <w:shd w:val="clear" w:color="auto" w:fill="FFFFFF"/>
        </w:rPr>
        <w:t xml:space="preserve">The amendments are also informed by RMP accident data which indicate trends in accident occurrence. For example, as discussed in the proposal, recent accidents highlight that while the annual count of </w:t>
      </w:r>
      <w:r w:rsidRPr="00580D51">
        <w:rPr>
          <w:rFonts w:ascii="Times New Roman" w:hAnsi="Times New Roman"/>
          <w:color w:val="000000"/>
          <w:sz w:val="24"/>
          <w:shd w:val="clear" w:color="auto" w:fill="FFFFFF"/>
        </w:rPr>
        <w:t>accidents decreased overall between 2016 and 2020,</w:t>
      </w:r>
      <w:r>
        <w:rPr>
          <w:rStyle w:val="FootnoteReference"/>
          <w:rFonts w:ascii="Times New Roman" w:hAnsi="Times New Roman"/>
          <w:sz w:val="24"/>
          <w:highlight w:val="yellow"/>
        </w:rPr>
        <w:footnoteReference w:id="20"/>
      </w:r>
      <w:r w:rsidRPr="00580D51">
        <w:rPr>
          <w:rFonts w:ascii="Times New Roman" w:hAnsi="Times New Roman"/>
          <w:color w:val="000000"/>
          <w:sz w:val="24"/>
          <w:shd w:val="clear" w:color="auto" w:fill="FFFFFF"/>
        </w:rPr>
        <w:t xml:space="preserve"> </w:t>
      </w:r>
      <w:r w:rsidRPr="00580D51">
        <w:rPr>
          <w:rFonts w:ascii="Times New Roman" w:hAnsi="Times New Roman"/>
          <w:color w:val="000000"/>
          <w:sz w:val="24"/>
          <w:shd w:val="clear" w:color="auto" w:fill="FFFFFF"/>
        </w:rPr>
        <w:t xml:space="preserve">in 2019, the TPC Group </w:t>
      </w:r>
      <w:r w:rsidR="00C91406">
        <w:rPr>
          <w:rFonts w:ascii="Times New Roman" w:hAnsi="Times New Roman"/>
          <w:color w:val="000000"/>
          <w:sz w:val="24"/>
          <w:shd w:val="clear" w:color="auto" w:fill="FFFFFF"/>
        </w:rPr>
        <w:t>(TPC)</w:t>
      </w:r>
      <w:r w:rsidRPr="00580D51">
        <w:rPr>
          <w:rFonts w:ascii="Times New Roman" w:hAnsi="Times New Roman"/>
          <w:color w:val="000000"/>
          <w:sz w:val="24"/>
          <w:shd w:val="clear" w:color="auto" w:fill="FFFFFF"/>
        </w:rPr>
        <w:t xml:space="preserve"> explosion and fire in Port Neches, Texas, reported the largest number of persons ever evacuated (50,000 people) as the result of an RMP-reportable incident, as well as $153 million in offsite property damage.</w:t>
      </w:r>
      <w:r>
        <w:rPr>
          <w:rStyle w:val="FootnoteReference"/>
          <w:rFonts w:ascii="Times New Roman" w:eastAsia="Times New Roman" w:hAnsi="Times New Roman"/>
          <w:color w:val="000000" w:themeColor="text1"/>
          <w:sz w:val="24"/>
        </w:rPr>
        <w:footnoteReference w:id="21"/>
      </w:r>
      <w:r w:rsidRPr="00580D51">
        <w:rPr>
          <w:rFonts w:ascii="Times New Roman" w:hAnsi="Times New Roman"/>
          <w:color w:val="000000"/>
          <w:sz w:val="24"/>
          <w:shd w:val="clear" w:color="auto" w:fill="FFFFFF"/>
        </w:rPr>
        <w:t xml:space="preserve"> </w:t>
      </w:r>
      <w:r w:rsidRPr="00480DA6">
        <w:rPr>
          <w:rFonts w:ascii="Times New Roman" w:hAnsi="Times New Roman"/>
          <w:color w:val="000000"/>
          <w:sz w:val="24"/>
          <w:shd w:val="clear" w:color="auto" w:fill="FFFFFF"/>
        </w:rPr>
        <w:t xml:space="preserve">EPA did not conduct an inspection at TPC just prior to this accident because as indicated in the 2019 reconsideration rule, EPA prioritizes inspections at facilities that have had accidental releases. TPC had no recent prior RMP accidental release and was not otherwise due for inspection under EPA’s routine oversight plan. </w:t>
      </w:r>
      <w:r w:rsidRPr="00480DA6">
        <w:rPr>
          <w:rFonts w:ascii="Times New Roman" w:hAnsi="Times New Roman"/>
          <w:color w:val="000000"/>
          <w:sz w:val="24"/>
          <w:shd w:val="clear" w:color="auto" w:fill="FFFFFF"/>
        </w:rPr>
        <w:t xml:space="preserve">Therefore, we believe our </w:t>
      </w:r>
      <w:r w:rsidR="00086762">
        <w:rPr>
          <w:rFonts w:ascii="Times New Roman" w:hAnsi="Times New Roman"/>
          <w:color w:val="000000"/>
          <w:sz w:val="24"/>
          <w:shd w:val="clear" w:color="auto" w:fill="FFFFFF"/>
        </w:rPr>
        <w:t xml:space="preserve">current </w:t>
      </w:r>
      <w:r w:rsidRPr="00480DA6">
        <w:rPr>
          <w:rFonts w:ascii="Times New Roman" w:hAnsi="Times New Roman"/>
          <w:color w:val="000000"/>
          <w:sz w:val="24"/>
          <w:shd w:val="clear" w:color="auto" w:fill="FFFFFF"/>
        </w:rPr>
        <w:t>enforcement resources</w:t>
      </w:r>
      <w:r w:rsidR="00086762">
        <w:rPr>
          <w:rFonts w:ascii="Times New Roman" w:hAnsi="Times New Roman"/>
          <w:color w:val="000000"/>
          <w:sz w:val="24"/>
          <w:shd w:val="clear" w:color="auto" w:fill="FFFFFF"/>
        </w:rPr>
        <w:t>,</w:t>
      </w:r>
      <w:r w:rsidRPr="00480DA6">
        <w:rPr>
          <w:rFonts w:ascii="Times New Roman" w:hAnsi="Times New Roman"/>
          <w:color w:val="000000"/>
          <w:sz w:val="24"/>
          <w:shd w:val="clear" w:color="auto" w:fill="FFFFFF"/>
        </w:rPr>
        <w:t xml:space="preserve"> and </w:t>
      </w:r>
      <w:r w:rsidR="00086762">
        <w:rPr>
          <w:rFonts w:ascii="Times New Roman" w:hAnsi="Times New Roman"/>
          <w:color w:val="000000"/>
          <w:sz w:val="24"/>
          <w:shd w:val="clear" w:color="auto" w:fill="FFFFFF"/>
        </w:rPr>
        <w:t>even prioritizing inspections,</w:t>
      </w:r>
      <w:r w:rsidRPr="00480DA6" w:rsidR="00086762">
        <w:rPr>
          <w:rFonts w:ascii="Times New Roman" w:hAnsi="Times New Roman"/>
          <w:color w:val="000000"/>
          <w:sz w:val="24"/>
          <w:shd w:val="clear" w:color="auto" w:fill="FFFFFF"/>
        </w:rPr>
        <w:t xml:space="preserve"> </w:t>
      </w:r>
      <w:r w:rsidRPr="00480DA6">
        <w:rPr>
          <w:rFonts w:ascii="Times New Roman" w:hAnsi="Times New Roman"/>
          <w:color w:val="000000"/>
          <w:sz w:val="24"/>
          <w:shd w:val="clear" w:color="auto" w:fill="FFFFFF"/>
        </w:rPr>
        <w:t xml:space="preserve">are not capable of </w:t>
      </w:r>
      <w:r w:rsidR="00086762">
        <w:rPr>
          <w:rFonts w:ascii="Times New Roman" w:hAnsi="Times New Roman"/>
          <w:color w:val="000000"/>
          <w:sz w:val="24"/>
          <w:shd w:val="clear" w:color="auto" w:fill="FFFFFF"/>
        </w:rPr>
        <w:t xml:space="preserve">effectively </w:t>
      </w:r>
      <w:r w:rsidRPr="00480DA6">
        <w:rPr>
          <w:rFonts w:ascii="Times New Roman" w:hAnsi="Times New Roman"/>
          <w:color w:val="000000"/>
          <w:sz w:val="24"/>
          <w:shd w:val="clear" w:color="auto" w:fill="FFFFFF"/>
        </w:rPr>
        <w:t xml:space="preserve">addressing accident-prone facilities without additional regulatory </w:t>
      </w:r>
      <w:r w:rsidR="00086762">
        <w:rPr>
          <w:rFonts w:ascii="Times New Roman" w:hAnsi="Times New Roman"/>
          <w:color w:val="000000"/>
          <w:sz w:val="24"/>
          <w:shd w:val="clear" w:color="auto" w:fill="FFFFFF"/>
        </w:rPr>
        <w:t xml:space="preserve">requirements </w:t>
      </w:r>
      <w:r w:rsidRPr="00480DA6">
        <w:rPr>
          <w:rFonts w:ascii="Times New Roman" w:hAnsi="Times New Roman"/>
          <w:color w:val="000000"/>
          <w:sz w:val="24"/>
          <w:shd w:val="clear" w:color="auto" w:fill="FFFFFF"/>
        </w:rPr>
        <w:t>mandates.</w:t>
      </w:r>
      <w:r>
        <w:t xml:space="preserve"> </w:t>
      </w:r>
    </w:p>
    <w:p w:rsidR="00580D51" w:rsidP="00025134" w14:paraId="0F098674" w14:textId="64B051AA">
      <w:pPr>
        <w:ind w:left="720"/>
        <w:rPr>
          <w:rStyle w:val="normaltextrun"/>
          <w:rFonts w:ascii="Times New Roman" w:hAnsi="Times New Roman"/>
          <w:color w:val="000000"/>
          <w:sz w:val="24"/>
          <w:shd w:val="clear" w:color="auto" w:fill="FFFFFF"/>
        </w:rPr>
      </w:pPr>
      <w:r w:rsidRPr="00580D51">
        <w:rPr>
          <w:rFonts w:ascii="Times New Roman" w:hAnsi="Times New Roman"/>
          <w:color w:val="000000"/>
          <w:sz w:val="24"/>
          <w:shd w:val="clear" w:color="auto" w:fill="FFFFFF"/>
        </w:rPr>
        <w:t xml:space="preserve">While large events are rare, CAA section 112(r) was intended as a prevention program for large catastrophic releases as well as more common accidental releases. Post-event compliance measures such as outreach and enforcement are “too little, too late” for such large, but rare, events. Therefore, </w:t>
      </w:r>
      <w:r w:rsidR="00C91406">
        <w:rPr>
          <w:rFonts w:ascii="Times New Roman" w:hAnsi="Times New Roman"/>
          <w:color w:val="000000"/>
          <w:sz w:val="24"/>
          <w:shd w:val="clear" w:color="auto" w:fill="FFFFFF"/>
        </w:rPr>
        <w:t>this final</w:t>
      </w:r>
      <w:r w:rsidRPr="00580D51">
        <w:rPr>
          <w:rFonts w:ascii="Times New Roman" w:hAnsi="Times New Roman"/>
          <w:color w:val="000000"/>
          <w:sz w:val="24"/>
          <w:shd w:val="clear" w:color="auto" w:fill="FFFFFF"/>
        </w:rPr>
        <w:t xml:space="preserve"> rule </w:t>
      </w:r>
      <w:r w:rsidR="00C91406">
        <w:rPr>
          <w:rFonts w:ascii="Times New Roman" w:hAnsi="Times New Roman"/>
          <w:color w:val="000000"/>
          <w:sz w:val="24"/>
          <w:shd w:val="clear" w:color="auto" w:fill="FFFFFF"/>
        </w:rPr>
        <w:t>provides additional prevention program p</w:t>
      </w:r>
      <w:r w:rsidR="00F2014B">
        <w:rPr>
          <w:rFonts w:ascii="Times New Roman" w:hAnsi="Times New Roman"/>
          <w:color w:val="000000"/>
          <w:sz w:val="24"/>
          <w:shd w:val="clear" w:color="auto" w:fill="FFFFFF"/>
        </w:rPr>
        <w:t>rovisions reasonably calculated for</w:t>
      </w:r>
      <w:r w:rsidRPr="00580D51">
        <w:rPr>
          <w:rFonts w:ascii="Times New Roman" w:hAnsi="Times New Roman"/>
          <w:color w:val="000000"/>
          <w:sz w:val="24"/>
          <w:shd w:val="clear" w:color="auto" w:fill="FFFFFF"/>
        </w:rPr>
        <w:t xml:space="preserve"> stationary sources handling dangerous chemicals to prevent potentially catastrophic incidents. EPA therefore believes the provisions of this </w:t>
      </w:r>
      <w:r w:rsidRPr="00580D51">
        <w:rPr>
          <w:rFonts w:ascii="Times New Roman" w:hAnsi="Times New Roman"/>
          <w:color w:val="000000"/>
          <w:sz w:val="24"/>
          <w:shd w:val="clear" w:color="auto" w:fill="FFFFFF"/>
        </w:rPr>
        <w:t xml:space="preserve">final rule </w:t>
      </w:r>
      <w:r w:rsidR="00D64D3E">
        <w:rPr>
          <w:rFonts w:ascii="Times New Roman" w:hAnsi="Times New Roman"/>
          <w:color w:val="000000"/>
          <w:sz w:val="24"/>
          <w:shd w:val="clear" w:color="auto" w:fill="FFFFFF"/>
        </w:rPr>
        <w:t>will be generally effective</w:t>
      </w:r>
      <w:r w:rsidRPr="00580D51">
        <w:rPr>
          <w:rFonts w:ascii="Times New Roman" w:hAnsi="Times New Roman"/>
          <w:color w:val="000000"/>
          <w:sz w:val="24"/>
          <w:shd w:val="clear" w:color="auto" w:fill="FFFFFF"/>
        </w:rPr>
        <w:t xml:space="preserve"> to help improve chemical process safety</w:t>
      </w:r>
      <w:r w:rsidR="0065035C">
        <w:rPr>
          <w:rFonts w:ascii="Times New Roman" w:hAnsi="Times New Roman"/>
          <w:color w:val="000000"/>
          <w:sz w:val="24"/>
          <w:shd w:val="clear" w:color="auto" w:fill="FFFFFF"/>
        </w:rPr>
        <w:t xml:space="preserve"> by preventing accidents that result in harm and damage</w:t>
      </w:r>
      <w:r w:rsidRPr="00580D51">
        <w:rPr>
          <w:rFonts w:ascii="Times New Roman" w:hAnsi="Times New Roman"/>
          <w:color w:val="000000"/>
          <w:sz w:val="24"/>
          <w:shd w:val="clear" w:color="auto" w:fill="FFFFFF"/>
        </w:rPr>
        <w:t xml:space="preserve">; assist in planning, preparedness, and responding to RMP-reportable accidents; and improve public awareness of chemical hazards at regulated sources. Thus, these are necessary updates to the existing RMP rule to ensure chemical </w:t>
      </w:r>
      <w:r w:rsidR="0065035C">
        <w:rPr>
          <w:rFonts w:ascii="Times New Roman" w:hAnsi="Times New Roman"/>
          <w:color w:val="000000"/>
          <w:sz w:val="24"/>
          <w:shd w:val="clear" w:color="auto" w:fill="FFFFFF"/>
        </w:rPr>
        <w:t xml:space="preserve">accident prevention </w:t>
      </w:r>
      <w:r w:rsidRPr="00580D51">
        <w:rPr>
          <w:rFonts w:ascii="Times New Roman" w:hAnsi="Times New Roman"/>
          <w:color w:val="000000"/>
          <w:sz w:val="24"/>
          <w:shd w:val="clear" w:color="auto" w:fill="FFFFFF"/>
        </w:rPr>
        <w:t xml:space="preserve">and </w:t>
      </w:r>
      <w:r w:rsidR="0065035C">
        <w:rPr>
          <w:rFonts w:ascii="Times New Roman" w:hAnsi="Times New Roman"/>
          <w:color w:val="000000"/>
          <w:sz w:val="24"/>
          <w:shd w:val="clear" w:color="auto" w:fill="FFFFFF"/>
        </w:rPr>
        <w:t>mitigation</w:t>
      </w:r>
      <w:r w:rsidRPr="00580D51">
        <w:rPr>
          <w:rFonts w:ascii="Times New Roman" w:hAnsi="Times New Roman"/>
          <w:color w:val="000000"/>
          <w:sz w:val="24"/>
          <w:shd w:val="clear" w:color="auto" w:fill="FFFFFF"/>
        </w:rPr>
        <w:t xml:space="preserve">. </w:t>
      </w:r>
      <w:r w:rsidRPr="00346497" w:rsidR="00346497">
        <w:rPr>
          <w:rFonts w:ascii="Times New Roman" w:hAnsi="Times New Roman"/>
          <w:color w:val="000000"/>
          <w:sz w:val="24"/>
          <w:shd w:val="clear" w:color="auto" w:fill="FFFFFF"/>
        </w:rPr>
        <w:t xml:space="preserve">Further, while many of the provisions of this final rule reinforce each other, </w:t>
      </w:r>
      <w:r w:rsidR="008F5819">
        <w:rPr>
          <w:rFonts w:ascii="Times New Roman" w:hAnsi="Times New Roman"/>
          <w:color w:val="000000"/>
          <w:sz w:val="24"/>
          <w:shd w:val="clear" w:color="auto" w:fill="FFFFFF"/>
        </w:rPr>
        <w:t xml:space="preserve">it is </w:t>
      </w:r>
      <w:r w:rsidRPr="00346497" w:rsidR="00346497">
        <w:rPr>
          <w:rFonts w:ascii="Times New Roman" w:hAnsi="Times New Roman"/>
          <w:color w:val="000000"/>
          <w:sz w:val="24"/>
          <w:shd w:val="clear" w:color="auto" w:fill="FFFFFF"/>
        </w:rPr>
        <w:t>EPA</w:t>
      </w:r>
      <w:r w:rsidR="008F5819">
        <w:rPr>
          <w:rFonts w:ascii="Times New Roman" w:hAnsi="Times New Roman"/>
          <w:color w:val="000000"/>
          <w:sz w:val="24"/>
          <w:shd w:val="clear" w:color="auto" w:fill="FFFFFF"/>
        </w:rPr>
        <w:t>’s</w:t>
      </w:r>
      <w:r w:rsidR="008E017B">
        <w:rPr>
          <w:rFonts w:ascii="Times New Roman" w:hAnsi="Times New Roman"/>
          <w:color w:val="000000"/>
          <w:sz w:val="24"/>
          <w:shd w:val="clear" w:color="auto" w:fill="FFFFFF"/>
        </w:rPr>
        <w:t xml:space="preserve"> intent that</w:t>
      </w:r>
      <w:r w:rsidRPr="00346497" w:rsidR="00346497">
        <w:rPr>
          <w:rFonts w:ascii="Times New Roman" w:hAnsi="Times New Roman"/>
          <w:color w:val="000000"/>
          <w:sz w:val="24"/>
          <w:shd w:val="clear" w:color="auto" w:fill="FFFFFF"/>
        </w:rPr>
        <w:t xml:space="preserve"> each one </w:t>
      </w:r>
      <w:r w:rsidR="008E017B">
        <w:rPr>
          <w:rFonts w:ascii="Times New Roman" w:hAnsi="Times New Roman"/>
          <w:color w:val="000000"/>
          <w:sz w:val="24"/>
          <w:shd w:val="clear" w:color="auto" w:fill="FFFFFF"/>
        </w:rPr>
        <w:t>i</w:t>
      </w:r>
      <w:r w:rsidRPr="00346497" w:rsidR="00346497">
        <w:rPr>
          <w:rFonts w:ascii="Times New Roman" w:hAnsi="Times New Roman"/>
          <w:color w:val="000000"/>
          <w:sz w:val="24"/>
          <w:shd w:val="clear" w:color="auto" w:fill="FFFFFF"/>
        </w:rPr>
        <w:t>s merited on its own, and they are thus severable.</w:t>
      </w:r>
    </w:p>
    <w:p w:rsidR="00025134" w:rsidRPr="00335B54" w:rsidP="00025134" w14:paraId="509C1B81" w14:textId="77777777">
      <w:pPr>
        <w:rPr>
          <w:rFonts w:ascii="Times New Roman" w:hAnsi="Times New Roman"/>
          <w:i/>
          <w:iCs/>
          <w:sz w:val="24"/>
        </w:rPr>
      </w:pPr>
      <w:r>
        <w:rPr>
          <w:rFonts w:ascii="Times New Roman" w:hAnsi="Times New Roman"/>
          <w:i/>
          <w:iCs/>
          <w:sz w:val="24"/>
        </w:rPr>
        <w:t>General comment in support of expanding coverage</w:t>
      </w:r>
    </w:p>
    <w:p w:rsidR="00025134" w:rsidP="00025134" w14:paraId="0FD7FF34" w14:textId="4DC29F00">
      <w:pPr>
        <w:rPr>
          <w:rFonts w:ascii="Times New Roman" w:hAnsi="Times New Roman"/>
          <w:sz w:val="24"/>
        </w:rPr>
      </w:pPr>
      <w:r>
        <w:rPr>
          <w:rFonts w:ascii="Times New Roman" w:hAnsi="Times New Roman"/>
          <w:b/>
          <w:bCs/>
          <w:sz w:val="24"/>
        </w:rPr>
        <w:t>Comment 1.5-1</w:t>
      </w:r>
      <w:r w:rsidR="00DF6B7D">
        <w:rPr>
          <w:rFonts w:ascii="Times New Roman" w:hAnsi="Times New Roman"/>
          <w:b/>
          <w:bCs/>
          <w:sz w:val="24"/>
        </w:rPr>
        <w:t>1</w:t>
      </w:r>
      <w:r>
        <w:rPr>
          <w:rFonts w:ascii="Times New Roman" w:hAnsi="Times New Roman"/>
          <w:b/>
          <w:bCs/>
          <w:sz w:val="24"/>
        </w:rPr>
        <w:t xml:space="preserve">: </w:t>
      </w:r>
      <w:r w:rsidRPr="006F68E9">
        <w:rPr>
          <w:rFonts w:ascii="Times New Roman" w:hAnsi="Times New Roman"/>
          <w:sz w:val="24"/>
        </w:rPr>
        <w:t>A few commenters requested that EPA expand coverage of the rules to more facilities and more chemicals and reduce the chemical thresholds for RMP coverage (0241, 0270, 0448). The commenters asked EPA to expand the coverage of facilities so that a facility covered in part under the RMP must be covered in full. The commenters pointed out that incidents have occurred at facilities that are only partially covered which have caused fires and explosions involving the rest of the facility</w:t>
      </w:r>
      <w:r>
        <w:rPr>
          <w:rFonts w:ascii="Times New Roman" w:hAnsi="Times New Roman"/>
          <w:sz w:val="24"/>
        </w:rPr>
        <w:t xml:space="preserve">; </w:t>
      </w:r>
      <w:r w:rsidRPr="007B5F64">
        <w:rPr>
          <w:rFonts w:ascii="Times New Roman" w:hAnsi="Times New Roman"/>
          <w:sz w:val="24"/>
        </w:rPr>
        <w:t>th</w:t>
      </w:r>
      <w:r>
        <w:rPr>
          <w:rFonts w:ascii="Times New Roman" w:hAnsi="Times New Roman"/>
          <w:sz w:val="24"/>
        </w:rPr>
        <w:t xml:space="preserve">e commenters concluded that </w:t>
      </w:r>
      <w:r w:rsidRPr="006F68E9">
        <w:rPr>
          <w:rFonts w:ascii="Times New Roman" w:hAnsi="Times New Roman"/>
          <w:sz w:val="24"/>
        </w:rPr>
        <w:t xml:space="preserve">EPA must expand coverage so any facility covered in part is fully covered by the RMP rules (0240, 0241, 0270, 0456). </w:t>
      </w:r>
    </w:p>
    <w:p w:rsidR="00025134" w:rsidRPr="008534B0" w:rsidP="00025134" w14:paraId="6C663179" w14:textId="77777777">
      <w:pPr>
        <w:rPr>
          <w:rFonts w:ascii="Times New Roman" w:eastAsia="Calibri" w:hAnsi="Times New Roman"/>
          <w:b/>
          <w:sz w:val="24"/>
        </w:rPr>
      </w:pPr>
      <w:r w:rsidRPr="006F68E9">
        <w:rPr>
          <w:rFonts w:ascii="Times New Roman" w:hAnsi="Times New Roman"/>
          <w:sz w:val="24"/>
        </w:rPr>
        <w:t>One commenter urged EPA to revise the definition of “covered facility” to provide a fenceline-to-fenceline approach, to ensure sites with regulated materials are required to comprehensively account for the full range of potential consequences associated with an incident or release of hazardous chemicals. The commenter pointed to the Environmental Justice Health Alliance for Chemical Policy Reform that states “</w:t>
      </w:r>
      <w:r w:rsidRPr="006F68E9">
        <w:rPr>
          <w:rFonts w:ascii="Times New Roman" w:eastAsia="Calibri" w:hAnsi="Times New Roman"/>
          <w:sz w:val="24"/>
        </w:rPr>
        <w:t>the assumption that a potential fire, explosion or other major incident will only involve one chemical, or one part of the facility, is absurd” (0241).</w:t>
      </w:r>
    </w:p>
    <w:p w:rsidR="00025134" w:rsidRPr="00972560" w:rsidP="00025134" w14:paraId="2784E904" w14:textId="3FBDB6B4">
      <w:pPr>
        <w:rPr>
          <w:rFonts w:ascii="Times New Roman" w:eastAsia="Calibri" w:hAnsi="Times New Roman"/>
          <w:b/>
          <w:bCs/>
          <w:sz w:val="24"/>
        </w:rPr>
      </w:pPr>
      <w:r>
        <w:rPr>
          <w:rFonts w:ascii="Times New Roman" w:eastAsia="Calibri" w:hAnsi="Times New Roman"/>
          <w:sz w:val="24"/>
        </w:rPr>
        <w:tab/>
      </w:r>
      <w:r w:rsidRPr="00EB049B">
        <w:rPr>
          <w:rFonts w:ascii="Times New Roman" w:eastAsia="Calibri" w:hAnsi="Times New Roman"/>
          <w:b/>
          <w:bCs/>
          <w:sz w:val="24"/>
        </w:rPr>
        <w:t>EPA Response:</w:t>
      </w:r>
      <w:r w:rsidRPr="00DB0CD6" w:rsidR="00DB0CD6">
        <w:rPr>
          <w:rFonts w:ascii="Times New Roman" w:hAnsi="Times New Roman"/>
          <w:sz w:val="24"/>
        </w:rPr>
        <w:t xml:space="preserve"> </w:t>
      </w:r>
      <w:r w:rsidRPr="002D19DB" w:rsidR="00DB0CD6">
        <w:rPr>
          <w:rFonts w:ascii="Times New Roman" w:hAnsi="Times New Roman"/>
          <w:sz w:val="24"/>
        </w:rPr>
        <w:t>These comments are outside the scope of the proposed rule.</w:t>
      </w:r>
    </w:p>
    <w:p w:rsidR="00025134" w:rsidRPr="00EB049B" w:rsidP="00025134" w14:paraId="30EC143F" w14:textId="3A9F800C">
      <w:pPr>
        <w:rPr>
          <w:rFonts w:ascii="Times New Roman" w:eastAsia="Calibri" w:hAnsi="Times New Roman"/>
          <w:b/>
          <w:sz w:val="24"/>
        </w:rPr>
      </w:pPr>
      <w:r>
        <w:rPr>
          <w:rFonts w:ascii="Times New Roman" w:eastAsia="Calibri" w:hAnsi="Times New Roman"/>
          <w:b/>
          <w:bCs/>
          <w:sz w:val="24"/>
        </w:rPr>
        <w:t>Comment 1.5-1</w:t>
      </w:r>
      <w:r w:rsidR="00DF6B7D">
        <w:rPr>
          <w:rFonts w:ascii="Times New Roman" w:eastAsia="Calibri" w:hAnsi="Times New Roman"/>
          <w:b/>
          <w:bCs/>
          <w:sz w:val="24"/>
        </w:rPr>
        <w:t>2</w:t>
      </w:r>
      <w:r>
        <w:rPr>
          <w:rFonts w:ascii="Times New Roman" w:eastAsia="Calibri" w:hAnsi="Times New Roman"/>
          <w:b/>
          <w:bCs/>
          <w:sz w:val="24"/>
        </w:rPr>
        <w:t xml:space="preserve">: </w:t>
      </w:r>
      <w:r w:rsidRPr="006F68E9">
        <w:rPr>
          <w:rFonts w:ascii="Times New Roman" w:hAnsi="Times New Roman"/>
          <w:sz w:val="24"/>
        </w:rPr>
        <w:t>One commenter stated that the TQ of many of the regulated hazards are unreasonably</w:t>
      </w:r>
      <w:r>
        <w:rPr>
          <w:rFonts w:ascii="Times New Roman" w:hAnsi="Times New Roman"/>
          <w:sz w:val="24"/>
        </w:rPr>
        <w:t xml:space="preserve"> high</w:t>
      </w:r>
      <w:r w:rsidRPr="006F68E9">
        <w:rPr>
          <w:rFonts w:ascii="Times New Roman" w:hAnsi="Times New Roman"/>
          <w:sz w:val="24"/>
        </w:rPr>
        <w:t xml:space="preserve">, adding that the high TQ exempts many facilities from RMP requirements, leading to accidents </w:t>
      </w:r>
      <w:r w:rsidRPr="00EB049B">
        <w:rPr>
          <w:rFonts w:ascii="Times New Roman" w:hAnsi="Times New Roman"/>
          <w:sz w:val="24"/>
        </w:rPr>
        <w:t>that could have been mitigated (0456).</w:t>
      </w:r>
    </w:p>
    <w:p w:rsidR="00025134" w:rsidRPr="003010C2" w:rsidP="00025134" w14:paraId="6BD18DE6" w14:textId="3ED134E7">
      <w:pPr>
        <w:rPr>
          <w:rFonts w:ascii="Times New Roman" w:hAnsi="Times New Roman"/>
          <w:sz w:val="24"/>
        </w:rPr>
      </w:pPr>
      <w:r w:rsidRPr="00EB049B">
        <w:rPr>
          <w:rFonts w:ascii="Times New Roman" w:hAnsi="Times New Roman"/>
          <w:sz w:val="24"/>
        </w:rPr>
        <w:tab/>
      </w:r>
      <w:r w:rsidRPr="00EB049B">
        <w:rPr>
          <w:rFonts w:ascii="Times New Roman" w:hAnsi="Times New Roman"/>
          <w:b/>
          <w:bCs/>
          <w:sz w:val="24"/>
        </w:rPr>
        <w:t>EPA Response:</w:t>
      </w:r>
      <w:r w:rsidRPr="00EB049B" w:rsidR="00106835">
        <w:rPr>
          <w:rFonts w:ascii="Times New Roman" w:hAnsi="Times New Roman"/>
          <w:b/>
          <w:bCs/>
          <w:sz w:val="24"/>
        </w:rPr>
        <w:t xml:space="preserve"> </w:t>
      </w:r>
      <w:r w:rsidRPr="00EB049B" w:rsidR="003010C2">
        <w:rPr>
          <w:rFonts w:ascii="Times New Roman" w:hAnsi="Times New Roman"/>
          <w:sz w:val="24"/>
        </w:rPr>
        <w:t>These</w:t>
      </w:r>
      <w:r w:rsidRPr="003010C2" w:rsidR="003010C2">
        <w:rPr>
          <w:rFonts w:ascii="Times New Roman" w:hAnsi="Times New Roman"/>
          <w:sz w:val="24"/>
        </w:rPr>
        <w:t xml:space="preserve"> comments are outside the scope of the proposed rule.</w:t>
      </w:r>
    </w:p>
    <w:p w:rsidR="00025134" w:rsidRPr="00A61572" w:rsidP="00025134" w14:paraId="613DA8AA" w14:textId="77777777">
      <w:pPr>
        <w:rPr>
          <w:rFonts w:ascii="Times New Roman" w:hAnsi="Times New Roman"/>
          <w:i/>
          <w:iCs/>
          <w:sz w:val="24"/>
        </w:rPr>
      </w:pPr>
      <w:r>
        <w:rPr>
          <w:rFonts w:ascii="Times New Roman" w:hAnsi="Times New Roman"/>
          <w:i/>
          <w:iCs/>
          <w:sz w:val="24"/>
        </w:rPr>
        <w:t xml:space="preserve">Comments on the definition of “stationary source” </w:t>
      </w:r>
    </w:p>
    <w:p w:rsidR="00025134" w:rsidP="00DB7605" w14:paraId="4073D362" w14:textId="788C2EF6">
      <w:pPr>
        <w:rPr>
          <w:rFonts w:ascii="Times New Roman" w:eastAsia="Calibri" w:hAnsi="Times New Roman"/>
          <w:sz w:val="24"/>
        </w:rPr>
      </w:pPr>
      <w:r>
        <w:rPr>
          <w:rFonts w:ascii="Times New Roman" w:eastAsia="Calibri" w:hAnsi="Times New Roman"/>
          <w:b/>
          <w:bCs/>
          <w:sz w:val="24"/>
        </w:rPr>
        <w:t>Comment 1.5-1</w:t>
      </w:r>
      <w:r w:rsidR="00DF6B7D">
        <w:rPr>
          <w:rFonts w:ascii="Times New Roman" w:eastAsia="Calibri" w:hAnsi="Times New Roman"/>
          <w:b/>
          <w:bCs/>
          <w:sz w:val="24"/>
        </w:rPr>
        <w:t>3</w:t>
      </w:r>
      <w:r>
        <w:rPr>
          <w:rFonts w:ascii="Times New Roman" w:eastAsia="Calibri" w:hAnsi="Times New Roman"/>
          <w:b/>
          <w:bCs/>
          <w:sz w:val="24"/>
        </w:rPr>
        <w:t xml:space="preserve">: </w:t>
      </w:r>
      <w:r w:rsidRPr="006F68E9">
        <w:rPr>
          <w:rFonts w:ascii="Times New Roman" w:eastAsia="Calibri" w:hAnsi="Times New Roman"/>
          <w:sz w:val="24"/>
        </w:rPr>
        <w:t>Several commenters asked EPA to redefine the definition of “stationary source” so the entire facility must comply with RMP requirements if any part of it is covered (0208, 0240, 0270, 0449).</w:t>
      </w:r>
    </w:p>
    <w:p w:rsidR="005532AC" w:rsidRPr="005532AC" w:rsidP="00DB7605" w14:paraId="19152ADC" w14:textId="34416B1A">
      <w:pPr>
        <w:rPr>
          <w:rFonts w:ascii="Times New Roman" w:hAnsi="Times New Roman"/>
          <w:sz w:val="24"/>
        </w:rPr>
      </w:pPr>
      <w:r w:rsidRPr="006F68E9">
        <w:rPr>
          <w:rFonts w:ascii="Times New Roman" w:eastAsia="Times New Roman" w:hAnsi="Times New Roman"/>
          <w:sz w:val="24"/>
        </w:rPr>
        <w:t xml:space="preserve">One commenter urged EPA to </w:t>
      </w:r>
      <w:r w:rsidRPr="006F68E9">
        <w:rPr>
          <w:rFonts w:ascii="Times New Roman" w:hAnsi="Times New Roman"/>
          <w:sz w:val="24"/>
        </w:rPr>
        <w:t xml:space="preserve">continue to recognize that more dilute solutions and mixtures of Hydrogen chloride (HCl) and HF do not present facility risks warranting inclusion in the RMP program and maintain EPA’s current threshold concentrations and volumes for HCl and HF. The commenter stated that, while HCl and HF are both regulated substances under EPA’s RMP regulations, steel manufacturers have generally not been subject to the RMP standard because they use HCl and HF in concentrations lower than the threshold concentrations (37% for HCl and 50% for HF). The commenter </w:t>
      </w:r>
      <w:r>
        <w:rPr>
          <w:rFonts w:ascii="Times New Roman" w:hAnsi="Times New Roman"/>
          <w:sz w:val="24"/>
        </w:rPr>
        <w:t>stated</w:t>
      </w:r>
      <w:r w:rsidRPr="006F68E9">
        <w:rPr>
          <w:rFonts w:ascii="Times New Roman" w:hAnsi="Times New Roman"/>
          <w:sz w:val="24"/>
        </w:rPr>
        <w:t xml:space="preserve"> the 1995 establishment of the 50% threshold concentration for HF and the 1997 establishment of a threshold concentration for HCl at 37% based on a finding that lower concentrations of HF did not present risks that warranted triggering RMP program coverage. The commenters claimed that extending the RMP program to low-risk facilities that only use more dilute concentrations of HCl and HF would create regulatory inconsistency and confusion without improving industrial safety. The commenter supported the Agency’s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recognizing that no new evidence or data exists called into question the protectiveness of the current threshold RMP concentrations for HF and HCl (0212).</w:t>
      </w:r>
    </w:p>
    <w:p w:rsidR="00854CB7" w:rsidP="293A3889" w14:paraId="200D25F3" w14:textId="2E39B383">
      <w:pPr>
        <w:ind w:firstLine="720"/>
        <w:rPr>
          <w:rFonts w:ascii="Times New Roman" w:hAnsi="Times New Roman"/>
          <w:sz w:val="24"/>
        </w:rPr>
      </w:pPr>
      <w:r>
        <w:rPr>
          <w:rFonts w:ascii="Times New Roman" w:eastAsia="Calibri" w:hAnsi="Times New Roman"/>
          <w:b/>
          <w:bCs/>
          <w:sz w:val="24"/>
        </w:rPr>
        <w:t xml:space="preserve">EPA Response: </w:t>
      </w:r>
      <w:r w:rsidRPr="002D19DB" w:rsidR="002D19DB">
        <w:rPr>
          <w:rFonts w:ascii="Times New Roman" w:hAnsi="Times New Roman"/>
          <w:sz w:val="24"/>
        </w:rPr>
        <w:t xml:space="preserve">These comments are outside the scope of the proposed rule. </w:t>
      </w:r>
    </w:p>
    <w:p w:rsidR="00BA09A9" w:rsidP="008C26C5" w14:paraId="0DF2937C" w14:textId="77777777">
      <w:pPr>
        <w:rPr>
          <w:rFonts w:ascii="Times New Roman" w:hAnsi="Times New Roman"/>
          <w:sz w:val="24"/>
        </w:rPr>
      </w:pPr>
    </w:p>
    <w:p w:rsidR="00D43808" w:rsidP="008C26C5" w14:paraId="2EF625EF" w14:textId="77777777">
      <w:pPr>
        <w:pStyle w:val="Heading1"/>
        <w:spacing w:before="120"/>
      </w:pPr>
      <w:bookmarkStart w:id="21" w:name="_Toc146879976"/>
      <w:bookmarkStart w:id="22" w:name="_Toc153373770"/>
      <w:r w:rsidRPr="006F68E9">
        <w:t>Natural Hazards</w:t>
      </w:r>
      <w:bookmarkEnd w:id="21"/>
      <w:bookmarkEnd w:id="22"/>
    </w:p>
    <w:p w:rsidR="00D43808" w:rsidRPr="00446539" w:rsidP="00D43808" w14:paraId="341A1752" w14:textId="77777777">
      <w:pPr>
        <w:rPr>
          <w:rFonts w:ascii="Times New Roman" w:hAnsi="Times New Roman"/>
          <w:i/>
          <w:sz w:val="24"/>
        </w:rPr>
      </w:pPr>
      <w:r w:rsidRPr="00446539">
        <w:rPr>
          <w:rFonts w:ascii="Times New Roman" w:hAnsi="Times New Roman"/>
          <w:i/>
          <w:sz w:val="24"/>
        </w:rPr>
        <w:t>Comments associated with this issue are discussed in the sub-issues below.</w:t>
      </w:r>
    </w:p>
    <w:p w:rsidR="00D43808" w:rsidRPr="006F68E9" w:rsidP="00587FCD" w14:paraId="67FD61EE" w14:textId="77777777">
      <w:pPr>
        <w:pStyle w:val="Heading2"/>
        <w:spacing w:before="120"/>
        <w:rPr>
          <w:rFonts w:ascii="Times New Roman" w:hAnsi="Times New Roman" w:cs="Times New Roman"/>
          <w:b/>
          <w:bCs/>
          <w:color w:val="auto"/>
          <w:sz w:val="24"/>
          <w:szCs w:val="24"/>
        </w:rPr>
      </w:pPr>
      <w:bookmarkStart w:id="23" w:name="_Toc146879977"/>
      <w:bookmarkStart w:id="24" w:name="_Toc153373771"/>
      <w:r w:rsidRPr="6D3F9CC5">
        <w:rPr>
          <w:rFonts w:ascii="Times New Roman" w:hAnsi="Times New Roman" w:cs="Times New Roman"/>
          <w:b/>
          <w:bCs/>
          <w:color w:val="auto"/>
          <w:sz w:val="24"/>
          <w:szCs w:val="24"/>
        </w:rPr>
        <w:t xml:space="preserve">Proposed </w:t>
      </w:r>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pproach</w:t>
      </w:r>
      <w:bookmarkEnd w:id="23"/>
      <w:bookmarkEnd w:id="24"/>
      <w:r w:rsidRPr="6D3F9CC5">
        <w:rPr>
          <w:rFonts w:ascii="Times New Roman" w:hAnsi="Times New Roman" w:cs="Times New Roman"/>
          <w:b/>
          <w:bCs/>
          <w:color w:val="auto"/>
          <w:sz w:val="24"/>
          <w:szCs w:val="24"/>
        </w:rPr>
        <w:t xml:space="preserve"> </w:t>
      </w:r>
    </w:p>
    <w:p w:rsidR="00D43808" w:rsidRPr="00DC599F" w:rsidP="00D43808" w14:paraId="7EA2C9B0" w14:textId="77777777">
      <w:pPr>
        <w:rPr>
          <w:rFonts w:ascii="Times New Roman" w:hAnsi="Times New Roman"/>
          <w:i/>
          <w:iCs/>
          <w:sz w:val="24"/>
        </w:rPr>
      </w:pPr>
      <w:r>
        <w:rPr>
          <w:rFonts w:ascii="Times New Roman" w:hAnsi="Times New Roman"/>
          <w:i/>
          <w:iCs/>
          <w:sz w:val="24"/>
        </w:rPr>
        <w:t>General comments on the natural hazard assessments requirement</w:t>
      </w:r>
    </w:p>
    <w:p w:rsidR="00D43808" w:rsidP="00D43808" w14:paraId="46206A29" w14:textId="77777777">
      <w:pPr>
        <w:rPr>
          <w:rFonts w:ascii="Times New Roman" w:hAnsi="Times New Roman"/>
          <w:sz w:val="24"/>
        </w:rPr>
      </w:pPr>
      <w:r w:rsidRPr="00B477B5">
        <w:rPr>
          <w:rFonts w:ascii="Times New Roman" w:hAnsi="Times New Roman"/>
          <w:b/>
          <w:bCs/>
          <w:sz w:val="24"/>
        </w:rPr>
        <w:t>Comment</w:t>
      </w:r>
      <w:r>
        <w:rPr>
          <w:rFonts w:ascii="Times New Roman" w:hAnsi="Times New Roman"/>
          <w:b/>
          <w:bCs/>
          <w:sz w:val="24"/>
        </w:rPr>
        <w:t xml:space="preserve"> 2.1-01</w:t>
      </w:r>
      <w:r w:rsidRPr="00B477B5">
        <w:rPr>
          <w:rFonts w:ascii="Times New Roman" w:hAnsi="Times New Roman"/>
          <w:b/>
          <w:bCs/>
          <w:sz w:val="24"/>
        </w:rPr>
        <w:t xml:space="preserve">: </w:t>
      </w:r>
      <w:r>
        <w:rPr>
          <w:rFonts w:ascii="Times New Roman" w:hAnsi="Times New Roman"/>
          <w:sz w:val="24"/>
        </w:rPr>
        <w:t>Many</w:t>
      </w:r>
      <w:r w:rsidRPr="72A6ED8D">
        <w:rPr>
          <w:rFonts w:ascii="Times New Roman" w:hAnsi="Times New Roman"/>
          <w:sz w:val="24"/>
        </w:rPr>
        <w:t xml:space="preserve"> commenters expressed support for EPA requiring facilities to conduct natural hazard assessments, since natural hazards have the potential to initiate accidents at RMP facilities (0139, </w:t>
      </w:r>
      <w:r>
        <w:rPr>
          <w:rFonts w:ascii="Times New Roman" w:hAnsi="Times New Roman"/>
          <w:sz w:val="24"/>
        </w:rPr>
        <w:t xml:space="preserve">0141, </w:t>
      </w:r>
      <w:r w:rsidRPr="72A6ED8D">
        <w:rPr>
          <w:rFonts w:ascii="Times New Roman" w:hAnsi="Times New Roman"/>
          <w:sz w:val="24"/>
        </w:rPr>
        <w:t xml:space="preserve">0158, 0160, 0173, 0177, 0192, </w:t>
      </w:r>
      <w:r>
        <w:rPr>
          <w:rFonts w:ascii="Times New Roman" w:hAnsi="Times New Roman"/>
          <w:sz w:val="24"/>
        </w:rPr>
        <w:t xml:space="preserve">0194, 0203, </w:t>
      </w:r>
      <w:r w:rsidRPr="72A6ED8D">
        <w:rPr>
          <w:rFonts w:ascii="Times New Roman" w:hAnsi="Times New Roman"/>
          <w:sz w:val="24"/>
        </w:rPr>
        <w:t xml:space="preserve">0204, 0208, 0209, 0216, </w:t>
      </w:r>
      <w:r>
        <w:rPr>
          <w:rFonts w:ascii="Times New Roman" w:hAnsi="Times New Roman"/>
          <w:sz w:val="24"/>
        </w:rPr>
        <w:t>0219, 0221,</w:t>
      </w:r>
      <w:r w:rsidRPr="72A6ED8D">
        <w:rPr>
          <w:rFonts w:ascii="Times New Roman" w:hAnsi="Times New Roman"/>
          <w:sz w:val="24"/>
        </w:rPr>
        <w:t xml:space="preserve"> 0228, 0235, </w:t>
      </w:r>
      <w:r>
        <w:rPr>
          <w:rFonts w:ascii="Times New Roman" w:hAnsi="Times New Roman"/>
          <w:sz w:val="24"/>
        </w:rPr>
        <w:t xml:space="preserve">0240, </w:t>
      </w:r>
      <w:r w:rsidRPr="72A6ED8D">
        <w:rPr>
          <w:rFonts w:ascii="Times New Roman" w:hAnsi="Times New Roman"/>
          <w:sz w:val="24"/>
        </w:rPr>
        <w:t xml:space="preserve">0241, 0247, </w:t>
      </w:r>
      <w:r>
        <w:rPr>
          <w:rFonts w:ascii="Times New Roman" w:hAnsi="Times New Roman"/>
          <w:sz w:val="24"/>
        </w:rPr>
        <w:t xml:space="preserve">0249, </w:t>
      </w:r>
      <w:r w:rsidRPr="72A6ED8D">
        <w:rPr>
          <w:rFonts w:ascii="Times New Roman" w:hAnsi="Times New Roman"/>
          <w:sz w:val="24"/>
        </w:rPr>
        <w:t xml:space="preserve">0250, </w:t>
      </w:r>
      <w:r>
        <w:rPr>
          <w:rFonts w:ascii="Times New Roman" w:hAnsi="Times New Roman"/>
          <w:sz w:val="24"/>
        </w:rPr>
        <w:t xml:space="preserve">0252, </w:t>
      </w:r>
      <w:r w:rsidRPr="72A6ED8D">
        <w:rPr>
          <w:rFonts w:ascii="Times New Roman" w:hAnsi="Times New Roman"/>
          <w:sz w:val="24"/>
        </w:rPr>
        <w:t xml:space="preserve">0254, </w:t>
      </w:r>
      <w:r>
        <w:rPr>
          <w:rFonts w:ascii="Times New Roman" w:hAnsi="Times New Roman"/>
          <w:sz w:val="24"/>
        </w:rPr>
        <w:t xml:space="preserve">0255, </w:t>
      </w:r>
      <w:r w:rsidRPr="72A6ED8D">
        <w:rPr>
          <w:rFonts w:ascii="Times New Roman" w:hAnsi="Times New Roman"/>
          <w:sz w:val="24"/>
        </w:rPr>
        <w:t xml:space="preserve">0257, 0258, </w:t>
      </w:r>
      <w:r>
        <w:rPr>
          <w:rFonts w:ascii="Times New Roman" w:hAnsi="Times New Roman"/>
          <w:sz w:val="24"/>
        </w:rPr>
        <w:t xml:space="preserve">0264, 0266, </w:t>
      </w:r>
      <w:r w:rsidRPr="72A6ED8D">
        <w:rPr>
          <w:rFonts w:ascii="Times New Roman" w:hAnsi="Times New Roman"/>
          <w:sz w:val="24"/>
        </w:rPr>
        <w:t xml:space="preserve">0269, </w:t>
      </w:r>
      <w:r>
        <w:rPr>
          <w:rFonts w:ascii="Times New Roman" w:hAnsi="Times New Roman"/>
          <w:sz w:val="24"/>
        </w:rPr>
        <w:t xml:space="preserve">0270, 0392, </w:t>
      </w:r>
      <w:r w:rsidRPr="72A6ED8D">
        <w:rPr>
          <w:rFonts w:ascii="Times New Roman" w:hAnsi="Times New Roman"/>
          <w:sz w:val="24"/>
        </w:rPr>
        <w:t xml:space="preserve">0402, </w:t>
      </w:r>
      <w:r>
        <w:rPr>
          <w:rFonts w:ascii="Times New Roman" w:hAnsi="Times New Roman"/>
          <w:sz w:val="24"/>
        </w:rPr>
        <w:t xml:space="preserve">0409, </w:t>
      </w:r>
      <w:r w:rsidRPr="72A6ED8D">
        <w:rPr>
          <w:rFonts w:ascii="Times New Roman" w:hAnsi="Times New Roman"/>
          <w:sz w:val="24"/>
        </w:rPr>
        <w:t xml:space="preserve">0413, 0444, </w:t>
      </w:r>
      <w:r>
        <w:rPr>
          <w:rFonts w:ascii="Times New Roman" w:hAnsi="Times New Roman"/>
          <w:sz w:val="24"/>
        </w:rPr>
        <w:t xml:space="preserve">0447, </w:t>
      </w:r>
      <w:r w:rsidRPr="72A6ED8D">
        <w:rPr>
          <w:rFonts w:ascii="Times New Roman" w:hAnsi="Times New Roman"/>
          <w:sz w:val="24"/>
        </w:rPr>
        <w:t xml:space="preserve">0448, </w:t>
      </w:r>
      <w:r>
        <w:rPr>
          <w:rFonts w:ascii="Times New Roman" w:hAnsi="Times New Roman"/>
          <w:sz w:val="24"/>
        </w:rPr>
        <w:t xml:space="preserve">0456, </w:t>
      </w:r>
      <w:r w:rsidRPr="72A6ED8D">
        <w:rPr>
          <w:rFonts w:ascii="Times New Roman" w:hAnsi="Times New Roman"/>
          <w:sz w:val="24"/>
        </w:rPr>
        <w:t xml:space="preserve">0460). </w:t>
      </w:r>
      <w:r>
        <w:rPr>
          <w:rFonts w:ascii="Times New Roman" w:hAnsi="Times New Roman"/>
          <w:sz w:val="24"/>
        </w:rPr>
        <w:t>A few commenters asserted</w:t>
      </w:r>
      <w:r w:rsidRPr="06C60982">
        <w:rPr>
          <w:rFonts w:ascii="Times New Roman" w:hAnsi="Times New Roman"/>
          <w:sz w:val="24"/>
        </w:rPr>
        <w:t xml:space="preserve"> that natural hazard assessments can protect workers and surrounding communities (0245, 0460)</w:t>
      </w:r>
      <w:r>
        <w:rPr>
          <w:rFonts w:ascii="Times New Roman" w:hAnsi="Times New Roman"/>
          <w:sz w:val="24"/>
        </w:rPr>
        <w:t xml:space="preserve">. </w:t>
      </w:r>
    </w:p>
    <w:p w:rsidR="00D43808" w:rsidP="00D43808" w14:paraId="64957F3C" w14:textId="23C8C001">
      <w:pPr>
        <w:rPr>
          <w:rFonts w:ascii="Times New Roman" w:hAnsi="Times New Roman"/>
          <w:sz w:val="24"/>
        </w:rPr>
      </w:pPr>
      <w:r w:rsidRPr="651C59D5">
        <w:rPr>
          <w:rFonts w:ascii="Times New Roman" w:hAnsi="Times New Roman"/>
          <w:sz w:val="24"/>
        </w:rPr>
        <w:t>One</w:t>
      </w:r>
      <w:r w:rsidRPr="6166207D">
        <w:rPr>
          <w:rFonts w:ascii="Times New Roman" w:hAnsi="Times New Roman"/>
          <w:sz w:val="24"/>
        </w:rPr>
        <w:t xml:space="preserve"> commenter suggested that EPA </w:t>
      </w:r>
      <w:r w:rsidRPr="651C59D5">
        <w:rPr>
          <w:rFonts w:ascii="Times New Roman" w:hAnsi="Times New Roman"/>
          <w:sz w:val="24"/>
        </w:rPr>
        <w:t>require</w:t>
      </w:r>
      <w:r w:rsidRPr="6166207D">
        <w:rPr>
          <w:rFonts w:ascii="Times New Roman" w:hAnsi="Times New Roman"/>
          <w:sz w:val="24"/>
        </w:rPr>
        <w:t xml:space="preserve"> that RMP facilities act to address all natural hazard threats as they will only worsen in the face of climate change. The commenter also suggested that the requirement should apply to all RMP facilities (0270).</w:t>
      </w:r>
      <w:r>
        <w:rPr>
          <w:rFonts w:ascii="Times New Roman" w:hAnsi="Times New Roman"/>
          <w:sz w:val="24"/>
        </w:rPr>
        <w:t xml:space="preserve"> </w:t>
      </w:r>
      <w:r w:rsidRPr="06C60982">
        <w:rPr>
          <w:rFonts w:ascii="Times New Roman" w:hAnsi="Times New Roman"/>
          <w:sz w:val="24"/>
        </w:rPr>
        <w:t xml:space="preserve">One commenter identified concerns of public health impacts from wildfires that may </w:t>
      </w:r>
      <w:r w:rsidRPr="008320BA">
        <w:rPr>
          <w:rFonts w:ascii="Times New Roman" w:hAnsi="Times New Roman"/>
          <w:sz w:val="24"/>
        </w:rPr>
        <w:t>impact RMP facilities (0177).</w:t>
      </w:r>
      <w:r w:rsidRPr="008320BA" w:rsidR="008320BA">
        <w:rPr>
          <w:rFonts w:ascii="Times New Roman" w:hAnsi="Times New Roman"/>
          <w:sz w:val="24"/>
        </w:rPr>
        <w:t xml:space="preserve"> Another commenter mentioned the need to prepare facilities for future climate impacts</w:t>
      </w:r>
      <w:r w:rsidR="008320BA">
        <w:rPr>
          <w:rFonts w:ascii="Times New Roman" w:hAnsi="Times New Roman"/>
          <w:sz w:val="24"/>
        </w:rPr>
        <w:t xml:space="preserve"> </w:t>
      </w:r>
      <w:r w:rsidRPr="008320BA" w:rsidR="008320BA">
        <w:rPr>
          <w:rFonts w:ascii="Times New Roman" w:hAnsi="Times New Roman"/>
          <w:sz w:val="24"/>
        </w:rPr>
        <w:t>(0452)</w:t>
      </w:r>
      <w:r w:rsidRPr="008320BA" w:rsidR="008320BA">
        <w:rPr>
          <w:rFonts w:ascii="Times New Roman" w:eastAsia="Times New Roman" w:hAnsi="Times New Roman"/>
          <w:sz w:val="24"/>
        </w:rPr>
        <w:t xml:space="preserve"> Another</w:t>
      </w:r>
      <w:r w:rsidRPr="008320BA" w:rsidR="008320BA">
        <w:rPr>
          <w:rFonts w:ascii="Times New Roman" w:hAnsi="Times New Roman"/>
          <w:sz w:val="24"/>
        </w:rPr>
        <w:t xml:space="preserve"> commenter described the risk of a catastrophic event caused not only by accidents and human error, but also from terrorism and natural disasters, which the commenter claimed cannot be mitigated (0248).</w:t>
      </w:r>
    </w:p>
    <w:p w:rsidR="00D43808" w:rsidP="00D43808" w14:paraId="563F008E" w14:textId="77777777">
      <w:pPr>
        <w:rPr>
          <w:rFonts w:ascii="Times New Roman" w:hAnsi="Times New Roman"/>
          <w:sz w:val="24"/>
        </w:rPr>
      </w:pPr>
      <w:r w:rsidRPr="0DE28EC3">
        <w:rPr>
          <w:rFonts w:ascii="Times New Roman" w:hAnsi="Times New Roman"/>
          <w:sz w:val="24"/>
        </w:rPr>
        <w:t xml:space="preserve">Several commenters expressed opposition to the inclusion of natural hazard assessments in the proposed rule due to unclear language, impractical requirements, or duplications with other rules (0125, 0180, 0181, 0184, 0190, 0197, 0205, 0207, 0215, 0217, 0223, 0226, 0229, 0230, 0232, 0233, 0237, 0238, 0239, 0243, 2053, 0261, 0263, 0267, 0268, 0272, 0275, 0458). </w:t>
      </w:r>
    </w:p>
    <w:p w:rsidR="00D43808" w:rsidP="00D43808" w14:paraId="4A0526AB" w14:textId="77777777">
      <w:pPr>
        <w:rPr>
          <w:rFonts w:ascii="Times New Roman" w:hAnsi="Times New Roman"/>
          <w:sz w:val="24"/>
        </w:rPr>
      </w:pPr>
      <w:r w:rsidRPr="0DE28EC3">
        <w:rPr>
          <w:rFonts w:ascii="Times New Roman" w:hAnsi="Times New Roman"/>
          <w:sz w:val="24"/>
        </w:rPr>
        <w:t>Several commenters stated that EPA has not provided sufficient justification for these new requirements (0207, 0215, 0232, 0239, 0253, 0272). One of the commenters stated that EPA has not indicated why the existing regulations are inadequate (0239). Several commenters agreed with the language EPA included in the proposed rule, which noted that facilities are managing natural hazards well, and therefore the commenters suggested that additional requirements are not necessary (0207, 0229, 0237, 0238, 0272).</w:t>
      </w:r>
    </w:p>
    <w:p w:rsidR="00D43808" w:rsidRPr="00BE11E2" w:rsidP="00D43808" w14:paraId="42A95B38" w14:textId="77777777">
      <w:pPr>
        <w:rPr>
          <w:rFonts w:ascii="Times New Roman" w:hAnsi="Times New Roman"/>
          <w:sz w:val="24"/>
        </w:rPr>
      </w:pPr>
      <w:r w:rsidRPr="0DD56BE9">
        <w:rPr>
          <w:rFonts w:ascii="Times New Roman" w:hAnsi="Times New Roman"/>
          <w:sz w:val="24"/>
        </w:rPr>
        <w:t>A few commenters stated that EPA provides no information demonstrating that process safety analyses are not currently “properly evaluated and managed” or that the proposed new requirements would reduce the number of natural hazard incidences, or their consequences, in any way (0207, 0215, 0237).</w:t>
      </w:r>
      <w:r w:rsidRPr="6D3F9CC5">
        <w:rPr>
          <w:rFonts w:ascii="Times New Roman" w:hAnsi="Times New Roman"/>
          <w:sz w:val="24"/>
        </w:rPr>
        <w:t xml:space="preserve"> </w:t>
      </w:r>
    </w:p>
    <w:p w:rsidR="00D43808" w:rsidRPr="00A35F15" w:rsidP="00D43808" w14:paraId="761D38CD" w14:textId="77777777">
      <w:pPr>
        <w:rPr>
          <w:rFonts w:ascii="Times New Roman" w:hAnsi="Times New Roman"/>
          <w:b/>
          <w:sz w:val="24"/>
        </w:rPr>
      </w:pPr>
      <w:r w:rsidRPr="00A35F15">
        <w:rPr>
          <w:rFonts w:ascii="Times New Roman" w:hAnsi="Times New Roman"/>
          <w:bCs/>
          <w:sz w:val="24"/>
        </w:rPr>
        <w:t>O</w:t>
      </w:r>
      <w:r w:rsidRPr="006F68E9">
        <w:rPr>
          <w:rFonts w:ascii="Times New Roman" w:hAnsi="Times New Roman"/>
          <w:sz w:val="24"/>
        </w:rPr>
        <w:t xml:space="preserve">ne commenter noted that EPA indicated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that the requirement for natural hazard assessment is already implicitly included in the existing RMP rules, therefore it would be more effective to develop and maintain additional guidance and tools to help facilities comply with the existing rule instead of changing the regulatory language (0230). </w:t>
      </w:r>
    </w:p>
    <w:p w:rsidR="00D43808" w:rsidP="00D43808" w14:paraId="5A18F8EC" w14:textId="4260CD2F">
      <w:pPr>
        <w:ind w:left="720"/>
        <w:rPr>
          <w:rFonts w:ascii="Times New Roman" w:eastAsia="Times New Roman" w:hAnsi="Times New Roman"/>
          <w:color w:val="000000" w:themeColor="text1"/>
          <w:sz w:val="24"/>
        </w:rPr>
      </w:pPr>
      <w:r w:rsidRPr="004B38EB">
        <w:rPr>
          <w:rFonts w:ascii="Times New Roman" w:hAnsi="Times New Roman"/>
          <w:b/>
          <w:sz w:val="24"/>
        </w:rPr>
        <w:t>EPA Response</w:t>
      </w:r>
      <w:r>
        <w:rPr>
          <w:rFonts w:ascii="Times New Roman" w:hAnsi="Times New Roman"/>
          <w:b/>
          <w:sz w:val="24"/>
        </w:rPr>
        <w:t>:</w:t>
      </w:r>
      <w:r>
        <w:rPr>
          <w:rFonts w:ascii="Times New Roman" w:eastAsia="Times New Roman" w:hAnsi="Times New Roman"/>
          <w:b/>
          <w:color w:val="000000" w:themeColor="text1"/>
          <w:sz w:val="24"/>
        </w:rPr>
        <w:t xml:space="preserve"> </w:t>
      </w:r>
      <w:r w:rsidRPr="1FCF9419">
        <w:rPr>
          <w:rFonts w:ascii="Times New Roman" w:eastAsia="Times New Roman" w:hAnsi="Times New Roman"/>
          <w:color w:val="000000" w:themeColor="text1"/>
          <w:sz w:val="24"/>
        </w:rPr>
        <w:t xml:space="preserve">EPA agrees that natural hazards are hazards for chemical facilities because they have the potential to initiate accidents that threaten human health and the environment and disagrees with comments that the Agency did not provide sufficient justification for the new requirements. In the proposal, the Agency provided data which indicate that, while not all, </w:t>
      </w:r>
      <w:r w:rsidRPr="1FCF9419">
        <w:rPr>
          <w:rFonts w:ascii="Times New Roman" w:eastAsia="Times New Roman" w:hAnsi="Times New Roman"/>
          <w:i/>
          <w:iCs/>
          <w:color w:val="000000" w:themeColor="text1"/>
          <w:sz w:val="24"/>
        </w:rPr>
        <w:t>some</w:t>
      </w:r>
      <w:r w:rsidRPr="1FCF9419">
        <w:rPr>
          <w:rFonts w:ascii="Times New Roman" w:eastAsia="Times New Roman" w:hAnsi="Times New Roman"/>
          <w:color w:val="000000" w:themeColor="text1"/>
          <w:sz w:val="24"/>
        </w:rPr>
        <w:t xml:space="preserve"> RMP accidents are being reported as having a natural cause as the initiating event and include unusual weather conditions as a contributing factor.</w:t>
      </w:r>
      <w:r>
        <w:rPr>
          <w:rStyle w:val="FootnoteReference"/>
          <w:rFonts w:ascii="Times New Roman" w:eastAsia="Times New Roman" w:hAnsi="Times New Roman"/>
          <w:color w:val="000000" w:themeColor="text1"/>
          <w:sz w:val="24"/>
        </w:rPr>
        <w:footnoteReference w:id="22"/>
      </w:r>
      <w:r w:rsidRPr="1FCF9419">
        <w:rPr>
          <w:rFonts w:ascii="Times New Roman" w:eastAsia="Times New Roman" w:hAnsi="Times New Roman"/>
          <w:color w:val="000000" w:themeColor="text1"/>
          <w:sz w:val="24"/>
        </w:rPr>
        <w:t xml:space="preserve"> EPA believes that adding clarifying language to a provision</w:t>
      </w:r>
      <w:r w:rsidRPr="1464C6FC">
        <w:rPr>
          <w:rFonts w:ascii="Times New Roman" w:eastAsia="Times New Roman" w:hAnsi="Times New Roman"/>
          <w:color w:val="000000" w:themeColor="text1"/>
          <w:sz w:val="24"/>
        </w:rPr>
        <w:t xml:space="preserve"> is a simple way to promote awareness of these potential accidents which should help prevent some.</w:t>
      </w:r>
      <w:r w:rsidRPr="1FCF9419">
        <w:rPr>
          <w:rFonts w:ascii="Times New Roman" w:eastAsia="Times New Roman" w:hAnsi="Times New Roman"/>
          <w:color w:val="000000" w:themeColor="text1"/>
          <w:sz w:val="24"/>
        </w:rPr>
        <w:t xml:space="preserve"> </w:t>
      </w:r>
      <w:r w:rsidRPr="1FCF9419">
        <w:rPr>
          <w:rFonts w:ascii="Times New Roman" w:eastAsia="Times New Roman" w:hAnsi="Times New Roman"/>
          <w:color w:val="000000" w:themeColor="text1"/>
          <w:sz w:val="24"/>
        </w:rPr>
        <w:t>Additionally, EPA agrees that climate change increases the threat of extreme weather as a natural hazard</w:t>
      </w:r>
      <w:r w:rsidR="00722CC3">
        <w:rPr>
          <w:rFonts w:ascii="Times New Roman" w:eastAsia="Times New Roman" w:hAnsi="Times New Roman"/>
          <w:color w:val="000000" w:themeColor="text1"/>
          <w:sz w:val="24"/>
        </w:rPr>
        <w:t xml:space="preserve"> and </w:t>
      </w:r>
      <w:r w:rsidR="00EB568D">
        <w:rPr>
          <w:rFonts w:ascii="Times New Roman" w:eastAsia="Times New Roman" w:hAnsi="Times New Roman"/>
          <w:color w:val="000000" w:themeColor="text1"/>
          <w:sz w:val="24"/>
        </w:rPr>
        <w:t>should be taken into account at covered facilities when evaluating hazard frequency and severity</w:t>
      </w:r>
      <w:r w:rsidRPr="1FCF9419">
        <w:rPr>
          <w:rFonts w:ascii="Times New Roman" w:eastAsia="Times New Roman" w:hAnsi="Times New Roman"/>
          <w:color w:val="000000" w:themeColor="text1"/>
          <w:sz w:val="24"/>
        </w:rPr>
        <w:t xml:space="preserve">. EPA is finalizing </w:t>
      </w:r>
      <w:r w:rsidR="00DC32E6">
        <w:rPr>
          <w:rFonts w:ascii="Times New Roman" w:eastAsia="Times New Roman" w:hAnsi="Times New Roman"/>
          <w:color w:val="000000" w:themeColor="text1"/>
          <w:sz w:val="24"/>
        </w:rPr>
        <w:t>a modified version of</w:t>
      </w:r>
      <w:r w:rsidRPr="1FCF9419">
        <w:rPr>
          <w:rFonts w:ascii="Times New Roman" w:eastAsia="Times New Roman" w:hAnsi="Times New Roman"/>
          <w:color w:val="000000" w:themeColor="text1"/>
          <w:sz w:val="24"/>
        </w:rPr>
        <w:t xml:space="preserve"> the proposed provisions because the Agency believes that making the requirement more explicit to evaluate natural hazards</w:t>
      </w:r>
      <w:r w:rsidR="00EB568D">
        <w:rPr>
          <w:rFonts w:ascii="Times New Roman" w:eastAsia="Times New Roman" w:hAnsi="Times New Roman"/>
          <w:color w:val="000000" w:themeColor="text1"/>
          <w:sz w:val="24"/>
        </w:rPr>
        <w:t>, which includes taking into account climate change,</w:t>
      </w:r>
      <w:r w:rsidRPr="1FCF9419">
        <w:rPr>
          <w:rFonts w:ascii="Times New Roman" w:eastAsia="Times New Roman" w:hAnsi="Times New Roman"/>
          <w:color w:val="000000" w:themeColor="text1"/>
          <w:sz w:val="24"/>
        </w:rPr>
        <w:t xml:space="preserve"> in hazard evaluations for Program 2 and Program 3 RMP-regulated processes will ensure that the threats of natural hazards are properly evaluated and managed to prevent or mitigate releases of RMP-regulated substances at covered facilities. </w:t>
      </w:r>
      <w:r w:rsidR="00872581">
        <w:rPr>
          <w:rFonts w:ascii="Times New Roman" w:eastAsia="Times New Roman" w:hAnsi="Times New Roman"/>
          <w:color w:val="000000" w:themeColor="text1"/>
          <w:sz w:val="24"/>
        </w:rPr>
        <w:t xml:space="preserve">EPA has </w:t>
      </w:r>
      <w:r w:rsidR="00650248">
        <w:rPr>
          <w:rFonts w:ascii="Times New Roman" w:eastAsia="Times New Roman" w:hAnsi="Times New Roman"/>
          <w:color w:val="000000" w:themeColor="text1"/>
          <w:sz w:val="24"/>
        </w:rPr>
        <w:t xml:space="preserve">modified the </w:t>
      </w:r>
      <w:r w:rsidR="00650248">
        <w:rPr>
          <w:rFonts w:ascii="Times New Roman" w:eastAsia="Times New Roman" w:hAnsi="Times New Roman"/>
          <w:color w:val="000000" w:themeColor="text1"/>
          <w:sz w:val="24"/>
        </w:rPr>
        <w:t>definition of natural hazard to reflect the definition developed by FEMA:</w:t>
      </w:r>
      <w:r w:rsidR="001E3D68">
        <w:rPr>
          <w:rFonts w:ascii="Times New Roman" w:eastAsia="Times New Roman" w:hAnsi="Times New Roman"/>
          <w:color w:val="000000" w:themeColor="text1"/>
          <w:sz w:val="24"/>
        </w:rPr>
        <w:t xml:space="preserve"> “</w:t>
      </w:r>
      <w:r w:rsidRPr="00882389" w:rsidR="00882389">
        <w:rPr>
          <w:rFonts w:ascii="Times New Roman" w:eastAsia="Times New Roman" w:hAnsi="Times New Roman"/>
          <w:color w:val="000000" w:themeColor="text1"/>
          <w:sz w:val="24"/>
        </w:rPr>
        <w:t>meteorological, climatological, environmental or geological phenomena that have the potential for negative impact, accounting for impacts due to climate change. Examples of such hazards include, but are not limited to, avalanche, coastal flooding, cold wave, drought, earthquake, hail, heat wave, hurricane, ice storm, landslide, lightning, riverine flooding, strong wind, tornado, tsunami, volcanic activity, wildfire, and winter weather.</w:t>
      </w:r>
      <w:r w:rsidR="00882389">
        <w:rPr>
          <w:rFonts w:ascii="Times New Roman" w:eastAsia="Times New Roman" w:hAnsi="Times New Roman"/>
          <w:color w:val="000000" w:themeColor="text1"/>
          <w:sz w:val="24"/>
        </w:rPr>
        <w:t>”</w:t>
      </w:r>
      <w:r w:rsidR="000717D3">
        <w:rPr>
          <w:rFonts w:ascii="Times New Roman" w:eastAsia="Times New Roman" w:hAnsi="Times New Roman"/>
          <w:color w:val="000000" w:themeColor="text1"/>
          <w:sz w:val="24"/>
        </w:rPr>
        <w:t xml:space="preserve"> </w:t>
      </w:r>
      <w:r w:rsidR="0042731A">
        <w:rPr>
          <w:rFonts w:ascii="Times New Roman" w:eastAsia="Times New Roman" w:hAnsi="Times New Roman"/>
          <w:color w:val="000000" w:themeColor="text1"/>
          <w:sz w:val="24"/>
        </w:rPr>
        <w:t>Use of the FEMA definition promotes consistency across the federal government on this key definition</w:t>
      </w:r>
      <w:r w:rsidR="00C66107">
        <w:rPr>
          <w:rFonts w:ascii="Times New Roman" w:eastAsia="Times New Roman" w:hAnsi="Times New Roman"/>
          <w:color w:val="000000" w:themeColor="text1"/>
          <w:sz w:val="24"/>
        </w:rPr>
        <w:t>.</w:t>
      </w:r>
      <w:r w:rsidR="00882389">
        <w:rPr>
          <w:rFonts w:ascii="Times New Roman" w:eastAsia="Times New Roman" w:hAnsi="Times New Roman"/>
          <w:color w:val="000000" w:themeColor="text1"/>
          <w:sz w:val="24"/>
        </w:rPr>
        <w:t xml:space="preserve"> </w:t>
      </w:r>
      <w:r w:rsidRPr="00CF70B8">
        <w:rPr>
          <w:rFonts w:ascii="Times New Roman" w:eastAsia="Times New Roman" w:hAnsi="Times New Roman"/>
          <w:color w:val="000000" w:themeColor="text1"/>
          <w:sz w:val="24"/>
        </w:rPr>
        <w:t xml:space="preserve">EPA agrees that </w:t>
      </w:r>
      <w:r w:rsidR="00C66107">
        <w:rPr>
          <w:rFonts w:ascii="Times New Roman" w:eastAsia="Times New Roman" w:hAnsi="Times New Roman"/>
          <w:color w:val="000000" w:themeColor="text1"/>
          <w:sz w:val="24"/>
        </w:rPr>
        <w:t>adopting</w:t>
      </w:r>
      <w:r w:rsidR="0082318B">
        <w:rPr>
          <w:rFonts w:ascii="Times New Roman" w:eastAsia="Times New Roman" w:hAnsi="Times New Roman"/>
          <w:color w:val="000000" w:themeColor="text1"/>
          <w:sz w:val="24"/>
        </w:rPr>
        <w:t xml:space="preserve"> this provision</w:t>
      </w:r>
      <w:r w:rsidRPr="00CF70B8">
        <w:rPr>
          <w:rFonts w:ascii="Times New Roman" w:eastAsia="Times New Roman" w:hAnsi="Times New Roman"/>
          <w:color w:val="000000" w:themeColor="text1"/>
          <w:sz w:val="24"/>
        </w:rPr>
        <w:t xml:space="preserve"> will better protect  communities from these </w:t>
      </w:r>
      <w:r w:rsidR="00100D3A">
        <w:rPr>
          <w:rFonts w:ascii="Times New Roman" w:eastAsia="Times New Roman" w:hAnsi="Times New Roman"/>
          <w:color w:val="000000" w:themeColor="text1"/>
          <w:sz w:val="24"/>
        </w:rPr>
        <w:t>accidental releases.</w:t>
      </w:r>
    </w:p>
    <w:p w:rsidR="00A2086C" w:rsidRPr="00A2086C" w:rsidP="00A2086C" w14:paraId="2B0E87FC" w14:textId="74CBA7D7">
      <w:pPr>
        <w:ind w:left="720"/>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 xml:space="preserve">Further, </w:t>
      </w:r>
      <w:r w:rsidRPr="00A2086C">
        <w:rPr>
          <w:rFonts w:ascii="Times New Roman" w:eastAsia="Times New Roman" w:hAnsi="Times New Roman"/>
          <w:bCs/>
          <w:color w:val="000000" w:themeColor="text1"/>
          <w:sz w:val="24"/>
        </w:rPr>
        <w:t xml:space="preserve">EPA’s goal of this provision is to better reflect the Agency’s longstanding regulatory requirement, rather than to impose additional regulatory requirements (and thus potential additional costs) that conflict with the OSHA PSM regulatory requirements. EPA has coordinated with OSHA throughout the rulemaking process to ensure the intent of adding explicit natural hazard regulatory text does not create conflicting requirements between the two regulatory programs. </w:t>
      </w:r>
    </w:p>
    <w:p w:rsidR="00280FE5" w:rsidRPr="00602B45" w:rsidP="00602B45" w14:paraId="63F0BF1E" w14:textId="16AC5C0B">
      <w:pPr>
        <w:rPr>
          <w:rFonts w:ascii="Times New Roman" w:eastAsia="Times New Roman" w:hAnsi="Times New Roman"/>
          <w:color w:val="000000" w:themeColor="text1"/>
          <w:sz w:val="24"/>
        </w:rPr>
      </w:pPr>
      <w:r>
        <w:rPr>
          <w:rFonts w:ascii="Times New Roman" w:hAnsi="Times New Roman"/>
          <w:b/>
          <w:bCs/>
          <w:sz w:val="24"/>
        </w:rPr>
        <w:t xml:space="preserve">Comment 2.1-02: </w:t>
      </w:r>
      <w:r w:rsidRPr="72A6ED8D">
        <w:rPr>
          <w:rFonts w:ascii="Times New Roman" w:hAnsi="Times New Roman"/>
          <w:sz w:val="24"/>
        </w:rPr>
        <w:t xml:space="preserve">One commenter </w:t>
      </w:r>
      <w:r>
        <w:rPr>
          <w:rFonts w:ascii="Times New Roman" w:hAnsi="Times New Roman"/>
          <w:sz w:val="24"/>
        </w:rPr>
        <w:t>asserted</w:t>
      </w:r>
      <w:r w:rsidRPr="72A6ED8D">
        <w:rPr>
          <w:rFonts w:ascii="Times New Roman" w:hAnsi="Times New Roman"/>
          <w:sz w:val="24"/>
        </w:rPr>
        <w:t xml:space="preserve"> that improving the resilience of facilities to extreme weather events is warranted because of the direct, substantial, and cumulative risk to </w:t>
      </w:r>
      <w:r w:rsidRPr="72A6ED8D">
        <w:rPr>
          <w:rFonts w:ascii="Times New Roman" w:hAnsi="Times New Roman"/>
          <w:sz w:val="24"/>
        </w:rPr>
        <w:t xml:space="preserve"> communities</w:t>
      </w:r>
      <w:r w:rsidRPr="72A6ED8D">
        <w:rPr>
          <w:rFonts w:ascii="Times New Roman" w:hAnsi="Times New Roman"/>
          <w:sz w:val="24"/>
        </w:rPr>
        <w:t xml:space="preserve"> </w:t>
      </w:r>
      <w:r w:rsidR="003F7C4B">
        <w:rPr>
          <w:rFonts w:ascii="Times New Roman" w:hAnsi="Times New Roman"/>
          <w:sz w:val="24"/>
        </w:rPr>
        <w:t xml:space="preserve">with EJ concerns </w:t>
      </w:r>
      <w:r w:rsidRPr="72A6ED8D">
        <w:rPr>
          <w:rFonts w:ascii="Times New Roman" w:hAnsi="Times New Roman"/>
          <w:sz w:val="24"/>
        </w:rPr>
        <w:t xml:space="preserve">that are more likely to be located in areas susceptible to flooding (0444). </w:t>
      </w:r>
      <w:r w:rsidRPr="00280FE5">
        <w:rPr>
          <w:rFonts w:ascii="Times New Roman" w:hAnsi="Times New Roman"/>
          <w:sz w:val="24"/>
        </w:rPr>
        <w:t xml:space="preserve">The commenter asserted that these risks are not theoretical but have happened. For example, the commenter mentioned that low-income and communities of color are more likely to be in areas </w:t>
      </w:r>
      <w:r w:rsidRPr="00602B45">
        <w:rPr>
          <w:rFonts w:ascii="Times New Roman" w:eastAsia="Times New Roman" w:hAnsi="Times New Roman"/>
          <w:color w:val="000000" w:themeColor="text1"/>
          <w:sz w:val="24"/>
        </w:rPr>
        <w:t>susceptible to flooding (0444).</w:t>
      </w:r>
    </w:p>
    <w:p w:rsidR="00280FE5" w:rsidRPr="00280FE5" w:rsidP="00602B45" w14:paraId="56209055" w14:textId="39D94E59">
      <w:pPr>
        <w:rPr>
          <w:rFonts w:ascii="Times New Roman" w:hAnsi="Times New Roman"/>
          <w:sz w:val="24"/>
        </w:rPr>
      </w:pPr>
      <w:r w:rsidRPr="00602B45">
        <w:rPr>
          <w:rFonts w:ascii="Times New Roman" w:eastAsia="Times New Roman" w:hAnsi="Times New Roman"/>
          <w:color w:val="000000" w:themeColor="text1"/>
          <w:sz w:val="24"/>
        </w:rPr>
        <w:t>Another commenter stated that natural disaster planning should account for the fact that dozens of facilities often shutdown simultaneously as a storm such as a hurricane approaches and the cumulative impact of these shutdowns is felt by environmental justice communities. The commenter stated they believe that natural hazard planning should account for the potential of these cumulative impacts</w:t>
      </w:r>
      <w:r w:rsidRPr="00280FE5">
        <w:rPr>
          <w:rFonts w:ascii="Times New Roman" w:hAnsi="Times New Roman"/>
          <w:sz w:val="24"/>
        </w:rPr>
        <w:t xml:space="preserve"> (0254).</w:t>
      </w:r>
    </w:p>
    <w:p w:rsidR="00D43808" w:rsidRPr="000C0CFE" w:rsidP="00D43808" w14:paraId="59B9FE1B" w14:textId="4335B455">
      <w:pPr>
        <w:ind w:left="720"/>
        <w:rPr>
          <w:rFonts w:ascii="Times New Roman" w:eastAsia="Times New Roman" w:hAnsi="Times New Roman"/>
          <w:b/>
          <w:sz w:val="24"/>
        </w:rPr>
      </w:pPr>
      <w:r w:rsidRPr="004D4DFC">
        <w:rPr>
          <w:rFonts w:ascii="Times New Roman" w:eastAsia="Times New Roman" w:hAnsi="Times New Roman"/>
          <w:b/>
          <w:sz w:val="24"/>
        </w:rPr>
        <w:t>EPA Response</w:t>
      </w:r>
      <w:r>
        <w:rPr>
          <w:rFonts w:ascii="Times New Roman" w:eastAsia="Times New Roman" w:hAnsi="Times New Roman"/>
          <w:b/>
          <w:sz w:val="24"/>
        </w:rPr>
        <w:t>:</w:t>
      </w:r>
      <w:r w:rsidRPr="00614BE1">
        <w:rPr>
          <w:rFonts w:ascii="Times New Roman" w:eastAsia="Times New Roman" w:hAnsi="Times New Roman"/>
          <w:b/>
          <w:sz w:val="24"/>
        </w:rPr>
        <w:t xml:space="preserve"> </w:t>
      </w:r>
      <w:r w:rsidRPr="004D4DFC">
        <w:rPr>
          <w:rFonts w:ascii="Times New Roman" w:eastAsia="Times New Roman" w:hAnsi="Times New Roman"/>
          <w:sz w:val="24"/>
        </w:rPr>
        <w:t xml:space="preserve">In response to the comment that improving the resilience of facilities to extreme weather events is warranted due to the risk posed to </w:t>
      </w:r>
      <w:r w:rsidRPr="004D4DFC">
        <w:rPr>
          <w:rFonts w:ascii="Times New Roman" w:eastAsia="Times New Roman" w:hAnsi="Times New Roman"/>
          <w:sz w:val="24"/>
        </w:rPr>
        <w:t xml:space="preserve">communities </w:t>
      </w:r>
      <w:r w:rsidR="0097344F">
        <w:rPr>
          <w:rFonts w:ascii="Times New Roman" w:eastAsia="Times New Roman" w:hAnsi="Times New Roman"/>
          <w:sz w:val="24"/>
        </w:rPr>
        <w:t>with EJ concerns</w:t>
      </w:r>
      <w:r w:rsidRPr="004D4DFC" w:rsidR="0097344F">
        <w:rPr>
          <w:rFonts w:ascii="Times New Roman" w:eastAsia="Times New Roman" w:hAnsi="Times New Roman"/>
          <w:sz w:val="24"/>
        </w:rPr>
        <w:t>,</w:t>
      </w:r>
      <w:r w:rsidR="00471313">
        <w:rPr>
          <w:rFonts w:ascii="Times New Roman" w:eastAsia="Times New Roman" w:hAnsi="Times New Roman"/>
          <w:sz w:val="24"/>
        </w:rPr>
        <w:t xml:space="preserve"> </w:t>
      </w:r>
      <w:r w:rsidRPr="004D4DFC">
        <w:rPr>
          <w:rFonts w:ascii="Times New Roman" w:eastAsia="Times New Roman" w:hAnsi="Times New Roman"/>
          <w:sz w:val="24"/>
        </w:rPr>
        <w:t xml:space="preserve">EPA agrees that accidental releases of regulated chemicals from RMP-regulated facilities likely pose disproportionate risks to historically </w:t>
      </w:r>
      <w:r w:rsidRPr="004D4DFC">
        <w:rPr>
          <w:rFonts w:ascii="Times New Roman" w:eastAsia="Times New Roman" w:hAnsi="Times New Roman"/>
          <w:sz w:val="24"/>
        </w:rPr>
        <w:t xml:space="preserve">marginalized </w:t>
      </w:r>
      <w:r w:rsidR="0097344F">
        <w:rPr>
          <w:rFonts w:ascii="Times New Roman" w:eastAsia="Times New Roman" w:hAnsi="Times New Roman"/>
          <w:sz w:val="24"/>
        </w:rPr>
        <w:t>disadvantaged and overburdened</w:t>
      </w:r>
      <w:r w:rsidRPr="004D4DFC" w:rsidR="0097344F">
        <w:rPr>
          <w:rFonts w:ascii="Times New Roman" w:eastAsia="Times New Roman" w:hAnsi="Times New Roman"/>
          <w:sz w:val="24"/>
        </w:rPr>
        <w:t xml:space="preserve"> </w:t>
      </w:r>
      <w:r w:rsidRPr="004D4DFC">
        <w:rPr>
          <w:rFonts w:ascii="Times New Roman" w:eastAsia="Times New Roman" w:hAnsi="Times New Roman"/>
          <w:sz w:val="24"/>
        </w:rPr>
        <w:t xml:space="preserve">communities. </w:t>
      </w:r>
      <w:r w:rsidRPr="004D4DFC">
        <w:rPr>
          <w:rFonts w:ascii="Times New Roman" w:eastAsia="Times New Roman" w:hAnsi="Times New Roman"/>
          <w:sz w:val="24"/>
        </w:rPr>
        <w:t xml:space="preserve">EPA expects that the benefits of this clarified provision may lower potential exposure for </w:t>
      </w:r>
      <w:r w:rsidR="00201F1D">
        <w:rPr>
          <w:rFonts w:ascii="Times New Roman" w:eastAsia="Times New Roman" w:hAnsi="Times New Roman"/>
          <w:sz w:val="24"/>
        </w:rPr>
        <w:t xml:space="preserve">fenceline communities with </w:t>
      </w:r>
      <w:r w:rsidRPr="004D4DFC">
        <w:rPr>
          <w:rFonts w:ascii="Times New Roman" w:eastAsia="Times New Roman" w:hAnsi="Times New Roman"/>
          <w:sz w:val="24"/>
        </w:rPr>
        <w:t>historically underserved and overburdened populations by reducing disproportionate damages that RMP-reportable accidents might otherwise inflict on those populations.</w:t>
      </w:r>
    </w:p>
    <w:p w:rsidR="00D43808" w:rsidRPr="000C0CFE" w:rsidP="00D43808" w14:paraId="4F563A7C" w14:textId="77777777">
      <w:pPr>
        <w:rPr>
          <w:rFonts w:ascii="Times New Roman" w:hAnsi="Times New Roman"/>
          <w:b/>
          <w:sz w:val="24"/>
        </w:rPr>
      </w:pPr>
      <w:r>
        <w:rPr>
          <w:rFonts w:ascii="Times New Roman" w:hAnsi="Times New Roman"/>
          <w:b/>
          <w:bCs/>
          <w:sz w:val="24"/>
        </w:rPr>
        <w:t xml:space="preserve">Comment 2.1-03: </w:t>
      </w:r>
      <w:r w:rsidRPr="18628931">
        <w:rPr>
          <w:rFonts w:ascii="Times New Roman" w:hAnsi="Times New Roman"/>
          <w:sz w:val="24"/>
        </w:rPr>
        <w:t>One commenter suggested that the determination of whether or not to implement additional layers of protection from natural hazards should be left to the facility, and not subject to regulatory scrutiny (0215).</w:t>
      </w:r>
    </w:p>
    <w:p w:rsidR="00D43808" w:rsidRPr="00624AEC" w:rsidP="00D43808" w14:paraId="3A0E775F" w14:textId="58340BA3">
      <w:pPr>
        <w:ind w:left="720"/>
        <w:rPr>
          <w:rFonts w:ascii="Times New Roman" w:hAnsi="Times New Roman"/>
          <w:sz w:val="24"/>
        </w:rPr>
      </w:pPr>
      <w:r w:rsidRPr="18628931">
        <w:rPr>
          <w:rFonts w:ascii="Times New Roman" w:hAnsi="Times New Roman"/>
          <w:b/>
          <w:bCs/>
          <w:sz w:val="24"/>
        </w:rPr>
        <w:t xml:space="preserve">EPA Response: </w:t>
      </w:r>
      <w:r w:rsidRPr="00624AEC">
        <w:rPr>
          <w:rFonts w:ascii="Times New Roman" w:hAnsi="Times New Roman"/>
          <w:sz w:val="24"/>
        </w:rPr>
        <w:t>In response to comments that the determination of whether to implement additional layers of protection from natural hazards should be left to the facility and not subject to regulatory scrutiny, EPA notes that it is not requiring implementation of protective measures</w:t>
      </w:r>
      <w:r w:rsidRPr="4136E87B" w:rsidR="2FA91CF8">
        <w:rPr>
          <w:rFonts w:ascii="Times New Roman" w:hAnsi="Times New Roman"/>
          <w:sz w:val="24"/>
        </w:rPr>
        <w:t xml:space="preserve"> identified under a natural hazard assessment as part of a hazard review or </w:t>
      </w:r>
      <w:r w:rsidRPr="4136E87B" w:rsidR="7430666B">
        <w:rPr>
          <w:rFonts w:ascii="Times New Roman" w:hAnsi="Times New Roman"/>
          <w:sz w:val="24"/>
        </w:rPr>
        <w:t>PHA</w:t>
      </w:r>
      <w:r w:rsidRPr="4136E87B">
        <w:rPr>
          <w:rFonts w:ascii="Times New Roman" w:hAnsi="Times New Roman"/>
          <w:sz w:val="24"/>
        </w:rPr>
        <w:t>.</w:t>
      </w:r>
      <w:r w:rsidRPr="00624AEC">
        <w:rPr>
          <w:rFonts w:ascii="Times New Roman" w:hAnsi="Times New Roman"/>
          <w:sz w:val="24"/>
        </w:rPr>
        <w:t xml:space="preserve"> At this time, EPA is simply emphasizing the already-existing requirement that the evaluation of natural hazards be explicitly included in hazard reviews and PHAs for Program 2 and Program 3 RMP-regulated processes. The Agency </w:t>
      </w:r>
      <w:r w:rsidRPr="00624AEC">
        <w:rPr>
          <w:rFonts w:ascii="Times New Roman" w:hAnsi="Times New Roman"/>
          <w:sz w:val="24"/>
        </w:rPr>
        <w:t>expects stationary source management to make reasonable decisions based on the information collected through this provision, like other provisions in the PHA. EPA acknowledges that natural hazards and process operations vary throughout the United States, and implementation of protective measures will therefore also vary among RMP processes. However, because the RMP rule is performance-based, EPA believes that all regulated RMP facilities can ultimately be successful in addressing natural hazards for their locations within their risk management programs.</w:t>
      </w:r>
    </w:p>
    <w:p w:rsidR="00D43808" w:rsidP="00D43808" w14:paraId="5806468F" w14:textId="77777777">
      <w:pPr>
        <w:rPr>
          <w:rFonts w:ascii="Times New Roman" w:hAnsi="Times New Roman"/>
          <w:b/>
          <w:sz w:val="24"/>
        </w:rPr>
      </w:pPr>
      <w:r>
        <w:rPr>
          <w:rFonts w:ascii="Times New Roman" w:hAnsi="Times New Roman"/>
          <w:b/>
          <w:bCs/>
          <w:sz w:val="24"/>
        </w:rPr>
        <w:t xml:space="preserve">Comment 2.1-04: </w:t>
      </w:r>
      <w:r w:rsidRPr="006F68E9">
        <w:rPr>
          <w:rFonts w:ascii="Times New Roman" w:hAnsi="Times New Roman"/>
          <w:sz w:val="24"/>
        </w:rPr>
        <w:t xml:space="preserve">One commenter expressed concern that EPA’s plan to “periodically collate and review inspection findings” will not support the integration of natural hazard risk assessments into RMPs, and EPA should devote resources to conducting inspections and enforcement (0241). </w:t>
      </w:r>
    </w:p>
    <w:p w:rsidR="00D43808" w:rsidRPr="00537901" w:rsidP="00537901" w14:paraId="03CDCDFE" w14:textId="3F8908C7">
      <w:pPr>
        <w:ind w:left="720"/>
        <w:rPr>
          <w:rFonts w:ascii="Times New Roman" w:hAnsi="Times New Roman"/>
          <w:bCs/>
          <w:sz w:val="24"/>
        </w:rPr>
      </w:pPr>
      <w:r w:rsidRPr="006F5085">
        <w:rPr>
          <w:rFonts w:ascii="Times New Roman" w:hAnsi="Times New Roman"/>
          <w:b/>
          <w:sz w:val="24"/>
        </w:rPr>
        <w:t>EPA Response</w:t>
      </w:r>
      <w:r w:rsidRPr="004C7ACF">
        <w:rPr>
          <w:rFonts w:ascii="Times New Roman" w:hAnsi="Times New Roman"/>
          <w:bCs/>
          <w:sz w:val="24"/>
        </w:rPr>
        <w:t>:</w:t>
      </w:r>
      <w:r w:rsidRPr="000C50B1" w:rsidR="000C50B1">
        <w:rPr>
          <w:bCs/>
        </w:rPr>
        <w:t xml:space="preserve"> </w:t>
      </w:r>
      <w:r w:rsidRPr="00537901" w:rsidR="000C50B1">
        <w:rPr>
          <w:rFonts w:ascii="Times New Roman" w:hAnsi="Times New Roman"/>
          <w:bCs/>
          <w:sz w:val="24"/>
        </w:rPr>
        <w:t>Enforcement of RMP facilities remains an Agency priority, as indicated by its adoption as a National Enforcement and Compliance Initiative (NECI) since 2017. The goal of this NECI is to reduce the risk to human health and the environment by decreasing the likelihood of chemical accidents. Activities under the initiative include having regulated facilities and industry associations work to improve safety; increase compliance with RMP; and promote coordination and communication with State and local responders and communities. The capacity built by the NECI will continue to benefit oversight by EPA and its partner implementing agencies even after the NECI.</w:t>
      </w:r>
    </w:p>
    <w:p w:rsidR="00D43808" w:rsidRPr="007F5F2D" w:rsidP="00D43808" w14:paraId="681C0528" w14:textId="77777777">
      <w:pPr>
        <w:rPr>
          <w:rFonts w:ascii="Times New Roman" w:hAnsi="Times New Roman"/>
          <w:i/>
          <w:iCs/>
          <w:sz w:val="24"/>
        </w:rPr>
      </w:pPr>
      <w:r>
        <w:rPr>
          <w:rFonts w:ascii="Times New Roman" w:hAnsi="Times New Roman"/>
          <w:i/>
          <w:iCs/>
          <w:sz w:val="24"/>
        </w:rPr>
        <w:t>Specific comments</w:t>
      </w:r>
      <w:r w:rsidRPr="007F5F2D">
        <w:rPr>
          <w:rFonts w:ascii="Times New Roman" w:hAnsi="Times New Roman"/>
          <w:i/>
          <w:iCs/>
          <w:sz w:val="24"/>
        </w:rPr>
        <w:t xml:space="preserve"> in support of natural hazards as a driving force for chemical accidents</w:t>
      </w:r>
    </w:p>
    <w:p w:rsidR="00D43808" w:rsidP="00D43808" w14:paraId="15FECA0B" w14:textId="77777777">
      <w:pPr>
        <w:rPr>
          <w:rFonts w:ascii="Times New Roman" w:hAnsi="Times New Roman"/>
          <w:sz w:val="24"/>
        </w:rPr>
      </w:pPr>
      <w:r>
        <w:rPr>
          <w:rFonts w:ascii="Times New Roman" w:hAnsi="Times New Roman"/>
          <w:b/>
          <w:bCs/>
          <w:sz w:val="24"/>
        </w:rPr>
        <w:t xml:space="preserve">Comment 2.1-05: </w:t>
      </w:r>
      <w:r w:rsidRPr="006F68E9">
        <w:rPr>
          <w:rFonts w:ascii="Times New Roman" w:hAnsi="Times New Roman"/>
          <w:sz w:val="24"/>
        </w:rPr>
        <w:t xml:space="preserve">Several commenters provided examples or data that supported claims that natural hazards or climate change-related hazards can be a driving force for chemical accidents (0216, 0192, 0444, 0460). </w:t>
      </w:r>
      <w:r>
        <w:rPr>
          <w:rFonts w:ascii="Times New Roman" w:hAnsi="Times New Roman"/>
          <w:sz w:val="24"/>
        </w:rPr>
        <w:t>Several</w:t>
      </w:r>
      <w:r w:rsidRPr="06C60982">
        <w:rPr>
          <w:rFonts w:ascii="Times New Roman" w:hAnsi="Times New Roman"/>
          <w:sz w:val="24"/>
        </w:rPr>
        <w:t xml:space="preserve"> commenters provided examples of the types of natural disasters that could result in chemical accidents, or have resulted in chemical accidents (0245, 0460</w:t>
      </w:r>
      <w:r>
        <w:rPr>
          <w:rFonts w:ascii="Times New Roman" w:hAnsi="Times New Roman"/>
          <w:sz w:val="24"/>
        </w:rPr>
        <w:t>, 0216, 0444</w:t>
      </w:r>
      <w:r w:rsidRPr="06C60982">
        <w:rPr>
          <w:rFonts w:ascii="Times New Roman" w:hAnsi="Times New Roman"/>
          <w:sz w:val="24"/>
        </w:rPr>
        <w:t xml:space="preserve">). </w:t>
      </w:r>
    </w:p>
    <w:p w:rsidR="00D43808" w:rsidRPr="00E73564" w:rsidP="00E57324" w14:paraId="6A99BACC" w14:textId="77777777">
      <w:pPr>
        <w:pStyle w:val="ListParagraph"/>
        <w:numPr>
          <w:ilvl w:val="0"/>
          <w:numId w:val="11"/>
        </w:numPr>
        <w:rPr>
          <w:rFonts w:ascii="Times New Roman" w:hAnsi="Times New Roman"/>
          <w:b/>
          <w:bCs/>
          <w:sz w:val="24"/>
        </w:rPr>
      </w:pPr>
      <w:r w:rsidRPr="06C60982">
        <w:rPr>
          <w:rFonts w:ascii="Times New Roman" w:hAnsi="Times New Roman"/>
          <w:sz w:val="24"/>
        </w:rPr>
        <w:t xml:space="preserve">One commenter noted that as a result of chemical disasters due to Hurricane Harvey, communities suffered spikes in unhealthy levels of ozone; releases of toxic air pollutants that can cause cancer, neurological harm, and trouble breathing; and releases of contaminants, including hundreds of thousands to millions of pounds of air pollutants (0460). </w:t>
      </w:r>
    </w:p>
    <w:p w:rsidR="00D43808" w:rsidRPr="00EB1AF8" w:rsidP="00E57324" w14:paraId="26A003CB" w14:textId="77777777">
      <w:pPr>
        <w:pStyle w:val="ListParagraph"/>
        <w:numPr>
          <w:ilvl w:val="0"/>
          <w:numId w:val="11"/>
        </w:numPr>
        <w:rPr>
          <w:rFonts w:ascii="Times New Roman" w:hAnsi="Times New Roman"/>
          <w:b/>
          <w:sz w:val="24"/>
        </w:rPr>
      </w:pPr>
      <w:r>
        <w:rPr>
          <w:rFonts w:ascii="Times New Roman" w:hAnsi="Times New Roman"/>
          <w:sz w:val="24"/>
        </w:rPr>
        <w:t>One</w:t>
      </w:r>
      <w:r w:rsidRPr="06C60982">
        <w:rPr>
          <w:rFonts w:ascii="Times New Roman" w:hAnsi="Times New Roman"/>
          <w:sz w:val="24"/>
        </w:rPr>
        <w:t xml:space="preserve"> commenter noted that North Dakota has several anhydrous ammonia facilities that reside within city limits, therefore natural hazard planning would increase public awareness and emergency planning (0245).</w:t>
      </w:r>
      <w:r w:rsidRPr="006F68E9">
        <w:rPr>
          <w:rFonts w:ascii="Times New Roman" w:hAnsi="Times New Roman"/>
          <w:sz w:val="24"/>
        </w:rPr>
        <w:t xml:space="preserve"> </w:t>
      </w:r>
    </w:p>
    <w:p w:rsidR="00D43808" w:rsidRPr="00EB1AF8" w:rsidP="00E57324" w14:paraId="63BE5ADC" w14:textId="77777777">
      <w:pPr>
        <w:pStyle w:val="ListParagraph"/>
        <w:numPr>
          <w:ilvl w:val="0"/>
          <w:numId w:val="11"/>
        </w:numPr>
        <w:rPr>
          <w:rFonts w:ascii="Times New Roman" w:hAnsi="Times New Roman"/>
          <w:b/>
          <w:bCs/>
          <w:sz w:val="24"/>
        </w:rPr>
      </w:pPr>
      <w:r w:rsidRPr="006F68E9">
        <w:rPr>
          <w:rFonts w:ascii="Times New Roman" w:hAnsi="Times New Roman"/>
          <w:sz w:val="24"/>
        </w:rPr>
        <w:t xml:space="preserve">One </w:t>
      </w:r>
      <w:r>
        <w:rPr>
          <w:rFonts w:ascii="Times New Roman" w:hAnsi="Times New Roman"/>
          <w:sz w:val="24"/>
        </w:rPr>
        <w:t>commenter</w:t>
      </w:r>
      <w:r w:rsidRPr="006F68E9">
        <w:rPr>
          <w:rFonts w:ascii="Times New Roman" w:hAnsi="Times New Roman"/>
          <w:sz w:val="24"/>
        </w:rPr>
        <w:t xml:space="preserve"> described that during Hurricane Harvey in 2017, many refineries, chemical, and petrochemical facilities were forced to shut down due to the severe flooding, and experienced damage that resulted in the release of chemicals into the environment for up to weeks afterwards. The commenter also noted that some facilities continued production during Hurricane Harvey despite warnings of flooding conditions. The commenter suggested that the emergency planning activities conducted as a part of the natural hazards analysis will result in safer control and shutdown of the facilities, decreased potential for damage and subsequent releases from facilities (0216).</w:t>
      </w:r>
    </w:p>
    <w:p w:rsidR="00D43808" w:rsidRPr="00EB1AF8" w:rsidP="00E57324" w14:paraId="18B09B24" w14:textId="77777777">
      <w:pPr>
        <w:pStyle w:val="ListParagraph"/>
        <w:numPr>
          <w:ilvl w:val="0"/>
          <w:numId w:val="11"/>
        </w:numPr>
        <w:rPr>
          <w:rFonts w:ascii="Times New Roman" w:hAnsi="Times New Roman"/>
          <w:b/>
          <w:bCs/>
          <w:sz w:val="24"/>
        </w:rPr>
      </w:pPr>
      <w:r>
        <w:rPr>
          <w:rFonts w:ascii="Times New Roman" w:hAnsi="Times New Roman"/>
          <w:sz w:val="24"/>
        </w:rPr>
        <w:t>One</w:t>
      </w:r>
      <w:r w:rsidRPr="006F68E9">
        <w:rPr>
          <w:rFonts w:ascii="Times New Roman" w:hAnsi="Times New Roman"/>
          <w:sz w:val="24"/>
        </w:rPr>
        <w:t xml:space="preserve"> commenter described the Arkema accident following Hurricane Harvey, resulting in injuries to workers and first responders. The commenter said that a CSB report on the Arkema fire noted the increasing risk of severe weather poses for chemical facilities and </w:t>
      </w:r>
      <w:r w:rsidRPr="006F68E9">
        <w:rPr>
          <w:rFonts w:ascii="Times New Roman" w:hAnsi="Times New Roman"/>
          <w:sz w:val="24"/>
        </w:rPr>
        <w:t>recommended that facilities perform analyses to determine potential impacts from extreme events and the adequacy of safeguards (0444).</w:t>
      </w:r>
    </w:p>
    <w:p w:rsidR="00D43808" w:rsidRPr="00842090" w:rsidP="00E57324" w14:paraId="4A3C7929" w14:textId="77777777">
      <w:pPr>
        <w:pStyle w:val="ListParagraph"/>
        <w:numPr>
          <w:ilvl w:val="0"/>
          <w:numId w:val="11"/>
        </w:numPr>
        <w:rPr>
          <w:rFonts w:ascii="Times New Roman" w:hAnsi="Times New Roman"/>
          <w:b/>
          <w:sz w:val="24"/>
        </w:rPr>
      </w:pPr>
      <w:r w:rsidRPr="006F68E9">
        <w:rPr>
          <w:rFonts w:ascii="Times New Roman" w:hAnsi="Times New Roman"/>
          <w:sz w:val="24"/>
        </w:rPr>
        <w:t>One commenter described an incident where winter storms in Texas caused many facilities to shut down after losing power, and 194 facilities released at least 3.5 million pounds of toxic chemicals (0460). The commenter suggested that these types of incidents caused by natural disasters should be categorized as near misses, instead of allowing facilities to report force majeure (0460).</w:t>
      </w:r>
    </w:p>
    <w:p w:rsidR="00D43808" w:rsidRPr="0006229D" w:rsidP="00587FCD" w14:paraId="0D0105DF" w14:textId="4A8F3365">
      <w:pPr>
        <w:autoSpaceDE w:val="0"/>
        <w:autoSpaceDN w:val="0"/>
        <w:adjustRightInd w:val="0"/>
        <w:ind w:left="720"/>
        <w:rPr>
          <w:rFonts w:ascii="Times New Roman" w:hAnsi="Times New Roman"/>
          <w:sz w:val="24"/>
        </w:rPr>
      </w:pPr>
      <w:r w:rsidRPr="0006229D">
        <w:rPr>
          <w:rFonts w:ascii="Times New Roman" w:hAnsi="Times New Roman"/>
          <w:b/>
          <w:bCs/>
          <w:sz w:val="24"/>
        </w:rPr>
        <w:t>EPA Response:</w:t>
      </w:r>
      <w:r w:rsidR="00842AF5">
        <w:rPr>
          <w:rFonts w:ascii="Times New Roman" w:hAnsi="Times New Roman"/>
          <w:b/>
          <w:bCs/>
          <w:sz w:val="24"/>
        </w:rPr>
        <w:t xml:space="preserve"> </w:t>
      </w:r>
      <w:r w:rsidRPr="0006229D" w:rsidR="00842AF5">
        <w:rPr>
          <w:rFonts w:ascii="Times New Roman" w:hAnsi="Times New Roman"/>
          <w:sz w:val="24"/>
        </w:rPr>
        <w:t>EPA agrees with the comment</w:t>
      </w:r>
      <w:r w:rsidR="0006229D">
        <w:rPr>
          <w:rFonts w:ascii="Times New Roman" w:hAnsi="Times New Roman"/>
          <w:sz w:val="24"/>
        </w:rPr>
        <w:t>s</w:t>
      </w:r>
      <w:r w:rsidRPr="4136E87B" w:rsidR="17DA4B2C">
        <w:rPr>
          <w:rFonts w:ascii="Times New Roman" w:hAnsi="Times New Roman"/>
          <w:sz w:val="24"/>
        </w:rPr>
        <w:t xml:space="preserve"> that suggest natural hazards</w:t>
      </w:r>
      <w:r w:rsidR="0097344F">
        <w:rPr>
          <w:rFonts w:ascii="Times New Roman" w:hAnsi="Times New Roman"/>
          <w:sz w:val="24"/>
        </w:rPr>
        <w:t xml:space="preserve">, </w:t>
      </w:r>
      <w:r w:rsidR="0097344F">
        <w:rPr>
          <w:rFonts w:ascii="Times New Roman" w:hAnsi="Times New Roman"/>
          <w:sz w:val="24"/>
        </w:rPr>
        <w:t xml:space="preserve">including </w:t>
      </w:r>
      <w:r w:rsidRPr="006F68E9" w:rsidR="0097344F">
        <w:rPr>
          <w:rFonts w:ascii="Times New Roman" w:hAnsi="Times New Roman"/>
          <w:sz w:val="24"/>
        </w:rPr>
        <w:t xml:space="preserve">climate change-related </w:t>
      </w:r>
      <w:r w:rsidRPr="4136E87B" w:rsidR="0097344F">
        <w:rPr>
          <w:rFonts w:ascii="Times New Roman" w:hAnsi="Times New Roman"/>
          <w:sz w:val="24"/>
        </w:rPr>
        <w:t>hazards</w:t>
      </w:r>
      <w:r w:rsidR="0097344F">
        <w:rPr>
          <w:rFonts w:ascii="Times New Roman" w:hAnsi="Times New Roman"/>
          <w:sz w:val="24"/>
        </w:rPr>
        <w:t>,</w:t>
      </w:r>
      <w:r w:rsidRPr="4136E87B" w:rsidR="17DA4B2C">
        <w:rPr>
          <w:rFonts w:ascii="Times New Roman" w:hAnsi="Times New Roman"/>
          <w:sz w:val="24"/>
        </w:rPr>
        <w:t xml:space="preserve"> </w:t>
      </w:r>
      <w:r w:rsidRPr="4136E87B" w:rsidR="17DA4B2C">
        <w:rPr>
          <w:rFonts w:ascii="Times New Roman" w:hAnsi="Times New Roman"/>
          <w:sz w:val="24"/>
        </w:rPr>
        <w:t>can be a driving force behind chemical accidents, even though some of the specific examples provided in the com</w:t>
      </w:r>
      <w:r w:rsidRPr="4136E87B" w:rsidR="567F305D">
        <w:rPr>
          <w:rFonts w:ascii="Times New Roman" w:hAnsi="Times New Roman"/>
          <w:sz w:val="24"/>
        </w:rPr>
        <w:t xml:space="preserve">ments did not involve </w:t>
      </w:r>
      <w:r w:rsidRPr="4136E87B" w:rsidR="0EBD7F2B">
        <w:rPr>
          <w:rFonts w:ascii="Times New Roman" w:hAnsi="Times New Roman"/>
          <w:sz w:val="24"/>
        </w:rPr>
        <w:t xml:space="preserve">RMP-reportable </w:t>
      </w:r>
      <w:r w:rsidRPr="4136E87B" w:rsidR="567F305D">
        <w:rPr>
          <w:rFonts w:ascii="Times New Roman" w:hAnsi="Times New Roman"/>
          <w:sz w:val="24"/>
        </w:rPr>
        <w:t>accidental releases of regulated substances</w:t>
      </w:r>
      <w:r w:rsidRPr="4136E87B" w:rsidR="00842AF5">
        <w:rPr>
          <w:rFonts w:ascii="Times New Roman" w:hAnsi="Times New Roman"/>
          <w:sz w:val="24"/>
        </w:rPr>
        <w:t>.</w:t>
      </w:r>
      <w:r w:rsidR="00345102">
        <w:rPr>
          <w:rFonts w:ascii="Times New Roman" w:hAnsi="Times New Roman"/>
          <w:sz w:val="24"/>
        </w:rPr>
        <w:t xml:space="preserve"> As discussed in the </w:t>
      </w:r>
      <w:bookmarkStart w:id="25" w:name="_Hlk147835097"/>
      <w:r w:rsidR="003A0851">
        <w:rPr>
          <w:rFonts w:ascii="Times New Roman" w:hAnsi="Times New Roman"/>
          <w:sz w:val="24"/>
        </w:rPr>
        <w:t>2022 SCCAP proposal</w:t>
      </w:r>
      <w:bookmarkEnd w:id="25"/>
      <w:r w:rsidR="003A0851">
        <w:rPr>
          <w:rFonts w:ascii="Times New Roman" w:hAnsi="Times New Roman"/>
          <w:sz w:val="24"/>
        </w:rPr>
        <w:t>,</w:t>
      </w:r>
      <w:r w:rsidRPr="0006229D" w:rsidR="00842AF5">
        <w:rPr>
          <w:rFonts w:ascii="Times New Roman" w:hAnsi="Times New Roman"/>
          <w:sz w:val="24"/>
        </w:rPr>
        <w:t xml:space="preserve"> </w:t>
      </w:r>
      <w:r w:rsidRPr="4136E87B" w:rsidR="00BD075D">
        <w:rPr>
          <w:rFonts w:ascii="Times New Roman" w:hAnsi="Times New Roman"/>
          <w:sz w:val="24"/>
          <w14:ligatures w14:val="standardContextual"/>
        </w:rPr>
        <w:t>EPA’s recent review of the RMP National</w:t>
      </w:r>
      <w:r w:rsidRPr="4136E87B" w:rsidR="00345102">
        <w:rPr>
          <w:rFonts w:ascii="Times New Roman" w:hAnsi="Times New Roman"/>
          <w:sz w:val="24"/>
          <w14:ligatures w14:val="standardContextual"/>
        </w:rPr>
        <w:t xml:space="preserve"> </w:t>
      </w:r>
      <w:r w:rsidRPr="4136E87B" w:rsidR="00BD075D">
        <w:rPr>
          <w:rFonts w:ascii="Times New Roman" w:hAnsi="Times New Roman"/>
          <w:sz w:val="24"/>
          <w14:ligatures w14:val="standardContextual"/>
        </w:rPr>
        <w:t>Database indicates that when reporting accidents, some RMP facilities report ‘‘natural’’ and ‘‘unusual weather conditions’’ as the respective initiating event or as a contributing factor to their</w:t>
      </w:r>
      <w:r w:rsidRPr="4136E87B" w:rsidR="00345102">
        <w:rPr>
          <w:rFonts w:ascii="Times New Roman" w:hAnsi="Times New Roman"/>
          <w:sz w:val="24"/>
          <w14:ligatures w14:val="standardContextual"/>
        </w:rPr>
        <w:t xml:space="preserve"> accidents. </w:t>
      </w:r>
      <w:r w:rsidRPr="4136E87B" w:rsidR="00345102">
        <w:rPr>
          <w:rFonts w:ascii="Times New Roman" w:hAnsi="Times New Roman"/>
          <w:sz w:val="24"/>
          <w14:ligatures w14:val="standardContextual"/>
        </w:rPr>
        <w:t>According to the Agency’s data from 2004–2020,</w:t>
      </w:r>
      <w:r>
        <w:rPr>
          <w:rStyle w:val="FootnoteReference"/>
          <w:rFonts w:ascii="Times New Roman" w:hAnsi="Times New Roman"/>
          <w:sz w:val="24"/>
          <w14:ligatures w14:val="standardContextual"/>
        </w:rPr>
        <w:footnoteReference w:id="23"/>
      </w:r>
      <w:r w:rsidRPr="4136E87B" w:rsidR="00345102">
        <w:rPr>
          <w:rFonts w:ascii="Times New Roman" w:hAnsi="Times New Roman"/>
          <w:sz w:val="24"/>
          <w14:ligatures w14:val="standardContextual"/>
        </w:rPr>
        <w:t xml:space="preserve"> facilities reported 38 RMP-reportable accidents as having a natural cause as the initiating event of their accident and another </w:t>
      </w:r>
      <w:r w:rsidRPr="4136E87B" w:rsidR="00FA76B1">
        <w:rPr>
          <w:rFonts w:ascii="Times New Roman" w:hAnsi="Times New Roman"/>
          <w:sz w:val="24"/>
          <w14:ligatures w14:val="standardContextual"/>
        </w:rPr>
        <w:t>RMP reportable</w:t>
      </w:r>
      <w:r w:rsidRPr="4136E87B" w:rsidR="00345102">
        <w:rPr>
          <w:rFonts w:ascii="Times New Roman" w:hAnsi="Times New Roman"/>
          <w:sz w:val="24"/>
          <w14:ligatures w14:val="standardContextual"/>
        </w:rPr>
        <w:t xml:space="preserve"> accidents as having unusual weather conditions as a contributing factor of their accident.</w:t>
      </w:r>
      <w:r>
        <w:rPr>
          <w:rStyle w:val="FootnoteReference"/>
          <w:rFonts w:ascii="Times New Roman" w:hAnsi="Times New Roman"/>
          <w:sz w:val="24"/>
          <w14:ligatures w14:val="standardContextual"/>
        </w:rPr>
        <w:footnoteReference w:id="24"/>
      </w:r>
    </w:p>
    <w:p w:rsidR="00D43808" w:rsidRPr="007F5F2D" w:rsidP="00D43808" w14:paraId="7B4AE5AB" w14:textId="77777777">
      <w:pPr>
        <w:rPr>
          <w:rFonts w:ascii="Times New Roman" w:hAnsi="Times New Roman"/>
          <w:i/>
          <w:iCs/>
          <w:sz w:val="24"/>
        </w:rPr>
      </w:pPr>
      <w:r>
        <w:rPr>
          <w:rFonts w:ascii="Times New Roman" w:hAnsi="Times New Roman"/>
          <w:i/>
          <w:iCs/>
          <w:sz w:val="24"/>
        </w:rPr>
        <w:t>Specific c</w:t>
      </w:r>
      <w:r w:rsidRPr="007F5F2D">
        <w:rPr>
          <w:rFonts w:ascii="Times New Roman" w:hAnsi="Times New Roman"/>
          <w:i/>
          <w:iCs/>
          <w:sz w:val="24"/>
        </w:rPr>
        <w:t xml:space="preserve">omments in </w:t>
      </w:r>
      <w:r>
        <w:rPr>
          <w:rFonts w:ascii="Times New Roman" w:hAnsi="Times New Roman"/>
          <w:i/>
          <w:iCs/>
          <w:sz w:val="24"/>
        </w:rPr>
        <w:t>opposition to</w:t>
      </w:r>
      <w:r w:rsidRPr="007F5F2D">
        <w:rPr>
          <w:rFonts w:ascii="Times New Roman" w:hAnsi="Times New Roman"/>
          <w:i/>
          <w:iCs/>
          <w:sz w:val="24"/>
        </w:rPr>
        <w:t xml:space="preserve"> natural hazards as a driving force for chemical accidents</w:t>
      </w:r>
    </w:p>
    <w:p w:rsidR="00D43808" w:rsidP="00D43808" w14:paraId="0359D107" w14:textId="77777777">
      <w:pPr>
        <w:rPr>
          <w:rFonts w:ascii="Times New Roman" w:hAnsi="Times New Roman"/>
          <w:sz w:val="24"/>
        </w:rPr>
      </w:pPr>
      <w:r>
        <w:rPr>
          <w:rFonts w:ascii="Times New Roman" w:hAnsi="Times New Roman"/>
          <w:b/>
          <w:bCs/>
          <w:sz w:val="24"/>
        </w:rPr>
        <w:t xml:space="preserve">Comment 2.1-06: </w:t>
      </w:r>
      <w:r w:rsidRPr="006F68E9">
        <w:rPr>
          <w:rFonts w:ascii="Times New Roman" w:hAnsi="Times New Roman"/>
          <w:sz w:val="24"/>
        </w:rPr>
        <w:t xml:space="preserve">Several commenters </w:t>
      </w:r>
      <w:r>
        <w:rPr>
          <w:rFonts w:ascii="Times New Roman" w:hAnsi="Times New Roman"/>
          <w:sz w:val="24"/>
        </w:rPr>
        <w:t>asserted</w:t>
      </w:r>
      <w:r w:rsidRPr="006F68E9">
        <w:rPr>
          <w:rFonts w:ascii="Times New Roman" w:hAnsi="Times New Roman"/>
          <w:sz w:val="24"/>
        </w:rPr>
        <w:t xml:space="preserve"> that </w:t>
      </w:r>
      <w:r>
        <w:rPr>
          <w:rFonts w:ascii="Times New Roman" w:hAnsi="Times New Roman"/>
          <w:sz w:val="24"/>
        </w:rPr>
        <w:t>the</w:t>
      </w:r>
      <w:r w:rsidRPr="006F68E9">
        <w:rPr>
          <w:rFonts w:ascii="Times New Roman" w:hAnsi="Times New Roman"/>
          <w:sz w:val="24"/>
        </w:rPr>
        <w:t xml:space="preserve"> number of accidental releases caused by natural hazards was small compared to other causes and compared to how many natural hazards occur daily, and therefore does not justify EPA adding additional requirements for assessing natural hazards or other external events (0215, 0237, 0238, 0239, 0268</w:t>
      </w:r>
      <w:r>
        <w:rPr>
          <w:rStyle w:val="FootnoteReference"/>
          <w:rFonts w:ascii="Times New Roman" w:hAnsi="Times New Roman"/>
          <w:sz w:val="24"/>
        </w:rPr>
        <w:footnoteReference w:id="25"/>
      </w:r>
      <w:r w:rsidRPr="006F68E9">
        <w:rPr>
          <w:rFonts w:ascii="Times New Roman" w:hAnsi="Times New Roman"/>
          <w:sz w:val="24"/>
        </w:rPr>
        <w:t xml:space="preserve">, 0272). A couple of commenters noted that less than 2% of RMP reported incidents between 2015 and 2022 had a natural cause as the initiating event (0215, 0268). A couple of commenters stated that natural hazards and unusual weather conditions were involved in about 4% of reported between 2016 and 2020 (0238, 0272). A couple of commenters noted that according to a U.S. Government Accountability Office (GAO) report, EPA found only two accidental releases at facilities following major natural disasters, neither of which were RMP-related (0239, 0268). One of the commenters noted that the small number of accidents may be attributed to the effectiveness of existing regulations and voluntary measures regarding emergency planning (0268). </w:t>
      </w:r>
    </w:p>
    <w:p w:rsidR="00D43808" w:rsidRPr="00F92D7F" w:rsidP="00181A80" w14:paraId="27B4AF6B" w14:textId="7E540C19">
      <w:pPr>
        <w:ind w:left="720"/>
        <w:rPr>
          <w:rFonts w:ascii="Times New Roman" w:hAnsi="Times New Roman"/>
          <w:b/>
          <w:sz w:val="24"/>
        </w:rPr>
      </w:pPr>
      <w:r w:rsidRPr="00181A80">
        <w:rPr>
          <w:rFonts w:ascii="Times New Roman" w:hAnsi="Times New Roman"/>
          <w:b/>
          <w:bCs/>
          <w:sz w:val="24"/>
        </w:rPr>
        <w:t>EPA Response:</w:t>
      </w:r>
      <w:r w:rsidRPr="00181A80" w:rsidR="00181A80">
        <w:t xml:space="preserve"> </w:t>
      </w:r>
      <w:r w:rsidRPr="00181A80" w:rsidR="00181A80">
        <w:rPr>
          <w:rFonts w:ascii="Times New Roman" w:hAnsi="Times New Roman"/>
          <w:sz w:val="24"/>
        </w:rPr>
        <w:t xml:space="preserve">In the 2022 SCCAP proposal, the Agency provided data which indicate that, while not all, </w:t>
      </w:r>
      <w:r w:rsidRPr="00181A80" w:rsidR="00181A80">
        <w:rPr>
          <w:rFonts w:ascii="Times New Roman" w:hAnsi="Times New Roman"/>
          <w:i/>
          <w:iCs/>
          <w:sz w:val="24"/>
        </w:rPr>
        <w:t xml:space="preserve">some </w:t>
      </w:r>
      <w:r w:rsidRPr="00181A80" w:rsidR="00181A80">
        <w:rPr>
          <w:rFonts w:ascii="Times New Roman" w:hAnsi="Times New Roman"/>
          <w:sz w:val="24"/>
        </w:rPr>
        <w:t xml:space="preserve">RMP accidents are being reported as having a natural cause as the initiating event and include unusual weather conditions as a contributing factor.  EPA believes that adding clarifying language to a provision is a simple way to promote </w:t>
      </w:r>
      <w:r w:rsidRPr="00181A80" w:rsidR="00181A80">
        <w:rPr>
          <w:rFonts w:ascii="Times New Roman" w:hAnsi="Times New Roman"/>
          <w:sz w:val="24"/>
        </w:rPr>
        <w:t xml:space="preserve">awareness of these potential accidents which should help prevent some. Additionally, </w:t>
      </w:r>
      <w:r w:rsidRPr="00181A80" w:rsidR="00181A80">
        <w:rPr>
          <w:rFonts w:ascii="Times New Roman" w:hAnsi="Times New Roman"/>
          <w:sz w:val="24"/>
        </w:rPr>
        <w:t>EPA agrees that climate change increases the threat of extreme weather as a natural hazard</w:t>
      </w:r>
      <w:r w:rsidR="0034120B">
        <w:rPr>
          <w:rFonts w:ascii="Times New Roman" w:hAnsi="Times New Roman"/>
          <w:sz w:val="24"/>
        </w:rPr>
        <w:t xml:space="preserve"> and should be taken into account at covered facilities when evaluating hazard frequency and severity</w:t>
      </w:r>
      <w:r w:rsidRPr="00181A80" w:rsidR="00181A80">
        <w:rPr>
          <w:rFonts w:ascii="Times New Roman" w:hAnsi="Times New Roman"/>
          <w:sz w:val="24"/>
        </w:rPr>
        <w:t>. EPA is finalizing the proposed provisions because the Agency believes that making the requirement more explicit to evaluate natural hazards</w:t>
      </w:r>
      <w:r w:rsidR="00EE7F5C">
        <w:rPr>
          <w:rFonts w:ascii="Times New Roman" w:hAnsi="Times New Roman"/>
          <w:sz w:val="24"/>
        </w:rPr>
        <w:t>, which includes taking into account climate change,</w:t>
      </w:r>
      <w:r w:rsidRPr="00181A80" w:rsidR="00181A80">
        <w:rPr>
          <w:rFonts w:ascii="Times New Roman" w:hAnsi="Times New Roman"/>
          <w:sz w:val="24"/>
        </w:rPr>
        <w:t xml:space="preserve"> in hazard evaluations for Program 2 and Program 3 RMP-regulated processes will ensure that the threats of natural hazards are properly evaluated and managed to prevent or mitigate releases of RMP-regulated substances at covered facilities. EPA agrees that doing so will better protect surrounding communities from these types of incidents.</w:t>
      </w:r>
    </w:p>
    <w:p w:rsidR="00D43808" w:rsidRPr="00C76720" w:rsidP="00D43808" w14:paraId="59BA6659" w14:textId="77777777">
      <w:pPr>
        <w:rPr>
          <w:rFonts w:ascii="Times New Roman" w:hAnsi="Times New Roman"/>
          <w:i/>
          <w:sz w:val="24"/>
        </w:rPr>
      </w:pPr>
      <w:r>
        <w:rPr>
          <w:rFonts w:ascii="Times New Roman" w:hAnsi="Times New Roman"/>
          <w:i/>
          <w:iCs/>
          <w:sz w:val="24"/>
        </w:rPr>
        <w:t>Comments on PHA requirements and other regulations</w:t>
      </w:r>
    </w:p>
    <w:p w:rsidR="00D43808" w:rsidP="00D43808" w14:paraId="5EF5534D" w14:textId="77777777">
      <w:pPr>
        <w:rPr>
          <w:rFonts w:ascii="Times New Roman" w:eastAsia="Times New Roman" w:hAnsi="Times New Roman"/>
          <w:sz w:val="24"/>
        </w:rPr>
      </w:pPr>
      <w:r>
        <w:rPr>
          <w:rFonts w:ascii="Times New Roman" w:hAnsi="Times New Roman"/>
          <w:b/>
          <w:bCs/>
          <w:sz w:val="24"/>
        </w:rPr>
        <w:t xml:space="preserve">Comment 2.1-07: </w:t>
      </w:r>
      <w:r w:rsidRPr="00724F14">
        <w:rPr>
          <w:rFonts w:ascii="Times New Roman" w:eastAsia="Times New Roman" w:hAnsi="Times New Roman"/>
          <w:sz w:val="24"/>
        </w:rPr>
        <w:t>Several commenters noted that the natural hazard assessment provisions are already considered in the process hazard analysis (PHA) or other current regulations and are, therefore, redundant (0125, 0184, 0190, 0205, 0207, 0217, 0230, 0238, 0233, 0239, 0263, 0275). Several commenters indicated that the natural hazard provisions in the proposed rule overlap with or are redundant of existing OSHA regulations and recommended that EPA not conflict or compete with OSHA standards, as including them in EPA’s rules would create duplicative work for facilities and introduce uneven enforcement between the two agencies (0125, 0180, 0192, 0205, 0215, 0266, 0268, 0458). Another commenter noted that natural hazards are characterized differently in the OSHA standards and EPA’s proposed rule and urged EPA to use parallel language with OSHA to address the same topic (0215). One commenter suggested that EPA not include natural hazard assessment requirements, and instead allow OSHA to continue oversight (0205).</w:t>
      </w:r>
    </w:p>
    <w:p w:rsidR="00D43808" w:rsidRPr="00724F14" w:rsidP="00D43808" w14:paraId="04898B31" w14:textId="77777777">
      <w:pPr>
        <w:rPr>
          <w:rFonts w:ascii="Times New Roman" w:hAnsi="Times New Roman"/>
          <w:b/>
          <w:sz w:val="24"/>
        </w:rPr>
      </w:pPr>
      <w:r w:rsidRPr="0DD56BE9">
        <w:rPr>
          <w:rFonts w:ascii="Times New Roman" w:hAnsi="Times New Roman"/>
          <w:sz w:val="24"/>
        </w:rPr>
        <w:t>Another commenter stated that EPA has not provided an explanation to why the text requiring analyzing external and triggering events that could lead to “any” accidental release is more strict than the current PHA requirement to analyze incidents that had a potential for a catastrophic release (0268).</w:t>
      </w:r>
    </w:p>
    <w:p w:rsidR="00D43808" w:rsidP="00D43808" w14:paraId="2BAD7E97" w14:textId="656C57A3">
      <w:pPr>
        <w:ind w:left="720"/>
        <w:rPr>
          <w:rFonts w:ascii="Times New Roman" w:eastAsia="Times New Roman" w:hAnsi="Times New Roman"/>
          <w:color w:val="000000" w:themeColor="text1"/>
          <w:sz w:val="24"/>
        </w:rPr>
      </w:pPr>
      <w:r w:rsidRPr="008876B9">
        <w:rPr>
          <w:rFonts w:ascii="Times New Roman" w:eastAsia="Times New Roman" w:hAnsi="Times New Roman"/>
          <w:b/>
          <w:color w:val="000000" w:themeColor="text1"/>
          <w:sz w:val="24"/>
        </w:rPr>
        <w:t xml:space="preserve">EPA Response: </w:t>
      </w:r>
      <w:r w:rsidRPr="008876B9">
        <w:rPr>
          <w:rFonts w:ascii="Times New Roman" w:eastAsia="Times New Roman" w:hAnsi="Times New Roman"/>
          <w:color w:val="000000" w:themeColor="text1"/>
          <w:sz w:val="24"/>
        </w:rPr>
        <w:t>EPA disagrees that the natural hazard assessment provisions are redundant and will result in uneven enforcement due to them already being considered in both the PHA requirements and current OSHA regulations. EPA’s goal of this provision is to better reflect the Agency’s longstanding regulatory requirement, rather than to impose additional regulatory requirements (and thus potential additional costs) that conflict with the OSHA PSM regulatory requirements. In fact, EPA has coordinated with OSHA throughout the rulemaking process to ensure the intent of adding explicit natural hazard regulatory text does not create conflicting requirements between the two regulatory programs.</w:t>
      </w:r>
      <w:r w:rsidRPr="4136E87B" w:rsidR="62783583">
        <w:rPr>
          <w:rFonts w:ascii="Times New Roman" w:eastAsia="Times New Roman" w:hAnsi="Times New Roman"/>
          <w:color w:val="000000" w:themeColor="text1"/>
          <w:sz w:val="24"/>
        </w:rPr>
        <w:t xml:space="preserve"> </w:t>
      </w:r>
    </w:p>
    <w:p w:rsidR="00D43808" w:rsidRPr="00537519" w:rsidP="00D43808" w14:paraId="39DE2BA4" w14:textId="77777777">
      <w:pPr>
        <w:rPr>
          <w:rFonts w:ascii="Times New Roman" w:hAnsi="Times New Roman"/>
          <w:sz w:val="24"/>
        </w:rPr>
      </w:pPr>
      <w:r>
        <w:rPr>
          <w:rFonts w:ascii="Times New Roman" w:hAnsi="Times New Roman"/>
          <w:b/>
          <w:bCs/>
          <w:sz w:val="24"/>
        </w:rPr>
        <w:t xml:space="preserve">Comment 2.1-08: </w:t>
      </w:r>
      <w:r>
        <w:rPr>
          <w:rFonts w:ascii="Times New Roman" w:hAnsi="Times New Roman"/>
          <w:sz w:val="24"/>
        </w:rPr>
        <w:t>One</w:t>
      </w:r>
      <w:r w:rsidRPr="18628931">
        <w:rPr>
          <w:rFonts w:ascii="Times New Roman" w:hAnsi="Times New Roman"/>
          <w:sz w:val="24"/>
        </w:rPr>
        <w:t xml:space="preserve"> commenter </w:t>
      </w:r>
      <w:r>
        <w:rPr>
          <w:rFonts w:ascii="Times New Roman" w:hAnsi="Times New Roman"/>
          <w:sz w:val="24"/>
        </w:rPr>
        <w:t>stated</w:t>
      </w:r>
      <w:r w:rsidRPr="18628931">
        <w:rPr>
          <w:rFonts w:ascii="Times New Roman" w:hAnsi="Times New Roman"/>
          <w:sz w:val="24"/>
        </w:rPr>
        <w:t xml:space="preserve"> that the process to evaluate external hazards would be overly burdensome for facilities, given the magnitude of potential external events that would need to be considered. The commenter suggested EPA not require the external hazard analysis as a part of the PHA process, to allow facilities to find an appropriate team to conduct the analysis (0233). </w:t>
      </w:r>
      <w:r w:rsidRPr="00537519">
        <w:rPr>
          <w:rFonts w:ascii="Times New Roman" w:hAnsi="Times New Roman"/>
          <w:sz w:val="24"/>
        </w:rPr>
        <w:t xml:space="preserve">Another commenter stated that the documentation to meet the requirement would result in a long list of recommendations and justifications for addressing a long list of external events, diluting the value of the content in RMPs report to EPA (0268). </w:t>
      </w:r>
    </w:p>
    <w:p w:rsidR="00D43808" w:rsidP="00D43808" w14:paraId="1B3D02AE" w14:textId="77777777">
      <w:pPr>
        <w:rPr>
          <w:rFonts w:ascii="Times New Roman" w:hAnsi="Times New Roman"/>
          <w:sz w:val="24"/>
        </w:rPr>
      </w:pPr>
      <w:r w:rsidRPr="18628931">
        <w:rPr>
          <w:rFonts w:ascii="Times New Roman" w:hAnsi="Times New Roman"/>
          <w:sz w:val="24"/>
        </w:rPr>
        <w:t xml:space="preserve">Some commenters </w:t>
      </w:r>
      <w:r>
        <w:rPr>
          <w:rFonts w:ascii="Times New Roman" w:hAnsi="Times New Roman"/>
          <w:sz w:val="24"/>
        </w:rPr>
        <w:t>asserted</w:t>
      </w:r>
      <w:r w:rsidRPr="18628931">
        <w:rPr>
          <w:rFonts w:ascii="Times New Roman" w:hAnsi="Times New Roman"/>
          <w:sz w:val="24"/>
        </w:rPr>
        <w:t xml:space="preserve"> that the proposed rule goes beyond the traditional scope of PHAs as PHAs cover hazards “of” or “in” the process, not external events that are hazards “to” the process (0229, 0232, 0268). </w:t>
      </w: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stated</w:t>
      </w:r>
      <w:r w:rsidRPr="006F68E9">
        <w:rPr>
          <w:rFonts w:ascii="Times New Roman" w:hAnsi="Times New Roman"/>
          <w:sz w:val="24"/>
        </w:rPr>
        <w:t xml:space="preserve"> that considering “external events” unjustifiably expands the scope of the PHA by covering hazards “to” the process, instead of “of” the process, which EPA lacks the statutory authorization to do and has not provided sufficient basis for (0253). </w:t>
      </w:r>
      <w:r>
        <w:rPr>
          <w:rFonts w:ascii="Times New Roman" w:hAnsi="Times New Roman"/>
          <w:sz w:val="24"/>
        </w:rPr>
        <w:t>Another commenter</w:t>
      </w:r>
      <w:r w:rsidRPr="18628931">
        <w:rPr>
          <w:rFonts w:ascii="Times New Roman" w:hAnsi="Times New Roman"/>
          <w:sz w:val="24"/>
        </w:rPr>
        <w:t xml:space="preserve"> stated that EPA does not have authorization from Congress to transform the PHA program to include natural hazards “caused by climate change or other triggering events” </w:t>
      </w:r>
      <w:r>
        <w:rPr>
          <w:rFonts w:ascii="Times New Roman" w:hAnsi="Times New Roman"/>
          <w:sz w:val="24"/>
        </w:rPr>
        <w:t>and that the proposed requirements conflict with OSHA’s standards and lack justification</w:t>
      </w:r>
      <w:r w:rsidRPr="18628931">
        <w:rPr>
          <w:rFonts w:ascii="Times New Roman" w:hAnsi="Times New Roman"/>
          <w:sz w:val="24"/>
        </w:rPr>
        <w:t xml:space="preserve"> (</w:t>
      </w:r>
      <w:r w:rsidRPr="0DD56BE9">
        <w:rPr>
          <w:rFonts w:ascii="Times New Roman" w:hAnsi="Times New Roman"/>
          <w:sz w:val="24"/>
        </w:rPr>
        <w:t>0268).</w:t>
      </w:r>
      <w:r w:rsidRPr="006F68E9">
        <w:rPr>
          <w:rFonts w:ascii="Times New Roman" w:hAnsi="Times New Roman"/>
          <w:sz w:val="24"/>
        </w:rPr>
        <w:t xml:space="preserve"> </w:t>
      </w:r>
    </w:p>
    <w:p w:rsidR="00D43808" w:rsidRPr="00F15130" w:rsidP="00D43808" w14:paraId="0E9C875C" w14:textId="77777777">
      <w:pPr>
        <w:rPr>
          <w:rFonts w:ascii="Times New Roman" w:hAnsi="Times New Roman"/>
          <w:b/>
          <w:sz w:val="24"/>
        </w:rPr>
      </w:pPr>
      <w:r w:rsidRPr="00F15130">
        <w:rPr>
          <w:rFonts w:ascii="Times New Roman" w:hAnsi="Times New Roman"/>
          <w:sz w:val="24"/>
        </w:rPr>
        <w:t xml:space="preserve">Another commenter stated that EPA has not provided an explanation to why the text requiring analyzing external and triggering events that could lead to “any” accidental release is more strict than the current PHA requirement to analyze incidents that had a potential for a catastrophic release (0268). </w:t>
      </w:r>
    </w:p>
    <w:p w:rsidR="00A3462A" w:rsidP="00D43808" w14:paraId="0324DC78" w14:textId="77777777">
      <w:pPr>
        <w:ind w:left="720"/>
        <w:rPr>
          <w:rFonts w:ascii="Times New Roman" w:hAnsi="Times New Roman"/>
          <w:b/>
          <w:bCs/>
          <w:sz w:val="24"/>
        </w:rPr>
      </w:pPr>
      <w:r w:rsidRPr="18628931">
        <w:rPr>
          <w:rFonts w:ascii="Times New Roman" w:hAnsi="Times New Roman"/>
          <w:b/>
          <w:bCs/>
          <w:sz w:val="24"/>
        </w:rPr>
        <w:t>EPA Response</w:t>
      </w:r>
      <w:r>
        <w:rPr>
          <w:rFonts w:ascii="Times New Roman" w:hAnsi="Times New Roman"/>
          <w:b/>
          <w:bCs/>
          <w:sz w:val="24"/>
        </w:rPr>
        <w:t>:</w:t>
      </w:r>
      <w:r w:rsidRPr="18628931">
        <w:rPr>
          <w:rFonts w:ascii="Times New Roman" w:hAnsi="Times New Roman"/>
          <w:b/>
          <w:bCs/>
          <w:sz w:val="24"/>
        </w:rPr>
        <w:t xml:space="preserve"> </w:t>
      </w:r>
      <w:r w:rsidRPr="00A3462A" w:rsidR="00DB10A6">
        <w:rPr>
          <w:rFonts w:ascii="Times New Roman" w:hAnsi="Times New Roman"/>
          <w:sz w:val="24"/>
        </w:rPr>
        <w:t xml:space="preserve">EPA acknowledges that analysis of external events </w:t>
      </w:r>
      <w:r w:rsidRPr="00A3462A" w:rsidR="00250E95">
        <w:rPr>
          <w:rFonts w:ascii="Times New Roman" w:hAnsi="Times New Roman"/>
          <w:sz w:val="24"/>
        </w:rPr>
        <w:t xml:space="preserve">identified in the 2022 SCCAP proposal </w:t>
      </w:r>
      <w:r w:rsidRPr="00A3462A" w:rsidR="00DB10A6">
        <w:rPr>
          <w:rFonts w:ascii="Times New Roman" w:hAnsi="Times New Roman"/>
          <w:sz w:val="24"/>
        </w:rPr>
        <w:t>may</w:t>
      </w:r>
      <w:r w:rsidRPr="00A3462A" w:rsidR="00250E95">
        <w:rPr>
          <w:rFonts w:ascii="Times New Roman" w:hAnsi="Times New Roman"/>
          <w:sz w:val="24"/>
        </w:rPr>
        <w:t xml:space="preserve"> have been </w:t>
      </w:r>
      <w:r w:rsidRPr="00A3462A" w:rsidR="00DB10A6">
        <w:rPr>
          <w:rFonts w:ascii="Times New Roman" w:hAnsi="Times New Roman"/>
          <w:sz w:val="24"/>
        </w:rPr>
        <w:t>broader than expected. EPA is therefore revising the regulatory language in the final rule to focus on natural hazards rather than external hazards</w:t>
      </w:r>
      <w:r w:rsidRPr="00A3462A" w:rsidR="00250E95">
        <w:rPr>
          <w:rFonts w:ascii="Times New Roman" w:hAnsi="Times New Roman"/>
          <w:sz w:val="24"/>
        </w:rPr>
        <w:t>.</w:t>
      </w:r>
      <w:r w:rsidRPr="00A3462A" w:rsidR="00C77FCE">
        <w:rPr>
          <w:rFonts w:ascii="Times New Roman" w:hAnsi="Times New Roman"/>
          <w:sz w:val="24"/>
        </w:rPr>
        <w:t>’</w:t>
      </w:r>
      <w:r w:rsidRPr="00DB10A6" w:rsidR="00DB10A6">
        <w:rPr>
          <w:rFonts w:ascii="Times New Roman" w:hAnsi="Times New Roman"/>
          <w:b/>
          <w:bCs/>
          <w:sz w:val="24"/>
        </w:rPr>
        <w:t xml:space="preserve"> </w:t>
      </w:r>
    </w:p>
    <w:p w:rsidR="00D43808" w:rsidRPr="008876B9" w:rsidP="00D43808" w14:paraId="2601861A" w14:textId="02C410E5">
      <w:pPr>
        <w:ind w:left="720"/>
        <w:rPr>
          <w:rFonts w:ascii="Times New Roman" w:hAnsi="Times New Roman"/>
          <w:sz w:val="24"/>
        </w:rPr>
      </w:pPr>
      <w:r w:rsidRPr="18628931">
        <w:rPr>
          <w:rFonts w:ascii="Times New Roman" w:hAnsi="Times New Roman"/>
          <w:sz w:val="24"/>
        </w:rPr>
        <w:t xml:space="preserve">In response to comments that the natural hazard assessment provisions are overly burdensome to facilities, and that the Agency does not have authorization from Congress to transform the PHA program to include natural hazards “caused by climate change or other triggering events”, EPA disagrees. </w:t>
      </w:r>
      <w:r w:rsidRPr="1464C6FC">
        <w:rPr>
          <w:rFonts w:ascii="Times New Roman" w:hAnsi="Times New Roman"/>
          <w:sz w:val="24"/>
        </w:rPr>
        <w:t xml:space="preserve"> EPA has stated this provision makes more explicit what is already required in the RMP regulations. As noted in the proposed rule, since the 1996 RMP rule, EPA has said events such as floods and high winds should be considered as potential release-initiating events when conducting a PHA, and the RMP guidance further expands on this point. Furthermore</w:t>
      </w:r>
      <w:r w:rsidRPr="18628931">
        <w:rPr>
          <w:rFonts w:ascii="Times New Roman" w:hAnsi="Times New Roman"/>
          <w:sz w:val="24"/>
        </w:rPr>
        <w:t>, the hazard evaluation amplifications reflect existing industry practice, and therefore, EPA assumes that these hazard evaluation amplifications would impose no new requirements or costs on facilities</w:t>
      </w:r>
      <w:r w:rsidRPr="1464C6FC">
        <w:rPr>
          <w:rFonts w:ascii="Times New Roman" w:hAnsi="Times New Roman"/>
          <w:sz w:val="24"/>
        </w:rPr>
        <w:t xml:space="preserve"> that are in compliance with the RMP rule and common industry practice. By amplifying and making more explicit the need to evaluate natural hazards as potential causes of releases, EPA expects those facilities that are currently not performing such evaluations will better understand what the rule requires.</w:t>
      </w:r>
      <w:r w:rsidRPr="18628931">
        <w:rPr>
          <w:rFonts w:ascii="Times New Roman" w:hAnsi="Times New Roman"/>
          <w:sz w:val="24"/>
        </w:rPr>
        <w:t xml:space="preserve"> Additionally, each modification of the RMP rule that EPA proposed and is finalizing is based on EPA’s rulemaking authority under Clean Air Act (CAA) section 112(r)(7). EPA has outlined its authority for all the changes to the regulation in section III.C of th</w:t>
      </w:r>
      <w:r w:rsidR="008B02F0">
        <w:rPr>
          <w:rFonts w:ascii="Times New Roman" w:hAnsi="Times New Roman"/>
          <w:sz w:val="24"/>
        </w:rPr>
        <w:t>e</w:t>
      </w:r>
      <w:r w:rsidRPr="18628931">
        <w:rPr>
          <w:rFonts w:ascii="Times New Roman" w:hAnsi="Times New Roman"/>
          <w:sz w:val="24"/>
        </w:rPr>
        <w:t xml:space="preserve"> </w:t>
      </w:r>
      <w:r w:rsidR="00E76962">
        <w:rPr>
          <w:rFonts w:ascii="Times New Roman" w:hAnsi="Times New Roman"/>
          <w:sz w:val="24"/>
        </w:rPr>
        <w:t xml:space="preserve">SCCAP Final Rule </w:t>
      </w:r>
      <w:r w:rsidRPr="18628931">
        <w:rPr>
          <w:rFonts w:ascii="Times New Roman" w:hAnsi="Times New Roman"/>
          <w:sz w:val="24"/>
        </w:rPr>
        <w:t>preamble.</w:t>
      </w:r>
    </w:p>
    <w:p w:rsidR="00D43808" w:rsidP="00D43808" w14:paraId="23825755" w14:textId="77777777">
      <w:pPr>
        <w:rPr>
          <w:rFonts w:ascii="Times New Roman" w:hAnsi="Times New Roman"/>
          <w:sz w:val="24"/>
        </w:rPr>
      </w:pPr>
      <w:bookmarkStart w:id="26" w:name="_Hlk147837228"/>
      <w:r>
        <w:rPr>
          <w:rFonts w:ascii="Times New Roman" w:hAnsi="Times New Roman"/>
          <w:b/>
          <w:bCs/>
          <w:sz w:val="24"/>
        </w:rPr>
        <w:t xml:space="preserve">Comment 2.1-09: </w:t>
      </w:r>
      <w:r w:rsidRPr="006F68E9">
        <w:rPr>
          <w:rFonts w:ascii="Times New Roman" w:hAnsi="Times New Roman"/>
          <w:sz w:val="24"/>
        </w:rPr>
        <w:t xml:space="preserve">A few commenters identified potential overlap </w:t>
      </w:r>
      <w:r>
        <w:rPr>
          <w:rFonts w:ascii="Times New Roman" w:hAnsi="Times New Roman"/>
          <w:sz w:val="24"/>
        </w:rPr>
        <w:t>between the</w:t>
      </w:r>
      <w:r w:rsidRPr="006F68E9">
        <w:rPr>
          <w:rFonts w:ascii="Times New Roman" w:hAnsi="Times New Roman"/>
          <w:sz w:val="24"/>
        </w:rPr>
        <w:t xml:space="preserv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t>
      </w:r>
      <w:r>
        <w:rPr>
          <w:rFonts w:ascii="Times New Roman" w:hAnsi="Times New Roman"/>
          <w:sz w:val="24"/>
        </w:rPr>
        <w:t xml:space="preserve">and other requirements </w:t>
      </w:r>
      <w:r w:rsidRPr="006F68E9">
        <w:rPr>
          <w:rFonts w:ascii="Times New Roman" w:hAnsi="Times New Roman"/>
          <w:sz w:val="24"/>
        </w:rPr>
        <w:t>for the water sector</w:t>
      </w:r>
      <w:r>
        <w:rPr>
          <w:rFonts w:ascii="Times New Roman" w:hAnsi="Times New Roman"/>
          <w:sz w:val="24"/>
        </w:rPr>
        <w:t>,</w:t>
      </w:r>
      <w:r w:rsidRPr="006F68E9">
        <w:rPr>
          <w:rFonts w:ascii="Times New Roman" w:hAnsi="Times New Roman"/>
          <w:sz w:val="24"/>
        </w:rPr>
        <w:t xml:space="preserve"> and </w:t>
      </w:r>
      <w:r>
        <w:rPr>
          <w:rFonts w:ascii="Times New Roman" w:hAnsi="Times New Roman"/>
          <w:sz w:val="24"/>
        </w:rPr>
        <w:t xml:space="preserve">expressed </w:t>
      </w:r>
      <w:r w:rsidRPr="006F68E9">
        <w:rPr>
          <w:rFonts w:ascii="Times New Roman" w:hAnsi="Times New Roman"/>
          <w:sz w:val="24"/>
        </w:rPr>
        <w:t>concern that t</w:t>
      </w:r>
      <w:r>
        <w:rPr>
          <w:rFonts w:ascii="Times New Roman" w:hAnsi="Times New Roman"/>
          <w:sz w:val="24"/>
        </w:rPr>
        <w:t>he proposed rule</w:t>
      </w:r>
      <w:r w:rsidRPr="006F68E9">
        <w:rPr>
          <w:rFonts w:ascii="Times New Roman" w:hAnsi="Times New Roman"/>
          <w:sz w:val="24"/>
        </w:rPr>
        <w:t xml:space="preserve"> will result in overly burdensome reporting requirements (0197, 0239, 0243). One of the commenters noted that a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from EPA’s Office of Land and Emergency Management (OLEM) under the Clean Water Act (CWA) Hazardous Substances Worst-Case Discharge Planning rule will require water utilities to plan for climate and other natural hazards (0197). A couple of commenters noted that community water systems are already required to consider natural hazard threats and climate risks and are incentivized to take action to improve resilience under AWIA, and additional requirements under this regulation would be confusing and result in significant costs that would be passed onto ratepayers, without an impact on incident rates (0239, 0243). </w:t>
      </w:r>
    </w:p>
    <w:p w:rsidR="003F057C" w:rsidRPr="00BB75DA" w:rsidP="00D43808" w14:paraId="2C884F7C" w14:textId="16CD5D88">
      <w:pPr>
        <w:rPr>
          <w:rFonts w:ascii="Times New Roman" w:hAnsi="Times New Roman"/>
          <w:b/>
          <w:sz w:val="24"/>
        </w:rPr>
      </w:pPr>
      <w:r w:rsidRPr="006F68E9">
        <w:rPr>
          <w:rFonts w:ascii="Times New Roman" w:hAnsi="Times New Roman"/>
          <w:sz w:val="24"/>
        </w:rPr>
        <w:t>A few commenters noted that Resource Conservation and Recovery Act (RCRA)</w:t>
      </w:r>
      <w:r>
        <w:rPr>
          <w:rFonts w:ascii="Times New Roman" w:hAnsi="Times New Roman"/>
          <w:sz w:val="24"/>
        </w:rPr>
        <w:t>-</w:t>
      </w:r>
      <w:r w:rsidRPr="006F68E9">
        <w:rPr>
          <w:rFonts w:ascii="Times New Roman" w:hAnsi="Times New Roman"/>
          <w:sz w:val="24"/>
        </w:rPr>
        <w:t xml:space="preserve">permitted facilities are required to have contingency plans that address emergency scenarios listed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and requested that RCRA-permitted facilities be exempt from th</w:t>
      </w:r>
      <w:r>
        <w:rPr>
          <w:rFonts w:ascii="Times New Roman" w:hAnsi="Times New Roman"/>
          <w:sz w:val="24"/>
        </w:rPr>
        <w:t>e natural hazards assessment</w:t>
      </w:r>
      <w:r w:rsidRPr="006F68E9">
        <w:rPr>
          <w:rFonts w:ascii="Times New Roman" w:hAnsi="Times New Roman"/>
          <w:sz w:val="24"/>
        </w:rPr>
        <w:t xml:space="preserve"> requirement (0181, 0223, 0262).</w:t>
      </w:r>
    </w:p>
    <w:p w:rsidR="003448FB" w:rsidP="004A0361" w14:paraId="3A49C8AA" w14:textId="77777777">
      <w:pPr>
        <w:ind w:left="720"/>
        <w:rPr>
          <w:rFonts w:ascii="Times New Roman" w:hAnsi="Times New Roman"/>
          <w:sz w:val="24"/>
        </w:rPr>
      </w:pPr>
      <w:r w:rsidRPr="00AF4351">
        <w:rPr>
          <w:rFonts w:ascii="Times New Roman" w:hAnsi="Times New Roman"/>
          <w:b/>
          <w:bCs/>
          <w:sz w:val="24"/>
        </w:rPr>
        <w:t>EPA Response</w:t>
      </w:r>
      <w:r w:rsidRPr="00AF4351">
        <w:rPr>
          <w:rFonts w:ascii="Times New Roman" w:hAnsi="Times New Roman"/>
          <w:sz w:val="24"/>
        </w:rPr>
        <w:t>:</w:t>
      </w:r>
      <w:r w:rsidRPr="00EF741A" w:rsidR="00EF741A">
        <w:t xml:space="preserve"> </w:t>
      </w:r>
      <w:r w:rsidRPr="004A0361" w:rsidR="00EF741A">
        <w:rPr>
          <w:rFonts w:ascii="Times New Roman" w:hAnsi="Times New Roman"/>
          <w:sz w:val="24"/>
        </w:rPr>
        <w:t xml:space="preserve">EPA has stated this provision makes more explicit what is already required in the RMP regulations. As noted in the proposed rule, since the 1996 RMP rule, EPA has said events such as floods and high winds should be considered as potential release-initiating events when conducting a PHA, and the RMP guidance further expands on this point. Furthermore, the hazard evaluation amplifications reflect existing industry practice, and therefore, EPA assumes that these hazard evaluation amplifications would impose no new requirements or costs on facilities that are in compliance with the RMP rule and common industry practice. By amplifying and making more explicit the need to evaluate natural hazards as potential causes of releases, EPA expects those facilities that are currently not performing such evaluations will better understand what the rule </w:t>
      </w:r>
      <w:r w:rsidRPr="004A0361" w:rsidR="006165C8">
        <w:rPr>
          <w:rFonts w:ascii="Times New Roman" w:hAnsi="Times New Roman"/>
          <w:sz w:val="24"/>
        </w:rPr>
        <w:t>requires.</w:t>
      </w:r>
      <w:r w:rsidR="006165C8">
        <w:rPr>
          <w:rFonts w:ascii="Times New Roman" w:hAnsi="Times New Roman"/>
          <w:sz w:val="24"/>
        </w:rPr>
        <w:t xml:space="preserve"> </w:t>
      </w:r>
    </w:p>
    <w:p w:rsidR="00D43808" w:rsidRPr="00831866" w:rsidP="008E1A70" w14:paraId="5A5D2115" w14:textId="4EE75FC0">
      <w:pPr>
        <w:ind w:left="720"/>
        <w:rPr>
          <w:rFonts w:ascii="Times New Roman" w:hAnsi="Times New Roman"/>
          <w:b/>
          <w:sz w:val="24"/>
        </w:rPr>
      </w:pPr>
      <w:r>
        <w:rPr>
          <w:rFonts w:ascii="Times New Roman" w:eastAsia="Times New Roman" w:hAnsi="Times New Roman"/>
          <w:sz w:val="24"/>
        </w:rPr>
        <w:t xml:space="preserve">Further, </w:t>
      </w:r>
      <w:r w:rsidR="00A06185">
        <w:rPr>
          <w:rFonts w:ascii="Times New Roman" w:eastAsia="Times New Roman" w:hAnsi="Times New Roman"/>
          <w:sz w:val="24"/>
        </w:rPr>
        <w:t>t</w:t>
      </w:r>
      <w:r w:rsidRPr="006629DA" w:rsidR="00A06185">
        <w:rPr>
          <w:rFonts w:ascii="Times New Roman" w:eastAsia="Times New Roman" w:hAnsi="Times New Roman"/>
          <w:sz w:val="24"/>
        </w:rPr>
        <w:t>he RMP rule applies to accidental releases of RMP regulated substances to the air</w:t>
      </w:r>
      <w:r w:rsidR="006629DA">
        <w:rPr>
          <w:rFonts w:ascii="Times New Roman" w:eastAsia="Times New Roman" w:hAnsi="Times New Roman"/>
          <w:sz w:val="24"/>
        </w:rPr>
        <w:t xml:space="preserve">. </w:t>
      </w:r>
      <w:r w:rsidR="00C034D5">
        <w:rPr>
          <w:rFonts w:ascii="Times New Roman" w:eastAsia="Times New Roman" w:hAnsi="Times New Roman"/>
          <w:sz w:val="24"/>
        </w:rPr>
        <w:t>Because</w:t>
      </w:r>
      <w:r w:rsidR="00B22ED4">
        <w:rPr>
          <w:rFonts w:ascii="Times New Roman" w:eastAsia="Times New Roman" w:hAnsi="Times New Roman"/>
          <w:sz w:val="24"/>
        </w:rPr>
        <w:t xml:space="preserve"> </w:t>
      </w:r>
      <w:r w:rsidR="007E62DB">
        <w:rPr>
          <w:rFonts w:ascii="Times New Roman" w:eastAsia="Times New Roman" w:hAnsi="Times New Roman"/>
          <w:sz w:val="24"/>
        </w:rPr>
        <w:t>o</w:t>
      </w:r>
      <w:r w:rsidRPr="00C034D5" w:rsidR="007E62DB">
        <w:rPr>
          <w:rFonts w:ascii="Times New Roman" w:eastAsia="Times New Roman" w:hAnsi="Times New Roman"/>
          <w:sz w:val="24"/>
        </w:rPr>
        <w:t xml:space="preserve">ther EPA programs requirements </w:t>
      </w:r>
      <w:r w:rsidRPr="00C034D5" w:rsidR="008E1A70">
        <w:rPr>
          <w:rFonts w:ascii="Times New Roman" w:eastAsia="Times New Roman" w:hAnsi="Times New Roman"/>
          <w:sz w:val="24"/>
        </w:rPr>
        <w:t xml:space="preserve">may have other purposes, </w:t>
      </w:r>
      <w:r w:rsidRPr="00C034D5" w:rsidR="007E62DB">
        <w:rPr>
          <w:rFonts w:ascii="Times New Roman" w:eastAsia="Times New Roman" w:hAnsi="Times New Roman"/>
          <w:sz w:val="24"/>
        </w:rPr>
        <w:t xml:space="preserve">the Agency </w:t>
      </w:r>
      <w:r w:rsidRPr="00C034D5" w:rsidR="00BD1EB5">
        <w:rPr>
          <w:rFonts w:ascii="Times New Roman" w:eastAsia="Times New Roman" w:hAnsi="Times New Roman"/>
          <w:sz w:val="24"/>
        </w:rPr>
        <w:t xml:space="preserve">does not believe any RMP regulated facility should be exempt </w:t>
      </w:r>
      <w:r w:rsidRPr="00C034D5" w:rsidR="00823B0E">
        <w:rPr>
          <w:rFonts w:ascii="Times New Roman" w:eastAsia="Times New Roman" w:hAnsi="Times New Roman"/>
          <w:sz w:val="24"/>
        </w:rPr>
        <w:t xml:space="preserve">from this RMP requirement. </w:t>
      </w:r>
      <w:r w:rsidR="006629DA">
        <w:rPr>
          <w:rFonts w:ascii="Times New Roman" w:eastAsia="Times New Roman" w:hAnsi="Times New Roman"/>
          <w:sz w:val="24"/>
        </w:rPr>
        <w:t>A</w:t>
      </w:r>
      <w:r w:rsidRPr="00A06185" w:rsidR="00DC41CE">
        <w:rPr>
          <w:rFonts w:ascii="Times New Roman" w:eastAsia="Times New Roman" w:hAnsi="Times New Roman"/>
          <w:sz w:val="24"/>
        </w:rPr>
        <w:t xml:space="preserve"> facility is welcome to augment an existing plan with the required program elements to reduce their administrative burden.</w:t>
      </w:r>
      <w:r w:rsidRPr="4136E87B" w:rsidR="00A06185">
        <w:rPr>
          <w:rFonts w:ascii="Times New Roman" w:eastAsia="Times New Roman" w:hAnsi="Times New Roman"/>
          <w:sz w:val="24"/>
        </w:rPr>
        <w:t xml:space="preserve"> </w:t>
      </w:r>
      <w:r w:rsidRPr="4136E87B" w:rsidR="28281BE9">
        <w:rPr>
          <w:rFonts w:ascii="Times New Roman" w:eastAsia="Times New Roman" w:hAnsi="Times New Roman"/>
          <w:sz w:val="24"/>
        </w:rPr>
        <w:t xml:space="preserve">To the extent that planning activities under AWIA or other programs </w:t>
      </w:r>
      <w:r w:rsidRPr="4136E87B" w:rsidR="0DE124E6">
        <w:rPr>
          <w:rFonts w:ascii="Times New Roman" w:eastAsia="Times New Roman" w:hAnsi="Times New Roman"/>
          <w:sz w:val="24"/>
        </w:rPr>
        <w:t>address the risks of natural hazards on RMP processes required to be assessed under the SC</w:t>
      </w:r>
      <w:r w:rsidRPr="4136E87B" w:rsidR="52686E59">
        <w:rPr>
          <w:rFonts w:ascii="Times New Roman" w:eastAsia="Times New Roman" w:hAnsi="Times New Roman"/>
          <w:sz w:val="24"/>
        </w:rPr>
        <w:t>CAP rule amendments</w:t>
      </w:r>
      <w:r w:rsidRPr="4136E87B" w:rsidR="0DE124E6">
        <w:rPr>
          <w:rFonts w:ascii="Times New Roman" w:eastAsia="Times New Roman" w:hAnsi="Times New Roman"/>
          <w:sz w:val="24"/>
        </w:rPr>
        <w:t xml:space="preserve">, owners and operators </w:t>
      </w:r>
      <w:r w:rsidRPr="4136E87B" w:rsidR="4FDB75C4">
        <w:rPr>
          <w:rFonts w:ascii="Times New Roman" w:eastAsia="Times New Roman" w:hAnsi="Times New Roman"/>
          <w:sz w:val="24"/>
        </w:rPr>
        <w:t>may rely on activities under those other programs developing RMP compliance pr</w:t>
      </w:r>
      <w:r w:rsidRPr="4136E87B" w:rsidR="76422A65">
        <w:rPr>
          <w:rFonts w:ascii="Times New Roman" w:eastAsia="Times New Roman" w:hAnsi="Times New Roman"/>
          <w:sz w:val="24"/>
        </w:rPr>
        <w:t>ograms</w:t>
      </w:r>
      <w:r w:rsidR="009945C5">
        <w:rPr>
          <w:rFonts w:ascii="Times New Roman" w:eastAsia="Times New Roman" w:hAnsi="Times New Roman"/>
          <w:sz w:val="24"/>
        </w:rPr>
        <w:t>.</w:t>
      </w:r>
    </w:p>
    <w:bookmarkEnd w:id="26"/>
    <w:p w:rsidR="00D43808" w:rsidRPr="00676E47" w:rsidP="00D43808" w14:paraId="2751672E" w14:textId="77777777">
      <w:pPr>
        <w:rPr>
          <w:rFonts w:ascii="Times New Roman" w:hAnsi="Times New Roman"/>
          <w:i/>
          <w:iCs/>
          <w:sz w:val="24"/>
        </w:rPr>
      </w:pPr>
      <w:r>
        <w:rPr>
          <w:rFonts w:ascii="Times New Roman" w:hAnsi="Times New Roman"/>
          <w:i/>
          <w:iCs/>
          <w:sz w:val="24"/>
        </w:rPr>
        <w:t>Comments on specific language in the proposed rule</w:t>
      </w:r>
    </w:p>
    <w:p w:rsidR="00D43808" w:rsidRPr="00BB75DA" w:rsidP="00D43808" w14:paraId="78F029FF" w14:textId="0E6BE321">
      <w:pPr>
        <w:rPr>
          <w:rFonts w:ascii="Times New Roman" w:hAnsi="Times New Roman"/>
          <w:b/>
          <w:sz w:val="24"/>
        </w:rPr>
      </w:pPr>
      <w:r>
        <w:rPr>
          <w:rFonts w:ascii="Times New Roman" w:hAnsi="Times New Roman"/>
          <w:b/>
          <w:bCs/>
          <w:sz w:val="24"/>
        </w:rPr>
        <w:t>Comment 2.1-1</w:t>
      </w:r>
      <w:r w:rsidR="003F057C">
        <w:rPr>
          <w:rFonts w:ascii="Times New Roman" w:hAnsi="Times New Roman"/>
          <w:b/>
          <w:bCs/>
          <w:sz w:val="24"/>
        </w:rPr>
        <w:t>0</w:t>
      </w:r>
      <w:r>
        <w:rPr>
          <w:rFonts w:ascii="Times New Roman" w:hAnsi="Times New Roman"/>
          <w:b/>
          <w:bCs/>
          <w:sz w:val="24"/>
        </w:rPr>
        <w:t xml:space="preserve">: </w:t>
      </w:r>
      <w:r w:rsidRPr="1FC23F69">
        <w:rPr>
          <w:rFonts w:ascii="Times New Roman" w:eastAsia="Times New Roman" w:hAnsi="Times New Roman"/>
          <w:color w:val="000000" w:themeColor="text1"/>
          <w:sz w:val="24"/>
        </w:rPr>
        <w:t xml:space="preserve">A couple of commenters expressed support for the inclusion of natural hazard analysis but recommended that EPA clarify the language in the </w:t>
      </w:r>
      <w:r>
        <w:rPr>
          <w:rFonts w:ascii="Times New Roman" w:eastAsia="Times New Roman" w:hAnsi="Times New Roman"/>
          <w:color w:val="000000" w:themeColor="text1"/>
          <w:sz w:val="24"/>
        </w:rPr>
        <w:t>pr</w:t>
      </w:r>
      <w:r w:rsidRPr="1FC23F69">
        <w:rPr>
          <w:rFonts w:ascii="Times New Roman" w:eastAsia="Times New Roman" w:hAnsi="Times New Roman"/>
          <w:color w:val="000000" w:themeColor="text1"/>
          <w:sz w:val="24"/>
        </w:rPr>
        <w:t xml:space="preserve">oposed </w:t>
      </w:r>
      <w:r>
        <w:rPr>
          <w:rFonts w:ascii="Times New Roman" w:eastAsia="Times New Roman" w:hAnsi="Times New Roman"/>
          <w:color w:val="000000" w:themeColor="text1"/>
          <w:sz w:val="24"/>
        </w:rPr>
        <w:t>ru</w:t>
      </w:r>
      <w:r w:rsidRPr="1FC23F69">
        <w:rPr>
          <w:rFonts w:ascii="Times New Roman" w:eastAsia="Times New Roman" w:hAnsi="Times New Roman"/>
          <w:color w:val="000000" w:themeColor="text1"/>
          <w:sz w:val="24"/>
        </w:rPr>
        <w:t xml:space="preserve">le to better define natural hazards and climate-related hazards (0207, 0266). </w:t>
      </w:r>
      <w:r w:rsidRPr="1FC23F69">
        <w:rPr>
          <w:rFonts w:ascii="Times New Roman" w:eastAsia="Times New Roman" w:hAnsi="Times New Roman"/>
          <w:color w:val="000000" w:themeColor="text1"/>
          <w:sz w:val="24"/>
        </w:rPr>
        <w:t xml:space="preserve">One of the commenters suggested that the definition of natural hazards assessments provided in the </w:t>
      </w:r>
      <w:r w:rsidRPr="00FB2AD4">
        <w:rPr>
          <w:rFonts w:ascii="Times New Roman" w:eastAsia="Times New Roman" w:hAnsi="Times New Roman"/>
          <w:color w:val="000000" w:themeColor="text1"/>
          <w:sz w:val="24"/>
        </w:rPr>
        <w:t>Center for Chemical Process Safety’s (</w:t>
      </w:r>
      <w:r w:rsidRPr="1FC23F69">
        <w:rPr>
          <w:rFonts w:ascii="Times New Roman" w:eastAsia="Times New Roman" w:hAnsi="Times New Roman"/>
          <w:color w:val="000000" w:themeColor="text1"/>
          <w:sz w:val="24"/>
        </w:rPr>
        <w:t>CCPS</w:t>
      </w:r>
      <w:r w:rsidRPr="00FB2AD4">
        <w:rPr>
          <w:rFonts w:ascii="Times New Roman" w:eastAsia="Times New Roman" w:hAnsi="Times New Roman"/>
          <w:color w:val="000000" w:themeColor="text1"/>
          <w:sz w:val="24"/>
        </w:rPr>
        <w:t>)</w:t>
      </w:r>
      <w:r w:rsidRPr="1FC23F69">
        <w:rPr>
          <w:rFonts w:ascii="Times New Roman" w:eastAsia="Times New Roman" w:hAnsi="Times New Roman"/>
          <w:color w:val="000000" w:themeColor="text1"/>
          <w:sz w:val="24"/>
        </w:rPr>
        <w:t xml:space="preserve"> </w:t>
      </w:r>
      <w:r w:rsidRPr="00FB2AD4">
        <w:rPr>
          <w:rFonts w:ascii="Times New Roman" w:eastAsia="Times New Roman" w:hAnsi="Times New Roman"/>
          <w:color w:val="000000" w:themeColor="text1"/>
          <w:sz w:val="24"/>
        </w:rPr>
        <w:t>“</w:t>
      </w:r>
      <w:r w:rsidRPr="1FC23F69">
        <w:rPr>
          <w:rFonts w:ascii="Times New Roman" w:eastAsia="Times New Roman" w:hAnsi="Times New Roman"/>
          <w:color w:val="000000" w:themeColor="text1"/>
          <w:sz w:val="24"/>
        </w:rPr>
        <w:t>Guidelines for Hazard Evaluation Procedures</w:t>
      </w:r>
      <w:r w:rsidRPr="00FB2AD4">
        <w:rPr>
          <w:rFonts w:ascii="Times New Roman" w:eastAsia="Times New Roman" w:hAnsi="Times New Roman"/>
          <w:color w:val="000000" w:themeColor="text1"/>
          <w:sz w:val="24"/>
        </w:rPr>
        <w:t>”</w:t>
      </w:r>
      <w:r w:rsidRPr="1FC23F69">
        <w:rPr>
          <w:rFonts w:ascii="Times New Roman" w:eastAsia="Times New Roman" w:hAnsi="Times New Roman"/>
          <w:color w:val="000000" w:themeColor="text1"/>
          <w:sz w:val="24"/>
        </w:rPr>
        <w:t xml:space="preserve"> 3</w:t>
      </w:r>
      <w:r w:rsidRPr="00FB2AD4">
        <w:rPr>
          <w:rFonts w:ascii="Times New Roman" w:eastAsia="Times New Roman" w:hAnsi="Times New Roman"/>
          <w:color w:val="000000" w:themeColor="text1"/>
          <w:sz w:val="24"/>
        </w:rPr>
        <w:t>r</w:t>
      </w:r>
      <w:r w:rsidRPr="1FC23F69">
        <w:rPr>
          <w:rFonts w:ascii="Times New Roman" w:eastAsia="Times New Roman" w:hAnsi="Times New Roman"/>
          <w:color w:val="000000" w:themeColor="text1"/>
          <w:sz w:val="24"/>
        </w:rPr>
        <w:t>d ed</w:t>
      </w:r>
      <w:r w:rsidRPr="00FB2AD4">
        <w:rPr>
          <w:rFonts w:ascii="Times New Roman" w:eastAsia="Times New Roman" w:hAnsi="Times New Roman"/>
          <w:color w:val="000000" w:themeColor="text1"/>
          <w:sz w:val="24"/>
        </w:rPr>
        <w:t>ition</w:t>
      </w:r>
      <w:r w:rsidRPr="1FC23F69">
        <w:rPr>
          <w:rFonts w:ascii="Times New Roman" w:eastAsia="Times New Roman" w:hAnsi="Times New Roman"/>
          <w:color w:val="000000" w:themeColor="text1"/>
          <w:sz w:val="24"/>
        </w:rPr>
        <w:t xml:space="preserve"> </w:t>
      </w:r>
      <w:r w:rsidRPr="00FB2AD4">
        <w:rPr>
          <w:rFonts w:ascii="Times New Roman" w:eastAsia="Times New Roman" w:hAnsi="Times New Roman"/>
          <w:color w:val="000000" w:themeColor="text1"/>
          <w:sz w:val="24"/>
        </w:rPr>
        <w:t>(</w:t>
      </w:r>
      <w:r w:rsidRPr="1FC23F69">
        <w:rPr>
          <w:rFonts w:ascii="Times New Roman" w:eastAsia="Times New Roman" w:hAnsi="Times New Roman"/>
          <w:color w:val="000000" w:themeColor="text1"/>
          <w:sz w:val="24"/>
        </w:rPr>
        <w:t>2008) is suitable (0207).</w:t>
      </w:r>
      <w:r w:rsidRPr="1FC23F69">
        <w:rPr>
          <w:rFonts w:ascii="Times New Roman" w:eastAsia="Times New Roman" w:hAnsi="Times New Roman"/>
          <w:strike/>
          <w:color w:val="D13438"/>
          <w:sz w:val="24"/>
        </w:rPr>
        <w:t xml:space="preserve"> </w:t>
      </w:r>
    </w:p>
    <w:p w:rsidR="00D43808" w:rsidRPr="00882106" w:rsidP="00D43808" w14:paraId="3088171F" w14:textId="5E16E82D">
      <w:pPr>
        <w:ind w:left="720"/>
        <w:rPr>
          <w:rFonts w:ascii="Times New Roman" w:eastAsia="Times New Roman" w:hAnsi="Times New Roman"/>
          <w:sz w:val="24"/>
        </w:rPr>
      </w:pPr>
      <w:r w:rsidRPr="00BC1415">
        <w:rPr>
          <w:rFonts w:ascii="Times New Roman" w:eastAsia="Times New Roman" w:hAnsi="Times New Roman"/>
          <w:b/>
          <w:bCs/>
          <w:sz w:val="24"/>
        </w:rPr>
        <w:t>EPA Response:</w:t>
      </w:r>
      <w:r>
        <w:rPr>
          <w:rFonts w:ascii="Times New Roman" w:eastAsia="Times New Roman" w:hAnsi="Times New Roman"/>
          <w:sz w:val="24"/>
        </w:rPr>
        <w:t xml:space="preserve"> </w:t>
      </w:r>
      <w:r w:rsidRPr="00BC1415">
        <w:rPr>
          <w:rFonts w:ascii="Times New Roman" w:eastAsia="Times New Roman" w:hAnsi="Times New Roman"/>
          <w:sz w:val="24"/>
        </w:rPr>
        <w:t xml:space="preserve">In response to the comments requesting that EPA better define natural hazards and climate-related hazards, EPA notes that </w:t>
      </w:r>
      <w:r w:rsidR="008C2DB8">
        <w:rPr>
          <w:rFonts w:ascii="Times New Roman" w:eastAsia="Times New Roman" w:hAnsi="Times New Roman"/>
          <w:sz w:val="24"/>
        </w:rPr>
        <w:t>it has revised its definition to be more closely aligned with language used in the Federal Emergency Management Agency’s (FEMA) National Risk Index (NRI)</w:t>
      </w:r>
      <w:r>
        <w:rPr>
          <w:rStyle w:val="FootnoteReference"/>
          <w:rFonts w:ascii="Times New Roman" w:eastAsia="Times New Roman" w:hAnsi="Times New Roman"/>
          <w:sz w:val="24"/>
        </w:rPr>
        <w:footnoteReference w:id="26"/>
      </w:r>
      <w:r w:rsidR="008C2DB8">
        <w:rPr>
          <w:rFonts w:ascii="Times New Roman" w:eastAsia="Times New Roman" w:hAnsi="Times New Roman"/>
          <w:sz w:val="24"/>
        </w:rPr>
        <w:t xml:space="preserve"> and Climate Essentials for Emergency Managers</w:t>
      </w:r>
      <w:r>
        <w:rPr>
          <w:rStyle w:val="FootnoteReference"/>
          <w:rFonts w:ascii="Times New Roman" w:eastAsia="Times New Roman" w:hAnsi="Times New Roman"/>
          <w:sz w:val="24"/>
        </w:rPr>
        <w:footnoteReference w:id="27"/>
      </w:r>
      <w:r w:rsidR="00275B4F">
        <w:rPr>
          <w:rFonts w:ascii="Times New Roman" w:eastAsia="Times New Roman" w:hAnsi="Times New Roman"/>
          <w:sz w:val="24"/>
        </w:rPr>
        <w:t xml:space="preserve"> resources. For this final rule, EPA is defining natural hazards to mean meteorological, climatological, environmental, or geological phenomena that have the potential for negative impact, accounting for impacts due to climate change. Examples of such hazards include, but are not limited to, avalanche, coastal flooding, cold wave, drought, earthquake, hail, heat wave, hurricane, ice storm, landslide, lightning, riverine flooding, strong wind, tornado, tsunami, volcanic activity, wildfire, and winter weather. </w:t>
      </w:r>
      <w:r w:rsidR="00275B4F">
        <w:rPr>
          <w:rFonts w:ascii="Times New Roman" w:eastAsia="Times New Roman" w:hAnsi="Times New Roman"/>
          <w:sz w:val="24"/>
        </w:rPr>
        <w:t>EPA believes CCPS’ definition and guidance</w:t>
      </w:r>
      <w:r>
        <w:rPr>
          <w:rStyle w:val="FootnoteReference"/>
          <w:rFonts w:ascii="Times New Roman" w:eastAsia="Times New Roman" w:hAnsi="Times New Roman"/>
          <w:sz w:val="24"/>
        </w:rPr>
        <w:footnoteReference w:id="28"/>
      </w:r>
      <w:r w:rsidR="00F05F0E">
        <w:rPr>
          <w:rFonts w:ascii="Times New Roman" w:eastAsia="Times New Roman" w:hAnsi="Times New Roman"/>
          <w:sz w:val="24"/>
        </w:rPr>
        <w:t xml:space="preserve"> presented in the SCCAP proposal, is still useful for facilities’ evaluation of natural hazards for process safety, however, the Agency believes these FEMA resources reflect a more comprehensive base to identify, evaluate and understand relative natural hazard risk, particularly how natural hazards must account for a changing climate. For example, the NRI identifies 18 specific natural hazards, which EPA has identified in its definition, that are further supported as their designation as natural hazards and are able to be represented in terms of expected annual loss, which incorporate data exposure, annualized frequency, and historic loss ratio.</w:t>
      </w:r>
      <w:r>
        <w:rPr>
          <w:rStyle w:val="FootnoteReference"/>
          <w:rFonts w:ascii="Times New Roman" w:eastAsia="Times New Roman" w:hAnsi="Times New Roman"/>
          <w:sz w:val="24"/>
        </w:rPr>
        <w:footnoteReference w:id="29"/>
      </w:r>
      <w:r w:rsidR="00CA7BF3">
        <w:rPr>
          <w:rFonts w:ascii="Times New Roman" w:eastAsia="Times New Roman" w:hAnsi="Times New Roman"/>
          <w:sz w:val="24"/>
        </w:rPr>
        <w:t xml:space="preserve"> Additionally, the Climate Essentials for Emergency Managers points to many climate change resources including the Climate Risk &amp; Resilience Portal</w:t>
      </w:r>
      <w:r>
        <w:rPr>
          <w:rStyle w:val="FootnoteReference"/>
          <w:rFonts w:ascii="Times New Roman" w:eastAsia="Times New Roman" w:hAnsi="Times New Roman"/>
          <w:sz w:val="24"/>
        </w:rPr>
        <w:footnoteReference w:id="30"/>
      </w:r>
      <w:r w:rsidR="009C248B">
        <w:rPr>
          <w:rFonts w:ascii="Times New Roman" w:eastAsia="Times New Roman" w:hAnsi="Times New Roman"/>
          <w:sz w:val="24"/>
        </w:rPr>
        <w:t xml:space="preserve"> and the Climate Mapping for Adaption and Resilience Tool</w:t>
      </w:r>
      <w:r>
        <w:rPr>
          <w:rStyle w:val="FootnoteReference"/>
          <w:rFonts w:ascii="Times New Roman" w:eastAsia="Times New Roman" w:hAnsi="Times New Roman"/>
          <w:sz w:val="24"/>
        </w:rPr>
        <w:footnoteReference w:id="31"/>
      </w:r>
      <w:r w:rsidR="00EA0CD0">
        <w:rPr>
          <w:rFonts w:ascii="Times New Roman" w:eastAsia="Times New Roman" w:hAnsi="Times New Roman"/>
          <w:sz w:val="24"/>
        </w:rPr>
        <w:t xml:space="preserve"> that allows users to examine simulated future climate conditions associated with the natural hazards identified in the NRI. </w:t>
      </w:r>
      <w:r w:rsidR="00965E1D">
        <w:rPr>
          <w:rFonts w:ascii="Times New Roman" w:eastAsia="Times New Roman" w:hAnsi="Times New Roman"/>
          <w:sz w:val="24"/>
        </w:rPr>
        <w:t xml:space="preserve"> </w:t>
      </w:r>
    </w:p>
    <w:p w:rsidR="00D43808" w:rsidP="00D43808" w14:paraId="6FEBC0EC" w14:textId="1AC66626">
      <w:pPr>
        <w:rPr>
          <w:rFonts w:ascii="Times New Roman" w:hAnsi="Times New Roman"/>
          <w:sz w:val="24"/>
        </w:rPr>
      </w:pPr>
      <w:r>
        <w:rPr>
          <w:rFonts w:ascii="Times New Roman" w:hAnsi="Times New Roman"/>
          <w:b/>
          <w:bCs/>
          <w:sz w:val="24"/>
        </w:rPr>
        <w:t>Comment 2.1-1</w:t>
      </w:r>
      <w:r w:rsidR="003F057C">
        <w:rPr>
          <w:rFonts w:ascii="Times New Roman" w:hAnsi="Times New Roman"/>
          <w:b/>
          <w:bCs/>
          <w:sz w:val="24"/>
        </w:rPr>
        <w:t>1</w:t>
      </w:r>
      <w:r>
        <w:rPr>
          <w:rFonts w:ascii="Times New Roman" w:hAnsi="Times New Roman"/>
          <w:b/>
          <w:bCs/>
          <w:sz w:val="24"/>
        </w:rPr>
        <w:t>:</w:t>
      </w:r>
      <w:r>
        <w:rPr>
          <w:rFonts w:ascii="Times New Roman" w:hAnsi="Times New Roman"/>
          <w:b/>
          <w:sz w:val="24"/>
        </w:rPr>
        <w:t xml:space="preserve"> </w:t>
      </w:r>
      <w:r w:rsidRPr="346221EF">
        <w:rPr>
          <w:rFonts w:ascii="Times New Roman" w:hAnsi="Times New Roman"/>
          <w:sz w:val="24"/>
        </w:rPr>
        <w:t>S</w:t>
      </w:r>
      <w:r>
        <w:rPr>
          <w:rFonts w:ascii="Times New Roman" w:hAnsi="Times New Roman"/>
          <w:sz w:val="24"/>
        </w:rPr>
        <w:t>everal</w:t>
      </w:r>
      <w:r w:rsidRPr="346221EF">
        <w:rPr>
          <w:rFonts w:ascii="Times New Roman" w:hAnsi="Times New Roman"/>
          <w:sz w:val="24"/>
        </w:rPr>
        <w:t xml:space="preserve"> commenters</w:t>
      </w:r>
      <w:r>
        <w:rPr>
          <w:rFonts w:ascii="Times New Roman" w:hAnsi="Times New Roman"/>
          <w:sz w:val="24"/>
        </w:rPr>
        <w:t xml:space="preserve"> requested</w:t>
      </w:r>
      <w:r w:rsidRPr="346221EF">
        <w:rPr>
          <w:rFonts w:ascii="Times New Roman" w:hAnsi="Times New Roman"/>
          <w:sz w:val="24"/>
        </w:rPr>
        <w:t xml:space="preserve"> that EPA provide a clear, specific, and narrow definition for the types of events that will be covered by the new definition of natural hazards and climate change (0239, 0243, 0268, 0272). A couple of commenters indicated the vague language raises due process concerns and could result in litigation from outside groups (0239, 0272).</w:t>
      </w:r>
      <w:r w:rsidRPr="18628931">
        <w:rPr>
          <w:rFonts w:ascii="Times New Roman" w:hAnsi="Times New Roman"/>
          <w:sz w:val="24"/>
        </w:rPr>
        <w:t xml:space="preserve"> </w:t>
      </w:r>
    </w:p>
    <w:p w:rsidR="00D43808" w:rsidRPr="00BB75DA" w:rsidP="00D43808" w14:paraId="42551492" w14:textId="77777777">
      <w:pPr>
        <w:rPr>
          <w:rFonts w:ascii="Times New Roman" w:hAnsi="Times New Roman"/>
          <w:b/>
          <w:sz w:val="24"/>
        </w:rPr>
      </w:pPr>
      <w:r w:rsidRPr="1D41EEAE">
        <w:rPr>
          <w:rFonts w:ascii="Times New Roman" w:hAnsi="Times New Roman"/>
          <w:sz w:val="24"/>
        </w:rPr>
        <w:t>One commenter s</w:t>
      </w:r>
      <w:r>
        <w:rPr>
          <w:rFonts w:ascii="Times New Roman" w:hAnsi="Times New Roman"/>
          <w:sz w:val="24"/>
        </w:rPr>
        <w:t>uggested</w:t>
      </w:r>
      <w:r w:rsidRPr="1D41EEAE">
        <w:rPr>
          <w:rFonts w:ascii="Times New Roman" w:hAnsi="Times New Roman"/>
          <w:sz w:val="24"/>
        </w:rPr>
        <w:t xml:space="preserve"> that the reference to external events be removed because it is an undefined and vague term. The commenter added that the proposed requirement that the PHA include natural hazards “caused by climate change or other triggering events” is overly broad in that it appears to include events that go well beyond the proposed definition of natural hazards. The commenter stated that these broadly</w:t>
      </w:r>
      <w:r>
        <w:rPr>
          <w:rFonts w:ascii="Times New Roman" w:hAnsi="Times New Roman"/>
          <w:sz w:val="24"/>
        </w:rPr>
        <w:t>-</w:t>
      </w:r>
      <w:r w:rsidRPr="1D41EEAE">
        <w:rPr>
          <w:rFonts w:ascii="Times New Roman" w:hAnsi="Times New Roman"/>
          <w:sz w:val="24"/>
        </w:rPr>
        <w:t xml:space="preserve">defined and ambiguous terms in the regulatory text could lead to an infinite list of external events and associated recommendations from the PHA a facility must consider. </w:t>
      </w:r>
      <w:r>
        <w:rPr>
          <w:rFonts w:ascii="Times New Roman" w:hAnsi="Times New Roman"/>
          <w:sz w:val="24"/>
        </w:rPr>
        <w:t>Similarly, the commenter stated that</w:t>
      </w:r>
      <w:r w:rsidRPr="006F68E9">
        <w:rPr>
          <w:rFonts w:ascii="Times New Roman" w:hAnsi="Times New Roman"/>
          <w:sz w:val="24"/>
        </w:rPr>
        <w:t xml:space="preserve"> the term “climate change and other triggering events” could result in inspectors having multiple findings of things that were outside of what the facility considered a results of climate change</w:t>
      </w:r>
      <w:r>
        <w:rPr>
          <w:rFonts w:ascii="Times New Roman" w:hAnsi="Times New Roman"/>
          <w:sz w:val="24"/>
        </w:rPr>
        <w:t xml:space="preserve">. </w:t>
      </w:r>
      <w:r w:rsidRPr="1D41EEAE">
        <w:rPr>
          <w:rFonts w:ascii="Times New Roman" w:hAnsi="Times New Roman"/>
          <w:sz w:val="24"/>
        </w:rPr>
        <w:t xml:space="preserve">The commenter urged </w:t>
      </w:r>
      <w:r>
        <w:rPr>
          <w:rFonts w:ascii="Times New Roman" w:hAnsi="Times New Roman"/>
          <w:sz w:val="24"/>
        </w:rPr>
        <w:t xml:space="preserve">EPA to provide </w:t>
      </w:r>
      <w:r w:rsidRPr="1D41EEAE">
        <w:rPr>
          <w:rFonts w:ascii="Times New Roman" w:hAnsi="Times New Roman"/>
          <w:sz w:val="24"/>
        </w:rPr>
        <w:t>much-needed clarity and explanation for the proposed language</w:t>
      </w:r>
      <w:r>
        <w:rPr>
          <w:rFonts w:ascii="Times New Roman" w:hAnsi="Times New Roman"/>
          <w:sz w:val="24"/>
        </w:rPr>
        <w:t xml:space="preserve"> </w:t>
      </w:r>
      <w:r w:rsidRPr="006F68E9">
        <w:rPr>
          <w:rFonts w:ascii="Times New Roman" w:hAnsi="Times New Roman"/>
          <w:sz w:val="24"/>
        </w:rPr>
        <w:t xml:space="preserve">(0268). </w:t>
      </w:r>
    </w:p>
    <w:p w:rsidR="00D43808" w:rsidP="00D43808" w14:paraId="5503022D" w14:textId="77777777">
      <w:pPr>
        <w:rPr>
          <w:rFonts w:ascii="Times New Roman" w:hAnsi="Times New Roman"/>
          <w:sz w:val="24"/>
        </w:rPr>
      </w:pPr>
      <w:r w:rsidRPr="1D41EEAE">
        <w:rPr>
          <w:rFonts w:ascii="Times New Roman" w:hAnsi="Times New Roman"/>
          <w:sz w:val="24"/>
        </w:rPr>
        <w:t xml:space="preserve">A few commenters raised concerns about the long list of possible events facilities would have to assess and the lack of staff expertise to assess impacts (0207, 0237, 0261). One of the commenters </w:t>
      </w:r>
      <w:r>
        <w:rPr>
          <w:rFonts w:ascii="Times New Roman" w:hAnsi="Times New Roman"/>
          <w:sz w:val="24"/>
        </w:rPr>
        <w:t>asserted</w:t>
      </w:r>
      <w:r w:rsidRPr="1D41EEAE">
        <w:rPr>
          <w:rFonts w:ascii="Times New Roman" w:hAnsi="Times New Roman"/>
          <w:sz w:val="24"/>
        </w:rPr>
        <w:t xml:space="preserve"> that the language is too broad and could be interpreted to also include events like terrorist attacks, riots, lightning strikes, or airplane crashes (0207). Another commenter suggested that EPA revise language in the proposed rule and refer to “reasonably foreseeable” or “applicable natural hazards” to prevent facilities from assessing impacts from potential natural hazards that are unlikely in their area, such as blizzards in Florida or tsunamis in Ohio (0275). One commenter </w:t>
      </w:r>
      <w:r>
        <w:rPr>
          <w:rFonts w:ascii="Times New Roman" w:hAnsi="Times New Roman"/>
          <w:sz w:val="24"/>
        </w:rPr>
        <w:t>asserted</w:t>
      </w:r>
      <w:r w:rsidRPr="1D41EEAE">
        <w:rPr>
          <w:rFonts w:ascii="Times New Roman" w:hAnsi="Times New Roman"/>
          <w:sz w:val="24"/>
        </w:rPr>
        <w:t xml:space="preserve"> that the vague definition creates the possibility of non-compliance based on unknown or uncertain events (0261). </w:t>
      </w:r>
    </w:p>
    <w:p w:rsidR="00D43808" w:rsidP="00D43808" w14:paraId="6F7749B8" w14:textId="77777777">
      <w:pPr>
        <w:rPr>
          <w:rFonts w:ascii="Times New Roman" w:hAnsi="Times New Roman"/>
          <w:sz w:val="24"/>
        </w:rPr>
      </w:pPr>
      <w:r w:rsidRPr="006F68E9">
        <w:rPr>
          <w:rFonts w:ascii="Times New Roman" w:hAnsi="Times New Roman"/>
          <w:sz w:val="24"/>
        </w:rPr>
        <w:t>A couple of commenters noted that the definition of “climate change” is vague and requires additional clarification (0184, 0253). One of the commenters</w:t>
      </w:r>
      <w:r>
        <w:rPr>
          <w:rFonts w:ascii="Times New Roman" w:hAnsi="Times New Roman"/>
          <w:sz w:val="24"/>
        </w:rPr>
        <w:t xml:space="preserve"> (0253)</w:t>
      </w:r>
      <w:r w:rsidRPr="006F68E9">
        <w:rPr>
          <w:rFonts w:ascii="Times New Roman" w:hAnsi="Times New Roman"/>
          <w:sz w:val="24"/>
        </w:rPr>
        <w:t xml:space="preserve"> noted that EPA does not provide a definition of “climate change” and what should be addressed in an assessment.</w:t>
      </w:r>
      <w:r>
        <w:rPr>
          <w:rFonts w:ascii="Times New Roman" w:hAnsi="Times New Roman"/>
          <w:sz w:val="24"/>
        </w:rPr>
        <w:t xml:space="preserve"> Conversely, a</w:t>
      </w:r>
      <w:r w:rsidRPr="006F68E9">
        <w:rPr>
          <w:rFonts w:ascii="Times New Roman" w:hAnsi="Times New Roman"/>
          <w:sz w:val="24"/>
        </w:rPr>
        <w:t xml:space="preserve"> couple of commenters suggested that the regulatory language “caused by climate </w:t>
      </w:r>
      <w:r w:rsidRPr="006F68E9">
        <w:rPr>
          <w:rFonts w:ascii="Times New Roman" w:hAnsi="Times New Roman"/>
          <w:sz w:val="24"/>
        </w:rPr>
        <w:t>change” is too narrow and may exclude the consideration of some extreme events since it may be difficult to prove that an event was caused by climate change. The commenter recommended that EPA broaden the regulatory language to refer to natural hazards that are “caused or exacerbated by climate change” (0266, 0444).</w:t>
      </w:r>
      <w:r>
        <w:rPr>
          <w:rFonts w:ascii="Times New Roman" w:hAnsi="Times New Roman"/>
          <w:sz w:val="24"/>
        </w:rPr>
        <w:t xml:space="preserve"> </w:t>
      </w:r>
    </w:p>
    <w:p w:rsidR="00D43808" w:rsidRPr="00FC7142" w:rsidP="00D43808" w14:paraId="4E53FBB9" w14:textId="77777777">
      <w:pPr>
        <w:rPr>
          <w:rFonts w:ascii="Times New Roman" w:hAnsi="Times New Roman"/>
          <w:b/>
          <w:sz w:val="24"/>
        </w:rPr>
      </w:pPr>
      <w:r>
        <w:rPr>
          <w:rFonts w:ascii="Times New Roman" w:hAnsi="Times New Roman"/>
          <w:sz w:val="24"/>
        </w:rPr>
        <w:t>One</w:t>
      </w:r>
      <w:r w:rsidRPr="006F68E9">
        <w:rPr>
          <w:rFonts w:ascii="Times New Roman" w:hAnsi="Times New Roman"/>
          <w:sz w:val="24"/>
        </w:rPr>
        <w:t xml:space="preserve"> commenter recommended using “extreme weather events” in lieu of “those caused by climate change” in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due to the uncertainty of the types of effects of climate change (0193)</w:t>
      </w:r>
      <w:r>
        <w:rPr>
          <w:rFonts w:ascii="Times New Roman" w:hAnsi="Times New Roman"/>
          <w:sz w:val="24"/>
        </w:rPr>
        <w:t xml:space="preserve">. </w:t>
      </w:r>
      <w:r w:rsidRPr="006F68E9">
        <w:rPr>
          <w:rFonts w:ascii="Times New Roman" w:hAnsi="Times New Roman"/>
          <w:sz w:val="24"/>
        </w:rPr>
        <w:t xml:space="preserve">Another commenter stated that there is no explanation how a facility can distinguish, or if it is required to distinguish, between weather events and “those caused by climate change” (0207). </w:t>
      </w:r>
    </w:p>
    <w:p w:rsidR="00D43808" w:rsidP="00D43808" w14:paraId="06ECC6FF" w14:textId="77777777">
      <w:pPr>
        <w:rPr>
          <w:rFonts w:ascii="Times New Roman" w:hAnsi="Times New Roman"/>
          <w:sz w:val="24"/>
        </w:rPr>
      </w:pPr>
      <w:r w:rsidRPr="0DD56BE9">
        <w:rPr>
          <w:rFonts w:ascii="Times New Roman" w:hAnsi="Times New Roman"/>
          <w:sz w:val="24"/>
        </w:rPr>
        <w:t xml:space="preserve">A couple of commenters </w:t>
      </w:r>
      <w:r>
        <w:rPr>
          <w:rFonts w:ascii="Times New Roman" w:hAnsi="Times New Roman"/>
          <w:sz w:val="24"/>
        </w:rPr>
        <w:t>stated</w:t>
      </w:r>
      <w:r w:rsidRPr="0DD56BE9">
        <w:rPr>
          <w:rFonts w:ascii="Times New Roman" w:hAnsi="Times New Roman"/>
          <w:sz w:val="24"/>
        </w:rPr>
        <w:t xml:space="preserve"> that EPA has provided no rationale for facilities to separately identify natural hazards caused by climate change, and there is no basis in the RMP to identify a cause of an external hazard, only to consider hazards to the process itself (0267, 0268).</w:t>
      </w:r>
    </w:p>
    <w:p w:rsidR="00D43808" w:rsidP="00D43808" w14:paraId="449ACF7F" w14:textId="12D499D8">
      <w:pPr>
        <w:ind w:left="720"/>
        <w:rPr>
          <w:rFonts w:ascii="Times New Roman" w:hAnsi="Times New Roman"/>
          <w:sz w:val="24"/>
        </w:rPr>
      </w:pPr>
      <w:r w:rsidRPr="009D324B">
        <w:rPr>
          <w:rFonts w:ascii="Times New Roman" w:hAnsi="Times New Roman"/>
          <w:b/>
          <w:sz w:val="24"/>
        </w:rPr>
        <w:t xml:space="preserve">EPA </w:t>
      </w:r>
      <w:r w:rsidRPr="431C74CC">
        <w:rPr>
          <w:rFonts w:ascii="Times New Roman" w:hAnsi="Times New Roman"/>
          <w:b/>
          <w:bCs/>
          <w:sz w:val="24"/>
        </w:rPr>
        <w:t>R</w:t>
      </w:r>
      <w:r w:rsidRPr="009D324B">
        <w:rPr>
          <w:rFonts w:ascii="Times New Roman" w:hAnsi="Times New Roman"/>
          <w:b/>
          <w:sz w:val="24"/>
        </w:rPr>
        <w:t>esponse</w:t>
      </w:r>
      <w:r>
        <w:rPr>
          <w:rFonts w:ascii="Times New Roman" w:hAnsi="Times New Roman"/>
          <w:b/>
          <w:bCs/>
          <w:sz w:val="24"/>
        </w:rPr>
        <w:t>:</w:t>
      </w:r>
      <w:r w:rsidRPr="009D324B">
        <w:rPr>
          <w:rFonts w:ascii="Times New Roman" w:hAnsi="Times New Roman"/>
          <w:b/>
          <w:sz w:val="24"/>
        </w:rPr>
        <w:t xml:space="preserve"> </w:t>
      </w:r>
      <w:r w:rsidRPr="1D41EEAE">
        <w:rPr>
          <w:rFonts w:ascii="Times New Roman" w:hAnsi="Times New Roman"/>
          <w:sz w:val="24"/>
        </w:rPr>
        <w:t>In response to the comment</w:t>
      </w:r>
      <w:r>
        <w:rPr>
          <w:rFonts w:ascii="Times New Roman" w:hAnsi="Times New Roman"/>
          <w:sz w:val="24"/>
        </w:rPr>
        <w:t>s</w:t>
      </w:r>
      <w:r w:rsidRPr="1D41EEAE">
        <w:rPr>
          <w:rFonts w:ascii="Times New Roman" w:hAnsi="Times New Roman"/>
          <w:sz w:val="24"/>
        </w:rPr>
        <w:t xml:space="preserve"> that the reference to external events should be removed because it is vague and overly broad, EPA acknowledges that analysis of external events may be broader than expected. EPA is therefore revising the proposed regulatory language in the final rule to focus on natural hazards rather than external hazards. Additionally, EPA is including “exacerbate” as an influence of an accident from natural hazards in addition to “cause” to further clarify the regulatory language. As a few commenters discussed, and EPA agrees, in some cases natural hazards can be a contributing factor for accidental releases, making them more extreme or likely, rather than causing them independently. </w:t>
      </w:r>
      <w:r w:rsidRPr="1D41EEAE">
        <w:rPr>
          <w:rFonts w:ascii="Times New Roman" w:hAnsi="Times New Roman"/>
          <w:sz w:val="24"/>
        </w:rPr>
        <w:t xml:space="preserve">Finally, EPA is removing the description of ‘climate </w:t>
      </w:r>
      <w:r w:rsidRPr="1D41EEAE">
        <w:rPr>
          <w:rFonts w:ascii="Times New Roman" w:hAnsi="Times New Roman"/>
          <w:sz w:val="24"/>
        </w:rPr>
        <w:t xml:space="preserve">change’ in the hazard evaluation regulatory language to eliminate redundancy, as </w:t>
      </w:r>
      <w:r w:rsidR="00C00FBE">
        <w:rPr>
          <w:rFonts w:ascii="Times New Roman" w:hAnsi="Times New Roman"/>
          <w:sz w:val="24"/>
        </w:rPr>
        <w:t>EPA is defining</w:t>
      </w:r>
      <w:r w:rsidR="00771BF2">
        <w:rPr>
          <w:rFonts w:ascii="Times New Roman" w:hAnsi="Times New Roman"/>
          <w:sz w:val="24"/>
        </w:rPr>
        <w:t xml:space="preserve"> </w:t>
      </w:r>
      <w:r w:rsidRPr="1D41EEAE">
        <w:rPr>
          <w:rFonts w:ascii="Times New Roman" w:hAnsi="Times New Roman"/>
          <w:sz w:val="24"/>
        </w:rPr>
        <w:t>natural hazard as</w:t>
      </w:r>
      <w:r w:rsidR="00771BF2">
        <w:rPr>
          <w:rFonts w:ascii="Times New Roman" w:hAnsi="Times New Roman"/>
          <w:sz w:val="24"/>
        </w:rPr>
        <w:t xml:space="preserve"> taking into account climate change impacts</w:t>
      </w:r>
      <w:r w:rsidRPr="1D41EEAE">
        <w:rPr>
          <w:rFonts w:ascii="Times New Roman" w:hAnsi="Times New Roman"/>
          <w:sz w:val="24"/>
        </w:rPr>
        <w:t>.</w:t>
      </w:r>
    </w:p>
    <w:p w:rsidR="00D43808" w:rsidRPr="00963919" w:rsidP="00D43808" w14:paraId="02171115" w14:textId="7B952665">
      <w:pPr>
        <w:rPr>
          <w:rFonts w:ascii="Times New Roman" w:hAnsi="Times New Roman"/>
          <w:b/>
          <w:sz w:val="24"/>
        </w:rPr>
      </w:pPr>
      <w:r w:rsidRPr="00963919">
        <w:rPr>
          <w:rFonts w:ascii="Times New Roman" w:hAnsi="Times New Roman"/>
          <w:b/>
          <w:sz w:val="24"/>
        </w:rPr>
        <w:t>Comment 2.1-</w:t>
      </w:r>
      <w:r>
        <w:rPr>
          <w:rFonts w:ascii="Times New Roman" w:hAnsi="Times New Roman"/>
          <w:b/>
          <w:sz w:val="24"/>
        </w:rPr>
        <w:t>1</w:t>
      </w:r>
      <w:r w:rsidR="003F057C">
        <w:rPr>
          <w:rFonts w:ascii="Times New Roman" w:hAnsi="Times New Roman"/>
          <w:b/>
          <w:sz w:val="24"/>
        </w:rPr>
        <w:t>2</w:t>
      </w:r>
      <w:r w:rsidRPr="00963919">
        <w:rPr>
          <w:rFonts w:ascii="Times New Roman" w:hAnsi="Times New Roman"/>
          <w:b/>
          <w:sz w:val="24"/>
        </w:rPr>
        <w:t xml:space="preserve">: </w:t>
      </w:r>
      <w:r w:rsidRPr="00963919">
        <w:rPr>
          <w:rFonts w:ascii="Times New Roman" w:hAnsi="Times New Roman"/>
          <w:sz w:val="24"/>
        </w:rPr>
        <w:t>One commenter stated that EPA has not explained how a facility could comply with the natural hazard assessment requirements in the proposed rule (0272).</w:t>
      </w:r>
      <w:r w:rsidRPr="00963919">
        <w:rPr>
          <w:rFonts w:ascii="Times New Roman" w:hAnsi="Times New Roman"/>
          <w:b/>
          <w:sz w:val="24"/>
        </w:rPr>
        <w:tab/>
      </w:r>
    </w:p>
    <w:p w:rsidR="001609B5" w:rsidRPr="00471BEC" w:rsidP="00471BEC" w14:paraId="67C1C4BC" w14:textId="48E1DAA9">
      <w:pPr>
        <w:autoSpaceDE w:val="0"/>
        <w:autoSpaceDN w:val="0"/>
        <w:adjustRightInd w:val="0"/>
        <w:ind w:left="720"/>
        <w:rPr>
          <w:rFonts w:ascii="Times New Roman" w:hAnsi="Times New Roman" w:eastAsiaTheme="minorHAnsi"/>
          <w:sz w:val="24"/>
          <w14:ligatures w14:val="standardContextual"/>
        </w:rPr>
      </w:pPr>
      <w:r w:rsidRPr="001609B5">
        <w:rPr>
          <w:rFonts w:ascii="Times New Roman" w:hAnsi="Times New Roman"/>
          <w:b/>
          <w:sz w:val="24"/>
        </w:rPr>
        <w:t>EPA Response:</w:t>
      </w:r>
      <w:r w:rsidRPr="00757DD8" w:rsidR="00757DD8">
        <w:t xml:space="preserve"> </w:t>
      </w:r>
      <w:r w:rsidRPr="001609B5" w:rsidR="00231E55">
        <w:rPr>
          <w:rFonts w:ascii="Times New Roman" w:hAnsi="Times New Roman"/>
          <w:sz w:val="24"/>
        </w:rPr>
        <w:t xml:space="preserve">EPA has stated this provision makes more explicit what is already required in the RMP regulations. </w:t>
      </w:r>
      <w:r w:rsidRPr="001609B5" w:rsidR="00757DD8">
        <w:rPr>
          <w:rFonts w:ascii="Times New Roman" w:hAnsi="Times New Roman"/>
          <w:sz w:val="24"/>
        </w:rPr>
        <w:t xml:space="preserve">At this time, EPA is simply emphasizing the already-existing requirement that the evaluation of natural hazards be explicitly included in hazard reviews and PHAs for Program 2 and Program 3 RMP-regulated processes. </w:t>
      </w:r>
      <w:r w:rsidRPr="001609B5" w:rsidR="00277818">
        <w:rPr>
          <w:rFonts w:ascii="Times New Roman" w:hAnsi="Times New Roman" w:eastAsiaTheme="minorHAnsi"/>
          <w:sz w:val="24"/>
          <w14:ligatures w14:val="standardContextual"/>
        </w:rPr>
        <w:t>EPA continues to expect facilities to utilize all available resources to properly evaluate what natural hazards could potentially trigger accidental releases from their regulated processes. EPA understands that natural hazards and process operations vary throughout the United States. However, because the RMP rule is performance-based, EPA believes that all regulated RMP facilities can be successful in addressing natural hazards within their risk management programs.</w:t>
      </w:r>
    </w:p>
    <w:p w:rsidR="00D43808" w:rsidRPr="00491228" w:rsidP="00471BEC" w14:paraId="26A914DA" w14:textId="76D72CDA">
      <w:pPr>
        <w:autoSpaceDE w:val="0"/>
        <w:autoSpaceDN w:val="0"/>
        <w:adjustRightInd w:val="0"/>
        <w:rPr>
          <w:rFonts w:ascii="Times New Roman" w:hAnsi="Times New Roman"/>
          <w:i/>
          <w:sz w:val="24"/>
        </w:rPr>
      </w:pPr>
      <w:r w:rsidRPr="00491228">
        <w:rPr>
          <w:rFonts w:ascii="Times New Roman" w:hAnsi="Times New Roman"/>
          <w:i/>
          <w:iCs/>
          <w:sz w:val="24"/>
        </w:rPr>
        <w:t>Comments on c</w:t>
      </w:r>
      <w:r w:rsidRPr="00683058">
        <w:rPr>
          <w:rFonts w:ascii="Times New Roman" w:hAnsi="Times New Roman"/>
          <w:i/>
          <w:sz w:val="24"/>
        </w:rPr>
        <w:t xml:space="preserve">oordination with </w:t>
      </w:r>
      <w:r w:rsidRPr="00491228">
        <w:rPr>
          <w:rFonts w:ascii="Times New Roman" w:hAnsi="Times New Roman"/>
          <w:i/>
          <w:iCs/>
          <w:sz w:val="24"/>
        </w:rPr>
        <w:t>l</w:t>
      </w:r>
      <w:r w:rsidRPr="00683058">
        <w:rPr>
          <w:rFonts w:ascii="Times New Roman" w:hAnsi="Times New Roman"/>
          <w:i/>
          <w:sz w:val="24"/>
        </w:rPr>
        <w:t xml:space="preserve">ocal, State, or </w:t>
      </w:r>
      <w:r w:rsidRPr="00491228">
        <w:rPr>
          <w:rFonts w:ascii="Times New Roman" w:hAnsi="Times New Roman"/>
          <w:i/>
          <w:iCs/>
          <w:sz w:val="24"/>
        </w:rPr>
        <w:t>r</w:t>
      </w:r>
      <w:r w:rsidRPr="00683058">
        <w:rPr>
          <w:rFonts w:ascii="Times New Roman" w:hAnsi="Times New Roman"/>
          <w:i/>
          <w:sz w:val="24"/>
        </w:rPr>
        <w:t xml:space="preserve">egional </w:t>
      </w:r>
      <w:r w:rsidRPr="00491228">
        <w:rPr>
          <w:rFonts w:ascii="Times New Roman" w:hAnsi="Times New Roman"/>
          <w:i/>
          <w:iCs/>
          <w:sz w:val="24"/>
        </w:rPr>
        <w:t>o</w:t>
      </w:r>
      <w:r w:rsidRPr="00683058">
        <w:rPr>
          <w:rFonts w:ascii="Times New Roman" w:hAnsi="Times New Roman"/>
          <w:i/>
          <w:sz w:val="24"/>
        </w:rPr>
        <w:t>rganizations</w:t>
      </w:r>
    </w:p>
    <w:p w:rsidR="00D43808" w:rsidP="00D43808" w14:paraId="3F91C0F1" w14:textId="380CFD43">
      <w:pPr>
        <w:rPr>
          <w:rFonts w:ascii="Times New Roman" w:hAnsi="Times New Roman"/>
          <w:sz w:val="24"/>
        </w:rPr>
      </w:pPr>
      <w:r>
        <w:rPr>
          <w:rFonts w:ascii="Times New Roman" w:hAnsi="Times New Roman"/>
          <w:b/>
          <w:bCs/>
          <w:sz w:val="24"/>
        </w:rPr>
        <w:t>Comment 2.1-1</w:t>
      </w:r>
      <w:r w:rsidR="003F057C">
        <w:rPr>
          <w:rFonts w:ascii="Times New Roman" w:hAnsi="Times New Roman"/>
          <w:b/>
          <w:bCs/>
          <w:sz w:val="24"/>
        </w:rPr>
        <w:t>3</w:t>
      </w:r>
      <w:r>
        <w:rPr>
          <w:rFonts w:ascii="Times New Roman" w:hAnsi="Times New Roman"/>
          <w:b/>
          <w:bCs/>
          <w:sz w:val="24"/>
        </w:rPr>
        <w:t xml:space="preserve">: </w:t>
      </w:r>
      <w:r w:rsidRPr="0F135B1F">
        <w:rPr>
          <w:rFonts w:ascii="Times New Roman" w:hAnsi="Times New Roman"/>
          <w:sz w:val="24"/>
        </w:rPr>
        <w:t>One commenter noted that EPA’s findings on risks to facilities from natural hazards is consistent with States’ and municipalities’ analysis</w:t>
      </w:r>
      <w:r>
        <w:rPr>
          <w:rFonts w:ascii="Times New Roman" w:hAnsi="Times New Roman"/>
          <w:sz w:val="24"/>
        </w:rPr>
        <w:t>.</w:t>
      </w:r>
      <w:r w:rsidRPr="0F135B1F">
        <w:rPr>
          <w:rFonts w:ascii="Times New Roman" w:hAnsi="Times New Roman"/>
          <w:sz w:val="24"/>
        </w:rPr>
        <w:t xml:space="preserve"> </w:t>
      </w:r>
      <w:r w:rsidRPr="0026613E">
        <w:rPr>
          <w:rFonts w:ascii="Times New Roman" w:hAnsi="Times New Roman"/>
          <w:sz w:val="24"/>
        </w:rPr>
        <w:t>The commenter noted that several States have already taken steps to require facilities to consider threats from extreme weather, including Massachusetts and New York</w:t>
      </w:r>
      <w:r w:rsidRPr="0F135B1F">
        <w:rPr>
          <w:rFonts w:ascii="Times New Roman" w:hAnsi="Times New Roman"/>
          <w:sz w:val="24"/>
        </w:rPr>
        <w:t xml:space="preserve"> (0444).</w:t>
      </w:r>
    </w:p>
    <w:p w:rsidR="008F46A5" w:rsidRPr="00BB75DA" w:rsidP="00D43808" w14:paraId="1AB671C2" w14:textId="04E5FB56">
      <w:pPr>
        <w:rPr>
          <w:rFonts w:ascii="Times New Roman" w:hAnsi="Times New Roman"/>
          <w:b/>
          <w:sz w:val="24"/>
        </w:rPr>
      </w:pPr>
      <w:r w:rsidRPr="006F68E9">
        <w:rPr>
          <w:rFonts w:ascii="Times New Roman" w:hAnsi="Times New Roman"/>
          <w:sz w:val="24"/>
        </w:rPr>
        <w:t xml:space="preserve">One commenter noted that several states have already taken steps to require facilities to consider threats from extreme weather. The commenter identified that the Massachusetts Environmental Policy Act Office’s Interim Protocol on Climate Change Adaptation and Resiliency requires that </w:t>
      </w:r>
      <w:r w:rsidRPr="006F68E9">
        <w:rPr>
          <w:rFonts w:ascii="Times New Roman" w:hAnsi="Times New Roman"/>
          <w:sz w:val="24"/>
        </w:rPr>
        <w:t>all new projects to consider adaptation strategies to mitigate risks from sea level rise/storm surge, extreme precipitation, and extreme heat. The commenter also noted that New York’s Climate Leadership and Community Protection Act requires applicants for major permits issued by the Department of Environmental Conservation to demonstrate that climate change risks are being considered (0444).</w:t>
      </w:r>
    </w:p>
    <w:p w:rsidR="00D43808" w:rsidRPr="0026613E" w:rsidP="00D43808" w14:paraId="55A3BDE8" w14:textId="1B70EC2C">
      <w:pPr>
        <w:ind w:left="720"/>
        <w:rPr>
          <w:rFonts w:ascii="Times New Roman" w:hAnsi="Times New Roman"/>
          <w:b/>
          <w:sz w:val="24"/>
        </w:rPr>
      </w:pPr>
      <w:r w:rsidRPr="00683058">
        <w:rPr>
          <w:rFonts w:ascii="Times New Roman" w:hAnsi="Times New Roman"/>
          <w:b/>
          <w:sz w:val="24"/>
        </w:rPr>
        <w:t>EPA Response</w:t>
      </w:r>
      <w:r>
        <w:rPr>
          <w:rFonts w:ascii="Times New Roman" w:hAnsi="Times New Roman"/>
          <w:b/>
          <w:sz w:val="24"/>
        </w:rPr>
        <w:t xml:space="preserve">: </w:t>
      </w:r>
      <w:r w:rsidRPr="0F135B1F">
        <w:rPr>
          <w:rFonts w:ascii="Times New Roman" w:eastAsia="Times New Roman" w:hAnsi="Times New Roman"/>
          <w:color w:val="000000" w:themeColor="text1"/>
          <w:sz w:val="24"/>
        </w:rPr>
        <w:t xml:space="preserve">EPA agrees with the comment that the Agency’s findings on risks to facilities from natural hazards is consistent with those of </w:t>
      </w:r>
      <w:r>
        <w:rPr>
          <w:rFonts w:ascii="Times New Roman" w:eastAsia="Times New Roman" w:hAnsi="Times New Roman"/>
          <w:color w:val="000000" w:themeColor="text1"/>
          <w:sz w:val="24"/>
        </w:rPr>
        <w:t>St</w:t>
      </w:r>
      <w:r w:rsidRPr="0F135B1F">
        <w:rPr>
          <w:rFonts w:ascii="Times New Roman" w:eastAsia="Times New Roman" w:hAnsi="Times New Roman"/>
          <w:color w:val="000000" w:themeColor="text1"/>
          <w:sz w:val="24"/>
        </w:rPr>
        <w:t xml:space="preserve">ates that already require facilities to consider threats from extreme weather. However, because not all </w:t>
      </w:r>
      <w:r>
        <w:rPr>
          <w:rFonts w:ascii="Times New Roman" w:eastAsia="Times New Roman" w:hAnsi="Times New Roman"/>
          <w:color w:val="000000" w:themeColor="text1"/>
          <w:sz w:val="24"/>
        </w:rPr>
        <w:t>Stat</w:t>
      </w:r>
      <w:r w:rsidRPr="0F135B1F">
        <w:rPr>
          <w:rFonts w:ascii="Times New Roman" w:eastAsia="Times New Roman" w:hAnsi="Times New Roman"/>
          <w:color w:val="000000" w:themeColor="text1"/>
          <w:sz w:val="24"/>
        </w:rPr>
        <w:t xml:space="preserve">es require facilities to consider natural hazards, and because EPA continues to see natural hazards as a factor in RMP accidents, </w:t>
      </w:r>
      <w:r>
        <w:rPr>
          <w:rFonts w:ascii="Times New Roman" w:eastAsia="Times New Roman" w:hAnsi="Times New Roman"/>
          <w:color w:val="000000" w:themeColor="text1"/>
          <w:sz w:val="24"/>
        </w:rPr>
        <w:t>the Agency</w:t>
      </w:r>
      <w:r w:rsidRPr="0F135B1F">
        <w:rPr>
          <w:rFonts w:ascii="Times New Roman" w:eastAsia="Times New Roman" w:hAnsi="Times New Roman"/>
          <w:color w:val="000000" w:themeColor="text1"/>
          <w:sz w:val="24"/>
        </w:rPr>
        <w:t xml:space="preserve"> believe</w:t>
      </w:r>
      <w:r>
        <w:rPr>
          <w:rFonts w:ascii="Times New Roman" w:eastAsia="Times New Roman" w:hAnsi="Times New Roman"/>
          <w:color w:val="000000" w:themeColor="text1"/>
          <w:sz w:val="24"/>
        </w:rPr>
        <w:t>s</w:t>
      </w:r>
      <w:r w:rsidRPr="0F135B1F">
        <w:rPr>
          <w:rFonts w:ascii="Times New Roman" w:eastAsia="Times New Roman" w:hAnsi="Times New Roman"/>
          <w:color w:val="000000" w:themeColor="text1"/>
          <w:sz w:val="24"/>
        </w:rPr>
        <w:t xml:space="preserve"> the requirement to evaluate and control natural hazards should be explicitly stated in the RMP regulation. Moreover, </w:t>
      </w:r>
      <w:r w:rsidRPr="0F135B1F">
        <w:rPr>
          <w:rFonts w:ascii="Times New Roman" w:eastAsia="Times New Roman" w:hAnsi="Times New Roman"/>
          <w:color w:val="000000" w:themeColor="text1"/>
          <w:sz w:val="24"/>
        </w:rPr>
        <w:t xml:space="preserve">EPA notes that doing so </w:t>
      </w:r>
      <w:r>
        <w:rPr>
          <w:rFonts w:ascii="Times New Roman" w:eastAsia="Times New Roman" w:hAnsi="Times New Roman"/>
          <w:color w:val="000000" w:themeColor="text1"/>
          <w:sz w:val="24"/>
        </w:rPr>
        <w:t>is</w:t>
      </w:r>
      <w:r w:rsidRPr="0F135B1F">
        <w:rPr>
          <w:rFonts w:ascii="Times New Roman" w:eastAsia="Times New Roman" w:hAnsi="Times New Roman"/>
          <w:color w:val="000000" w:themeColor="text1"/>
          <w:sz w:val="24"/>
        </w:rPr>
        <w:t xml:space="preserve"> consistent with other countries that are also expanding efforts to address natural hazards at chemical facilities, as discussed in the 2022 SCCAP </w:t>
      </w:r>
      <w:r w:rsidRPr="00187B3F">
        <w:rPr>
          <w:rFonts w:ascii="Times New Roman" w:eastAsia="Times New Roman" w:hAnsi="Times New Roman"/>
          <w:color w:val="000000" w:themeColor="text1"/>
          <w:sz w:val="24"/>
        </w:rPr>
        <w:t>proposed rule</w:t>
      </w:r>
      <w:r w:rsidRPr="0F135B1F">
        <w:rPr>
          <w:rFonts w:ascii="Times New Roman" w:eastAsia="Times New Roman" w:hAnsi="Times New Roman"/>
          <w:color w:val="000000" w:themeColor="text1"/>
          <w:sz w:val="24"/>
        </w:rPr>
        <w:t xml:space="preserve"> (87 FR 53568). </w:t>
      </w:r>
      <w:r w:rsidRPr="00B32A2A" w:rsidR="00B32A2A">
        <w:rPr>
          <w:rFonts w:ascii="Times New Roman" w:hAnsi="Times New Roman"/>
          <w:sz w:val="24"/>
        </w:rPr>
        <w:t xml:space="preserve">EPA </w:t>
      </w:r>
      <w:r w:rsidR="000457CC">
        <w:rPr>
          <w:rFonts w:ascii="Times New Roman" w:hAnsi="Times New Roman"/>
          <w:sz w:val="24"/>
        </w:rPr>
        <w:t xml:space="preserve">also </w:t>
      </w:r>
      <w:r w:rsidRPr="00B32A2A" w:rsidR="00B32A2A">
        <w:rPr>
          <w:rFonts w:ascii="Times New Roman" w:hAnsi="Times New Roman"/>
          <w:sz w:val="24"/>
        </w:rPr>
        <w:t>notes that it has revised its definition to be more closely align</w:t>
      </w:r>
      <w:r w:rsidR="00BE1241">
        <w:rPr>
          <w:rFonts w:ascii="Times New Roman" w:hAnsi="Times New Roman"/>
          <w:sz w:val="24"/>
        </w:rPr>
        <w:t>ed</w:t>
      </w:r>
      <w:r w:rsidRPr="00B32A2A" w:rsidR="00B32A2A">
        <w:rPr>
          <w:rFonts w:ascii="Times New Roman" w:hAnsi="Times New Roman"/>
          <w:sz w:val="24"/>
        </w:rPr>
        <w:t xml:space="preserve"> with language used in the Federal Emergency Management Agency’s (FEMA) National Risk Index (NRI) </w:t>
      </w:r>
      <w:r>
        <w:rPr>
          <w:rStyle w:val="FootnoteReference"/>
          <w:rFonts w:ascii="Times New Roman" w:hAnsi="Times New Roman"/>
          <w:sz w:val="24"/>
        </w:rPr>
        <w:footnoteReference w:id="32"/>
      </w:r>
      <w:r w:rsidRPr="00B32A2A" w:rsidR="00B32A2A">
        <w:rPr>
          <w:rFonts w:ascii="Times New Roman" w:hAnsi="Times New Roman"/>
          <w:sz w:val="24"/>
        </w:rPr>
        <w:t xml:space="preserve"> and Climate Essentials for Emergency Managers</w:t>
      </w:r>
      <w:r>
        <w:rPr>
          <w:rStyle w:val="FootnoteReference"/>
          <w:rFonts w:ascii="Times New Roman" w:hAnsi="Times New Roman"/>
          <w:sz w:val="24"/>
        </w:rPr>
        <w:footnoteReference w:id="33"/>
      </w:r>
      <w:r w:rsidRPr="00B32A2A" w:rsidR="00B32A2A">
        <w:rPr>
          <w:rFonts w:ascii="Times New Roman" w:hAnsi="Times New Roman"/>
          <w:sz w:val="24"/>
        </w:rPr>
        <w:t xml:space="preserve"> resources.</w:t>
      </w:r>
      <w:r w:rsidRPr="0F135B1F">
        <w:rPr>
          <w:rFonts w:ascii="Times New Roman" w:eastAsia="Times New Roman" w:hAnsi="Times New Roman"/>
          <w:color w:val="000000" w:themeColor="text1"/>
          <w:sz w:val="24"/>
        </w:rPr>
        <w:t xml:space="preserve"> </w:t>
      </w:r>
    </w:p>
    <w:p w:rsidR="00D43808" w:rsidP="00D43808" w14:paraId="05B95DC1" w14:textId="42A49540">
      <w:pPr>
        <w:rPr>
          <w:rFonts w:ascii="Times New Roman" w:hAnsi="Times New Roman"/>
          <w:sz w:val="24"/>
        </w:rPr>
      </w:pPr>
      <w:r>
        <w:rPr>
          <w:rFonts w:ascii="Times New Roman" w:hAnsi="Times New Roman"/>
          <w:b/>
          <w:bCs/>
          <w:sz w:val="24"/>
        </w:rPr>
        <w:t>Comment 2.1-1</w:t>
      </w:r>
      <w:r w:rsidR="003F057C">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 xml:space="preserve">One commenter recommended that EPA require facilities to include hazards identified in applicable local, </w:t>
      </w:r>
      <w:r>
        <w:rPr>
          <w:rFonts w:ascii="Times New Roman" w:hAnsi="Times New Roman"/>
          <w:sz w:val="24"/>
        </w:rPr>
        <w:t>S</w:t>
      </w:r>
      <w:r w:rsidRPr="006F68E9">
        <w:rPr>
          <w:rFonts w:ascii="Times New Roman" w:hAnsi="Times New Roman"/>
          <w:sz w:val="24"/>
        </w:rPr>
        <w:t xml:space="preserve">tate, or regional hazard mitigation plans in their risk assessments to ensure consistency with existing plans and ensure all applicable hazards are identified. The commenter suggested that facilities should reach out to LEPCs as well as </w:t>
      </w:r>
      <w:r>
        <w:rPr>
          <w:rFonts w:ascii="Times New Roman" w:hAnsi="Times New Roman"/>
          <w:sz w:val="24"/>
        </w:rPr>
        <w:t>S</w:t>
      </w:r>
      <w:r w:rsidRPr="006F68E9">
        <w:rPr>
          <w:rFonts w:ascii="Times New Roman" w:hAnsi="Times New Roman"/>
          <w:sz w:val="24"/>
        </w:rPr>
        <w:t xml:space="preserve">tate and local emergency planners to educate them about natural hazard risks to their facilities. The commenter noted that an Arkema facility did not include flooding impacts in its worst-case scenario analysis because it was unaware that it was in a FEMA floodplain. The commenter suggested that Program 3 facilities should be required to seek participation in regional or </w:t>
      </w:r>
      <w:r>
        <w:rPr>
          <w:rFonts w:ascii="Times New Roman" w:hAnsi="Times New Roman"/>
          <w:sz w:val="24"/>
        </w:rPr>
        <w:t>S</w:t>
      </w:r>
      <w:r w:rsidRPr="006F68E9">
        <w:rPr>
          <w:rFonts w:ascii="Times New Roman" w:hAnsi="Times New Roman"/>
          <w:sz w:val="24"/>
        </w:rPr>
        <w:t xml:space="preserve">tate hazard mitigation planning efforts, and Program 2 facilities should request to be invited to participate, and if they are invited, should be required to participate in regional or state planning efforts. The commenter also recommended that EPA coordinate RMP risk data mapping with state and local governments to help facilities identify relevant hazards (0241). </w:t>
      </w:r>
    </w:p>
    <w:p w:rsidR="00D821BC" w:rsidRPr="00BB75DA" w:rsidP="00D43808" w14:paraId="4FC8BE61" w14:textId="2A24001A">
      <w:pPr>
        <w:rPr>
          <w:rFonts w:ascii="Times New Roman" w:hAnsi="Times New Roman"/>
          <w:b/>
          <w:sz w:val="24"/>
        </w:rPr>
      </w:pPr>
      <w:r>
        <w:rPr>
          <w:rFonts w:ascii="Times New Roman" w:hAnsi="Times New Roman"/>
          <w:sz w:val="24"/>
        </w:rPr>
        <w:t xml:space="preserve">One </w:t>
      </w:r>
      <w:r w:rsidRPr="0DD56BE9">
        <w:rPr>
          <w:rFonts w:ascii="Times New Roman" w:hAnsi="Times New Roman"/>
          <w:sz w:val="24"/>
        </w:rPr>
        <w:t xml:space="preserve">commenter </w:t>
      </w:r>
      <w:r>
        <w:rPr>
          <w:rFonts w:ascii="Times New Roman" w:hAnsi="Times New Roman"/>
          <w:sz w:val="24"/>
        </w:rPr>
        <w:t>stated</w:t>
      </w:r>
      <w:r w:rsidRPr="0DD56BE9">
        <w:rPr>
          <w:rFonts w:ascii="Times New Roman" w:hAnsi="Times New Roman"/>
          <w:sz w:val="24"/>
        </w:rPr>
        <w:t xml:space="preserve"> that EPA did not consider how </w:t>
      </w:r>
      <w:r>
        <w:rPr>
          <w:rFonts w:ascii="Times New Roman" w:hAnsi="Times New Roman"/>
          <w:sz w:val="24"/>
        </w:rPr>
        <w:t>S</w:t>
      </w:r>
      <w:r w:rsidRPr="0DD56BE9">
        <w:rPr>
          <w:rFonts w:ascii="Times New Roman" w:hAnsi="Times New Roman"/>
          <w:sz w:val="24"/>
        </w:rPr>
        <w:t>tate and local building codes require facilities to address impacts from natural hazards in the requirements in the proposed rule (e.g., site standards for wind, snow, and seismic load; clean-up after a storm; food rations for ride out teams) (0268).</w:t>
      </w:r>
      <w:r w:rsidRPr="006F68E9">
        <w:rPr>
          <w:rFonts w:ascii="Times New Roman" w:hAnsi="Times New Roman"/>
          <w:sz w:val="24"/>
        </w:rPr>
        <w:t xml:space="preserve"> </w:t>
      </w:r>
      <w:r>
        <w:rPr>
          <w:rFonts w:ascii="Times New Roman" w:hAnsi="Times New Roman"/>
          <w:b/>
          <w:bCs/>
          <w:sz w:val="24"/>
        </w:rPr>
        <w:tab/>
      </w:r>
    </w:p>
    <w:p w:rsidR="00AB46F6" w:rsidRPr="00AB46F6" w:rsidP="00AB46F6" w14:paraId="5D8D56F7" w14:textId="01D7DA42">
      <w:pPr>
        <w:ind w:left="720"/>
        <w:rPr>
          <w:rFonts w:ascii="Times New Roman" w:hAnsi="Times New Roman"/>
          <w:sz w:val="24"/>
        </w:rPr>
      </w:pPr>
      <w:r w:rsidRPr="00AB46F6">
        <w:rPr>
          <w:rFonts w:ascii="Times New Roman" w:hAnsi="Times New Roman"/>
          <w:b/>
          <w:bCs/>
          <w:sz w:val="24"/>
        </w:rPr>
        <w:t>EPA Response:</w:t>
      </w:r>
      <w:r w:rsidRPr="00AB46F6">
        <w:t xml:space="preserve"> </w:t>
      </w:r>
      <w:r w:rsidRPr="00AB46F6">
        <w:rPr>
          <w:rFonts w:ascii="Times New Roman" w:hAnsi="Times New Roman"/>
          <w:sz w:val="24"/>
        </w:rPr>
        <w:t xml:space="preserve">EPA believes the Agency’s findings on risks to facilities from natural hazards is consistent with those of States and locals that already require facilities to consider threats from extreme weather. However, because not all States and local programs require facilities to consider natural hazards, and because EPA continues to see natural hazards as a factor in RMP accidents, the Agency believes the requirement to evaluate and control natural hazards should be explicitly stated in the RMP regulation. </w:t>
      </w:r>
    </w:p>
    <w:p w:rsidR="00561236" w:rsidP="00AB46F6" w14:paraId="7A231222" w14:textId="6763C5C9">
      <w:pPr>
        <w:ind w:left="720"/>
        <w:rPr>
          <w:rFonts w:ascii="Times New Roman" w:hAnsi="Times New Roman"/>
          <w:sz w:val="24"/>
        </w:rPr>
      </w:pPr>
      <w:r w:rsidRPr="00561236">
        <w:rPr>
          <w:rFonts w:ascii="Times New Roman" w:hAnsi="Times New Roman"/>
          <w:sz w:val="24"/>
        </w:rPr>
        <w:t xml:space="preserve">EPA maintains that it is very important to ensure that Local Emergency Planning Committees (LEPCs) or local emergency response officials have the information necessary for developing local emergency response plans; however, EPA believes it is </w:t>
      </w:r>
      <w:r w:rsidRPr="00561236">
        <w:rPr>
          <w:rFonts w:ascii="Times New Roman" w:hAnsi="Times New Roman"/>
          <w:sz w:val="24"/>
        </w:rPr>
        <w:t xml:space="preserve">not necessary to specify in the RMP rule the types or format of information that LEPCs or emergency response officials may request. Section 303(d)(3) of the Emergency Planning and Community Right to Know Act already provides the necessary authority to allow LEPCs to request information needed to develop the local emergency response plan. Furthermore, as part of the annual coordination between facilities and local emergency responders, responders may obtain information on </w:t>
      </w:r>
      <w:r w:rsidR="001A2EDF">
        <w:rPr>
          <w:rFonts w:ascii="Times New Roman" w:hAnsi="Times New Roman"/>
          <w:sz w:val="24"/>
        </w:rPr>
        <w:t>hazards identified</w:t>
      </w:r>
      <w:r w:rsidRPr="00561236">
        <w:rPr>
          <w:rFonts w:ascii="Times New Roman" w:hAnsi="Times New Roman"/>
          <w:sz w:val="24"/>
        </w:rPr>
        <w:t xml:space="preserve"> as appropriate.</w:t>
      </w:r>
    </w:p>
    <w:p w:rsidR="00D43808" w:rsidRPr="00AB46F6" w:rsidP="00AB46F6" w14:paraId="334E5AE1" w14:textId="2E7B9EBC">
      <w:pPr>
        <w:ind w:left="720"/>
        <w:rPr>
          <w:rFonts w:ascii="Times New Roman" w:hAnsi="Times New Roman"/>
          <w:sz w:val="24"/>
        </w:rPr>
      </w:pPr>
      <w:r w:rsidRPr="00AB46F6">
        <w:rPr>
          <w:rFonts w:ascii="Times New Roman" w:hAnsi="Times New Roman"/>
          <w:sz w:val="24"/>
        </w:rPr>
        <w:t>EPA continues to expect facilities to utilize all available resources to properly evaluate what natural hazards could potentially trigger accidental releases from their regulated processes. EPA understands that natural hazards and process operations vary throughout the United States. However, because the RMP rule is performance-based, EPA believes that all regulated RMP facilities can be successful in addressing natural hazards within their risk management programs. Additionally, EPA will update the current hazard evaluation guidance and initiate ways to share natural hazard resources with facility owners and operators to help them identify and evaluate potential natural hazard risks.</w:t>
      </w:r>
    </w:p>
    <w:p w:rsidR="00D43808" w:rsidRPr="005865E6" w:rsidP="00D43808" w14:paraId="0552E972" w14:textId="77777777">
      <w:pPr>
        <w:rPr>
          <w:rFonts w:ascii="Times New Roman" w:hAnsi="Times New Roman"/>
          <w:i/>
          <w:iCs/>
          <w:sz w:val="24"/>
        </w:rPr>
      </w:pPr>
      <w:r w:rsidRPr="005865E6">
        <w:rPr>
          <w:rFonts w:ascii="Times New Roman" w:hAnsi="Times New Roman"/>
          <w:i/>
          <w:iCs/>
          <w:sz w:val="24"/>
        </w:rPr>
        <w:t xml:space="preserve">Comments on mitigation measures </w:t>
      </w:r>
    </w:p>
    <w:p w:rsidR="00D43808" w:rsidP="00D43808" w14:paraId="58D27E73" w14:textId="70966F31">
      <w:pPr>
        <w:rPr>
          <w:rFonts w:ascii="Times New Roman" w:hAnsi="Times New Roman"/>
          <w:sz w:val="24"/>
        </w:rPr>
      </w:pPr>
      <w:r>
        <w:rPr>
          <w:rFonts w:ascii="Times New Roman" w:hAnsi="Times New Roman"/>
          <w:b/>
          <w:bCs/>
          <w:sz w:val="24"/>
        </w:rPr>
        <w:t>Comment 2.1-1</w:t>
      </w:r>
      <w:r w:rsidR="003F057C">
        <w:rPr>
          <w:rFonts w:ascii="Times New Roman" w:hAnsi="Times New Roman"/>
          <w:b/>
          <w:bCs/>
          <w:sz w:val="24"/>
        </w:rPr>
        <w:t>6</w:t>
      </w:r>
      <w:r>
        <w:rPr>
          <w:rFonts w:ascii="Times New Roman" w:hAnsi="Times New Roman"/>
          <w:b/>
          <w:bCs/>
          <w:sz w:val="24"/>
        </w:rPr>
        <w:t xml:space="preserve">: </w:t>
      </w:r>
      <w:r w:rsidRPr="006F68E9">
        <w:rPr>
          <w:rFonts w:ascii="Times New Roman" w:hAnsi="Times New Roman"/>
          <w:sz w:val="24"/>
        </w:rPr>
        <w:t xml:space="preserve">Several commenters requested that EPA require facilities to implement natural hazard mitigation measures that were identified as a part of the assessments to prevent the double impact from chemical disasters during natural disasters (0141, 0177, 0194, 0209, 0219, 0250, 0252, 0255, 0264, 0269, 0392, 0444, 0447, 0456, 0460). One commenter noted that the IPCC 2022 report references infrastructure failures caused by flooding and the need to account for NaTech disasters and the risks posed to urban communities (0460). </w:t>
      </w:r>
    </w:p>
    <w:p w:rsidR="00D43808" w:rsidP="00D43808" w14:paraId="1E49D8EC" w14:textId="77777777">
      <w:pPr>
        <w:rPr>
          <w:rFonts w:ascii="Times New Roman" w:hAnsi="Times New Roman"/>
          <w:sz w:val="24"/>
        </w:rPr>
      </w:pPr>
      <w:r w:rsidRPr="006F68E9">
        <w:rPr>
          <w:rFonts w:ascii="Times New Roman" w:hAnsi="Times New Roman"/>
          <w:sz w:val="24"/>
        </w:rPr>
        <w:t xml:space="preserve">Some commenters suggested EPA require facilities to report on implemented mitigation measures (0252, 0264, 0269, 0460). </w:t>
      </w:r>
      <w:r w:rsidRPr="6D3F9CC5">
        <w:rPr>
          <w:rFonts w:ascii="Times New Roman" w:hAnsi="Times New Roman"/>
          <w:sz w:val="24"/>
        </w:rPr>
        <w:t>Another commenter suggested that EPA require facilities adopt intense heat and drought mitigation plans (0177).</w:t>
      </w:r>
    </w:p>
    <w:p w:rsidR="00D43808" w:rsidRPr="00787981" w:rsidP="00D43808" w14:paraId="121392BB" w14:textId="77777777">
      <w:pPr>
        <w:rPr>
          <w:rFonts w:ascii="Times New Roman" w:hAnsi="Times New Roman"/>
          <w:b/>
          <w:sz w:val="24"/>
        </w:rPr>
      </w:pPr>
      <w:r w:rsidRPr="006F68E9">
        <w:rPr>
          <w:rFonts w:ascii="Times New Roman" w:hAnsi="Times New Roman"/>
          <w:sz w:val="24"/>
        </w:rPr>
        <w:t xml:space="preserve">Some commenters suggested EPA require facilities to report on implemented mitigation measures (0252, 0264, 0269, 0460). </w:t>
      </w:r>
      <w:r w:rsidRPr="6D3F9CC5">
        <w:rPr>
          <w:rFonts w:ascii="Times New Roman" w:hAnsi="Times New Roman"/>
          <w:sz w:val="24"/>
        </w:rPr>
        <w:t>Another commenter suggested that EPA require facilities adopt intense heat and drought mitigation plans (0177).</w:t>
      </w:r>
    </w:p>
    <w:p w:rsidR="00D43808" w:rsidP="00D238D0" w14:paraId="13F0BDDE" w14:textId="45D9BF6C">
      <w:pPr>
        <w:ind w:left="720"/>
        <w:rPr>
          <w:rFonts w:ascii="Times New Roman" w:hAnsi="Times New Roman"/>
          <w:b/>
          <w:bCs/>
          <w:sz w:val="24"/>
        </w:rPr>
      </w:pPr>
      <w:r w:rsidRPr="00337AA3">
        <w:rPr>
          <w:rFonts w:ascii="Times New Roman" w:hAnsi="Times New Roman"/>
          <w:b/>
          <w:bCs/>
          <w:sz w:val="24"/>
        </w:rPr>
        <w:t>EPA Response:</w:t>
      </w:r>
      <w:r w:rsidRPr="00D238D0" w:rsidR="00D238D0">
        <w:rPr>
          <w:rFonts w:ascii="Times New Roman" w:hAnsi="Times New Roman"/>
          <w:sz w:val="24"/>
        </w:rPr>
        <w:t xml:space="preserve"> EPA is not requiring implementation of </w:t>
      </w:r>
      <w:r w:rsidRPr="00337AA3" w:rsidR="00337AA3">
        <w:rPr>
          <w:rFonts w:ascii="Times New Roman" w:hAnsi="Times New Roman"/>
          <w:sz w:val="24"/>
        </w:rPr>
        <w:t>natural hazard mitigation measures</w:t>
      </w:r>
      <w:r w:rsidRPr="00D238D0" w:rsidR="00D238D0">
        <w:rPr>
          <w:rFonts w:ascii="Times New Roman" w:hAnsi="Times New Roman"/>
          <w:sz w:val="24"/>
        </w:rPr>
        <w:t>. At this time, EPA is simply emphasizing the already-existing requirement that the evaluation of natural hazards be explicitly included in hazard reviews and PHAs for Program 2 and Program 3 RMP-regulated processes. The Agency expects stationary source management to make reasonable decisions based on the information collected through this provision, like other provisions in the PHA. EPA acknowledges that natural hazards and process operations vary throughout the United States, and implementation of protective measures will therefore also vary among RMP processes. However, because the RMP rule is performance-based, EPA believes that all regulated RMP facilities can ultimately be successful in addressing natural hazards for their locations within their risk management programs.</w:t>
      </w:r>
    </w:p>
    <w:p w:rsidR="00D43808" w:rsidRPr="003A3887" w:rsidP="00D43808" w14:paraId="15B0AE64" w14:textId="77777777">
      <w:pPr>
        <w:rPr>
          <w:rFonts w:ascii="Times New Roman" w:hAnsi="Times New Roman"/>
          <w:i/>
          <w:iCs/>
          <w:sz w:val="24"/>
        </w:rPr>
      </w:pPr>
      <w:r>
        <w:rPr>
          <w:rFonts w:ascii="Times New Roman" w:hAnsi="Times New Roman"/>
          <w:i/>
          <w:iCs/>
          <w:sz w:val="24"/>
        </w:rPr>
        <w:t>Support for climate change-related hazard assessments</w:t>
      </w:r>
    </w:p>
    <w:p w:rsidR="00D43808" w:rsidP="00D43808" w14:paraId="361EE368" w14:textId="2992E499">
      <w:pPr>
        <w:rPr>
          <w:rFonts w:ascii="Times New Roman" w:hAnsi="Times New Roman"/>
          <w:sz w:val="24"/>
        </w:rPr>
      </w:pPr>
      <w:r>
        <w:rPr>
          <w:rFonts w:ascii="Times New Roman" w:hAnsi="Times New Roman"/>
          <w:b/>
          <w:bCs/>
          <w:sz w:val="24"/>
        </w:rPr>
        <w:t>Comment 2.1-1</w:t>
      </w:r>
      <w:r w:rsidR="003F057C">
        <w:rPr>
          <w:rFonts w:ascii="Times New Roman" w:hAnsi="Times New Roman"/>
          <w:b/>
          <w:bCs/>
          <w:sz w:val="24"/>
        </w:rPr>
        <w:t>7</w:t>
      </w:r>
      <w:r>
        <w:rPr>
          <w:rFonts w:ascii="Times New Roman" w:hAnsi="Times New Roman"/>
          <w:b/>
          <w:bCs/>
          <w:sz w:val="24"/>
        </w:rPr>
        <w:t xml:space="preserve">: </w:t>
      </w:r>
      <w:r w:rsidRPr="006F68E9">
        <w:rPr>
          <w:rFonts w:ascii="Times New Roman" w:hAnsi="Times New Roman"/>
          <w:sz w:val="24"/>
        </w:rPr>
        <w:t xml:space="preserve">Several commenters expressed support for the inclusion of climate change-related hazard assessments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due to the increasing risk that extreme weather events will be more severe and more frequent due to climate change, which could result in </w:t>
      </w:r>
      <w:r w:rsidRPr="006F68E9">
        <w:rPr>
          <w:rFonts w:ascii="Times New Roman" w:hAnsi="Times New Roman"/>
          <w:sz w:val="24"/>
        </w:rPr>
        <w:t>chemical accidents (0135, 0141, 0143, 0177, 0194, 0208, 0221, 0240, 0250, 0251, 0252, 0266, 0269, 0392, 0413, 0444, 0450, 0452, 0460).</w:t>
      </w:r>
      <w:r>
        <w:rPr>
          <w:rFonts w:ascii="Times New Roman" w:hAnsi="Times New Roman"/>
          <w:sz w:val="24"/>
        </w:rPr>
        <w:t xml:space="preserve"> </w:t>
      </w:r>
    </w:p>
    <w:p w:rsidR="00D43808" w:rsidRPr="00B613D1" w:rsidP="00D43808" w14:paraId="5A06E5A5" w14:textId="77777777">
      <w:pPr>
        <w:rPr>
          <w:rFonts w:ascii="Times New Roman" w:hAnsi="Times New Roman"/>
          <w:b/>
          <w:sz w:val="24"/>
        </w:rPr>
      </w:pPr>
      <w:r w:rsidRPr="006F68E9">
        <w:rPr>
          <w:rFonts w:ascii="Times New Roman" w:hAnsi="Times New Roman"/>
          <w:sz w:val="24"/>
        </w:rPr>
        <w:t xml:space="preserve">Several commenters noted that according to a 2021 report co-authored by Union of Concerned Scientists, Center for Progressive Reform, and Earthjustice, about one third of the nation’s RMP facilities are located in climate vulnerable areas and are at an increased risk from climate impacts (0141, 0221, 0240, 0250, 0251, 0252, 0269, 0392, 0444, 0460). </w:t>
      </w:r>
    </w:p>
    <w:p w:rsidR="00D43808" w:rsidP="00D43808" w14:paraId="55A4D51D" w14:textId="77777777">
      <w:pPr>
        <w:rPr>
          <w:rFonts w:ascii="Times New Roman" w:hAnsi="Times New Roman"/>
          <w:sz w:val="24"/>
        </w:rPr>
      </w:pPr>
      <w:r w:rsidRPr="006F68E9">
        <w:rPr>
          <w:rFonts w:ascii="Times New Roman" w:hAnsi="Times New Roman"/>
          <w:sz w:val="24"/>
        </w:rPr>
        <w:t xml:space="preserve">A couple of commenters provided examples of the types of natural disasters that may become more frequent or extreme due to climate change (0392, 0460). One of the commenters described an explosion and fire at the Arkema chemical plant following flooding from Hurricane Harvey </w:t>
      </w:r>
      <w:r>
        <w:rPr>
          <w:rFonts w:ascii="Times New Roman" w:hAnsi="Times New Roman"/>
          <w:sz w:val="24"/>
        </w:rPr>
        <w:t>that</w:t>
      </w:r>
      <w:r w:rsidRPr="006F68E9">
        <w:rPr>
          <w:rFonts w:ascii="Times New Roman" w:hAnsi="Times New Roman"/>
          <w:sz w:val="24"/>
        </w:rPr>
        <w:t xml:space="preserve"> </w:t>
      </w:r>
      <w:r w:rsidRPr="006F68E9">
        <w:rPr>
          <w:rFonts w:ascii="Times New Roman" w:hAnsi="Times New Roman"/>
          <w:sz w:val="24"/>
        </w:rPr>
        <w:t>caused 21 people to seek medical care and 200 nearby residents to evacuate (0392). Another commenter provided an example of a heat wave in the Pacific Northwest that caused the RMP-covered Dyno chemical plant to lose power, and there was concern about the potential for a major ammonia release (0460).</w:t>
      </w:r>
    </w:p>
    <w:p w:rsidR="00D43808" w:rsidP="00D43808" w14:paraId="2F90A223" w14:textId="77777777">
      <w:pPr>
        <w:rPr>
          <w:rFonts w:ascii="Times New Roman" w:hAnsi="Times New Roman"/>
          <w:sz w:val="24"/>
        </w:rPr>
      </w:pPr>
      <w:r w:rsidRPr="006F68E9">
        <w:rPr>
          <w:rFonts w:ascii="Times New Roman" w:hAnsi="Times New Roman"/>
          <w:sz w:val="24"/>
        </w:rPr>
        <w:t>One commenter s</w:t>
      </w:r>
      <w:r>
        <w:rPr>
          <w:rFonts w:ascii="Times New Roman" w:hAnsi="Times New Roman"/>
          <w:sz w:val="24"/>
        </w:rPr>
        <w:t>tated</w:t>
      </w:r>
      <w:r w:rsidRPr="006F68E9">
        <w:rPr>
          <w:rFonts w:ascii="Times New Roman" w:hAnsi="Times New Roman"/>
          <w:sz w:val="24"/>
        </w:rPr>
        <w:t xml:space="preserve"> that at a minimum, the new rule must require RMP facilities to consider climate change and natural disasters in every aspect of risk management (0456).</w:t>
      </w:r>
    </w:p>
    <w:p w:rsidR="00D43808" w:rsidP="00D43808" w14:paraId="5AA8E211" w14:textId="77777777">
      <w:pPr>
        <w:rPr>
          <w:rFonts w:ascii="Times New Roman" w:hAnsi="Times New Roman"/>
          <w:sz w:val="24"/>
        </w:rPr>
      </w:pPr>
      <w:r w:rsidRPr="006F68E9">
        <w:rPr>
          <w:rFonts w:ascii="Times New Roman" w:hAnsi="Times New Roman"/>
          <w:sz w:val="24"/>
        </w:rPr>
        <w:t>A few commenters mentioned preventing “double disasters,” or cascading impacts of chemical accidents on top of the effects of extreme events, in their support of the climate change-related hazard assessments (0208, 0413, 0449, 0460).</w:t>
      </w:r>
    </w:p>
    <w:p w:rsidR="00D43808" w:rsidRPr="00BB75DA" w:rsidP="00D43808" w14:paraId="1BF59FB6" w14:textId="77777777">
      <w:pPr>
        <w:rPr>
          <w:rFonts w:ascii="Times New Roman" w:hAnsi="Times New Roman"/>
          <w:b/>
          <w:sz w:val="24"/>
        </w:rPr>
      </w:pPr>
      <w:r w:rsidRPr="006F68E9">
        <w:rPr>
          <w:rFonts w:ascii="Times New Roman" w:hAnsi="Times New Roman"/>
          <w:sz w:val="24"/>
        </w:rPr>
        <w:t>One commenter noted that assessments of climate change risks are essential to understand the costs and benefits of potential mitigation measures, enabling facilities to select the welfare-maximizing measures that account for all impacts to the environment and public health (0266).</w:t>
      </w:r>
    </w:p>
    <w:p w:rsidR="00D43808" w:rsidP="00D43808" w14:paraId="566DFBC4" w14:textId="77777777">
      <w:pPr>
        <w:rPr>
          <w:rFonts w:ascii="Times New Roman" w:hAnsi="Times New Roman"/>
          <w:sz w:val="24"/>
        </w:rPr>
      </w:pPr>
      <w:r w:rsidRPr="006F68E9">
        <w:rPr>
          <w:rFonts w:ascii="Times New Roman" w:hAnsi="Times New Roman"/>
          <w:sz w:val="24"/>
        </w:rPr>
        <w:t>Another commenter stated that the healthcare system now needs to be prepared for the increase in climate events and the potential resulting chemical disasters which is putting strain on an already overburdened system (0452).</w:t>
      </w:r>
    </w:p>
    <w:p w:rsidR="00D43808" w:rsidRPr="00BB75DA" w:rsidP="00D43808" w14:paraId="54606173" w14:textId="77777777">
      <w:pPr>
        <w:rPr>
          <w:rFonts w:ascii="Times New Roman" w:hAnsi="Times New Roman"/>
          <w:b/>
          <w:sz w:val="24"/>
        </w:rPr>
      </w:pPr>
      <w:r w:rsidRPr="006F68E9">
        <w:rPr>
          <w:rFonts w:ascii="Times New Roman" w:hAnsi="Times New Roman"/>
          <w:sz w:val="24"/>
        </w:rPr>
        <w:t xml:space="preserve">A couple of commenters </w:t>
      </w:r>
      <w:r>
        <w:rPr>
          <w:rFonts w:ascii="Times New Roman" w:hAnsi="Times New Roman"/>
          <w:sz w:val="24"/>
        </w:rPr>
        <w:t>recommended</w:t>
      </w:r>
      <w:r w:rsidRPr="006F68E9">
        <w:rPr>
          <w:rFonts w:ascii="Times New Roman" w:hAnsi="Times New Roman"/>
          <w:sz w:val="24"/>
        </w:rPr>
        <w:t xml:space="preserve"> that EPA should do more to require facilities to prepare for climate-driven extreme weather events and power loss (0219, 0444). One of the commenters stated that with the increased frequency of climate change extreme weather events, increased incidences of flooding and natural disasters should be accounted for in the RMP for all facilities (0219).</w:t>
      </w:r>
    </w:p>
    <w:p w:rsidR="00D43808" w:rsidRPr="00500D26" w:rsidP="007040EE" w14:paraId="10874B0D" w14:textId="124A68D2">
      <w:pPr>
        <w:autoSpaceDE w:val="0"/>
        <w:autoSpaceDN w:val="0"/>
        <w:adjustRightInd w:val="0"/>
        <w:ind w:left="720"/>
        <w:rPr>
          <w:rFonts w:ascii="Times New Roman" w:hAnsi="Times New Roman"/>
          <w:sz w:val="24"/>
        </w:rPr>
      </w:pPr>
      <w:r w:rsidRPr="00500D26">
        <w:rPr>
          <w:rFonts w:ascii="Times New Roman" w:hAnsi="Times New Roman"/>
          <w:b/>
          <w:bCs/>
          <w:sz w:val="24"/>
        </w:rPr>
        <w:t>EPA Response</w:t>
      </w:r>
      <w:r w:rsidRPr="00500D26">
        <w:rPr>
          <w:rFonts w:ascii="Times New Roman" w:hAnsi="Times New Roman"/>
          <w:sz w:val="24"/>
        </w:rPr>
        <w:t>:</w:t>
      </w:r>
      <w:r w:rsidRPr="006D498F" w:rsidR="006D498F">
        <w:t xml:space="preserve"> </w:t>
      </w:r>
      <w:r w:rsidRPr="00500D26" w:rsidR="006D498F">
        <w:rPr>
          <w:rFonts w:ascii="Times New Roman" w:hAnsi="Times New Roman"/>
          <w:sz w:val="24"/>
        </w:rPr>
        <w:t>EPA agrees that climate change increases the threat of extreme weather as a natural hazard</w:t>
      </w:r>
      <w:r w:rsidR="00CA5FEC">
        <w:rPr>
          <w:rFonts w:ascii="Times New Roman" w:hAnsi="Times New Roman"/>
          <w:sz w:val="24"/>
        </w:rPr>
        <w:t xml:space="preserve"> and should be taken into account at covered facilities when evaluating hazard frequency and severity</w:t>
      </w:r>
      <w:r w:rsidRPr="00500D26" w:rsidR="006D498F">
        <w:rPr>
          <w:rFonts w:ascii="Times New Roman" w:hAnsi="Times New Roman"/>
          <w:sz w:val="24"/>
        </w:rPr>
        <w:t xml:space="preserve">. </w:t>
      </w:r>
      <w:r w:rsidRPr="00154233" w:rsidR="00BA3882">
        <w:rPr>
          <w:rFonts w:ascii="Times New Roman" w:hAnsi="Times New Roman"/>
          <w:sz w:val="24"/>
        </w:rPr>
        <w:t xml:space="preserve">As discussed in the SCCAP </w:t>
      </w:r>
      <w:r w:rsidRPr="00154233" w:rsidR="00154233">
        <w:rPr>
          <w:rFonts w:ascii="Times New Roman" w:hAnsi="Times New Roman"/>
          <w:sz w:val="24"/>
        </w:rPr>
        <w:t>proposal</w:t>
      </w:r>
      <w:r w:rsidR="003470EA">
        <w:rPr>
          <w:rFonts w:ascii="Times New Roman" w:hAnsi="Times New Roman"/>
          <w:sz w:val="24"/>
        </w:rPr>
        <w:t>,</w:t>
      </w:r>
      <w:r w:rsidRPr="00154233" w:rsidR="0094777D">
        <w:rPr>
          <w:rFonts w:ascii="Times New Roman" w:hAnsi="Times New Roman"/>
          <w:sz w:val="24"/>
        </w:rPr>
        <w:t xml:space="preserve"> RMP data indicate that the locations of many RMP facilities leave them exposed to natural hazards</w:t>
      </w:r>
      <w:r w:rsidRPr="00154233" w:rsidR="00154233">
        <w:rPr>
          <w:rFonts w:ascii="Times New Roman" w:hAnsi="Times New Roman"/>
          <w:sz w:val="24"/>
        </w:rPr>
        <w:t xml:space="preserve">, and </w:t>
      </w:r>
      <w:r w:rsidRPr="00500D26" w:rsidR="00154233">
        <w:rPr>
          <w:rFonts w:ascii="Times New Roman" w:hAnsi="Times New Roman" w:eastAsiaTheme="minorHAnsi"/>
          <w:sz w:val="24"/>
          <w14:ligatures w14:val="standardContextual"/>
        </w:rPr>
        <w:t>new studies show that the threat of natural hazards</w:t>
      </w:r>
      <w:r w:rsidR="00363C19">
        <w:rPr>
          <w:rFonts w:ascii="Times New Roman" w:hAnsi="Times New Roman" w:eastAsiaTheme="minorHAnsi"/>
          <w:sz w:val="24"/>
          <w14:ligatures w14:val="standardContextual"/>
        </w:rPr>
        <w:t>, including climate-related hazards,</w:t>
      </w:r>
      <w:r w:rsidRPr="00500D26" w:rsidR="00363C19">
        <w:rPr>
          <w:rFonts w:ascii="Times New Roman" w:hAnsi="Times New Roman" w:eastAsiaTheme="minorHAnsi"/>
          <w:sz w:val="24"/>
          <w14:ligatures w14:val="standardContextual"/>
        </w:rPr>
        <w:t xml:space="preserve"> </w:t>
      </w:r>
      <w:r w:rsidRPr="00500D26" w:rsidR="00154233">
        <w:rPr>
          <w:rFonts w:ascii="Times New Roman" w:hAnsi="Times New Roman" w:eastAsiaTheme="minorHAnsi"/>
          <w:sz w:val="24"/>
          <w14:ligatures w14:val="standardContextual"/>
        </w:rPr>
        <w:t xml:space="preserve"> is increasing</w:t>
      </w:r>
      <w:r w:rsidR="00500D26">
        <w:rPr>
          <w:rFonts w:ascii="Times New Roman" w:hAnsi="Times New Roman" w:eastAsiaTheme="minorHAnsi"/>
          <w:sz w:val="24"/>
          <w14:ligatures w14:val="standardContextual"/>
        </w:rPr>
        <w:t>.</w:t>
      </w:r>
      <w:r>
        <w:rPr>
          <w:rStyle w:val="FootnoteReference"/>
          <w:rFonts w:ascii="Times New Roman" w:hAnsi="Times New Roman" w:eastAsiaTheme="minorHAnsi"/>
          <w:sz w:val="24"/>
          <w14:ligatures w14:val="standardContextual"/>
        </w:rPr>
        <w:footnoteReference w:id="34"/>
      </w:r>
      <w:r w:rsidRPr="00154233" w:rsidR="0094777D">
        <w:rPr>
          <w:rFonts w:ascii="Times New Roman" w:hAnsi="Times New Roman"/>
          <w:sz w:val="24"/>
        </w:rPr>
        <w:t xml:space="preserve"> </w:t>
      </w:r>
      <w:r w:rsidRPr="00154233" w:rsidR="00BA3882">
        <w:rPr>
          <w:rFonts w:ascii="Times New Roman" w:hAnsi="Times New Roman"/>
          <w:sz w:val="24"/>
        </w:rPr>
        <w:t>Therefore</w:t>
      </w:r>
      <w:r w:rsidR="00BA3882">
        <w:rPr>
          <w:rFonts w:ascii="Times New Roman" w:hAnsi="Times New Roman"/>
          <w:sz w:val="24"/>
        </w:rPr>
        <w:t xml:space="preserve">, </w:t>
      </w:r>
      <w:r w:rsidRPr="00500D26" w:rsidR="006D498F">
        <w:rPr>
          <w:rFonts w:ascii="Times New Roman" w:hAnsi="Times New Roman"/>
          <w:sz w:val="24"/>
        </w:rPr>
        <w:t>EPA is finalizing the proposed provisions because the Agency believes that making the requirement more explicit to evaluate natural hazards</w:t>
      </w:r>
      <w:r w:rsidR="007368DF">
        <w:rPr>
          <w:rFonts w:ascii="Times New Roman" w:hAnsi="Times New Roman"/>
          <w:sz w:val="24"/>
        </w:rPr>
        <w:t>, which includes taking into account climate change,</w:t>
      </w:r>
      <w:r w:rsidRPr="00500D26" w:rsidR="006D498F">
        <w:rPr>
          <w:rFonts w:ascii="Times New Roman" w:hAnsi="Times New Roman"/>
          <w:sz w:val="24"/>
        </w:rPr>
        <w:t xml:space="preserve"> in hazard evaluations for Program 2 and Program 3 RMP-regulated processes will ensure that the threats of natural hazards are properly evaluated and managed to prevent or mitigate releases of RMP-regulated </w:t>
      </w:r>
      <w:r w:rsidRPr="00500D26" w:rsidR="006D498F">
        <w:rPr>
          <w:rFonts w:ascii="Times New Roman" w:hAnsi="Times New Roman"/>
          <w:sz w:val="24"/>
        </w:rPr>
        <w:t>substances at covered facilities. EPA agrees that doing so will better protect surrounding communities from these types of incidents.</w:t>
      </w:r>
    </w:p>
    <w:p w:rsidR="00D43808" w:rsidRPr="003A3887" w:rsidP="00D43808" w14:paraId="3156F622" w14:textId="77777777">
      <w:pPr>
        <w:rPr>
          <w:rFonts w:ascii="Times New Roman" w:hAnsi="Times New Roman"/>
          <w:i/>
          <w:iCs/>
          <w:sz w:val="24"/>
        </w:rPr>
      </w:pPr>
      <w:r>
        <w:rPr>
          <w:rFonts w:ascii="Times New Roman" w:hAnsi="Times New Roman"/>
          <w:i/>
          <w:iCs/>
          <w:sz w:val="24"/>
        </w:rPr>
        <w:t xml:space="preserve">Opposition to climate change-related hazard assessments </w:t>
      </w:r>
    </w:p>
    <w:p w:rsidR="00D43808" w:rsidP="00D43808" w14:paraId="702D49F8" w14:textId="35788F11">
      <w:pPr>
        <w:rPr>
          <w:rFonts w:ascii="Times New Roman" w:hAnsi="Times New Roman"/>
          <w:sz w:val="24"/>
        </w:rPr>
      </w:pPr>
      <w:r>
        <w:rPr>
          <w:rFonts w:ascii="Times New Roman" w:hAnsi="Times New Roman"/>
          <w:b/>
          <w:bCs/>
          <w:sz w:val="24"/>
        </w:rPr>
        <w:t>Comment 2.1-1</w:t>
      </w:r>
      <w:r w:rsidR="003F057C">
        <w:rPr>
          <w:rFonts w:ascii="Times New Roman" w:hAnsi="Times New Roman"/>
          <w:b/>
          <w:bCs/>
          <w:sz w:val="24"/>
        </w:rPr>
        <w:t>8</w:t>
      </w:r>
      <w:r>
        <w:rPr>
          <w:rFonts w:ascii="Times New Roman" w:hAnsi="Times New Roman"/>
          <w:b/>
          <w:bCs/>
          <w:sz w:val="24"/>
        </w:rPr>
        <w:t xml:space="preserve">: </w:t>
      </w:r>
      <w:r w:rsidRPr="006F68E9">
        <w:rPr>
          <w:rFonts w:ascii="Times New Roman" w:hAnsi="Times New Roman"/>
          <w:sz w:val="24"/>
        </w:rPr>
        <w:t xml:space="preserve">Several commenters opposed the inclusion of climate change-related assessments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(0180, 0193, 0207, 0208, 0217, 0233, 0234, 0237, 0238, 0239, 0253, 0268, 0275). </w:t>
      </w:r>
    </w:p>
    <w:p w:rsidR="00D43808" w:rsidP="00D43808" w14:paraId="147BA436" w14:textId="77777777">
      <w:pPr>
        <w:rPr>
          <w:rFonts w:ascii="Times New Roman" w:hAnsi="Times New Roman"/>
          <w:sz w:val="24"/>
        </w:rPr>
      </w:pPr>
      <w:r w:rsidRPr="006F68E9">
        <w:rPr>
          <w:rFonts w:ascii="Times New Roman" w:hAnsi="Times New Roman"/>
          <w:sz w:val="24"/>
        </w:rPr>
        <w:t>One commenter stated that climate change is not a discrete natural event that can be evaluated, like lightning, tornadoes, or floods (0238). A couple of commenters noted that climate change develops slowly over multiple decades, not the 5-year horizon of hazard evaluations (0238, 0268).</w:t>
      </w:r>
    </w:p>
    <w:p w:rsidR="00D43808" w:rsidRPr="00EF1B15" w:rsidP="00D43808" w14:paraId="66575B7F" w14:textId="77777777">
      <w:pPr>
        <w:rPr>
          <w:rFonts w:ascii="Times New Roman" w:hAnsi="Times New Roman"/>
          <w:sz w:val="24"/>
        </w:rPr>
      </w:pPr>
      <w:r w:rsidRPr="006F68E9">
        <w:rPr>
          <w:rFonts w:ascii="Times New Roman" w:hAnsi="Times New Roman"/>
          <w:sz w:val="24"/>
        </w:rPr>
        <w:t xml:space="preserve">One commenter suggested that the addition of climate change hazard analysis is driven by the administration’s focus on climate change, and not because of an identified issue that needs to be addressed (0239). </w:t>
      </w:r>
    </w:p>
    <w:p w:rsidR="00D43808" w:rsidRPr="00C93824" w:rsidP="00C93824" w14:paraId="405DF399" w14:textId="6A5E73CC">
      <w:pPr>
        <w:ind w:left="720"/>
        <w:rPr>
          <w:rFonts w:ascii="Times New Roman" w:hAnsi="Times New Roman"/>
          <w:sz w:val="24"/>
        </w:rPr>
      </w:pPr>
      <w:r w:rsidRPr="00C93824">
        <w:rPr>
          <w:rFonts w:ascii="Times New Roman" w:hAnsi="Times New Roman"/>
          <w:b/>
          <w:bCs/>
          <w:sz w:val="24"/>
        </w:rPr>
        <w:t>EPA Response:</w:t>
      </w:r>
      <w:r w:rsidRPr="00C93824" w:rsidR="00C93824">
        <w:t xml:space="preserve"> </w:t>
      </w:r>
      <w:r w:rsidRPr="00C93824" w:rsidR="00C93824">
        <w:rPr>
          <w:rFonts w:ascii="Times New Roman" w:hAnsi="Times New Roman"/>
          <w:sz w:val="24"/>
        </w:rPr>
        <w:t xml:space="preserve">In the proposal, the Agency provided data which indicate that, while not all, some RMP accidents are being reported as having a natural cause as the initiating event and include unusual weather conditions as a contributing factor. EPA believes that adding clarifying language to a provision is a simple way to promote awareness of these potential accidents which should help prevent some. </w:t>
      </w:r>
      <w:r w:rsidRPr="00C93824" w:rsidR="00C93824">
        <w:rPr>
          <w:rFonts w:ascii="Times New Roman" w:hAnsi="Times New Roman"/>
          <w:sz w:val="24"/>
        </w:rPr>
        <w:t>Additionally, EPA agrees that climate change increases the threat of extreme weather as a natural hazard</w:t>
      </w:r>
      <w:r w:rsidR="00965883">
        <w:rPr>
          <w:rFonts w:ascii="Times New Roman" w:hAnsi="Times New Roman"/>
          <w:sz w:val="24"/>
        </w:rPr>
        <w:t xml:space="preserve"> and should be taken into account </w:t>
      </w:r>
      <w:r w:rsidR="00141076">
        <w:rPr>
          <w:rFonts w:ascii="Times New Roman" w:hAnsi="Times New Roman"/>
          <w:sz w:val="24"/>
        </w:rPr>
        <w:t>at covered facilities when evaluating hazard frequency and severity</w:t>
      </w:r>
      <w:r w:rsidRPr="00C93824" w:rsidR="00C93824">
        <w:rPr>
          <w:rFonts w:ascii="Times New Roman" w:hAnsi="Times New Roman"/>
          <w:sz w:val="24"/>
        </w:rPr>
        <w:t>. EPA is finalizing the proposed provisions because the Agency believes that making the requirement more explicit to evaluate natural hazards</w:t>
      </w:r>
      <w:r w:rsidR="00141076">
        <w:rPr>
          <w:rFonts w:ascii="Times New Roman" w:hAnsi="Times New Roman"/>
          <w:sz w:val="24"/>
        </w:rPr>
        <w:t>,</w:t>
      </w:r>
      <w:r w:rsidR="004A20D4">
        <w:rPr>
          <w:rFonts w:ascii="Times New Roman" w:hAnsi="Times New Roman"/>
          <w:sz w:val="24"/>
        </w:rPr>
        <w:t xml:space="preserve"> which includes taking into account climate change,</w:t>
      </w:r>
      <w:r w:rsidRPr="00C93824" w:rsidR="00C93824">
        <w:rPr>
          <w:rFonts w:ascii="Times New Roman" w:hAnsi="Times New Roman"/>
          <w:sz w:val="24"/>
        </w:rPr>
        <w:t xml:space="preserve"> in hazard evaluations for Program 2 and Program 3 RMP-regulated processes will ensure that the threats of natural hazards are properly evaluated and managed to prevent or mitigate releases of RMP-regulated substances at covered facilities. EPA agrees that doing so will better protect surrounding communities from these types of incidents.</w:t>
      </w:r>
    </w:p>
    <w:p w:rsidR="00D43808" w:rsidRPr="001A2896" w:rsidP="00D43808" w14:paraId="6F5713F7" w14:textId="01BFD9E1">
      <w:pPr>
        <w:rPr>
          <w:rFonts w:ascii="Times New Roman" w:hAnsi="Times New Roman"/>
          <w:b/>
          <w:sz w:val="24"/>
        </w:rPr>
      </w:pPr>
      <w:r>
        <w:rPr>
          <w:rFonts w:ascii="Times New Roman" w:hAnsi="Times New Roman"/>
          <w:b/>
          <w:bCs/>
          <w:sz w:val="24"/>
        </w:rPr>
        <w:t>Comment 2.1-</w:t>
      </w:r>
      <w:r w:rsidR="003F057C">
        <w:rPr>
          <w:rFonts w:ascii="Times New Roman" w:hAnsi="Times New Roman"/>
          <w:b/>
          <w:bCs/>
          <w:sz w:val="24"/>
        </w:rPr>
        <w:t>19</w:t>
      </w:r>
      <w:r>
        <w:rPr>
          <w:rFonts w:ascii="Times New Roman" w:hAnsi="Times New Roman"/>
          <w:b/>
          <w:bCs/>
          <w:sz w:val="24"/>
        </w:rPr>
        <w:t xml:space="preserve">: </w:t>
      </w:r>
      <w:r w:rsidRPr="006F68E9">
        <w:rPr>
          <w:rFonts w:ascii="Times New Roman" w:hAnsi="Times New Roman"/>
          <w:sz w:val="24"/>
        </w:rPr>
        <w:t xml:space="preserve">Several commenters </w:t>
      </w:r>
      <w:r>
        <w:rPr>
          <w:rFonts w:ascii="Times New Roman" w:hAnsi="Times New Roman"/>
          <w:sz w:val="24"/>
        </w:rPr>
        <w:t>expressed</w:t>
      </w:r>
      <w:r w:rsidRPr="006F68E9">
        <w:rPr>
          <w:rFonts w:ascii="Times New Roman" w:hAnsi="Times New Roman"/>
          <w:sz w:val="24"/>
        </w:rPr>
        <w:t xml:space="preserve"> concerns about the burden a climate change hazard analysis would put on facilities (0180, 0217, 0234, 0268). One of the commenters stated that it is unreasonable for EPA to expect facilities to predict all potential external hazards to a process, as facilities are not equipped to predict future natural hazards, therefore such an assessment would be overly burdensome (0268). Several commenters stated that without a defined method of determining what hazards climate change could cause, this assessment would be a monumental task due to the many variables that must be considered (0180, 0184, 0205, 0217, 0226, 0234, 0458). One commenter noted that it is not climate change that directly causes the risk, but the natural disaster itself, and therefore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 xml:space="preserve">ule should refer to the natural disaster (e.g., high winds, storm surge, flooding) (0275). </w:t>
      </w:r>
    </w:p>
    <w:p w:rsidR="00D43808" w:rsidP="00C64F67" w14:paraId="7AA5CD55" w14:textId="265A6AD7">
      <w:pPr>
        <w:ind w:left="720"/>
        <w:rPr>
          <w:rFonts w:ascii="Times New Roman" w:hAnsi="Times New Roman"/>
          <w:sz w:val="24"/>
        </w:rPr>
      </w:pPr>
      <w:r w:rsidRPr="00C64F67">
        <w:rPr>
          <w:rFonts w:ascii="Times New Roman" w:hAnsi="Times New Roman"/>
          <w:b/>
          <w:bCs/>
          <w:sz w:val="24"/>
        </w:rPr>
        <w:t>EPA Response:</w:t>
      </w:r>
      <w:r w:rsidRPr="00C64F67" w:rsidR="00C64F67">
        <w:t xml:space="preserve"> </w:t>
      </w:r>
      <w:r w:rsidRPr="008A16C3" w:rsidR="008A16C3">
        <w:rPr>
          <w:rFonts w:ascii="Times New Roman" w:hAnsi="Times New Roman"/>
          <w:sz w:val="24"/>
        </w:rPr>
        <w:t>EPA disagrees that this regulatory text change is overly burdensome.</w:t>
      </w:r>
      <w:r w:rsidR="008A16C3">
        <w:t xml:space="preserve"> </w:t>
      </w:r>
      <w:r w:rsidRPr="00C64F67" w:rsidR="00C64F67">
        <w:rPr>
          <w:rFonts w:ascii="Times New Roman" w:hAnsi="Times New Roman"/>
          <w:sz w:val="24"/>
        </w:rPr>
        <w:t xml:space="preserve">EPA has stated this provision makes more explicit what is already required in the RMP regulations. As noted in the proposed rule, since the 1996 RMP rule, EPA has said events such as floods and high winds should be considered as potential release-initiating events when conducting a PHA, and the RMP guidance further expands on this point.  Furthermore, the hazard evaluation amplifications reflect existing industry practice, and </w:t>
      </w:r>
      <w:r w:rsidRPr="00C64F67" w:rsidR="00C64F67">
        <w:rPr>
          <w:rFonts w:ascii="Times New Roman" w:hAnsi="Times New Roman"/>
          <w:sz w:val="24"/>
        </w:rPr>
        <w:t xml:space="preserve">therefore, EPA assumes that these hazard evaluation amplifications impose no new requirements or costs on facilities that are in compliance with the RMP rule and common industry practice. By amplifying and making more explicit the need to evaluate natural hazards as potential causes of releases, EPA expects those facilities that are currently not performing such evaluations will better understand what the rule requires. </w:t>
      </w:r>
      <w:r w:rsidRPr="00FA336A" w:rsidR="00FA336A">
        <w:rPr>
          <w:rFonts w:ascii="Times New Roman" w:hAnsi="Times New Roman"/>
          <w:sz w:val="24"/>
        </w:rPr>
        <w:t>Additionally, EPA will update the current hazard evaluation guidance and initiate ways to share natural hazard resources with facility owners and operators to help them identify and evaluate potential natural hazard risks.</w:t>
      </w:r>
    </w:p>
    <w:p w:rsidR="00540155" w:rsidRPr="00540155" w:rsidP="00540155" w14:paraId="57CEDBD3" w14:textId="0EBCAB96">
      <w:pPr>
        <w:ind w:left="720"/>
        <w:rPr>
          <w:rFonts w:ascii="Times New Roman" w:hAnsi="Times New Roman"/>
          <w:sz w:val="24"/>
        </w:rPr>
      </w:pPr>
      <w:r w:rsidRPr="00177755">
        <w:rPr>
          <w:rFonts w:ascii="Times New Roman" w:hAnsi="Times New Roman"/>
          <w:sz w:val="24"/>
        </w:rPr>
        <w:t xml:space="preserve">EPA notes that </w:t>
      </w:r>
      <w:r w:rsidR="001B1B59">
        <w:rPr>
          <w:rFonts w:ascii="Times New Roman" w:hAnsi="Times New Roman"/>
          <w:sz w:val="24"/>
        </w:rPr>
        <w:t xml:space="preserve">it has revised </w:t>
      </w:r>
      <w:r w:rsidRPr="00177755">
        <w:rPr>
          <w:rFonts w:ascii="Times New Roman" w:hAnsi="Times New Roman"/>
          <w:sz w:val="24"/>
        </w:rPr>
        <w:t xml:space="preserve">its definition </w:t>
      </w:r>
      <w:r>
        <w:rPr>
          <w:rFonts w:ascii="Times New Roman" w:hAnsi="Times New Roman"/>
          <w:sz w:val="24"/>
        </w:rPr>
        <w:t xml:space="preserve">of natural hazard </w:t>
      </w:r>
      <w:r w:rsidRPr="00341BC2" w:rsidR="00341BC2">
        <w:rPr>
          <w:rFonts w:ascii="Times New Roman" w:hAnsi="Times New Roman"/>
          <w:sz w:val="24"/>
        </w:rPr>
        <w:t>to be more closely align with language used in the Federal Emergency Management Agency’s (FEMA) National Risk Index (NRI)</w:t>
      </w:r>
      <w:r>
        <w:rPr>
          <w:rFonts w:ascii="Times New Roman" w:hAnsi="Times New Roman"/>
          <w:sz w:val="24"/>
          <w:vertAlign w:val="superscript"/>
        </w:rPr>
        <w:footnoteReference w:id="35"/>
      </w:r>
      <w:r w:rsidRPr="00341BC2" w:rsidR="00341BC2">
        <w:rPr>
          <w:rFonts w:ascii="Times New Roman" w:hAnsi="Times New Roman"/>
          <w:sz w:val="24"/>
        </w:rPr>
        <w:t xml:space="preserve"> </w:t>
      </w:r>
      <w:bookmarkStart w:id="27" w:name="_Hlk154038021"/>
      <w:r w:rsidRPr="00341BC2" w:rsidR="00341BC2">
        <w:rPr>
          <w:rFonts w:ascii="Times New Roman" w:hAnsi="Times New Roman"/>
          <w:sz w:val="24"/>
        </w:rPr>
        <w:t>and Climate Essentials for Emergency Managers</w:t>
      </w:r>
      <w:r>
        <w:rPr>
          <w:rFonts w:ascii="Times New Roman" w:hAnsi="Times New Roman"/>
          <w:sz w:val="24"/>
          <w:vertAlign w:val="superscript"/>
        </w:rPr>
        <w:footnoteReference w:id="36"/>
      </w:r>
      <w:r w:rsidRPr="00341BC2" w:rsidR="00341BC2">
        <w:rPr>
          <w:rFonts w:ascii="Times New Roman" w:hAnsi="Times New Roman"/>
          <w:sz w:val="24"/>
        </w:rPr>
        <w:t xml:space="preserve"> resources. For this final rule, EPA is defining natural hazards to mean meteorological, climatological</w:t>
      </w:r>
      <w:r w:rsidRPr="00341BC2" w:rsidR="00341BC2">
        <w:rPr>
          <w:rFonts w:ascii="Times New Roman" w:hAnsi="Times New Roman"/>
          <w:i/>
          <w:iCs/>
          <w:sz w:val="24"/>
        </w:rPr>
        <w:t xml:space="preserve">, </w:t>
      </w:r>
      <w:r w:rsidRPr="00341BC2" w:rsidR="00341BC2">
        <w:rPr>
          <w:rFonts w:ascii="Times New Roman" w:hAnsi="Times New Roman"/>
          <w:sz w:val="24"/>
        </w:rPr>
        <w:t>environmental, or geological phenomena that have the potential for negative impact, accounting for impacts due to climate change. Examples of such hazards include, but are not limited to, avalanche, coastal flooding, cold wave, drought, earthquake, hail, heat wave, hurricane, ice storm, landslide, lightning, riverine flooding, strong wind, tornado, tsunami, volcanic activity, wildfire, and winter weather. EPA believes CCPS’ definition and guidance</w:t>
      </w:r>
      <w:r>
        <w:rPr>
          <w:rFonts w:ascii="Times New Roman" w:hAnsi="Times New Roman"/>
          <w:sz w:val="24"/>
          <w:vertAlign w:val="superscript"/>
        </w:rPr>
        <w:footnoteReference w:id="37"/>
      </w:r>
      <w:r w:rsidRPr="00341BC2" w:rsidR="00341BC2">
        <w:rPr>
          <w:rFonts w:ascii="Times New Roman" w:hAnsi="Times New Roman"/>
          <w:sz w:val="24"/>
        </w:rPr>
        <w:t xml:space="preserve"> presented in the SCCAP proposal, is still useful for facilities’ evaluation of natural hazards for process safety, however, the Agency believes these FEMA resources reflect a more comprehensive base to identify, evaluate and understand relative natural hazard risk, particularly how natural hazards must account for a changing climate. </w:t>
      </w:r>
      <w:bookmarkEnd w:id="27"/>
      <w:r>
        <w:rPr>
          <w:rFonts w:ascii="Times New Roman" w:hAnsi="Times New Roman"/>
          <w:sz w:val="24"/>
        </w:rPr>
        <w:t xml:space="preserve"> </w:t>
      </w:r>
      <w:r w:rsidRPr="00540155">
        <w:rPr>
          <w:rFonts w:ascii="Times New Roman" w:hAnsi="Times New Roman"/>
          <w:sz w:val="24"/>
        </w:rPr>
        <w:t>For example, the NRI identifies 18 specific natural hazards, which EPA has identified in its definition, that are further supported as their designation as natural hazards and are able to be represented in terms of expected annual loss, which incorporate data for exposure, annualized frequency, and historic loss ratio.</w:t>
      </w:r>
      <w:r>
        <w:rPr>
          <w:rFonts w:ascii="Times New Roman" w:hAnsi="Times New Roman"/>
          <w:sz w:val="24"/>
          <w:vertAlign w:val="superscript"/>
        </w:rPr>
        <w:footnoteReference w:id="38"/>
      </w:r>
      <w:r w:rsidRPr="00540155">
        <w:rPr>
          <w:rFonts w:ascii="Times New Roman" w:hAnsi="Times New Roman"/>
          <w:sz w:val="24"/>
        </w:rPr>
        <w:t xml:space="preserve"> Additionally, the Climate Essentials for Emergency Managers points to many climate change resources including the Climate Risk &amp; Resilience Portal</w:t>
      </w:r>
      <w:r>
        <w:rPr>
          <w:rFonts w:ascii="Times New Roman" w:hAnsi="Times New Roman"/>
          <w:sz w:val="24"/>
          <w:vertAlign w:val="superscript"/>
        </w:rPr>
        <w:footnoteReference w:id="39"/>
      </w:r>
      <w:r w:rsidRPr="00540155">
        <w:rPr>
          <w:rFonts w:ascii="Times New Roman" w:hAnsi="Times New Roman"/>
          <w:sz w:val="24"/>
        </w:rPr>
        <w:t xml:space="preserve"> and the Climate Mapping for Adaption and Resilience Tool</w:t>
      </w:r>
      <w:r>
        <w:rPr>
          <w:rFonts w:ascii="Times New Roman" w:hAnsi="Times New Roman"/>
          <w:sz w:val="24"/>
          <w:vertAlign w:val="superscript"/>
        </w:rPr>
        <w:footnoteReference w:id="40"/>
      </w:r>
      <w:r w:rsidRPr="00540155">
        <w:rPr>
          <w:rFonts w:ascii="Times New Roman" w:hAnsi="Times New Roman"/>
          <w:sz w:val="24"/>
        </w:rPr>
        <w:t xml:space="preserve"> that allows users to examine simulated future climate conditions associated with the natural hazards identified in the NRI. </w:t>
      </w:r>
    </w:p>
    <w:p w:rsidR="00036051" w:rsidP="00036051" w14:paraId="5DB1607A" w14:textId="1D88CB4E">
      <w:pPr>
        <w:ind w:left="720"/>
        <w:rPr>
          <w:rFonts w:ascii="Times New Roman" w:hAnsi="Times New Roman"/>
          <w:sz w:val="24"/>
        </w:rPr>
      </w:pPr>
      <w:r>
        <w:rPr>
          <w:rFonts w:ascii="Times New Roman" w:hAnsi="Times New Roman"/>
          <w:sz w:val="24"/>
        </w:rPr>
        <w:t xml:space="preserve">Additionally, for this </w:t>
      </w:r>
      <w:r>
        <w:rPr>
          <w:rFonts w:ascii="Times New Roman" w:hAnsi="Times New Roman"/>
          <w:sz w:val="24"/>
        </w:rPr>
        <w:t xml:space="preserve">final rule, </w:t>
      </w:r>
      <w:r w:rsidRPr="00036051">
        <w:rPr>
          <w:rFonts w:ascii="Times New Roman" w:hAnsi="Times New Roman"/>
          <w:sz w:val="24"/>
        </w:rPr>
        <w:t xml:space="preserve">EPA is including “exacerbate” as an influence of an accident from natural hazards in addition to “cause” to further clarify the regulatory language. EPA </w:t>
      </w:r>
      <w:r w:rsidR="007434A1">
        <w:rPr>
          <w:rFonts w:ascii="Times New Roman" w:hAnsi="Times New Roman"/>
          <w:sz w:val="24"/>
        </w:rPr>
        <w:t xml:space="preserve">believes that </w:t>
      </w:r>
      <w:r w:rsidRPr="00036051">
        <w:rPr>
          <w:rFonts w:ascii="Times New Roman" w:hAnsi="Times New Roman"/>
          <w:sz w:val="24"/>
        </w:rPr>
        <w:t xml:space="preserve">in some cases natural hazards can be a contributing factor for accidental releases, making them more extreme or likely, rather than causing them independently. </w:t>
      </w:r>
      <w:r w:rsidR="007434A1">
        <w:rPr>
          <w:rFonts w:ascii="Times New Roman" w:hAnsi="Times New Roman"/>
          <w:sz w:val="24"/>
        </w:rPr>
        <w:t xml:space="preserve">Further, </w:t>
      </w:r>
      <w:r w:rsidRPr="00036051">
        <w:rPr>
          <w:rFonts w:ascii="Times New Roman" w:hAnsi="Times New Roman"/>
          <w:sz w:val="24"/>
        </w:rPr>
        <w:t xml:space="preserve">EPA is removing the description of climate change in the hazard evaluation regulatory language to eliminate redundancy, as </w:t>
      </w:r>
      <w:r w:rsidR="00ED1AC0">
        <w:rPr>
          <w:rFonts w:ascii="Times New Roman" w:hAnsi="Times New Roman"/>
          <w:sz w:val="24"/>
        </w:rPr>
        <w:t xml:space="preserve">EPA is defining </w:t>
      </w:r>
      <w:r w:rsidRPr="00036051">
        <w:rPr>
          <w:rFonts w:ascii="Times New Roman" w:hAnsi="Times New Roman"/>
          <w:sz w:val="24"/>
        </w:rPr>
        <w:t>natural hazard as</w:t>
      </w:r>
      <w:r w:rsidR="008F0665">
        <w:rPr>
          <w:rFonts w:ascii="Times New Roman" w:hAnsi="Times New Roman"/>
          <w:sz w:val="24"/>
        </w:rPr>
        <w:t xml:space="preserve"> taking into account climate change impacts</w:t>
      </w:r>
      <w:r w:rsidRPr="00036051">
        <w:rPr>
          <w:rFonts w:ascii="Times New Roman" w:hAnsi="Times New Roman"/>
          <w:sz w:val="24"/>
        </w:rPr>
        <w:t>.</w:t>
      </w:r>
    </w:p>
    <w:p w:rsidR="00D43808" w:rsidRPr="001A2896" w:rsidP="00D43808" w14:paraId="45C33794" w14:textId="3D01F90F">
      <w:pPr>
        <w:rPr>
          <w:rFonts w:ascii="Times New Roman" w:hAnsi="Times New Roman"/>
          <w:b/>
          <w:sz w:val="24"/>
        </w:rPr>
      </w:pPr>
      <w:r>
        <w:rPr>
          <w:rFonts w:ascii="Times New Roman" w:hAnsi="Times New Roman"/>
          <w:b/>
          <w:bCs/>
          <w:sz w:val="24"/>
        </w:rPr>
        <w:t>Comment 2.1-2</w:t>
      </w:r>
      <w:r w:rsidR="003F057C">
        <w:rPr>
          <w:rFonts w:ascii="Times New Roman" w:hAnsi="Times New Roman"/>
          <w:b/>
          <w:bCs/>
          <w:sz w:val="24"/>
        </w:rPr>
        <w:t>0</w:t>
      </w:r>
      <w:r>
        <w:rPr>
          <w:rFonts w:ascii="Times New Roman" w:hAnsi="Times New Roman"/>
          <w:b/>
          <w:bCs/>
          <w:sz w:val="24"/>
        </w:rPr>
        <w:t xml:space="preserve">: </w:t>
      </w:r>
      <w:r w:rsidRPr="006F68E9">
        <w:rPr>
          <w:rFonts w:ascii="Times New Roman" w:hAnsi="Times New Roman"/>
          <w:sz w:val="24"/>
        </w:rPr>
        <w:t xml:space="preserve">One commenter requested that EPA acknowledge that there is no currently proven methodology for addressing climate-related risks to petrochemical facilities (0233). </w:t>
      </w:r>
    </w:p>
    <w:p w:rsidR="00D43808" w:rsidRPr="00A87A6E" w:rsidP="002A296F" w14:paraId="6D3812C9" w14:textId="7ECCBCB2">
      <w:pPr>
        <w:ind w:left="720"/>
        <w:rPr>
          <w:rFonts w:ascii="Times New Roman" w:hAnsi="Times New Roman"/>
          <w:b/>
          <w:bCs/>
          <w:sz w:val="24"/>
        </w:rPr>
      </w:pPr>
      <w:r w:rsidRPr="002A296F">
        <w:rPr>
          <w:rFonts w:ascii="Times New Roman" w:hAnsi="Times New Roman"/>
          <w:b/>
          <w:bCs/>
          <w:sz w:val="24"/>
        </w:rPr>
        <w:t>EPA Response:</w:t>
      </w:r>
      <w:r w:rsidRPr="002A296F" w:rsidR="002A296F">
        <w:t xml:space="preserve"> </w:t>
      </w:r>
      <w:r w:rsidRPr="002A296F" w:rsidR="002A296F">
        <w:rPr>
          <w:rFonts w:ascii="Times New Roman" w:hAnsi="Times New Roman"/>
          <w:sz w:val="24"/>
        </w:rPr>
        <w:t>EPA acknowledges that natural hazards and process operations vary throughout the United States, and implementation of protective measures will therefore also vary among RMP processes. However, because the RMP rule is performance-based, EPA believes that all regulated RMP facilities can ultimately be successful in addressing natural hazards for their locations within their risk management programs.</w:t>
      </w:r>
    </w:p>
    <w:p w:rsidR="00D43808" w:rsidRPr="00010C6A" w:rsidP="00D43808" w14:paraId="1B35AA0C" w14:textId="77777777">
      <w:pPr>
        <w:rPr>
          <w:rFonts w:ascii="Times New Roman" w:hAnsi="Times New Roman"/>
          <w:i/>
          <w:iCs/>
          <w:sz w:val="24"/>
        </w:rPr>
      </w:pPr>
      <w:r>
        <w:rPr>
          <w:rFonts w:ascii="Times New Roman" w:hAnsi="Times New Roman"/>
          <w:i/>
          <w:iCs/>
          <w:sz w:val="24"/>
        </w:rPr>
        <w:t>Other recommendations for natural hazard requirements</w:t>
      </w:r>
    </w:p>
    <w:p w:rsidR="00D43808" w:rsidP="00D43808" w14:paraId="74C9601A" w14:textId="40CAB3F3">
      <w:pPr>
        <w:rPr>
          <w:rFonts w:ascii="Times New Roman" w:hAnsi="Times New Roman"/>
          <w:b/>
          <w:sz w:val="24"/>
        </w:rPr>
      </w:pPr>
      <w:r>
        <w:rPr>
          <w:rFonts w:ascii="Times New Roman" w:hAnsi="Times New Roman"/>
          <w:b/>
          <w:bCs/>
          <w:sz w:val="24"/>
        </w:rPr>
        <w:t>Comment 2.1-2</w:t>
      </w:r>
      <w:r w:rsidR="003F057C">
        <w:rPr>
          <w:rFonts w:ascii="Times New Roman" w:hAnsi="Times New Roman"/>
          <w:b/>
          <w:bCs/>
          <w:sz w:val="24"/>
        </w:rPr>
        <w:t>1</w:t>
      </w:r>
      <w:r>
        <w:rPr>
          <w:rFonts w:ascii="Times New Roman" w:hAnsi="Times New Roman"/>
          <w:b/>
          <w:bCs/>
          <w:sz w:val="24"/>
        </w:rPr>
        <w:t>:</w:t>
      </w:r>
      <w:r>
        <w:rPr>
          <w:rFonts w:ascii="Times New Roman" w:hAnsi="Times New Roman"/>
          <w:b/>
          <w:sz w:val="24"/>
        </w:rPr>
        <w:t xml:space="preserve"> </w:t>
      </w:r>
      <w:r w:rsidRPr="003E2B2F">
        <w:rPr>
          <w:rFonts w:ascii="Times New Roman" w:hAnsi="Times New Roman"/>
          <w:sz w:val="24"/>
        </w:rPr>
        <w:t xml:space="preserve">Several commenters requested that EPA </w:t>
      </w:r>
      <w:r>
        <w:rPr>
          <w:rFonts w:ascii="Times New Roman" w:hAnsi="Times New Roman"/>
          <w:bCs/>
          <w:sz w:val="24"/>
        </w:rPr>
        <w:t>bolster</w:t>
      </w:r>
      <w:r w:rsidRPr="003E2B2F">
        <w:rPr>
          <w:rFonts w:ascii="Times New Roman" w:hAnsi="Times New Roman"/>
          <w:bCs/>
          <w:sz w:val="24"/>
        </w:rPr>
        <w:t xml:space="preserve"> </w:t>
      </w:r>
      <w:r w:rsidRPr="003E2B2F">
        <w:rPr>
          <w:rFonts w:ascii="Times New Roman" w:hAnsi="Times New Roman"/>
          <w:sz w:val="24"/>
        </w:rPr>
        <w:t xml:space="preserve">natural hazard assessment requirements </w:t>
      </w:r>
      <w:r>
        <w:rPr>
          <w:rFonts w:ascii="Times New Roman" w:hAnsi="Times New Roman"/>
          <w:bCs/>
          <w:sz w:val="24"/>
        </w:rPr>
        <w:t>as described below:</w:t>
      </w:r>
    </w:p>
    <w:p w:rsidR="00D43808" w:rsidRPr="001A2896" w:rsidP="00E57324" w14:paraId="6C78CC2A" w14:textId="77777777">
      <w:pPr>
        <w:pStyle w:val="ListParagraph"/>
        <w:numPr>
          <w:ilvl w:val="0"/>
          <w:numId w:val="12"/>
        </w:numPr>
        <w:rPr>
          <w:rFonts w:ascii="Times New Roman" w:hAnsi="Times New Roman"/>
          <w:b/>
          <w:sz w:val="24"/>
        </w:rPr>
      </w:pPr>
      <w:r w:rsidRPr="0DD56BE9">
        <w:rPr>
          <w:rFonts w:ascii="Times New Roman" w:hAnsi="Times New Roman"/>
          <w:sz w:val="24"/>
        </w:rPr>
        <w:t>One commenter suggested that EPA require</w:t>
      </w:r>
      <w:r>
        <w:rPr>
          <w:rFonts w:ascii="Times New Roman" w:hAnsi="Times New Roman"/>
          <w:sz w:val="24"/>
        </w:rPr>
        <w:t xml:space="preserve"> that</w:t>
      </w:r>
      <w:r w:rsidRPr="0DD56BE9">
        <w:rPr>
          <w:rFonts w:ascii="Times New Roman" w:hAnsi="Times New Roman"/>
          <w:sz w:val="24"/>
        </w:rPr>
        <w:t xml:space="preserve"> hazard evaluations use up-to-date projections of climate risks and prescribe specific types of analysis and consultation to assess hazards to environmental justice communities (0148).</w:t>
      </w:r>
    </w:p>
    <w:p w:rsidR="00D43808" w:rsidRPr="003E2B2F" w:rsidP="00E57324" w14:paraId="713D57DF" w14:textId="77777777">
      <w:pPr>
        <w:pStyle w:val="ListParagraph"/>
        <w:numPr>
          <w:ilvl w:val="0"/>
          <w:numId w:val="12"/>
        </w:numPr>
        <w:rPr>
          <w:rFonts w:ascii="Times New Roman" w:hAnsi="Times New Roman"/>
          <w:b/>
          <w:sz w:val="24"/>
        </w:rPr>
      </w:pPr>
      <w:r>
        <w:rPr>
          <w:rFonts w:ascii="Times New Roman" w:hAnsi="Times New Roman"/>
          <w:sz w:val="24"/>
        </w:rPr>
        <w:t>One</w:t>
      </w:r>
      <w:r w:rsidRPr="0DD56BE9">
        <w:rPr>
          <w:rFonts w:ascii="Times New Roman" w:hAnsi="Times New Roman"/>
          <w:sz w:val="24"/>
        </w:rPr>
        <w:t xml:space="preserve"> commenter urged EPA to require RMP facilities to integrate climate resiliency and mitigation. The commenter highlighted how much of the devastation </w:t>
      </w:r>
      <w:r>
        <w:rPr>
          <w:rFonts w:ascii="Times New Roman" w:hAnsi="Times New Roman"/>
          <w:sz w:val="24"/>
        </w:rPr>
        <w:t xml:space="preserve">from Hurricane Harvey was </w:t>
      </w:r>
      <w:r w:rsidRPr="0DD56BE9">
        <w:rPr>
          <w:rFonts w:ascii="Times New Roman" w:hAnsi="Times New Roman"/>
          <w:sz w:val="24"/>
        </w:rPr>
        <w:t>to low-income communities of color. The commenter noted that the full extent of damage from Hurricane Harvey was hard to assess because of data gaps caused by inadequate monetary reporting and lax environmental regulation (0157).</w:t>
      </w:r>
    </w:p>
    <w:p w:rsidR="00D43808" w:rsidRPr="00C866E8" w:rsidP="00E57324" w14:paraId="59610683" w14:textId="77777777">
      <w:pPr>
        <w:pStyle w:val="ListParagraph"/>
        <w:numPr>
          <w:ilvl w:val="0"/>
          <w:numId w:val="12"/>
        </w:numPr>
        <w:rPr>
          <w:rFonts w:ascii="Times New Roman" w:hAnsi="Times New Roman"/>
          <w:sz w:val="24"/>
        </w:rPr>
      </w:pPr>
      <w:r>
        <w:rPr>
          <w:rFonts w:ascii="Times New Roman" w:hAnsi="Times New Roman"/>
          <w:sz w:val="24"/>
        </w:rPr>
        <w:t>One</w:t>
      </w:r>
      <w:r w:rsidRPr="00A4352D">
        <w:rPr>
          <w:rFonts w:ascii="Times New Roman" w:hAnsi="Times New Roman"/>
          <w:sz w:val="24"/>
        </w:rPr>
        <w:t xml:space="preserve"> commenter suggested that natural hazard planning should also take into account cumulative impacts to communit</w:t>
      </w:r>
      <w:r>
        <w:rPr>
          <w:rFonts w:ascii="Times New Roman" w:hAnsi="Times New Roman"/>
          <w:sz w:val="24"/>
        </w:rPr>
        <w:t>ies</w:t>
      </w:r>
      <w:r w:rsidRPr="00A4352D">
        <w:rPr>
          <w:rFonts w:ascii="Times New Roman" w:hAnsi="Times New Roman"/>
          <w:sz w:val="24"/>
        </w:rPr>
        <w:t xml:space="preserve"> of the simultaneous shutdown of multiple facilities as storms such as hurricanes approach (0254).</w:t>
      </w:r>
    </w:p>
    <w:p w:rsidR="00884899" w:rsidRPr="00C866E8" w:rsidP="00C866E8" w14:paraId="2C3A9424" w14:textId="77777777">
      <w:pPr>
        <w:pStyle w:val="ListParagraph"/>
        <w:numPr>
          <w:ilvl w:val="0"/>
          <w:numId w:val="12"/>
        </w:numPr>
        <w:rPr>
          <w:rFonts w:ascii="Times New Roman" w:hAnsi="Times New Roman"/>
          <w:sz w:val="24"/>
        </w:rPr>
      </w:pPr>
      <w:r w:rsidRPr="00C866E8">
        <w:rPr>
          <w:rFonts w:ascii="Times New Roman" w:hAnsi="Times New Roman"/>
          <w:sz w:val="24"/>
        </w:rPr>
        <w:t>One commenter stated that the rule should also require facilities to account for the cumulative health impacts in their plans, evaluations, assessments, and siting considerations (0447).</w:t>
      </w:r>
    </w:p>
    <w:p w:rsidR="00884899" w:rsidRPr="00C866E8" w:rsidP="00E57324" w14:paraId="7A54C832" w14:textId="09E2ED31">
      <w:pPr>
        <w:pStyle w:val="ListParagraph"/>
        <w:numPr>
          <w:ilvl w:val="0"/>
          <w:numId w:val="12"/>
        </w:numPr>
        <w:rPr>
          <w:rFonts w:ascii="Times New Roman" w:hAnsi="Times New Roman"/>
          <w:sz w:val="24"/>
        </w:rPr>
      </w:pPr>
      <w:r w:rsidRPr="00C866E8">
        <w:rPr>
          <w:rFonts w:ascii="Times New Roman" w:hAnsi="Times New Roman"/>
          <w:sz w:val="24"/>
        </w:rPr>
        <w:t>One commenter stated that the RMP rule should reflect the cumulative impacts from clusters of RMP and hazardous non-RMP facilities. The commenter pointed out that although the proposal requires that facilities conduct an evaluation and document the hazards associated with their proximity to surrounding communities, it doesn’t require a cumulative impacts assessment or that these hazards are eliminated. The commenter asserted that this ignores the tremendous body of scientific evidence demonstrating that communities of color and low-income communities face disproportionately extreme threats to their health from their environments, thus EPA should amend the RMP rule to address cumulative impacts and require facilities to eliminate the hazards that account for cumulative health impacts (0255).</w:t>
      </w:r>
    </w:p>
    <w:p w:rsidR="00D43808" w:rsidRPr="00B12661" w:rsidP="009078E0" w14:paraId="7A43BD35" w14:textId="7F7EBCF7">
      <w:pPr>
        <w:ind w:left="720"/>
        <w:rPr>
          <w:rFonts w:ascii="Times New Roman" w:hAnsi="Times New Roman"/>
          <w:b/>
          <w:bCs/>
          <w:sz w:val="24"/>
        </w:rPr>
      </w:pPr>
      <w:r w:rsidRPr="009078E0">
        <w:rPr>
          <w:rFonts w:ascii="Times New Roman" w:hAnsi="Times New Roman"/>
          <w:b/>
          <w:bCs/>
          <w:sz w:val="24"/>
        </w:rPr>
        <w:t>EPA Response:</w:t>
      </w:r>
      <w:r w:rsidRPr="00273DD7" w:rsidR="00273DD7">
        <w:t xml:space="preserve"> </w:t>
      </w:r>
      <w:r w:rsidRPr="009078E0" w:rsidR="00273DD7">
        <w:rPr>
          <w:rFonts w:ascii="Times New Roman" w:hAnsi="Times New Roman"/>
          <w:sz w:val="24"/>
        </w:rPr>
        <w:t xml:space="preserve">EPA agrees that accidental releases of regulated chemicals from RMP-regulated facilities likely pose disproportionate risks to historically marginalized communities. </w:t>
      </w:r>
      <w:r w:rsidR="00E655E9">
        <w:rPr>
          <w:rFonts w:ascii="Times New Roman" w:hAnsi="Times New Roman"/>
          <w:sz w:val="24"/>
        </w:rPr>
        <w:t xml:space="preserve">Nevertheless, </w:t>
      </w:r>
      <w:r w:rsidRPr="00E655E9" w:rsidR="00E655E9">
        <w:rPr>
          <w:rFonts w:ascii="Times New Roman" w:hAnsi="Times New Roman"/>
          <w:sz w:val="24"/>
        </w:rPr>
        <w:t>EPA acknowledges that natural hazards and process operations vary throughout the United States, and implementation of protective measures will therefore also vary among RMP processes. However, because the RMP rule is performance-based, EPA believes that all regulated RMP facilities can ultimately be successful in addressing natural hazards for their locations within their risk management programs.</w:t>
      </w:r>
      <w:r w:rsidR="00E655E9">
        <w:rPr>
          <w:rFonts w:ascii="Times New Roman" w:hAnsi="Times New Roman"/>
          <w:sz w:val="24"/>
        </w:rPr>
        <w:t xml:space="preserve"> </w:t>
      </w:r>
      <w:r w:rsidRPr="009078E0" w:rsidR="00273DD7">
        <w:rPr>
          <w:rFonts w:ascii="Times New Roman" w:hAnsi="Times New Roman"/>
          <w:sz w:val="24"/>
        </w:rPr>
        <w:t xml:space="preserve">EPA expects that the benefits of this clarified provision may lower potential exposure for </w:t>
      </w:r>
      <w:r w:rsidR="00845530">
        <w:rPr>
          <w:rFonts w:ascii="Times New Roman" w:hAnsi="Times New Roman"/>
          <w:sz w:val="24"/>
        </w:rPr>
        <w:t xml:space="preserve">fenceline communities with </w:t>
      </w:r>
      <w:r w:rsidRPr="009078E0" w:rsidR="00273DD7">
        <w:rPr>
          <w:rFonts w:ascii="Times New Roman" w:hAnsi="Times New Roman"/>
          <w:sz w:val="24"/>
        </w:rPr>
        <w:t xml:space="preserve">historically underserved and overburdened </w:t>
      </w:r>
      <w:r w:rsidRPr="009078E0" w:rsidR="00273DD7">
        <w:rPr>
          <w:rFonts w:ascii="Times New Roman" w:hAnsi="Times New Roman"/>
          <w:sz w:val="24"/>
        </w:rPr>
        <w:t>populations by reducing disproportionate damages that RMP-reportable accidents might otherwise inflict on those populations.</w:t>
      </w:r>
    </w:p>
    <w:p w:rsidR="00D43808" w:rsidRPr="009B57DE" w:rsidP="00D43808" w14:paraId="13BE907E" w14:textId="68A891D0">
      <w:pPr>
        <w:rPr>
          <w:rFonts w:ascii="Times New Roman" w:hAnsi="Times New Roman"/>
          <w:b/>
          <w:sz w:val="24"/>
        </w:rPr>
      </w:pPr>
      <w:r>
        <w:rPr>
          <w:rFonts w:ascii="Times New Roman" w:hAnsi="Times New Roman"/>
          <w:b/>
          <w:bCs/>
          <w:sz w:val="24"/>
        </w:rPr>
        <w:t>Comment 2.1-2</w:t>
      </w:r>
      <w:r w:rsidR="003F057C">
        <w:rPr>
          <w:rFonts w:ascii="Times New Roman" w:hAnsi="Times New Roman"/>
          <w:b/>
          <w:bCs/>
          <w:sz w:val="24"/>
        </w:rPr>
        <w:t>2</w:t>
      </w:r>
      <w:r>
        <w:rPr>
          <w:rFonts w:ascii="Times New Roman" w:hAnsi="Times New Roman"/>
          <w:b/>
          <w:bCs/>
          <w:sz w:val="24"/>
        </w:rPr>
        <w:t>:</w:t>
      </w:r>
      <w:r>
        <w:rPr>
          <w:rFonts w:ascii="Times New Roman" w:hAnsi="Times New Roman"/>
          <w:b/>
          <w:sz w:val="24"/>
        </w:rPr>
        <w:t xml:space="preserve"> </w:t>
      </w:r>
      <w:r>
        <w:rPr>
          <w:rFonts w:ascii="Times New Roman" w:hAnsi="Times New Roman"/>
          <w:sz w:val="24"/>
        </w:rPr>
        <w:t>One</w:t>
      </w:r>
      <w:r w:rsidRPr="006F68E9">
        <w:rPr>
          <w:rFonts w:ascii="Times New Roman" w:hAnsi="Times New Roman"/>
          <w:sz w:val="24"/>
        </w:rPr>
        <w:t xml:space="preserve"> commenter recommended that “geologic hazards” be excluded from the definition of a natural hazard, as they are known at the time a facility is located, designed, and constructed. The commenter also suggested that “dam rupture” be excluded from the definition of geologic hazard</w:t>
      </w:r>
      <w:r>
        <w:rPr>
          <w:rFonts w:ascii="Times New Roman" w:hAnsi="Times New Roman"/>
          <w:sz w:val="24"/>
        </w:rPr>
        <w:t>,</w:t>
      </w:r>
      <w:r w:rsidRPr="006F68E9">
        <w:rPr>
          <w:rFonts w:ascii="Times New Roman" w:hAnsi="Times New Roman"/>
          <w:sz w:val="24"/>
        </w:rPr>
        <w:t xml:space="preserve"> as dams are subject to safety regulations and inspections (0238). </w:t>
      </w:r>
    </w:p>
    <w:p w:rsidR="00D43808" w:rsidRPr="005C005B" w:rsidP="007040EE" w14:paraId="10B9FD87" w14:textId="34E95845">
      <w:pPr>
        <w:autoSpaceDE w:val="0"/>
        <w:autoSpaceDN w:val="0"/>
        <w:adjustRightInd w:val="0"/>
        <w:ind w:left="720"/>
        <w:rPr>
          <w:rFonts w:ascii="Times New Roman" w:hAnsi="Times New Roman"/>
          <w:sz w:val="24"/>
        </w:rPr>
      </w:pPr>
      <w:r w:rsidRPr="005C005B">
        <w:rPr>
          <w:rFonts w:ascii="Times New Roman" w:hAnsi="Times New Roman"/>
          <w:b/>
          <w:bCs/>
          <w:sz w:val="24"/>
        </w:rPr>
        <w:t>EPA Response</w:t>
      </w:r>
      <w:r w:rsidR="007E61A8">
        <w:rPr>
          <w:rFonts w:ascii="Times New Roman" w:hAnsi="Times New Roman"/>
          <w:b/>
          <w:bCs/>
          <w:sz w:val="24"/>
        </w:rPr>
        <w:t xml:space="preserve">: </w:t>
      </w:r>
      <w:r w:rsidRPr="005C005B" w:rsidR="005217A3">
        <w:rPr>
          <w:rFonts w:ascii="Times New Roman" w:hAnsi="Times New Roman"/>
          <w:sz w:val="24"/>
        </w:rPr>
        <w:t xml:space="preserve">EPA disagrees </w:t>
      </w:r>
      <w:r w:rsidRPr="005C005B" w:rsidR="002159F9">
        <w:rPr>
          <w:rFonts w:ascii="Times New Roman" w:hAnsi="Times New Roman"/>
          <w:sz w:val="24"/>
        </w:rPr>
        <w:t xml:space="preserve">geological hazards and dam rupture </w:t>
      </w:r>
      <w:r w:rsidRPr="005C005B" w:rsidR="0036147C">
        <w:rPr>
          <w:rFonts w:ascii="Times New Roman" w:hAnsi="Times New Roman"/>
          <w:sz w:val="24"/>
        </w:rPr>
        <w:t>should be excluded from the definition of a natural hazards.</w:t>
      </w:r>
      <w:r w:rsidRPr="005C005B" w:rsidR="005C005B">
        <w:rPr>
          <w:rFonts w:ascii="Times New Roman" w:hAnsi="Times New Roman"/>
          <w:sz w:val="24"/>
        </w:rPr>
        <w:t xml:space="preserve"> </w:t>
      </w:r>
      <w:r w:rsidRPr="005C005B" w:rsidR="00036F5F">
        <w:rPr>
          <w:rFonts w:ascii="Times New Roman" w:hAnsi="Times New Roman" w:eastAsiaTheme="minorHAnsi"/>
          <w:sz w:val="24"/>
          <w14:ligatures w14:val="standardContextual"/>
        </w:rPr>
        <w:t>Natural hazards (</w:t>
      </w:r>
      <w:r w:rsidRPr="005C005B" w:rsidR="00036F5F">
        <w:rPr>
          <w:rFonts w:ascii="Times New Roman" w:hAnsi="Times New Roman" w:eastAsiaTheme="minorHAnsi"/>
          <w:i/>
          <w:iCs/>
          <w:sz w:val="24"/>
          <w14:ligatures w14:val="standardContextual"/>
        </w:rPr>
        <w:t xml:space="preserve">e.g., </w:t>
      </w:r>
      <w:r w:rsidRPr="005C005B" w:rsidR="00036F5F">
        <w:rPr>
          <w:rFonts w:ascii="Times New Roman" w:hAnsi="Times New Roman" w:eastAsiaTheme="minorHAnsi"/>
          <w:sz w:val="24"/>
          <w14:ligatures w14:val="standardContextual"/>
        </w:rPr>
        <w:t>extreme temperatures, high winds, floods, earthquakes, wildfires) are hazards for chemical facilities because they have the potential to initiate accidents and challenge hazardous chemical process equipment and operations. If not properly managed, these hazards can trigger chemical accidents that threaten human health and the environment.</w:t>
      </w:r>
      <w:r w:rsidRPr="005C005B" w:rsidR="005C005B">
        <w:rPr>
          <w:rFonts w:ascii="Times New Roman" w:hAnsi="Times New Roman" w:eastAsiaTheme="minorHAnsi"/>
          <w:sz w:val="24"/>
          <w14:ligatures w14:val="standardContextual"/>
        </w:rPr>
        <w:t xml:space="preserve"> </w:t>
      </w:r>
      <w:r w:rsidRPr="005C005B" w:rsidR="007E61A8">
        <w:rPr>
          <w:rFonts w:ascii="Times New Roman" w:hAnsi="Times New Roman"/>
          <w:sz w:val="24"/>
        </w:rPr>
        <w:t xml:space="preserve">EPA notes that </w:t>
      </w:r>
      <w:r w:rsidR="00FA61EE">
        <w:rPr>
          <w:rFonts w:ascii="Times New Roman" w:eastAsia="Times New Roman" w:hAnsi="Times New Roman"/>
          <w:sz w:val="24"/>
        </w:rPr>
        <w:t xml:space="preserve">it has revised its definition </w:t>
      </w:r>
      <w:r w:rsidR="00FE5769">
        <w:rPr>
          <w:rFonts w:ascii="Times New Roman" w:eastAsia="Times New Roman" w:hAnsi="Times New Roman"/>
          <w:sz w:val="24"/>
        </w:rPr>
        <w:t xml:space="preserve">of natural hazard </w:t>
      </w:r>
      <w:r w:rsidR="00FA61EE">
        <w:rPr>
          <w:rFonts w:ascii="Times New Roman" w:eastAsia="Times New Roman" w:hAnsi="Times New Roman"/>
          <w:sz w:val="24"/>
        </w:rPr>
        <w:t>to be more closely aligned with language used in the Federal Emergency Management Agency’s (FEMA) National Risk Index (NRI)</w:t>
      </w:r>
      <w:r>
        <w:rPr>
          <w:rStyle w:val="FootnoteReference"/>
          <w:rFonts w:ascii="Times New Roman" w:eastAsia="Times New Roman" w:hAnsi="Times New Roman"/>
          <w:sz w:val="24"/>
        </w:rPr>
        <w:footnoteReference w:id="41"/>
      </w:r>
      <w:r w:rsidR="00FA61EE">
        <w:rPr>
          <w:rFonts w:ascii="Times New Roman" w:eastAsia="Times New Roman" w:hAnsi="Times New Roman"/>
          <w:sz w:val="24"/>
        </w:rPr>
        <w:t xml:space="preserve"> and Climate Essentials for Emergency Managers</w:t>
      </w:r>
      <w:r>
        <w:rPr>
          <w:rStyle w:val="FootnoteReference"/>
          <w:rFonts w:ascii="Times New Roman" w:eastAsia="Times New Roman" w:hAnsi="Times New Roman"/>
          <w:sz w:val="24"/>
        </w:rPr>
        <w:footnoteReference w:id="42"/>
      </w:r>
      <w:r w:rsidR="00FA61EE">
        <w:rPr>
          <w:rFonts w:ascii="Times New Roman" w:eastAsia="Times New Roman" w:hAnsi="Times New Roman"/>
          <w:sz w:val="24"/>
        </w:rPr>
        <w:t xml:space="preserve"> resources. For this final rule, EPA is defining natural hazards to mean meteorological, climatological, environmental, or geological phenomena that have the potential for negative impact, accounting for impacts due to climate change. Examples of such hazards include, but are not limited to, avalanche, coastal flooding, cold wave, drought, earthquake, hail, heat wave, hurricane, ice storm, landslide, lightning, riverine flooding, strong wind, tornado, tsunami, volcanic activity, wildfire, and winter weather. EPA believes CCPS’ definition and guidance</w:t>
      </w:r>
      <w:r>
        <w:rPr>
          <w:rStyle w:val="FootnoteReference"/>
          <w:rFonts w:ascii="Times New Roman" w:eastAsia="Times New Roman" w:hAnsi="Times New Roman"/>
          <w:sz w:val="24"/>
        </w:rPr>
        <w:footnoteReference w:id="43"/>
      </w:r>
      <w:r w:rsidR="00FA61EE">
        <w:rPr>
          <w:rFonts w:ascii="Times New Roman" w:eastAsia="Times New Roman" w:hAnsi="Times New Roman"/>
          <w:sz w:val="24"/>
        </w:rPr>
        <w:t xml:space="preserve"> presented in the SCCAP proposal, is still useful for facilities’ evaluation of natural hazards for process safety, however, the Agency believes these FEMA resources reflect a more comprehensive base to identify, evaluate and understand relative natural hazard risk, particularly how natural hazards must account for a changing climate. For example, the NRI identifies 18 specific natural hazards, which EPA has identified in its definition, that are further supported as their designation as natural hazards and are able to be represented in terms of expected annual loss, which incorporate data exposure, annualized frequency, and historic loss ratio.</w:t>
      </w:r>
      <w:r>
        <w:rPr>
          <w:rStyle w:val="FootnoteReference"/>
          <w:rFonts w:ascii="Times New Roman" w:eastAsia="Times New Roman" w:hAnsi="Times New Roman"/>
          <w:sz w:val="24"/>
        </w:rPr>
        <w:footnoteReference w:id="44"/>
      </w:r>
      <w:r w:rsidR="00FA61EE">
        <w:rPr>
          <w:rFonts w:ascii="Times New Roman" w:eastAsia="Times New Roman" w:hAnsi="Times New Roman"/>
          <w:sz w:val="24"/>
        </w:rPr>
        <w:t xml:space="preserve"> Additionally, the Climate Essentials for Emergency Managers points to many climate change resources including the Climate Risk &amp; Resilience Portal</w:t>
      </w:r>
      <w:r>
        <w:rPr>
          <w:rStyle w:val="FootnoteReference"/>
          <w:rFonts w:ascii="Times New Roman" w:eastAsia="Times New Roman" w:hAnsi="Times New Roman"/>
          <w:sz w:val="24"/>
        </w:rPr>
        <w:footnoteReference w:id="45"/>
      </w:r>
      <w:r w:rsidR="00FA61EE">
        <w:rPr>
          <w:rFonts w:ascii="Times New Roman" w:eastAsia="Times New Roman" w:hAnsi="Times New Roman"/>
          <w:sz w:val="24"/>
        </w:rPr>
        <w:t xml:space="preserve"> and the Climate Mapping for Adaption and Resilience Tool</w:t>
      </w:r>
      <w:r>
        <w:rPr>
          <w:rStyle w:val="FootnoteReference"/>
          <w:rFonts w:ascii="Times New Roman" w:eastAsia="Times New Roman" w:hAnsi="Times New Roman"/>
          <w:sz w:val="24"/>
        </w:rPr>
        <w:footnoteReference w:id="46"/>
      </w:r>
      <w:r w:rsidR="00FA61EE">
        <w:rPr>
          <w:rFonts w:ascii="Times New Roman" w:eastAsia="Times New Roman" w:hAnsi="Times New Roman"/>
          <w:sz w:val="24"/>
        </w:rPr>
        <w:t xml:space="preserve"> that allows users to examine simulated future climate conditions associated with the natural hazards identified in the NRI.  </w:t>
      </w:r>
    </w:p>
    <w:p w:rsidR="00D43808" w:rsidRPr="00611F56" w:rsidP="00D43808" w14:paraId="4A3FF005" w14:textId="4B7D49B9">
      <w:pPr>
        <w:rPr>
          <w:rFonts w:ascii="Times New Roman" w:hAnsi="Times New Roman"/>
          <w:b/>
          <w:sz w:val="24"/>
        </w:rPr>
      </w:pPr>
      <w:r>
        <w:rPr>
          <w:rFonts w:ascii="Times New Roman" w:hAnsi="Times New Roman"/>
          <w:b/>
          <w:bCs/>
          <w:sz w:val="24"/>
        </w:rPr>
        <w:t>Comment 2.1-2</w:t>
      </w:r>
      <w:r w:rsidR="003F057C">
        <w:rPr>
          <w:rFonts w:ascii="Times New Roman" w:hAnsi="Times New Roman"/>
          <w:b/>
          <w:bCs/>
          <w:sz w:val="24"/>
        </w:rPr>
        <w:t>3</w:t>
      </w:r>
      <w:r>
        <w:rPr>
          <w:rFonts w:ascii="Times New Roman" w:hAnsi="Times New Roman"/>
          <w:b/>
          <w:bCs/>
          <w:sz w:val="24"/>
        </w:rPr>
        <w:t xml:space="preserve">: </w:t>
      </w:r>
      <w:r>
        <w:rPr>
          <w:rFonts w:ascii="Times New Roman" w:hAnsi="Times New Roman"/>
          <w:sz w:val="24"/>
        </w:rPr>
        <w:t>One</w:t>
      </w:r>
      <w:r w:rsidRPr="06C60982">
        <w:rPr>
          <w:rFonts w:ascii="Times New Roman" w:hAnsi="Times New Roman"/>
          <w:sz w:val="24"/>
        </w:rPr>
        <w:t xml:space="preserve"> commenter noted that EPA must finalize provisions related to Natural and Technological (NaTech) disasters in response to reports and recommendations from EPA’s Office of Inspector General and Office of Enforcement and Compliance Assurance (OECA), the CSB, and the Center for Chemical Process Safety (CCPS), all of which have acknowledged the need to assess, prevent, and mitigate NaTech risks (0460).</w:t>
      </w:r>
      <w:r w:rsidRPr="006F68E9">
        <w:rPr>
          <w:rFonts w:ascii="Times New Roman" w:hAnsi="Times New Roman"/>
          <w:sz w:val="24"/>
        </w:rPr>
        <w:t xml:space="preserve"> </w:t>
      </w:r>
    </w:p>
    <w:p w:rsidR="00D43808" w:rsidRPr="009C1B6A" w:rsidP="00B128BE" w14:paraId="11E7D0B4" w14:textId="5E8DCFB7">
      <w:pPr>
        <w:ind w:left="720"/>
        <w:rPr>
          <w:rFonts w:ascii="Times New Roman" w:hAnsi="Times New Roman"/>
          <w:b/>
          <w:bCs/>
          <w:sz w:val="24"/>
        </w:rPr>
      </w:pPr>
      <w:r w:rsidRPr="002D4DBE">
        <w:rPr>
          <w:rFonts w:ascii="Times New Roman" w:hAnsi="Times New Roman"/>
          <w:b/>
          <w:bCs/>
          <w:sz w:val="24"/>
        </w:rPr>
        <w:t>EPA Response:</w:t>
      </w:r>
      <w:r w:rsidRPr="00655A42" w:rsidR="00655A42">
        <w:t xml:space="preserve"> </w:t>
      </w:r>
      <w:r w:rsidRPr="00241D6E" w:rsidR="00D93422">
        <w:rPr>
          <w:rFonts w:ascii="Times New Roman" w:hAnsi="Times New Roman"/>
          <w:sz w:val="24"/>
        </w:rPr>
        <w:t>EPA agrees with these comments</w:t>
      </w:r>
      <w:r w:rsidR="00241D6E">
        <w:rPr>
          <w:rFonts w:ascii="Times New Roman" w:hAnsi="Times New Roman"/>
          <w:sz w:val="24"/>
        </w:rPr>
        <w:t xml:space="preserve"> and i</w:t>
      </w:r>
      <w:r w:rsidRPr="00D93422" w:rsidR="00B24725">
        <w:rPr>
          <w:rFonts w:ascii="Times New Roman" w:hAnsi="Times New Roman"/>
          <w:sz w:val="24"/>
        </w:rPr>
        <w:t xml:space="preserve">n the SCCAP proposal EPA acknowledged the </w:t>
      </w:r>
      <w:r w:rsidRPr="00D93422" w:rsidR="002D4DBE">
        <w:rPr>
          <w:rFonts w:ascii="Times New Roman" w:hAnsi="Times New Roman"/>
          <w:sz w:val="24"/>
        </w:rPr>
        <w:t>aforementioned</w:t>
      </w:r>
      <w:r w:rsidRPr="00D93422" w:rsidR="00B24725">
        <w:rPr>
          <w:rFonts w:ascii="Times New Roman" w:hAnsi="Times New Roman"/>
          <w:sz w:val="24"/>
        </w:rPr>
        <w:t xml:space="preserve"> </w:t>
      </w:r>
      <w:r w:rsidRPr="00D93422" w:rsidR="00655A42">
        <w:rPr>
          <w:rFonts w:ascii="Times New Roman" w:hAnsi="Times New Roman"/>
          <w:sz w:val="24"/>
        </w:rPr>
        <w:t>new studies showing that the</w:t>
      </w:r>
      <w:r w:rsidRPr="00D93422" w:rsidR="00B24725">
        <w:rPr>
          <w:rFonts w:ascii="Times New Roman" w:hAnsi="Times New Roman"/>
          <w:sz w:val="24"/>
        </w:rPr>
        <w:t xml:space="preserve"> </w:t>
      </w:r>
      <w:r w:rsidRPr="00D93422" w:rsidR="00655A42">
        <w:rPr>
          <w:rFonts w:ascii="Times New Roman" w:hAnsi="Times New Roman"/>
          <w:sz w:val="24"/>
        </w:rPr>
        <w:t>threat of natural hazards is increasing</w:t>
      </w:r>
      <w:r w:rsidR="00241D6E">
        <w:rPr>
          <w:rFonts w:ascii="Times New Roman" w:hAnsi="Times New Roman"/>
          <w:sz w:val="24"/>
        </w:rPr>
        <w:t xml:space="preserve">. EPA </w:t>
      </w:r>
      <w:r w:rsidRPr="00D93422" w:rsidR="00254E8E">
        <w:rPr>
          <w:rFonts w:ascii="Times New Roman" w:hAnsi="Times New Roman"/>
          <w:sz w:val="24"/>
        </w:rPr>
        <w:t>is finalizing the proposed provisions because the Agency believes that making the requirement more explicit to evaluate natural hazards in hazard evaluations for Program 2 and Program 3 RMP-regulated processes will ensure that the threats of natural hazards are properly evaluated and managed to prevent or mitigate releases of RMP-regulated substances at covered facilities</w:t>
      </w:r>
      <w:r w:rsidRPr="00D93422" w:rsidR="002D4DBE">
        <w:rPr>
          <w:rFonts w:ascii="Times New Roman" w:hAnsi="Times New Roman"/>
          <w:sz w:val="24"/>
        </w:rPr>
        <w:t>.</w:t>
      </w:r>
      <w:r w:rsidRPr="002D4DBE" w:rsidR="002D4DBE">
        <w:rPr>
          <w:rFonts w:ascii="Times New Roman" w:hAnsi="Times New Roman"/>
          <w:sz w:val="24"/>
        </w:rPr>
        <w:t xml:space="preserve"> </w:t>
      </w:r>
    </w:p>
    <w:p w:rsidR="00D43808" w:rsidRPr="003B11ED" w:rsidP="00D4281A" w14:paraId="053E378D" w14:textId="77777777">
      <w:pPr>
        <w:pStyle w:val="Heading2"/>
        <w:spacing w:before="120"/>
        <w:rPr>
          <w:rFonts w:ascii="Times New Roman" w:hAnsi="Times New Roman" w:cs="Times New Roman"/>
          <w:b/>
          <w:color w:val="auto"/>
          <w:sz w:val="24"/>
          <w:szCs w:val="24"/>
        </w:rPr>
      </w:pPr>
      <w:bookmarkStart w:id="28" w:name="_Toc146879978"/>
      <w:bookmarkStart w:id="29" w:name="_Toc153373772"/>
      <w:r w:rsidRPr="6D3F9CC5">
        <w:rPr>
          <w:rFonts w:ascii="Times New Roman" w:hAnsi="Times New Roman" w:cs="Times New Roman"/>
          <w:b/>
          <w:bCs/>
          <w:color w:val="auto"/>
          <w:sz w:val="24"/>
          <w:szCs w:val="24"/>
        </w:rPr>
        <w:t>Additional guidance for assessing natural hazards</w:t>
      </w:r>
      <w:bookmarkEnd w:id="28"/>
      <w:bookmarkEnd w:id="29"/>
      <w:r w:rsidRPr="6D3F9CC5">
        <w:rPr>
          <w:rFonts w:ascii="Times New Roman" w:hAnsi="Times New Roman" w:cs="Times New Roman"/>
          <w:b/>
          <w:bCs/>
          <w:color w:val="auto"/>
          <w:sz w:val="24"/>
          <w:szCs w:val="24"/>
        </w:rPr>
        <w:t xml:space="preserve"> </w:t>
      </w:r>
    </w:p>
    <w:p w:rsidR="00D43808" w:rsidP="00D43808" w14:paraId="3EE5CB81" w14:textId="77777777">
      <w:pPr>
        <w:rPr>
          <w:rFonts w:ascii="Times New Roman" w:hAnsi="Times New Roman"/>
          <w:i/>
          <w:iCs/>
          <w:sz w:val="24"/>
        </w:rPr>
      </w:pPr>
      <w:r>
        <w:rPr>
          <w:rFonts w:ascii="Times New Roman" w:hAnsi="Times New Roman"/>
          <w:i/>
          <w:iCs/>
          <w:sz w:val="24"/>
        </w:rPr>
        <w:t>Comments in support of additional guidance</w:t>
      </w:r>
    </w:p>
    <w:p w:rsidR="00D43808" w:rsidRPr="002301CA" w:rsidP="00D43808" w14:paraId="10BCDEF2" w14:textId="77777777">
      <w:pPr>
        <w:rPr>
          <w:rFonts w:ascii="Times New Roman" w:hAnsi="Times New Roman"/>
          <w:b/>
          <w:sz w:val="24"/>
        </w:rPr>
      </w:pPr>
      <w:r>
        <w:rPr>
          <w:rFonts w:ascii="Times New Roman" w:hAnsi="Times New Roman"/>
          <w:b/>
          <w:bCs/>
          <w:sz w:val="24"/>
        </w:rPr>
        <w:t xml:space="preserve">Comment 2.2-01: </w:t>
      </w:r>
      <w:r w:rsidRPr="006F68E9">
        <w:rPr>
          <w:rFonts w:ascii="Times New Roman" w:hAnsi="Times New Roman"/>
          <w:sz w:val="24"/>
        </w:rPr>
        <w:t xml:space="preserve">Several commenters expressed support for the development of additional guidance to assist facilities in conducting natural hazard and climate-related hazard analysis (0173, 0215, 0241, 0261, 0265, 0266, 0444, 0460). </w:t>
      </w: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asserted</w:t>
      </w:r>
      <w:r w:rsidRPr="006F68E9">
        <w:rPr>
          <w:rFonts w:ascii="Times New Roman" w:hAnsi="Times New Roman"/>
          <w:sz w:val="24"/>
        </w:rPr>
        <w:t xml:space="preserve"> that additional guidance for assessing natural hazards is needed to ensure that facilities take all appropriate risks into account (0265). One commenter noted that without specific guidance, asking facilities to anticipate complex climate cycles and their increase</w:t>
      </w:r>
      <w:r>
        <w:rPr>
          <w:rFonts w:ascii="Times New Roman" w:hAnsi="Times New Roman"/>
          <w:sz w:val="24"/>
        </w:rPr>
        <w:t>d</w:t>
      </w:r>
      <w:r w:rsidRPr="006F68E9">
        <w:rPr>
          <w:rFonts w:ascii="Times New Roman" w:hAnsi="Times New Roman"/>
          <w:sz w:val="24"/>
        </w:rPr>
        <w:t xml:space="preserve"> variability is overly burdensome. The commenter stated that an agency must give “fair notice” of conduct it expects a regulated entity to adhere to</w:t>
      </w:r>
      <w:r>
        <w:rPr>
          <w:rFonts w:ascii="Times New Roman" w:hAnsi="Times New Roman"/>
          <w:sz w:val="24"/>
        </w:rPr>
        <w:t>.</w:t>
      </w:r>
      <w:r w:rsidRPr="006F68E9">
        <w:rPr>
          <w:rFonts w:ascii="Times New Roman" w:hAnsi="Times New Roman"/>
          <w:sz w:val="24"/>
        </w:rPr>
        <w:t xml:space="preserve"> </w:t>
      </w:r>
      <w:r>
        <w:rPr>
          <w:rFonts w:ascii="Times New Roman" w:hAnsi="Times New Roman"/>
          <w:sz w:val="24"/>
        </w:rPr>
        <w:t>T</w:t>
      </w:r>
      <w:r w:rsidRPr="006F68E9">
        <w:rPr>
          <w:rFonts w:ascii="Times New Roman" w:hAnsi="Times New Roman"/>
          <w:sz w:val="24"/>
        </w:rPr>
        <w:t>herefore</w:t>
      </w:r>
      <w:r>
        <w:rPr>
          <w:rFonts w:ascii="Times New Roman" w:hAnsi="Times New Roman"/>
          <w:sz w:val="24"/>
        </w:rPr>
        <w:t>,</w:t>
      </w:r>
      <w:r w:rsidRPr="006F68E9">
        <w:rPr>
          <w:rFonts w:ascii="Times New Roman" w:hAnsi="Times New Roman"/>
          <w:sz w:val="24"/>
        </w:rPr>
        <w:t xml:space="preserve"> guidance is necessary, instead of suggesting that regulated facilities use “all available resources” (0232).</w:t>
      </w:r>
      <w:r>
        <w:rPr>
          <w:rFonts w:ascii="Times New Roman" w:hAnsi="Times New Roman"/>
          <w:sz w:val="24"/>
        </w:rPr>
        <w:t xml:space="preserve"> </w:t>
      </w:r>
      <w:r w:rsidRPr="006F68E9">
        <w:rPr>
          <w:rFonts w:ascii="Times New Roman" w:hAnsi="Times New Roman"/>
          <w:sz w:val="24"/>
        </w:rPr>
        <w:t>Another commenter recommended that EPA provide direct technical advice to facilities to ensure they are compliant with the new regulation, and use the experience and lessons learned from providing the advice to inform a guidance document (0460).</w:t>
      </w:r>
    </w:p>
    <w:p w:rsidR="008D7AF8" w:rsidP="008D7AF8" w14:paraId="65C9F479" w14:textId="77777777">
      <w:pPr>
        <w:ind w:left="720"/>
        <w:rPr>
          <w:rFonts w:ascii="Times New Roman" w:hAnsi="Times New Roman"/>
          <w:sz w:val="24"/>
        </w:rPr>
      </w:pPr>
      <w:r w:rsidRPr="00C879E4">
        <w:rPr>
          <w:rFonts w:ascii="Times New Roman" w:hAnsi="Times New Roman"/>
          <w:b/>
          <w:bCs/>
          <w:sz w:val="24"/>
        </w:rPr>
        <w:t>EPA Response:</w:t>
      </w:r>
      <w:r>
        <w:rPr>
          <w:rFonts w:ascii="Times New Roman" w:hAnsi="Times New Roman"/>
          <w:b/>
          <w:bCs/>
          <w:sz w:val="24"/>
        </w:rPr>
        <w:t xml:space="preserve"> </w:t>
      </w:r>
      <w:r w:rsidRPr="008D7AF8">
        <w:rPr>
          <w:rFonts w:ascii="Times New Roman" w:hAnsi="Times New Roman"/>
          <w:sz w:val="24"/>
        </w:rPr>
        <w:t>EPA appreciates the commenters’</w:t>
      </w:r>
      <w:r>
        <w:rPr>
          <w:rFonts w:ascii="Times New Roman" w:hAnsi="Times New Roman"/>
          <w:sz w:val="24"/>
        </w:rPr>
        <w:t xml:space="preserve"> support and</w:t>
      </w:r>
      <w:r w:rsidRPr="008D7AF8">
        <w:rPr>
          <w:rFonts w:ascii="Times New Roman" w:hAnsi="Times New Roman"/>
          <w:sz w:val="24"/>
        </w:rPr>
        <w:t xml:space="preserve"> suggestions for guidance related to assessing natural hazards and will consider them during future guidance development.</w:t>
      </w:r>
      <w:r>
        <w:rPr>
          <w:rFonts w:ascii="Times New Roman" w:hAnsi="Times New Roman"/>
          <w:sz w:val="24"/>
        </w:rPr>
        <w:t xml:space="preserve"> </w:t>
      </w:r>
    </w:p>
    <w:p w:rsidR="00D43808" w:rsidP="007B34AB" w14:paraId="76C596BD" w14:textId="1E636297">
      <w:pPr>
        <w:rPr>
          <w:rFonts w:ascii="Times New Roman" w:hAnsi="Times New Roman"/>
          <w:b/>
          <w:sz w:val="24"/>
        </w:rPr>
      </w:pPr>
      <w:r>
        <w:rPr>
          <w:rFonts w:ascii="Times New Roman" w:hAnsi="Times New Roman"/>
          <w:b/>
          <w:bCs/>
          <w:sz w:val="24"/>
        </w:rPr>
        <w:t>Comment 2.2-02:</w:t>
      </w:r>
      <w:r>
        <w:rPr>
          <w:rFonts w:ascii="Times New Roman" w:hAnsi="Times New Roman"/>
          <w:b/>
          <w:sz w:val="24"/>
        </w:rPr>
        <w:t xml:space="preserve"> </w:t>
      </w:r>
      <w:r w:rsidRPr="00427D4D">
        <w:rPr>
          <w:rFonts w:ascii="Times New Roman" w:hAnsi="Times New Roman"/>
          <w:sz w:val="24"/>
        </w:rPr>
        <w:t>Several commenters suggested that additional guidance be provided on the following topics:</w:t>
      </w:r>
      <w:r>
        <w:rPr>
          <w:rFonts w:ascii="Times New Roman" w:hAnsi="Times New Roman"/>
          <w:b/>
          <w:sz w:val="24"/>
        </w:rPr>
        <w:t xml:space="preserve"> </w:t>
      </w:r>
    </w:p>
    <w:p w:rsidR="00D43808" w:rsidRPr="00427D4D" w:rsidP="00E57324" w14:paraId="1534C82C" w14:textId="77777777">
      <w:pPr>
        <w:pStyle w:val="ListParagraph"/>
        <w:numPr>
          <w:ilvl w:val="0"/>
          <w:numId w:val="13"/>
        </w:numPr>
        <w:rPr>
          <w:rFonts w:ascii="Times New Roman" w:hAnsi="Times New Roman"/>
          <w:b/>
          <w:sz w:val="24"/>
        </w:rPr>
      </w:pPr>
      <w:r w:rsidRPr="003D5A7F">
        <w:rPr>
          <w:rFonts w:ascii="Times New Roman" w:hAnsi="Times New Roman"/>
          <w:sz w:val="24"/>
        </w:rPr>
        <w:t>A few commenters stated that guidance is needed to better define the analysis that must be conducted</w:t>
      </w:r>
      <w:r>
        <w:rPr>
          <w:rFonts w:ascii="Times New Roman" w:hAnsi="Times New Roman"/>
          <w:sz w:val="24"/>
        </w:rPr>
        <w:t xml:space="preserve"> and</w:t>
      </w:r>
      <w:r w:rsidRPr="003D5A7F">
        <w:rPr>
          <w:rFonts w:ascii="Times New Roman" w:hAnsi="Times New Roman"/>
          <w:sz w:val="24"/>
        </w:rPr>
        <w:t xml:space="preserve"> to identify recommended assessment methods (0173, 0261, 0267). One commenter </w:t>
      </w:r>
      <w:r>
        <w:rPr>
          <w:rFonts w:ascii="Times New Roman" w:hAnsi="Times New Roman"/>
          <w:sz w:val="24"/>
        </w:rPr>
        <w:t>requested</w:t>
      </w:r>
      <w:r w:rsidRPr="003D5A7F">
        <w:rPr>
          <w:rFonts w:ascii="Times New Roman" w:hAnsi="Times New Roman"/>
          <w:sz w:val="24"/>
        </w:rPr>
        <w:t xml:space="preserve"> additional guidance or regulations </w:t>
      </w:r>
      <w:r>
        <w:rPr>
          <w:rFonts w:ascii="Times New Roman" w:hAnsi="Times New Roman"/>
          <w:sz w:val="24"/>
        </w:rPr>
        <w:t xml:space="preserve">on </w:t>
      </w:r>
      <w:r w:rsidRPr="003D5A7F">
        <w:rPr>
          <w:rFonts w:ascii="Times New Roman" w:hAnsi="Times New Roman"/>
          <w:sz w:val="24"/>
        </w:rPr>
        <w:t>local and regional climate dat</w:t>
      </w:r>
      <w:r>
        <w:rPr>
          <w:rFonts w:ascii="Times New Roman" w:hAnsi="Times New Roman"/>
          <w:sz w:val="24"/>
        </w:rPr>
        <w:t>a</w:t>
      </w:r>
      <w:r w:rsidRPr="003D5A7F">
        <w:rPr>
          <w:rFonts w:ascii="Times New Roman" w:hAnsi="Times New Roman"/>
          <w:sz w:val="24"/>
        </w:rPr>
        <w:t xml:space="preserve">, data availability, and how to define an adequate review of climate change-related hazards. The commenter </w:t>
      </w:r>
      <w:r>
        <w:rPr>
          <w:rFonts w:ascii="Times New Roman" w:hAnsi="Times New Roman"/>
          <w:sz w:val="24"/>
        </w:rPr>
        <w:t>requested that</w:t>
      </w:r>
      <w:r w:rsidRPr="003D5A7F">
        <w:rPr>
          <w:rFonts w:ascii="Times New Roman" w:hAnsi="Times New Roman"/>
          <w:sz w:val="24"/>
        </w:rPr>
        <w:t xml:space="preserve"> EPA identify recommended data sets that facilities should use and ensure that data sets are regularly updated and use the best available science (0266).</w:t>
      </w:r>
    </w:p>
    <w:p w:rsidR="00D43808" w:rsidRPr="00427D4D" w:rsidP="00E57324" w14:paraId="24F00F09" w14:textId="77777777">
      <w:pPr>
        <w:pStyle w:val="ListParagraph"/>
        <w:numPr>
          <w:ilvl w:val="0"/>
          <w:numId w:val="13"/>
        </w:numPr>
        <w:rPr>
          <w:rFonts w:ascii="Times New Roman" w:hAnsi="Times New Roman"/>
          <w:b/>
          <w:sz w:val="24"/>
        </w:rPr>
      </w:pPr>
      <w:r w:rsidRPr="00427D4D">
        <w:rPr>
          <w:rFonts w:ascii="Times New Roman" w:hAnsi="Times New Roman"/>
          <w:sz w:val="24"/>
        </w:rPr>
        <w:t>Another commenter suggested that EPA develop an information clearinghouse to track common deficiencies found during inspections related to natural hazard and climate change hazard assessments that can be used by facilities to improve compliance and ensure critical hazards are included in emergency preparedness and planning efforts (0241).</w:t>
      </w:r>
    </w:p>
    <w:p w:rsidR="00D43808" w:rsidRPr="00427D4D" w:rsidP="00E57324" w14:paraId="287D97F3" w14:textId="77777777">
      <w:pPr>
        <w:pStyle w:val="ListParagraph"/>
        <w:numPr>
          <w:ilvl w:val="0"/>
          <w:numId w:val="13"/>
        </w:numPr>
        <w:rPr>
          <w:rFonts w:ascii="Times New Roman" w:hAnsi="Times New Roman"/>
          <w:b/>
          <w:sz w:val="24"/>
        </w:rPr>
      </w:pPr>
      <w:r w:rsidRPr="006F68E9">
        <w:rPr>
          <w:rFonts w:ascii="Times New Roman" w:hAnsi="Times New Roman"/>
          <w:sz w:val="24"/>
        </w:rPr>
        <w:t>One commenter suggested that EPA should develop guidance and training for inspectors, so they are informed on what constitutes an adequate climate-related hazard assessment (0266).</w:t>
      </w:r>
    </w:p>
    <w:p w:rsidR="00D43808" w:rsidRPr="00F850BF" w:rsidP="00E57324" w14:paraId="753B0A49" w14:textId="77777777">
      <w:pPr>
        <w:pStyle w:val="ListParagraph"/>
        <w:numPr>
          <w:ilvl w:val="0"/>
          <w:numId w:val="13"/>
        </w:numPr>
        <w:rPr>
          <w:rFonts w:ascii="Times New Roman" w:hAnsi="Times New Roman"/>
          <w:b/>
          <w:sz w:val="24"/>
        </w:rPr>
      </w:pPr>
      <w:r w:rsidRPr="006F68E9">
        <w:rPr>
          <w:rFonts w:ascii="Times New Roman" w:hAnsi="Times New Roman"/>
          <w:sz w:val="24"/>
        </w:rPr>
        <w:t xml:space="preserve">One commenter </w:t>
      </w:r>
      <w:r w:rsidRPr="00F850BF">
        <w:rPr>
          <w:rFonts w:ascii="Times New Roman" w:hAnsi="Times New Roman"/>
          <w:sz w:val="24"/>
        </w:rPr>
        <w:t>requested clarification on what it means for RMP-regulated sources to account for climate change and requested EPA provide guidance on how to anticipate such effects to assist sources with meeting EPA’s expectations (0229).</w:t>
      </w:r>
    </w:p>
    <w:p w:rsidR="00D43808" w:rsidRPr="00F850BF" w:rsidP="00E57324" w14:paraId="75067785" w14:textId="77777777">
      <w:pPr>
        <w:pStyle w:val="ListParagraph"/>
        <w:numPr>
          <w:ilvl w:val="0"/>
          <w:numId w:val="13"/>
        </w:numPr>
        <w:rPr>
          <w:rFonts w:ascii="Times New Roman" w:hAnsi="Times New Roman"/>
          <w:b/>
          <w:sz w:val="24"/>
        </w:rPr>
      </w:pPr>
      <w:r w:rsidRPr="00F850BF">
        <w:rPr>
          <w:rFonts w:ascii="Times New Roman" w:hAnsi="Times New Roman"/>
          <w:sz w:val="24"/>
        </w:rPr>
        <w:t>One of the commenters stated that guidance should define “reasonably anticipated external events” used in the proposed rule (0173).</w:t>
      </w:r>
    </w:p>
    <w:p w:rsidR="00D43808" w:rsidRPr="008060FF" w:rsidP="00E57324" w14:paraId="142423D4" w14:textId="77777777">
      <w:pPr>
        <w:pStyle w:val="ListParagraph"/>
        <w:numPr>
          <w:ilvl w:val="0"/>
          <w:numId w:val="13"/>
        </w:numPr>
        <w:rPr>
          <w:rFonts w:ascii="Times New Roman" w:hAnsi="Times New Roman"/>
          <w:b/>
          <w:sz w:val="24"/>
        </w:rPr>
      </w:pPr>
      <w:r w:rsidRPr="00F850BF">
        <w:rPr>
          <w:rFonts w:ascii="Times New Roman" w:hAnsi="Times New Roman"/>
          <w:sz w:val="24"/>
        </w:rPr>
        <w:t>One of the commenters suggested that EPA develop a comprehensive report on the types of natural hazards that have occurred and impacted facilities (0192).</w:t>
      </w:r>
    </w:p>
    <w:p w:rsidR="00D43808" w:rsidRPr="00F25261" w:rsidP="00E57324" w14:paraId="497F2EE4" w14:textId="77777777">
      <w:pPr>
        <w:pStyle w:val="ListParagraph"/>
        <w:numPr>
          <w:ilvl w:val="0"/>
          <w:numId w:val="13"/>
        </w:numPr>
        <w:rPr>
          <w:rFonts w:ascii="Times New Roman" w:hAnsi="Times New Roman"/>
          <w:b/>
          <w:sz w:val="24"/>
        </w:rPr>
      </w:pPr>
      <w:r>
        <w:rPr>
          <w:rFonts w:ascii="Times New Roman" w:hAnsi="Times New Roman"/>
          <w:sz w:val="24"/>
        </w:rPr>
        <w:t xml:space="preserve">One </w:t>
      </w:r>
      <w:r w:rsidRPr="006F68E9">
        <w:rPr>
          <w:rFonts w:ascii="Times New Roman" w:hAnsi="Times New Roman"/>
          <w:sz w:val="24"/>
        </w:rPr>
        <w:t>commenter suggested that EPA could create a central online repository for existing guidance documents from industry (0215).</w:t>
      </w:r>
    </w:p>
    <w:p w:rsidR="00D43808" w:rsidRPr="008F46A5" w:rsidP="00E57324" w14:paraId="2F36C77B" w14:textId="77777777">
      <w:pPr>
        <w:pStyle w:val="ListParagraph"/>
        <w:numPr>
          <w:ilvl w:val="0"/>
          <w:numId w:val="13"/>
        </w:numPr>
        <w:rPr>
          <w:rFonts w:ascii="Times New Roman" w:hAnsi="Times New Roman"/>
          <w:b/>
          <w:sz w:val="24"/>
        </w:rPr>
      </w:pPr>
      <w:r>
        <w:rPr>
          <w:rFonts w:ascii="Times New Roman" w:hAnsi="Times New Roman"/>
          <w:sz w:val="24"/>
        </w:rPr>
        <w:t>One commenter</w:t>
      </w:r>
      <w:r w:rsidRPr="006F68E9">
        <w:rPr>
          <w:rFonts w:ascii="Times New Roman" w:hAnsi="Times New Roman"/>
          <w:sz w:val="24"/>
        </w:rPr>
        <w:t xml:space="preserve"> recommended improving upon the AIChE and CCPS guidelines by including guidance on how to model future climate conditions and consider impacts to natural hazards (0204).</w:t>
      </w:r>
    </w:p>
    <w:p w:rsidR="008F46A5" w:rsidP="008F46A5" w14:paraId="0F0CAC5D" w14:textId="77777777">
      <w:pPr>
        <w:rPr>
          <w:rFonts w:ascii="Times New Roman" w:hAnsi="Times New Roman"/>
          <w:b/>
          <w:sz w:val="24"/>
        </w:rPr>
      </w:pPr>
      <w:r w:rsidRPr="00427D4D">
        <w:rPr>
          <w:rFonts w:ascii="Times New Roman" w:hAnsi="Times New Roman"/>
          <w:bCs/>
          <w:sz w:val="24"/>
        </w:rPr>
        <w:t xml:space="preserve">Several commenters </w:t>
      </w:r>
      <w:r>
        <w:rPr>
          <w:rFonts w:ascii="Times New Roman" w:hAnsi="Times New Roman"/>
          <w:bCs/>
          <w:sz w:val="24"/>
        </w:rPr>
        <w:t xml:space="preserve">provided suggestions regarding the content of guidance: </w:t>
      </w:r>
    </w:p>
    <w:p w:rsidR="008F46A5" w:rsidRPr="00287D90" w:rsidP="008F46A5" w14:paraId="743D2C25" w14:textId="77777777">
      <w:pPr>
        <w:pStyle w:val="ListParagraph"/>
        <w:numPr>
          <w:ilvl w:val="0"/>
          <w:numId w:val="14"/>
        </w:numPr>
        <w:rPr>
          <w:rFonts w:ascii="Times New Roman" w:hAnsi="Times New Roman"/>
          <w:b/>
          <w:sz w:val="24"/>
        </w:rPr>
      </w:pPr>
      <w:r w:rsidRPr="00287D90">
        <w:rPr>
          <w:rFonts w:ascii="Times New Roman" w:hAnsi="Times New Roman"/>
          <w:sz w:val="24"/>
        </w:rPr>
        <w:t xml:space="preserve">One commenter suggested that any guidance encourage facilities to base analysis on hydrological modeling, including a review of assets that may be susceptible to high water levels and wave action in the 1% and 0.2% annual probability (i.e., 100-year and 500-year) flooding events. The commenter suggested that modeling could include additional analysis of the impacts NBS would have on flood levels, as well as evaluate how future conditions may change due to climate change (0204). </w:t>
      </w:r>
    </w:p>
    <w:p w:rsidR="008F46A5" w:rsidRPr="00287D90" w:rsidP="008F46A5" w14:paraId="69D388C4" w14:textId="77777777">
      <w:pPr>
        <w:pStyle w:val="ListParagraph"/>
        <w:numPr>
          <w:ilvl w:val="0"/>
          <w:numId w:val="14"/>
        </w:numPr>
        <w:rPr>
          <w:rFonts w:ascii="Times New Roman" w:hAnsi="Times New Roman"/>
          <w:b/>
          <w:sz w:val="24"/>
        </w:rPr>
      </w:pPr>
      <w:r w:rsidRPr="00287D90">
        <w:rPr>
          <w:rFonts w:ascii="Times New Roman" w:hAnsi="Times New Roman"/>
          <w:sz w:val="24"/>
        </w:rPr>
        <w:t xml:space="preserve">One commenter suggested that EPA develop guidance at a granular level for facilities. The commenter offered that EPA should set standards for whether or not a facility should assess a flooding hazard based on if they are in a floodplain, or specifying a specific flood intensity (e.g., 100-year flood) that would increase in frequency (0261). </w:t>
      </w:r>
      <w:r>
        <w:rPr>
          <w:rFonts w:ascii="Times New Roman" w:hAnsi="Times New Roman"/>
          <w:sz w:val="24"/>
        </w:rPr>
        <w:t>Another commenter echoed</w:t>
      </w:r>
      <w:r w:rsidRPr="006F68E9">
        <w:rPr>
          <w:rFonts w:ascii="Times New Roman" w:hAnsi="Times New Roman"/>
          <w:sz w:val="24"/>
        </w:rPr>
        <w:t xml:space="preserve"> that EPA take a regional, sector-specific approach to providing guidance to facilities on how to address natural hazards (0261).</w:t>
      </w:r>
    </w:p>
    <w:p w:rsidR="008F46A5" w:rsidRPr="008F46A5" w:rsidP="008F46A5" w14:paraId="12B946B4" w14:textId="1AB113D8">
      <w:pPr>
        <w:pStyle w:val="ListParagraph"/>
        <w:numPr>
          <w:ilvl w:val="0"/>
          <w:numId w:val="14"/>
        </w:numPr>
        <w:rPr>
          <w:rFonts w:ascii="Times New Roman" w:hAnsi="Times New Roman"/>
          <w:b/>
          <w:sz w:val="24"/>
        </w:rPr>
      </w:pPr>
      <w:r>
        <w:rPr>
          <w:rFonts w:ascii="Times New Roman" w:hAnsi="Times New Roman"/>
          <w:sz w:val="24"/>
        </w:rPr>
        <w:t xml:space="preserve">One </w:t>
      </w:r>
      <w:r w:rsidRPr="006F68E9">
        <w:rPr>
          <w:rFonts w:ascii="Times New Roman" w:hAnsi="Times New Roman"/>
          <w:sz w:val="24"/>
        </w:rPr>
        <w:t>commenter stated that it is important for any guidance to be easy-to-use, specific, and regionally-based (0230).</w:t>
      </w:r>
    </w:p>
    <w:p w:rsidR="00D43808" w:rsidRPr="00BD61CF" w:rsidP="00D43808" w14:paraId="638F8DAD" w14:textId="77777777">
      <w:pPr>
        <w:ind w:left="720"/>
        <w:rPr>
          <w:rFonts w:ascii="Times New Roman" w:hAnsi="Times New Roman"/>
          <w:b/>
          <w:sz w:val="24"/>
        </w:rPr>
      </w:pPr>
      <w:r w:rsidRPr="00C879E4">
        <w:rPr>
          <w:rFonts w:ascii="Times New Roman" w:hAnsi="Times New Roman"/>
          <w:b/>
          <w:bCs/>
          <w:sz w:val="24"/>
        </w:rPr>
        <w:t xml:space="preserve">EPA Response: </w:t>
      </w:r>
      <w:r w:rsidRPr="00C879E4">
        <w:rPr>
          <w:rFonts w:ascii="Times New Roman" w:hAnsi="Times New Roman"/>
          <w:sz w:val="24"/>
        </w:rPr>
        <w:t>EPA appreciates the commenters’ suggestions for guidance related to assessing natural hazards and will consider them during future guidance development</w:t>
      </w:r>
      <w:r>
        <w:rPr>
          <w:rFonts w:ascii="Times New Roman" w:hAnsi="Times New Roman"/>
          <w:sz w:val="24"/>
        </w:rPr>
        <w:t>.</w:t>
      </w:r>
    </w:p>
    <w:p w:rsidR="00D43808" w:rsidRPr="008B3C1D" w:rsidP="00D43808" w14:paraId="7900C448" w14:textId="77777777">
      <w:pPr>
        <w:rPr>
          <w:rFonts w:ascii="Times New Roman" w:hAnsi="Times New Roman"/>
          <w:i/>
          <w:sz w:val="24"/>
        </w:rPr>
      </w:pPr>
      <w:r>
        <w:rPr>
          <w:rFonts w:ascii="Times New Roman" w:hAnsi="Times New Roman"/>
          <w:i/>
          <w:iCs/>
          <w:sz w:val="24"/>
        </w:rPr>
        <w:t xml:space="preserve">Other comments on additional guidance </w:t>
      </w:r>
    </w:p>
    <w:p w:rsidR="00D43808" w:rsidP="00D43808" w14:paraId="2D76F166" w14:textId="2BB223C2">
      <w:pPr>
        <w:rPr>
          <w:rFonts w:ascii="Times New Roman" w:hAnsi="Times New Roman"/>
          <w:sz w:val="24"/>
        </w:rPr>
      </w:pPr>
      <w:r>
        <w:rPr>
          <w:rFonts w:ascii="Times New Roman" w:hAnsi="Times New Roman"/>
          <w:b/>
          <w:bCs/>
          <w:sz w:val="24"/>
        </w:rPr>
        <w:t>Comment 2.2-0</w:t>
      </w:r>
      <w:r w:rsidR="008F46A5">
        <w:rPr>
          <w:rFonts w:ascii="Times New Roman" w:hAnsi="Times New Roman"/>
          <w:b/>
          <w:bCs/>
          <w:sz w:val="24"/>
        </w:rPr>
        <w:t>3</w:t>
      </w:r>
      <w:r>
        <w:rPr>
          <w:rFonts w:ascii="Times New Roman" w:hAnsi="Times New Roman"/>
          <w:b/>
          <w:bCs/>
          <w:sz w:val="24"/>
        </w:rPr>
        <w:t xml:space="preserve">: </w:t>
      </w:r>
      <w:r w:rsidRPr="006F68E9">
        <w:rPr>
          <w:rFonts w:ascii="Times New Roman" w:hAnsi="Times New Roman"/>
          <w:sz w:val="24"/>
        </w:rPr>
        <w:t xml:space="preserve">One commenter noted that industry guidance already exists on facility natural hazard analysis, including the guidance issued by the CCPS in response to the U.S. CSB recommendation for guidance in the Arkema accident report (0444). </w:t>
      </w:r>
    </w:p>
    <w:p w:rsidR="00D43808" w:rsidRPr="002301CA" w:rsidP="00D43808" w14:paraId="4717979E" w14:textId="77777777">
      <w:pPr>
        <w:rPr>
          <w:rFonts w:ascii="Times New Roman" w:hAnsi="Times New Roman"/>
          <w:b/>
          <w:sz w:val="24"/>
        </w:rPr>
      </w:pPr>
      <w:r w:rsidRPr="006F68E9">
        <w:rPr>
          <w:rFonts w:ascii="Times New Roman" w:hAnsi="Times New Roman"/>
          <w:sz w:val="24"/>
        </w:rPr>
        <w:t xml:space="preserve">Another commenter </w:t>
      </w:r>
      <w:r>
        <w:rPr>
          <w:rFonts w:ascii="Times New Roman" w:hAnsi="Times New Roman"/>
          <w:sz w:val="24"/>
        </w:rPr>
        <w:t xml:space="preserve">asserted </w:t>
      </w:r>
      <w:r w:rsidRPr="006F68E9">
        <w:rPr>
          <w:rFonts w:ascii="Times New Roman" w:hAnsi="Times New Roman"/>
          <w:sz w:val="24"/>
        </w:rPr>
        <w:t xml:space="preserve">that the development of guidance and standards should be done by standard-setting organizations such as the American Institute of Chemical Engineers (AIChE) and its CCPS, and the American Petroleum Institute (API), as these organizations have technical expertise that EPA lacks (0215). </w:t>
      </w:r>
    </w:p>
    <w:p w:rsidR="00D43808" w:rsidP="006F670F" w14:paraId="6F205FC3" w14:textId="0FE98BDE">
      <w:pPr>
        <w:ind w:left="720"/>
        <w:rPr>
          <w:rFonts w:ascii="Times New Roman" w:hAnsi="Times New Roman"/>
          <w:b/>
          <w:bCs/>
          <w:sz w:val="24"/>
        </w:rPr>
      </w:pPr>
      <w:r w:rsidRPr="006F670F">
        <w:rPr>
          <w:rFonts w:ascii="Times New Roman" w:hAnsi="Times New Roman"/>
          <w:b/>
          <w:bCs/>
          <w:sz w:val="24"/>
        </w:rPr>
        <w:t>EPA Response:</w:t>
      </w:r>
      <w:r w:rsidR="006F670F">
        <w:rPr>
          <w:rFonts w:ascii="Times New Roman" w:hAnsi="Times New Roman"/>
          <w:b/>
          <w:bCs/>
          <w:sz w:val="24"/>
        </w:rPr>
        <w:t xml:space="preserve"> </w:t>
      </w:r>
      <w:r w:rsidRPr="00CF4FA6" w:rsidR="006F670F">
        <w:rPr>
          <w:rFonts w:ascii="Times New Roman" w:hAnsi="Times New Roman"/>
          <w:sz w:val="24"/>
        </w:rPr>
        <w:t xml:space="preserve">EPA acknowledges there is already industry guidance </w:t>
      </w:r>
      <w:r w:rsidRPr="00CF4FA6" w:rsidR="00CF4FA6">
        <w:rPr>
          <w:rFonts w:ascii="Times New Roman" w:hAnsi="Times New Roman"/>
          <w:sz w:val="24"/>
        </w:rPr>
        <w:t>on facility natural hazard analysis.</w:t>
      </w:r>
      <w:r w:rsidRPr="00D954BD" w:rsidR="00D954BD">
        <w:t xml:space="preserve"> </w:t>
      </w:r>
      <w:bookmarkStart w:id="30" w:name="_Hlk147915927"/>
      <w:r w:rsidRPr="006F670F" w:rsidR="00D954BD">
        <w:rPr>
          <w:rFonts w:ascii="Times New Roman" w:hAnsi="Times New Roman"/>
          <w:sz w:val="24"/>
        </w:rPr>
        <w:t>EPA continues to expect facilities to utilize all available resources to properly evaluate what natural hazards could potentially trigger accidental</w:t>
      </w:r>
      <w:r w:rsidRPr="006F670F" w:rsidR="006F670F">
        <w:rPr>
          <w:rFonts w:ascii="Times New Roman" w:hAnsi="Times New Roman"/>
          <w:sz w:val="24"/>
        </w:rPr>
        <w:t xml:space="preserve"> </w:t>
      </w:r>
      <w:r w:rsidRPr="006F670F" w:rsidR="00D954BD">
        <w:rPr>
          <w:rFonts w:ascii="Times New Roman" w:hAnsi="Times New Roman"/>
          <w:sz w:val="24"/>
        </w:rPr>
        <w:t>releases from their regulated processes.</w:t>
      </w:r>
      <w:bookmarkEnd w:id="30"/>
    </w:p>
    <w:p w:rsidR="00D43808" w:rsidRPr="00F840C0" w:rsidP="00D43808" w14:paraId="4806B419" w14:textId="27DAEE37">
      <w:pPr>
        <w:rPr>
          <w:rFonts w:ascii="Times New Roman" w:hAnsi="Times New Roman"/>
          <w:b/>
          <w:sz w:val="24"/>
        </w:rPr>
      </w:pPr>
      <w:r>
        <w:rPr>
          <w:rFonts w:ascii="Times New Roman" w:hAnsi="Times New Roman"/>
          <w:b/>
          <w:bCs/>
          <w:sz w:val="24"/>
        </w:rPr>
        <w:t>Comment 2.2-0</w:t>
      </w:r>
      <w:r w:rsidR="008F46A5">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 xml:space="preserve">One </w:t>
      </w:r>
      <w:r>
        <w:rPr>
          <w:rFonts w:ascii="Times New Roman" w:hAnsi="Times New Roman"/>
          <w:sz w:val="24"/>
        </w:rPr>
        <w:t>commenter</w:t>
      </w:r>
      <w:r w:rsidRPr="006F68E9">
        <w:rPr>
          <w:rFonts w:ascii="Times New Roman" w:hAnsi="Times New Roman"/>
          <w:sz w:val="24"/>
        </w:rPr>
        <w:t xml:space="preserve"> suggested that the compliance dates should not be changed based on </w:t>
      </w:r>
      <w:r w:rsidRPr="00F840C0">
        <w:rPr>
          <w:rFonts w:ascii="Times New Roman" w:hAnsi="Times New Roman"/>
          <w:sz w:val="24"/>
        </w:rPr>
        <w:t>when the guidance is issued (0460).</w:t>
      </w:r>
    </w:p>
    <w:p w:rsidR="00F840C0" w:rsidRPr="00F840C0" w:rsidP="00F840C0" w14:paraId="2C442ED6" w14:textId="77777777">
      <w:pPr>
        <w:ind w:left="720"/>
        <w:rPr>
          <w:rFonts w:ascii="Times New Roman" w:hAnsi="Times New Roman"/>
          <w:sz w:val="24"/>
        </w:rPr>
      </w:pPr>
      <w:r w:rsidRPr="00F840C0">
        <w:rPr>
          <w:rFonts w:ascii="Times New Roman" w:hAnsi="Times New Roman"/>
          <w:b/>
          <w:bCs/>
          <w:sz w:val="24"/>
        </w:rPr>
        <w:t>EPA Response:</w:t>
      </w:r>
      <w:r w:rsidRPr="00F840C0" w:rsidR="00536591">
        <w:rPr>
          <w:rFonts w:ascii="Times New Roman" w:hAnsi="Times New Roman"/>
          <w:sz w:val="24"/>
        </w:rPr>
        <w:t xml:space="preserve"> </w:t>
      </w:r>
      <w:r w:rsidRPr="00F840C0" w:rsidR="00E430D3">
        <w:rPr>
          <w:rFonts w:ascii="Times New Roman" w:hAnsi="Times New Roman"/>
          <w:sz w:val="24"/>
        </w:rPr>
        <w:t xml:space="preserve">EPA is simply emphasizing the already-existing requirement that the evaluation of natural hazards be explicitly included in hazard reviews and PHAs for </w:t>
      </w:r>
      <w:r w:rsidRPr="00F840C0" w:rsidR="00E430D3">
        <w:rPr>
          <w:rFonts w:ascii="Times New Roman" w:hAnsi="Times New Roman"/>
          <w:sz w:val="24"/>
        </w:rPr>
        <w:t xml:space="preserve">Program 2 and Program 3 RMP-regulated processes. EPA continues to expect facilities to utilize all available resources to properly evaluate what natural hazards could potentially trigger accidental releases from their regulated </w:t>
      </w:r>
      <w:r w:rsidRPr="00F840C0">
        <w:rPr>
          <w:rFonts w:ascii="Times New Roman" w:hAnsi="Times New Roman"/>
          <w:sz w:val="24"/>
        </w:rPr>
        <w:t xml:space="preserve">processes. </w:t>
      </w:r>
    </w:p>
    <w:p w:rsidR="00D43808" w:rsidRPr="00F840C0" w:rsidP="00D43808" w14:paraId="360257F9" w14:textId="4D5F13E1">
      <w:pPr>
        <w:rPr>
          <w:rFonts w:ascii="Times New Roman" w:hAnsi="Times New Roman"/>
          <w:b/>
          <w:sz w:val="24"/>
        </w:rPr>
      </w:pPr>
      <w:r w:rsidRPr="00F840C0">
        <w:rPr>
          <w:rFonts w:ascii="Times New Roman" w:hAnsi="Times New Roman"/>
          <w:b/>
          <w:bCs/>
          <w:sz w:val="24"/>
        </w:rPr>
        <w:t>Comment 2.2-0</w:t>
      </w:r>
      <w:r w:rsidR="008F46A5">
        <w:rPr>
          <w:rFonts w:ascii="Times New Roman" w:hAnsi="Times New Roman"/>
          <w:b/>
          <w:bCs/>
          <w:sz w:val="24"/>
        </w:rPr>
        <w:t>5</w:t>
      </w:r>
      <w:r w:rsidRPr="00F840C0">
        <w:rPr>
          <w:rFonts w:ascii="Times New Roman" w:hAnsi="Times New Roman"/>
          <w:b/>
          <w:bCs/>
          <w:sz w:val="24"/>
        </w:rPr>
        <w:t xml:space="preserve">: </w:t>
      </w:r>
      <w:r w:rsidRPr="00F840C0">
        <w:rPr>
          <w:rFonts w:ascii="Times New Roman" w:hAnsi="Times New Roman"/>
          <w:sz w:val="24"/>
        </w:rPr>
        <w:t xml:space="preserve">Another commenter suggested that EPA should encourage local jurisdictions and FEMA and other entities such as FM Global to review and update flood maps considering climate change impacts, as existing maps may be outdated. The commenter noted that facilities should not be required to speculate about potential flood risks from climate change that are not reflected in flood maps (0215). </w:t>
      </w:r>
    </w:p>
    <w:p w:rsidR="00D43808" w:rsidRPr="00F840C0" w:rsidP="002B0384" w14:paraId="12F5B437" w14:textId="5150FDB2">
      <w:pPr>
        <w:ind w:left="720"/>
        <w:rPr>
          <w:rFonts w:ascii="Times New Roman" w:hAnsi="Times New Roman"/>
          <w:b/>
          <w:sz w:val="24"/>
        </w:rPr>
      </w:pPr>
      <w:r w:rsidRPr="00F840C0">
        <w:rPr>
          <w:rFonts w:ascii="Times New Roman" w:hAnsi="Times New Roman"/>
          <w:b/>
          <w:sz w:val="24"/>
        </w:rPr>
        <w:t xml:space="preserve">EPA Response: </w:t>
      </w:r>
      <w:r w:rsidRPr="00F840C0" w:rsidR="007E0FBD">
        <w:rPr>
          <w:rFonts w:ascii="Times New Roman" w:hAnsi="Times New Roman"/>
          <w:bCs/>
          <w:sz w:val="24"/>
        </w:rPr>
        <w:t>EPA</w:t>
      </w:r>
      <w:r w:rsidRPr="00F840C0" w:rsidR="002B0384">
        <w:rPr>
          <w:rFonts w:ascii="Times New Roman" w:hAnsi="Times New Roman"/>
          <w:bCs/>
          <w:sz w:val="24"/>
        </w:rPr>
        <w:t xml:space="preserve"> appreciates the suggestion. EPA</w:t>
      </w:r>
      <w:r w:rsidRPr="00F840C0" w:rsidR="007E0FBD">
        <w:rPr>
          <w:rFonts w:ascii="Times New Roman" w:hAnsi="Times New Roman"/>
          <w:bCs/>
          <w:sz w:val="24"/>
        </w:rPr>
        <w:t xml:space="preserve"> has and will </w:t>
      </w:r>
      <w:r w:rsidRPr="00F840C0" w:rsidR="002B0384">
        <w:rPr>
          <w:rFonts w:ascii="Times New Roman" w:hAnsi="Times New Roman"/>
          <w:bCs/>
          <w:sz w:val="24"/>
        </w:rPr>
        <w:t>continue</w:t>
      </w:r>
      <w:r w:rsidRPr="00F840C0" w:rsidR="007E0FBD">
        <w:rPr>
          <w:rFonts w:ascii="Times New Roman" w:hAnsi="Times New Roman"/>
          <w:bCs/>
          <w:sz w:val="24"/>
        </w:rPr>
        <w:t xml:space="preserve"> to partner with States and local </w:t>
      </w:r>
      <w:r w:rsidRPr="00F840C0" w:rsidR="002B0384">
        <w:rPr>
          <w:rFonts w:ascii="Times New Roman" w:hAnsi="Times New Roman"/>
          <w:bCs/>
          <w:sz w:val="24"/>
        </w:rPr>
        <w:t>jurisdictions</w:t>
      </w:r>
      <w:r w:rsidRPr="00F840C0" w:rsidR="007E0FBD">
        <w:rPr>
          <w:rFonts w:ascii="Times New Roman" w:hAnsi="Times New Roman"/>
          <w:bCs/>
          <w:sz w:val="24"/>
        </w:rPr>
        <w:t xml:space="preserve"> </w:t>
      </w:r>
      <w:r w:rsidRPr="00F840C0" w:rsidR="002B0384">
        <w:rPr>
          <w:rFonts w:ascii="Times New Roman" w:hAnsi="Times New Roman"/>
          <w:bCs/>
          <w:sz w:val="24"/>
        </w:rPr>
        <w:t>when implementing the RMP rule.</w:t>
      </w:r>
      <w:r w:rsidRPr="00F840C0" w:rsidR="002B0384">
        <w:rPr>
          <w:rFonts w:ascii="Times New Roman" w:hAnsi="Times New Roman"/>
          <w:b/>
          <w:sz w:val="24"/>
        </w:rPr>
        <w:t xml:space="preserve"> </w:t>
      </w:r>
    </w:p>
    <w:p w:rsidR="00D43808" w:rsidRPr="006F68E9" w:rsidP="00FC766A" w14:paraId="770F63C4" w14:textId="77777777">
      <w:pPr>
        <w:pStyle w:val="Heading2"/>
        <w:spacing w:before="120"/>
        <w:rPr>
          <w:rFonts w:ascii="Times New Roman" w:hAnsi="Times New Roman" w:cs="Times New Roman"/>
          <w:b/>
          <w:bCs/>
          <w:color w:val="auto"/>
          <w:sz w:val="24"/>
          <w:szCs w:val="24"/>
        </w:rPr>
      </w:pPr>
      <w:bookmarkStart w:id="31" w:name="_Toc146879979"/>
      <w:bookmarkStart w:id="32" w:name="_Toc153373773"/>
      <w:r w:rsidRPr="6D3F9CC5">
        <w:rPr>
          <w:rFonts w:ascii="Times New Roman" w:hAnsi="Times New Roman" w:cs="Times New Roman"/>
          <w:b/>
          <w:bCs/>
          <w:color w:val="auto"/>
          <w:sz w:val="24"/>
          <w:szCs w:val="24"/>
        </w:rPr>
        <w:t>Natural hazard resources</w:t>
      </w:r>
      <w:bookmarkEnd w:id="31"/>
      <w:bookmarkEnd w:id="32"/>
      <w:r w:rsidRPr="6D3F9CC5">
        <w:rPr>
          <w:rFonts w:ascii="Times New Roman" w:hAnsi="Times New Roman" w:cs="Times New Roman"/>
          <w:b/>
          <w:bCs/>
          <w:color w:val="auto"/>
          <w:sz w:val="24"/>
          <w:szCs w:val="24"/>
        </w:rPr>
        <w:t xml:space="preserve"> </w:t>
      </w:r>
    </w:p>
    <w:p w:rsidR="00D43808" w:rsidP="00D43808" w14:paraId="2473427A" w14:textId="77777777">
      <w:pPr>
        <w:rPr>
          <w:rFonts w:ascii="Times New Roman" w:hAnsi="Times New Roman"/>
          <w:sz w:val="24"/>
        </w:rPr>
      </w:pPr>
      <w:r w:rsidRPr="00074B10">
        <w:rPr>
          <w:rFonts w:ascii="Times New Roman" w:hAnsi="Times New Roman"/>
          <w:b/>
          <w:bCs/>
          <w:sz w:val="24"/>
        </w:rPr>
        <w:t xml:space="preserve">Comment 2.3-01: </w:t>
      </w:r>
      <w:r w:rsidRPr="00074B10">
        <w:rPr>
          <w:rFonts w:ascii="Times New Roman" w:hAnsi="Times New Roman"/>
          <w:sz w:val="24"/>
        </w:rPr>
        <w:t xml:space="preserve">Many commenters suggested resources for consideration by EPA, including: </w:t>
      </w:r>
    </w:p>
    <w:p w:rsidR="00D43808" w:rsidRPr="00074B10" w:rsidP="00E57324" w14:paraId="74CA07ED" w14:textId="77777777">
      <w:pPr>
        <w:pStyle w:val="ListParagraph"/>
        <w:numPr>
          <w:ilvl w:val="0"/>
          <w:numId w:val="16"/>
        </w:numPr>
        <w:rPr>
          <w:rFonts w:ascii="Times New Roman" w:hAnsi="Times New Roman"/>
          <w:b/>
          <w:sz w:val="24"/>
        </w:rPr>
      </w:pPr>
      <w:r w:rsidRPr="00074B10">
        <w:rPr>
          <w:rFonts w:ascii="Times New Roman" w:hAnsi="Times New Roman"/>
          <w:sz w:val="24"/>
        </w:rPr>
        <w:t xml:space="preserve">A couple of commenters suggested that EPA utilize the National Oceanic and Atmospheric Administration’s (NOAA) Climate Mapping for Resilience and Adaptation Portal, which provides scientific evidence of climate-related hazards happening in real-time in the U.S., in addition to information on climate-related risks based on National Climate Assessment data (0266, 0460). A few commenters suggested that EPA utilize NOAA’s Atlas 14 updated rainfall data, to provide facilities with updated precipitation estimates (0208, 0254, 0450). </w:t>
      </w:r>
    </w:p>
    <w:p w:rsidR="00D43808" w:rsidRPr="006C20FE" w:rsidP="00E57324" w14:paraId="059F057D" w14:textId="3B40579D">
      <w:pPr>
        <w:pStyle w:val="ListParagraph"/>
        <w:numPr>
          <w:ilvl w:val="0"/>
          <w:numId w:val="15"/>
        </w:numPr>
        <w:rPr>
          <w:rFonts w:ascii="Times New Roman" w:hAnsi="Times New Roman"/>
          <w:b/>
          <w:sz w:val="24"/>
        </w:rPr>
      </w:pPr>
      <w:r w:rsidRPr="006C20FE">
        <w:rPr>
          <w:rFonts w:ascii="Times New Roman" w:hAnsi="Times New Roman"/>
          <w:sz w:val="24"/>
        </w:rPr>
        <w:t>A couple of commenters suggested the FEMA National Risk Index (NRI) for Natural Hazards, which identifies communities most at risk from 18 natural hazards with 8 index ratings (0165, 0460). One of the commenters noted that the FEMA NRI tool also provides information on the level of expected annual loss, social vulnerability, and community resilience from hazards (0460). Another commenter offered that facilities could use the natural hazard risk component of the FEMA NRI in the hazard analysis and address hazards through mitigation and emergency response planning when the index is relatively moderate or higher (0165).</w:t>
      </w:r>
    </w:p>
    <w:p w:rsidR="00D43808" w:rsidRPr="006C20FE" w:rsidP="00E57324" w14:paraId="40A23F96" w14:textId="77777777">
      <w:pPr>
        <w:pStyle w:val="ListParagraph"/>
        <w:numPr>
          <w:ilvl w:val="0"/>
          <w:numId w:val="15"/>
        </w:numPr>
        <w:rPr>
          <w:rFonts w:ascii="Times New Roman" w:hAnsi="Times New Roman"/>
          <w:b/>
          <w:sz w:val="24"/>
        </w:rPr>
      </w:pPr>
      <w:r w:rsidRPr="006C20FE">
        <w:rPr>
          <w:rFonts w:ascii="Times New Roman" w:hAnsi="Times New Roman"/>
          <w:sz w:val="24"/>
        </w:rPr>
        <w:t>One commenter recommended the 2021 and 2022 NRC datasets be used, which include additional releases and near misses related to hurricanes and other natural hazards. The commenter also recommended that facilities use the Climate Adaptation Implementation Plans issued by EPA program offices and regional offices to assess climate change-related risks (0460).</w:t>
      </w:r>
    </w:p>
    <w:p w:rsidR="00D43808" w:rsidRPr="00DD4DDD" w:rsidP="00E57324" w14:paraId="2B6E39A8" w14:textId="77777777">
      <w:pPr>
        <w:pStyle w:val="ListParagraph"/>
        <w:numPr>
          <w:ilvl w:val="0"/>
          <w:numId w:val="15"/>
        </w:numPr>
        <w:rPr>
          <w:rFonts w:ascii="Times New Roman" w:hAnsi="Times New Roman"/>
          <w:b/>
          <w:sz w:val="24"/>
        </w:rPr>
      </w:pPr>
      <w:r w:rsidRPr="006C20FE">
        <w:rPr>
          <w:rFonts w:ascii="Times New Roman" w:hAnsi="Times New Roman"/>
          <w:sz w:val="24"/>
        </w:rPr>
        <w:t xml:space="preserve">One commenter suggested the U.S. Army Engineer Research and Development Center’s (ERDC) </w:t>
      </w:r>
      <w:r w:rsidRPr="006C20FE">
        <w:rPr>
          <w:rFonts w:ascii="Times New Roman" w:hAnsi="Times New Roman"/>
          <w:i/>
          <w:iCs/>
          <w:sz w:val="24"/>
        </w:rPr>
        <w:t>International Guidelines on Natural and Nature-Based Features for Flood Risk Management</w:t>
      </w:r>
      <w:r w:rsidRPr="006C20FE">
        <w:rPr>
          <w:rFonts w:ascii="Times New Roman" w:hAnsi="Times New Roman"/>
          <w:sz w:val="24"/>
        </w:rPr>
        <w:t xml:space="preserve"> (0204). </w:t>
      </w:r>
    </w:p>
    <w:p w:rsidR="00D43808" w:rsidRPr="005F1794" w:rsidP="00E57324" w14:paraId="3EA6A58B" w14:textId="77777777">
      <w:pPr>
        <w:pStyle w:val="ListParagraph"/>
        <w:numPr>
          <w:ilvl w:val="0"/>
          <w:numId w:val="15"/>
        </w:numPr>
        <w:rPr>
          <w:rFonts w:ascii="Times New Roman" w:hAnsi="Times New Roman"/>
          <w:b/>
          <w:sz w:val="24"/>
        </w:rPr>
      </w:pPr>
      <w:r w:rsidRPr="00DD4DDD">
        <w:rPr>
          <w:rFonts w:ascii="Times New Roman" w:hAnsi="Times New Roman"/>
          <w:sz w:val="24"/>
        </w:rPr>
        <w:t xml:space="preserve">One commenter recommended utilizing the AIChE 2019 publication </w:t>
      </w:r>
      <w:r w:rsidRPr="00DD4DDD">
        <w:rPr>
          <w:rFonts w:ascii="Times New Roman" w:hAnsi="Times New Roman"/>
          <w:i/>
          <w:iCs/>
          <w:sz w:val="24"/>
        </w:rPr>
        <w:t>Manage the Risks of Severe Wind and Flood Events</w:t>
      </w:r>
      <w:r w:rsidRPr="00DD4DDD">
        <w:rPr>
          <w:rFonts w:ascii="Times New Roman" w:hAnsi="Times New Roman"/>
          <w:sz w:val="24"/>
        </w:rPr>
        <w:t xml:space="preserve"> (Liserio, F. and Mahan, P) (0215). </w:t>
      </w:r>
    </w:p>
    <w:p w:rsidR="00D43808" w:rsidRPr="00DD4DDD" w:rsidP="00E57324" w14:paraId="1A29923A" w14:textId="77777777">
      <w:pPr>
        <w:pStyle w:val="ListParagraph"/>
        <w:numPr>
          <w:ilvl w:val="0"/>
          <w:numId w:val="15"/>
        </w:numPr>
        <w:rPr>
          <w:rFonts w:ascii="Times New Roman" w:hAnsi="Times New Roman"/>
          <w:b/>
          <w:sz w:val="24"/>
        </w:rPr>
      </w:pPr>
      <w:r w:rsidRPr="6D3F9CC5">
        <w:rPr>
          <w:rFonts w:ascii="Times New Roman" w:hAnsi="Times New Roman"/>
          <w:sz w:val="24"/>
        </w:rPr>
        <w:t>A couple of commenters recommended that EPA use the list in the U.S. Government Accountability Office’s (GAO) 2022 report, “</w:t>
      </w:r>
      <w:r w:rsidRPr="006A32A7">
        <w:rPr>
          <w:rFonts w:ascii="Times New Roman" w:hAnsi="Times New Roman"/>
          <w:sz w:val="24"/>
        </w:rPr>
        <w:t>Chemical Accident Prevention: EPA Should Ensure Regulated Facilities Consider Risks from Climate Change</w:t>
      </w:r>
      <w:r>
        <w:rPr>
          <w:rFonts w:ascii="Times New Roman" w:hAnsi="Times New Roman"/>
          <w:sz w:val="24"/>
        </w:rPr>
        <w:t>”</w:t>
      </w:r>
      <w:r w:rsidRPr="6D3F9CC5">
        <w:rPr>
          <w:rFonts w:ascii="Times New Roman" w:hAnsi="Times New Roman"/>
          <w:sz w:val="24"/>
        </w:rPr>
        <w:t xml:space="preserve"> (0240, 0460). One of the commenters also recommended using the list in the 2021 report, “</w:t>
      </w:r>
      <w:r w:rsidRPr="0088644D">
        <w:rPr>
          <w:rFonts w:ascii="Times New Roman" w:hAnsi="Times New Roman"/>
          <w:sz w:val="24"/>
        </w:rPr>
        <w:t>Preventing Double Disasters</w:t>
      </w:r>
      <w:r w:rsidRPr="6D3F9CC5">
        <w:rPr>
          <w:rFonts w:ascii="Times New Roman" w:hAnsi="Times New Roman"/>
          <w:sz w:val="24"/>
        </w:rPr>
        <w:t>,</w:t>
      </w:r>
      <w:r w:rsidRPr="6D3F9CC5">
        <w:rPr>
          <w:rFonts w:ascii="Times New Roman" w:hAnsi="Times New Roman"/>
          <w:i/>
          <w:iCs/>
          <w:sz w:val="24"/>
        </w:rPr>
        <w:t>”</w:t>
      </w:r>
      <w:r w:rsidRPr="6D3F9CC5">
        <w:rPr>
          <w:rFonts w:ascii="Times New Roman" w:hAnsi="Times New Roman"/>
          <w:sz w:val="24"/>
        </w:rPr>
        <w:t xml:space="preserve"> from David Flores et al. (0460).</w:t>
      </w:r>
    </w:p>
    <w:p w:rsidR="00D43808" w:rsidRPr="00AC77E9" w:rsidP="00D43808" w14:paraId="47DB6E8C" w14:textId="3128F1C5">
      <w:pPr>
        <w:ind w:left="720"/>
        <w:rPr>
          <w:rFonts w:ascii="Times New Roman" w:hAnsi="Times New Roman"/>
          <w:b/>
          <w:bCs/>
          <w:sz w:val="24"/>
        </w:rPr>
      </w:pPr>
      <w:r w:rsidRPr="004579E2">
        <w:rPr>
          <w:rFonts w:ascii="Times New Roman" w:hAnsi="Times New Roman"/>
          <w:b/>
          <w:bCs/>
          <w:sz w:val="24"/>
        </w:rPr>
        <w:t>EPA Response:</w:t>
      </w:r>
      <w:r>
        <w:rPr>
          <w:rFonts w:ascii="Times New Roman" w:hAnsi="Times New Roman"/>
          <w:b/>
          <w:bCs/>
          <w:sz w:val="24"/>
        </w:rPr>
        <w:t xml:space="preserve"> </w:t>
      </w:r>
      <w:r w:rsidRPr="004579E2">
        <w:rPr>
          <w:rFonts w:ascii="Times New Roman" w:hAnsi="Times New Roman"/>
          <w:sz w:val="24"/>
        </w:rPr>
        <w:t>EPA appreciates the commenters’ suggestion for additional resources for consideration related to natural hazards assessment</w:t>
      </w:r>
      <w:r w:rsidR="005B48AF">
        <w:rPr>
          <w:rFonts w:ascii="Times New Roman" w:hAnsi="Times New Roman"/>
          <w:sz w:val="24"/>
        </w:rPr>
        <w:t xml:space="preserve"> </w:t>
      </w:r>
      <w:r w:rsidRPr="005B48AF" w:rsidR="005B48AF">
        <w:rPr>
          <w:rFonts w:ascii="Times New Roman" w:hAnsi="Times New Roman"/>
          <w:sz w:val="24"/>
        </w:rPr>
        <w:t>and will consider them during future guidance development</w:t>
      </w:r>
      <w:r w:rsidRPr="004579E2">
        <w:rPr>
          <w:rFonts w:ascii="Times New Roman" w:hAnsi="Times New Roman"/>
          <w:sz w:val="24"/>
        </w:rPr>
        <w:t>.</w:t>
      </w:r>
    </w:p>
    <w:p w:rsidR="00D43808" w:rsidRPr="008E5390" w:rsidP="008E5390" w14:paraId="482CC288" w14:textId="329006D0">
      <w:pPr>
        <w:pStyle w:val="Heading2"/>
        <w:numPr>
          <w:ilvl w:val="0"/>
          <w:numId w:val="0"/>
        </w:numPr>
        <w:ind w:left="408" w:hanging="408"/>
        <w:rPr>
          <w:rFonts w:ascii="Times New Roman" w:hAnsi="Times New Roman" w:cs="Times New Roman"/>
          <w:b/>
          <w:bCs/>
          <w:color w:val="auto"/>
          <w:sz w:val="24"/>
          <w:szCs w:val="24"/>
        </w:rPr>
      </w:pPr>
      <w:bookmarkStart w:id="33" w:name="_Toc146879980"/>
      <w:bookmarkStart w:id="34" w:name="_Toc153373774"/>
      <w:r w:rsidRPr="008E5390">
        <w:rPr>
          <w:rFonts w:ascii="Times New Roman" w:hAnsi="Times New Roman" w:cs="Times New Roman"/>
          <w:b/>
          <w:bCs/>
          <w:color w:val="auto"/>
          <w:sz w:val="24"/>
          <w:szCs w:val="24"/>
        </w:rPr>
        <w:t>2.4</w:t>
      </w:r>
      <w:r w:rsidRPr="008E5390">
        <w:rPr>
          <w:rFonts w:ascii="Times New Roman" w:hAnsi="Times New Roman" w:cs="Times New Roman"/>
          <w:b/>
          <w:bCs/>
          <w:color w:val="auto"/>
          <w:sz w:val="24"/>
          <w:szCs w:val="24"/>
        </w:rPr>
        <w:tab/>
      </w:r>
      <w:r w:rsidRPr="008E5390">
        <w:rPr>
          <w:rFonts w:ascii="Times New Roman" w:hAnsi="Times New Roman" w:cs="Times New Roman"/>
          <w:b/>
          <w:bCs/>
          <w:color w:val="auto"/>
          <w:sz w:val="24"/>
          <w:szCs w:val="24"/>
        </w:rPr>
        <w:t>Specify areas most at risk from climate or other natural events</w:t>
      </w:r>
      <w:bookmarkEnd w:id="33"/>
      <w:bookmarkEnd w:id="34"/>
    </w:p>
    <w:p w:rsidR="00D43808" w:rsidRPr="007E7EFF" w:rsidP="00D43808" w14:paraId="782FB4CB" w14:textId="77777777">
      <w:pPr>
        <w:rPr>
          <w:rFonts w:ascii="Times New Roman" w:hAnsi="Times New Roman"/>
          <w:i/>
          <w:iCs/>
          <w:sz w:val="24"/>
        </w:rPr>
      </w:pPr>
      <w:r>
        <w:rPr>
          <w:rFonts w:ascii="Times New Roman" w:hAnsi="Times New Roman"/>
          <w:i/>
          <w:iCs/>
          <w:sz w:val="24"/>
        </w:rPr>
        <w:t>Comments in support of specifying areas most at risk</w:t>
      </w:r>
    </w:p>
    <w:p w:rsidR="00D43808" w:rsidRPr="00787981" w:rsidP="00D43808" w14:paraId="5937C455" w14:textId="77777777">
      <w:pPr>
        <w:rPr>
          <w:rFonts w:ascii="Times New Roman" w:hAnsi="Times New Roman"/>
          <w:b/>
          <w:sz w:val="24"/>
        </w:rPr>
      </w:pPr>
      <w:r>
        <w:rPr>
          <w:rFonts w:ascii="Times New Roman" w:hAnsi="Times New Roman"/>
          <w:b/>
          <w:bCs/>
          <w:sz w:val="24"/>
        </w:rPr>
        <w:t xml:space="preserve">Comment 2.4-01: </w:t>
      </w:r>
      <w:r w:rsidRPr="6D3F9CC5">
        <w:rPr>
          <w:rFonts w:ascii="Times New Roman" w:hAnsi="Times New Roman"/>
          <w:sz w:val="24"/>
        </w:rPr>
        <w:t xml:space="preserve">Several commenters expressed support for EPA specifying areas most at risk from climate or other natural events (0201, 0240, 0266, 0447, 0460). One of the commenters indicated that adopting the list of areas exposed to heightened risk of wildfire, flooding, storm surge, or coastal flooding is necessary because facilities would face difficulties in assessing future climate risks without this additional guidance from EPA (0201). </w:t>
      </w:r>
    </w:p>
    <w:p w:rsidR="00D43808" w:rsidP="00D43808" w14:paraId="4B73E2FF" w14:textId="77777777">
      <w:pPr>
        <w:rPr>
          <w:rFonts w:ascii="Times New Roman" w:hAnsi="Times New Roman"/>
          <w:b/>
          <w:sz w:val="24"/>
        </w:rPr>
      </w:pPr>
      <w:r w:rsidRPr="006F68E9">
        <w:rPr>
          <w:rFonts w:ascii="Times New Roman" w:hAnsi="Times New Roman"/>
          <w:sz w:val="24"/>
        </w:rPr>
        <w:t xml:space="preserve">A couple of commenters suggested that the list of at-risk facilities or geographic areas should be regularly updated using the latest available data (0240, 0460). </w:t>
      </w:r>
    </w:p>
    <w:p w:rsidR="00D43808" w:rsidRPr="00787981" w:rsidP="00D43808" w14:paraId="37D81C9D" w14:textId="77777777">
      <w:pPr>
        <w:rPr>
          <w:rFonts w:ascii="Times New Roman" w:hAnsi="Times New Roman"/>
          <w:b/>
          <w:sz w:val="24"/>
        </w:rPr>
      </w:pPr>
      <w:r w:rsidRPr="006F68E9">
        <w:rPr>
          <w:rFonts w:ascii="Times New Roman" w:hAnsi="Times New Roman"/>
          <w:sz w:val="24"/>
        </w:rPr>
        <w:t xml:space="preserve">A couple of commenters clarified that such a list of at-risk areas should not be used to limit the number of facilities that are required to conduct a natural hazard or climate change hazard analysis (0266, 0460). </w:t>
      </w:r>
    </w:p>
    <w:p w:rsidR="00D43808" w:rsidRPr="00FF55C2" w:rsidP="00D43808" w14:paraId="78CE93EA" w14:textId="78ABB3FB">
      <w:pPr>
        <w:ind w:left="720"/>
        <w:rPr>
          <w:rFonts w:ascii="Times New Roman" w:eastAsia="Times New Roman" w:hAnsi="Times New Roman"/>
          <w:color w:val="000000" w:themeColor="text1"/>
          <w:sz w:val="24"/>
        </w:rPr>
      </w:pPr>
      <w:r w:rsidRPr="00FF55C2">
        <w:rPr>
          <w:rFonts w:ascii="Times New Roman" w:hAnsi="Times New Roman"/>
          <w:b/>
          <w:bCs/>
          <w:sz w:val="24"/>
        </w:rPr>
        <w:t xml:space="preserve">EPA Response: </w:t>
      </w:r>
      <w:r w:rsidRPr="00FF55C2">
        <w:rPr>
          <w:rFonts w:ascii="Times New Roman" w:hAnsi="Times New Roman"/>
          <w:sz w:val="24"/>
        </w:rPr>
        <w:t>While EPA agrees it could be useful to specify areas most at risk from natural events and identify sources</w:t>
      </w:r>
      <w:r w:rsidRPr="00693B6C">
        <w:rPr>
          <w:rFonts w:ascii="Times New Roman" w:hAnsi="Times New Roman"/>
          <w:sz w:val="24"/>
        </w:rPr>
        <w:t xml:space="preserve"> with heightened </w:t>
      </w:r>
      <w:r w:rsidRPr="00FF55C2">
        <w:rPr>
          <w:rFonts w:ascii="Times New Roman" w:hAnsi="Times New Roman"/>
          <w:sz w:val="24"/>
        </w:rPr>
        <w:t>ris</w:t>
      </w:r>
      <w:r w:rsidRPr="00FF55C2">
        <w:rPr>
          <w:rFonts w:ascii="Times New Roman" w:eastAsia="Times New Roman" w:hAnsi="Times New Roman"/>
          <w:color w:val="000000" w:themeColor="text1"/>
          <w:sz w:val="24"/>
        </w:rPr>
        <w:t xml:space="preserve">k </w:t>
      </w:r>
      <w:r w:rsidRPr="00FF55C2">
        <w:rPr>
          <w:rFonts w:ascii="Times New Roman" w:eastAsia="Times New Roman" w:hAnsi="Times New Roman"/>
          <w:iCs/>
          <w:color w:val="000000" w:themeColor="text1"/>
          <w:sz w:val="24"/>
        </w:rPr>
        <w:t>of climate events, EPA is not finalizing a regulatory provision that will adopt these approaches</w:t>
      </w:r>
      <w:r w:rsidR="000B452A">
        <w:rPr>
          <w:rFonts w:ascii="Times New Roman" w:eastAsia="Times New Roman" w:hAnsi="Times New Roman"/>
          <w:iCs/>
          <w:color w:val="000000" w:themeColor="text1"/>
          <w:sz w:val="24"/>
        </w:rPr>
        <w:t xml:space="preserve"> at this time</w:t>
      </w:r>
      <w:r w:rsidRPr="00FF55C2">
        <w:rPr>
          <w:rFonts w:ascii="Times New Roman" w:eastAsia="Times New Roman" w:hAnsi="Times New Roman"/>
          <w:iCs/>
          <w:color w:val="000000" w:themeColor="text1"/>
          <w:sz w:val="24"/>
        </w:rPr>
        <w:t>. Rather, EPA will use these comments, as well as those received on guidance development, to update the current hazard evaluation guidance and initiate ways to share natural hazard resources with facility owners and operators to help them identify and evaluate potential natural hazard risks.</w:t>
      </w:r>
      <w:r w:rsidRPr="00C7654B" w:rsidR="00C7654B">
        <w:t xml:space="preserve"> </w:t>
      </w:r>
      <w:r w:rsidRPr="0037416C" w:rsidR="00C7654B">
        <w:rPr>
          <w:rFonts w:ascii="Times New Roman" w:hAnsi="Times New Roman"/>
          <w:sz w:val="24"/>
        </w:rPr>
        <w:t>EPA expects to develop and release this guidance approximately one year after this final rule. The SCCAP proposed rule identified relevant new studies for RMP facilities and the threat of natural hazards to them. Those studies included the Center for Progressive Reform, Earthjustice, and the Union of Concerned Scientists’, report “Preventing Double Disasters</w:t>
      </w:r>
      <w:r>
        <w:rPr>
          <w:rStyle w:val="FootnoteReference"/>
          <w:rFonts w:ascii="Times New Roman" w:hAnsi="Times New Roman"/>
          <w:sz w:val="24"/>
        </w:rPr>
        <w:footnoteReference w:id="47"/>
      </w:r>
      <w:r w:rsidRPr="0037416C" w:rsidR="00C7654B">
        <w:rPr>
          <w:rFonts w:ascii="Times New Roman" w:hAnsi="Times New Roman"/>
          <w:sz w:val="24"/>
        </w:rPr>
        <w:t>” and the Government Accountability Office’s report “Chemical Accident Prevention: EPA Should Ensure Regulated Facilities Consider Risks from Climate Change</w:t>
      </w:r>
      <w:r>
        <w:rPr>
          <w:rStyle w:val="FootnoteReference"/>
          <w:rFonts w:ascii="Times New Roman" w:hAnsi="Times New Roman"/>
          <w:sz w:val="24"/>
        </w:rPr>
        <w:footnoteReference w:id="48"/>
      </w:r>
      <w:r w:rsidRPr="0037416C" w:rsidR="00C7654B">
        <w:rPr>
          <w:rFonts w:ascii="Times New Roman" w:hAnsi="Times New Roman"/>
          <w:sz w:val="24"/>
        </w:rPr>
        <w:t>”. EPA also believes CCPS’ guidance presented in the SCCAP proposal, is still useful for facilities’ evaluation of natural hazards for process safety. Lastly, EPA now also recognizes the identification of hazards in FEMA’s NRI</w:t>
      </w:r>
      <w:r>
        <w:rPr>
          <w:rStyle w:val="FootnoteReference"/>
          <w:rFonts w:ascii="Times New Roman" w:hAnsi="Times New Roman"/>
          <w:sz w:val="24"/>
        </w:rPr>
        <w:footnoteReference w:id="49"/>
      </w:r>
      <w:r w:rsidRPr="0037416C" w:rsidR="00C7654B">
        <w:rPr>
          <w:rFonts w:ascii="Times New Roman" w:hAnsi="Times New Roman"/>
          <w:sz w:val="24"/>
        </w:rPr>
        <w:t xml:space="preserve"> and Climate Essentials for Emergency Managers</w:t>
      </w:r>
      <w:r>
        <w:rPr>
          <w:rFonts w:ascii="Times New Roman" w:hAnsi="Times New Roman"/>
          <w:sz w:val="24"/>
          <w:vertAlign w:val="superscript"/>
        </w:rPr>
        <w:footnoteReference w:id="50"/>
      </w:r>
      <w:r w:rsidRPr="0037416C" w:rsidR="00C7654B">
        <w:rPr>
          <w:rFonts w:ascii="Times New Roman" w:hAnsi="Times New Roman"/>
          <w:sz w:val="24"/>
        </w:rPr>
        <w:t xml:space="preserve"> as the most comprehensive foundation to identify, evaluate and understand relative natural hazard risk, particularly how natural hazards must account for a changing climate. EPA intends to incorporate and further evaluate other resources as a minimum in its guidance and expects that information available in these resources can be helpful to be consulted to complement a facility’s more localized information available from the state and local government.</w:t>
      </w:r>
    </w:p>
    <w:p w:rsidR="00D43808" w:rsidP="00D43808" w14:paraId="280D72E4" w14:textId="77777777">
      <w:pPr>
        <w:rPr>
          <w:rFonts w:ascii="Times New Roman" w:hAnsi="Times New Roman"/>
          <w:i/>
          <w:sz w:val="24"/>
        </w:rPr>
      </w:pPr>
      <w:r>
        <w:rPr>
          <w:rFonts w:ascii="Times New Roman" w:hAnsi="Times New Roman"/>
          <w:i/>
          <w:iCs/>
          <w:sz w:val="24"/>
        </w:rPr>
        <w:t>Comments in opposition to specifying areas most at risk:</w:t>
      </w:r>
    </w:p>
    <w:p w:rsidR="00D43808" w:rsidRPr="00787981" w:rsidP="00D43808" w14:paraId="26FD6A79" w14:textId="77777777">
      <w:pPr>
        <w:rPr>
          <w:rFonts w:ascii="Times New Roman" w:hAnsi="Times New Roman"/>
          <w:b/>
          <w:sz w:val="24"/>
        </w:rPr>
      </w:pPr>
      <w:r>
        <w:rPr>
          <w:rFonts w:ascii="Times New Roman" w:hAnsi="Times New Roman"/>
          <w:b/>
          <w:bCs/>
          <w:sz w:val="24"/>
        </w:rPr>
        <w:t xml:space="preserve">Comment 2.4-02: </w:t>
      </w:r>
      <w:r w:rsidRPr="4A29F815">
        <w:rPr>
          <w:rFonts w:ascii="Times New Roman" w:hAnsi="Times New Roman"/>
          <w:sz w:val="24"/>
        </w:rPr>
        <w:t xml:space="preserve">A couple of commenters opposed the natural hazards assessment in the proposed rule but indicated that if those provisions end up in the </w:t>
      </w:r>
      <w:r w:rsidRPr="0DE30235">
        <w:rPr>
          <w:rFonts w:ascii="Times New Roman" w:hAnsi="Times New Roman"/>
          <w:sz w:val="24"/>
        </w:rPr>
        <w:t>final rule</w:t>
      </w:r>
      <w:r w:rsidRPr="4A29F815">
        <w:rPr>
          <w:rFonts w:ascii="Times New Roman" w:hAnsi="Times New Roman"/>
          <w:sz w:val="24"/>
        </w:rPr>
        <w:t>, EPA should develop a list of at-risk facilities or geographic areas so facilities will know what specific hazards to address (0230, 0275).</w:t>
      </w:r>
    </w:p>
    <w:p w:rsidR="00D43808" w:rsidRPr="00787981" w:rsidP="00D43808" w14:paraId="62EA6F09" w14:textId="77777777">
      <w:pPr>
        <w:rPr>
          <w:rFonts w:ascii="Times New Roman" w:hAnsi="Times New Roman"/>
          <w:b/>
          <w:sz w:val="24"/>
        </w:rPr>
      </w:pPr>
      <w:r w:rsidRPr="0716AC9D">
        <w:rPr>
          <w:rFonts w:ascii="Times New Roman" w:hAnsi="Times New Roman"/>
          <w:sz w:val="24"/>
        </w:rPr>
        <w:t>A couple of commenters expressed opposition to the development of a list of geographic areas at most risk from natural hazards or climate-related hazards (0215, 0233). One of the commenters indicated that such a list is not necessary because facilities in these areas are generally aware of the potential for those hazards. The commenter stated that EPA has not demonstrated sufficient need to apply geographic distinctions as a part of the regulatory approach (0215).</w:t>
      </w:r>
    </w:p>
    <w:p w:rsidR="00D43808" w:rsidRPr="00787981" w:rsidP="00D43808" w14:paraId="56B28642" w14:textId="77777777">
      <w:pPr>
        <w:rPr>
          <w:rFonts w:ascii="Times New Roman" w:hAnsi="Times New Roman"/>
          <w:b/>
          <w:sz w:val="24"/>
        </w:rPr>
      </w:pPr>
      <w:r w:rsidRPr="0716AC9D">
        <w:rPr>
          <w:rFonts w:ascii="Times New Roman" w:hAnsi="Times New Roman"/>
          <w:sz w:val="24"/>
        </w:rPr>
        <w:t>One commenter stated that according to the Intergovernmental Panel on Climate Change’s reporting, there are challenges with attributing events to climate change; therefore, the commenter stated that they oppose EPA specifying geographic areas most at risk from climate impacts (0233).</w:t>
      </w:r>
    </w:p>
    <w:p w:rsidR="00D43808" w:rsidRPr="00787981" w:rsidP="00D43808" w14:paraId="19D57196" w14:textId="77777777">
      <w:pPr>
        <w:rPr>
          <w:rFonts w:ascii="Times New Roman" w:hAnsi="Times New Roman"/>
          <w:b/>
          <w:sz w:val="24"/>
        </w:rPr>
      </w:pPr>
      <w:r w:rsidRPr="006F68E9">
        <w:rPr>
          <w:rFonts w:ascii="Times New Roman" w:hAnsi="Times New Roman"/>
          <w:sz w:val="24"/>
        </w:rPr>
        <w:t xml:space="preserve">One </w:t>
      </w:r>
      <w:r>
        <w:rPr>
          <w:rFonts w:ascii="Times New Roman" w:hAnsi="Times New Roman"/>
          <w:sz w:val="24"/>
        </w:rPr>
        <w:t>commenter stated that</w:t>
      </w:r>
      <w:r w:rsidRPr="006F68E9">
        <w:rPr>
          <w:rFonts w:ascii="Times New Roman" w:hAnsi="Times New Roman"/>
          <w:sz w:val="24"/>
        </w:rPr>
        <w:t xml:space="preserve"> since the frequency and intensity of NaTech disasters is increasing, an area that is not currently considered high risk could become high risk. The commenter suggested that the absence of a demonstrated link with climate risk in a specific area could be due to a lack of available data (0460). Another commenter suggested that even if EPA identifies facilities with known climate hazards, facilities not on the list should still be required to conduct an analysis based on available science to determine if they face climate hazards (0266). </w:t>
      </w:r>
    </w:p>
    <w:p w:rsidR="00D83D01" w:rsidP="002C2598" w14:paraId="740C1FC3" w14:textId="77777777">
      <w:pPr>
        <w:ind w:left="720"/>
      </w:pPr>
      <w:r w:rsidRPr="004714FA">
        <w:rPr>
          <w:rFonts w:ascii="Times New Roman" w:hAnsi="Times New Roman"/>
          <w:b/>
          <w:sz w:val="24"/>
        </w:rPr>
        <w:t>EPA Response:</w:t>
      </w:r>
      <w:r>
        <w:rPr>
          <w:rFonts w:ascii="Times New Roman" w:hAnsi="Times New Roman"/>
          <w:b/>
          <w:bCs/>
          <w:sz w:val="24"/>
        </w:rPr>
        <w:t xml:space="preserve"> </w:t>
      </w:r>
      <w:r>
        <w:rPr>
          <w:rFonts w:ascii="Times New Roman" w:eastAsia="Times New Roman" w:hAnsi="Times New Roman"/>
          <w:iCs/>
          <w:color w:val="000000" w:themeColor="text1"/>
          <w:sz w:val="24"/>
        </w:rPr>
        <w:t xml:space="preserve">In the proposed rule, EPA </w:t>
      </w:r>
      <w:r w:rsidRPr="00616F6B">
        <w:rPr>
          <w:rFonts w:ascii="Times New Roman" w:eastAsia="Times New Roman" w:hAnsi="Times New Roman"/>
          <w:color w:val="000000" w:themeColor="text1"/>
          <w:sz w:val="24"/>
        </w:rPr>
        <w:t xml:space="preserve">requested comment on whether the Agency should specify geographic areas most at risk from climate or other natural events by adopting the list of areas exposed to heightened risk of wildfire, flooding storm surge, or coastal flooding. </w:t>
      </w:r>
      <w:r w:rsidRPr="00FF55C2">
        <w:rPr>
          <w:rFonts w:ascii="Times New Roman" w:eastAsia="Times New Roman" w:hAnsi="Times New Roman"/>
          <w:iCs/>
          <w:color w:val="000000" w:themeColor="text1"/>
          <w:sz w:val="24"/>
        </w:rPr>
        <w:t xml:space="preserve">EPA is not finalizing a regulatory provision that will adopt </w:t>
      </w:r>
      <w:r>
        <w:rPr>
          <w:rFonts w:ascii="Times New Roman" w:eastAsia="Times New Roman" w:hAnsi="Times New Roman"/>
          <w:iCs/>
          <w:color w:val="000000" w:themeColor="text1"/>
          <w:sz w:val="24"/>
        </w:rPr>
        <w:t>this approach</w:t>
      </w:r>
      <w:r w:rsidR="007E364C">
        <w:rPr>
          <w:rFonts w:ascii="Times New Roman" w:eastAsia="Times New Roman" w:hAnsi="Times New Roman"/>
          <w:iCs/>
          <w:color w:val="000000" w:themeColor="text1"/>
          <w:sz w:val="24"/>
        </w:rPr>
        <w:t xml:space="preserve"> at this time</w:t>
      </w:r>
      <w:r>
        <w:rPr>
          <w:rFonts w:ascii="Times New Roman" w:eastAsia="Times New Roman" w:hAnsi="Times New Roman"/>
          <w:iCs/>
          <w:color w:val="000000" w:themeColor="text1"/>
          <w:sz w:val="24"/>
        </w:rPr>
        <w:t>.</w:t>
      </w:r>
      <w:r w:rsidRPr="002C5465" w:rsidR="002C5465">
        <w:t xml:space="preserve"> </w:t>
      </w:r>
      <w:r w:rsidRPr="002C5465" w:rsidR="002C5465">
        <w:rPr>
          <w:rFonts w:ascii="Times New Roman" w:eastAsia="Times New Roman" w:hAnsi="Times New Roman"/>
          <w:iCs/>
          <w:color w:val="000000" w:themeColor="text1"/>
          <w:sz w:val="24"/>
        </w:rPr>
        <w:t>Rather, EPA will use these comments, as well as those received on guidance development, to update the current hazard evaluation guidance and initiate ways to share natural hazard resources with facility owners and operators to help them identify and evaluate potential natural hazard risks.</w:t>
      </w:r>
      <w:r w:rsidR="00B2174D">
        <w:rPr>
          <w:rFonts w:ascii="Times New Roman" w:eastAsia="Times New Roman" w:hAnsi="Times New Roman"/>
          <w:iCs/>
          <w:color w:val="000000" w:themeColor="text1"/>
          <w:sz w:val="24"/>
        </w:rPr>
        <w:t xml:space="preserve"> </w:t>
      </w:r>
      <w:r w:rsidRPr="00D033D1">
        <w:rPr>
          <w:rFonts w:ascii="Times New Roman" w:hAnsi="Times New Roman"/>
          <w:sz w:val="24"/>
        </w:rPr>
        <w:t>EPA expects to develop and release this guidance approximately one year after this final rule. The SCCAP proposed rule identified relevant new studies for RMP facilities and the threat of natural hazards to them. Those studies included the Center for Progressive Reform, Earthjustice, and the Union of Concerned Scientists’, report “Preventing Double Disasters</w:t>
      </w:r>
      <w:r>
        <w:rPr>
          <w:rStyle w:val="FootnoteReference"/>
          <w:rFonts w:ascii="Times New Roman" w:hAnsi="Times New Roman"/>
          <w:sz w:val="24"/>
        </w:rPr>
        <w:footnoteReference w:id="51"/>
      </w:r>
      <w:r w:rsidRPr="00D033D1">
        <w:rPr>
          <w:rFonts w:ascii="Times New Roman" w:hAnsi="Times New Roman"/>
          <w:sz w:val="24"/>
        </w:rPr>
        <w:t>” and the Government Accountability Office’s report “Chemical Accident Prevention: EPA Should Ensure Regulated Facilities Consider Risks from Climate Change</w:t>
      </w:r>
      <w:r>
        <w:rPr>
          <w:rStyle w:val="FootnoteReference"/>
          <w:rFonts w:ascii="Times New Roman" w:hAnsi="Times New Roman"/>
          <w:sz w:val="24"/>
        </w:rPr>
        <w:footnoteReference w:id="52"/>
      </w:r>
      <w:r w:rsidRPr="00D033D1">
        <w:rPr>
          <w:rFonts w:ascii="Times New Roman" w:hAnsi="Times New Roman"/>
          <w:sz w:val="24"/>
        </w:rPr>
        <w:t>”. EPA also believes CCPS’ guidance presented in the SCCAP proposal, is still useful for facilities’ evaluation of natural hazards for process safety. Lastly, EPA now also recognizes the identification of hazards in FEMA’s NRI</w:t>
      </w:r>
      <w:r>
        <w:rPr>
          <w:rStyle w:val="FootnoteReference"/>
          <w:rFonts w:ascii="Times New Roman" w:hAnsi="Times New Roman"/>
          <w:sz w:val="24"/>
        </w:rPr>
        <w:footnoteReference w:id="53"/>
      </w:r>
      <w:r w:rsidRPr="00D033D1">
        <w:rPr>
          <w:rFonts w:ascii="Times New Roman" w:hAnsi="Times New Roman"/>
          <w:sz w:val="24"/>
        </w:rPr>
        <w:t xml:space="preserve"> and Climate Essentials for Emergency Managers</w:t>
      </w:r>
      <w:r>
        <w:rPr>
          <w:rFonts w:ascii="Times New Roman" w:hAnsi="Times New Roman"/>
          <w:sz w:val="24"/>
          <w:vertAlign w:val="superscript"/>
        </w:rPr>
        <w:footnoteReference w:id="54"/>
      </w:r>
      <w:r w:rsidRPr="00D033D1">
        <w:rPr>
          <w:rFonts w:ascii="Times New Roman" w:hAnsi="Times New Roman"/>
          <w:sz w:val="24"/>
        </w:rPr>
        <w:t xml:space="preserve"> as the most comprehensive foundation to identify, evaluate and understand relative natural hazard risk, particularly how natural hazards must account for a changing climate. EPA intends to incorporate and further evaluate other resources as a minimum in its guidance </w:t>
      </w:r>
      <w:r w:rsidRPr="00D033D1">
        <w:rPr>
          <w:rFonts w:ascii="Times New Roman" w:hAnsi="Times New Roman"/>
          <w:sz w:val="24"/>
        </w:rPr>
        <w:t>and expects that information available in these resources can be helpful to be consulted to complement a facility’s more localized information available from the state and local government.</w:t>
      </w:r>
    </w:p>
    <w:p w:rsidR="00D43808" w:rsidRPr="0041342F" w:rsidP="002C2598" w14:paraId="2C7358A4" w14:textId="715F6755">
      <w:pPr>
        <w:ind w:left="720"/>
        <w:rPr>
          <w:rFonts w:ascii="Times New Roman" w:hAnsi="Times New Roman"/>
          <w:b/>
          <w:bCs/>
          <w:sz w:val="24"/>
        </w:rPr>
      </w:pPr>
      <w:r>
        <w:rPr>
          <w:rFonts w:ascii="Times New Roman" w:eastAsia="Times New Roman" w:hAnsi="Times New Roman"/>
          <w:iCs/>
          <w:color w:val="000000" w:themeColor="text1"/>
          <w:sz w:val="24"/>
        </w:rPr>
        <w:t xml:space="preserve">Further, the SCCAP proposed rule identified </w:t>
      </w:r>
      <w:r w:rsidR="009059FF">
        <w:rPr>
          <w:rFonts w:ascii="Times New Roman" w:eastAsia="Times New Roman" w:hAnsi="Times New Roman"/>
          <w:iCs/>
          <w:color w:val="000000" w:themeColor="text1"/>
          <w:sz w:val="24"/>
        </w:rPr>
        <w:t xml:space="preserve">relevant new studies showing </w:t>
      </w:r>
      <w:r w:rsidR="00B2174D">
        <w:rPr>
          <w:rFonts w:ascii="Times New Roman" w:eastAsia="Times New Roman" w:hAnsi="Times New Roman"/>
          <w:iCs/>
          <w:color w:val="000000" w:themeColor="text1"/>
          <w:sz w:val="24"/>
        </w:rPr>
        <w:t>that</w:t>
      </w:r>
      <w:r w:rsidR="009059FF">
        <w:rPr>
          <w:rFonts w:ascii="Times New Roman" w:eastAsia="Times New Roman" w:hAnsi="Times New Roman"/>
          <w:iCs/>
          <w:color w:val="000000" w:themeColor="text1"/>
          <w:sz w:val="24"/>
        </w:rPr>
        <w:t xml:space="preserve"> the threat </w:t>
      </w:r>
      <w:r w:rsidR="0025209B">
        <w:rPr>
          <w:rFonts w:ascii="Times New Roman" w:eastAsia="Times New Roman" w:hAnsi="Times New Roman"/>
          <w:iCs/>
          <w:color w:val="000000" w:themeColor="text1"/>
          <w:sz w:val="24"/>
        </w:rPr>
        <w:t xml:space="preserve">of </w:t>
      </w:r>
      <w:r w:rsidR="009059FF">
        <w:rPr>
          <w:rFonts w:ascii="Times New Roman" w:eastAsia="Times New Roman" w:hAnsi="Times New Roman"/>
          <w:iCs/>
          <w:color w:val="000000" w:themeColor="text1"/>
          <w:sz w:val="24"/>
        </w:rPr>
        <w:t>natural hazard is increasing</w:t>
      </w:r>
      <w:r w:rsidR="00B2174D">
        <w:rPr>
          <w:rFonts w:ascii="Times New Roman" w:eastAsia="Times New Roman" w:hAnsi="Times New Roman"/>
          <w:iCs/>
          <w:color w:val="000000" w:themeColor="text1"/>
          <w:sz w:val="24"/>
        </w:rPr>
        <w:t xml:space="preserve">. These studies include the </w:t>
      </w:r>
      <w:r w:rsidRPr="002C2598" w:rsidR="002C2598">
        <w:rPr>
          <w:rFonts w:ascii="Times New Roman" w:eastAsia="Times New Roman" w:hAnsi="Times New Roman"/>
          <w:iCs/>
          <w:color w:val="000000" w:themeColor="text1"/>
          <w:sz w:val="24"/>
        </w:rPr>
        <w:t>Center for</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Progressive Reform, Earthjustice, and</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the Union of Concerned Scientist</w:t>
      </w:r>
      <w:r w:rsidR="009127F7">
        <w:rPr>
          <w:rFonts w:ascii="Times New Roman" w:eastAsia="Times New Roman" w:hAnsi="Times New Roman"/>
          <w:iCs/>
          <w:color w:val="000000" w:themeColor="text1"/>
          <w:sz w:val="24"/>
        </w:rPr>
        <w:t xml:space="preserve">s,’ </w:t>
      </w:r>
      <w:r w:rsidR="00D77905">
        <w:rPr>
          <w:rFonts w:ascii="Times New Roman" w:eastAsia="Times New Roman" w:hAnsi="Times New Roman"/>
          <w:iCs/>
          <w:color w:val="000000" w:themeColor="text1"/>
          <w:sz w:val="24"/>
        </w:rPr>
        <w:t xml:space="preserve">report </w:t>
      </w:r>
      <w:r w:rsidR="0025209B">
        <w:rPr>
          <w:rFonts w:ascii="Times New Roman" w:eastAsia="Times New Roman" w:hAnsi="Times New Roman"/>
          <w:iCs/>
          <w:color w:val="000000" w:themeColor="text1"/>
          <w:sz w:val="24"/>
        </w:rPr>
        <w:t>“</w:t>
      </w:r>
      <w:r w:rsidRPr="002C2598" w:rsidR="002C2598">
        <w:rPr>
          <w:rFonts w:ascii="Times New Roman" w:eastAsia="Times New Roman" w:hAnsi="Times New Roman"/>
          <w:iCs/>
          <w:color w:val="000000" w:themeColor="text1"/>
          <w:sz w:val="24"/>
        </w:rPr>
        <w:t>Preventing ‘Double</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Disasters</w:t>
      </w:r>
      <w:r w:rsidR="0025209B">
        <w:rPr>
          <w:rFonts w:ascii="Times New Roman" w:eastAsia="Times New Roman" w:hAnsi="Times New Roman"/>
          <w:iCs/>
          <w:color w:val="000000" w:themeColor="text1"/>
          <w:sz w:val="24"/>
        </w:rPr>
        <w:t>”</w:t>
      </w:r>
      <w:r>
        <w:rPr>
          <w:rStyle w:val="FootnoteReference"/>
          <w:rFonts w:ascii="Times New Roman" w:eastAsia="Times New Roman" w:hAnsi="Times New Roman"/>
          <w:iCs/>
          <w:color w:val="000000" w:themeColor="text1"/>
          <w:sz w:val="24"/>
        </w:rPr>
        <w:footnoteReference w:id="55"/>
      </w:r>
      <w:r w:rsidR="00276EE4">
        <w:rPr>
          <w:rFonts w:ascii="Times New Roman" w:eastAsia="Times New Roman" w:hAnsi="Times New Roman"/>
          <w:iCs/>
          <w:color w:val="000000" w:themeColor="text1"/>
          <w:sz w:val="24"/>
        </w:rPr>
        <w:t>;</w:t>
      </w:r>
      <w:r w:rsidR="0025209B">
        <w:rPr>
          <w:rFonts w:ascii="Times New Roman" w:eastAsia="Times New Roman" w:hAnsi="Times New Roman"/>
          <w:iCs/>
          <w:color w:val="000000" w:themeColor="text1"/>
          <w:sz w:val="24"/>
        </w:rPr>
        <w:t xml:space="preserve"> the</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Government Accountability Office</w:t>
      </w:r>
      <w:r w:rsidR="0025209B">
        <w:rPr>
          <w:rFonts w:ascii="Times New Roman" w:eastAsia="Times New Roman" w:hAnsi="Times New Roman"/>
          <w:iCs/>
          <w:color w:val="000000" w:themeColor="text1"/>
          <w:sz w:val="24"/>
        </w:rPr>
        <w:t>’s</w:t>
      </w:r>
      <w:r w:rsidR="00D77905">
        <w:rPr>
          <w:rFonts w:ascii="Times New Roman" w:eastAsia="Times New Roman" w:hAnsi="Times New Roman"/>
          <w:iCs/>
          <w:color w:val="000000" w:themeColor="text1"/>
          <w:sz w:val="24"/>
        </w:rPr>
        <w:t xml:space="preserve"> report</w:t>
      </w:r>
      <w:r w:rsidRPr="002C2598" w:rsidR="002C2598">
        <w:rPr>
          <w:rFonts w:ascii="Times New Roman" w:eastAsia="Times New Roman" w:hAnsi="Times New Roman"/>
          <w:iCs/>
          <w:color w:val="000000" w:themeColor="text1"/>
          <w:sz w:val="24"/>
        </w:rPr>
        <w:t xml:space="preserve"> </w:t>
      </w:r>
      <w:r w:rsidR="0025209B">
        <w:rPr>
          <w:rFonts w:ascii="Times New Roman" w:eastAsia="Times New Roman" w:hAnsi="Times New Roman"/>
          <w:iCs/>
          <w:color w:val="000000" w:themeColor="text1"/>
          <w:sz w:val="24"/>
        </w:rPr>
        <w:t>“</w:t>
      </w:r>
      <w:r w:rsidRPr="002C2598" w:rsidR="002C2598">
        <w:rPr>
          <w:rFonts w:ascii="Times New Roman" w:eastAsia="Times New Roman" w:hAnsi="Times New Roman"/>
          <w:iCs/>
          <w:color w:val="000000" w:themeColor="text1"/>
          <w:sz w:val="24"/>
        </w:rPr>
        <w:t>Chemical Accident</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Prevention: EPA Should Ensure</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Regulated Facilities Consider Risks from</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Climate Change</w:t>
      </w:r>
      <w:r w:rsidR="00D77905">
        <w:rPr>
          <w:rFonts w:ascii="Times New Roman" w:eastAsia="Times New Roman" w:hAnsi="Times New Roman"/>
          <w:iCs/>
          <w:color w:val="000000" w:themeColor="text1"/>
          <w:sz w:val="24"/>
        </w:rPr>
        <w:t>”</w:t>
      </w:r>
      <w:r>
        <w:rPr>
          <w:rStyle w:val="FootnoteReference"/>
          <w:rFonts w:ascii="Times New Roman" w:eastAsia="Times New Roman" w:hAnsi="Times New Roman"/>
          <w:iCs/>
          <w:color w:val="000000" w:themeColor="text1"/>
          <w:sz w:val="24"/>
        </w:rPr>
        <w:footnoteReference w:id="56"/>
      </w:r>
      <w:r w:rsidR="00276EE4">
        <w:rPr>
          <w:rFonts w:ascii="Times New Roman" w:eastAsia="Times New Roman" w:hAnsi="Times New Roman"/>
          <w:iCs/>
          <w:color w:val="000000" w:themeColor="text1"/>
          <w:sz w:val="24"/>
        </w:rPr>
        <w:t>;</w:t>
      </w:r>
      <w:r w:rsidR="0025209B">
        <w:rPr>
          <w:rFonts w:ascii="Times New Roman" w:eastAsia="Times New Roman" w:hAnsi="Times New Roman"/>
          <w:iCs/>
          <w:color w:val="000000" w:themeColor="text1"/>
          <w:sz w:val="24"/>
        </w:rPr>
        <w:t xml:space="preserve"> and the </w:t>
      </w:r>
      <w:r w:rsidRPr="002C2598" w:rsidR="002C2598">
        <w:rPr>
          <w:rFonts w:ascii="Times New Roman" w:eastAsia="Times New Roman" w:hAnsi="Times New Roman"/>
          <w:iCs/>
          <w:color w:val="000000" w:themeColor="text1"/>
          <w:sz w:val="24"/>
        </w:rPr>
        <w:t>2018 National</w:t>
      </w:r>
      <w:r w:rsidR="002C2598">
        <w:rPr>
          <w:rFonts w:ascii="Times New Roman" w:eastAsia="Times New Roman" w:hAnsi="Times New Roman"/>
          <w:iCs/>
          <w:color w:val="000000" w:themeColor="text1"/>
          <w:sz w:val="24"/>
        </w:rPr>
        <w:t xml:space="preserve"> </w:t>
      </w:r>
      <w:r w:rsidRPr="002C2598" w:rsidR="002C2598">
        <w:rPr>
          <w:rFonts w:ascii="Times New Roman" w:eastAsia="Times New Roman" w:hAnsi="Times New Roman"/>
          <w:iCs/>
          <w:color w:val="000000" w:themeColor="text1"/>
          <w:sz w:val="24"/>
        </w:rPr>
        <w:t>Climate Assessment</w:t>
      </w:r>
      <w:r>
        <w:rPr>
          <w:rStyle w:val="FootnoteReference"/>
          <w:rFonts w:ascii="Times New Roman" w:eastAsia="Times New Roman" w:hAnsi="Times New Roman"/>
          <w:iCs/>
          <w:color w:val="000000" w:themeColor="text1"/>
          <w:sz w:val="24"/>
        </w:rPr>
        <w:footnoteReference w:id="57"/>
      </w:r>
      <w:r w:rsidR="0025209B">
        <w:rPr>
          <w:rFonts w:ascii="Times New Roman" w:eastAsia="Times New Roman" w:hAnsi="Times New Roman"/>
          <w:iCs/>
          <w:color w:val="000000" w:themeColor="text1"/>
          <w:sz w:val="24"/>
        </w:rPr>
        <w:t>. These resources can compl</w:t>
      </w:r>
      <w:r w:rsidR="009663DB">
        <w:rPr>
          <w:rFonts w:ascii="Times New Roman" w:eastAsia="Times New Roman" w:hAnsi="Times New Roman"/>
          <w:iCs/>
          <w:color w:val="000000" w:themeColor="text1"/>
          <w:sz w:val="24"/>
        </w:rPr>
        <w:t xml:space="preserve">ement a facility’s more localized information available from the state and local government. </w:t>
      </w:r>
    </w:p>
    <w:p w:rsidR="00D43808" w:rsidRPr="006F68E9" w:rsidP="008E5390" w14:paraId="601C5A8D" w14:textId="77777777">
      <w:pPr>
        <w:pStyle w:val="Heading2"/>
        <w:numPr>
          <w:ilvl w:val="1"/>
          <w:numId w:val="33"/>
        </w:numPr>
        <w:spacing w:before="120"/>
        <w:rPr>
          <w:rFonts w:ascii="Times New Roman" w:hAnsi="Times New Roman" w:cs="Times New Roman"/>
          <w:b/>
          <w:bCs/>
          <w:color w:val="auto"/>
          <w:sz w:val="24"/>
          <w:szCs w:val="24"/>
        </w:rPr>
      </w:pPr>
      <w:bookmarkStart w:id="35" w:name="_Toc146879981"/>
      <w:bookmarkStart w:id="36" w:name="_Toc153373775"/>
      <w:r w:rsidRPr="21421A4E">
        <w:rPr>
          <w:rFonts w:ascii="Times New Roman" w:hAnsi="Times New Roman" w:cs="Times New Roman"/>
          <w:b/>
          <w:color w:val="auto"/>
          <w:sz w:val="24"/>
          <w:szCs w:val="24"/>
        </w:rPr>
        <w:t>Require sources in areas exposed to heightened risk</w:t>
      </w:r>
      <w:bookmarkEnd w:id="35"/>
      <w:r>
        <w:rPr>
          <w:rFonts w:ascii="Times New Roman" w:hAnsi="Times New Roman" w:cs="Times New Roman"/>
          <w:b/>
          <w:color w:val="auto"/>
          <w:sz w:val="24"/>
          <w:szCs w:val="24"/>
        </w:rPr>
        <w:t xml:space="preserve"> to conduct hazard evaluations associated with climate or earthquakes</w:t>
      </w:r>
      <w:bookmarkEnd w:id="36"/>
    </w:p>
    <w:p w:rsidR="00D43808" w:rsidP="00D43808" w14:paraId="3ACABE4C" w14:textId="77777777">
      <w:pPr>
        <w:rPr>
          <w:rFonts w:ascii="Times New Roman" w:hAnsi="Times New Roman"/>
          <w:sz w:val="24"/>
        </w:rPr>
      </w:pPr>
      <w:r>
        <w:rPr>
          <w:rFonts w:ascii="Times New Roman" w:hAnsi="Times New Roman"/>
          <w:b/>
          <w:bCs/>
          <w:sz w:val="24"/>
        </w:rPr>
        <w:t xml:space="preserve">Comment 2.5-01: </w:t>
      </w:r>
      <w:r w:rsidRPr="6D3F9CC5">
        <w:rPr>
          <w:rFonts w:ascii="Times New Roman" w:hAnsi="Times New Roman"/>
          <w:sz w:val="24"/>
        </w:rPr>
        <w:t xml:space="preserve">Several commenters recommended that EPA expand natural hazard and climate hazard requirements to all facilities (0203, 0221, 0240, 0250, 0255, 0266, 0270, 0409, 0456, 0460). One of the commenters noted that while Program 1 facilities make up only 3% of the total RMP facilities, they have reported weather-related accidents between 2004 and 2020 and are at risk from climate change-related risks (0240). </w:t>
      </w:r>
      <w:r w:rsidRPr="006F68E9">
        <w:rPr>
          <w:rFonts w:ascii="Times New Roman" w:hAnsi="Times New Roman"/>
          <w:sz w:val="24"/>
        </w:rPr>
        <w:t xml:space="preserve">A couple of commenters suggested that EPA expand coverage of regulations to facilities in areas of heightened risk of natural disasters (0447, 0460). </w:t>
      </w:r>
    </w:p>
    <w:p w:rsidR="00D43808" w:rsidRPr="00787981" w:rsidP="00D43808" w14:paraId="0EF332BE" w14:textId="77777777">
      <w:pPr>
        <w:rPr>
          <w:rFonts w:ascii="Times New Roman" w:hAnsi="Times New Roman"/>
          <w:b/>
          <w:sz w:val="24"/>
        </w:rPr>
      </w:pPr>
      <w:r w:rsidRPr="006F68E9">
        <w:rPr>
          <w:rFonts w:ascii="Times New Roman" w:hAnsi="Times New Roman"/>
          <w:sz w:val="24"/>
        </w:rPr>
        <w:t>One commenter noted that the Chemical and Safety Board (CSB) has highlighted the need for facilities to address extreme weather. The commenter noted that international bodies have taken steps to address this; the European Union’s Seveso III Directive requires operators to consider natural disasters in risk management and identify compounding impacts that natural disasters may have on facility accidents (0456).</w:t>
      </w:r>
    </w:p>
    <w:p w:rsidR="00D83D01" w:rsidRPr="00236FA4" w:rsidP="00D43808" w14:paraId="56855BD7" w14:textId="69A9C46E">
      <w:pPr>
        <w:ind w:left="720"/>
        <w:rPr>
          <w:rFonts w:ascii="Times New Roman" w:hAnsi="Times New Roman"/>
          <w:sz w:val="24"/>
        </w:rPr>
      </w:pPr>
      <w:r w:rsidRPr="0016238B">
        <w:rPr>
          <w:rFonts w:ascii="Times New Roman" w:hAnsi="Times New Roman"/>
          <w:b/>
          <w:bCs/>
          <w:sz w:val="24"/>
        </w:rPr>
        <w:t>EPA Response:</w:t>
      </w:r>
      <w:r>
        <w:rPr>
          <w:rFonts w:ascii="Times New Roman" w:hAnsi="Times New Roman"/>
          <w:b/>
          <w:bCs/>
          <w:sz w:val="24"/>
        </w:rPr>
        <w:t xml:space="preserve"> </w:t>
      </w:r>
      <w:r>
        <w:rPr>
          <w:rFonts w:ascii="Times New Roman" w:eastAsia="Times New Roman" w:hAnsi="Times New Roman"/>
          <w:iCs/>
          <w:color w:val="000000" w:themeColor="text1"/>
          <w:sz w:val="24"/>
        </w:rPr>
        <w:t xml:space="preserve">In the proposed rule, EPA requested comment on </w:t>
      </w:r>
      <w:r w:rsidRPr="00B267EF">
        <w:rPr>
          <w:rFonts w:ascii="Times New Roman" w:eastAsia="Times New Roman" w:hAnsi="Times New Roman"/>
          <w:iCs/>
          <w:color w:val="000000" w:themeColor="text1"/>
          <w:sz w:val="24"/>
        </w:rPr>
        <w:t>whether the Agency should require sources in areas exposed to heightened risk of wildfire, flooding, storm surge, coastal flooding, or earthquake, to conduct hazard evaluations associated with climate or earthquake as a minimum, while also requiring all sources to consider the potential for natural hazards unrelated to climate or earthquake in their specific locations</w:t>
      </w:r>
      <w:r w:rsidRPr="00616F6B">
        <w:rPr>
          <w:rFonts w:ascii="Times New Roman" w:eastAsia="Times New Roman" w:hAnsi="Times New Roman"/>
          <w:iCs/>
          <w:color w:val="000000" w:themeColor="text1"/>
          <w:sz w:val="24"/>
        </w:rPr>
        <w:t xml:space="preserve">. </w:t>
      </w:r>
      <w:r w:rsidRPr="00FF55C2">
        <w:rPr>
          <w:rFonts w:ascii="Times New Roman" w:eastAsia="Times New Roman" w:hAnsi="Times New Roman"/>
          <w:iCs/>
          <w:color w:val="000000" w:themeColor="text1"/>
          <w:sz w:val="24"/>
        </w:rPr>
        <w:t xml:space="preserve">EPA is not finalizing a regulatory provision that will adopt </w:t>
      </w:r>
      <w:r>
        <w:rPr>
          <w:rFonts w:ascii="Times New Roman" w:eastAsia="Times New Roman" w:hAnsi="Times New Roman"/>
          <w:iCs/>
          <w:color w:val="000000" w:themeColor="text1"/>
          <w:sz w:val="24"/>
        </w:rPr>
        <w:t>this approach</w:t>
      </w:r>
      <w:r w:rsidR="0002680F">
        <w:rPr>
          <w:rFonts w:ascii="Times New Roman" w:eastAsia="Times New Roman" w:hAnsi="Times New Roman"/>
          <w:iCs/>
          <w:color w:val="000000" w:themeColor="text1"/>
          <w:sz w:val="24"/>
        </w:rPr>
        <w:t xml:space="preserve"> at this time</w:t>
      </w:r>
      <w:r>
        <w:rPr>
          <w:rFonts w:ascii="Times New Roman" w:eastAsia="Times New Roman" w:hAnsi="Times New Roman"/>
          <w:iCs/>
          <w:color w:val="000000" w:themeColor="text1"/>
          <w:sz w:val="24"/>
        </w:rPr>
        <w:t>.</w:t>
      </w:r>
      <w:r w:rsidRPr="00D53565" w:rsidR="00D53565">
        <w:rPr>
          <w:rFonts w:ascii="Times New Roman" w:eastAsia="Times New Roman" w:hAnsi="Times New Roman"/>
          <w:iCs/>
          <w:color w:val="000000" w:themeColor="text1"/>
          <w:sz w:val="24"/>
        </w:rPr>
        <w:t xml:space="preserve"> Rather, EPA will use these comments, as well as those received on guidance development, to update the current hazard evaluation guidance and initiate ways to share natural hazard resources with facility owners and operators to help them identify and evaluate potential natural hazard risks.</w:t>
      </w:r>
      <w:r w:rsidRPr="393C66C7" w:rsidR="3658CD34">
        <w:rPr>
          <w:rFonts w:ascii="Times New Roman" w:eastAsia="Times New Roman" w:hAnsi="Times New Roman"/>
          <w:color w:val="000000" w:themeColor="text1"/>
          <w:sz w:val="24"/>
        </w:rPr>
        <w:t xml:space="preserve"> </w:t>
      </w:r>
      <w:r w:rsidRPr="00603839">
        <w:rPr>
          <w:rFonts w:ascii="Times New Roman" w:hAnsi="Times New Roman"/>
          <w:sz w:val="24"/>
        </w:rPr>
        <w:t xml:space="preserve">EPA expects to develop and release this guidance approximately one year after this final rule. The SCCAP proposed rule identified relevant new studies for RMP facilities and the threat of natural hazards to them. Those studies included the Center for Progressive Reform, Earthjustice, and the Union of Concerned </w:t>
      </w:r>
      <w:r w:rsidRPr="00603839">
        <w:rPr>
          <w:rFonts w:ascii="Times New Roman" w:hAnsi="Times New Roman"/>
          <w:sz w:val="24"/>
        </w:rPr>
        <w:t>Scientists’, report “Preventing Double Disasters</w:t>
      </w:r>
      <w:r>
        <w:rPr>
          <w:rStyle w:val="FootnoteReference"/>
          <w:rFonts w:ascii="Times New Roman" w:hAnsi="Times New Roman"/>
          <w:sz w:val="24"/>
        </w:rPr>
        <w:footnoteReference w:id="58"/>
      </w:r>
      <w:r w:rsidRPr="00603839">
        <w:rPr>
          <w:rFonts w:ascii="Times New Roman" w:hAnsi="Times New Roman"/>
          <w:sz w:val="24"/>
        </w:rPr>
        <w:t>” and the Government Accountability Office’s report “Chemical Accident Prevention: EPA Should Ensure Regulated Facilities Consider Risks from Climate Change</w:t>
      </w:r>
      <w:r>
        <w:rPr>
          <w:rStyle w:val="FootnoteReference"/>
          <w:rFonts w:ascii="Times New Roman" w:hAnsi="Times New Roman"/>
          <w:sz w:val="24"/>
        </w:rPr>
        <w:footnoteReference w:id="59"/>
      </w:r>
      <w:r w:rsidRPr="00603839">
        <w:rPr>
          <w:rFonts w:ascii="Times New Roman" w:hAnsi="Times New Roman"/>
          <w:sz w:val="24"/>
        </w:rPr>
        <w:t>”. EPA also believes CCPS’ guidance presented in the SCCAP proposal, is still useful for facilities’ evaluation of natural hazards for process safety. Lastly, EPA now also recognizes the identification of hazards in FEMA’s NRI</w:t>
      </w:r>
      <w:r>
        <w:rPr>
          <w:rStyle w:val="FootnoteReference"/>
          <w:rFonts w:ascii="Times New Roman" w:hAnsi="Times New Roman"/>
          <w:sz w:val="24"/>
        </w:rPr>
        <w:footnoteReference w:id="60"/>
      </w:r>
      <w:r w:rsidRPr="00236FA4">
        <w:rPr>
          <w:rFonts w:ascii="Times New Roman" w:hAnsi="Times New Roman"/>
          <w:sz w:val="24"/>
        </w:rPr>
        <w:t xml:space="preserve"> and Climate Essentials for Emergency Managers</w:t>
      </w:r>
      <w:r>
        <w:rPr>
          <w:rFonts w:ascii="Times New Roman" w:hAnsi="Times New Roman"/>
          <w:sz w:val="24"/>
          <w:vertAlign w:val="superscript"/>
        </w:rPr>
        <w:footnoteReference w:id="61"/>
      </w:r>
      <w:r w:rsidRPr="00236FA4">
        <w:rPr>
          <w:rFonts w:ascii="Times New Roman" w:hAnsi="Times New Roman"/>
          <w:sz w:val="24"/>
        </w:rPr>
        <w:t xml:space="preserve"> as the most comprehensive foundation to identify, evaluate and understand relative natural hazard risk, particularly how natural hazards must account for a changing climate. EPA intends to incorporate and further evaluate other resources as a minimum in its guidance and expects that information available in these resources can be helpful to be consulted to complement a facility’s more localized information available from the state and local government.</w:t>
      </w:r>
    </w:p>
    <w:p w:rsidR="00D43808" w:rsidP="00D43808" w14:paraId="22EE614A" w14:textId="5E7F58FA">
      <w:pPr>
        <w:ind w:left="720"/>
        <w:rPr>
          <w:rFonts w:ascii="Times New Roman" w:eastAsia="Times New Roman" w:hAnsi="Times New Roman"/>
          <w:color w:val="000000" w:themeColor="text1"/>
          <w:sz w:val="24"/>
        </w:rPr>
      </w:pPr>
      <w:r w:rsidRPr="393C66C7">
        <w:rPr>
          <w:rFonts w:ascii="Times New Roman" w:eastAsia="Times New Roman" w:hAnsi="Times New Roman"/>
          <w:color w:val="000000" w:themeColor="text1"/>
          <w:sz w:val="24"/>
        </w:rPr>
        <w:t xml:space="preserve">With respect to Program 1 processes, while the processes themselves may be vulnerable to climate-related events and other </w:t>
      </w:r>
      <w:r w:rsidRPr="393C66C7" w:rsidR="53CBF2DC">
        <w:rPr>
          <w:rFonts w:ascii="Times New Roman" w:eastAsia="Times New Roman" w:hAnsi="Times New Roman"/>
          <w:color w:val="000000" w:themeColor="text1"/>
          <w:sz w:val="24"/>
        </w:rPr>
        <w:t xml:space="preserve">natural hazards, the criteria for Program </w:t>
      </w:r>
      <w:r w:rsidR="00352758">
        <w:rPr>
          <w:rFonts w:ascii="Times New Roman" w:eastAsia="Times New Roman" w:hAnsi="Times New Roman"/>
          <w:color w:val="000000" w:themeColor="text1"/>
          <w:sz w:val="24"/>
        </w:rPr>
        <w:t xml:space="preserve">1 </w:t>
      </w:r>
      <w:r w:rsidRPr="393C66C7" w:rsidR="53CBF2DC">
        <w:rPr>
          <w:rFonts w:ascii="Times New Roman" w:eastAsia="Times New Roman" w:hAnsi="Times New Roman"/>
          <w:color w:val="000000" w:themeColor="text1"/>
          <w:sz w:val="24"/>
        </w:rPr>
        <w:t xml:space="preserve">ensures that the public would not be impacted by accidental releases from these </w:t>
      </w:r>
      <w:r w:rsidRPr="393C66C7" w:rsidR="77A5AEE8">
        <w:rPr>
          <w:rFonts w:ascii="Times New Roman" w:eastAsia="Times New Roman" w:hAnsi="Times New Roman"/>
          <w:color w:val="000000" w:themeColor="text1"/>
          <w:sz w:val="24"/>
        </w:rPr>
        <w:t xml:space="preserve">processes. </w:t>
      </w:r>
    </w:p>
    <w:p w:rsidR="00731E21" w:rsidP="00731E21" w14:paraId="79391E1E" w14:textId="77777777">
      <w:pPr>
        <w:rPr>
          <w:rFonts w:ascii="Times New Roman" w:eastAsia="Times New Roman" w:hAnsi="Times New Roman"/>
          <w:color w:val="000000" w:themeColor="text1"/>
          <w:sz w:val="24"/>
        </w:rPr>
      </w:pPr>
    </w:p>
    <w:p w:rsidR="00D43808" w:rsidP="00731E21" w14:paraId="2E172B8D" w14:textId="77777777">
      <w:pPr>
        <w:pStyle w:val="Heading1"/>
        <w:spacing w:before="120"/>
      </w:pPr>
      <w:bookmarkStart w:id="37" w:name="_Toc146879982"/>
      <w:bookmarkStart w:id="38" w:name="_Toc153373776"/>
      <w:r w:rsidRPr="006F68E9">
        <w:t>Power Loss</w:t>
      </w:r>
      <w:bookmarkEnd w:id="37"/>
      <w:bookmarkEnd w:id="38"/>
    </w:p>
    <w:p w:rsidR="00D43808" w:rsidRPr="00C847D0" w:rsidP="00D43808" w14:paraId="49EE87A1" w14:textId="77777777">
      <w:pPr>
        <w:rPr>
          <w:i/>
        </w:rPr>
      </w:pPr>
      <w:r w:rsidRPr="00892549">
        <w:rPr>
          <w:rFonts w:ascii="Times New Roman" w:hAnsi="Times New Roman"/>
          <w:i/>
          <w:sz w:val="24"/>
        </w:rPr>
        <w:t>Comme</w:t>
      </w:r>
      <w:r w:rsidRPr="00995AC2">
        <w:rPr>
          <w:rFonts w:ascii="Times New Roman" w:hAnsi="Times New Roman"/>
          <w:i/>
          <w:sz w:val="24"/>
        </w:rPr>
        <w:t>nts a</w:t>
      </w:r>
      <w:r w:rsidRPr="009D03A1">
        <w:rPr>
          <w:rFonts w:ascii="Times New Roman" w:hAnsi="Times New Roman"/>
          <w:i/>
          <w:sz w:val="24"/>
        </w:rPr>
        <w:t>ssociated wi</w:t>
      </w:r>
      <w:r w:rsidRPr="00B14193">
        <w:rPr>
          <w:rFonts w:ascii="Times New Roman" w:hAnsi="Times New Roman"/>
          <w:i/>
          <w:sz w:val="24"/>
        </w:rPr>
        <w:t>th this issue are discussed in the sub-issues below.</w:t>
      </w:r>
    </w:p>
    <w:p w:rsidR="00D43808" w:rsidP="00051EAD" w14:paraId="5ED6094C" w14:textId="77777777">
      <w:pPr>
        <w:pStyle w:val="Heading2"/>
        <w:spacing w:before="120"/>
        <w:rPr>
          <w:rFonts w:ascii="Times New Roman" w:hAnsi="Times New Roman" w:cs="Times New Roman"/>
          <w:b/>
          <w:bCs/>
          <w:color w:val="auto"/>
          <w:sz w:val="24"/>
          <w:szCs w:val="24"/>
        </w:rPr>
      </w:pPr>
      <w:bookmarkStart w:id="39" w:name="_Toc146879983"/>
      <w:bookmarkStart w:id="40" w:name="_Toc153373777"/>
      <w:r w:rsidRPr="00DE3B44">
        <w:rPr>
          <w:rFonts w:ascii="Times New Roman" w:hAnsi="Times New Roman" w:cs="Times New Roman"/>
          <w:b/>
          <w:bCs/>
          <w:color w:val="auto"/>
          <w:sz w:val="24"/>
          <w:szCs w:val="24"/>
        </w:rPr>
        <w:t xml:space="preserve">Proposed </w:t>
      </w:r>
      <w:bookmarkEnd w:id="39"/>
      <w:r>
        <w:rPr>
          <w:rFonts w:ascii="Times New Roman" w:hAnsi="Times New Roman" w:cs="Times New Roman"/>
          <w:b/>
          <w:bCs/>
          <w:color w:val="auto"/>
          <w:sz w:val="24"/>
          <w:szCs w:val="24"/>
        </w:rPr>
        <w:t>a</w:t>
      </w:r>
      <w:r w:rsidRPr="00DE3B44">
        <w:rPr>
          <w:rFonts w:ascii="Times New Roman" w:hAnsi="Times New Roman" w:cs="Times New Roman"/>
          <w:b/>
          <w:bCs/>
          <w:color w:val="auto"/>
          <w:sz w:val="24"/>
          <w:szCs w:val="24"/>
        </w:rPr>
        <w:t>pproach</w:t>
      </w:r>
      <w:bookmarkEnd w:id="40"/>
      <w:r>
        <w:rPr>
          <w:rFonts w:ascii="Times New Roman" w:hAnsi="Times New Roman" w:cs="Times New Roman"/>
          <w:b/>
          <w:bCs/>
          <w:color w:val="auto"/>
          <w:sz w:val="24"/>
          <w:szCs w:val="24"/>
        </w:rPr>
        <w:t xml:space="preserve"> </w:t>
      </w:r>
    </w:p>
    <w:p w:rsidR="00D43808" w:rsidRPr="00862426" w:rsidP="00D43808" w14:paraId="542F9255" w14:textId="77777777">
      <w:pPr>
        <w:rPr>
          <w:rFonts w:ascii="Times New Roman" w:hAnsi="Times New Roman"/>
          <w:i/>
          <w:iCs/>
          <w:sz w:val="24"/>
        </w:rPr>
      </w:pPr>
      <w:r w:rsidRPr="00862426">
        <w:rPr>
          <w:rFonts w:ascii="Times New Roman" w:hAnsi="Times New Roman"/>
          <w:i/>
          <w:iCs/>
          <w:sz w:val="24"/>
        </w:rPr>
        <w:t>General comments</w:t>
      </w:r>
      <w:r>
        <w:rPr>
          <w:rFonts w:ascii="Times New Roman" w:hAnsi="Times New Roman"/>
          <w:i/>
          <w:iCs/>
          <w:sz w:val="24"/>
        </w:rPr>
        <w:t xml:space="preserve"> on requiring hazard evaluations to explicitly address the risk of power failure, as well as standby or emergency power systems </w:t>
      </w:r>
    </w:p>
    <w:p w:rsidR="00D43808" w:rsidP="00D43808" w14:paraId="400DAC08" w14:textId="77777777">
      <w:pPr>
        <w:rPr>
          <w:rFonts w:ascii="Times New Roman" w:hAnsi="Times New Roman"/>
          <w:sz w:val="24"/>
        </w:rPr>
      </w:pPr>
      <w:r>
        <w:rPr>
          <w:rFonts w:ascii="Times New Roman" w:hAnsi="Times New Roman"/>
          <w:b/>
          <w:bCs/>
          <w:sz w:val="24"/>
        </w:rPr>
        <w:t xml:space="preserve">Comment 3.1-01: </w:t>
      </w:r>
      <w:r w:rsidRPr="2EA07CE0">
        <w:rPr>
          <w:rFonts w:ascii="Times New Roman" w:hAnsi="Times New Roman"/>
          <w:sz w:val="24"/>
        </w:rPr>
        <w:t xml:space="preserve">A couple of commenters supported the proposal requiring facilities to consider loss of power (0135, 0250). </w:t>
      </w:r>
      <w:r w:rsidRPr="55C30A11">
        <w:rPr>
          <w:rFonts w:ascii="Times New Roman" w:hAnsi="Times New Roman"/>
          <w:sz w:val="24"/>
        </w:rPr>
        <w:t xml:space="preserve">One commenter agreed with EPA’s approach to add regulatory text to emphasize that loss of power is among the hazards that must be addressed within hazard review (0257). </w:t>
      </w:r>
      <w:r w:rsidRPr="006F68E9">
        <w:rPr>
          <w:rFonts w:ascii="Times New Roman" w:hAnsi="Times New Roman"/>
          <w:sz w:val="24"/>
        </w:rPr>
        <w:t xml:space="preserve">One commenter supported the regulations change as currently stated, i.e., as a requirement for consideration of the potential for loss of power (0215). </w:t>
      </w:r>
      <w:r w:rsidRPr="55C30A11">
        <w:rPr>
          <w:rFonts w:ascii="Times New Roman" w:hAnsi="Times New Roman"/>
          <w:sz w:val="24"/>
        </w:rPr>
        <w:t xml:space="preserve">A few commenters expressed support for facilities having contingency plans to handle potential power loss (0184, 0270, 0444). </w:t>
      </w:r>
      <w:r w:rsidRPr="006F68E9">
        <w:rPr>
          <w:rFonts w:ascii="Times New Roman" w:hAnsi="Times New Roman"/>
          <w:sz w:val="24"/>
        </w:rPr>
        <w:t xml:space="preserve">A few commenters </w:t>
      </w:r>
      <w:r>
        <w:rPr>
          <w:rFonts w:ascii="Times New Roman" w:hAnsi="Times New Roman"/>
          <w:sz w:val="24"/>
        </w:rPr>
        <w:t>discussed</w:t>
      </w:r>
      <w:r w:rsidRPr="006F68E9">
        <w:rPr>
          <w:rFonts w:ascii="Times New Roman" w:hAnsi="Times New Roman"/>
          <w:sz w:val="24"/>
        </w:rPr>
        <w:t xml:space="preserve"> EPA’s proposal to emphasize that PHAs identify and address natural hazards, loss o</w:t>
      </w:r>
      <w:r>
        <w:rPr>
          <w:rFonts w:ascii="Times New Roman" w:hAnsi="Times New Roman"/>
          <w:sz w:val="24"/>
        </w:rPr>
        <w:t>f</w:t>
      </w:r>
      <w:r w:rsidRPr="006F68E9">
        <w:rPr>
          <w:rFonts w:ascii="Times New Roman" w:hAnsi="Times New Roman"/>
          <w:sz w:val="24"/>
        </w:rPr>
        <w:t xml:space="preserve"> power that could lead to catastrophic consequences, and facility siting in accordance with accepted industry guidelines and had no objections to the proposal (0228, 0263, 0460). One of the commenters noted that EPA must respond and incorporate this recommendation fully (0460).</w:t>
      </w:r>
      <w:r>
        <w:rPr>
          <w:rFonts w:ascii="Times New Roman" w:hAnsi="Times New Roman"/>
          <w:sz w:val="24"/>
        </w:rPr>
        <w:t xml:space="preserve"> </w:t>
      </w:r>
      <w:r w:rsidRPr="4A4CCE23">
        <w:rPr>
          <w:rFonts w:ascii="Times New Roman" w:hAnsi="Times New Roman"/>
          <w:sz w:val="24"/>
        </w:rPr>
        <w:t>One commenter stated that they did not oppose requiring hazard reviews and PHAs to address power loss, but noted that in many cases, a company’s RMP already considers both natural hazards and power loss (0275).</w:t>
      </w:r>
    </w:p>
    <w:p w:rsidR="00D43808" w:rsidP="00D43808" w14:paraId="678D90FC" w14:textId="77777777">
      <w:pPr>
        <w:rPr>
          <w:rFonts w:ascii="Times New Roman" w:hAnsi="Times New Roman"/>
          <w:sz w:val="24"/>
        </w:rPr>
      </w:pPr>
      <w:r w:rsidRPr="1D36B265">
        <w:rPr>
          <w:rFonts w:ascii="Times New Roman" w:hAnsi="Times New Roman"/>
          <w:sz w:val="24"/>
        </w:rPr>
        <w:t>One commenter noted that power loss has been identified as the cause of hazardous chemical releases, such as the Shell East Site and Arkema incidents, and stated it is clear that more stringent requirements are needed (0270).</w:t>
      </w:r>
    </w:p>
    <w:p w:rsidR="00D43808" w:rsidP="00D43808" w14:paraId="3D000AD5" w14:textId="77777777">
      <w:pPr>
        <w:rPr>
          <w:rFonts w:ascii="Times New Roman" w:hAnsi="Times New Roman"/>
          <w:sz w:val="24"/>
        </w:rPr>
      </w:pPr>
      <w:r w:rsidRPr="006F68E9">
        <w:rPr>
          <w:rFonts w:ascii="Times New Roman" w:hAnsi="Times New Roman"/>
          <w:sz w:val="24"/>
        </w:rPr>
        <w:t>Another commenter noted that power loss has caused or contributed to thousands of NRC reported incidents, including chemical disasters. The commenter supports including an amendment to fulfill EPA’s statutory duty to promulgate rules that provide, “to the greatest extent practicable, for the prevention and detection of accidental releases” (0460).</w:t>
      </w:r>
    </w:p>
    <w:p w:rsidR="00D43808" w:rsidP="00D43808" w14:paraId="45AC6DD0"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urged</w:t>
      </w:r>
      <w:r w:rsidRPr="006F68E9">
        <w:rPr>
          <w:rFonts w:ascii="Times New Roman" w:hAnsi="Times New Roman"/>
          <w:sz w:val="24"/>
        </w:rPr>
        <w:t xml:space="preserve"> EPA to finalize and strengthen its proposal to assure a full assessment of natural hazard-linked chemical disasters and implementation of all feasible prevention and disaster prevention measures, which include backup power, safer startup or shutdown, and repair of aging infrastructure (0413). </w:t>
      </w:r>
    </w:p>
    <w:p w:rsidR="00D43808" w:rsidP="00D43808" w14:paraId="02FD95A4" w14:textId="77777777">
      <w:pPr>
        <w:rPr>
          <w:rFonts w:ascii="Times New Roman" w:hAnsi="Times New Roman"/>
          <w:sz w:val="24"/>
        </w:rPr>
      </w:pPr>
      <w:r>
        <w:rPr>
          <w:rFonts w:ascii="Times New Roman" w:hAnsi="Times New Roman"/>
          <w:sz w:val="24"/>
        </w:rPr>
        <w:t>Two</w:t>
      </w:r>
      <w:r w:rsidRPr="006F68E9">
        <w:rPr>
          <w:rFonts w:ascii="Times New Roman" w:hAnsi="Times New Roman"/>
          <w:sz w:val="24"/>
        </w:rPr>
        <w:t xml:space="preserve"> commenter</w:t>
      </w:r>
      <w:r>
        <w:rPr>
          <w:rFonts w:ascii="Times New Roman" w:hAnsi="Times New Roman"/>
          <w:sz w:val="24"/>
        </w:rPr>
        <w:t>s</w:t>
      </w:r>
      <w:r w:rsidRPr="006F68E9">
        <w:rPr>
          <w:rFonts w:ascii="Times New Roman" w:hAnsi="Times New Roman"/>
          <w:sz w:val="24"/>
        </w:rPr>
        <w:t xml:space="preserve"> stated that EPA should </w:t>
      </w:r>
      <w:r>
        <w:rPr>
          <w:rFonts w:ascii="Times New Roman" w:hAnsi="Times New Roman"/>
          <w:sz w:val="24"/>
        </w:rPr>
        <w:t xml:space="preserve">do more to </w:t>
      </w:r>
      <w:r w:rsidRPr="006F68E9">
        <w:rPr>
          <w:rFonts w:ascii="Times New Roman" w:hAnsi="Times New Roman"/>
          <w:sz w:val="24"/>
        </w:rPr>
        <w:t>require all RMP facilities to prepare for climate-driven extreme weather events and power loss (0240</w:t>
      </w:r>
      <w:r>
        <w:rPr>
          <w:rFonts w:ascii="Times New Roman" w:hAnsi="Times New Roman"/>
          <w:sz w:val="24"/>
        </w:rPr>
        <w:t>, 0392</w:t>
      </w:r>
      <w:r w:rsidRPr="006F68E9">
        <w:rPr>
          <w:rFonts w:ascii="Times New Roman" w:hAnsi="Times New Roman"/>
          <w:sz w:val="24"/>
        </w:rPr>
        <w:t>).</w:t>
      </w:r>
    </w:p>
    <w:p w:rsidR="00D43808" w:rsidRPr="00AB2B1D" w:rsidP="00D43808" w14:paraId="55625638"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supported the requirements and stated that evidence </w:t>
      </w:r>
      <w:r>
        <w:rPr>
          <w:rFonts w:ascii="Times New Roman" w:hAnsi="Times New Roman"/>
          <w:sz w:val="24"/>
        </w:rPr>
        <w:t xml:space="preserve">shows </w:t>
      </w:r>
      <w:r w:rsidRPr="006F68E9">
        <w:rPr>
          <w:rFonts w:ascii="Times New Roman" w:hAnsi="Times New Roman"/>
          <w:sz w:val="24"/>
        </w:rPr>
        <w:t>that at least one-third of all RMP facilities are in areas facing high climate risks (0252).</w:t>
      </w:r>
      <w:r>
        <w:rPr>
          <w:rFonts w:ascii="Times New Roman" w:hAnsi="Times New Roman"/>
          <w:sz w:val="24"/>
        </w:rPr>
        <w:t xml:space="preserve"> </w:t>
      </w:r>
      <w:r w:rsidRPr="006F68E9">
        <w:rPr>
          <w:rFonts w:ascii="Times New Roman" w:hAnsi="Times New Roman"/>
          <w:sz w:val="24"/>
        </w:rPr>
        <w:t>Another commenter supported that RMP should require that all facilities take action to prepare for climate hazards, including things like enough back-up power to safely run or shutdown the entire facility when the power goes out (0255).</w:t>
      </w:r>
    </w:p>
    <w:p w:rsidR="00D43808" w:rsidRPr="00AB2B1D" w:rsidP="00D43808" w14:paraId="3892918A"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supported requiring Program 2 and 3 facilities to include explicit considerations of power loss in hazard reviews and process hazard analyses.</w:t>
      </w:r>
    </w:p>
    <w:p w:rsidR="00D43808" w:rsidRPr="00AB2B1D" w:rsidP="00D43808" w14:paraId="69E63AE4" w14:textId="77777777">
      <w:pPr>
        <w:rPr>
          <w:rFonts w:ascii="Times New Roman" w:hAnsi="Times New Roman"/>
          <w:sz w:val="24"/>
        </w:rPr>
      </w:pPr>
      <w:r w:rsidRPr="006F68E9">
        <w:rPr>
          <w:rFonts w:ascii="Times New Roman" w:hAnsi="Times New Roman"/>
          <w:sz w:val="24"/>
        </w:rPr>
        <w:t>One commenter noted that RMP facilities should be expressly required to analyze hazards associated with power loss. The commenter stated that the lack of reliable backup or emergency power at RMP facilities is a longstanding problem. The commenter stated that lack of an explicit requirement that RMP facilities plan for a sudden loss in power has resulted in accidents such as the 2017 Arkema Crosby facility fire, where extensive flooding from Hurricane Harvey caused the facility’s refrigeration system to fail, leading to the combustion of organic peroxides (0444).</w:t>
      </w:r>
    </w:p>
    <w:p w:rsidR="00D43808" w:rsidP="00D43808" w14:paraId="406E1BEA" w14:textId="77777777">
      <w:pPr>
        <w:rPr>
          <w:rFonts w:ascii="Times New Roman" w:hAnsi="Times New Roman"/>
          <w:sz w:val="24"/>
        </w:rPr>
      </w:pPr>
      <w:r w:rsidRPr="4C07558C">
        <w:rPr>
          <w:rFonts w:ascii="Times New Roman" w:hAnsi="Times New Roman"/>
          <w:sz w:val="24"/>
        </w:rPr>
        <w:t xml:space="preserve">Several commenters </w:t>
      </w:r>
      <w:r>
        <w:rPr>
          <w:rFonts w:ascii="Times New Roman" w:hAnsi="Times New Roman"/>
          <w:sz w:val="24"/>
        </w:rPr>
        <w:t>expressed</w:t>
      </w:r>
      <w:r w:rsidRPr="4C07558C">
        <w:rPr>
          <w:rFonts w:ascii="Times New Roman" w:hAnsi="Times New Roman"/>
          <w:sz w:val="24"/>
        </w:rPr>
        <w:t xml:space="preserve"> that EPA has not provided data showing that power loss is a significant cause of accidents, and therefore the proposed rule is unwarranted (0232, 0237, 0238, 0268, 0272). One of the commenters stated that EPA provides no supporting examples in the preamble of an RMP accident related to power loss during these natural hazard events (0238). Another commenter noted that the RMP data over the 16-year period identified only 20 accidents linked to power loss, and none of these resulted in injuries to the public, offsite deaths, or offsite property damage (0268). </w:t>
      </w:r>
    </w:p>
    <w:p w:rsidR="00A923C7" w:rsidP="00D43808" w14:paraId="510AED66" w14:textId="0E982E91">
      <w:pPr>
        <w:rPr>
          <w:rFonts w:ascii="Times New Roman" w:hAnsi="Times New Roman"/>
          <w:sz w:val="24"/>
        </w:rPr>
      </w:pPr>
      <w:r w:rsidRPr="006F68E9">
        <w:rPr>
          <w:rFonts w:ascii="Times New Roman" w:hAnsi="Times New Roman"/>
          <w:sz w:val="24"/>
        </w:rPr>
        <w:t xml:space="preserve">One commenter stated that the new chemical disaster prevention rule must require RMP facilities to have functioning backup power generators, microgrids, and other available forms of additional on-site power to ensure full backup power capacity needed for safety reasons. The commenter </w:t>
      </w:r>
      <w:r>
        <w:rPr>
          <w:rFonts w:ascii="Times New Roman" w:hAnsi="Times New Roman"/>
          <w:sz w:val="24"/>
        </w:rPr>
        <w:t>stated</w:t>
      </w:r>
      <w:r w:rsidRPr="006F68E9">
        <w:rPr>
          <w:rFonts w:ascii="Times New Roman" w:hAnsi="Times New Roman"/>
          <w:sz w:val="24"/>
        </w:rPr>
        <w:t xml:space="preserve">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must also require RMP facilities to report on the reliability of their backup power and infrastructure. The commenter mentioned the Arkema disaster and the European Union’s (EU) Seveso III Directive in detail (0456).</w:t>
      </w:r>
    </w:p>
    <w:p w:rsidR="00D43808" w:rsidP="00D43808" w14:paraId="5B31A6BD" w14:textId="6E710194">
      <w:pPr>
        <w:ind w:left="720"/>
        <w:rPr>
          <w:rFonts w:ascii="Times New Roman" w:eastAsia="Times New Roman" w:hAnsi="Times New Roman"/>
          <w:color w:val="000000" w:themeColor="text1"/>
          <w:sz w:val="24"/>
        </w:rPr>
      </w:pPr>
      <w:r w:rsidRPr="24F9C2D3">
        <w:rPr>
          <w:rFonts w:ascii="Times New Roman" w:hAnsi="Times New Roman"/>
          <w:b/>
          <w:bCs/>
          <w:sz w:val="24"/>
        </w:rPr>
        <w:t>EPA Response</w:t>
      </w:r>
      <w:r>
        <w:rPr>
          <w:rFonts w:ascii="Times New Roman" w:hAnsi="Times New Roman"/>
          <w:b/>
          <w:bCs/>
          <w:sz w:val="24"/>
        </w:rPr>
        <w:t xml:space="preserve">: </w:t>
      </w:r>
      <w:r w:rsidRPr="24F9C2D3">
        <w:rPr>
          <w:rFonts w:ascii="Times New Roman" w:eastAsia="Times New Roman" w:hAnsi="Times New Roman"/>
          <w:color w:val="000000" w:themeColor="text1"/>
          <w:sz w:val="24"/>
        </w:rPr>
        <w:t>EPA agrees that power loss can threaten RMP-regulated processes and cause accidental releases if not properly managed, and therefore disagrees that the provisions are unwarranted. In the proposed rule, EPA provided data showing that power loss has resulted in serious accidental release incidents at RMP-regulated facilities</w:t>
      </w:r>
      <w:r w:rsidR="00FE0474">
        <w:rPr>
          <w:rFonts w:ascii="Times New Roman" w:eastAsia="Times New Roman" w:hAnsi="Times New Roman"/>
          <w:color w:val="000000" w:themeColor="text1"/>
          <w:sz w:val="24"/>
        </w:rPr>
        <w:t xml:space="preserve"> (87 FR 53569)</w:t>
      </w:r>
      <w:r w:rsidRPr="00FE0474">
        <w:rPr>
          <w:rFonts w:ascii="Times New Roman" w:eastAsia="Times New Roman" w:hAnsi="Times New Roman"/>
          <w:sz w:val="24"/>
        </w:rPr>
        <w:t>,</w:t>
      </w:r>
      <w:r w:rsidRPr="00FE0474">
        <w:rPr>
          <w:rFonts w:ascii="Times New Roman" w:eastAsia="Times New Roman" w:hAnsi="Times New Roman"/>
          <w:color w:val="000000" w:themeColor="text1"/>
          <w:sz w:val="24"/>
        </w:rPr>
        <w:t xml:space="preserve"> </w:t>
      </w:r>
      <w:r w:rsidRPr="24F9C2D3">
        <w:rPr>
          <w:rFonts w:ascii="Times New Roman" w:eastAsia="Times New Roman" w:hAnsi="Times New Roman"/>
          <w:color w:val="000000" w:themeColor="text1"/>
          <w:sz w:val="24"/>
        </w:rPr>
        <w:t>and EPA believes making more explicit this already-existing accident prevention program requirement to evaluate hazards of the process</w:t>
      </w:r>
      <w:r w:rsidRPr="24F9C2D3">
        <w:rPr>
          <w:rFonts w:ascii="Times New Roman" w:eastAsia="Times New Roman" w:hAnsi="Times New Roman"/>
          <w:color w:val="000000" w:themeColor="text1"/>
          <w:sz w:val="24"/>
          <w:vertAlign w:val="superscript"/>
        </w:rPr>
        <w:t>13</w:t>
      </w:r>
      <w:r w:rsidRPr="24F9C2D3">
        <w:rPr>
          <w:rFonts w:ascii="Times New Roman" w:eastAsia="Times New Roman" w:hAnsi="Times New Roman"/>
          <w:color w:val="000000" w:themeColor="text1"/>
          <w:sz w:val="24"/>
        </w:rPr>
        <w:t xml:space="preserve"> will ensure that threats of power loss are properly evaluated and managed to prevent or mitigate releases </w:t>
      </w:r>
      <w:r w:rsidRPr="24F9C2D3">
        <w:rPr>
          <w:rFonts w:ascii="Times New Roman" w:eastAsia="Times New Roman" w:hAnsi="Times New Roman"/>
          <w:color w:val="000000" w:themeColor="text1"/>
          <w:sz w:val="24"/>
        </w:rPr>
        <w:t>of RMP-regulated substances at covered facilities. Therefore, EPA is finalizing the proposed revisions.</w:t>
      </w:r>
    </w:p>
    <w:p w:rsidR="00F43FA1" w:rsidP="00D43808" w14:paraId="2B6C5586" w14:textId="6F87F0AE">
      <w:pPr>
        <w:ind w:left="720"/>
        <w:rPr>
          <w:rFonts w:ascii="Times New Roman" w:eastAsia="Times New Roman" w:hAnsi="Times New Roman"/>
          <w:color w:val="000000" w:themeColor="text1"/>
          <w:sz w:val="24"/>
        </w:rPr>
      </w:pPr>
      <w:r w:rsidRPr="00F43FA1">
        <w:rPr>
          <w:rFonts w:ascii="Times New Roman" w:eastAsia="Times New Roman" w:hAnsi="Times New Roman"/>
          <w:color w:val="000000" w:themeColor="text1"/>
          <w:sz w:val="24"/>
        </w:rPr>
        <w:t>EPA is not requiring implementation of standby or emergency power for the entirety of an RMP process at this time</w:t>
      </w:r>
      <w:r w:rsidR="000650D3">
        <w:rPr>
          <w:rFonts w:ascii="Times New Roman" w:eastAsia="Times New Roman" w:hAnsi="Times New Roman"/>
          <w:color w:val="000000" w:themeColor="text1"/>
          <w:sz w:val="24"/>
        </w:rPr>
        <w:t>. However,</w:t>
      </w:r>
      <w:r w:rsidRPr="00F43FA1">
        <w:rPr>
          <w:rFonts w:ascii="Times New Roman" w:eastAsia="Times New Roman" w:hAnsi="Times New Roman"/>
          <w:color w:val="000000" w:themeColor="text1"/>
          <w:sz w:val="24"/>
        </w:rPr>
        <w:t xml:space="preserve"> the Agency is requiring the source to consider the appropriateness of backup power for </w:t>
      </w:r>
      <w:r w:rsidR="00D24B0B">
        <w:rPr>
          <w:rFonts w:ascii="Times New Roman" w:eastAsia="Times New Roman" w:hAnsi="Times New Roman"/>
          <w:color w:val="000000" w:themeColor="text1"/>
          <w:sz w:val="24"/>
        </w:rPr>
        <w:t xml:space="preserve">the </w:t>
      </w:r>
      <w:r w:rsidRPr="00DF45A6" w:rsidR="00963869">
        <w:rPr>
          <w:rFonts w:ascii="Times New Roman" w:eastAsia="Times New Roman" w:hAnsi="Times New Roman"/>
          <w:color w:val="000000" w:themeColor="text1"/>
          <w:sz w:val="24"/>
        </w:rPr>
        <w:t xml:space="preserve">entirety of </w:t>
      </w:r>
      <w:r w:rsidR="00963869">
        <w:rPr>
          <w:rFonts w:ascii="Times New Roman" w:eastAsia="Times New Roman" w:hAnsi="Times New Roman"/>
          <w:color w:val="000000" w:themeColor="text1"/>
          <w:sz w:val="24"/>
        </w:rPr>
        <w:t>the</w:t>
      </w:r>
      <w:r w:rsidR="00E7034B">
        <w:rPr>
          <w:rFonts w:ascii="Times New Roman" w:eastAsia="Times New Roman" w:hAnsi="Times New Roman"/>
          <w:color w:val="000000" w:themeColor="text1"/>
          <w:sz w:val="24"/>
        </w:rPr>
        <w:t xml:space="preserve">ir </w:t>
      </w:r>
      <w:r w:rsidRPr="00F43FA1">
        <w:rPr>
          <w:rFonts w:ascii="Times New Roman" w:eastAsia="Times New Roman" w:hAnsi="Times New Roman"/>
          <w:color w:val="000000" w:themeColor="text1"/>
          <w:sz w:val="24"/>
        </w:rPr>
        <w:t>process and to explain decisions not to implement backup power</w:t>
      </w:r>
      <w:r w:rsidR="00E237A5">
        <w:rPr>
          <w:rFonts w:ascii="Times New Roman" w:eastAsia="Times New Roman" w:hAnsi="Times New Roman"/>
          <w:color w:val="000000" w:themeColor="text1"/>
          <w:sz w:val="24"/>
        </w:rPr>
        <w:t xml:space="preserve"> to </w:t>
      </w:r>
      <w:r w:rsidR="00A66D85">
        <w:rPr>
          <w:rFonts w:ascii="Times New Roman" w:eastAsia="Times New Roman" w:hAnsi="Times New Roman"/>
          <w:color w:val="000000" w:themeColor="text1"/>
          <w:sz w:val="24"/>
        </w:rPr>
        <w:t xml:space="preserve">that scale. </w:t>
      </w:r>
      <w:r w:rsidRPr="00F43FA1">
        <w:rPr>
          <w:rFonts w:ascii="Times New Roman" w:eastAsia="Times New Roman" w:hAnsi="Times New Roman"/>
          <w:color w:val="000000" w:themeColor="text1"/>
          <w:sz w:val="24"/>
        </w:rPr>
        <w:t>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w:t>
      </w:r>
    </w:p>
    <w:p w:rsidR="00D43808" w:rsidP="00D43808" w14:paraId="1AD68C7C" w14:textId="77777777">
      <w:pPr>
        <w:rPr>
          <w:rFonts w:ascii="Times New Roman" w:hAnsi="Times New Roman"/>
          <w:i/>
          <w:iCs/>
          <w:sz w:val="24"/>
        </w:rPr>
      </w:pPr>
      <w:r>
        <w:rPr>
          <w:rFonts w:ascii="Times New Roman" w:hAnsi="Times New Roman"/>
          <w:i/>
          <w:iCs/>
          <w:sz w:val="24"/>
        </w:rPr>
        <w:t>Specific comments in opposition to the proposed rule</w:t>
      </w:r>
    </w:p>
    <w:p w:rsidR="00D43808" w:rsidP="00D43808" w14:paraId="33D83322" w14:textId="77777777">
      <w:pPr>
        <w:rPr>
          <w:rFonts w:ascii="Times New Roman" w:hAnsi="Times New Roman"/>
          <w:b/>
          <w:bCs/>
          <w:sz w:val="24"/>
        </w:rPr>
      </w:pPr>
      <w:r>
        <w:rPr>
          <w:rFonts w:ascii="Times New Roman" w:hAnsi="Times New Roman"/>
          <w:b/>
          <w:bCs/>
          <w:sz w:val="24"/>
        </w:rPr>
        <w:t xml:space="preserve">Comment 3.1-02: </w:t>
      </w:r>
      <w:r w:rsidRPr="00232A07">
        <w:rPr>
          <w:rFonts w:ascii="Times New Roman" w:hAnsi="Times New Roman"/>
          <w:sz w:val="24"/>
        </w:rPr>
        <w:t>Many commenters opposed the proposed power loss requirements due to commenter’s concerns that RMP data do not justify the requirements</w:t>
      </w:r>
      <w:r>
        <w:rPr>
          <w:rFonts w:ascii="Times New Roman" w:hAnsi="Times New Roman"/>
          <w:sz w:val="24"/>
        </w:rPr>
        <w:t>, as explained below</w:t>
      </w:r>
      <w:r w:rsidRPr="00232A07">
        <w:rPr>
          <w:rFonts w:ascii="Times New Roman" w:hAnsi="Times New Roman"/>
          <w:sz w:val="24"/>
        </w:rPr>
        <w:t>.</w:t>
      </w:r>
      <w:r>
        <w:rPr>
          <w:rFonts w:ascii="Times New Roman" w:hAnsi="Times New Roman"/>
          <w:b/>
          <w:bCs/>
          <w:sz w:val="24"/>
        </w:rPr>
        <w:t xml:space="preserve"> </w:t>
      </w:r>
    </w:p>
    <w:p w:rsidR="00D43808" w:rsidP="00D43808" w14:paraId="082E8123" w14:textId="622B5BFB">
      <w:pPr>
        <w:rPr>
          <w:rFonts w:ascii="Times New Roman" w:hAnsi="Times New Roman"/>
          <w:sz w:val="24"/>
        </w:rPr>
      </w:pPr>
      <w:r w:rsidRPr="4C07558C">
        <w:rPr>
          <w:rFonts w:ascii="Times New Roman" w:hAnsi="Times New Roman"/>
          <w:sz w:val="24"/>
        </w:rPr>
        <w:t>A few commenters stated that from 2016-2020, only 7 out of 448 reported accidents were linked to power loss (0237, 0268, 0272). One of the commenters</w:t>
      </w:r>
      <w:r w:rsidRPr="4C07558C">
        <w:rPr>
          <w:rFonts w:ascii="Times New Roman" w:hAnsi="Times New Roman"/>
          <w:sz w:val="24"/>
        </w:rPr>
        <w:t xml:space="preserve"> </w:t>
      </w:r>
      <w:r>
        <w:rPr>
          <w:rFonts w:ascii="Times New Roman" w:hAnsi="Times New Roman"/>
          <w:sz w:val="24"/>
        </w:rPr>
        <w:t>asserted</w:t>
      </w:r>
      <w:r w:rsidRPr="4C07558C">
        <w:rPr>
          <w:rFonts w:ascii="Times New Roman" w:hAnsi="Times New Roman"/>
          <w:sz w:val="24"/>
        </w:rPr>
        <w:t xml:space="preserve"> that perhaps recognizing that the RMP data fails to show a power loss problem, EPA arbitrarily cherry picked the data in two respects. The commenter stated that EPA used RMP data back to 2004 to justify addressing power loss but insisted on using a 2016-2020 range for the same data in justifying other aspects of the </w:t>
      </w:r>
      <w:r>
        <w:rPr>
          <w:rFonts w:ascii="Times New Roman" w:hAnsi="Times New Roman"/>
          <w:sz w:val="24"/>
        </w:rPr>
        <w:t>p</w:t>
      </w:r>
      <w:r w:rsidRPr="4C07558C">
        <w:rPr>
          <w:rFonts w:ascii="Times New Roman" w:hAnsi="Times New Roman"/>
          <w:sz w:val="24"/>
        </w:rPr>
        <w:t xml:space="preserve">roposed </w:t>
      </w:r>
      <w:r>
        <w:rPr>
          <w:rFonts w:ascii="Times New Roman" w:hAnsi="Times New Roman"/>
          <w:sz w:val="24"/>
        </w:rPr>
        <w:t>r</w:t>
      </w:r>
      <w:r w:rsidRPr="4C07558C">
        <w:rPr>
          <w:rFonts w:ascii="Times New Roman" w:hAnsi="Times New Roman"/>
          <w:sz w:val="24"/>
        </w:rPr>
        <w:t xml:space="preserve">ule. The commenter stated that no explanation appears in the record to explain this arbitrary difference in methodology, but it again has the effect of increasing the number of incidents tied to power loss (0268). Another commenter </w:t>
      </w:r>
      <w:r>
        <w:rPr>
          <w:rFonts w:ascii="Times New Roman" w:hAnsi="Times New Roman"/>
          <w:sz w:val="24"/>
        </w:rPr>
        <w:t>discussed</w:t>
      </w:r>
      <w:r w:rsidRPr="4C07558C">
        <w:rPr>
          <w:rFonts w:ascii="Times New Roman" w:hAnsi="Times New Roman"/>
          <w:sz w:val="24"/>
        </w:rPr>
        <w:t xml:space="preserve"> in detail that only 7 accidents could be attributed to loss of power and none of those cases resulted in off-site property damage or injuries (0237).</w:t>
      </w:r>
    </w:p>
    <w:p w:rsidR="00D43808" w:rsidRPr="006F68E9" w:rsidP="00D43808" w14:paraId="7B1CD0C3"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stated there is no evidence of a deficiency to warrant </w:t>
      </w:r>
      <w:r>
        <w:rPr>
          <w:rFonts w:ascii="Times New Roman" w:hAnsi="Times New Roman"/>
          <w:sz w:val="24"/>
        </w:rPr>
        <w:t>the proposed power loss requirements</w:t>
      </w:r>
      <w:r w:rsidRPr="006F68E9">
        <w:rPr>
          <w:rFonts w:ascii="Times New Roman" w:hAnsi="Times New Roman"/>
          <w:sz w:val="24"/>
        </w:rPr>
        <w:t>. The commenter noted that EPA’s proposal references 3,077 reported accidents from 2004 to 2020 that were associated with power loss, but, tellingly, it acknowledges that most did not involve RMP chemicals, processes, or accidental releases as defined in CAA § 112(r)(2). The commenter stated that EPA’s lack of data on RMP-specific performance and enabling conditions is a fundamental defect (0215).</w:t>
      </w:r>
    </w:p>
    <w:p w:rsidR="00D43808" w:rsidP="00D43808" w14:paraId="1B81B9C2"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expressed that</w:t>
      </w:r>
      <w:r w:rsidRPr="006F68E9">
        <w:rPr>
          <w:rFonts w:ascii="Times New Roman" w:hAnsi="Times New Roman"/>
          <w:sz w:val="24"/>
        </w:rPr>
        <w:t xml:space="preserve"> information provided in the preamble does not justify elevating power loss to an explicit hazard evaluated in hazard reviews and PHAs. The commenter stated that accidents that predate EPA’s RMP accident data do not capture the safety improvements resulting from more than 20 years of RMP implementation, mentioning the 2010 Millard Refrigerated Services accident as an example. The commenter also stated that the data and examples provided by EPA in the preamble do not support adding power loss to the hazards evaluated in hazard reviews and PHAs (0238). </w:t>
      </w:r>
    </w:p>
    <w:p w:rsidR="00D43808" w:rsidP="00D43808" w14:paraId="5AC01720" w14:textId="42D7D544">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expressed</w:t>
      </w:r>
      <w:r w:rsidRPr="006F68E9">
        <w:rPr>
          <w:rFonts w:ascii="Times New Roman" w:hAnsi="Times New Roman"/>
          <w:sz w:val="24"/>
        </w:rPr>
        <w:t xml:space="preserve"> that there were flaws in EPA’s analysis including how EPA determined that 392 entities will need to implement backup power using a small generator or offered no assessment of the feasibility of requiring facilities to operate independently of the power grid. The commenter also opposed EPA’s review and justification for this provision </w:t>
      </w:r>
      <w:r>
        <w:rPr>
          <w:rFonts w:ascii="Times New Roman" w:hAnsi="Times New Roman"/>
          <w:sz w:val="24"/>
        </w:rPr>
        <w:t xml:space="preserve">and stated that it </w:t>
      </w:r>
      <w:r w:rsidRPr="006F68E9">
        <w:rPr>
          <w:rFonts w:ascii="Times New Roman" w:hAnsi="Times New Roman"/>
          <w:sz w:val="24"/>
        </w:rPr>
        <w:t xml:space="preserve">also transfers significant burden from traditional power generators and distributors </w:t>
      </w:r>
      <w:r w:rsidRPr="006F68E9">
        <w:rPr>
          <w:rFonts w:ascii="Times New Roman" w:hAnsi="Times New Roman"/>
          <w:sz w:val="24"/>
        </w:rPr>
        <w:t>to RMP facilities. The commenter stated that RMP facilities are not responsible for the reliability and integrity of the power grid. The commenter also stated they would like EPA to remove the requirement of perimeter monitoring equipment (0239).</w:t>
      </w:r>
    </w:p>
    <w:p w:rsidR="00D43808" w:rsidP="00D43808" w14:paraId="164403B0"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stated</w:t>
      </w:r>
      <w:r w:rsidRPr="006F68E9">
        <w:rPr>
          <w:rFonts w:ascii="Times New Roman" w:hAnsi="Times New Roman"/>
          <w:sz w:val="24"/>
        </w:rPr>
        <w:t xml:space="preserve"> the Arkema accident does not support the requirement to include power loss in the PHA. The commenter noted that</w:t>
      </w:r>
      <w:r>
        <w:rPr>
          <w:rFonts w:ascii="Times New Roman" w:hAnsi="Times New Roman"/>
          <w:sz w:val="24"/>
        </w:rPr>
        <w:t>,</w:t>
      </w:r>
      <w:r w:rsidRPr="006F68E9">
        <w:rPr>
          <w:rFonts w:ascii="Times New Roman" w:hAnsi="Times New Roman"/>
          <w:sz w:val="24"/>
        </w:rPr>
        <w:t xml:space="preserve"> as stated in the CSB Incident Report, the Arkema PHA included three layers of protection from loss of power (0238).</w:t>
      </w:r>
    </w:p>
    <w:p w:rsidR="00D43808" w:rsidP="00D43808" w14:paraId="4A4E4157" w14:textId="77777777">
      <w:pPr>
        <w:rPr>
          <w:rFonts w:ascii="Times New Roman" w:hAnsi="Times New Roman"/>
          <w:sz w:val="24"/>
        </w:rPr>
      </w:pPr>
      <w:r w:rsidRPr="006F68E9">
        <w:rPr>
          <w:rFonts w:ascii="Times New Roman" w:hAnsi="Times New Roman"/>
          <w:sz w:val="24"/>
        </w:rPr>
        <w:t>One commenter stated that under the current regulatory text, it is unclear whether there exists a requirement for a hazard review or PHA to consider the risks of a potential loss of power</w:t>
      </w:r>
      <w:r>
        <w:rPr>
          <w:rFonts w:ascii="Times New Roman" w:hAnsi="Times New Roman"/>
          <w:sz w:val="24"/>
        </w:rPr>
        <w:t xml:space="preserve"> </w:t>
      </w:r>
      <w:r w:rsidRPr="006F68E9">
        <w:rPr>
          <w:rFonts w:ascii="Times New Roman" w:hAnsi="Times New Roman"/>
          <w:sz w:val="24"/>
        </w:rPr>
        <w:t xml:space="preserve">(0215). </w:t>
      </w:r>
    </w:p>
    <w:p w:rsidR="0092015A" w:rsidP="0005509D" w14:paraId="56097ABA" w14:textId="77777777">
      <w:pPr>
        <w:ind w:left="720"/>
        <w:rPr>
          <w:rFonts w:ascii="Segoe UI" w:hAnsi="Segoe UI" w:cs="Segoe UI"/>
          <w:sz w:val="18"/>
          <w:szCs w:val="18"/>
        </w:rPr>
      </w:pPr>
      <w:r w:rsidRPr="003A48FB">
        <w:rPr>
          <w:rFonts w:ascii="Times New Roman" w:hAnsi="Times New Roman"/>
          <w:b/>
          <w:bCs/>
          <w:sz w:val="24"/>
        </w:rPr>
        <w:t>EPA Response:</w:t>
      </w:r>
      <w:r>
        <w:rPr>
          <w:rFonts w:ascii="Times New Roman" w:hAnsi="Times New Roman"/>
          <w:b/>
          <w:bCs/>
          <w:sz w:val="24"/>
        </w:rPr>
        <w:t xml:space="preserve"> </w:t>
      </w:r>
      <w:r w:rsidRPr="24F9C2D3">
        <w:rPr>
          <w:rFonts w:ascii="Times New Roman" w:eastAsia="Times New Roman" w:hAnsi="Times New Roman"/>
          <w:color w:val="000000" w:themeColor="text1"/>
          <w:sz w:val="24"/>
        </w:rPr>
        <w:t xml:space="preserve">EPA </w:t>
      </w:r>
      <w:r w:rsidR="0096460D">
        <w:rPr>
          <w:rFonts w:ascii="Times New Roman" w:eastAsia="Times New Roman" w:hAnsi="Times New Roman"/>
          <w:color w:val="000000" w:themeColor="text1"/>
          <w:sz w:val="24"/>
        </w:rPr>
        <w:t>believes</w:t>
      </w:r>
      <w:r w:rsidRPr="24F9C2D3">
        <w:rPr>
          <w:rFonts w:ascii="Times New Roman" w:eastAsia="Times New Roman" w:hAnsi="Times New Roman"/>
          <w:color w:val="000000" w:themeColor="text1"/>
          <w:sz w:val="24"/>
        </w:rPr>
        <w:t xml:space="preserve"> that power loss can threaten RMP-regulated processes and cause accidental releases if not properly managed, and therefore </w:t>
      </w:r>
      <w:r w:rsidR="0096460D">
        <w:rPr>
          <w:rFonts w:ascii="Times New Roman" w:eastAsia="Times New Roman" w:hAnsi="Times New Roman"/>
          <w:color w:val="000000" w:themeColor="text1"/>
          <w:sz w:val="24"/>
        </w:rPr>
        <w:t>believes</w:t>
      </w:r>
      <w:r w:rsidRPr="24F9C2D3">
        <w:rPr>
          <w:rFonts w:ascii="Times New Roman" w:eastAsia="Times New Roman" w:hAnsi="Times New Roman"/>
          <w:color w:val="000000" w:themeColor="text1"/>
          <w:sz w:val="24"/>
        </w:rPr>
        <w:t xml:space="preserve"> that the provisions are warranted. In the proposed rule, EPA provided data showing that power loss has resulted in serious accidental release incidents at RMP-regulated facilities</w:t>
      </w:r>
      <w:r w:rsidR="00BA3886">
        <w:rPr>
          <w:rFonts w:ascii="Times New Roman" w:eastAsia="Times New Roman" w:hAnsi="Times New Roman"/>
          <w:color w:val="000000" w:themeColor="text1"/>
          <w:sz w:val="24"/>
        </w:rPr>
        <w:t>. Also, t</w:t>
      </w:r>
      <w:r w:rsidRPr="00BA3886" w:rsidR="00BA3886">
        <w:rPr>
          <w:rFonts w:ascii="Times New Roman" w:eastAsia="Times New Roman" w:hAnsi="Times New Roman"/>
          <w:color w:val="000000" w:themeColor="text1"/>
          <w:sz w:val="24"/>
        </w:rPr>
        <w:t>he accidents described in the SCCAP proposal —all associated with power failure—are examples of these situations and their potential severity. They also highlight the in-depth evaluation needed to prevent loss of power from resulting in an accidental release.</w:t>
      </w:r>
      <w:r w:rsidRPr="24F9C2D3">
        <w:rPr>
          <w:rFonts w:ascii="Times New Roman" w:eastAsia="Times New Roman" w:hAnsi="Times New Roman"/>
          <w:color w:val="000000" w:themeColor="text1"/>
          <w:sz w:val="24"/>
        </w:rPr>
        <w:t xml:space="preserve"> </w:t>
      </w:r>
      <w:r w:rsidRPr="009C1ED4" w:rsidR="009C1ED4">
        <w:rPr>
          <w:rFonts w:ascii="Segoe UI" w:hAnsi="Segoe UI" w:cs="Segoe UI"/>
          <w:sz w:val="18"/>
          <w:szCs w:val="18"/>
        </w:rPr>
        <w:t xml:space="preserve"> </w:t>
      </w:r>
    </w:p>
    <w:p w:rsidR="0092015A" w:rsidP="0005509D" w14:paraId="188FB96C" w14:textId="6E5D8A9A">
      <w:pPr>
        <w:ind w:left="720"/>
        <w:rPr>
          <w:rFonts w:ascii="Times New Roman" w:eastAsia="Times New Roman" w:hAnsi="Times New Roman"/>
          <w:color w:val="000000" w:themeColor="text1"/>
          <w:sz w:val="24"/>
        </w:rPr>
      </w:pPr>
      <w:r w:rsidRPr="009C1ED4">
        <w:rPr>
          <w:rFonts w:ascii="Times New Roman" w:eastAsia="Times New Roman" w:hAnsi="Times New Roman"/>
          <w:color w:val="000000" w:themeColor="text1"/>
          <w:sz w:val="24"/>
        </w:rPr>
        <w:t>While EPA cited NRC statistics that include incidents that would not be accidental releases of regulated substances from processes subject to the RMP rule, we also cited RMP data and incidents</w:t>
      </w:r>
      <w:r w:rsidR="000D139E">
        <w:rPr>
          <w:rFonts w:ascii="Times New Roman" w:eastAsia="Times New Roman" w:hAnsi="Times New Roman"/>
          <w:color w:val="000000" w:themeColor="text1"/>
          <w:sz w:val="24"/>
        </w:rPr>
        <w:t xml:space="preserve"> (</w:t>
      </w:r>
      <w:r w:rsidR="005322D2">
        <w:rPr>
          <w:rFonts w:ascii="Times New Roman" w:eastAsia="Times New Roman" w:hAnsi="Times New Roman"/>
          <w:color w:val="000000" w:themeColor="text1"/>
          <w:sz w:val="24"/>
        </w:rPr>
        <w:t>87 FR 53570)</w:t>
      </w:r>
      <w:r w:rsidRPr="009C1ED4">
        <w:rPr>
          <w:rFonts w:ascii="Times New Roman" w:eastAsia="Times New Roman" w:hAnsi="Times New Roman"/>
          <w:color w:val="000000" w:themeColor="text1"/>
          <w:sz w:val="24"/>
        </w:rPr>
        <w:t xml:space="preserve">. </w:t>
      </w:r>
      <w:r w:rsidR="008350D9">
        <w:rPr>
          <w:rFonts w:ascii="Times New Roman" w:eastAsia="Times New Roman" w:hAnsi="Times New Roman"/>
          <w:color w:val="000000" w:themeColor="text1"/>
          <w:sz w:val="24"/>
        </w:rPr>
        <w:t xml:space="preserve">EPA believes the </w:t>
      </w:r>
      <w:r w:rsidRPr="009C1ED4">
        <w:rPr>
          <w:rFonts w:ascii="Times New Roman" w:eastAsia="Times New Roman" w:hAnsi="Times New Roman"/>
          <w:color w:val="000000" w:themeColor="text1"/>
          <w:sz w:val="24"/>
        </w:rPr>
        <w:t>NRC data</w:t>
      </w:r>
      <w:r w:rsidR="008350D9">
        <w:rPr>
          <w:rFonts w:ascii="Times New Roman" w:eastAsia="Times New Roman" w:hAnsi="Times New Roman"/>
          <w:color w:val="000000" w:themeColor="text1"/>
          <w:sz w:val="24"/>
        </w:rPr>
        <w:t xml:space="preserve"> helps to </w:t>
      </w:r>
      <w:r w:rsidRPr="0005509D" w:rsidR="0005509D">
        <w:rPr>
          <w:rFonts w:ascii="Times New Roman" w:eastAsia="Times New Roman" w:hAnsi="Times New Roman"/>
          <w:color w:val="000000" w:themeColor="text1"/>
          <w:sz w:val="24"/>
        </w:rPr>
        <w:t xml:space="preserve">demonstrate </w:t>
      </w:r>
      <w:r w:rsidR="00C36F60">
        <w:rPr>
          <w:rFonts w:ascii="Times New Roman" w:eastAsia="Times New Roman" w:hAnsi="Times New Roman"/>
          <w:color w:val="000000" w:themeColor="text1"/>
          <w:sz w:val="24"/>
        </w:rPr>
        <w:t>the c</w:t>
      </w:r>
      <w:r w:rsidRPr="0005509D" w:rsidR="0005509D">
        <w:rPr>
          <w:rFonts w:ascii="Times New Roman" w:eastAsia="Times New Roman" w:hAnsi="Times New Roman"/>
          <w:color w:val="000000" w:themeColor="text1"/>
          <w:sz w:val="24"/>
        </w:rPr>
        <w:t>onnection</w:t>
      </w:r>
      <w:r w:rsidR="0005509D">
        <w:rPr>
          <w:rFonts w:ascii="Times New Roman" w:eastAsia="Times New Roman" w:hAnsi="Times New Roman"/>
          <w:color w:val="000000" w:themeColor="text1"/>
          <w:sz w:val="24"/>
        </w:rPr>
        <w:t xml:space="preserve"> </w:t>
      </w:r>
      <w:r w:rsidRPr="0005509D" w:rsidR="0005509D">
        <w:rPr>
          <w:rFonts w:ascii="Times New Roman" w:eastAsia="Times New Roman" w:hAnsi="Times New Roman"/>
          <w:color w:val="000000" w:themeColor="text1"/>
          <w:sz w:val="24"/>
        </w:rPr>
        <w:t>between the loss of power, loss of</w:t>
      </w:r>
      <w:r w:rsidR="0005509D">
        <w:rPr>
          <w:rFonts w:ascii="Times New Roman" w:eastAsia="Times New Roman" w:hAnsi="Times New Roman"/>
          <w:color w:val="000000" w:themeColor="text1"/>
          <w:sz w:val="24"/>
        </w:rPr>
        <w:t xml:space="preserve"> </w:t>
      </w:r>
      <w:r w:rsidRPr="0005509D" w:rsidR="0005509D">
        <w:rPr>
          <w:rFonts w:ascii="Times New Roman" w:eastAsia="Times New Roman" w:hAnsi="Times New Roman"/>
          <w:color w:val="000000" w:themeColor="text1"/>
          <w:sz w:val="24"/>
        </w:rPr>
        <w:t>containment, and release</w:t>
      </w:r>
      <w:r w:rsidR="00BB317E">
        <w:rPr>
          <w:rFonts w:ascii="Times New Roman" w:eastAsia="Times New Roman" w:hAnsi="Times New Roman"/>
          <w:color w:val="000000" w:themeColor="text1"/>
          <w:sz w:val="24"/>
        </w:rPr>
        <w:t xml:space="preserve"> of chemicals</w:t>
      </w:r>
      <w:r w:rsidRPr="0005509D" w:rsidR="0005509D">
        <w:rPr>
          <w:rFonts w:ascii="Times New Roman" w:eastAsia="Times New Roman" w:hAnsi="Times New Roman"/>
          <w:color w:val="000000" w:themeColor="text1"/>
          <w:sz w:val="24"/>
        </w:rPr>
        <w:t xml:space="preserve"> into the</w:t>
      </w:r>
      <w:r w:rsidR="0005509D">
        <w:rPr>
          <w:rFonts w:ascii="Times New Roman" w:eastAsia="Times New Roman" w:hAnsi="Times New Roman"/>
          <w:color w:val="000000" w:themeColor="text1"/>
          <w:sz w:val="24"/>
        </w:rPr>
        <w:t xml:space="preserve"> </w:t>
      </w:r>
      <w:r w:rsidRPr="0005509D" w:rsidR="0005509D">
        <w:rPr>
          <w:rFonts w:ascii="Times New Roman" w:eastAsia="Times New Roman" w:hAnsi="Times New Roman"/>
          <w:color w:val="000000" w:themeColor="text1"/>
          <w:sz w:val="24"/>
        </w:rPr>
        <w:t xml:space="preserve">environment. </w:t>
      </w:r>
      <w:r w:rsidR="00546646">
        <w:rPr>
          <w:rFonts w:ascii="Times New Roman" w:eastAsia="Times New Roman" w:hAnsi="Times New Roman"/>
          <w:color w:val="000000" w:themeColor="text1"/>
          <w:sz w:val="24"/>
        </w:rPr>
        <w:t xml:space="preserve">Further, while </w:t>
      </w:r>
      <w:r w:rsidR="000948C9">
        <w:rPr>
          <w:rFonts w:ascii="Times New Roman" w:eastAsia="Times New Roman" w:hAnsi="Times New Roman"/>
          <w:color w:val="000000" w:themeColor="text1"/>
          <w:sz w:val="24"/>
        </w:rPr>
        <w:t xml:space="preserve">the </w:t>
      </w:r>
      <w:r w:rsidR="00CD086B">
        <w:rPr>
          <w:rFonts w:ascii="Times New Roman" w:eastAsia="Times New Roman" w:hAnsi="Times New Roman"/>
          <w:color w:val="000000" w:themeColor="text1"/>
          <w:sz w:val="24"/>
        </w:rPr>
        <w:t xml:space="preserve">cited </w:t>
      </w:r>
      <w:r w:rsidR="000948C9">
        <w:rPr>
          <w:rFonts w:ascii="Times New Roman" w:eastAsia="Times New Roman" w:hAnsi="Times New Roman"/>
          <w:color w:val="000000" w:themeColor="text1"/>
          <w:sz w:val="24"/>
        </w:rPr>
        <w:t xml:space="preserve">RMP </w:t>
      </w:r>
      <w:r w:rsidR="00A003CE">
        <w:rPr>
          <w:rFonts w:ascii="Times New Roman" w:eastAsia="Times New Roman" w:hAnsi="Times New Roman"/>
          <w:color w:val="000000" w:themeColor="text1"/>
          <w:sz w:val="24"/>
        </w:rPr>
        <w:t>accident</w:t>
      </w:r>
      <w:r w:rsidR="0058171F">
        <w:rPr>
          <w:rFonts w:ascii="Times New Roman" w:eastAsia="Times New Roman" w:hAnsi="Times New Roman"/>
          <w:color w:val="000000" w:themeColor="text1"/>
          <w:sz w:val="24"/>
        </w:rPr>
        <w:t xml:space="preserve">s </w:t>
      </w:r>
      <w:r w:rsidRPr="00546646" w:rsidR="00546646">
        <w:rPr>
          <w:rFonts w:ascii="Times New Roman" w:eastAsia="Times New Roman" w:hAnsi="Times New Roman"/>
          <w:color w:val="000000" w:themeColor="text1"/>
          <w:sz w:val="24"/>
        </w:rPr>
        <w:t xml:space="preserve">associated with power loss </w:t>
      </w:r>
      <w:r w:rsidR="000948C9">
        <w:rPr>
          <w:rFonts w:ascii="Times New Roman" w:eastAsia="Times New Roman" w:hAnsi="Times New Roman"/>
          <w:color w:val="000000" w:themeColor="text1"/>
          <w:sz w:val="24"/>
        </w:rPr>
        <w:t xml:space="preserve">was from 2004, </w:t>
      </w:r>
      <w:r w:rsidR="00513A6A">
        <w:rPr>
          <w:rFonts w:ascii="Times New Roman" w:eastAsia="Times New Roman" w:hAnsi="Times New Roman"/>
          <w:color w:val="000000" w:themeColor="text1"/>
          <w:sz w:val="24"/>
        </w:rPr>
        <w:t>over one third</w:t>
      </w:r>
      <w:r w:rsidR="002D7923">
        <w:rPr>
          <w:rFonts w:ascii="Times New Roman" w:eastAsia="Times New Roman" w:hAnsi="Times New Roman"/>
          <w:color w:val="000000" w:themeColor="text1"/>
          <w:sz w:val="24"/>
        </w:rPr>
        <w:t xml:space="preserve"> </w:t>
      </w:r>
      <w:r w:rsidR="000948C9">
        <w:rPr>
          <w:rFonts w:ascii="Times New Roman" w:eastAsia="Times New Roman" w:hAnsi="Times New Roman"/>
          <w:color w:val="000000" w:themeColor="text1"/>
          <w:sz w:val="24"/>
        </w:rPr>
        <w:t>of the</w:t>
      </w:r>
      <w:r w:rsidR="00F713E8">
        <w:rPr>
          <w:rFonts w:ascii="Times New Roman" w:eastAsia="Times New Roman" w:hAnsi="Times New Roman"/>
          <w:color w:val="000000" w:themeColor="text1"/>
          <w:sz w:val="24"/>
        </w:rPr>
        <w:t xml:space="preserve"> listed</w:t>
      </w:r>
      <w:r w:rsidR="000948C9">
        <w:rPr>
          <w:rFonts w:ascii="Times New Roman" w:eastAsia="Times New Roman" w:hAnsi="Times New Roman"/>
          <w:color w:val="000000" w:themeColor="text1"/>
          <w:sz w:val="24"/>
        </w:rPr>
        <w:t xml:space="preserve"> accidents </w:t>
      </w:r>
      <w:r w:rsidR="00DC11CD">
        <w:rPr>
          <w:rFonts w:ascii="Times New Roman" w:eastAsia="Times New Roman" w:hAnsi="Times New Roman"/>
          <w:color w:val="000000" w:themeColor="text1"/>
          <w:sz w:val="24"/>
        </w:rPr>
        <w:t xml:space="preserve">(7 of 20) </w:t>
      </w:r>
      <w:r>
        <w:rPr>
          <w:rFonts w:ascii="Times New Roman" w:eastAsia="Times New Roman" w:hAnsi="Times New Roman"/>
          <w:color w:val="000000" w:themeColor="text1"/>
          <w:sz w:val="24"/>
        </w:rPr>
        <w:t>was from the 2016-202</w:t>
      </w:r>
      <w:r w:rsidR="00F21C6B">
        <w:rPr>
          <w:rFonts w:ascii="Times New Roman" w:eastAsia="Times New Roman" w:hAnsi="Times New Roman"/>
          <w:color w:val="000000" w:themeColor="text1"/>
          <w:sz w:val="24"/>
        </w:rPr>
        <w:t>0 range</w:t>
      </w:r>
      <w:r w:rsidR="00513A6A">
        <w:rPr>
          <w:rFonts w:ascii="Times New Roman" w:eastAsia="Times New Roman" w:hAnsi="Times New Roman"/>
          <w:color w:val="000000" w:themeColor="text1"/>
          <w:sz w:val="24"/>
        </w:rPr>
        <w:t>,</w:t>
      </w:r>
      <w:r>
        <w:rPr>
          <w:rStyle w:val="FootnoteReference"/>
          <w:rFonts w:ascii="Times New Roman" w:hAnsi="Times New Roman"/>
          <w:sz w:val="24"/>
          <w:highlight w:val="yellow"/>
        </w:rPr>
        <w:footnoteReference w:id="62"/>
      </w:r>
      <w:r w:rsidRPr="0076074F" w:rsidR="003F5D08">
        <w:rPr>
          <w:rFonts w:ascii="Times New Roman" w:eastAsia="Times New Roman" w:hAnsi="Times New Roman"/>
          <w:color w:val="000000" w:themeColor="text1"/>
          <w:sz w:val="24"/>
        </w:rPr>
        <w:t xml:space="preserve"> </w:t>
      </w:r>
      <w:r w:rsidR="00513A6A">
        <w:rPr>
          <w:rFonts w:ascii="Times New Roman" w:eastAsia="Times New Roman" w:hAnsi="Times New Roman"/>
          <w:color w:val="000000" w:themeColor="text1"/>
          <w:sz w:val="24"/>
        </w:rPr>
        <w:t xml:space="preserve"> indicating th</w:t>
      </w:r>
      <w:r w:rsidR="004C571B">
        <w:rPr>
          <w:rFonts w:ascii="Times New Roman" w:eastAsia="Times New Roman" w:hAnsi="Times New Roman"/>
          <w:color w:val="000000" w:themeColor="text1"/>
          <w:sz w:val="24"/>
        </w:rPr>
        <w:t xml:space="preserve">ese types of accidents are still </w:t>
      </w:r>
      <w:r w:rsidR="002D7923">
        <w:rPr>
          <w:rFonts w:ascii="Times New Roman" w:eastAsia="Times New Roman" w:hAnsi="Times New Roman"/>
          <w:color w:val="000000" w:themeColor="text1"/>
          <w:sz w:val="24"/>
        </w:rPr>
        <w:t>occuring</w:t>
      </w:r>
      <w:r w:rsidR="005435FF">
        <w:rPr>
          <w:rFonts w:ascii="Times New Roman" w:eastAsia="Times New Roman" w:hAnsi="Times New Roman"/>
          <w:color w:val="000000" w:themeColor="text1"/>
          <w:sz w:val="24"/>
        </w:rPr>
        <w:t xml:space="preserve"> as often as in previous time periods</w:t>
      </w:r>
      <w:r w:rsidR="002D7923">
        <w:rPr>
          <w:rFonts w:ascii="Times New Roman" w:eastAsia="Times New Roman" w:hAnsi="Times New Roman"/>
          <w:color w:val="000000" w:themeColor="text1"/>
          <w:sz w:val="24"/>
        </w:rPr>
        <w:t>.</w:t>
      </w:r>
    </w:p>
    <w:p w:rsidR="00D43808" w:rsidP="0005509D" w14:paraId="372D8E9B" w14:textId="44B616A6">
      <w:pPr>
        <w:ind w:left="720"/>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Therefore, </w:t>
      </w:r>
      <w:r w:rsidRPr="24F9C2D3">
        <w:rPr>
          <w:rFonts w:ascii="Times New Roman" w:eastAsia="Times New Roman" w:hAnsi="Times New Roman"/>
          <w:color w:val="000000" w:themeColor="text1"/>
          <w:sz w:val="24"/>
        </w:rPr>
        <w:t xml:space="preserve">EPA believes making more explicit this already-existing </w:t>
      </w:r>
      <w:r w:rsidR="006D31DA">
        <w:rPr>
          <w:rFonts w:ascii="Times New Roman" w:eastAsia="Times New Roman" w:hAnsi="Times New Roman"/>
          <w:color w:val="000000" w:themeColor="text1"/>
          <w:sz w:val="24"/>
        </w:rPr>
        <w:t xml:space="preserve">Program 2 hazard review and Program 3 process </w:t>
      </w:r>
      <w:r w:rsidR="00A027BE">
        <w:rPr>
          <w:rFonts w:ascii="Times New Roman" w:eastAsia="Times New Roman" w:hAnsi="Times New Roman"/>
          <w:color w:val="000000" w:themeColor="text1"/>
          <w:sz w:val="24"/>
        </w:rPr>
        <w:t>hazard analysis</w:t>
      </w:r>
      <w:r w:rsidRPr="24F9C2D3">
        <w:rPr>
          <w:rFonts w:ascii="Times New Roman" w:eastAsia="Times New Roman" w:hAnsi="Times New Roman"/>
          <w:color w:val="000000" w:themeColor="text1"/>
          <w:sz w:val="24"/>
        </w:rPr>
        <w:t xml:space="preserve"> prevention program requirement to evaluate hazards of the process will ensure that threats of power loss are properly evaluated and managed to prevent or mitigate releases of RMP-regulated substances at covered facilities. Therefore, EPA is finalizing the proposed </w:t>
      </w:r>
      <w:r w:rsidR="00CC47A1">
        <w:rPr>
          <w:rFonts w:ascii="Times New Roman" w:eastAsia="Times New Roman" w:hAnsi="Times New Roman"/>
          <w:color w:val="000000" w:themeColor="text1"/>
          <w:sz w:val="24"/>
        </w:rPr>
        <w:t>regulatory text</w:t>
      </w:r>
      <w:r w:rsidRPr="24F9C2D3">
        <w:rPr>
          <w:rFonts w:ascii="Times New Roman" w:eastAsia="Times New Roman" w:hAnsi="Times New Roman"/>
          <w:color w:val="000000" w:themeColor="text1"/>
          <w:sz w:val="24"/>
        </w:rPr>
        <w:t xml:space="preserve"> revisions.</w:t>
      </w:r>
    </w:p>
    <w:p w:rsidR="0E71BF2B" w:rsidRPr="0032639C" w:rsidP="393C66C7" w14:paraId="0CABA9EE" w14:textId="5593B76D">
      <w:pPr>
        <w:ind w:left="720"/>
        <w:rPr>
          <w:rFonts w:ascii="Times New Roman" w:eastAsia="Times New Roman" w:hAnsi="Times New Roman"/>
          <w:sz w:val="24"/>
        </w:rPr>
      </w:pPr>
      <w:r w:rsidRPr="00595D5A">
        <w:rPr>
          <w:rFonts w:ascii="Times New Roman" w:eastAsia="Segoe UI" w:hAnsi="Times New Roman"/>
          <w:color w:val="333333"/>
          <w:sz w:val="24"/>
        </w:rPr>
        <w:t>EPA recognizes that safety improvements may have been made over the period for which we have accident information. To the extent that these improvements establish that individual sources have adequate protection from power loss and have determined that power loss does not present a risk of accidental release, such sources should be minimally impacted operationally and in terms of capital costs by the provision adopted in this rule.</w:t>
      </w:r>
    </w:p>
    <w:p w:rsidR="00A034D1" w:rsidP="0077360B" w14:paraId="60208AED" w14:textId="77777777">
      <w:pPr>
        <w:ind w:left="720"/>
        <w:rPr>
          <w:rFonts w:ascii="Times New Roman" w:eastAsia="Times New Roman" w:hAnsi="Times New Roman"/>
          <w:color w:val="000000" w:themeColor="text1"/>
          <w:sz w:val="24"/>
        </w:rPr>
      </w:pPr>
      <w:r w:rsidRPr="0032639C">
        <w:rPr>
          <w:rFonts w:ascii="Times New Roman" w:eastAsia="Times New Roman" w:hAnsi="Times New Roman"/>
          <w:color w:val="000000" w:themeColor="text1"/>
          <w:sz w:val="24"/>
        </w:rPr>
        <w:t>Nothing in this rule makes individual sources responsible for the reliability and integrity o</w:t>
      </w:r>
      <w:r w:rsidRPr="0032639C" w:rsidR="4A54AA96">
        <w:rPr>
          <w:rFonts w:ascii="Times New Roman" w:eastAsia="Times New Roman" w:hAnsi="Times New Roman"/>
          <w:color w:val="000000" w:themeColor="text1"/>
          <w:sz w:val="24"/>
        </w:rPr>
        <w:t>f</w:t>
      </w:r>
      <w:r w:rsidRPr="0032639C">
        <w:rPr>
          <w:rFonts w:ascii="Times New Roman" w:eastAsia="Times New Roman" w:hAnsi="Times New Roman"/>
          <w:color w:val="000000" w:themeColor="text1"/>
          <w:sz w:val="24"/>
        </w:rPr>
        <w:t xml:space="preserve"> the power grid. </w:t>
      </w:r>
      <w:r w:rsidRPr="0032639C" w:rsidR="4227FA16">
        <w:rPr>
          <w:rFonts w:ascii="Times New Roman" w:eastAsia="Times New Roman" w:hAnsi="Times New Roman"/>
          <w:color w:val="000000" w:themeColor="text1"/>
          <w:sz w:val="24"/>
        </w:rPr>
        <w:t xml:space="preserve">However, </w:t>
      </w:r>
      <w:r w:rsidRPr="0032639C" w:rsidR="67180484">
        <w:rPr>
          <w:rFonts w:ascii="Times New Roman" w:eastAsia="Times New Roman" w:hAnsi="Times New Roman"/>
          <w:color w:val="000000" w:themeColor="text1"/>
          <w:sz w:val="24"/>
        </w:rPr>
        <w:t>the owner or operator of a source subject to the RMP provision is</w:t>
      </w:r>
      <w:r w:rsidRPr="0032639C" w:rsidR="69C00107">
        <w:rPr>
          <w:rFonts w:ascii="Times New Roman" w:eastAsia="Times New Roman" w:hAnsi="Times New Roman"/>
          <w:color w:val="000000" w:themeColor="text1"/>
          <w:sz w:val="24"/>
        </w:rPr>
        <w:t xml:space="preserve"> required “</w:t>
      </w:r>
      <w:r w:rsidRPr="00595D5A" w:rsidR="69C00107">
        <w:rPr>
          <w:rFonts w:ascii="Times New Roman" w:eastAsia="Times New Roman" w:hAnsi="Times New Roman"/>
          <w:sz w:val="24"/>
        </w:rPr>
        <w:t>to prepare and implement a risk management plan to detect and prevent or minimize accidental releases of such substances from the stationary source</w:t>
      </w:r>
      <w:r w:rsidRPr="00595D5A" w:rsidR="02CF1FBA">
        <w:rPr>
          <w:rFonts w:ascii="Times New Roman" w:eastAsia="Times New Roman" w:hAnsi="Times New Roman"/>
          <w:sz w:val="24"/>
        </w:rPr>
        <w:t>.</w:t>
      </w:r>
      <w:r w:rsidRPr="0032639C" w:rsidR="69C00107">
        <w:rPr>
          <w:rFonts w:ascii="Times New Roman" w:eastAsia="Times New Roman" w:hAnsi="Times New Roman"/>
          <w:color w:val="000000" w:themeColor="text1"/>
          <w:sz w:val="24"/>
        </w:rPr>
        <w:t>”</w:t>
      </w:r>
      <w:r w:rsidRPr="0032639C" w:rsidR="5DFB3883">
        <w:rPr>
          <w:rFonts w:ascii="Times New Roman" w:eastAsia="Times New Roman" w:hAnsi="Times New Roman"/>
          <w:color w:val="000000" w:themeColor="text1"/>
          <w:sz w:val="24"/>
        </w:rPr>
        <w:t xml:space="preserve"> CAA 112(r)(7)(B)(ii). The </w:t>
      </w:r>
      <w:r w:rsidRPr="0032639C" w:rsidR="01D4F490">
        <w:rPr>
          <w:rFonts w:ascii="Times New Roman" w:eastAsia="Times New Roman" w:hAnsi="Times New Roman"/>
          <w:color w:val="000000" w:themeColor="text1"/>
          <w:sz w:val="24"/>
        </w:rPr>
        <w:t xml:space="preserve">purpose of evaluating the consequences of the loss of power on the potential for an accidental release </w:t>
      </w:r>
      <w:r w:rsidRPr="0032639C" w:rsidR="5B4502E6">
        <w:rPr>
          <w:rFonts w:ascii="Times New Roman" w:eastAsia="Times New Roman" w:hAnsi="Times New Roman"/>
          <w:color w:val="000000" w:themeColor="text1"/>
          <w:sz w:val="24"/>
        </w:rPr>
        <w:t>and identifying whether such a scenario needs to be</w:t>
      </w:r>
      <w:r w:rsidRPr="0032639C" w:rsidR="4F803A62">
        <w:rPr>
          <w:rFonts w:ascii="Times New Roman" w:eastAsia="Times New Roman" w:hAnsi="Times New Roman"/>
          <w:color w:val="000000" w:themeColor="text1"/>
          <w:sz w:val="24"/>
        </w:rPr>
        <w:t xml:space="preserve"> addressed as part of a risk management program is to fulfill a responsibility</w:t>
      </w:r>
      <w:r w:rsidRPr="0032639C" w:rsidR="317AA97E">
        <w:rPr>
          <w:rFonts w:ascii="Times New Roman" w:eastAsia="Times New Roman" w:hAnsi="Times New Roman"/>
          <w:color w:val="000000" w:themeColor="text1"/>
          <w:sz w:val="24"/>
        </w:rPr>
        <w:t xml:space="preserve"> of the owner or operator under th</w:t>
      </w:r>
      <w:r w:rsidRPr="0032639C" w:rsidR="237CAD21">
        <w:rPr>
          <w:rFonts w:ascii="Times New Roman" w:eastAsia="Times New Roman" w:hAnsi="Times New Roman"/>
          <w:color w:val="000000" w:themeColor="text1"/>
          <w:sz w:val="24"/>
        </w:rPr>
        <w:t>is</w:t>
      </w:r>
      <w:r w:rsidRPr="0032639C" w:rsidR="317AA97E">
        <w:rPr>
          <w:rFonts w:ascii="Times New Roman" w:eastAsia="Times New Roman" w:hAnsi="Times New Roman"/>
          <w:color w:val="000000" w:themeColor="text1"/>
          <w:sz w:val="24"/>
        </w:rPr>
        <w:t xml:space="preserve"> statutory provision</w:t>
      </w:r>
      <w:r w:rsidRPr="0032639C" w:rsidR="7A8DC587">
        <w:rPr>
          <w:rFonts w:ascii="Times New Roman" w:eastAsia="Times New Roman" w:hAnsi="Times New Roman"/>
          <w:color w:val="000000" w:themeColor="text1"/>
          <w:sz w:val="24"/>
        </w:rPr>
        <w:t>.</w:t>
      </w:r>
      <w:r w:rsidRPr="0032639C" w:rsidR="55D897AC">
        <w:rPr>
          <w:rFonts w:ascii="Times New Roman" w:eastAsia="Times New Roman" w:hAnsi="Times New Roman"/>
          <w:color w:val="000000" w:themeColor="text1"/>
          <w:sz w:val="24"/>
        </w:rPr>
        <w:t xml:space="preserve"> An owner or operator cannot escape their duty to make their facility safe by saying </w:t>
      </w:r>
      <w:r w:rsidRPr="0032639C" w:rsidR="6D695912">
        <w:rPr>
          <w:rFonts w:ascii="Times New Roman" w:eastAsia="Times New Roman" w:hAnsi="Times New Roman"/>
          <w:color w:val="000000" w:themeColor="text1"/>
          <w:sz w:val="24"/>
        </w:rPr>
        <w:t>the grid failed</w:t>
      </w:r>
      <w:r w:rsidRPr="0032639C" w:rsidR="0018EA1D">
        <w:rPr>
          <w:rFonts w:ascii="Times New Roman" w:eastAsia="Times New Roman" w:hAnsi="Times New Roman"/>
          <w:color w:val="000000" w:themeColor="text1"/>
          <w:sz w:val="24"/>
        </w:rPr>
        <w:t xml:space="preserve"> and I have no </w:t>
      </w:r>
      <w:r w:rsidRPr="0032639C" w:rsidR="002277BA">
        <w:rPr>
          <w:rFonts w:ascii="Times New Roman" w:eastAsia="Times New Roman" w:hAnsi="Times New Roman"/>
          <w:color w:val="000000" w:themeColor="text1"/>
          <w:sz w:val="24"/>
        </w:rPr>
        <w:t>responsibility</w:t>
      </w:r>
      <w:r w:rsidRPr="0032639C" w:rsidR="0018EA1D">
        <w:rPr>
          <w:rFonts w:ascii="Times New Roman" w:eastAsia="Times New Roman" w:hAnsi="Times New Roman"/>
          <w:color w:val="000000" w:themeColor="text1"/>
          <w:sz w:val="24"/>
        </w:rPr>
        <w:t xml:space="preserve"> for the consequences of that failure on the </w:t>
      </w:r>
      <w:r w:rsidRPr="0032639C" w:rsidR="3EBDCF4E">
        <w:rPr>
          <w:rFonts w:ascii="Times New Roman" w:eastAsia="Times New Roman" w:hAnsi="Times New Roman"/>
          <w:color w:val="000000" w:themeColor="text1"/>
          <w:sz w:val="24"/>
        </w:rPr>
        <w:t xml:space="preserve">regulated </w:t>
      </w:r>
      <w:r w:rsidRPr="0032639C" w:rsidR="0018EA1D">
        <w:rPr>
          <w:rFonts w:ascii="Times New Roman" w:eastAsia="Times New Roman" w:hAnsi="Times New Roman"/>
          <w:color w:val="000000" w:themeColor="text1"/>
          <w:sz w:val="24"/>
        </w:rPr>
        <w:t>processes at my source</w:t>
      </w:r>
      <w:r w:rsidRPr="0032639C" w:rsidR="6D695912">
        <w:rPr>
          <w:rFonts w:ascii="Times New Roman" w:eastAsia="Times New Roman" w:hAnsi="Times New Roman"/>
          <w:color w:val="000000" w:themeColor="text1"/>
          <w:sz w:val="24"/>
        </w:rPr>
        <w:t>.</w:t>
      </w:r>
    </w:p>
    <w:p w:rsidR="00764263" w:rsidP="0077360B" w14:paraId="1EF0A7A0" w14:textId="15C27573">
      <w:pPr>
        <w:ind w:left="720"/>
        <w:rPr>
          <w:rFonts w:ascii="Times New Roman" w:hAnsi="Times New Roman"/>
          <w:sz w:val="24"/>
        </w:rPr>
      </w:pPr>
      <w:bookmarkStart w:id="41" w:name="_Hlk148596207"/>
      <w:r>
        <w:rPr>
          <w:rFonts w:ascii="Times New Roman" w:hAnsi="Times New Roman"/>
          <w:sz w:val="24"/>
        </w:rPr>
        <w:t xml:space="preserve">Additionally, in this final rule </w:t>
      </w:r>
      <w:r w:rsidRPr="003736ED" w:rsidR="003736ED">
        <w:rPr>
          <w:rFonts w:ascii="Times New Roman" w:hAnsi="Times New Roman"/>
          <w:sz w:val="24"/>
        </w:rPr>
        <w:t xml:space="preserve">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 </w:t>
      </w:r>
    </w:p>
    <w:p w:rsidR="00A82DFF" w:rsidP="0077360B" w14:paraId="00A83752" w14:textId="56618CAC">
      <w:pPr>
        <w:ind w:left="720"/>
        <w:rPr>
          <w:rFonts w:ascii="Times New Roman" w:hAnsi="Times New Roman"/>
          <w:sz w:val="24"/>
        </w:rPr>
      </w:pPr>
      <w:r w:rsidRPr="00A82DFF">
        <w:rPr>
          <w:rFonts w:ascii="Times New Roman" w:hAnsi="Times New Roman"/>
          <w:sz w:val="24"/>
        </w:rPr>
        <w:t xml:space="preserve">Further, </w:t>
      </w:r>
      <w:r w:rsidR="00BC2CB2">
        <w:rPr>
          <w:rFonts w:ascii="Times New Roman" w:hAnsi="Times New Roman"/>
          <w:sz w:val="24"/>
        </w:rPr>
        <w:t>the RIA for the propos</w:t>
      </w:r>
      <w:r w:rsidR="00996CCE">
        <w:rPr>
          <w:rFonts w:ascii="Times New Roman" w:hAnsi="Times New Roman"/>
          <w:sz w:val="24"/>
        </w:rPr>
        <w:t>ed</w:t>
      </w:r>
      <w:r w:rsidR="00BC2CB2">
        <w:rPr>
          <w:rFonts w:ascii="Times New Roman" w:hAnsi="Times New Roman"/>
          <w:sz w:val="24"/>
        </w:rPr>
        <w:t xml:space="preserve"> and final </w:t>
      </w:r>
      <w:r w:rsidR="00996CCE">
        <w:rPr>
          <w:rFonts w:ascii="Times New Roman" w:hAnsi="Times New Roman"/>
          <w:sz w:val="24"/>
        </w:rPr>
        <w:t xml:space="preserve">SCCAP </w:t>
      </w:r>
      <w:r w:rsidR="00BC2CB2">
        <w:rPr>
          <w:rFonts w:ascii="Times New Roman" w:hAnsi="Times New Roman"/>
          <w:sz w:val="24"/>
        </w:rPr>
        <w:t xml:space="preserve">rule explains that </w:t>
      </w:r>
      <w:r w:rsidRPr="00A82DFF">
        <w:rPr>
          <w:rFonts w:ascii="Times New Roman" w:hAnsi="Times New Roman"/>
          <w:sz w:val="24"/>
        </w:rPr>
        <w:t>EPA estimated 392 facilities</w:t>
      </w:r>
      <w:r w:rsidR="00630B90">
        <w:rPr>
          <w:rFonts w:ascii="Times New Roman" w:hAnsi="Times New Roman"/>
          <w:sz w:val="24"/>
        </w:rPr>
        <w:t xml:space="preserve"> will be required to</w:t>
      </w:r>
      <w:r w:rsidRPr="00A82DFF">
        <w:rPr>
          <w:rFonts w:ascii="Times New Roman" w:hAnsi="Times New Roman"/>
          <w:sz w:val="24"/>
        </w:rPr>
        <w:t xml:space="preserve"> </w:t>
      </w:r>
      <w:r w:rsidRPr="00A82DFF">
        <w:rPr>
          <w:rFonts w:ascii="Times New Roman" w:hAnsi="Times New Roman"/>
          <w:sz w:val="24"/>
        </w:rPr>
        <w:t>implement backup power for perimeter monitoring</w:t>
      </w:r>
      <w:r w:rsidR="00630B90">
        <w:rPr>
          <w:rFonts w:ascii="Times New Roman" w:hAnsi="Times New Roman"/>
          <w:sz w:val="24"/>
        </w:rPr>
        <w:t>, which is</w:t>
      </w:r>
      <w:r w:rsidRPr="00A82DFF">
        <w:rPr>
          <w:rFonts w:ascii="Times New Roman" w:hAnsi="Times New Roman"/>
          <w:sz w:val="24"/>
        </w:rPr>
        <w:t xml:space="preserve"> </w:t>
      </w:r>
      <w:r w:rsidRPr="00A82DFF">
        <w:rPr>
          <w:rFonts w:ascii="Times New Roman" w:hAnsi="Times New Roman"/>
          <w:sz w:val="24"/>
        </w:rPr>
        <w:t xml:space="preserve">the number of active Program 2 and 3 facilities in the RMP database (as of December </w:t>
      </w:r>
      <w:r w:rsidR="0005243D">
        <w:rPr>
          <w:rFonts w:ascii="Times New Roman" w:hAnsi="Times New Roman"/>
          <w:sz w:val="24"/>
        </w:rPr>
        <w:t xml:space="preserve">31, </w:t>
      </w:r>
      <w:r w:rsidRPr="00A82DFF">
        <w:rPr>
          <w:rFonts w:ascii="Times New Roman" w:hAnsi="Times New Roman"/>
          <w:sz w:val="24"/>
        </w:rPr>
        <w:t>2020) that report having perimeter monitors, a cooling loss hazard (as a proxy for power loss being a major hazard), and no backup power</w:t>
      </w:r>
      <w:r w:rsidR="004D2657">
        <w:rPr>
          <w:rFonts w:ascii="Times New Roman" w:hAnsi="Times New Roman"/>
          <w:sz w:val="24"/>
        </w:rPr>
        <w:t xml:space="preserve"> in their RMP</w:t>
      </w:r>
      <w:r w:rsidRPr="00A82DFF">
        <w:rPr>
          <w:rFonts w:ascii="Times New Roman" w:hAnsi="Times New Roman"/>
          <w:sz w:val="24"/>
        </w:rPr>
        <w:t>.</w:t>
      </w:r>
    </w:p>
    <w:p w:rsidR="00443BC1" w:rsidRPr="00311905" w:rsidP="00F34EAB" w14:paraId="76F29D49" w14:textId="04BAB650">
      <w:pPr>
        <w:ind w:left="720"/>
        <w:rPr>
          <w:rFonts w:ascii="Times New Roman" w:hAnsi="Times New Roman"/>
          <w:sz w:val="24"/>
        </w:rPr>
      </w:pPr>
      <w:r w:rsidRPr="00311905">
        <w:rPr>
          <w:rFonts w:ascii="Times New Roman" w:hAnsi="Times New Roman"/>
          <w:sz w:val="24"/>
        </w:rPr>
        <w:t xml:space="preserve">Lastly, </w:t>
      </w:r>
      <w:r w:rsidRPr="00311905" w:rsidR="00311905">
        <w:rPr>
          <w:rFonts w:ascii="Times New Roman" w:hAnsi="Times New Roman"/>
          <w:color w:val="000000"/>
          <w:sz w:val="24"/>
        </w:rPr>
        <w:t>many continuous emissions monitoring systems have low power requirements.</w:t>
      </w:r>
      <w:r>
        <w:rPr>
          <w:rStyle w:val="FootnoteReference"/>
          <w:rFonts w:ascii="Times New Roman" w:hAnsi="Times New Roman"/>
          <w:color w:val="000000"/>
          <w:sz w:val="24"/>
        </w:rPr>
        <w:footnoteReference w:id="63"/>
      </w:r>
      <w:r w:rsidRPr="00311905" w:rsidR="00311905">
        <w:rPr>
          <w:rFonts w:ascii="Times New Roman" w:hAnsi="Times New Roman"/>
          <w:color w:val="000000"/>
          <w:sz w:val="24"/>
        </w:rPr>
        <w:t xml:space="preserve"> </w:t>
      </w:r>
      <w:r w:rsidRPr="00311905">
        <w:rPr>
          <w:rFonts w:ascii="Times New Roman" w:hAnsi="Times New Roman"/>
          <w:sz w:val="24"/>
        </w:rPr>
        <w:t>EPA updated the estimated costs for this provision in the SCCAP final rule RIA. The proposed rule estimated a cost of $1,000 per facility for backup power for monitoring equipment. The final rule increased the estimated cost to $3,300 per facility in any given year based on generator pricing and sensor power requirement information from commercial websites, as well as an example of the number of perimeter monitors at a facility. EPA assumes the typical facility’s perimeter monitoring system will require a 1 kW backup generator, but facilities may purchase a slightly more powerful model. EPA assumes a facility will pay $3,000 to purchase and install such a small generator based on identifying an 8.5kW home generator listed for slightly below $3,000. EPA assumes a 5-year life for the generator, so facilities will purchase</w:t>
      </w:r>
      <w:r w:rsidR="0005243D">
        <w:rPr>
          <w:rFonts w:ascii="Times New Roman" w:hAnsi="Times New Roman"/>
          <w:sz w:val="24"/>
        </w:rPr>
        <w:t xml:space="preserve"> a new generator</w:t>
      </w:r>
      <w:r w:rsidRPr="00311905">
        <w:rPr>
          <w:rFonts w:ascii="Times New Roman" w:hAnsi="Times New Roman"/>
          <w:sz w:val="24"/>
        </w:rPr>
        <w:t xml:space="preserve"> or make repairs of equivalent cost every 5 years. EPA assumes</w:t>
      </w:r>
      <w:r w:rsidRPr="00311905">
        <w:rPr>
          <w:rFonts w:ascii="Times New Roman" w:hAnsi="Times New Roman"/>
          <w:sz w:val="24"/>
        </w:rPr>
        <w:t xml:space="preserve"> </w:t>
      </w:r>
      <w:r w:rsidRPr="00311905">
        <w:rPr>
          <w:rFonts w:ascii="Times New Roman" w:hAnsi="Times New Roman"/>
          <w:sz w:val="24"/>
        </w:rPr>
        <w:t xml:space="preserve">annual operation and maintenance costs of </w:t>
      </w:r>
      <w:r w:rsidRPr="00311905">
        <w:rPr>
          <w:rFonts w:ascii="Times New Roman" w:hAnsi="Times New Roman"/>
          <w:sz w:val="24"/>
        </w:rPr>
        <w:t xml:space="preserve">10% of purchase and installation costs, or $300 per year. </w:t>
      </w:r>
      <w:r w:rsidR="0005243D">
        <w:rPr>
          <w:rFonts w:ascii="Times New Roman" w:hAnsi="Times New Roman"/>
          <w:sz w:val="24"/>
        </w:rPr>
        <w:t xml:space="preserve">See </w:t>
      </w:r>
      <w:r w:rsidRPr="00311905">
        <w:rPr>
          <w:rFonts w:ascii="Times New Roman" w:hAnsi="Times New Roman"/>
          <w:sz w:val="24"/>
        </w:rPr>
        <w:t>Section 4.4.6 of the RIA for more detail on the estimated costs.</w:t>
      </w:r>
    </w:p>
    <w:bookmarkEnd w:id="41"/>
    <w:p w:rsidR="00D43808" w:rsidRPr="006F68E9" w:rsidP="00D43808" w14:paraId="69C4AEA4" w14:textId="77777777">
      <w:pPr>
        <w:rPr>
          <w:rFonts w:ascii="Times New Roman" w:hAnsi="Times New Roman"/>
          <w:sz w:val="24"/>
        </w:rPr>
      </w:pPr>
      <w:r w:rsidRPr="00DC60D8">
        <w:rPr>
          <w:rFonts w:ascii="Times New Roman" w:hAnsi="Times New Roman"/>
          <w:b/>
          <w:bCs/>
          <w:sz w:val="24"/>
        </w:rPr>
        <w:t>Comment</w:t>
      </w:r>
      <w:r>
        <w:rPr>
          <w:rFonts w:ascii="Times New Roman" w:hAnsi="Times New Roman"/>
          <w:b/>
          <w:bCs/>
          <w:sz w:val="24"/>
        </w:rPr>
        <w:t xml:space="preserve"> 3.1-03</w:t>
      </w:r>
      <w:r w:rsidRPr="00DC60D8">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noted that the preamble also discusses a European Union (EU) study of power failures worldwide on chemical facilities. The commenter stated that the EU study on worldwide power failures and the impact to worldwide chemical facilities is irrelevant in the context of developing RMP regulations applicable to chemical facilities located in the United States (0238). </w:t>
      </w:r>
    </w:p>
    <w:p w:rsidR="0066451A" w:rsidRPr="0066451A" w:rsidP="00A30C32" w14:paraId="537C11F7" w14:textId="0EA157D7">
      <w:pPr>
        <w:ind w:left="720"/>
        <w:rPr>
          <w:rFonts w:ascii="Times New Roman" w:hAnsi="Times New Roman"/>
          <w:sz w:val="24"/>
        </w:rPr>
      </w:pPr>
      <w:r w:rsidRPr="0066451A">
        <w:rPr>
          <w:rFonts w:ascii="Times New Roman" w:hAnsi="Times New Roman"/>
          <w:b/>
          <w:bCs/>
          <w:sz w:val="24"/>
        </w:rPr>
        <w:t>EPA Response:</w:t>
      </w:r>
      <w:r w:rsidR="00A30C32">
        <w:rPr>
          <w:rFonts w:ascii="Times New Roman" w:hAnsi="Times New Roman"/>
          <w:b/>
          <w:bCs/>
          <w:sz w:val="24"/>
        </w:rPr>
        <w:t xml:space="preserve"> </w:t>
      </w:r>
      <w:r w:rsidRPr="0066451A" w:rsidR="007C3E44">
        <w:rPr>
          <w:rFonts w:ascii="Times New Roman" w:hAnsi="Times New Roman"/>
          <w:sz w:val="24"/>
        </w:rPr>
        <w:t>EPA disagrees that the EU s</w:t>
      </w:r>
      <w:r w:rsidRPr="0066451A" w:rsidR="008D7088">
        <w:rPr>
          <w:rFonts w:ascii="Times New Roman" w:hAnsi="Times New Roman"/>
          <w:sz w:val="24"/>
        </w:rPr>
        <w:t xml:space="preserve">tudy on </w:t>
      </w:r>
      <w:r w:rsidRPr="0066451A" w:rsidR="00907152">
        <w:rPr>
          <w:rFonts w:ascii="Times New Roman" w:hAnsi="Times New Roman"/>
          <w:sz w:val="24"/>
        </w:rPr>
        <w:t>learning from incidents involving power supply failures</w:t>
      </w:r>
      <w:r w:rsidRPr="0066451A" w:rsidR="005758EA">
        <w:rPr>
          <w:rFonts w:ascii="Times New Roman" w:hAnsi="Times New Roman"/>
          <w:sz w:val="24"/>
        </w:rPr>
        <w:t xml:space="preserve"> is irrelevant in developing amendments </w:t>
      </w:r>
      <w:r w:rsidRPr="0066451A" w:rsidR="00611F9E">
        <w:rPr>
          <w:rFonts w:ascii="Times New Roman" w:hAnsi="Times New Roman"/>
          <w:sz w:val="24"/>
        </w:rPr>
        <w:t>to the RMP regulations</w:t>
      </w:r>
      <w:r w:rsidRPr="0066451A" w:rsidR="000B3978">
        <w:rPr>
          <w:rFonts w:ascii="Times New Roman" w:hAnsi="Times New Roman"/>
          <w:sz w:val="24"/>
        </w:rPr>
        <w:t xml:space="preserve">. </w:t>
      </w:r>
      <w:r w:rsidRPr="393C66C7" w:rsidR="7D655112">
        <w:rPr>
          <w:rFonts w:ascii="Times New Roman" w:hAnsi="Times New Roman"/>
          <w:sz w:val="24"/>
        </w:rPr>
        <w:t xml:space="preserve">While the regulatory requirements around the world may differ, </w:t>
      </w:r>
      <w:r w:rsidRPr="393C66C7" w:rsidR="5CB7C3AB">
        <w:rPr>
          <w:rFonts w:ascii="Times New Roman" w:hAnsi="Times New Roman"/>
          <w:sz w:val="24"/>
        </w:rPr>
        <w:t>absent a showing that domestic facilities</w:t>
      </w:r>
      <w:r w:rsidRPr="393C66C7" w:rsidR="4270CCA8">
        <w:rPr>
          <w:rFonts w:ascii="Times New Roman" w:hAnsi="Times New Roman"/>
          <w:sz w:val="24"/>
        </w:rPr>
        <w:t xml:space="preserve"> are </w:t>
      </w:r>
      <w:r w:rsidRPr="393C66C7" w:rsidR="39C9F9AF">
        <w:rPr>
          <w:rFonts w:ascii="Times New Roman" w:hAnsi="Times New Roman"/>
          <w:sz w:val="24"/>
        </w:rPr>
        <w:t xml:space="preserve">meaningfully </w:t>
      </w:r>
      <w:r w:rsidRPr="393C66C7" w:rsidR="63577EC5">
        <w:rPr>
          <w:rFonts w:ascii="Times New Roman" w:hAnsi="Times New Roman"/>
          <w:sz w:val="24"/>
        </w:rPr>
        <w:t xml:space="preserve">technologically </w:t>
      </w:r>
      <w:r w:rsidRPr="393C66C7" w:rsidR="4270CCA8">
        <w:rPr>
          <w:rFonts w:ascii="Times New Roman" w:hAnsi="Times New Roman"/>
          <w:sz w:val="24"/>
        </w:rPr>
        <w:t xml:space="preserve">different from those in the EU </w:t>
      </w:r>
      <w:r w:rsidRPr="393C66C7" w:rsidR="5168F42F">
        <w:rPr>
          <w:rFonts w:ascii="Times New Roman" w:hAnsi="Times New Roman"/>
          <w:sz w:val="24"/>
        </w:rPr>
        <w:t xml:space="preserve">study </w:t>
      </w:r>
      <w:r w:rsidRPr="393C66C7" w:rsidR="727E19E2">
        <w:rPr>
          <w:rFonts w:ascii="Times New Roman" w:hAnsi="Times New Roman"/>
          <w:sz w:val="24"/>
        </w:rPr>
        <w:t xml:space="preserve">in how they handle chemicals in processes that rely on power, </w:t>
      </w:r>
      <w:r w:rsidRPr="393C66C7" w:rsidR="71924F74">
        <w:rPr>
          <w:rFonts w:ascii="Times New Roman" w:hAnsi="Times New Roman"/>
          <w:sz w:val="24"/>
        </w:rPr>
        <w:t xml:space="preserve">EPA may appropriately rely on the </w:t>
      </w:r>
      <w:r w:rsidRPr="393C66C7" w:rsidR="574B5871">
        <w:rPr>
          <w:rFonts w:ascii="Times New Roman" w:hAnsi="Times New Roman"/>
          <w:sz w:val="24"/>
        </w:rPr>
        <w:t>stud</w:t>
      </w:r>
      <w:r w:rsidRPr="393C66C7" w:rsidR="7B25147D">
        <w:rPr>
          <w:rFonts w:ascii="Times New Roman" w:hAnsi="Times New Roman"/>
          <w:sz w:val="24"/>
        </w:rPr>
        <w:t>y</w:t>
      </w:r>
      <w:r w:rsidRPr="393C66C7" w:rsidR="574B5871">
        <w:rPr>
          <w:rFonts w:ascii="Times New Roman" w:hAnsi="Times New Roman"/>
          <w:sz w:val="24"/>
        </w:rPr>
        <w:t xml:space="preserve"> </w:t>
      </w:r>
      <w:r w:rsidRPr="393C66C7" w:rsidR="0CD371A2">
        <w:rPr>
          <w:rFonts w:ascii="Times New Roman" w:hAnsi="Times New Roman"/>
          <w:sz w:val="24"/>
        </w:rPr>
        <w:t xml:space="preserve">to help us in identify the potential </w:t>
      </w:r>
      <w:r w:rsidRPr="393C66C7" w:rsidR="04B7D987">
        <w:rPr>
          <w:rFonts w:ascii="Times New Roman" w:hAnsi="Times New Roman"/>
          <w:sz w:val="24"/>
        </w:rPr>
        <w:t>impacts</w:t>
      </w:r>
      <w:r w:rsidRPr="393C66C7" w:rsidR="0CD371A2">
        <w:rPr>
          <w:rFonts w:ascii="Times New Roman" w:hAnsi="Times New Roman"/>
          <w:sz w:val="24"/>
        </w:rPr>
        <w:t xml:space="preserve"> of power failures</w:t>
      </w:r>
      <w:r w:rsidRPr="393C66C7" w:rsidR="4B7856D3">
        <w:rPr>
          <w:rFonts w:ascii="Times New Roman" w:hAnsi="Times New Roman"/>
          <w:sz w:val="24"/>
        </w:rPr>
        <w:t xml:space="preserve"> on chemical handling</w:t>
      </w:r>
      <w:r w:rsidRPr="393C66C7" w:rsidR="0CD371A2">
        <w:rPr>
          <w:rFonts w:ascii="Times New Roman" w:hAnsi="Times New Roman"/>
          <w:sz w:val="24"/>
        </w:rPr>
        <w:t xml:space="preserve">. </w:t>
      </w:r>
      <w:r w:rsidRPr="0066451A" w:rsidR="000B3978">
        <w:rPr>
          <w:rFonts w:ascii="Times New Roman" w:hAnsi="Times New Roman"/>
          <w:sz w:val="24"/>
        </w:rPr>
        <w:t xml:space="preserve">As noted in the report, </w:t>
      </w:r>
      <w:r w:rsidR="00672298">
        <w:rPr>
          <w:rFonts w:ascii="Times New Roman" w:hAnsi="Times New Roman"/>
          <w:sz w:val="24"/>
        </w:rPr>
        <w:t>“</w:t>
      </w:r>
      <w:r w:rsidRPr="0066451A" w:rsidR="000B3978">
        <w:rPr>
          <w:rFonts w:ascii="Times New Roman" w:hAnsi="Times New Roman"/>
          <w:sz w:val="24"/>
        </w:rPr>
        <w:t>The accident descriptions and lessons learned are reconstructed from accident reports submitted to the EU’s Major Accident Reporting System at https://emars.jrc.ec.europa.eu as well as other open sources.</w:t>
      </w:r>
      <w:r w:rsidRPr="0066451A" w:rsidR="00A22291">
        <w:rPr>
          <w:rFonts w:ascii="Times New Roman" w:hAnsi="Times New Roman"/>
          <w:sz w:val="24"/>
        </w:rPr>
        <w:t xml:space="preserve"> </w:t>
      </w:r>
      <w:r w:rsidRPr="0066451A" w:rsidR="000B3978">
        <w:rPr>
          <w:rFonts w:ascii="Times New Roman" w:hAnsi="Times New Roman"/>
          <w:sz w:val="24"/>
        </w:rPr>
        <w:t>EMARS consists of over 1100 reports of chemical accidents contributed by EU Member States and OECD Countries.</w:t>
      </w:r>
      <w:r w:rsidR="00672298">
        <w:rPr>
          <w:rFonts w:ascii="Times New Roman" w:hAnsi="Times New Roman"/>
          <w:sz w:val="24"/>
        </w:rPr>
        <w:t>”</w:t>
      </w:r>
      <w:r w:rsidRPr="0066451A" w:rsidR="000B3978">
        <w:rPr>
          <w:rFonts w:ascii="Times New Roman" w:hAnsi="Times New Roman"/>
          <w:sz w:val="24"/>
        </w:rPr>
        <w:t xml:space="preserve"> </w:t>
      </w:r>
      <w:r w:rsidRPr="0066451A" w:rsidR="00995062">
        <w:rPr>
          <w:rFonts w:ascii="Times New Roman" w:hAnsi="Times New Roman"/>
          <w:sz w:val="24"/>
        </w:rPr>
        <w:t>The</w:t>
      </w:r>
      <w:r w:rsidRPr="0066451A" w:rsidR="002867BD">
        <w:rPr>
          <w:rFonts w:ascii="Times New Roman" w:hAnsi="Times New Roman"/>
          <w:sz w:val="24"/>
        </w:rPr>
        <w:t xml:space="preserve"> </w:t>
      </w:r>
      <w:r w:rsidRPr="0066451A" w:rsidR="00995062">
        <w:rPr>
          <w:rFonts w:ascii="Times New Roman" w:hAnsi="Times New Roman"/>
          <w:sz w:val="24"/>
        </w:rPr>
        <w:t xml:space="preserve">EMARS system includes </w:t>
      </w:r>
      <w:r w:rsidRPr="0066451A" w:rsidR="002867BD">
        <w:rPr>
          <w:rFonts w:ascii="Times New Roman" w:hAnsi="Times New Roman"/>
          <w:sz w:val="24"/>
        </w:rPr>
        <w:t>accidents</w:t>
      </w:r>
      <w:r w:rsidRPr="0066451A" w:rsidR="00995062">
        <w:rPr>
          <w:rFonts w:ascii="Times New Roman" w:hAnsi="Times New Roman"/>
          <w:sz w:val="24"/>
        </w:rPr>
        <w:t xml:space="preserve"> that occurred in the United States</w:t>
      </w:r>
      <w:r w:rsidRPr="0066451A" w:rsidR="00A22291">
        <w:rPr>
          <w:rFonts w:ascii="Times New Roman" w:hAnsi="Times New Roman"/>
          <w:sz w:val="24"/>
        </w:rPr>
        <w:t xml:space="preserve"> (an example </w:t>
      </w:r>
      <w:r w:rsidRPr="0066451A" w:rsidR="00FA2CDD">
        <w:rPr>
          <w:rFonts w:ascii="Times New Roman" w:hAnsi="Times New Roman"/>
          <w:sz w:val="24"/>
        </w:rPr>
        <w:t xml:space="preserve">from </w:t>
      </w:r>
      <w:r w:rsidRPr="0066451A" w:rsidR="00A22291">
        <w:rPr>
          <w:rFonts w:ascii="Times New Roman" w:hAnsi="Times New Roman"/>
          <w:sz w:val="24"/>
        </w:rPr>
        <w:t>the United States</w:t>
      </w:r>
      <w:r w:rsidRPr="0066451A" w:rsidR="00FA2CDD">
        <w:rPr>
          <w:rFonts w:ascii="Times New Roman" w:hAnsi="Times New Roman"/>
          <w:sz w:val="24"/>
        </w:rPr>
        <w:t>, found in EMARS) is</w:t>
      </w:r>
      <w:r w:rsidRPr="0066451A" w:rsidR="00A22291">
        <w:rPr>
          <w:rFonts w:ascii="Times New Roman" w:hAnsi="Times New Roman"/>
          <w:sz w:val="24"/>
        </w:rPr>
        <w:t xml:space="preserve"> even featured in the study</w:t>
      </w:r>
      <w:r w:rsidRPr="0066451A" w:rsidR="00FA2CDD">
        <w:rPr>
          <w:rFonts w:ascii="Times New Roman" w:hAnsi="Times New Roman"/>
          <w:sz w:val="24"/>
        </w:rPr>
        <w:t>)</w:t>
      </w:r>
      <w:r w:rsidRPr="0066451A" w:rsidR="00995062">
        <w:rPr>
          <w:rFonts w:ascii="Times New Roman" w:hAnsi="Times New Roman"/>
          <w:sz w:val="24"/>
        </w:rPr>
        <w:t xml:space="preserve">. </w:t>
      </w:r>
    </w:p>
    <w:p w:rsidR="003060B8" w:rsidP="00A30C32" w14:paraId="437E3A4B" w14:textId="6177A1FA">
      <w:pPr>
        <w:ind w:left="720"/>
        <w:rPr>
          <w:rFonts w:ascii="Times New Roman" w:hAnsi="Times New Roman"/>
          <w:sz w:val="24"/>
        </w:rPr>
      </w:pPr>
      <w:r w:rsidRPr="0066451A">
        <w:rPr>
          <w:rFonts w:ascii="Times New Roman" w:hAnsi="Times New Roman"/>
          <w:sz w:val="24"/>
        </w:rPr>
        <w:t>Additionally</w:t>
      </w:r>
      <w:r w:rsidRPr="0066451A" w:rsidR="00CD7E15">
        <w:rPr>
          <w:rFonts w:ascii="Times New Roman" w:hAnsi="Times New Roman"/>
          <w:sz w:val="24"/>
        </w:rPr>
        <w:t>, the United States is an OEC</w:t>
      </w:r>
      <w:r w:rsidR="002F2101">
        <w:rPr>
          <w:rFonts w:ascii="Times New Roman" w:hAnsi="Times New Roman"/>
          <w:sz w:val="24"/>
        </w:rPr>
        <w:t>D</w:t>
      </w:r>
      <w:r w:rsidRPr="0066451A" w:rsidR="00CD7E15">
        <w:rPr>
          <w:rFonts w:ascii="Times New Roman" w:hAnsi="Times New Roman"/>
          <w:sz w:val="24"/>
        </w:rPr>
        <w:t xml:space="preserve"> country and</w:t>
      </w:r>
      <w:r w:rsidRPr="0066451A" w:rsidR="0018479D">
        <w:rPr>
          <w:rFonts w:ascii="Times New Roman" w:hAnsi="Times New Roman"/>
          <w:sz w:val="24"/>
        </w:rPr>
        <w:t xml:space="preserve"> EPA</w:t>
      </w:r>
      <w:r w:rsidRPr="0066451A" w:rsidR="00CD7E15">
        <w:rPr>
          <w:rFonts w:ascii="Times New Roman" w:hAnsi="Times New Roman"/>
          <w:sz w:val="24"/>
        </w:rPr>
        <w:t xml:space="preserve"> participates on the OECD steering committee of the Working Party for Chemical Accidents. </w:t>
      </w:r>
      <w:r w:rsidRPr="0066451A" w:rsidR="00FA2CDD">
        <w:rPr>
          <w:rFonts w:ascii="Times New Roman" w:hAnsi="Times New Roman"/>
          <w:sz w:val="24"/>
        </w:rPr>
        <w:t>OECD describes the</w:t>
      </w:r>
      <w:r w:rsidRPr="0066451A" w:rsidR="00546463">
        <w:rPr>
          <w:rFonts w:ascii="Times New Roman" w:hAnsi="Times New Roman"/>
          <w:sz w:val="24"/>
        </w:rPr>
        <w:t xml:space="preserve"> focus of the</w:t>
      </w:r>
      <w:r w:rsidRPr="0066451A" w:rsidR="00FA2CDD">
        <w:rPr>
          <w:rFonts w:ascii="Times New Roman" w:hAnsi="Times New Roman"/>
          <w:sz w:val="24"/>
        </w:rPr>
        <w:t xml:space="preserve"> </w:t>
      </w:r>
      <w:r w:rsidRPr="0066451A" w:rsidR="00546463">
        <w:rPr>
          <w:rFonts w:ascii="Times New Roman" w:hAnsi="Times New Roman"/>
          <w:sz w:val="24"/>
        </w:rPr>
        <w:t>program as one</w:t>
      </w:r>
      <w:r w:rsidRPr="0066451A">
        <w:rPr>
          <w:rFonts w:ascii="Times New Roman" w:hAnsi="Times New Roman"/>
          <w:sz w:val="24"/>
        </w:rPr>
        <w:t xml:space="preserve"> that concerns everyone who uses or handles hazardous chemicals, works in a chemical plant, or lives near one</w:t>
      </w:r>
      <w:r w:rsidRPr="0066451A" w:rsidR="00546463">
        <w:rPr>
          <w:rFonts w:ascii="Times New Roman" w:hAnsi="Times New Roman"/>
          <w:sz w:val="24"/>
        </w:rPr>
        <w:t xml:space="preserve"> and </w:t>
      </w:r>
      <w:r w:rsidRPr="0066451A">
        <w:rPr>
          <w:rFonts w:ascii="Times New Roman" w:hAnsi="Times New Roman"/>
          <w:sz w:val="24"/>
        </w:rPr>
        <w:t>helps public authorities, industry, labour and other interested parties prevent chemical accidents and respond appropriately if one occurs.</w:t>
      </w:r>
      <w:r>
        <w:rPr>
          <w:rStyle w:val="FootnoteReference"/>
          <w:rFonts w:ascii="Times New Roman" w:hAnsi="Times New Roman"/>
          <w:sz w:val="24"/>
        </w:rPr>
        <w:footnoteReference w:id="64"/>
      </w:r>
    </w:p>
    <w:p w:rsidR="00D43808" w:rsidRPr="006F68E9" w:rsidP="00D43808" w14:paraId="1BB70427" w14:textId="51DC4251">
      <w:pPr>
        <w:rPr>
          <w:rFonts w:ascii="Times New Roman" w:hAnsi="Times New Roman"/>
          <w:sz w:val="24"/>
        </w:rPr>
      </w:pPr>
      <w:r>
        <w:rPr>
          <w:rFonts w:ascii="Times New Roman" w:hAnsi="Times New Roman"/>
          <w:b/>
          <w:bCs/>
          <w:sz w:val="24"/>
        </w:rPr>
        <w:t xml:space="preserve">Comment 3.1-04: </w:t>
      </w:r>
      <w:r>
        <w:rPr>
          <w:rFonts w:ascii="Times New Roman" w:hAnsi="Times New Roman"/>
          <w:sz w:val="24"/>
        </w:rPr>
        <w:t>One</w:t>
      </w:r>
      <w:r w:rsidRPr="006F68E9">
        <w:rPr>
          <w:rFonts w:ascii="Times New Roman" w:hAnsi="Times New Roman"/>
          <w:sz w:val="24"/>
        </w:rPr>
        <w:t xml:space="preserve"> commenter stated that the current </w:t>
      </w:r>
      <w:r>
        <w:rPr>
          <w:rFonts w:ascii="Times New Roman" w:hAnsi="Times New Roman"/>
          <w:sz w:val="24"/>
        </w:rPr>
        <w:t>proposed rule</w:t>
      </w:r>
      <w:r w:rsidRPr="006F68E9">
        <w:rPr>
          <w:rFonts w:ascii="Times New Roman" w:hAnsi="Times New Roman"/>
          <w:sz w:val="24"/>
        </w:rPr>
        <w:t xml:space="preserve"> creates new obligations that are unlawful and arbitrary. The commenter also noted that EPA ignores its obligation to fully consider costs of the proposed requirements and fails to consider feasibility issues for facilities that may trip Safety Instrumented Systems (SIS) before back-up power can come online (0268).</w:t>
      </w:r>
    </w:p>
    <w:p w:rsidR="005C15BD" w:rsidP="005C15BD" w14:paraId="75D06412" w14:textId="21C95D03">
      <w:pPr>
        <w:ind w:left="720"/>
        <w:rPr>
          <w:rFonts w:ascii="Times New Roman" w:hAnsi="Times New Roman"/>
          <w:sz w:val="24"/>
        </w:rPr>
      </w:pPr>
      <w:r w:rsidRPr="0077208C">
        <w:rPr>
          <w:rFonts w:ascii="Times New Roman" w:hAnsi="Times New Roman"/>
          <w:b/>
          <w:bCs/>
          <w:sz w:val="24"/>
        </w:rPr>
        <w:t>EPA Response:</w:t>
      </w:r>
      <w:r w:rsidRPr="005C15BD">
        <w:t xml:space="preserve"> </w:t>
      </w:r>
      <w:r w:rsidRPr="00DD60B3">
        <w:rPr>
          <w:rFonts w:ascii="Times New Roman" w:hAnsi="Times New Roman"/>
          <w:sz w:val="24"/>
        </w:rPr>
        <w:t xml:space="preserve">Each modification of the RMP rule that EPA proposed and is finalizing is based on EPA’s rulemaking authority under CAA section 112(r)(7). Both paragraph (A) and subparagraph (B)(i) of section 112(r)(7) explicitly grant EPA the authority to require monitoring for accidental releases. See CAA section 112(r)(7)(A)) (EPA “authorized to promulgate release prevention, detection, and correction requirements which may include monitoring”); CAA section 112(r)(7)(B)(I) (as appropriate, the accidental release regulations shall cover the use, operation, and upkeep of equipment to monitor accidental releases). The original rule established, through its statutory authority, the requirement to monitor for accidental releases to help prevent and mitigate releases. Therefore, backup and emergency power system requirements being finalized in this rule simply ensure proper operation of monitors and continuous compliance with the existing requirement. </w:t>
      </w:r>
    </w:p>
    <w:p w:rsidR="004460B2" w:rsidRPr="00DD60B3" w:rsidP="004460B2" w14:paraId="056C4CC5" w14:textId="44B2BBF0">
      <w:pPr>
        <w:ind w:left="720"/>
        <w:rPr>
          <w:rFonts w:ascii="Times New Roman" w:eastAsia="MS Mincho" w:hAnsi="Times New Roman"/>
          <w:sz w:val="24"/>
        </w:rPr>
      </w:pPr>
      <w:bookmarkStart w:id="42" w:name="_Hlk148534640"/>
      <w:r>
        <w:rPr>
          <w:rFonts w:ascii="Times New Roman" w:eastAsia="MS Mincho" w:hAnsi="Times New Roman"/>
          <w:sz w:val="24"/>
        </w:rPr>
        <w:t>In regard to</w:t>
      </w:r>
      <w:r>
        <w:rPr>
          <w:rFonts w:ascii="Times New Roman" w:eastAsia="MS Mincho" w:hAnsi="Times New Roman"/>
          <w:sz w:val="24"/>
        </w:rPr>
        <w:t xml:space="preserve"> cost</w:t>
      </w:r>
      <w:r w:rsidR="00EE6B2F">
        <w:rPr>
          <w:rFonts w:ascii="Times New Roman" w:eastAsia="MS Mincho" w:hAnsi="Times New Roman"/>
          <w:sz w:val="24"/>
        </w:rPr>
        <w:t>s</w:t>
      </w:r>
      <w:r>
        <w:rPr>
          <w:rFonts w:ascii="Times New Roman" w:eastAsia="MS Mincho" w:hAnsi="Times New Roman"/>
          <w:sz w:val="24"/>
        </w:rPr>
        <w:t xml:space="preserve">, </w:t>
      </w:r>
      <w:r w:rsidRPr="00311905">
        <w:rPr>
          <w:rFonts w:ascii="Times New Roman" w:hAnsi="Times New Roman"/>
          <w:sz w:val="24"/>
        </w:rPr>
        <w:t>EPA updated the estimated costs for this provision in the SCCAP final rule RIA.</w:t>
      </w:r>
      <w:r w:rsidRPr="00311905" w:rsidR="005E096A">
        <w:rPr>
          <w:rFonts w:ascii="Times New Roman" w:hAnsi="Times New Roman"/>
          <w:sz w:val="24"/>
        </w:rPr>
        <w:t xml:space="preserve"> The proposed rule </w:t>
      </w:r>
      <w:r w:rsidRPr="00311905" w:rsidR="000D5BF0">
        <w:rPr>
          <w:rFonts w:ascii="Times New Roman" w:hAnsi="Times New Roman"/>
          <w:sz w:val="24"/>
        </w:rPr>
        <w:t>estimated a cost of</w:t>
      </w:r>
      <w:r w:rsidRPr="00311905" w:rsidR="005E096A">
        <w:rPr>
          <w:rFonts w:ascii="Times New Roman" w:hAnsi="Times New Roman"/>
          <w:sz w:val="24"/>
        </w:rPr>
        <w:t xml:space="preserve"> $1,000 per facility for </w:t>
      </w:r>
      <w:r w:rsidRPr="00311905" w:rsidR="000D5BF0">
        <w:rPr>
          <w:rFonts w:ascii="Times New Roman" w:hAnsi="Times New Roman"/>
          <w:sz w:val="24"/>
        </w:rPr>
        <w:t>backup power for</w:t>
      </w:r>
      <w:r w:rsidRPr="00311905" w:rsidR="005E096A">
        <w:rPr>
          <w:rFonts w:ascii="Times New Roman" w:hAnsi="Times New Roman"/>
          <w:sz w:val="24"/>
        </w:rPr>
        <w:t xml:space="preserve"> monitoring equipment. Th</w:t>
      </w:r>
      <w:r w:rsidRPr="00311905" w:rsidR="000D5BF0">
        <w:rPr>
          <w:rFonts w:ascii="Times New Roman" w:hAnsi="Times New Roman"/>
          <w:sz w:val="24"/>
        </w:rPr>
        <w:t>e</w:t>
      </w:r>
      <w:r w:rsidRPr="00311905" w:rsidR="005E096A">
        <w:rPr>
          <w:rFonts w:ascii="Times New Roman" w:hAnsi="Times New Roman"/>
          <w:sz w:val="24"/>
        </w:rPr>
        <w:t xml:space="preserve"> final rule </w:t>
      </w:r>
      <w:r w:rsidRPr="00311905" w:rsidR="000D5BF0">
        <w:rPr>
          <w:rFonts w:ascii="Times New Roman" w:hAnsi="Times New Roman"/>
          <w:sz w:val="24"/>
        </w:rPr>
        <w:t>increased</w:t>
      </w:r>
      <w:r w:rsidRPr="00311905" w:rsidR="005E096A">
        <w:rPr>
          <w:rFonts w:ascii="Times New Roman" w:hAnsi="Times New Roman"/>
          <w:sz w:val="24"/>
        </w:rPr>
        <w:t xml:space="preserve"> th</w:t>
      </w:r>
      <w:r w:rsidRPr="00311905" w:rsidR="000D5BF0">
        <w:rPr>
          <w:rFonts w:ascii="Times New Roman" w:hAnsi="Times New Roman"/>
          <w:sz w:val="24"/>
        </w:rPr>
        <w:t>e estimated cost</w:t>
      </w:r>
      <w:r w:rsidRPr="00311905" w:rsidR="005E096A">
        <w:rPr>
          <w:rFonts w:ascii="Times New Roman" w:hAnsi="Times New Roman"/>
          <w:sz w:val="24"/>
        </w:rPr>
        <w:t xml:space="preserve"> to $3,300 per facility in any given year based on generator pricing and sensor power requirement information from commercial websites, as well as an example of the number of perimeter monitors at a facility. EPA assumes </w:t>
      </w:r>
      <w:r w:rsidRPr="00311905" w:rsidR="000D5BF0">
        <w:rPr>
          <w:rFonts w:ascii="Times New Roman" w:hAnsi="Times New Roman"/>
          <w:sz w:val="24"/>
        </w:rPr>
        <w:t>the typical</w:t>
      </w:r>
      <w:r w:rsidRPr="00311905" w:rsidR="005E096A">
        <w:rPr>
          <w:rFonts w:ascii="Times New Roman" w:hAnsi="Times New Roman"/>
          <w:sz w:val="24"/>
        </w:rPr>
        <w:t xml:space="preserve"> facility’s perimeter monitoring system will require a 1 kW backup generator, but facilities may purchase a slightly more powerful model. EPA assumes a facility will pay $3,000 to purchase and install such a small generator based on identifying an 8.5kW home generator listed for slightly below $3,000. EPA assumes a 5-year </w:t>
      </w:r>
      <w:r w:rsidRPr="00311905" w:rsidR="00EB11A2">
        <w:rPr>
          <w:rFonts w:ascii="Times New Roman" w:hAnsi="Times New Roman"/>
          <w:sz w:val="24"/>
        </w:rPr>
        <w:t>life</w:t>
      </w:r>
      <w:r w:rsidRPr="00311905" w:rsidR="005E096A">
        <w:rPr>
          <w:rFonts w:ascii="Times New Roman" w:hAnsi="Times New Roman"/>
          <w:sz w:val="24"/>
        </w:rPr>
        <w:t xml:space="preserve"> for the generator, so facilities will purchase </w:t>
      </w:r>
      <w:r w:rsidR="00EB11A2">
        <w:rPr>
          <w:rFonts w:ascii="Times New Roman" w:hAnsi="Times New Roman"/>
          <w:sz w:val="24"/>
        </w:rPr>
        <w:t>a new generator</w:t>
      </w:r>
      <w:r w:rsidRPr="00311905" w:rsidR="00EB11A2">
        <w:rPr>
          <w:rFonts w:ascii="Times New Roman" w:hAnsi="Times New Roman"/>
          <w:sz w:val="24"/>
        </w:rPr>
        <w:t xml:space="preserve"> </w:t>
      </w:r>
      <w:r w:rsidRPr="00311905" w:rsidR="005E096A">
        <w:rPr>
          <w:rFonts w:ascii="Times New Roman" w:hAnsi="Times New Roman"/>
          <w:sz w:val="24"/>
        </w:rPr>
        <w:t xml:space="preserve">or make repairs </w:t>
      </w:r>
      <w:r w:rsidRPr="00311905" w:rsidR="002F004B">
        <w:rPr>
          <w:rFonts w:ascii="Times New Roman" w:hAnsi="Times New Roman"/>
          <w:sz w:val="24"/>
        </w:rPr>
        <w:t xml:space="preserve">of equivalent cost </w:t>
      </w:r>
      <w:r w:rsidRPr="00311905" w:rsidR="005E096A">
        <w:rPr>
          <w:rFonts w:ascii="Times New Roman" w:hAnsi="Times New Roman"/>
          <w:sz w:val="24"/>
        </w:rPr>
        <w:t xml:space="preserve">every 5 years. EPA assumes annual operation and maintenance costs of 10% of purchase and installation costs, or $300 per year. </w:t>
      </w:r>
      <w:r w:rsidR="00EB11A2">
        <w:rPr>
          <w:rFonts w:ascii="Times New Roman" w:hAnsi="Times New Roman"/>
          <w:sz w:val="24"/>
        </w:rPr>
        <w:t xml:space="preserve">See </w:t>
      </w:r>
      <w:r w:rsidRPr="00311905" w:rsidR="005E096A">
        <w:rPr>
          <w:rFonts w:ascii="Times New Roman" w:hAnsi="Times New Roman"/>
          <w:sz w:val="24"/>
        </w:rPr>
        <w:t>Section 4.4</w:t>
      </w:r>
      <w:r w:rsidRPr="00311905">
        <w:rPr>
          <w:rFonts w:ascii="Times New Roman" w:hAnsi="Times New Roman"/>
          <w:sz w:val="24"/>
        </w:rPr>
        <w:t xml:space="preserve">.6 of the RIA </w:t>
      </w:r>
      <w:r w:rsidRPr="00311905" w:rsidR="000D5BF0">
        <w:rPr>
          <w:rFonts w:ascii="Times New Roman" w:hAnsi="Times New Roman"/>
          <w:sz w:val="24"/>
        </w:rPr>
        <w:t xml:space="preserve">for </w:t>
      </w:r>
      <w:r w:rsidRPr="00311905">
        <w:rPr>
          <w:rFonts w:ascii="Times New Roman" w:hAnsi="Times New Roman"/>
          <w:sz w:val="24"/>
        </w:rPr>
        <w:t>more detail on the estimated costs.</w:t>
      </w:r>
      <w:bookmarkEnd w:id="42"/>
      <w:r>
        <w:rPr>
          <w:rFonts w:ascii="Times New Roman" w:eastAsia="MS Mincho" w:hAnsi="Times New Roman"/>
          <w:sz w:val="24"/>
        </w:rPr>
        <w:t xml:space="preserve"> </w:t>
      </w:r>
    </w:p>
    <w:p w:rsidR="00D43808" w:rsidRPr="00504B2E" w:rsidP="00D43808" w14:paraId="0FCAFBDD" w14:textId="77777777">
      <w:pPr>
        <w:rPr>
          <w:rFonts w:ascii="Times New Roman" w:hAnsi="Times New Roman"/>
          <w:bCs/>
          <w:i/>
          <w:iCs/>
          <w:sz w:val="24"/>
        </w:rPr>
      </w:pPr>
      <w:r>
        <w:rPr>
          <w:rFonts w:ascii="Times New Roman" w:hAnsi="Times New Roman"/>
          <w:bCs/>
          <w:i/>
          <w:iCs/>
          <w:sz w:val="24"/>
        </w:rPr>
        <w:t>Comments on inconsistencies with OSHA</w:t>
      </w:r>
    </w:p>
    <w:p w:rsidR="00D43808" w:rsidP="00D43808" w14:paraId="792D1091" w14:textId="77777777">
      <w:pPr>
        <w:rPr>
          <w:rFonts w:ascii="Times New Roman" w:hAnsi="Times New Roman"/>
          <w:sz w:val="24"/>
        </w:rPr>
      </w:pPr>
      <w:r>
        <w:rPr>
          <w:rFonts w:ascii="Times New Roman" w:hAnsi="Times New Roman"/>
          <w:b/>
          <w:bCs/>
          <w:sz w:val="24"/>
        </w:rPr>
        <w:t xml:space="preserve">Comment 3.1-05: </w:t>
      </w:r>
      <w:r w:rsidRPr="27FE7C5E">
        <w:rPr>
          <w:rFonts w:ascii="Times New Roman" w:hAnsi="Times New Roman"/>
          <w:sz w:val="24"/>
        </w:rPr>
        <w:t xml:space="preserve">A couple commenters </w:t>
      </w:r>
      <w:r>
        <w:rPr>
          <w:rFonts w:ascii="Times New Roman" w:hAnsi="Times New Roman"/>
          <w:sz w:val="24"/>
        </w:rPr>
        <w:t>expressed</w:t>
      </w:r>
      <w:r w:rsidRPr="27FE7C5E">
        <w:rPr>
          <w:rFonts w:ascii="Times New Roman" w:hAnsi="Times New Roman"/>
          <w:sz w:val="24"/>
        </w:rPr>
        <w:t xml:space="preserve"> that EPA’s proposal to explicitly require evaluation of standby and emergency power systems diverges with OSHA’s PSM requirements in the PHA. The commenter stated that this proposal would inappropriately create an inconsistency between the two regulatory programs, injecting ambiguity and uncertainty into the PHA process (0268). Another commenter urged EPA to not include these additional provisions in RMP regulations and instead allow OSHA to continue its oversight of these hazards (0205).</w:t>
      </w:r>
      <w:r>
        <w:rPr>
          <w:rFonts w:ascii="Times New Roman" w:hAnsi="Times New Roman"/>
          <w:sz w:val="24"/>
        </w:rPr>
        <w:t xml:space="preserve"> </w:t>
      </w:r>
      <w:r w:rsidRPr="24F9C2D3">
        <w:rPr>
          <w:rFonts w:ascii="Times New Roman" w:hAnsi="Times New Roman"/>
          <w:sz w:val="24"/>
        </w:rPr>
        <w:t xml:space="preserve">Another commenter </w:t>
      </w:r>
      <w:r>
        <w:rPr>
          <w:rFonts w:ascii="Times New Roman" w:hAnsi="Times New Roman"/>
          <w:sz w:val="24"/>
        </w:rPr>
        <w:t>stated</w:t>
      </w:r>
      <w:r w:rsidRPr="24F9C2D3">
        <w:rPr>
          <w:rFonts w:ascii="Times New Roman" w:hAnsi="Times New Roman"/>
          <w:sz w:val="24"/>
        </w:rPr>
        <w:t xml:space="preserve"> that OSHA has authority over onsite equipment and has issued guidance on power loss</w:t>
      </w:r>
      <w:r>
        <w:rPr>
          <w:rFonts w:ascii="Times New Roman" w:hAnsi="Times New Roman"/>
          <w:sz w:val="24"/>
        </w:rPr>
        <w:t xml:space="preserve"> (0253)</w:t>
      </w:r>
      <w:r w:rsidRPr="24F9C2D3">
        <w:rPr>
          <w:rFonts w:ascii="Times New Roman" w:hAnsi="Times New Roman"/>
          <w:sz w:val="24"/>
        </w:rPr>
        <w:t>.</w:t>
      </w:r>
    </w:p>
    <w:p w:rsidR="00D43808" w:rsidP="00D43808" w14:paraId="50E18F39" w14:textId="77777777">
      <w:pPr>
        <w:rPr>
          <w:rFonts w:ascii="Times New Roman" w:hAnsi="Times New Roman"/>
          <w:sz w:val="24"/>
        </w:rPr>
      </w:pPr>
      <w:r>
        <w:rPr>
          <w:rFonts w:ascii="Times New Roman" w:hAnsi="Times New Roman"/>
          <w:sz w:val="24"/>
        </w:rPr>
        <w:t>Many</w:t>
      </w:r>
      <w:r w:rsidRPr="006F68E9">
        <w:rPr>
          <w:rFonts w:ascii="Times New Roman" w:hAnsi="Times New Roman"/>
          <w:sz w:val="24"/>
        </w:rPr>
        <w:t xml:space="preserve"> commenters additionally claimed that the provisions for air pollution control or monitoring equipment to have backup power are already included in OSHA's PSM standards. The commenters claimed that having this requirement included in RMP in addition to PSM would create duplicative work for facilities while also creating the opportunity for uneven enforcement of these provisions from the two agencies. The commenters urged EPA to not include these provisions in RMP regulations and instead allow OSHA to continue its oversight of these hazards (0180, 0205, 0217, 0234, 0226, 0458).</w:t>
      </w:r>
    </w:p>
    <w:p w:rsidR="00D43808" w:rsidP="00D43808" w14:paraId="784063FB" w14:textId="77777777">
      <w:pPr>
        <w:rPr>
          <w:rFonts w:ascii="Times New Roman" w:hAnsi="Times New Roman"/>
          <w:sz w:val="24"/>
        </w:rPr>
      </w:pPr>
      <w:r w:rsidRPr="6D3F9CC5">
        <w:rPr>
          <w:rFonts w:ascii="Times New Roman" w:hAnsi="Times New Roman"/>
          <w:sz w:val="24"/>
        </w:rPr>
        <w:t xml:space="preserve">One of the commenters </w:t>
      </w:r>
      <w:r>
        <w:rPr>
          <w:rFonts w:ascii="Times New Roman" w:hAnsi="Times New Roman"/>
          <w:sz w:val="24"/>
        </w:rPr>
        <w:t>expressed</w:t>
      </w:r>
      <w:r w:rsidRPr="6D3F9CC5">
        <w:rPr>
          <w:rFonts w:ascii="Times New Roman" w:hAnsi="Times New Roman"/>
          <w:sz w:val="24"/>
        </w:rPr>
        <w:t xml:space="preserve"> that the proposal would break with PSM and would upend the longstanding harmonization between RMP and PSM by mandating backup power for monitoring equipment (0272). </w:t>
      </w:r>
      <w:r w:rsidRPr="006F68E9">
        <w:rPr>
          <w:rFonts w:ascii="Times New Roman" w:hAnsi="Times New Roman"/>
          <w:sz w:val="24"/>
        </w:rPr>
        <w:t xml:space="preserve">Some commenters </w:t>
      </w:r>
      <w:r>
        <w:rPr>
          <w:rFonts w:ascii="Times New Roman" w:hAnsi="Times New Roman"/>
          <w:sz w:val="24"/>
        </w:rPr>
        <w:t>stated</w:t>
      </w:r>
      <w:r w:rsidRPr="006F68E9">
        <w:rPr>
          <w:rFonts w:ascii="Times New Roman" w:hAnsi="Times New Roman"/>
          <w:sz w:val="24"/>
        </w:rPr>
        <w:t xml:space="preserve"> issues with unclear language, impractical requirements, and duplicative work in the proposed changes to hazard evaluation (0205, 0217, 0234). One of the commenters suggested that having these categories included in RMP in addition to PSM would create duplicative work for facilities while also creating the opportunity for uneven enforcement of these provisions from OSHA and EPA (0205). </w:t>
      </w:r>
    </w:p>
    <w:p w:rsidR="00D43808" w:rsidRPr="00AC3E61" w:rsidP="00D43808" w14:paraId="59489210" w14:textId="77777777">
      <w:pPr>
        <w:rPr>
          <w:rFonts w:ascii="Times New Roman" w:hAnsi="Times New Roman"/>
          <w:sz w:val="24"/>
        </w:rPr>
      </w:pPr>
      <w:r w:rsidRPr="6D3F9CC5">
        <w:rPr>
          <w:rFonts w:ascii="Times New Roman" w:hAnsi="Times New Roman"/>
          <w:sz w:val="24"/>
        </w:rPr>
        <w:t>One commenter also noted that OSHA has authority over onsite equipment and has issued guidance on power loss, and OSHA also declined to impose an explicit requirement for facilities to evaluate power loss in PHAs in its 1992 PSM standards (0232). </w:t>
      </w:r>
    </w:p>
    <w:p w:rsidR="00D43808" w:rsidRPr="00AC3E61" w:rsidP="00D43808" w14:paraId="50184FA5" w14:textId="77777777">
      <w:pPr>
        <w:rPr>
          <w:rFonts w:ascii="Times New Roman" w:hAnsi="Times New Roman"/>
          <w:sz w:val="24"/>
        </w:rPr>
      </w:pPr>
      <w:r w:rsidRPr="006F68E9">
        <w:rPr>
          <w:rFonts w:ascii="Times New Roman" w:hAnsi="Times New Roman"/>
          <w:sz w:val="24"/>
        </w:rPr>
        <w:t xml:space="preserve">One commenter noted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ignores that if the site identifies the possibility of power loss, it would be addressed in the PHA process already (0268).</w:t>
      </w:r>
    </w:p>
    <w:p w:rsidR="00D43808" w:rsidP="00D43808" w14:paraId="4FB452FE" w14:textId="037CCFDD">
      <w:pPr>
        <w:ind w:left="720"/>
        <w:rPr>
          <w:color w:val="000000" w:themeColor="text1"/>
        </w:rPr>
      </w:pPr>
      <w:r w:rsidRPr="27FE7C5E">
        <w:rPr>
          <w:rFonts w:ascii="Times New Roman" w:hAnsi="Times New Roman"/>
          <w:b/>
          <w:bCs/>
          <w:sz w:val="24"/>
        </w:rPr>
        <w:t>EPA Response</w:t>
      </w:r>
      <w:r>
        <w:rPr>
          <w:rFonts w:ascii="Times New Roman" w:hAnsi="Times New Roman"/>
          <w:b/>
          <w:bCs/>
          <w:sz w:val="24"/>
        </w:rPr>
        <w:t xml:space="preserve">: </w:t>
      </w:r>
      <w:r w:rsidRPr="00325B84">
        <w:rPr>
          <w:rFonts w:ascii="Times New Roman" w:hAnsi="Times New Roman"/>
          <w:color w:val="000000" w:themeColor="text1"/>
          <w:sz w:val="24"/>
        </w:rPr>
        <w:t xml:space="preserve">In response to comments that the requirements would create inconsistency between EPA and OSHA regulatory programs, EPA seeks only to better </w:t>
      </w:r>
      <w:r w:rsidRPr="00325B84">
        <w:rPr>
          <w:rFonts w:ascii="Times New Roman" w:hAnsi="Times New Roman"/>
          <w:color w:val="000000" w:themeColor="text1"/>
          <w:sz w:val="24"/>
        </w:rPr>
        <w:t>reflect its longstanding regulatory requirement that loss of power is among the hazards that must be addressed within hazard evaluations, rather than impose additional regulatory requirements (and thus potential additional costs)</w:t>
      </w:r>
      <w:r w:rsidRPr="00E93185" w:rsidR="00E93185">
        <w:t xml:space="preserve"> </w:t>
      </w:r>
      <w:r w:rsidRPr="00E93185" w:rsidR="00E93185">
        <w:rPr>
          <w:rFonts w:ascii="Times New Roman" w:hAnsi="Times New Roman"/>
          <w:color w:val="000000" w:themeColor="text1"/>
          <w:sz w:val="24"/>
        </w:rPr>
        <w:t>that conflict with the OSHA PSM regulatory requirements</w:t>
      </w:r>
      <w:r w:rsidRPr="00325B84" w:rsidR="00325B84">
        <w:rPr>
          <w:rFonts w:ascii="Times New Roman" w:hAnsi="Times New Roman"/>
          <w:color w:val="000000" w:themeColor="text1"/>
          <w:sz w:val="24"/>
        </w:rPr>
        <w:t>.</w:t>
      </w:r>
      <w:r w:rsidRPr="00325B84">
        <w:rPr>
          <w:rFonts w:ascii="Times New Roman" w:hAnsi="Times New Roman"/>
          <w:color w:val="000000" w:themeColor="text1"/>
          <w:sz w:val="24"/>
        </w:rPr>
        <w:t xml:space="preserve"> </w:t>
      </w:r>
      <w:r w:rsidR="00E93185">
        <w:rPr>
          <w:rFonts w:ascii="Times New Roman" w:hAnsi="Times New Roman"/>
          <w:color w:val="000000" w:themeColor="text1"/>
          <w:sz w:val="24"/>
        </w:rPr>
        <w:t xml:space="preserve">In fact, </w:t>
      </w:r>
      <w:r w:rsidRPr="00325B84" w:rsidR="006B76E7">
        <w:rPr>
          <w:rFonts w:ascii="Times New Roman" w:hAnsi="Times New Roman"/>
          <w:sz w:val="24"/>
        </w:rPr>
        <w:t xml:space="preserve">EPA has coordinated with OSHA throughout the rulemaking process to ensure the intent of adding specificity and clarification to the RMP regulations does not create conflicting requirements with OSHA’s PSM standard. </w:t>
      </w:r>
      <w:r w:rsidRPr="00325B84">
        <w:rPr>
          <w:rFonts w:ascii="Times New Roman" w:hAnsi="Times New Roman"/>
          <w:color w:val="000000" w:themeColor="text1"/>
          <w:sz w:val="24"/>
        </w:rPr>
        <w:t xml:space="preserve"> </w:t>
      </w:r>
    </w:p>
    <w:p w:rsidR="00D43808" w:rsidP="00D43808" w14:paraId="53E0C33F" w14:textId="77777777">
      <w:pPr>
        <w:rPr>
          <w:rFonts w:ascii="Times New Roman" w:hAnsi="Times New Roman"/>
          <w:i/>
          <w:iCs/>
          <w:sz w:val="24"/>
        </w:rPr>
      </w:pPr>
      <w:r>
        <w:rPr>
          <w:rFonts w:ascii="Times New Roman" w:hAnsi="Times New Roman"/>
          <w:i/>
          <w:iCs/>
          <w:sz w:val="24"/>
        </w:rPr>
        <w:t>Other recommendations for the proposed rule</w:t>
      </w:r>
    </w:p>
    <w:p w:rsidR="00D43808" w:rsidRPr="006F68E9" w:rsidP="00D43808" w14:paraId="70AF3415" w14:textId="77777777">
      <w:pPr>
        <w:rPr>
          <w:rFonts w:ascii="Times New Roman" w:hAnsi="Times New Roman"/>
          <w:sz w:val="24"/>
        </w:rPr>
      </w:pPr>
      <w:r>
        <w:rPr>
          <w:rFonts w:ascii="Times New Roman" w:hAnsi="Times New Roman"/>
          <w:b/>
          <w:bCs/>
          <w:sz w:val="24"/>
        </w:rPr>
        <w:t xml:space="preserve">Comment 3.1-06: </w:t>
      </w:r>
      <w:r w:rsidRPr="6D3F9CC5">
        <w:rPr>
          <w:rFonts w:ascii="Times New Roman" w:hAnsi="Times New Roman"/>
          <w:sz w:val="24"/>
        </w:rPr>
        <w:t xml:space="preserve">One of the commenters noted that the proposed rule should recognize that the impact of power loss can vary among different types of facilities (0184). </w:t>
      </w:r>
      <w:r w:rsidRPr="006F68E9">
        <w:rPr>
          <w:rFonts w:ascii="Times New Roman" w:hAnsi="Times New Roman"/>
          <w:sz w:val="24"/>
        </w:rPr>
        <w:t>One commenter stated that EPA does not consider the extent to which risk and mitigation strategies vary among different types of facilities, mentioning loss of power at dairy facilities as an example (0237).</w:t>
      </w:r>
    </w:p>
    <w:p w:rsidR="00D43808" w:rsidP="0067314B" w14:paraId="0C6DEE90" w14:textId="0578DC22">
      <w:pPr>
        <w:ind w:left="720"/>
        <w:rPr>
          <w:rFonts w:ascii="Times New Roman" w:hAnsi="Times New Roman"/>
          <w:b/>
          <w:bCs/>
          <w:sz w:val="24"/>
        </w:rPr>
      </w:pPr>
      <w:r w:rsidRPr="00F72BB6">
        <w:rPr>
          <w:rFonts w:ascii="Times New Roman" w:hAnsi="Times New Roman"/>
          <w:b/>
          <w:bCs/>
          <w:sz w:val="24"/>
        </w:rPr>
        <w:t>EPA Response:</w:t>
      </w:r>
      <w:r w:rsidRPr="0067314B" w:rsidR="0067314B">
        <w:t xml:space="preserve"> </w:t>
      </w:r>
      <w:r w:rsidRPr="00F72BB6" w:rsidR="0067314B">
        <w:rPr>
          <w:rFonts w:ascii="Times New Roman" w:hAnsi="Times New Roman"/>
          <w:sz w:val="24"/>
        </w:rPr>
        <w:t>EPA is not requiring implementation of standby or emergency power for the entirety of an RMP process at this time. However, 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w:t>
      </w:r>
      <w:r w:rsidRPr="004D2AC9" w:rsidR="004D2AC9">
        <w:t xml:space="preserve"> </w:t>
      </w:r>
      <w:r w:rsidRPr="004D2AC9" w:rsidR="004D2AC9">
        <w:rPr>
          <w:rFonts w:ascii="Times New Roman" w:hAnsi="Times New Roman"/>
          <w:sz w:val="24"/>
        </w:rPr>
        <w:t>EPA takes a slightly different approach with respect to backup power for monitors.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w:t>
      </w:r>
    </w:p>
    <w:p w:rsidR="00D43808" w:rsidP="00D43808" w14:paraId="7065B133" w14:textId="3474A0D9">
      <w:pPr>
        <w:rPr>
          <w:rFonts w:ascii="Times New Roman" w:hAnsi="Times New Roman"/>
          <w:sz w:val="24"/>
        </w:rPr>
      </w:pPr>
      <w:r>
        <w:rPr>
          <w:rFonts w:ascii="Times New Roman" w:hAnsi="Times New Roman"/>
          <w:b/>
          <w:bCs/>
          <w:sz w:val="24"/>
        </w:rPr>
        <w:t xml:space="preserve">Comment 3.1-07: </w:t>
      </w:r>
      <w:r w:rsidRPr="006F68E9">
        <w:rPr>
          <w:rFonts w:ascii="Times New Roman" w:hAnsi="Times New Roman"/>
          <w:sz w:val="24"/>
        </w:rPr>
        <w:t>One commenter a</w:t>
      </w:r>
      <w:r>
        <w:rPr>
          <w:rFonts w:ascii="Times New Roman" w:hAnsi="Times New Roman"/>
          <w:sz w:val="24"/>
        </w:rPr>
        <w:t>sserted</w:t>
      </w:r>
      <w:r w:rsidRPr="006F68E9">
        <w:rPr>
          <w:rFonts w:ascii="Times New Roman" w:hAnsi="Times New Roman"/>
          <w:sz w:val="24"/>
        </w:rPr>
        <w:t xml:space="preserve"> that all stationary sources with processes subject to Program 2 and/or 3 requirements should develop Power Disruption Plans. The commenter </w:t>
      </w:r>
      <w:r>
        <w:rPr>
          <w:rFonts w:ascii="Times New Roman" w:hAnsi="Times New Roman"/>
          <w:sz w:val="24"/>
        </w:rPr>
        <w:t>discussed</w:t>
      </w:r>
      <w:r w:rsidRPr="006F68E9">
        <w:rPr>
          <w:rFonts w:ascii="Times New Roman" w:hAnsi="Times New Roman"/>
          <w:sz w:val="24"/>
        </w:rPr>
        <w:t xml:space="preserve"> the 2001 General Chemical incident in detail. The commenter </w:t>
      </w:r>
      <w:r>
        <w:rPr>
          <w:rFonts w:ascii="Times New Roman" w:hAnsi="Times New Roman"/>
          <w:sz w:val="24"/>
        </w:rPr>
        <w:t>urged that</w:t>
      </w:r>
      <w:r w:rsidRPr="006F68E9">
        <w:rPr>
          <w:rFonts w:ascii="Times New Roman" w:hAnsi="Times New Roman"/>
          <w:sz w:val="24"/>
        </w:rPr>
        <w:t xml:space="preserve"> power loss evaluation needs to be required in PHAs and </w:t>
      </w:r>
      <w:r>
        <w:rPr>
          <w:rFonts w:ascii="Times New Roman" w:hAnsi="Times New Roman"/>
          <w:sz w:val="24"/>
        </w:rPr>
        <w:t>h</w:t>
      </w:r>
      <w:r w:rsidRPr="006F68E9">
        <w:rPr>
          <w:rFonts w:ascii="Times New Roman" w:hAnsi="Times New Roman"/>
          <w:sz w:val="24"/>
        </w:rPr>
        <w:t xml:space="preserve">azard </w:t>
      </w:r>
      <w:r>
        <w:rPr>
          <w:rFonts w:ascii="Times New Roman" w:hAnsi="Times New Roman"/>
          <w:sz w:val="24"/>
        </w:rPr>
        <w:t>r</w:t>
      </w:r>
      <w:r w:rsidRPr="006F68E9">
        <w:rPr>
          <w:rFonts w:ascii="Times New Roman" w:hAnsi="Times New Roman"/>
          <w:sz w:val="24"/>
        </w:rPr>
        <w:t xml:space="preserve">eviews exempt from “double jeopardy” language to ensure adequate evaluation (0173). </w:t>
      </w:r>
    </w:p>
    <w:p w:rsidR="00D43808" w:rsidP="00D43808" w14:paraId="084BD5C9" w14:textId="77777777">
      <w:pPr>
        <w:rPr>
          <w:rFonts w:ascii="Times New Roman" w:hAnsi="Times New Roman"/>
          <w:sz w:val="24"/>
        </w:rPr>
      </w:pPr>
      <w:r w:rsidRPr="006F68E9">
        <w:rPr>
          <w:rFonts w:ascii="Times New Roman" w:hAnsi="Times New Roman"/>
          <w:sz w:val="24"/>
        </w:rPr>
        <w:t>Another commenter supported explicitly requiring Program 2 hazard reviews to address power loss and safeguards used or needed to control the hazards or prevent equipment malfunction or human error including standby or emergency power systems. The commenter also strongly supported explicitly requiring Program 3 process hazard analyses to address engineering and administrative controls applicable to the hazards and their interrelationships such as appropriate application of detection methodologies to provide early warning of releases and standby or emergency power systems (0460).</w:t>
      </w:r>
    </w:p>
    <w:p w:rsidR="00A90799" w:rsidP="00853E2B" w14:paraId="1A32E11C" w14:textId="5E78E40E">
      <w:pPr>
        <w:ind w:left="720"/>
        <w:rPr>
          <w:rFonts w:ascii="Times New Roman" w:hAnsi="Times New Roman"/>
          <w:bCs/>
          <w:sz w:val="24"/>
        </w:rPr>
      </w:pPr>
      <w:r w:rsidRPr="00A90799">
        <w:rPr>
          <w:rFonts w:ascii="Times New Roman" w:hAnsi="Times New Roman"/>
          <w:b/>
          <w:sz w:val="24"/>
        </w:rPr>
        <w:t>EPA Response:</w:t>
      </w:r>
      <w:r w:rsidRPr="006E520A">
        <w:rPr>
          <w:rFonts w:ascii="Times New Roman" w:hAnsi="Times New Roman"/>
          <w:b/>
          <w:sz w:val="24"/>
        </w:rPr>
        <w:t xml:space="preserve"> </w:t>
      </w:r>
      <w:r w:rsidRPr="006E520A" w:rsidR="00FB60AD">
        <w:rPr>
          <w:rFonts w:ascii="Times New Roman" w:hAnsi="Times New Roman"/>
          <w:bCs/>
          <w:sz w:val="24"/>
        </w:rPr>
        <w:t>E</w:t>
      </w:r>
      <w:r w:rsidRPr="006E520A">
        <w:rPr>
          <w:rFonts w:ascii="Times New Roman" w:hAnsi="Times New Roman"/>
          <w:bCs/>
          <w:sz w:val="24"/>
        </w:rPr>
        <w:t>PA appreciates the support</w:t>
      </w:r>
      <w:r w:rsidR="00FB60AD">
        <w:rPr>
          <w:rFonts w:ascii="Times New Roman" w:hAnsi="Times New Roman"/>
          <w:bCs/>
          <w:sz w:val="24"/>
        </w:rPr>
        <w:t xml:space="preserve"> for </w:t>
      </w:r>
      <w:r w:rsidRPr="006E520A" w:rsidR="00056EC6">
        <w:rPr>
          <w:rFonts w:ascii="Times New Roman" w:hAnsi="Times New Roman"/>
          <w:bCs/>
          <w:sz w:val="24"/>
        </w:rPr>
        <w:t>making more explicit th</w:t>
      </w:r>
      <w:r w:rsidR="00FB60AD">
        <w:rPr>
          <w:rFonts w:ascii="Times New Roman" w:hAnsi="Times New Roman"/>
          <w:bCs/>
          <w:sz w:val="24"/>
        </w:rPr>
        <w:t>e</w:t>
      </w:r>
      <w:r w:rsidRPr="006E520A" w:rsidR="00056EC6">
        <w:rPr>
          <w:rFonts w:ascii="Times New Roman" w:hAnsi="Times New Roman"/>
          <w:bCs/>
          <w:sz w:val="24"/>
        </w:rPr>
        <w:t xml:space="preserve"> already-existing </w:t>
      </w:r>
      <w:r w:rsidR="00B511DF">
        <w:rPr>
          <w:rFonts w:ascii="Times New Roman" w:hAnsi="Times New Roman"/>
          <w:bCs/>
          <w:sz w:val="24"/>
        </w:rPr>
        <w:t xml:space="preserve">Program 2 and Program 3 </w:t>
      </w:r>
      <w:r w:rsidRPr="006E520A" w:rsidR="00056EC6">
        <w:rPr>
          <w:rFonts w:ascii="Times New Roman" w:hAnsi="Times New Roman"/>
          <w:bCs/>
          <w:sz w:val="24"/>
        </w:rPr>
        <w:t>accident prevention program requirement to ensure that threats of power loss are properly evaluated and managed to prevent or mitigate releases of RMP-regulated substances at covered facilities.</w:t>
      </w:r>
    </w:p>
    <w:p w:rsidR="002602EB" w:rsidP="00845EE4" w14:paraId="70C9A1C6" w14:textId="03EBB95F">
      <w:pPr>
        <w:ind w:left="720"/>
        <w:rPr>
          <w:rFonts w:ascii="Times New Roman" w:hAnsi="Times New Roman"/>
          <w:bCs/>
          <w:sz w:val="24"/>
        </w:rPr>
      </w:pPr>
      <w:r>
        <w:rPr>
          <w:rFonts w:ascii="Times New Roman" w:hAnsi="Times New Roman"/>
          <w:bCs/>
          <w:sz w:val="24"/>
        </w:rPr>
        <w:t>T</w:t>
      </w:r>
      <w:r w:rsidRPr="00332826" w:rsidR="00332826">
        <w:rPr>
          <w:rFonts w:ascii="Times New Roman" w:hAnsi="Times New Roman"/>
          <w:bCs/>
          <w:sz w:val="24"/>
        </w:rPr>
        <w:t>h</w:t>
      </w:r>
      <w:r w:rsidR="008C16EF">
        <w:rPr>
          <w:rFonts w:ascii="Times New Roman" w:hAnsi="Times New Roman"/>
          <w:bCs/>
          <w:sz w:val="24"/>
        </w:rPr>
        <w:t xml:space="preserve">is existing provision requires </w:t>
      </w:r>
      <w:r>
        <w:rPr>
          <w:rFonts w:ascii="Times New Roman" w:hAnsi="Times New Roman"/>
          <w:bCs/>
          <w:sz w:val="24"/>
        </w:rPr>
        <w:t>facilities with Program 2 and Program 3 processes</w:t>
      </w:r>
      <w:r w:rsidRPr="00332826" w:rsidR="00332826">
        <w:rPr>
          <w:rFonts w:ascii="Times New Roman" w:hAnsi="Times New Roman"/>
          <w:bCs/>
          <w:sz w:val="24"/>
        </w:rPr>
        <w:t xml:space="preserv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w:t>
      </w:r>
      <w:r w:rsidR="00BE3BFF">
        <w:rPr>
          <w:rFonts w:ascii="Times New Roman" w:hAnsi="Times New Roman"/>
          <w:bCs/>
          <w:sz w:val="24"/>
        </w:rPr>
        <w:t xml:space="preserve"> and </w:t>
      </w:r>
      <w:r w:rsidR="00C63563">
        <w:rPr>
          <w:rFonts w:ascii="Times New Roman" w:hAnsi="Times New Roman"/>
          <w:bCs/>
          <w:sz w:val="24"/>
        </w:rPr>
        <w:t>seek out sol</w:t>
      </w:r>
      <w:r w:rsidR="00431103">
        <w:rPr>
          <w:rFonts w:ascii="Times New Roman" w:hAnsi="Times New Roman"/>
          <w:bCs/>
          <w:sz w:val="24"/>
        </w:rPr>
        <w:t>utions to best manage their hazards.</w:t>
      </w:r>
      <w:r w:rsidR="008C415B">
        <w:rPr>
          <w:rFonts w:ascii="Times New Roman" w:hAnsi="Times New Roman"/>
          <w:bCs/>
          <w:sz w:val="24"/>
        </w:rPr>
        <w:t xml:space="preserve"> </w:t>
      </w:r>
      <w:r w:rsidR="000E45D0">
        <w:rPr>
          <w:rFonts w:ascii="Times New Roman" w:hAnsi="Times New Roman"/>
          <w:bCs/>
          <w:sz w:val="24"/>
        </w:rPr>
        <w:t xml:space="preserve">EPA contemplates that </w:t>
      </w:r>
      <w:r w:rsidR="000C569E">
        <w:rPr>
          <w:rFonts w:ascii="Times New Roman" w:hAnsi="Times New Roman"/>
          <w:bCs/>
          <w:sz w:val="24"/>
        </w:rPr>
        <w:t xml:space="preserve">formal Power Disruption Plans could be </w:t>
      </w:r>
      <w:r w:rsidR="006E520A">
        <w:rPr>
          <w:rFonts w:ascii="Times New Roman" w:hAnsi="Times New Roman"/>
          <w:bCs/>
          <w:sz w:val="24"/>
        </w:rPr>
        <w:t>a</w:t>
      </w:r>
      <w:r w:rsidR="000C569E">
        <w:rPr>
          <w:rFonts w:ascii="Times New Roman" w:hAnsi="Times New Roman"/>
          <w:bCs/>
          <w:sz w:val="24"/>
        </w:rPr>
        <w:t xml:space="preserve"> </w:t>
      </w:r>
      <w:r w:rsidR="009A6691">
        <w:rPr>
          <w:rFonts w:ascii="Times New Roman" w:hAnsi="Times New Roman"/>
          <w:bCs/>
          <w:sz w:val="24"/>
        </w:rPr>
        <w:t>solution</w:t>
      </w:r>
      <w:r w:rsidR="000C569E">
        <w:rPr>
          <w:rFonts w:ascii="Times New Roman" w:hAnsi="Times New Roman"/>
          <w:bCs/>
          <w:sz w:val="24"/>
        </w:rPr>
        <w:t xml:space="preserve"> of the evaluation</w:t>
      </w:r>
      <w:r w:rsidR="009A6691">
        <w:rPr>
          <w:rFonts w:ascii="Times New Roman" w:hAnsi="Times New Roman"/>
          <w:bCs/>
          <w:sz w:val="24"/>
        </w:rPr>
        <w:t>.</w:t>
      </w:r>
    </w:p>
    <w:p w:rsidR="00332826" w:rsidRPr="00A76A5A" w:rsidP="00A76A5A" w14:paraId="3FF20AB1" w14:textId="68CECCB7">
      <w:pPr>
        <w:ind w:left="720"/>
        <w:rPr>
          <w:rFonts w:ascii="Times New Roman" w:hAnsi="Times New Roman"/>
          <w:bCs/>
          <w:sz w:val="24"/>
          <w:highlight w:val="yellow"/>
        </w:rPr>
      </w:pPr>
      <w:r>
        <w:rPr>
          <w:rFonts w:ascii="Times New Roman" w:hAnsi="Times New Roman"/>
          <w:bCs/>
          <w:sz w:val="24"/>
        </w:rPr>
        <w:t>The comment did not explain its use of the phrase “double jeopardy</w:t>
      </w:r>
      <w:r w:rsidR="0034428A">
        <w:rPr>
          <w:rFonts w:ascii="Times New Roman" w:hAnsi="Times New Roman"/>
          <w:bCs/>
          <w:sz w:val="24"/>
        </w:rPr>
        <w:t>”,</w:t>
      </w:r>
      <w:r w:rsidR="00927340">
        <w:rPr>
          <w:rFonts w:ascii="Times New Roman" w:hAnsi="Times New Roman"/>
          <w:bCs/>
          <w:sz w:val="24"/>
        </w:rPr>
        <w:t xml:space="preserve"> nor does it have </w:t>
      </w:r>
      <w:r w:rsidR="0034428A">
        <w:rPr>
          <w:rFonts w:ascii="Times New Roman" w:hAnsi="Times New Roman"/>
          <w:bCs/>
          <w:sz w:val="24"/>
        </w:rPr>
        <w:t>a common meaning in the context of process safety. Therefore, the comment lacks the specificity necessary for EPA to respond</w:t>
      </w:r>
      <w:r w:rsidR="002602EB">
        <w:rPr>
          <w:rFonts w:ascii="Times New Roman" w:hAnsi="Times New Roman"/>
          <w:bCs/>
          <w:sz w:val="24"/>
        </w:rPr>
        <w:t xml:space="preserve">. </w:t>
      </w:r>
    </w:p>
    <w:p w:rsidR="00D43808" w:rsidRPr="006F68E9" w:rsidP="00D43808" w14:paraId="3FDEDE39" w14:textId="77777777">
      <w:pPr>
        <w:rPr>
          <w:rFonts w:ascii="Times New Roman" w:hAnsi="Times New Roman"/>
          <w:sz w:val="24"/>
        </w:rPr>
      </w:pPr>
      <w:r>
        <w:rPr>
          <w:rFonts w:ascii="Times New Roman" w:hAnsi="Times New Roman"/>
          <w:b/>
          <w:bCs/>
          <w:sz w:val="24"/>
        </w:rPr>
        <w:t>Comment 3.1-08:</w:t>
      </w:r>
      <w:r>
        <w:rPr>
          <w:rFonts w:ascii="Times New Roman" w:hAnsi="Times New Roman"/>
          <w:b/>
          <w:sz w:val="24"/>
        </w:rPr>
        <w:t xml:space="preserve"> </w:t>
      </w:r>
      <w:r w:rsidRPr="006F68E9">
        <w:rPr>
          <w:rFonts w:ascii="Times New Roman" w:hAnsi="Times New Roman"/>
          <w:sz w:val="24"/>
        </w:rPr>
        <w:t xml:space="preserve">Another commenter stated that a requirement to evaluate the risk of power loss during extreme weather events should include a continuing obligation to re-evaluate the risk as climate change continues to alter floodplains and rainfall depths for 100-year events. The commenter stated that climate change is expected to cause more extreme weather, increasing the risk that facilities will lose power that may be needed to run systems to prevent chemical releases (0444). </w:t>
      </w:r>
    </w:p>
    <w:p w:rsidR="00D43808" w:rsidRPr="00536AC5" w:rsidP="00F34EAB" w14:paraId="64000466" w14:textId="598788F0">
      <w:pPr>
        <w:pStyle w:val="pf0"/>
        <w:spacing w:before="120" w:beforeAutospacing="0" w:after="120" w:afterAutospacing="0"/>
        <w:ind w:left="720"/>
        <w:rPr>
          <w:rStyle w:val="cf01"/>
        </w:rPr>
      </w:pPr>
      <w:r>
        <w:rPr>
          <w:b/>
          <w:bCs/>
        </w:rPr>
        <w:t xml:space="preserve">EPA Response: </w:t>
      </w:r>
      <w:r w:rsidRPr="00085296" w:rsidR="5AC0C7A5">
        <w:rPr>
          <w:rStyle w:val="cf01"/>
          <w:rFonts w:ascii="Times New Roman" w:hAnsi="Times New Roman" w:cs="Times New Roman"/>
          <w:sz w:val="24"/>
          <w:szCs w:val="24"/>
        </w:rPr>
        <w:t>The PHA and the hazard review are required to be performed every 5 years. The require</w:t>
      </w:r>
      <w:r w:rsidRPr="00085296" w:rsidR="7251890B">
        <w:rPr>
          <w:rStyle w:val="cf01"/>
          <w:rFonts w:ascii="Times New Roman" w:hAnsi="Times New Roman" w:cs="Times New Roman"/>
          <w:sz w:val="24"/>
          <w:szCs w:val="24"/>
        </w:rPr>
        <w:t>ment to evaluat</w:t>
      </w:r>
      <w:r w:rsidRPr="00085296" w:rsidR="375D04A1">
        <w:rPr>
          <w:rStyle w:val="cf01"/>
          <w:rFonts w:ascii="Times New Roman" w:hAnsi="Times New Roman" w:cs="Times New Roman"/>
          <w:sz w:val="24"/>
          <w:szCs w:val="24"/>
        </w:rPr>
        <w:t>e</w:t>
      </w:r>
      <w:r w:rsidRPr="00085296" w:rsidR="7251890B">
        <w:rPr>
          <w:rStyle w:val="cf01"/>
          <w:rFonts w:ascii="Times New Roman" w:hAnsi="Times New Roman" w:cs="Times New Roman"/>
          <w:sz w:val="24"/>
          <w:szCs w:val="24"/>
        </w:rPr>
        <w:t xml:space="preserve"> the need for backup power is part of PHAs and hazard revie</w:t>
      </w:r>
      <w:r w:rsidRPr="00085296" w:rsidR="5DECF64A">
        <w:rPr>
          <w:rStyle w:val="cf01"/>
          <w:rFonts w:ascii="Times New Roman" w:hAnsi="Times New Roman" w:cs="Times New Roman"/>
          <w:sz w:val="24"/>
          <w:szCs w:val="24"/>
        </w:rPr>
        <w:t xml:space="preserve">ws, thus would be continuing obligations. </w:t>
      </w:r>
      <w:r w:rsidRPr="00085296" w:rsidR="7D6F856A">
        <w:rPr>
          <w:rStyle w:val="cf01"/>
          <w:rFonts w:ascii="Times New Roman" w:hAnsi="Times New Roman" w:cs="Times New Roman"/>
          <w:sz w:val="24"/>
          <w:szCs w:val="24"/>
        </w:rPr>
        <w:t xml:space="preserve">To the extent that natural hazards are exacerbated over time by climate change, the potential for </w:t>
      </w:r>
      <w:r w:rsidRPr="00085296" w:rsidR="6F9B536E">
        <w:rPr>
          <w:rStyle w:val="cf01"/>
          <w:rFonts w:ascii="Times New Roman" w:hAnsi="Times New Roman" w:cs="Times New Roman"/>
          <w:sz w:val="24"/>
          <w:szCs w:val="24"/>
        </w:rPr>
        <w:t xml:space="preserve">such hazards to change the need for </w:t>
      </w:r>
      <w:r w:rsidRPr="00085296" w:rsidR="00085296">
        <w:rPr>
          <w:rStyle w:val="cf01"/>
          <w:rFonts w:ascii="Times New Roman" w:hAnsi="Times New Roman" w:cs="Times New Roman"/>
          <w:sz w:val="24"/>
          <w:szCs w:val="24"/>
        </w:rPr>
        <w:t>backup</w:t>
      </w:r>
      <w:r w:rsidRPr="00085296" w:rsidR="6F9B536E">
        <w:rPr>
          <w:rStyle w:val="cf01"/>
          <w:rFonts w:ascii="Times New Roman" w:hAnsi="Times New Roman" w:cs="Times New Roman"/>
          <w:sz w:val="24"/>
          <w:szCs w:val="24"/>
        </w:rPr>
        <w:t xml:space="preserve"> power would be incorporated into such periodic</w:t>
      </w:r>
      <w:r w:rsidR="00085296">
        <w:rPr>
          <w:rStyle w:val="cf01"/>
          <w:rFonts w:ascii="Times New Roman" w:hAnsi="Times New Roman" w:cs="Times New Roman"/>
          <w:sz w:val="24"/>
          <w:szCs w:val="24"/>
        </w:rPr>
        <w:t xml:space="preserve"> evaluations. </w:t>
      </w:r>
    </w:p>
    <w:p w:rsidR="00D43808" w:rsidP="00D43808" w14:paraId="6FB5B922" w14:textId="77777777">
      <w:pPr>
        <w:rPr>
          <w:rFonts w:ascii="Times New Roman" w:hAnsi="Times New Roman"/>
          <w:sz w:val="24"/>
        </w:rPr>
      </w:pPr>
      <w:r>
        <w:rPr>
          <w:rFonts w:ascii="Times New Roman" w:hAnsi="Times New Roman"/>
          <w:b/>
          <w:bCs/>
          <w:sz w:val="24"/>
        </w:rPr>
        <w:t xml:space="preserve">Comment 3.1-09: </w:t>
      </w:r>
      <w:r w:rsidRPr="006F68E9">
        <w:rPr>
          <w:rFonts w:ascii="Times New Roman" w:hAnsi="Times New Roman"/>
          <w:sz w:val="24"/>
        </w:rPr>
        <w:t xml:space="preserve">One commenter noted that EPA must clarify the date by which compliance with the power loss assessment is required and must “assur[e] compliance as expeditiously as practicable.” The commenter noted that EPA must clarify how 40 CFR § 68.190(b) interacts with 40 CFR § 68.10(i) and “assur[e] compliance as expeditiously as practicable.” The commenter noted, for example, if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is finalized in 2023 and compliance is required by 2027, but 40 CFR § 68.190(b) requires revision by 2025, the current proposal should clarify that the 2025 revised RMP must comply (0460).</w:t>
      </w:r>
    </w:p>
    <w:p w:rsidR="00BA6084" w:rsidRPr="00F34EAB" w:rsidP="00F34EAB" w14:paraId="4EC7B7F2" w14:textId="5C09E80A">
      <w:pPr>
        <w:autoSpaceDE w:val="0"/>
        <w:autoSpaceDN w:val="0"/>
        <w:adjustRightInd w:val="0"/>
        <w:ind w:left="720"/>
        <w:rPr>
          <w:rFonts w:ascii="Times New Roman" w:hAnsi="Times New Roman" w:eastAsiaTheme="minorHAnsi"/>
          <w:sz w:val="24"/>
          <w14:ligatures w14:val="standardContextual"/>
        </w:rPr>
      </w:pPr>
      <w:r w:rsidRPr="008F44EB">
        <w:rPr>
          <w:rFonts w:ascii="Times New Roman" w:hAnsi="Times New Roman"/>
          <w:b/>
          <w:bCs/>
          <w:sz w:val="24"/>
        </w:rPr>
        <w:t>EPA Response</w:t>
      </w:r>
      <w:r w:rsidRPr="008F44EB">
        <w:rPr>
          <w:rFonts w:ascii="Times New Roman" w:hAnsi="Times New Roman"/>
          <w:sz w:val="24"/>
        </w:rPr>
        <w:t>:</w:t>
      </w:r>
      <w:r w:rsidRPr="00985B9C">
        <w:rPr>
          <w:rFonts w:ascii="Times New Roman" w:hAnsi="Times New Roman"/>
          <w:sz w:val="24"/>
        </w:rPr>
        <w:t xml:space="preserve"> </w:t>
      </w:r>
      <w:r w:rsidRPr="00985B9C" w:rsidR="00844A09">
        <w:rPr>
          <w:rFonts w:ascii="Times New Roman" w:hAnsi="Times New Roman"/>
          <w:sz w:val="24"/>
        </w:rPr>
        <w:t>EPA notes</w:t>
      </w:r>
      <w:r w:rsidR="008F44EB">
        <w:rPr>
          <w:rFonts w:ascii="Times New Roman" w:hAnsi="Times New Roman"/>
          <w:sz w:val="24"/>
        </w:rPr>
        <w:t xml:space="preserve"> the </w:t>
      </w:r>
      <w:r w:rsidR="00874EDA">
        <w:rPr>
          <w:rFonts w:ascii="Times New Roman" w:hAnsi="Times New Roman"/>
          <w:sz w:val="24"/>
        </w:rPr>
        <w:t xml:space="preserve">SCCAP final rule </w:t>
      </w:r>
      <w:r w:rsidR="008F44EB">
        <w:rPr>
          <w:rFonts w:ascii="Times New Roman" w:hAnsi="Times New Roman"/>
          <w:sz w:val="24"/>
        </w:rPr>
        <w:t xml:space="preserve">regulatory text </w:t>
      </w:r>
      <w:r w:rsidR="00AF3808">
        <w:rPr>
          <w:rFonts w:ascii="Times New Roman" w:hAnsi="Times New Roman"/>
          <w:sz w:val="24"/>
        </w:rPr>
        <w:t xml:space="preserve">addition </w:t>
      </w:r>
      <w:r w:rsidR="008F44EB">
        <w:rPr>
          <w:rFonts w:ascii="Times New Roman" w:hAnsi="Times New Roman"/>
          <w:sz w:val="24"/>
        </w:rPr>
        <w:t xml:space="preserve">of evaluation of </w:t>
      </w:r>
      <w:r w:rsidR="003B03B3">
        <w:rPr>
          <w:rFonts w:ascii="Times New Roman" w:hAnsi="Times New Roman"/>
          <w:sz w:val="24"/>
        </w:rPr>
        <w:t xml:space="preserve">standby or </w:t>
      </w:r>
      <w:r w:rsidR="00255FAE">
        <w:rPr>
          <w:rFonts w:ascii="Times New Roman" w:hAnsi="Times New Roman"/>
          <w:sz w:val="24"/>
        </w:rPr>
        <w:t xml:space="preserve">emergency power systems </w:t>
      </w:r>
      <w:r w:rsidR="00C14D08">
        <w:rPr>
          <w:rFonts w:ascii="Times New Roman" w:hAnsi="Times New Roman"/>
          <w:sz w:val="24"/>
        </w:rPr>
        <w:t xml:space="preserve">as </w:t>
      </w:r>
      <w:r w:rsidR="00B84AED">
        <w:rPr>
          <w:rFonts w:ascii="Times New Roman" w:hAnsi="Times New Roman"/>
          <w:sz w:val="24"/>
        </w:rPr>
        <w:t xml:space="preserve">a listed </w:t>
      </w:r>
      <w:r w:rsidR="00874EDA">
        <w:rPr>
          <w:rFonts w:ascii="Times New Roman" w:hAnsi="Times New Roman"/>
          <w:sz w:val="24"/>
        </w:rPr>
        <w:t xml:space="preserve">hazard for </w:t>
      </w:r>
      <w:r w:rsidR="008F271A">
        <w:rPr>
          <w:rFonts w:ascii="Times New Roman" w:hAnsi="Times New Roman"/>
          <w:sz w:val="24"/>
        </w:rPr>
        <w:t xml:space="preserve">evaluation </w:t>
      </w:r>
      <w:r w:rsidR="00874EDA">
        <w:rPr>
          <w:rFonts w:ascii="Times New Roman" w:hAnsi="Times New Roman"/>
          <w:sz w:val="24"/>
        </w:rPr>
        <w:t xml:space="preserve">in hazard </w:t>
      </w:r>
      <w:r w:rsidR="00E93A98">
        <w:rPr>
          <w:rFonts w:ascii="Times New Roman" w:hAnsi="Times New Roman"/>
          <w:sz w:val="24"/>
        </w:rPr>
        <w:t>evaluations</w:t>
      </w:r>
      <w:r w:rsidR="00874EDA">
        <w:rPr>
          <w:rFonts w:ascii="Times New Roman" w:hAnsi="Times New Roman"/>
          <w:sz w:val="24"/>
        </w:rPr>
        <w:t xml:space="preserve"> </w:t>
      </w:r>
      <w:r w:rsidR="00E93A98">
        <w:rPr>
          <w:rFonts w:ascii="Times New Roman" w:hAnsi="Times New Roman"/>
          <w:sz w:val="24"/>
        </w:rPr>
        <w:t xml:space="preserve">is not </w:t>
      </w:r>
      <w:r w:rsidR="00A80315">
        <w:rPr>
          <w:rFonts w:ascii="Times New Roman" w:hAnsi="Times New Roman"/>
          <w:sz w:val="24"/>
        </w:rPr>
        <w:t xml:space="preserve">requiring </w:t>
      </w:r>
      <w:r w:rsidR="008729DB">
        <w:rPr>
          <w:rFonts w:ascii="Times New Roman" w:hAnsi="Times New Roman"/>
          <w:sz w:val="24"/>
        </w:rPr>
        <w:t>additional</w:t>
      </w:r>
      <w:r w:rsidR="00761CE3">
        <w:rPr>
          <w:rFonts w:ascii="Times New Roman" w:hAnsi="Times New Roman"/>
          <w:sz w:val="24"/>
        </w:rPr>
        <w:t xml:space="preserve"> regulatory requirements </w:t>
      </w:r>
      <w:r w:rsidRPr="00985B9C" w:rsidR="00844A09">
        <w:rPr>
          <w:rFonts w:ascii="Times New Roman" w:hAnsi="Times New Roman"/>
          <w:sz w:val="24"/>
        </w:rPr>
        <w:t xml:space="preserve">from what already exists in the RMP regulations. The current RMP rule’s PHA requirements include </w:t>
      </w:r>
      <w:r w:rsidR="00946F92">
        <w:rPr>
          <w:rFonts w:ascii="Times New Roman" w:hAnsi="Times New Roman"/>
          <w:sz w:val="24"/>
        </w:rPr>
        <w:t xml:space="preserve">determining and evaluating </w:t>
      </w:r>
      <w:r w:rsidRPr="00985B9C" w:rsidR="00844A09">
        <w:rPr>
          <w:rFonts w:ascii="Times New Roman" w:hAnsi="Times New Roman"/>
          <w:sz w:val="24"/>
        </w:rPr>
        <w:t xml:space="preserve">the hazards of the process” </w:t>
      </w:r>
      <w:r w:rsidRPr="00985B9C" w:rsidR="00844A09">
        <w:rPr>
          <w:rFonts w:ascii="Times New Roman" w:hAnsi="Times New Roman"/>
          <w:sz w:val="24"/>
        </w:rPr>
        <w:t xml:space="preserve">as well as “engineering … controls applicable to the hazards and their interrelationships such as appropriate application of detection methodologies.” (40 CFR 68.67(c)(1),(3)). Loss of power is one such hazard, and backup power is an engineering control applicable to the hazard and detection methodologies. Similar but less detailed requirements apply to Program 2 processes (40 CFR 68.50(a)). The hazard evaluation requirements reflect not only the OSHA and EPA rules but also existing industry recommended practices, and therefore, EPA assumes that these hazard evaluation amplifications impose no new requirements or costs on facilities. </w:t>
      </w:r>
      <w:r w:rsidR="004A3C03">
        <w:rPr>
          <w:rFonts w:ascii="Times New Roman" w:hAnsi="Times New Roman"/>
          <w:sz w:val="24"/>
        </w:rPr>
        <w:t>Thus</w:t>
      </w:r>
      <w:r w:rsidR="008729DB">
        <w:rPr>
          <w:rFonts w:ascii="Times New Roman" w:hAnsi="Times New Roman"/>
          <w:sz w:val="24"/>
        </w:rPr>
        <w:t xml:space="preserve">, </w:t>
      </w:r>
      <w:r w:rsidRPr="00985B9C" w:rsidR="009C4918">
        <w:rPr>
          <w:rFonts w:ascii="Times New Roman" w:hAnsi="Times New Roman" w:eastAsiaTheme="minorHAnsi"/>
          <w:sz w:val="24"/>
          <w14:ligatures w14:val="standardContextual"/>
        </w:rPr>
        <w:t xml:space="preserve">EPA expects facilities to continue to use available resources to properly evaluate whether </w:t>
      </w:r>
      <w:r w:rsidRPr="00985B9C" w:rsidR="009C4918">
        <w:rPr>
          <w:rFonts w:ascii="Times New Roman" w:hAnsi="Times New Roman" w:eastAsiaTheme="minorHAnsi"/>
          <w:sz w:val="24"/>
          <w14:ligatures w14:val="standardContextual"/>
        </w:rPr>
        <w:t>power loss is a hazard to their process and, if so, implement appropriate controls to prevent or reduce that hazard.</w:t>
      </w:r>
      <w:r w:rsidRPr="006F4632" w:rsidR="006F4632">
        <w:t xml:space="preserve"> </w:t>
      </w:r>
      <w:r w:rsidRPr="006F4632" w:rsidR="006F4632">
        <w:rPr>
          <w:rFonts w:ascii="Times New Roman" w:hAnsi="Times New Roman" w:eastAsiaTheme="minorHAnsi"/>
          <w:sz w:val="24"/>
          <w14:ligatures w14:val="standardContextual"/>
        </w:rPr>
        <w:t>Compliance for th</w:t>
      </w:r>
      <w:r w:rsidR="006F4632">
        <w:rPr>
          <w:rFonts w:ascii="Times New Roman" w:hAnsi="Times New Roman" w:eastAsiaTheme="minorHAnsi"/>
          <w:sz w:val="24"/>
          <w14:ligatures w14:val="standardContextual"/>
        </w:rPr>
        <w:t>is</w:t>
      </w:r>
      <w:r w:rsidRPr="006F4632" w:rsidR="006F4632">
        <w:rPr>
          <w:rFonts w:ascii="Times New Roman" w:hAnsi="Times New Roman" w:eastAsiaTheme="minorHAnsi"/>
          <w:sz w:val="24"/>
          <w14:ligatures w14:val="standardContextual"/>
        </w:rPr>
        <w:t xml:space="preserve"> provisions is therefore already required and should be updated on their normal schedule.</w:t>
      </w:r>
    </w:p>
    <w:p w:rsidR="00BA6084" w:rsidRPr="00985B9C" w:rsidP="00F34EAB" w14:paraId="1C728A34" w14:textId="7273EEA8">
      <w:pPr>
        <w:autoSpaceDE w:val="0"/>
        <w:autoSpaceDN w:val="0"/>
        <w:adjustRightInd w:val="0"/>
        <w:ind w:left="720"/>
        <w:rPr>
          <w:rFonts w:ascii="Times New Roman" w:hAnsi="Times New Roman"/>
          <w:sz w:val="24"/>
        </w:rPr>
      </w:pPr>
      <w:r>
        <w:rPr>
          <w:rFonts w:ascii="Times New Roman" w:hAnsi="Times New Roman"/>
          <w:sz w:val="24"/>
        </w:rPr>
        <w:t xml:space="preserve">Regarding </w:t>
      </w:r>
      <w:r w:rsidRPr="00BA6084">
        <w:rPr>
          <w:rFonts w:ascii="Times New Roman" w:hAnsi="Times New Roman"/>
          <w:sz w:val="24"/>
        </w:rPr>
        <w:t>the compliance date for requiring standby or backup power for continuous operation of air monitoring equipment associated with prevention and detection of accidental releases from covered processes, EPA has adopted the three-year compliance date and has amended the regulatory language. EPA believes three years will allow time to evaluate and secure standby or backup power needs for air monitoring equipment and assure their safe operation.</w:t>
      </w:r>
    </w:p>
    <w:p w:rsidR="00D43808" w:rsidRPr="006F68E9" w:rsidP="00D43808" w14:paraId="055D1FC9" w14:textId="77777777">
      <w:pPr>
        <w:rPr>
          <w:rFonts w:ascii="Times New Roman" w:hAnsi="Times New Roman"/>
          <w:sz w:val="24"/>
        </w:rPr>
      </w:pPr>
      <w:r>
        <w:rPr>
          <w:rFonts w:ascii="Times New Roman" w:hAnsi="Times New Roman"/>
          <w:b/>
          <w:bCs/>
          <w:sz w:val="24"/>
        </w:rPr>
        <w:t xml:space="preserve">Comment 3.1-10: </w:t>
      </w:r>
      <w:r w:rsidRPr="006F68E9">
        <w:rPr>
          <w:rFonts w:ascii="Times New Roman" w:hAnsi="Times New Roman"/>
          <w:sz w:val="24"/>
        </w:rPr>
        <w:t>A couple of commenters urged EPA to require facilities to evaluate their ability to prevent a chemical release in the event the duration of a power loss exceeds the extent of a facility’s backup power capacity and/or in scenarios when extreme weather events incapacitate such backup power systems (0241, 0392).</w:t>
      </w:r>
    </w:p>
    <w:p w:rsidR="00D43808" w:rsidRPr="009708C9" w:rsidP="009708C9" w14:paraId="6099229B" w14:textId="76A4003D">
      <w:pPr>
        <w:ind w:left="720"/>
        <w:rPr>
          <w:rFonts w:ascii="Times New Roman" w:hAnsi="Times New Roman"/>
          <w:sz w:val="24"/>
        </w:rPr>
      </w:pPr>
      <w:r w:rsidRPr="009708C9">
        <w:rPr>
          <w:rFonts w:ascii="Times New Roman" w:hAnsi="Times New Roman"/>
          <w:b/>
          <w:bCs/>
          <w:sz w:val="24"/>
        </w:rPr>
        <w:t>EPA Response:</w:t>
      </w:r>
      <w:r w:rsidRPr="009708C9" w:rsidR="009708C9">
        <w:t xml:space="preserve"> </w:t>
      </w:r>
      <w:r w:rsidRPr="009708C9" w:rsidR="009708C9">
        <w:rPr>
          <w:rFonts w:ascii="Times New Roman" w:hAnsi="Times New Roman"/>
          <w:sz w:val="24"/>
        </w:rPr>
        <w:t>EPA is not requiring implementation of standby or emergency power for the entirety of an RMP process at this time. However, 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w:t>
      </w:r>
    </w:p>
    <w:p w:rsidR="00D43808" w:rsidRPr="005E0263" w:rsidP="00D43808" w14:paraId="6DD1842D" w14:textId="77777777">
      <w:pPr>
        <w:rPr>
          <w:rFonts w:ascii="Times New Roman" w:hAnsi="Times New Roman"/>
          <w:i/>
          <w:iCs/>
          <w:sz w:val="24"/>
        </w:rPr>
      </w:pPr>
      <w:r w:rsidRPr="005E0263">
        <w:rPr>
          <w:rFonts w:ascii="Times New Roman" w:hAnsi="Times New Roman"/>
          <w:i/>
          <w:iCs/>
          <w:sz w:val="24"/>
        </w:rPr>
        <w:t>Proposed regulatory text changes</w:t>
      </w:r>
    </w:p>
    <w:p w:rsidR="00D43808" w:rsidP="00D43808" w14:paraId="19C89375" w14:textId="77777777">
      <w:pPr>
        <w:rPr>
          <w:rFonts w:ascii="Times New Roman" w:hAnsi="Times New Roman"/>
          <w:b/>
          <w:bCs/>
          <w:sz w:val="24"/>
        </w:rPr>
      </w:pPr>
      <w:r>
        <w:rPr>
          <w:rFonts w:ascii="Times New Roman" w:hAnsi="Times New Roman"/>
          <w:b/>
          <w:bCs/>
          <w:sz w:val="24"/>
        </w:rPr>
        <w:t xml:space="preserve">Comment 3.1-11: </w:t>
      </w:r>
      <w:r w:rsidRPr="005E0263">
        <w:rPr>
          <w:rFonts w:ascii="Times New Roman" w:hAnsi="Times New Roman"/>
          <w:sz w:val="24"/>
        </w:rPr>
        <w:t>Several commenters proposed specific regulatory language changes, as described below.</w:t>
      </w:r>
    </w:p>
    <w:p w:rsidR="00D43808" w:rsidP="00D43808" w14:paraId="3ECDB291" w14:textId="77777777">
      <w:pPr>
        <w:rPr>
          <w:rFonts w:ascii="Times New Roman" w:hAnsi="Times New Roman"/>
          <w:sz w:val="24"/>
        </w:rPr>
      </w:pPr>
      <w:r w:rsidRPr="006F68E9">
        <w:rPr>
          <w:rFonts w:ascii="Times New Roman" w:hAnsi="Times New Roman"/>
          <w:sz w:val="24"/>
        </w:rPr>
        <w:t xml:space="preserve">One commenter proposed adding “…and standby or emergency power systems” </w:t>
      </w:r>
      <w:r>
        <w:rPr>
          <w:rFonts w:ascii="Times New Roman" w:hAnsi="Times New Roman"/>
          <w:sz w:val="24"/>
        </w:rPr>
        <w:t>t</w:t>
      </w:r>
      <w:r w:rsidRPr="006F68E9">
        <w:rPr>
          <w:rFonts w:ascii="Times New Roman" w:hAnsi="Times New Roman"/>
          <w:sz w:val="24"/>
        </w:rPr>
        <w:t>o the current wording of 40 CFR § 68.67</w:t>
      </w:r>
      <w:r>
        <w:rPr>
          <w:rFonts w:ascii="Times New Roman" w:hAnsi="Times New Roman"/>
          <w:sz w:val="24"/>
        </w:rPr>
        <w:t>I</w:t>
      </w:r>
      <w:r w:rsidRPr="006F68E9">
        <w:rPr>
          <w:rFonts w:ascii="Times New Roman" w:hAnsi="Times New Roman"/>
          <w:sz w:val="24"/>
        </w:rPr>
        <w:t xml:space="preserve">(3) </w:t>
      </w:r>
      <w:r>
        <w:rPr>
          <w:rFonts w:ascii="Times New Roman" w:hAnsi="Times New Roman"/>
          <w:sz w:val="24"/>
        </w:rPr>
        <w:t>and</w:t>
      </w:r>
      <w:r w:rsidRPr="006F68E9">
        <w:rPr>
          <w:rFonts w:ascii="Times New Roman" w:hAnsi="Times New Roman"/>
          <w:sz w:val="24"/>
        </w:rPr>
        <w:t xml:space="preserve"> removing “Acceptable detection methods might include process monitoring and control instrumentation with alarms, and detection hardware such as hydrocarbon sensors.</w:t>
      </w:r>
      <w:r>
        <w:rPr>
          <w:rFonts w:ascii="Times New Roman" w:hAnsi="Times New Roman"/>
          <w:sz w:val="24"/>
        </w:rPr>
        <w:t>”</w:t>
      </w:r>
      <w:r w:rsidRPr="006F68E9">
        <w:rPr>
          <w:rFonts w:ascii="Times New Roman" w:hAnsi="Times New Roman"/>
          <w:sz w:val="24"/>
        </w:rPr>
        <w:t xml:space="preserve"> The commenter suggested this change in regulatory text</w:t>
      </w:r>
      <w:r>
        <w:rPr>
          <w:rFonts w:ascii="Times New Roman" w:hAnsi="Times New Roman"/>
          <w:sz w:val="24"/>
        </w:rPr>
        <w:t>,</w:t>
      </w:r>
      <w:r w:rsidRPr="006F68E9">
        <w:rPr>
          <w:rFonts w:ascii="Times New Roman" w:hAnsi="Times New Roman"/>
          <w:sz w:val="24"/>
        </w:rPr>
        <w:t xml:space="preserve"> as it would remove from the regulatory text the parenthetical clarification in § 68.67</w:t>
      </w:r>
      <w:r>
        <w:rPr>
          <w:rFonts w:ascii="Times New Roman" w:hAnsi="Times New Roman"/>
          <w:sz w:val="24"/>
        </w:rPr>
        <w:t>I</w:t>
      </w:r>
      <w:r w:rsidRPr="006F68E9">
        <w:rPr>
          <w:rFonts w:ascii="Times New Roman" w:hAnsi="Times New Roman"/>
          <w:sz w:val="24"/>
        </w:rPr>
        <w:t>(3) that “process monitoring and control instrumentation with alarms, and detection hardware such as hydrocarbon sensors” are “acceptable detection methods” (0233).</w:t>
      </w:r>
    </w:p>
    <w:p w:rsidR="00D43808" w:rsidRPr="006F68E9" w:rsidP="00D43808" w14:paraId="74482DF4" w14:textId="77777777">
      <w:pPr>
        <w:rPr>
          <w:rFonts w:ascii="Times New Roman" w:hAnsi="Times New Roman"/>
          <w:sz w:val="24"/>
        </w:rPr>
      </w:pPr>
      <w:r>
        <w:rPr>
          <w:rFonts w:ascii="Times New Roman" w:hAnsi="Times New Roman"/>
          <w:sz w:val="24"/>
        </w:rPr>
        <w:t xml:space="preserve">One commenter stated that the </w:t>
      </w:r>
      <w:r w:rsidRPr="006F68E9">
        <w:rPr>
          <w:rFonts w:ascii="Times New Roman" w:hAnsi="Times New Roman"/>
          <w:sz w:val="24"/>
        </w:rPr>
        <w:t xml:space="preserve">language “other triggering events” is problematic due to its ambiguity. The </w:t>
      </w:r>
      <w:r>
        <w:rPr>
          <w:rFonts w:ascii="Times New Roman" w:hAnsi="Times New Roman"/>
          <w:sz w:val="24"/>
        </w:rPr>
        <w:t>commenter expressed that the A</w:t>
      </w:r>
      <w:r w:rsidRPr="006F68E9">
        <w:rPr>
          <w:rFonts w:ascii="Times New Roman" w:hAnsi="Times New Roman"/>
          <w:sz w:val="24"/>
        </w:rPr>
        <w:t>gency has proposed adding “power loss” to risk management plan reporting under § 68.170</w:t>
      </w:r>
      <w:r>
        <w:rPr>
          <w:rFonts w:ascii="Times New Roman" w:hAnsi="Times New Roman"/>
          <w:sz w:val="24"/>
        </w:rPr>
        <w:t>I</w:t>
      </w:r>
      <w:r w:rsidRPr="006F68E9">
        <w:rPr>
          <w:rFonts w:ascii="Times New Roman" w:hAnsi="Times New Roman"/>
          <w:sz w:val="24"/>
        </w:rPr>
        <w:t>(7) and § 68.175</w:t>
      </w:r>
      <w:r>
        <w:rPr>
          <w:rFonts w:ascii="Times New Roman" w:hAnsi="Times New Roman"/>
          <w:sz w:val="24"/>
        </w:rPr>
        <w:t>I</w:t>
      </w:r>
      <w:r w:rsidRPr="006F68E9">
        <w:rPr>
          <w:rFonts w:ascii="Times New Roman" w:hAnsi="Times New Roman"/>
          <w:sz w:val="24"/>
        </w:rPr>
        <w:t>(8)</w:t>
      </w:r>
      <w:r>
        <w:rPr>
          <w:rFonts w:ascii="Times New Roman" w:hAnsi="Times New Roman"/>
          <w:sz w:val="24"/>
        </w:rPr>
        <w:t>,</w:t>
      </w:r>
      <w:r w:rsidRPr="006F68E9">
        <w:rPr>
          <w:rFonts w:ascii="Times New Roman" w:hAnsi="Times New Roman"/>
          <w:sz w:val="24"/>
        </w:rPr>
        <w:t xml:space="preserve"> but no specific linkage has been made to the loss of power as an event to be considered during hazard evaluations or hazard analyses. The commenter proposed </w:t>
      </w:r>
      <w:r>
        <w:rPr>
          <w:rFonts w:ascii="Times New Roman" w:hAnsi="Times New Roman"/>
          <w:sz w:val="24"/>
        </w:rPr>
        <w:t xml:space="preserve">revising </w:t>
      </w:r>
      <w:r w:rsidRPr="006F68E9">
        <w:rPr>
          <w:rFonts w:ascii="Times New Roman" w:hAnsi="Times New Roman"/>
          <w:sz w:val="24"/>
        </w:rPr>
        <w:t>both § 68.67</w:t>
      </w:r>
      <w:r>
        <w:rPr>
          <w:rFonts w:ascii="Times New Roman" w:hAnsi="Times New Roman"/>
          <w:sz w:val="24"/>
        </w:rPr>
        <w:t>I</w:t>
      </w:r>
      <w:r w:rsidRPr="006F68E9">
        <w:rPr>
          <w:rFonts w:ascii="Times New Roman" w:hAnsi="Times New Roman"/>
          <w:sz w:val="24"/>
        </w:rPr>
        <w:t>(8) and the related provision in § 68.50(a)(5) as follows (0193):</w:t>
      </w:r>
    </w:p>
    <w:p w:rsidR="00D43808" w:rsidP="00D43808" w14:paraId="1017DC36" w14:textId="77777777">
      <w:pPr>
        <w:ind w:left="408"/>
        <w:rPr>
          <w:rFonts w:ascii="Times New Roman" w:hAnsi="Times New Roman"/>
          <w:sz w:val="24"/>
        </w:rPr>
      </w:pPr>
      <w:r w:rsidRPr="006F68E9">
        <w:rPr>
          <w:rFonts w:ascii="Times New Roman" w:hAnsi="Times New Roman"/>
          <w:sz w:val="24"/>
        </w:rPr>
        <w:t>(8) External events such as natural hazards,</w:t>
      </w:r>
      <w:r w:rsidRPr="006F68E9">
        <w:rPr>
          <w:rFonts w:ascii="Times New Roman" w:hAnsi="Times New Roman"/>
          <w:sz w:val="24"/>
          <w:u w:val="single"/>
        </w:rPr>
        <w:t xml:space="preserve"> extreme weather events</w:t>
      </w:r>
      <w:r w:rsidRPr="006F68E9">
        <w:rPr>
          <w:rFonts w:ascii="Times New Roman" w:hAnsi="Times New Roman"/>
          <w:sz w:val="24"/>
        </w:rPr>
        <w:t xml:space="preserve">, </w:t>
      </w:r>
      <w:r w:rsidRPr="006F68E9">
        <w:rPr>
          <w:rFonts w:ascii="Times New Roman" w:hAnsi="Times New Roman"/>
          <w:sz w:val="24"/>
          <w:u w:val="single"/>
        </w:rPr>
        <w:t>and loss of power</w:t>
      </w:r>
      <w:r w:rsidRPr="006F68E9">
        <w:rPr>
          <w:rFonts w:ascii="Times New Roman" w:hAnsi="Times New Roman"/>
          <w:sz w:val="24"/>
        </w:rPr>
        <w:t xml:space="preserve">, </w:t>
      </w:r>
      <w:r w:rsidRPr="006F68E9">
        <w:rPr>
          <w:rFonts w:ascii="Times New Roman" w:hAnsi="Times New Roman"/>
          <w:strike/>
          <w:sz w:val="24"/>
        </w:rPr>
        <w:t>including those caused by climate change or other triggering events</w:t>
      </w:r>
      <w:r w:rsidRPr="006F68E9">
        <w:rPr>
          <w:rFonts w:ascii="Times New Roman" w:hAnsi="Times New Roman"/>
          <w:sz w:val="24"/>
        </w:rPr>
        <w:t xml:space="preserve"> that could </w:t>
      </w:r>
      <w:r w:rsidRPr="006F68E9">
        <w:rPr>
          <w:rFonts w:ascii="Times New Roman" w:hAnsi="Times New Roman"/>
          <w:strike/>
          <w:sz w:val="24"/>
        </w:rPr>
        <w:t>lead to</w:t>
      </w:r>
      <w:r w:rsidRPr="006F68E9">
        <w:rPr>
          <w:rFonts w:ascii="Times New Roman" w:hAnsi="Times New Roman"/>
          <w:sz w:val="24"/>
        </w:rPr>
        <w:t xml:space="preserve"> </w:t>
      </w:r>
      <w:r w:rsidRPr="006F68E9">
        <w:rPr>
          <w:rFonts w:ascii="Times New Roman" w:hAnsi="Times New Roman"/>
          <w:sz w:val="24"/>
          <w:u w:val="single"/>
        </w:rPr>
        <w:t>result in</w:t>
      </w:r>
      <w:r w:rsidRPr="006F68E9">
        <w:rPr>
          <w:rFonts w:ascii="Times New Roman" w:hAnsi="Times New Roman"/>
          <w:sz w:val="24"/>
        </w:rPr>
        <w:t xml:space="preserve"> an accidental release; </w:t>
      </w:r>
    </w:p>
    <w:p w:rsidR="00D43808" w:rsidP="00D43808" w14:paraId="7E67ACC0" w14:textId="77777777">
      <w:pPr>
        <w:rPr>
          <w:rFonts w:ascii="Times New Roman" w:hAnsi="Times New Roman"/>
          <w:sz w:val="24"/>
        </w:rPr>
      </w:pPr>
      <w:r w:rsidRPr="006F68E9">
        <w:rPr>
          <w:rFonts w:ascii="Times New Roman" w:hAnsi="Times New Roman"/>
          <w:sz w:val="24"/>
        </w:rPr>
        <w:t>A couple of commenters suggested a change to the wording from “standby or backup power” to “a plan to account for loss of power” (0184, 0237). </w:t>
      </w:r>
    </w:p>
    <w:p w:rsidR="00D43808" w:rsidP="00D43808" w14:paraId="6A5B373C" w14:textId="77777777">
      <w:pPr>
        <w:rPr>
          <w:rFonts w:ascii="Times New Roman" w:hAnsi="Times New Roman"/>
          <w:sz w:val="24"/>
        </w:rPr>
      </w:pPr>
      <w:r w:rsidRPr="006F68E9">
        <w:rPr>
          <w:rFonts w:ascii="Times New Roman" w:hAnsi="Times New Roman"/>
          <w:sz w:val="24"/>
        </w:rPr>
        <w:t>Another commenter recommended that EPA add appropriate language that a regulatory agency assesses natural hazards, power loss, and stationary source siting when performing a hazard review (0245).</w:t>
      </w:r>
    </w:p>
    <w:p w:rsidR="00D43808" w:rsidRPr="00BD0177" w:rsidP="00D43808" w14:paraId="4862F1CE" w14:textId="215A7F19">
      <w:pPr>
        <w:ind w:left="720"/>
        <w:rPr>
          <w:rFonts w:ascii="Times New Roman" w:hAnsi="Times New Roman"/>
          <w:b/>
          <w:bCs/>
          <w:sz w:val="24"/>
        </w:rPr>
      </w:pPr>
      <w:r w:rsidRPr="00AB4E2D">
        <w:rPr>
          <w:rFonts w:ascii="Times New Roman" w:hAnsi="Times New Roman"/>
          <w:b/>
          <w:bCs/>
          <w:sz w:val="24"/>
        </w:rPr>
        <w:t>EPA Response:</w:t>
      </w:r>
      <w:r>
        <w:rPr>
          <w:rFonts w:ascii="Times New Roman" w:hAnsi="Times New Roman"/>
          <w:b/>
          <w:bCs/>
          <w:sz w:val="24"/>
        </w:rPr>
        <w:t xml:space="preserve"> </w:t>
      </w:r>
      <w:r>
        <w:rPr>
          <w:rFonts w:ascii="Times New Roman" w:eastAsia="Times New Roman" w:hAnsi="Times New Roman"/>
          <w:color w:val="000000" w:themeColor="text1"/>
          <w:sz w:val="24"/>
        </w:rPr>
        <w:t xml:space="preserve">EPA appreciates the commenters’ suggestions. </w:t>
      </w:r>
      <w:r w:rsidRPr="24F9C2D3">
        <w:rPr>
          <w:rFonts w:ascii="Times New Roman" w:eastAsia="Times New Roman" w:hAnsi="Times New Roman"/>
          <w:color w:val="000000" w:themeColor="text1"/>
          <w:sz w:val="24"/>
        </w:rPr>
        <w:t xml:space="preserve">EPA is finalizing </w:t>
      </w:r>
      <w:r>
        <w:rPr>
          <w:rFonts w:ascii="Times New Roman" w:eastAsia="Times New Roman" w:hAnsi="Times New Roman"/>
          <w:color w:val="000000" w:themeColor="text1"/>
          <w:sz w:val="24"/>
        </w:rPr>
        <w:t>the power loss provisions from the proposed rule</w:t>
      </w:r>
      <w:r w:rsidRPr="393C66C7" w:rsidR="139445E4">
        <w:rPr>
          <w:rFonts w:ascii="Times New Roman" w:eastAsia="Times New Roman" w:hAnsi="Times New Roman"/>
          <w:color w:val="000000" w:themeColor="text1"/>
          <w:sz w:val="24"/>
        </w:rPr>
        <w:t xml:space="preserve"> with modifications explained in the preamble</w:t>
      </w:r>
      <w:r w:rsidRPr="393C66C7">
        <w:rPr>
          <w:rFonts w:ascii="Times New Roman" w:eastAsia="Times New Roman" w:hAnsi="Times New Roman"/>
          <w:color w:val="000000" w:themeColor="text1"/>
          <w:sz w:val="24"/>
        </w:rPr>
        <w:t>.</w:t>
      </w:r>
    </w:p>
    <w:p w:rsidR="00D43808" w:rsidRPr="006F68E9" w:rsidP="00F34EAB" w14:paraId="16E35317" w14:textId="77777777">
      <w:pPr>
        <w:pStyle w:val="Heading2"/>
        <w:spacing w:before="120"/>
        <w:rPr>
          <w:rFonts w:ascii="Times New Roman" w:hAnsi="Times New Roman" w:cs="Times New Roman"/>
          <w:b/>
          <w:bCs/>
          <w:color w:val="auto"/>
          <w:sz w:val="24"/>
          <w:szCs w:val="24"/>
        </w:rPr>
      </w:pPr>
      <w:bookmarkStart w:id="43" w:name="_Toc153373778"/>
      <w:r w:rsidRPr="6D3F9CC5">
        <w:rPr>
          <w:rFonts w:ascii="Times New Roman" w:hAnsi="Times New Roman" w:cs="Times New Roman"/>
          <w:b/>
          <w:bCs/>
          <w:color w:val="auto"/>
          <w:sz w:val="24"/>
          <w:szCs w:val="24"/>
        </w:rPr>
        <w:t xml:space="preserve">Require </w:t>
      </w:r>
      <w:r>
        <w:rPr>
          <w:rFonts w:ascii="Times New Roman" w:hAnsi="Times New Roman" w:cs="Times New Roman"/>
          <w:b/>
          <w:color w:val="auto"/>
          <w:sz w:val="24"/>
          <w:szCs w:val="24"/>
        </w:rPr>
        <w:t>backup power</w:t>
      </w:r>
      <w:r>
        <w:rPr>
          <w:rFonts w:ascii="Times New Roman" w:hAnsi="Times New Roman" w:cs="Times New Roman"/>
          <w:b/>
          <w:bCs/>
          <w:color w:val="auto"/>
          <w:sz w:val="24"/>
          <w:szCs w:val="24"/>
        </w:rPr>
        <w:t xml:space="preserve"> systems</w:t>
      </w:r>
      <w:r>
        <w:rPr>
          <w:rFonts w:ascii="Times New Roman" w:hAnsi="Times New Roman" w:cs="Times New Roman"/>
          <w:b/>
          <w:color w:val="auto"/>
          <w:sz w:val="24"/>
          <w:szCs w:val="24"/>
        </w:rPr>
        <w:t xml:space="preserve"> for </w:t>
      </w:r>
      <w:r w:rsidRPr="6D3F9CC5">
        <w:rPr>
          <w:rFonts w:ascii="Times New Roman" w:hAnsi="Times New Roman" w:cs="Times New Roman"/>
          <w:b/>
          <w:color w:val="auto"/>
          <w:sz w:val="24"/>
          <w:szCs w:val="24"/>
        </w:rPr>
        <w:t>air pollution control or monitoring equipment</w:t>
      </w:r>
      <w:bookmarkEnd w:id="43"/>
    </w:p>
    <w:p w:rsidR="00D43808" w:rsidRPr="009F24E6" w:rsidP="00D43808" w14:paraId="29F7585F" w14:textId="77777777">
      <w:pPr>
        <w:rPr>
          <w:rFonts w:ascii="Times New Roman" w:hAnsi="Times New Roman"/>
          <w:i/>
          <w:iCs/>
          <w:sz w:val="24"/>
        </w:rPr>
      </w:pPr>
      <w:r>
        <w:rPr>
          <w:rFonts w:ascii="Times New Roman" w:hAnsi="Times New Roman"/>
          <w:i/>
          <w:iCs/>
          <w:sz w:val="24"/>
        </w:rPr>
        <w:t>Comments in support of backup power system requirements</w:t>
      </w:r>
    </w:p>
    <w:p w:rsidR="00D43808" w:rsidP="00D43808" w14:paraId="11060523" w14:textId="4E7A2C0C">
      <w:pPr>
        <w:rPr>
          <w:rFonts w:ascii="Times New Roman" w:hAnsi="Times New Roman"/>
          <w:sz w:val="24"/>
        </w:rPr>
      </w:pPr>
      <w:r>
        <w:rPr>
          <w:rFonts w:ascii="Times New Roman" w:hAnsi="Times New Roman"/>
          <w:b/>
          <w:bCs/>
          <w:sz w:val="24"/>
        </w:rPr>
        <w:t xml:space="preserve">Comment 3.2-01: </w:t>
      </w:r>
      <w:r w:rsidRPr="006F68E9">
        <w:rPr>
          <w:rFonts w:ascii="Times New Roman" w:hAnsi="Times New Roman"/>
          <w:sz w:val="24"/>
        </w:rPr>
        <w:t xml:space="preserve">Several commenters </w:t>
      </w:r>
      <w:r>
        <w:rPr>
          <w:rFonts w:ascii="Times New Roman" w:hAnsi="Times New Roman"/>
          <w:sz w:val="24"/>
        </w:rPr>
        <w:t>supported</w:t>
      </w:r>
      <w:r w:rsidRPr="006F68E9">
        <w:rPr>
          <w:rFonts w:ascii="Times New Roman" w:hAnsi="Times New Roman"/>
          <w:sz w:val="24"/>
        </w:rPr>
        <w:t xml:space="preserve"> EPA the requirement under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that ensures backup power for existing air monitors (0252, 0254, 0269, 0270, 0409). </w:t>
      </w:r>
    </w:p>
    <w:p w:rsidR="00D43808" w:rsidP="00D43808" w14:paraId="2EFFD447"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asserted</w:t>
      </w:r>
      <w:r w:rsidRPr="006F68E9">
        <w:rPr>
          <w:rFonts w:ascii="Times New Roman" w:hAnsi="Times New Roman"/>
          <w:sz w:val="24"/>
        </w:rPr>
        <w:t xml:space="preserve"> that the </w:t>
      </w:r>
      <w:r>
        <w:rPr>
          <w:rFonts w:ascii="Times New Roman" w:hAnsi="Times New Roman"/>
          <w:sz w:val="24"/>
        </w:rPr>
        <w:t>proposed</w:t>
      </w:r>
      <w:r w:rsidRPr="006F68E9">
        <w:rPr>
          <w:rFonts w:ascii="Times New Roman" w:hAnsi="Times New Roman"/>
          <w:sz w:val="24"/>
        </w:rPr>
        <w:t xml:space="preserve"> natural hazards</w:t>
      </w:r>
      <w:r>
        <w:rPr>
          <w:rFonts w:ascii="Times New Roman" w:hAnsi="Times New Roman"/>
          <w:sz w:val="24"/>
        </w:rPr>
        <w:t xml:space="preserve"> requirements</w:t>
      </w:r>
      <w:r w:rsidRPr="006F68E9">
        <w:rPr>
          <w:rFonts w:ascii="Times New Roman" w:hAnsi="Times New Roman"/>
          <w:sz w:val="24"/>
        </w:rPr>
        <w:t xml:space="preserve"> and </w:t>
      </w:r>
      <w:r>
        <w:rPr>
          <w:rFonts w:ascii="Times New Roman" w:hAnsi="Times New Roman"/>
          <w:sz w:val="24"/>
        </w:rPr>
        <w:t>backup power system requirements for</w:t>
      </w:r>
      <w:r w:rsidRPr="006F68E9">
        <w:rPr>
          <w:rFonts w:ascii="Times New Roman" w:hAnsi="Times New Roman"/>
          <w:sz w:val="24"/>
        </w:rPr>
        <w:t xml:space="preserve"> air monitoring equipment </w:t>
      </w:r>
      <w:r>
        <w:rPr>
          <w:rFonts w:ascii="Times New Roman" w:hAnsi="Times New Roman"/>
          <w:sz w:val="24"/>
        </w:rPr>
        <w:t>are</w:t>
      </w:r>
      <w:r w:rsidRPr="006F68E9">
        <w:rPr>
          <w:rFonts w:ascii="Times New Roman" w:hAnsi="Times New Roman"/>
          <w:sz w:val="24"/>
        </w:rPr>
        <w:t xml:space="preserve"> eminently reasonable responses to the increasing frequency and severity of extreme weather events (0235). </w:t>
      </w:r>
    </w:p>
    <w:p w:rsidR="00D43808" w:rsidP="00934F49" w14:paraId="277F62FD" w14:textId="4A1887DE">
      <w:pPr>
        <w:ind w:left="720"/>
        <w:rPr>
          <w:rFonts w:ascii="Times New Roman" w:hAnsi="Times New Roman"/>
          <w:b/>
          <w:sz w:val="24"/>
        </w:rPr>
      </w:pPr>
      <w:r w:rsidRPr="00934F49">
        <w:rPr>
          <w:rFonts w:ascii="Times New Roman" w:hAnsi="Times New Roman"/>
          <w:b/>
          <w:bCs/>
          <w:sz w:val="24"/>
        </w:rPr>
        <w:t>EPA Response:</w:t>
      </w:r>
      <w:r w:rsidR="000332D9">
        <w:rPr>
          <w:rFonts w:ascii="Times New Roman" w:hAnsi="Times New Roman"/>
          <w:b/>
          <w:bCs/>
          <w:sz w:val="24"/>
        </w:rPr>
        <w:t xml:space="preserve"> </w:t>
      </w:r>
      <w:r w:rsidRPr="00934F49" w:rsidR="000332D9">
        <w:rPr>
          <w:rFonts w:ascii="Times New Roman" w:hAnsi="Times New Roman"/>
          <w:sz w:val="24"/>
        </w:rPr>
        <w:t>EPA appreciates the support</w:t>
      </w:r>
      <w:r w:rsidRPr="00934F49" w:rsidR="008D4C29">
        <w:rPr>
          <w:rFonts w:ascii="Times New Roman" w:hAnsi="Times New Roman"/>
          <w:sz w:val="24"/>
        </w:rPr>
        <w:t>.</w:t>
      </w:r>
      <w:r w:rsidRPr="00934F49" w:rsidR="006B3D71">
        <w:rPr>
          <w:rFonts w:ascii="Times New Roman" w:hAnsi="Times New Roman"/>
          <w:sz w:val="24"/>
        </w:rPr>
        <w:t xml:space="preserve"> EPA seeks to better reflect its longstanding regulatory requirement</w:t>
      </w:r>
      <w:r w:rsidRPr="00934F49" w:rsidR="00934F49">
        <w:rPr>
          <w:rFonts w:ascii="Times New Roman" w:hAnsi="Times New Roman"/>
          <w:sz w:val="24"/>
        </w:rPr>
        <w:t xml:space="preserve"> further protect human health and the environment.</w:t>
      </w:r>
    </w:p>
    <w:p w:rsidR="00D43808" w:rsidRPr="00F83BBB" w:rsidP="00D43808" w14:paraId="5D054A6B" w14:textId="77777777">
      <w:pPr>
        <w:rPr>
          <w:rFonts w:ascii="Times New Roman" w:hAnsi="Times New Roman"/>
          <w:i/>
          <w:iCs/>
          <w:sz w:val="24"/>
        </w:rPr>
      </w:pPr>
      <w:r w:rsidRPr="00F83BBB">
        <w:rPr>
          <w:rFonts w:ascii="Times New Roman" w:hAnsi="Times New Roman"/>
          <w:i/>
          <w:iCs/>
          <w:sz w:val="24"/>
        </w:rPr>
        <w:t xml:space="preserve">Recommendations for expansion of scope of backup power requirements </w:t>
      </w:r>
    </w:p>
    <w:p w:rsidR="00D43808" w:rsidP="00D43808" w14:paraId="2F04C1CA" w14:textId="77777777">
      <w:pPr>
        <w:rPr>
          <w:rFonts w:ascii="Times New Roman" w:hAnsi="Times New Roman"/>
          <w:sz w:val="24"/>
        </w:rPr>
      </w:pPr>
      <w:r w:rsidRPr="002E6F86">
        <w:rPr>
          <w:rFonts w:ascii="Times New Roman" w:hAnsi="Times New Roman"/>
          <w:b/>
          <w:bCs/>
          <w:sz w:val="24"/>
        </w:rPr>
        <w:t>Comment</w:t>
      </w:r>
      <w:r>
        <w:rPr>
          <w:rFonts w:ascii="Times New Roman" w:hAnsi="Times New Roman"/>
          <w:b/>
          <w:bCs/>
          <w:sz w:val="24"/>
        </w:rPr>
        <w:t xml:space="preserve"> 3.2-02</w:t>
      </w:r>
      <w:r w:rsidRPr="002E6F86">
        <w:rPr>
          <w:rFonts w:ascii="Times New Roman" w:hAnsi="Times New Roman"/>
          <w:b/>
          <w:bCs/>
          <w:sz w:val="24"/>
        </w:rPr>
        <w:t>:</w:t>
      </w:r>
      <w:r>
        <w:rPr>
          <w:rFonts w:ascii="Times New Roman" w:hAnsi="Times New Roman"/>
          <w:b/>
          <w:bCs/>
          <w:sz w:val="24"/>
        </w:rPr>
        <w:t xml:space="preserve"> </w:t>
      </w:r>
      <w:r w:rsidRPr="002E6F86">
        <w:rPr>
          <w:rFonts w:ascii="Times New Roman" w:hAnsi="Times New Roman"/>
          <w:sz w:val="24"/>
        </w:rPr>
        <w:t>Several commenters recommended that</w:t>
      </w:r>
      <w:r>
        <w:rPr>
          <w:rFonts w:ascii="Times New Roman" w:hAnsi="Times New Roman"/>
          <w:sz w:val="24"/>
        </w:rPr>
        <w:t xml:space="preserve"> EPA expand the scope of the backup power systems requirements, as described below.</w:t>
      </w:r>
    </w:p>
    <w:p w:rsidR="0014104E" w:rsidP="00D43808" w14:paraId="2B59E32B" w14:textId="04D5157E">
      <w:pPr>
        <w:rPr>
          <w:rFonts w:ascii="Times New Roman" w:hAnsi="Times New Roman"/>
          <w:sz w:val="24"/>
        </w:rPr>
      </w:pPr>
      <w:r w:rsidRPr="006F68E9">
        <w:rPr>
          <w:rFonts w:ascii="Times New Roman" w:hAnsi="Times New Roman"/>
          <w:sz w:val="24"/>
        </w:rPr>
        <w:t>A couple of commenters urged EPA to require facilities to have backup power systems, generally (0141, 0191).</w:t>
      </w:r>
      <w:r>
        <w:rPr>
          <w:rFonts w:ascii="Times New Roman" w:hAnsi="Times New Roman"/>
          <w:sz w:val="24"/>
        </w:rPr>
        <w:t xml:space="preserve"> </w:t>
      </w:r>
      <w:r w:rsidRPr="006F68E9">
        <w:rPr>
          <w:rFonts w:ascii="Times New Roman" w:hAnsi="Times New Roman"/>
          <w:sz w:val="24"/>
        </w:rPr>
        <w:t>Several commenters urged EPA to require facilities to implement external hazard mitigation and have backup power systems (0135, 0157, 0209, 0254, 0409, 0448, 0449, 0453, 0460).</w:t>
      </w:r>
    </w:p>
    <w:p w:rsidR="00D43808" w:rsidRPr="006F68E9" w:rsidP="00D43808" w14:paraId="648B30D5" w14:textId="77777777">
      <w:pPr>
        <w:rPr>
          <w:rFonts w:ascii="Times New Roman" w:hAnsi="Times New Roman"/>
          <w:sz w:val="24"/>
        </w:rPr>
      </w:pPr>
      <w:r w:rsidRPr="006F68E9">
        <w:rPr>
          <w:rFonts w:ascii="Times New Roman" w:hAnsi="Times New Roman"/>
          <w:sz w:val="24"/>
        </w:rPr>
        <w:t xml:space="preserve">A few of the commenters </w:t>
      </w:r>
      <w:r>
        <w:rPr>
          <w:rFonts w:ascii="Times New Roman" w:hAnsi="Times New Roman"/>
          <w:sz w:val="24"/>
        </w:rPr>
        <w:t>requested</w:t>
      </w:r>
      <w:r w:rsidRPr="006F68E9">
        <w:rPr>
          <w:rFonts w:ascii="Times New Roman" w:hAnsi="Times New Roman"/>
          <w:sz w:val="24"/>
        </w:rPr>
        <w:t xml:space="preserve"> that the requirement be extended to additional fenceline monitoring that the commenters requested that EPA add to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The commenters suggested that EPA also require facilities to have enough back-up to safely run or shut down the entire facility in the event of power loss (0252, 0264, 0269). </w:t>
      </w:r>
    </w:p>
    <w:p w:rsidR="00D43808" w:rsidP="00D43808" w14:paraId="4ADD3C09" w14:textId="77777777">
      <w:pPr>
        <w:rPr>
          <w:rFonts w:ascii="Times New Roman" w:hAnsi="Times New Roman"/>
          <w:sz w:val="24"/>
        </w:rPr>
      </w:pPr>
      <w:r w:rsidRPr="006F68E9">
        <w:rPr>
          <w:rFonts w:ascii="Times New Roman" w:hAnsi="Times New Roman"/>
          <w:sz w:val="24"/>
        </w:rPr>
        <w:t>A few commenters suggested that EPA should do more to require the adoption of chemical release prevention practices that can withstand the risk of climate- and natural disaster-related hazards like requiring facilities to implement natural hazard mitigation and backup power systems for all RMP process equipment (0219, 0252, 0269).</w:t>
      </w:r>
      <w:r>
        <w:rPr>
          <w:rFonts w:ascii="Times New Roman" w:hAnsi="Times New Roman"/>
          <w:sz w:val="24"/>
        </w:rPr>
        <w:t xml:space="preserve"> </w:t>
      </w:r>
      <w:r w:rsidRPr="006F68E9">
        <w:rPr>
          <w:rFonts w:ascii="Times New Roman" w:hAnsi="Times New Roman"/>
          <w:sz w:val="24"/>
        </w:rPr>
        <w:t xml:space="preserve">A few commenters </w:t>
      </w:r>
      <w:r>
        <w:rPr>
          <w:rFonts w:ascii="Times New Roman" w:hAnsi="Times New Roman"/>
          <w:sz w:val="24"/>
        </w:rPr>
        <w:t xml:space="preserve">similarly </w:t>
      </w:r>
      <w:r w:rsidRPr="006F68E9">
        <w:rPr>
          <w:rFonts w:ascii="Times New Roman" w:hAnsi="Times New Roman"/>
          <w:sz w:val="24"/>
        </w:rPr>
        <w:t xml:space="preserve">requested that EPA require backup power for all process equipment (0208, 0254, 0450). </w:t>
      </w:r>
    </w:p>
    <w:p w:rsidR="00D43808" w:rsidP="00D43808" w14:paraId="24550B40" w14:textId="77777777">
      <w:pPr>
        <w:rPr>
          <w:rFonts w:ascii="Times New Roman" w:hAnsi="Times New Roman"/>
          <w:sz w:val="24"/>
        </w:rPr>
      </w:pPr>
      <w:r w:rsidRPr="006F68E9">
        <w:rPr>
          <w:rFonts w:ascii="Times New Roman" w:hAnsi="Times New Roman"/>
          <w:sz w:val="24"/>
        </w:rPr>
        <w:t>One commenter requested that EPA require facilities that have identified a heightened risk from natural hazards to also implement backup power (0240).</w:t>
      </w:r>
    </w:p>
    <w:p w:rsidR="00D43808" w:rsidP="00D43808" w14:paraId="6D9D51E4" w14:textId="77777777">
      <w:pPr>
        <w:rPr>
          <w:rFonts w:ascii="Times New Roman" w:hAnsi="Times New Roman"/>
          <w:sz w:val="24"/>
        </w:rPr>
      </w:pPr>
      <w:r>
        <w:rPr>
          <w:rFonts w:ascii="Times New Roman" w:hAnsi="Times New Roman"/>
          <w:sz w:val="24"/>
        </w:rPr>
        <w:t>One commenter</w:t>
      </w:r>
      <w:r w:rsidRPr="006F68E9">
        <w:rPr>
          <w:rFonts w:ascii="Times New Roman" w:hAnsi="Times New Roman"/>
          <w:sz w:val="24"/>
        </w:rPr>
        <w:t xml:space="preserve"> requested that EPA require all Program 2 and Program 3 facilities that have identified natural hazards risks in hazard reviews to implement backup power systems not just for monitors (0250).</w:t>
      </w:r>
    </w:p>
    <w:p w:rsidR="00D43808" w:rsidP="00D43808" w14:paraId="475B8825" w14:textId="77777777">
      <w:pPr>
        <w:rPr>
          <w:rFonts w:ascii="Times New Roman" w:hAnsi="Times New Roman"/>
          <w:sz w:val="24"/>
        </w:rPr>
      </w:pPr>
      <w:r>
        <w:rPr>
          <w:rFonts w:ascii="Times New Roman" w:hAnsi="Times New Roman"/>
          <w:sz w:val="24"/>
        </w:rPr>
        <w:t>One</w:t>
      </w:r>
      <w:r w:rsidRPr="796327EA">
        <w:rPr>
          <w:rFonts w:ascii="Times New Roman" w:hAnsi="Times New Roman"/>
          <w:sz w:val="24"/>
        </w:rPr>
        <w:t xml:space="preserve"> commenter requested that EPA require back-up power generally and fenceline monitoring, because the risks are too high to rely on only voluntary implementation, guidance, or trade </w:t>
      </w:r>
      <w:r w:rsidRPr="796327EA">
        <w:rPr>
          <w:rFonts w:ascii="Times New Roman" w:hAnsi="Times New Roman"/>
          <w:sz w:val="24"/>
        </w:rPr>
        <w:t xml:space="preserve">association best practices. The commenter </w:t>
      </w:r>
      <w:r>
        <w:rPr>
          <w:rFonts w:ascii="Times New Roman" w:hAnsi="Times New Roman"/>
          <w:sz w:val="24"/>
        </w:rPr>
        <w:t>stated</w:t>
      </w:r>
      <w:r w:rsidRPr="796327EA">
        <w:rPr>
          <w:rFonts w:ascii="Times New Roman" w:hAnsi="Times New Roman"/>
          <w:sz w:val="24"/>
        </w:rPr>
        <w:t xml:space="preserve"> that assuring fenceline monitoring and back-up power generally would go farther toward protecting communities in a large-scale discharge scenario </w:t>
      </w:r>
      <w:r w:rsidRPr="0B50C4B9">
        <w:rPr>
          <w:rFonts w:ascii="Times New Roman" w:hAnsi="Times New Roman"/>
          <w:sz w:val="24"/>
        </w:rPr>
        <w:t>than</w:t>
      </w:r>
      <w:r w:rsidRPr="796327EA">
        <w:rPr>
          <w:rFonts w:ascii="Times New Roman" w:hAnsi="Times New Roman"/>
          <w:sz w:val="24"/>
        </w:rPr>
        <w:t xml:space="preserve"> back-up power for existing monitors alone (0460).</w:t>
      </w:r>
    </w:p>
    <w:p w:rsidR="00D43808" w:rsidP="00D43808" w14:paraId="1D82D813" w14:textId="77777777">
      <w:pPr>
        <w:rPr>
          <w:rStyle w:val="Strong"/>
          <w:rFonts w:ascii="Times New Roman" w:hAnsi="Times New Roman"/>
          <w:b w:val="0"/>
          <w:bCs w:val="0"/>
          <w:sz w:val="24"/>
        </w:rPr>
      </w:pPr>
      <w:r>
        <w:rPr>
          <w:rStyle w:val="Strong"/>
          <w:rFonts w:ascii="Times New Roman" w:hAnsi="Times New Roman"/>
          <w:b w:val="0"/>
          <w:bCs w:val="0"/>
          <w:sz w:val="24"/>
        </w:rPr>
        <w:t xml:space="preserve">One </w:t>
      </w:r>
      <w:r w:rsidRPr="0AB0A3D6">
        <w:rPr>
          <w:rStyle w:val="Strong"/>
          <w:rFonts w:ascii="Times New Roman" w:hAnsi="Times New Roman"/>
          <w:b w:val="0"/>
          <w:bCs w:val="0"/>
          <w:sz w:val="24"/>
        </w:rPr>
        <w:t>commenter requested that EPA strengthen the proposed rule to require expanded fenceline monitoring and adequate backup power for air monitors to operate continuously and that this be documented in a written plan that includes the location of the monitors (0255).</w:t>
      </w:r>
    </w:p>
    <w:p w:rsidR="00D43808" w:rsidP="00D43808" w14:paraId="3FA80235"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stated that EPA should require implementation of all practicable power loss mitigation – including back-up power for all equipment connected to RMP processes that could cause an RMP chemical release. The commenter stated that</w:t>
      </w:r>
      <w:r>
        <w:rPr>
          <w:rFonts w:ascii="Times New Roman" w:hAnsi="Times New Roman"/>
          <w:sz w:val="24"/>
        </w:rPr>
        <w:t>,</w:t>
      </w:r>
      <w:r w:rsidRPr="006F68E9">
        <w:rPr>
          <w:rFonts w:ascii="Times New Roman" w:hAnsi="Times New Roman"/>
          <w:sz w:val="24"/>
        </w:rPr>
        <w:t xml:space="preserve"> in view of the strong evidence showing the value in implementation of all practicable NaTech mitigation </w:t>
      </w:r>
      <w:r>
        <w:rPr>
          <w:rFonts w:ascii="Times New Roman" w:hAnsi="Times New Roman"/>
          <w:sz w:val="24"/>
        </w:rPr>
        <w:t>(</w:t>
      </w:r>
      <w:r w:rsidRPr="006F68E9">
        <w:rPr>
          <w:rFonts w:ascii="Times New Roman" w:hAnsi="Times New Roman"/>
          <w:sz w:val="24"/>
        </w:rPr>
        <w:t>including for power loss</w:t>
      </w:r>
      <w:r>
        <w:rPr>
          <w:rFonts w:ascii="Times New Roman" w:hAnsi="Times New Roman"/>
          <w:sz w:val="24"/>
        </w:rPr>
        <w:t xml:space="preserve">), </w:t>
      </w:r>
      <w:r w:rsidRPr="006F68E9">
        <w:rPr>
          <w:rFonts w:ascii="Times New Roman" w:hAnsi="Times New Roman"/>
          <w:sz w:val="24"/>
        </w:rPr>
        <w:t xml:space="preserve">EPA must require such implementation (0460). </w:t>
      </w:r>
    </w:p>
    <w:p w:rsidR="00D43808" w:rsidRPr="00F43C88" w:rsidP="00D43808" w14:paraId="2B6972AA"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urged EPA to broaden the requirement to apply to any equipment relied on by </w:t>
      </w:r>
      <w:r w:rsidRPr="00F43C88">
        <w:rPr>
          <w:rFonts w:ascii="Times New Roman" w:hAnsi="Times New Roman"/>
          <w:sz w:val="24"/>
        </w:rPr>
        <w:t>a facility to prevent an accidental release from a process with RMP-regulated substances. The commenter claimed that EPA’s statutory directive to issue regulations that prevent and mitigate accidents “to the greatest extent practicable,” 42 U.S.C. § 412(r)(7)(B), requires the Agency to do more. The commenter suggested that, if it is practicable for facilities to have backup power where power is necessary to prevent a release, the facility should be required to take that step. The commenter agreed that risk management plans should document decisions by an owner or operator not to implement measures to address loss of power, but facilities that should not have the option to decline to adopt practicable measures (0444).</w:t>
      </w:r>
    </w:p>
    <w:p w:rsidR="00D43808" w:rsidRPr="00F43C88" w:rsidP="00D43808" w14:paraId="07609B35" w14:textId="77777777">
      <w:pPr>
        <w:rPr>
          <w:rFonts w:ascii="Times New Roman" w:hAnsi="Times New Roman"/>
          <w:sz w:val="24"/>
        </w:rPr>
      </w:pPr>
      <w:r w:rsidRPr="00F43C88">
        <w:rPr>
          <w:rFonts w:ascii="Times New Roman" w:hAnsi="Times New Roman"/>
          <w:sz w:val="24"/>
        </w:rPr>
        <w:t>One commenter suggested that EPA require facilities to have safety or some sort of standard across machines so the consequences of power loss can continue to be monitored and prevented (0192).</w:t>
      </w:r>
    </w:p>
    <w:p w:rsidR="00D43808" w:rsidP="006D7CF3" w14:paraId="202F039E" w14:textId="71783B81">
      <w:pPr>
        <w:ind w:left="720"/>
        <w:rPr>
          <w:rFonts w:ascii="Times New Roman" w:hAnsi="Times New Roman"/>
          <w:b/>
          <w:bCs/>
          <w:sz w:val="24"/>
        </w:rPr>
      </w:pPr>
      <w:r w:rsidRPr="006D7CF3">
        <w:rPr>
          <w:rFonts w:ascii="Times New Roman" w:hAnsi="Times New Roman"/>
          <w:b/>
          <w:bCs/>
          <w:sz w:val="24"/>
        </w:rPr>
        <w:t>EPA Response:</w:t>
      </w:r>
      <w:r w:rsidRPr="006D7CF3" w:rsidR="006D7CF3">
        <w:t xml:space="preserve"> </w:t>
      </w:r>
      <w:r w:rsidRPr="006D7CF3" w:rsidR="006D7CF3">
        <w:rPr>
          <w:rFonts w:ascii="Times New Roman" w:hAnsi="Times New Roman"/>
          <w:sz w:val="24"/>
        </w:rPr>
        <w:t>EPA is not requiring implementation of standby or emergency power for the entirety of an RMP process at this time. However, 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 EPA takes a slightly different approach with respect to backup power for monitors.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w:t>
      </w:r>
    </w:p>
    <w:p w:rsidR="007E174A" w:rsidRPr="007E174A" w:rsidP="006D7CF3" w14:paraId="4BA6A027" w14:textId="52F48DA6">
      <w:pPr>
        <w:ind w:left="720"/>
        <w:rPr>
          <w:rFonts w:ascii="Times New Roman" w:hAnsi="Times New Roman"/>
          <w:sz w:val="24"/>
        </w:rPr>
      </w:pPr>
      <w:r w:rsidRPr="007E174A">
        <w:rPr>
          <w:rFonts w:ascii="Times New Roman" w:hAnsi="Times New Roman"/>
          <w:sz w:val="24"/>
        </w:rPr>
        <w:t>Further, as stated in the SCCAP proposal, EPA acknowledges the need for considering expanding fenceline monitoring for RMP-regulated facilities. While EPA is considering this issue for a future action, it is beyond the scope of this rulemaking.</w:t>
      </w:r>
    </w:p>
    <w:p w:rsidR="00D43808" w:rsidP="00D43808" w14:paraId="46AA8330" w14:textId="77777777">
      <w:pPr>
        <w:rPr>
          <w:rFonts w:ascii="Times New Roman" w:hAnsi="Times New Roman"/>
          <w:i/>
          <w:iCs/>
          <w:sz w:val="24"/>
        </w:rPr>
      </w:pPr>
      <w:r>
        <w:rPr>
          <w:rFonts w:ascii="Times New Roman" w:hAnsi="Times New Roman"/>
          <w:i/>
          <w:iCs/>
          <w:sz w:val="24"/>
        </w:rPr>
        <w:t>Recommendations for exceptions to the backup power requirements</w:t>
      </w:r>
    </w:p>
    <w:p w:rsidR="00D43808" w:rsidRPr="00B02BFD" w:rsidP="00D43808" w14:paraId="1677AA86" w14:textId="77777777">
      <w:pPr>
        <w:rPr>
          <w:rFonts w:ascii="Times New Roman" w:hAnsi="Times New Roman"/>
          <w:b/>
          <w:bCs/>
          <w:sz w:val="24"/>
        </w:rPr>
      </w:pPr>
      <w:r>
        <w:rPr>
          <w:rFonts w:ascii="Times New Roman" w:hAnsi="Times New Roman"/>
          <w:b/>
          <w:bCs/>
          <w:sz w:val="24"/>
        </w:rPr>
        <w:t xml:space="preserve">Comment 3.2-03: </w:t>
      </w:r>
      <w:r w:rsidRPr="006F68E9">
        <w:rPr>
          <w:rFonts w:ascii="Times New Roman" w:hAnsi="Times New Roman"/>
          <w:sz w:val="24"/>
        </w:rPr>
        <w:t>One commenter stated that industrial refrigeration facilities should not have requirements for backup power imposed on them. The commenter noted that ammonia refrigeration systems are typically designed to International Institute of Ammonia Refrigeration (IIAR) standards, and when these standards are properly applied, the systems “fail safe” when they are subjected to power loss (0190).</w:t>
      </w:r>
    </w:p>
    <w:p w:rsidR="00D43808" w:rsidP="00D43808" w14:paraId="07D5813E" w14:textId="77777777">
      <w:pPr>
        <w:rPr>
          <w:rFonts w:ascii="Times New Roman" w:hAnsi="Times New Roman"/>
          <w:sz w:val="24"/>
        </w:rPr>
      </w:pPr>
      <w:r w:rsidRPr="006F68E9">
        <w:rPr>
          <w:rFonts w:ascii="Times New Roman" w:hAnsi="Times New Roman"/>
          <w:sz w:val="24"/>
        </w:rPr>
        <w:t xml:space="preserve">A couple of commenters stated that having standby or backup power for an ammonia refrigeration system is not necessary because the loss of power should not lead to a refrigerant release, only loss of refrigeration. The commenters believed that a requirement to install backup power for ammonia detectors may be difficult for facilities to comply with because the detection system is connected to other safety systems such as alarms and the ventilation system, meaning that the ventilation system and alarms would also need to be connected to the backup power supply (0184, 0237). One of the commenters claimed that explicitly requiring standby or backup power is unnecessarily limiting (0184). The other commenter believed that explicitly requiring standby or backup power would require a facility constructed according to IIAR Standards to invest in an unreasonable and unnecessary capital expense (0237). </w:t>
      </w:r>
    </w:p>
    <w:p w:rsidR="00F75D3E" w:rsidP="00FD7A30" w14:paraId="4BA3765B" w14:textId="0F2958E9">
      <w:pPr>
        <w:ind w:left="720"/>
        <w:rPr>
          <w:rFonts w:ascii="Times New Roman" w:hAnsi="Times New Roman"/>
          <w:sz w:val="24"/>
        </w:rPr>
      </w:pPr>
      <w:r w:rsidRPr="00E31173">
        <w:rPr>
          <w:rFonts w:ascii="Times New Roman" w:hAnsi="Times New Roman"/>
          <w:b/>
          <w:bCs/>
          <w:sz w:val="24"/>
        </w:rPr>
        <w:t>EPA Response:</w:t>
      </w:r>
      <w:r w:rsidRPr="006F7388" w:rsidR="006F7388">
        <w:t xml:space="preserve"> </w:t>
      </w:r>
      <w:r w:rsidRPr="006F7388" w:rsidR="006F7388">
        <w:rPr>
          <w:rFonts w:ascii="Times New Roman" w:hAnsi="Times New Roman"/>
          <w:sz w:val="24"/>
        </w:rPr>
        <w:t>EPA is not requiring implementation of standby or emergency power for the entirety of an RMP process at this time. However, 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 EPA takes a slightly different approach with respect to backup power for monitors.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w:t>
      </w:r>
    </w:p>
    <w:p w:rsidR="00F75D3E" w:rsidRPr="006F7388" w:rsidP="00F75D3E" w14:paraId="00A898D4" w14:textId="538FA0F4">
      <w:pPr>
        <w:ind w:left="720"/>
        <w:rPr>
          <w:rFonts w:ascii="Times New Roman" w:hAnsi="Times New Roman"/>
          <w:sz w:val="24"/>
        </w:rPr>
      </w:pPr>
      <w:r>
        <w:rPr>
          <w:rFonts w:ascii="Times New Roman" w:hAnsi="Times New Roman"/>
          <w:sz w:val="24"/>
        </w:rPr>
        <w:t>Further, in the SCCAP proposal, the Agency indicated that s</w:t>
      </w:r>
      <w:r w:rsidRPr="00F75D3E">
        <w:rPr>
          <w:rFonts w:ascii="Times New Roman" w:hAnsi="Times New Roman"/>
          <w:sz w:val="24"/>
        </w:rPr>
        <w:t>ome industry standards already require</w:t>
      </w:r>
      <w:r>
        <w:rPr>
          <w:rFonts w:ascii="Times New Roman" w:hAnsi="Times New Roman"/>
          <w:sz w:val="24"/>
        </w:rPr>
        <w:t xml:space="preserve"> </w:t>
      </w:r>
      <w:r w:rsidRPr="00F75D3E">
        <w:rPr>
          <w:rFonts w:ascii="Times New Roman" w:hAnsi="Times New Roman"/>
          <w:sz w:val="24"/>
        </w:rPr>
        <w:t>continuous monitoring of process</w:t>
      </w:r>
      <w:r>
        <w:rPr>
          <w:rFonts w:ascii="Times New Roman" w:hAnsi="Times New Roman"/>
          <w:sz w:val="24"/>
        </w:rPr>
        <w:t xml:space="preserve"> </w:t>
      </w:r>
      <w:r w:rsidRPr="00F75D3E">
        <w:rPr>
          <w:rFonts w:ascii="Times New Roman" w:hAnsi="Times New Roman"/>
          <w:sz w:val="24"/>
        </w:rPr>
        <w:t>chemicals. For example, the</w:t>
      </w:r>
      <w:r>
        <w:rPr>
          <w:rFonts w:ascii="Times New Roman" w:hAnsi="Times New Roman"/>
          <w:sz w:val="24"/>
        </w:rPr>
        <w:t xml:space="preserve"> </w:t>
      </w:r>
      <w:r w:rsidRPr="00F75D3E">
        <w:rPr>
          <w:rFonts w:ascii="Times New Roman" w:hAnsi="Times New Roman"/>
          <w:sz w:val="24"/>
        </w:rPr>
        <w:t>International Institute of Ammonia</w:t>
      </w:r>
      <w:r>
        <w:rPr>
          <w:rFonts w:ascii="Times New Roman" w:hAnsi="Times New Roman"/>
          <w:sz w:val="24"/>
        </w:rPr>
        <w:t xml:space="preserve"> </w:t>
      </w:r>
      <w:r w:rsidRPr="00F75D3E">
        <w:rPr>
          <w:rFonts w:ascii="Times New Roman" w:hAnsi="Times New Roman"/>
          <w:sz w:val="24"/>
        </w:rPr>
        <w:t>Refrigeration’s (IIAR’s) ‘‘Minimum</w:t>
      </w:r>
      <w:r>
        <w:rPr>
          <w:rFonts w:ascii="Times New Roman" w:hAnsi="Times New Roman"/>
          <w:sz w:val="24"/>
        </w:rPr>
        <w:t xml:space="preserve"> </w:t>
      </w:r>
      <w:r w:rsidRPr="00F75D3E">
        <w:rPr>
          <w:rFonts w:ascii="Times New Roman" w:hAnsi="Times New Roman"/>
          <w:sz w:val="24"/>
        </w:rPr>
        <w:t>Safety Requirements for Existing Closed</w:t>
      </w:r>
      <w:r>
        <w:rPr>
          <w:rFonts w:ascii="Times New Roman" w:hAnsi="Times New Roman"/>
          <w:sz w:val="24"/>
        </w:rPr>
        <w:t xml:space="preserve"> </w:t>
      </w:r>
      <w:r w:rsidRPr="00F75D3E">
        <w:rPr>
          <w:rFonts w:ascii="Times New Roman" w:hAnsi="Times New Roman"/>
          <w:sz w:val="24"/>
        </w:rPr>
        <w:t>Circuit Ammonia Refrigeration</w:t>
      </w:r>
      <w:r>
        <w:rPr>
          <w:rFonts w:ascii="Times New Roman" w:hAnsi="Times New Roman"/>
          <w:sz w:val="24"/>
        </w:rPr>
        <w:t xml:space="preserve"> </w:t>
      </w:r>
      <w:r w:rsidRPr="00F75D3E">
        <w:rPr>
          <w:rFonts w:ascii="Times New Roman" w:hAnsi="Times New Roman"/>
          <w:sz w:val="24"/>
        </w:rPr>
        <w:t xml:space="preserve">Systems’’ requires </w:t>
      </w:r>
      <w:r w:rsidRPr="00F75D3E">
        <w:rPr>
          <w:rFonts w:ascii="Times New Roman" w:hAnsi="Times New Roman"/>
          <w:sz w:val="24"/>
        </w:rPr>
        <w:t>facilities with</w:t>
      </w:r>
      <w:r>
        <w:rPr>
          <w:rFonts w:ascii="Times New Roman" w:hAnsi="Times New Roman"/>
          <w:sz w:val="24"/>
        </w:rPr>
        <w:t xml:space="preserve"> </w:t>
      </w:r>
      <w:r w:rsidRPr="00F75D3E">
        <w:rPr>
          <w:rFonts w:ascii="Times New Roman" w:hAnsi="Times New Roman"/>
          <w:sz w:val="24"/>
        </w:rPr>
        <w:t>ammonia refrigeration systems to</w:t>
      </w:r>
      <w:r>
        <w:rPr>
          <w:rFonts w:ascii="Times New Roman" w:hAnsi="Times New Roman"/>
          <w:sz w:val="24"/>
        </w:rPr>
        <w:t xml:space="preserve"> </w:t>
      </w:r>
      <w:r w:rsidRPr="00F75D3E">
        <w:rPr>
          <w:rFonts w:ascii="Times New Roman" w:hAnsi="Times New Roman"/>
          <w:sz w:val="24"/>
        </w:rPr>
        <w:t>provide a means for monitoring the</w:t>
      </w:r>
      <w:r>
        <w:rPr>
          <w:rFonts w:ascii="Times New Roman" w:hAnsi="Times New Roman"/>
          <w:sz w:val="24"/>
        </w:rPr>
        <w:t xml:space="preserve"> </w:t>
      </w:r>
      <w:r w:rsidRPr="00F75D3E">
        <w:rPr>
          <w:rFonts w:ascii="Times New Roman" w:hAnsi="Times New Roman"/>
          <w:sz w:val="24"/>
        </w:rPr>
        <w:t>concentration of an ammonia release in</w:t>
      </w:r>
      <w:r>
        <w:rPr>
          <w:rFonts w:ascii="Times New Roman" w:hAnsi="Times New Roman"/>
          <w:sz w:val="24"/>
        </w:rPr>
        <w:t xml:space="preserve"> </w:t>
      </w:r>
      <w:r w:rsidRPr="00F75D3E">
        <w:rPr>
          <w:rFonts w:ascii="Times New Roman" w:hAnsi="Times New Roman"/>
          <w:sz w:val="24"/>
        </w:rPr>
        <w:t>the event of a power failure.</w:t>
      </w:r>
      <w:r>
        <w:rPr>
          <w:rStyle w:val="FootnoteReference"/>
          <w:rFonts w:ascii="Times New Roman" w:hAnsi="Times New Roman"/>
          <w:sz w:val="24"/>
        </w:rPr>
        <w:footnoteReference w:id="65"/>
      </w:r>
    </w:p>
    <w:p w:rsidR="00D43808" w:rsidRPr="006F68E9" w:rsidP="00D43808" w14:paraId="3C9A554B" w14:textId="0E373AAA">
      <w:pPr>
        <w:rPr>
          <w:rFonts w:ascii="Times New Roman" w:hAnsi="Times New Roman"/>
          <w:sz w:val="24"/>
        </w:rPr>
      </w:pPr>
      <w:r>
        <w:rPr>
          <w:rStyle w:val="Emphasis"/>
          <w:rFonts w:ascii="Times New Roman" w:hAnsi="Times New Roman"/>
          <w:b/>
          <w:bCs/>
          <w:i w:val="0"/>
          <w:iCs w:val="0"/>
          <w:sz w:val="24"/>
        </w:rPr>
        <w:t xml:space="preserve">Comment 3.2-04: </w:t>
      </w:r>
      <w:r w:rsidRPr="006F68E9">
        <w:rPr>
          <w:rStyle w:val="Emphasis"/>
          <w:rFonts w:ascii="Times New Roman" w:hAnsi="Times New Roman"/>
          <w:i w:val="0"/>
          <w:iCs w:val="0"/>
          <w:sz w:val="24"/>
        </w:rPr>
        <w:t xml:space="preserve">A few commenters, who operate </w:t>
      </w:r>
      <w:r>
        <w:rPr>
          <w:rStyle w:val="Emphasis"/>
          <w:rFonts w:ascii="Times New Roman" w:hAnsi="Times New Roman"/>
          <w:i w:val="0"/>
          <w:iCs w:val="0"/>
          <w:sz w:val="24"/>
        </w:rPr>
        <w:t xml:space="preserve">RCRA </w:t>
      </w:r>
      <w:r w:rsidRPr="006F68E9">
        <w:rPr>
          <w:rStyle w:val="Emphasis"/>
          <w:rFonts w:ascii="Times New Roman" w:hAnsi="Times New Roman"/>
          <w:i w:val="0"/>
          <w:iCs w:val="0"/>
          <w:sz w:val="24"/>
        </w:rPr>
        <w:t>and Maximum Achievable Control Technology (MACT) Subpart EEE permitted units, noted that</w:t>
      </w:r>
      <w:r w:rsidRPr="006F68E9">
        <w:rPr>
          <w:rFonts w:ascii="Times New Roman" w:hAnsi="Times New Roman"/>
          <w:i/>
          <w:iCs/>
          <w:sz w:val="24"/>
        </w:rPr>
        <w:t xml:space="preserve"> </w:t>
      </w:r>
      <w:r w:rsidRPr="006F68E9">
        <w:rPr>
          <w:rStyle w:val="Emphasis"/>
          <w:rFonts w:ascii="Times New Roman" w:hAnsi="Times New Roman"/>
          <w:i w:val="0"/>
          <w:iCs w:val="0"/>
          <w:sz w:val="24"/>
        </w:rPr>
        <w:t>if a facility loses electricity</w:t>
      </w:r>
      <w:r>
        <w:rPr>
          <w:rStyle w:val="Emphasis"/>
          <w:rFonts w:ascii="Times New Roman" w:hAnsi="Times New Roman"/>
          <w:i w:val="0"/>
          <w:iCs w:val="0"/>
          <w:sz w:val="24"/>
        </w:rPr>
        <w:t>,</w:t>
      </w:r>
      <w:r w:rsidRPr="006F68E9">
        <w:rPr>
          <w:rStyle w:val="Emphasis"/>
          <w:rFonts w:ascii="Times New Roman" w:hAnsi="Times New Roman"/>
          <w:i w:val="0"/>
          <w:iCs w:val="0"/>
          <w:sz w:val="24"/>
        </w:rPr>
        <w:t xml:space="preserve"> their unit shuts down</w:t>
      </w:r>
      <w:r>
        <w:rPr>
          <w:rStyle w:val="Emphasis"/>
          <w:rFonts w:ascii="Times New Roman" w:hAnsi="Times New Roman"/>
          <w:i w:val="0"/>
          <w:iCs w:val="0"/>
          <w:sz w:val="24"/>
        </w:rPr>
        <w:t>,</w:t>
      </w:r>
      <w:r w:rsidRPr="006F68E9">
        <w:rPr>
          <w:rStyle w:val="Emphasis"/>
          <w:rFonts w:ascii="Times New Roman" w:hAnsi="Times New Roman"/>
          <w:i w:val="0"/>
          <w:iCs w:val="0"/>
          <w:sz w:val="24"/>
        </w:rPr>
        <w:t xml:space="preserve"> and an emergency vent opens to prevent an explosion or equipment damage (0181, 0223, </w:t>
      </w:r>
      <w:r w:rsidRPr="006F68E9">
        <w:rPr>
          <w:rFonts w:ascii="Times New Roman" w:hAnsi="Times New Roman"/>
          <w:sz w:val="24"/>
        </w:rPr>
        <w:t>0262</w:t>
      </w:r>
      <w:r w:rsidRPr="006F68E9">
        <w:rPr>
          <w:rStyle w:val="Emphasis"/>
          <w:rFonts w:ascii="Times New Roman" w:hAnsi="Times New Roman"/>
          <w:i w:val="0"/>
          <w:iCs w:val="0"/>
          <w:sz w:val="24"/>
        </w:rPr>
        <w:t>). A couple of the commenters stated that monitoring equipment also shuts down, and that this scenario is covered in the MACT EEE required startup, shutdown and maintenance plan. The commenters stated that</w:t>
      </w:r>
      <w:r w:rsidRPr="006F68E9">
        <w:rPr>
          <w:rFonts w:ascii="Times New Roman" w:hAnsi="Times New Roman"/>
          <w:i/>
          <w:iCs/>
          <w:sz w:val="24"/>
        </w:rPr>
        <w:t xml:space="preserve"> </w:t>
      </w:r>
      <w:r w:rsidRPr="006F68E9">
        <w:rPr>
          <w:rStyle w:val="Emphasis"/>
          <w:rFonts w:ascii="Times New Roman" w:hAnsi="Times New Roman"/>
          <w:i w:val="0"/>
          <w:iCs w:val="0"/>
          <w:sz w:val="24"/>
        </w:rPr>
        <w:t>it is not economically practical nor is it safe to develop backup power systems for incinerator’s air pollution control systems due to the large electrical load requirements. The commenters requested an exemption for RCRA</w:t>
      </w:r>
      <w:r>
        <w:rPr>
          <w:rStyle w:val="Emphasis"/>
          <w:rFonts w:ascii="Times New Roman" w:hAnsi="Times New Roman"/>
          <w:i w:val="0"/>
          <w:iCs w:val="0"/>
          <w:sz w:val="24"/>
        </w:rPr>
        <w:t>-</w:t>
      </w:r>
      <w:r w:rsidRPr="006F68E9">
        <w:rPr>
          <w:rStyle w:val="Emphasis"/>
          <w:rFonts w:ascii="Times New Roman" w:hAnsi="Times New Roman"/>
          <w:i w:val="0"/>
          <w:iCs w:val="0"/>
          <w:sz w:val="24"/>
        </w:rPr>
        <w:t>permitted incinerators be written into the regulation</w:t>
      </w:r>
      <w:r w:rsidRPr="006F68E9">
        <w:rPr>
          <w:rFonts w:ascii="Times New Roman" w:hAnsi="Times New Roman"/>
          <w:i/>
          <w:iCs/>
          <w:sz w:val="24"/>
        </w:rPr>
        <w:t xml:space="preserve"> </w:t>
      </w:r>
      <w:r w:rsidRPr="006F68E9">
        <w:rPr>
          <w:rFonts w:ascii="Times New Roman" w:hAnsi="Times New Roman"/>
          <w:sz w:val="24"/>
        </w:rPr>
        <w:t>(0181, 0262).</w:t>
      </w:r>
      <w:r w:rsidRPr="006F68E9">
        <w:rPr>
          <w:rStyle w:val="Emphasis"/>
          <w:rFonts w:ascii="Times New Roman" w:hAnsi="Times New Roman"/>
          <w:i w:val="0"/>
          <w:iCs w:val="0"/>
          <w:sz w:val="24"/>
        </w:rPr>
        <w:t xml:space="preserve"> One commenter claimed that</w:t>
      </w:r>
      <w:r w:rsidRPr="006F68E9">
        <w:rPr>
          <w:rStyle w:val="Emphasis"/>
          <w:rFonts w:ascii="Times New Roman" w:hAnsi="Times New Roman"/>
          <w:sz w:val="24"/>
        </w:rPr>
        <w:t xml:space="preserve"> </w:t>
      </w:r>
      <w:r w:rsidRPr="006F68E9">
        <w:rPr>
          <w:rFonts w:ascii="Times New Roman" w:hAnsi="Times New Roman"/>
          <w:sz w:val="24"/>
        </w:rPr>
        <w:t xml:space="preserve">there would be at least 30 seconds to several minutes before any diesel generated backup power could come online, which the commenter claimed would not be fast enough to forestall the regulatorily-required automatic shutdown. The commenter stated that the large amounts of power required to run high-horsepower equipment makes battery backup infeasible, meaning that the proposed requirement would require hazardous waste combustors to keep an on-site diesel generator operating all the time for the few instances when the power grid goes down. The commenter claimed that this does not make sense from either an economic or environmental standpoint. The commenter suggested that 40 CFR Part 63 Subpart EEE and RCRA Subtitle C sources be excluded from any regulations requiring backup power (0223). </w:t>
      </w:r>
    </w:p>
    <w:p w:rsidR="00D43808" w:rsidP="00A55E69" w14:paraId="07C6E642" w14:textId="3B6655E0">
      <w:pPr>
        <w:ind w:left="720"/>
        <w:rPr>
          <w:rFonts w:ascii="Times New Roman" w:hAnsi="Times New Roman"/>
          <w:sz w:val="24"/>
        </w:rPr>
      </w:pPr>
      <w:r w:rsidRPr="00B57716">
        <w:rPr>
          <w:rFonts w:ascii="Times New Roman" w:hAnsi="Times New Roman"/>
          <w:b/>
          <w:sz w:val="24"/>
        </w:rPr>
        <w:t>EPA Response:</w:t>
      </w:r>
      <w:r w:rsidRPr="36143625" w:rsidR="0EADF720">
        <w:rPr>
          <w:rFonts w:ascii="Times New Roman" w:hAnsi="Times New Roman"/>
          <w:b/>
          <w:bCs/>
          <w:sz w:val="24"/>
        </w:rPr>
        <w:t xml:space="preserve"> </w:t>
      </w:r>
      <w:r w:rsidRPr="36143625" w:rsidR="0EADF720">
        <w:rPr>
          <w:rFonts w:ascii="Times New Roman" w:hAnsi="Times New Roman"/>
          <w:sz w:val="24"/>
        </w:rPr>
        <w:t xml:space="preserve">As an initial matter, </w:t>
      </w:r>
      <w:r w:rsidRPr="36143625" w:rsidR="596E5799">
        <w:rPr>
          <w:rFonts w:ascii="Times New Roman" w:hAnsi="Times New Roman"/>
          <w:sz w:val="24"/>
        </w:rPr>
        <w:t>EPA notes that emergency vent emissions that are designed to prevent catas</w:t>
      </w:r>
      <w:r w:rsidRPr="36143625" w:rsidR="18651588">
        <w:rPr>
          <w:rFonts w:ascii="Times New Roman" w:hAnsi="Times New Roman"/>
          <w:sz w:val="24"/>
        </w:rPr>
        <w:t>trophic events were not intended to be deeme</w:t>
      </w:r>
      <w:r w:rsidRPr="36143625" w:rsidR="2D5560E0">
        <w:rPr>
          <w:rFonts w:ascii="Times New Roman" w:hAnsi="Times New Roman"/>
          <w:sz w:val="24"/>
        </w:rPr>
        <w:t xml:space="preserve">d accidental releases and were intended to be addressed under the </w:t>
      </w:r>
      <w:r w:rsidRPr="36143625" w:rsidR="61152DBB">
        <w:rPr>
          <w:rFonts w:ascii="Times New Roman" w:hAnsi="Times New Roman"/>
          <w:sz w:val="24"/>
        </w:rPr>
        <w:t xml:space="preserve">NESHAP and incinerator </w:t>
      </w:r>
      <w:r w:rsidRPr="36143625" w:rsidR="2D5560E0">
        <w:rPr>
          <w:rFonts w:ascii="Times New Roman" w:hAnsi="Times New Roman"/>
          <w:sz w:val="24"/>
        </w:rPr>
        <w:t xml:space="preserve">program. Senate Report at </w:t>
      </w:r>
      <w:r w:rsidRPr="36143625" w:rsidR="7BF6166F">
        <w:rPr>
          <w:rFonts w:ascii="Times New Roman" w:hAnsi="Times New Roman"/>
          <w:sz w:val="24"/>
        </w:rPr>
        <w:t xml:space="preserve">210. </w:t>
      </w:r>
      <w:r w:rsidRPr="36143625" w:rsidR="150F3088">
        <w:rPr>
          <w:rFonts w:ascii="Times New Roman" w:hAnsi="Times New Roman"/>
          <w:sz w:val="24"/>
        </w:rPr>
        <w:t>Furthermore, to the extent that RCRA-regulated and sub</w:t>
      </w:r>
      <w:r w:rsidRPr="36143625" w:rsidR="116FA56E">
        <w:rPr>
          <w:rFonts w:ascii="Times New Roman" w:hAnsi="Times New Roman"/>
          <w:sz w:val="24"/>
        </w:rPr>
        <w:t xml:space="preserve">part EEE units are otherwise subject to 40 CFR part 68, </w:t>
      </w:r>
      <w:r w:rsidRPr="36143625" w:rsidR="283B87B9">
        <w:rPr>
          <w:rFonts w:ascii="Times New Roman" w:hAnsi="Times New Roman"/>
          <w:sz w:val="24"/>
        </w:rPr>
        <w:t xml:space="preserve">adoption of backup power for </w:t>
      </w:r>
      <w:r w:rsidRPr="492588A7" w:rsidR="3696CED7">
        <w:rPr>
          <w:rFonts w:ascii="Times New Roman" w:hAnsi="Times New Roman"/>
          <w:sz w:val="24"/>
        </w:rPr>
        <w:t xml:space="preserve">controls of </w:t>
      </w:r>
      <w:r w:rsidRPr="36143625" w:rsidR="30E4F745">
        <w:rPr>
          <w:rFonts w:ascii="Times New Roman" w:hAnsi="Times New Roman"/>
          <w:sz w:val="24"/>
        </w:rPr>
        <w:t xml:space="preserve">emissions that are not accidental releases </w:t>
      </w:r>
      <w:r w:rsidRPr="36143625" w:rsidR="283B87B9">
        <w:rPr>
          <w:rFonts w:ascii="Times New Roman" w:hAnsi="Times New Roman"/>
          <w:sz w:val="24"/>
        </w:rPr>
        <w:t xml:space="preserve">is not mandated by the final rule. </w:t>
      </w:r>
      <w:r w:rsidRPr="492588A7" w:rsidR="5C5BB968">
        <w:rPr>
          <w:rFonts w:ascii="Times New Roman" w:hAnsi="Times New Roman"/>
          <w:sz w:val="24"/>
        </w:rPr>
        <w:t xml:space="preserve">EPA does ask that stationary sources with covered processes assess whether </w:t>
      </w:r>
      <w:r w:rsidRPr="492588A7" w:rsidR="4AA1D7B7">
        <w:rPr>
          <w:rFonts w:ascii="Times New Roman" w:hAnsi="Times New Roman"/>
          <w:sz w:val="24"/>
        </w:rPr>
        <w:t xml:space="preserve">backup power for such processes is appropriate. Some of the observations about the </w:t>
      </w:r>
      <w:r w:rsidRPr="492588A7" w:rsidR="4DD97879">
        <w:rPr>
          <w:rFonts w:ascii="Times New Roman" w:hAnsi="Times New Roman"/>
          <w:sz w:val="24"/>
        </w:rPr>
        <w:t>problems with providing backup power to processes to prevent accidental releases may be relevant to site-spe</w:t>
      </w:r>
      <w:r w:rsidRPr="492588A7" w:rsidR="5D478ED5">
        <w:rPr>
          <w:rFonts w:ascii="Times New Roman" w:hAnsi="Times New Roman"/>
          <w:sz w:val="24"/>
        </w:rPr>
        <w:t>cific decisions. The rule simply requires a source to explain</w:t>
      </w:r>
      <w:r w:rsidR="00A01D46">
        <w:rPr>
          <w:rFonts w:ascii="Times New Roman" w:hAnsi="Times New Roman"/>
          <w:sz w:val="24"/>
        </w:rPr>
        <w:t xml:space="preserve"> in writing</w:t>
      </w:r>
      <w:r w:rsidRPr="492588A7" w:rsidR="5D478ED5">
        <w:rPr>
          <w:rFonts w:ascii="Times New Roman" w:hAnsi="Times New Roman"/>
          <w:sz w:val="24"/>
        </w:rPr>
        <w:t xml:space="preserve"> its decision not to adopt backup power.</w:t>
      </w:r>
    </w:p>
    <w:p w:rsidR="00D43808" w:rsidP="00D43808" w14:paraId="747C1471" w14:textId="77777777">
      <w:pPr>
        <w:rPr>
          <w:rFonts w:ascii="Times New Roman" w:hAnsi="Times New Roman"/>
          <w:sz w:val="24"/>
        </w:rPr>
      </w:pPr>
      <w:r>
        <w:rPr>
          <w:rFonts w:ascii="Times New Roman" w:hAnsi="Times New Roman"/>
          <w:b/>
          <w:bCs/>
          <w:sz w:val="24"/>
        </w:rPr>
        <w:t xml:space="preserve">Comment 3.2-05: </w:t>
      </w:r>
      <w:r w:rsidRPr="006F68E9">
        <w:rPr>
          <w:rFonts w:ascii="Times New Roman" w:hAnsi="Times New Roman"/>
          <w:sz w:val="24"/>
        </w:rPr>
        <w:t xml:space="preserve">A couple of commenters </w:t>
      </w:r>
      <w:r>
        <w:rPr>
          <w:rFonts w:ascii="Times New Roman" w:hAnsi="Times New Roman"/>
          <w:sz w:val="24"/>
        </w:rPr>
        <w:t>discussed</w:t>
      </w:r>
      <w:r w:rsidRPr="006F68E9">
        <w:rPr>
          <w:rFonts w:ascii="Times New Roman" w:hAnsi="Times New Roman"/>
          <w:sz w:val="24"/>
        </w:rPr>
        <w:t xml:space="preserve"> information about facilities and Reciprocating Internal Combustion Engine (RICE) regulations (0197, 0239). One of the commenters questioned whether EPA considered how new aspects of this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could affect a facility with respect to RICE regulations, which limit the amount of time backup power can run and requires certain maintenance that facilities must comply with (0197). Another commenter noted that EPA offers no assessment of the feasibility of requiring facilities to operate independently of the power grid, nor any consideration of the restrictions imposed by the CAA for RICE and other stationary engine regulations that restrict operation of emergency generators (0239).</w:t>
      </w:r>
    </w:p>
    <w:p w:rsidR="00D43808" w:rsidRPr="00BE22EC" w:rsidP="00A55E69" w14:paraId="5729222B" w14:textId="04327B74">
      <w:pPr>
        <w:ind w:left="720"/>
        <w:rPr>
          <w:rFonts w:ascii="Times New Roman" w:hAnsi="Times New Roman"/>
          <w:sz w:val="24"/>
        </w:rPr>
      </w:pPr>
      <w:r w:rsidRPr="00B57716">
        <w:rPr>
          <w:rFonts w:ascii="Times New Roman" w:hAnsi="Times New Roman"/>
          <w:b/>
          <w:sz w:val="24"/>
        </w:rPr>
        <w:t>EPA Response:</w:t>
      </w:r>
      <w:r w:rsidRPr="199B275C" w:rsidR="7A7DA790">
        <w:rPr>
          <w:rFonts w:ascii="Times New Roman" w:hAnsi="Times New Roman"/>
          <w:b/>
          <w:bCs/>
          <w:sz w:val="24"/>
        </w:rPr>
        <w:t xml:space="preserve"> </w:t>
      </w:r>
      <w:r w:rsidRPr="199B275C" w:rsidR="7A7DA790">
        <w:rPr>
          <w:rFonts w:ascii="Times New Roman" w:hAnsi="Times New Roman"/>
          <w:sz w:val="24"/>
        </w:rPr>
        <w:t xml:space="preserve">The rule does not require installing air pollution control equipment for accidental </w:t>
      </w:r>
      <w:r w:rsidRPr="199B275C" w:rsidR="0E16574D">
        <w:rPr>
          <w:rFonts w:ascii="Times New Roman" w:hAnsi="Times New Roman"/>
          <w:sz w:val="24"/>
        </w:rPr>
        <w:t>releases</w:t>
      </w:r>
      <w:r w:rsidRPr="199B275C" w:rsidR="2E4C5632">
        <w:rPr>
          <w:rFonts w:ascii="Times New Roman" w:hAnsi="Times New Roman"/>
          <w:sz w:val="24"/>
        </w:rPr>
        <w:t>, nor does it require backup power for pollution controls of non-</w:t>
      </w:r>
      <w:r w:rsidRPr="199B275C" w:rsidR="2E4C5632">
        <w:rPr>
          <w:rFonts w:ascii="Times New Roman" w:hAnsi="Times New Roman"/>
          <w:sz w:val="24"/>
        </w:rPr>
        <w:t xml:space="preserve">accidental emissions regulated under the NESHAP program. </w:t>
      </w:r>
      <w:r w:rsidRPr="199B275C" w:rsidR="73BF8313">
        <w:rPr>
          <w:rFonts w:ascii="Times New Roman" w:hAnsi="Times New Roman"/>
          <w:sz w:val="24"/>
        </w:rPr>
        <w:t xml:space="preserve">Furthermore, we note that flammable substances used </w:t>
      </w:r>
      <w:r w:rsidRPr="199B275C" w:rsidR="78A16C86">
        <w:rPr>
          <w:rFonts w:ascii="Times New Roman" w:hAnsi="Times New Roman"/>
          <w:sz w:val="24"/>
        </w:rPr>
        <w:t>as</w:t>
      </w:r>
      <w:r w:rsidRPr="199B275C" w:rsidR="73BF8313">
        <w:rPr>
          <w:rFonts w:ascii="Times New Roman" w:hAnsi="Times New Roman"/>
          <w:sz w:val="24"/>
        </w:rPr>
        <w:t xml:space="preserve"> fuel, such as methane, </w:t>
      </w:r>
      <w:r w:rsidRPr="199B275C" w:rsidR="17123093">
        <w:rPr>
          <w:rFonts w:ascii="Times New Roman" w:hAnsi="Times New Roman"/>
          <w:sz w:val="24"/>
        </w:rPr>
        <w:t xml:space="preserve">are exempt from threshold determination under 40 CFR </w:t>
      </w:r>
      <w:r w:rsidRPr="199B275C" w:rsidR="2B3C561D">
        <w:rPr>
          <w:rFonts w:ascii="Times New Roman" w:hAnsi="Times New Roman"/>
          <w:sz w:val="24"/>
        </w:rPr>
        <w:t xml:space="preserve">68.126. </w:t>
      </w:r>
      <w:r w:rsidRPr="199B275C" w:rsidR="72B45E2B">
        <w:rPr>
          <w:rFonts w:ascii="Times New Roman" w:hAnsi="Times New Roman"/>
          <w:sz w:val="24"/>
        </w:rPr>
        <w:t xml:space="preserve">To the extent that a source is subject to both the RICE requirements and the RMP rule, it may explain its decision </w:t>
      </w:r>
      <w:r w:rsidR="00541C64">
        <w:rPr>
          <w:rFonts w:ascii="Times New Roman" w:hAnsi="Times New Roman"/>
          <w:sz w:val="24"/>
        </w:rPr>
        <w:t xml:space="preserve">in writing </w:t>
      </w:r>
      <w:r w:rsidRPr="199B275C" w:rsidR="72B45E2B">
        <w:rPr>
          <w:rFonts w:ascii="Times New Roman" w:hAnsi="Times New Roman"/>
          <w:sz w:val="24"/>
        </w:rPr>
        <w:t>not to adopt air pollution control requirements fo</w:t>
      </w:r>
      <w:r w:rsidRPr="199B275C" w:rsidR="1266601D">
        <w:rPr>
          <w:rFonts w:ascii="Times New Roman" w:hAnsi="Times New Roman"/>
          <w:sz w:val="24"/>
        </w:rPr>
        <w:t xml:space="preserve">r equipment to control accidental releases by explaining that requirements of the RICE rule would make </w:t>
      </w:r>
      <w:r w:rsidRPr="199B275C" w:rsidR="159E00DF">
        <w:rPr>
          <w:rFonts w:ascii="Times New Roman" w:hAnsi="Times New Roman"/>
          <w:sz w:val="24"/>
        </w:rPr>
        <w:t xml:space="preserve">adoption of control equipment specifically for accidental releases impracticable. </w:t>
      </w:r>
    </w:p>
    <w:p w:rsidR="00D43808" w:rsidRPr="005B775F" w:rsidP="00D43808" w14:paraId="6010B3D8" w14:textId="77777777">
      <w:pPr>
        <w:rPr>
          <w:rFonts w:ascii="Times New Roman" w:hAnsi="Times New Roman"/>
          <w:i/>
          <w:iCs/>
          <w:sz w:val="24"/>
        </w:rPr>
      </w:pPr>
      <w:r>
        <w:rPr>
          <w:rFonts w:ascii="Times New Roman" w:hAnsi="Times New Roman"/>
          <w:i/>
          <w:iCs/>
          <w:sz w:val="24"/>
        </w:rPr>
        <w:t>Recommendations for ways to strengthen the backup power requirements</w:t>
      </w:r>
    </w:p>
    <w:p w:rsidR="00D43808" w:rsidP="00D43808" w14:paraId="7BD058B5" w14:textId="608193FD">
      <w:pPr>
        <w:rPr>
          <w:rFonts w:ascii="Times New Roman" w:hAnsi="Times New Roman"/>
          <w:sz w:val="24"/>
        </w:rPr>
      </w:pPr>
      <w:r>
        <w:rPr>
          <w:rFonts w:ascii="Times New Roman" w:hAnsi="Times New Roman"/>
          <w:b/>
          <w:bCs/>
          <w:sz w:val="24"/>
        </w:rPr>
        <w:t>Comment 3.2-0</w:t>
      </w:r>
      <w:r w:rsidR="0014104E">
        <w:rPr>
          <w:rFonts w:ascii="Times New Roman" w:hAnsi="Times New Roman"/>
          <w:b/>
          <w:bCs/>
          <w:sz w:val="24"/>
        </w:rPr>
        <w:t>6</w:t>
      </w:r>
      <w:r>
        <w:rPr>
          <w:rFonts w:ascii="Times New Roman" w:hAnsi="Times New Roman"/>
          <w:b/>
          <w:bCs/>
          <w:sz w:val="24"/>
        </w:rPr>
        <w:t xml:space="preserve">: </w:t>
      </w:r>
      <w:r w:rsidRPr="006F68E9">
        <w:rPr>
          <w:rFonts w:ascii="Times New Roman" w:hAnsi="Times New Roman"/>
          <w:sz w:val="24"/>
        </w:rPr>
        <w:t>A couple of commenters suggested that any power loss be treated as a foreseeable accident that could be accounted for with backup power (0254, 0452).</w:t>
      </w:r>
      <w:r>
        <w:rPr>
          <w:rFonts w:ascii="Times New Roman" w:hAnsi="Times New Roman"/>
          <w:sz w:val="24"/>
        </w:rPr>
        <w:t xml:space="preserve"> </w:t>
      </w:r>
      <w:r w:rsidRPr="2EA07CE0">
        <w:rPr>
          <w:rFonts w:ascii="Times New Roman" w:hAnsi="Times New Roman"/>
          <w:sz w:val="24"/>
        </w:rPr>
        <w:t xml:space="preserve">A few commenters </w:t>
      </w:r>
      <w:r>
        <w:rPr>
          <w:rFonts w:ascii="Times New Roman" w:hAnsi="Times New Roman"/>
          <w:sz w:val="24"/>
        </w:rPr>
        <w:t>recommended</w:t>
      </w:r>
      <w:r w:rsidRPr="2EA07CE0">
        <w:rPr>
          <w:rFonts w:ascii="Times New Roman" w:hAnsi="Times New Roman"/>
          <w:sz w:val="24"/>
        </w:rPr>
        <w:t xml:space="preserve"> that EPA should require facilities to have enough backup power to safely run or shut down the entire facility in the event of power loss (0250, 0270).</w:t>
      </w:r>
    </w:p>
    <w:p w:rsidR="00D43808" w:rsidP="00D43808" w14:paraId="02E7FF89" w14:textId="77777777">
      <w:pPr>
        <w:ind w:left="720"/>
        <w:rPr>
          <w:rFonts w:ascii="Times New Roman" w:eastAsia="Times New Roman" w:hAnsi="Times New Roman"/>
          <w:color w:val="000000" w:themeColor="text1"/>
          <w:sz w:val="24"/>
        </w:rPr>
      </w:pPr>
      <w:r w:rsidRPr="09B32DF0">
        <w:rPr>
          <w:rFonts w:ascii="Times New Roman" w:hAnsi="Times New Roman"/>
          <w:b/>
          <w:bCs/>
          <w:sz w:val="24"/>
        </w:rPr>
        <w:t>EPA Response</w:t>
      </w:r>
      <w:r>
        <w:rPr>
          <w:rFonts w:ascii="Times New Roman" w:hAnsi="Times New Roman"/>
          <w:b/>
          <w:sz w:val="24"/>
        </w:rPr>
        <w:t xml:space="preserve">: </w:t>
      </w:r>
      <w:r w:rsidRPr="09B32DF0">
        <w:rPr>
          <w:rFonts w:ascii="Times New Roman" w:eastAsia="Times New Roman" w:hAnsi="Times New Roman"/>
          <w:color w:val="000000" w:themeColor="text1"/>
          <w:sz w:val="24"/>
        </w:rPr>
        <w:t xml:space="preserve">In response to the comments requesting that EPA require facilities to have enough backup power to safely run in the event of power loss, EPA is not requiring implementation of standby or emergency power for the entirety of an RMP process at this time. </w:t>
      </w:r>
      <w:r w:rsidRPr="1464C6FC">
        <w:rPr>
          <w:rFonts w:ascii="Times New Roman" w:eastAsia="Times New Roman" w:hAnsi="Times New Roman"/>
          <w:color w:val="000000" w:themeColor="text1"/>
          <w:sz w:val="24"/>
        </w:rPr>
        <w:t>However, 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 EPA takes a slightly different approach with respect to backup power for monitors.</w:t>
      </w:r>
      <w:r w:rsidRPr="09B32DF0">
        <w:rPr>
          <w:rFonts w:ascii="Times New Roman" w:eastAsia="Times New Roman" w:hAnsi="Times New Roman"/>
          <w:color w:val="000000" w:themeColor="text1"/>
          <w:sz w:val="24"/>
        </w:rPr>
        <w:t xml:space="preserve">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w:t>
      </w:r>
      <w:r w:rsidRPr="1464C6FC">
        <w:rPr>
          <w:rFonts w:ascii="Times New Roman" w:eastAsia="Times New Roman" w:hAnsi="Times New Roman"/>
          <w:color w:val="000000" w:themeColor="text1"/>
          <w:sz w:val="24"/>
        </w:rPr>
        <w:t xml:space="preserve">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 </w:t>
      </w:r>
    </w:p>
    <w:p w:rsidR="00D43808" w:rsidP="00D43808" w14:paraId="1942CDEA" w14:textId="1FACF3D2">
      <w:pPr>
        <w:rPr>
          <w:rFonts w:ascii="Times New Roman" w:eastAsia="Times New Roman" w:hAnsi="Times New Roman"/>
          <w:sz w:val="24"/>
        </w:rPr>
      </w:pPr>
      <w:r>
        <w:rPr>
          <w:rFonts w:ascii="Times New Roman" w:hAnsi="Times New Roman"/>
          <w:b/>
          <w:bCs/>
          <w:sz w:val="24"/>
        </w:rPr>
        <w:t>Comment 3.2-0</w:t>
      </w:r>
      <w:r w:rsidR="0014104E">
        <w:rPr>
          <w:rFonts w:ascii="Times New Roman" w:hAnsi="Times New Roman"/>
          <w:b/>
          <w:bCs/>
          <w:sz w:val="24"/>
        </w:rPr>
        <w:t>7</w:t>
      </w:r>
      <w:r>
        <w:rPr>
          <w:rFonts w:ascii="Times New Roman" w:hAnsi="Times New Roman"/>
          <w:b/>
          <w:bCs/>
          <w:sz w:val="24"/>
        </w:rPr>
        <w:t xml:space="preserve">: </w:t>
      </w:r>
      <w:r w:rsidRPr="796327EA">
        <w:rPr>
          <w:rFonts w:ascii="Times New Roman" w:hAnsi="Times New Roman"/>
          <w:sz w:val="24"/>
        </w:rPr>
        <w:t xml:space="preserve">One commenter strongly supported </w:t>
      </w:r>
      <w:r>
        <w:rPr>
          <w:rFonts w:ascii="Times New Roman" w:hAnsi="Times New Roman"/>
          <w:sz w:val="24"/>
        </w:rPr>
        <w:t xml:space="preserve">the proposed requirements for </w:t>
      </w:r>
      <w:r w:rsidRPr="796327EA">
        <w:rPr>
          <w:rFonts w:ascii="Times New Roman" w:hAnsi="Times New Roman"/>
          <w:sz w:val="24"/>
        </w:rPr>
        <w:t>backup power</w:t>
      </w:r>
      <w:r>
        <w:rPr>
          <w:rFonts w:ascii="Times New Roman" w:hAnsi="Times New Roman"/>
          <w:sz w:val="24"/>
        </w:rPr>
        <w:t xml:space="preserve"> systems but stated</w:t>
      </w:r>
      <w:r w:rsidRPr="796327EA">
        <w:rPr>
          <w:rFonts w:ascii="Times New Roman" w:hAnsi="Times New Roman"/>
          <w:sz w:val="24"/>
        </w:rPr>
        <w:t xml:space="preserve"> that the proposed amendments to 40 CFR 68.50 and 68.67 are extremely vague. The commenter requested that the amendments clearly require standby or backup power for the relevant air pollution control and monitoring equipment and claimed that failing to finalize such requirements would not satisfy the Act’s directive to assure prevention, detection, response, and harm minimization “to the greatest extent practicable,” and would therefore be arbitrary and capricious (0460).</w:t>
      </w:r>
    </w:p>
    <w:p w:rsidR="00D43808" w:rsidP="00D43808" w14:paraId="32E244C1" w14:textId="2A022BD3">
      <w:pPr>
        <w:ind w:left="720"/>
        <w:rPr>
          <w:rFonts w:ascii="Times New Roman" w:eastAsia="Times New Roman" w:hAnsi="Times New Roman"/>
          <w:color w:val="000000" w:themeColor="text1"/>
          <w:sz w:val="24"/>
        </w:rPr>
      </w:pPr>
      <w:r w:rsidRPr="41B9EED7">
        <w:rPr>
          <w:rFonts w:ascii="Times New Roman" w:hAnsi="Times New Roman"/>
          <w:b/>
          <w:bCs/>
          <w:sz w:val="24"/>
        </w:rPr>
        <w:t>EPA Response</w:t>
      </w:r>
      <w:r>
        <w:rPr>
          <w:rFonts w:ascii="Times New Roman" w:hAnsi="Times New Roman"/>
          <w:b/>
          <w:sz w:val="24"/>
        </w:rPr>
        <w:t xml:space="preserve">: </w:t>
      </w:r>
      <w:r w:rsidRPr="41B9EED7">
        <w:rPr>
          <w:rFonts w:ascii="Times New Roman" w:eastAsia="Times New Roman" w:hAnsi="Times New Roman"/>
          <w:color w:val="000000" w:themeColor="text1"/>
          <w:sz w:val="24"/>
        </w:rPr>
        <w:t xml:space="preserve">In response to the comment that the amendments to </w:t>
      </w:r>
      <w:r w:rsidRPr="00FD2858">
        <w:rPr>
          <w:rFonts w:ascii="Times New Roman" w:eastAsia="Times New Roman" w:hAnsi="Times New Roman"/>
          <w:color w:val="000000" w:themeColor="text1"/>
          <w:sz w:val="24"/>
        </w:rPr>
        <w:t>40 CFR</w:t>
      </w:r>
      <w:r w:rsidRPr="41B9EED7">
        <w:rPr>
          <w:rFonts w:ascii="Times New Roman" w:eastAsia="Times New Roman" w:hAnsi="Times New Roman"/>
          <w:color w:val="000000" w:themeColor="text1"/>
          <w:sz w:val="24"/>
        </w:rPr>
        <w:t xml:space="preserve"> 68.50 and 68.67 are vague, EPA again notes these amplifications are already preexisting </w:t>
      </w:r>
      <w:r w:rsidRPr="41B9EED7">
        <w:rPr>
          <w:rFonts w:ascii="Times New Roman" w:eastAsia="Times New Roman" w:hAnsi="Times New Roman"/>
          <w:color w:val="000000" w:themeColor="text1"/>
          <w:sz w:val="24"/>
        </w:rPr>
        <w:t xml:space="preserve">requirements. Also, EPA’s general approach in </w:t>
      </w:r>
      <w:r w:rsidRPr="00FD2858">
        <w:rPr>
          <w:rFonts w:ascii="Times New Roman" w:eastAsia="Times New Roman" w:hAnsi="Times New Roman"/>
          <w:color w:val="000000" w:themeColor="text1"/>
          <w:sz w:val="24"/>
        </w:rPr>
        <w:t xml:space="preserve">40 CFR </w:t>
      </w:r>
      <w:r w:rsidRPr="41B9EED7">
        <w:rPr>
          <w:rFonts w:ascii="Times New Roman" w:eastAsia="Times New Roman" w:hAnsi="Times New Roman"/>
          <w:color w:val="000000" w:themeColor="text1"/>
          <w:sz w:val="24"/>
        </w:rPr>
        <w:t xml:space="preserve">part 68 has been to recognize that process safety requires owners and operators to exercise reasonable judgement in making their facility safer. Therefore, EPA has, and continues to, allow substantial flexibility for sources on how to comply with the RMP rule. As noted in the proposal, </w:t>
      </w:r>
      <w:r w:rsidRPr="00FD2858">
        <w:rPr>
          <w:rFonts w:ascii="Times New Roman" w:eastAsia="Times New Roman" w:hAnsi="Times New Roman"/>
          <w:color w:val="000000" w:themeColor="text1"/>
          <w:sz w:val="24"/>
        </w:rPr>
        <w:t>EPA</w:t>
      </w:r>
      <w:r w:rsidRPr="41B9EED7">
        <w:rPr>
          <w:rFonts w:ascii="Times New Roman" w:eastAsia="Times New Roman" w:hAnsi="Times New Roman"/>
          <w:color w:val="000000" w:themeColor="text1"/>
          <w:sz w:val="24"/>
        </w:rPr>
        <w:t xml:space="preserve"> believe</w:t>
      </w:r>
      <w:r w:rsidRPr="00FD2858">
        <w:rPr>
          <w:rFonts w:ascii="Times New Roman" w:eastAsia="Times New Roman" w:hAnsi="Times New Roman"/>
          <w:color w:val="000000" w:themeColor="text1"/>
          <w:sz w:val="24"/>
        </w:rPr>
        <w:t>s</w:t>
      </w:r>
      <w:r w:rsidRPr="41B9EED7">
        <w:rPr>
          <w:rFonts w:ascii="Times New Roman" w:eastAsia="Times New Roman" w:hAnsi="Times New Roman"/>
          <w:color w:val="000000" w:themeColor="text1"/>
          <w:sz w:val="24"/>
        </w:rPr>
        <w:t xml:space="preserve"> many facilities are already managing the hazard of power loss well and thus </w:t>
      </w:r>
      <w:r w:rsidRPr="41B9EED7">
        <w:rPr>
          <w:rFonts w:ascii="Times New Roman" w:eastAsia="Times New Roman" w:hAnsi="Times New Roman"/>
          <w:color w:val="000000" w:themeColor="text1"/>
          <w:sz w:val="24"/>
        </w:rPr>
        <w:t>do</w:t>
      </w:r>
      <w:r w:rsidR="00103C31">
        <w:rPr>
          <w:rFonts w:ascii="Times New Roman" w:eastAsia="Times New Roman" w:hAnsi="Times New Roman"/>
          <w:color w:val="000000" w:themeColor="text1"/>
          <w:sz w:val="24"/>
        </w:rPr>
        <w:t>es</w:t>
      </w:r>
      <w:r w:rsidRPr="41B9EED7">
        <w:rPr>
          <w:rFonts w:ascii="Times New Roman" w:eastAsia="Times New Roman" w:hAnsi="Times New Roman"/>
          <w:color w:val="000000" w:themeColor="text1"/>
          <w:sz w:val="24"/>
        </w:rPr>
        <w:t xml:space="preserve"> not believe the amplification of power loss in the hazard evaluation regulatory text will negatively affect evaluation of this hazard.</w:t>
      </w:r>
      <w:r>
        <w:rPr>
          <w:rFonts w:ascii="Times New Roman" w:eastAsia="Times New Roman" w:hAnsi="Times New Roman"/>
          <w:color w:val="000000" w:themeColor="text1"/>
          <w:sz w:val="24"/>
        </w:rPr>
        <w:t xml:space="preserve"> </w:t>
      </w:r>
      <w:r w:rsidRPr="393C66C7" w:rsidR="6657F886">
        <w:rPr>
          <w:rFonts w:ascii="Times New Roman" w:eastAsia="Times New Roman" w:hAnsi="Times New Roman"/>
          <w:color w:val="000000" w:themeColor="text1"/>
          <w:sz w:val="24"/>
        </w:rPr>
        <w:t xml:space="preserve">The final SCCAP rule requires backup power for equipment that monitors for accidental releases of regulated substances from processes subject to </w:t>
      </w:r>
      <w:r w:rsidRPr="393C66C7" w:rsidR="2D1875D3">
        <w:rPr>
          <w:rFonts w:ascii="Times New Roman" w:eastAsia="Times New Roman" w:hAnsi="Times New Roman"/>
          <w:color w:val="000000" w:themeColor="text1"/>
          <w:sz w:val="24"/>
        </w:rPr>
        <w:t>the RMP rule.</w:t>
      </w:r>
    </w:p>
    <w:p w:rsidR="00D43808" w:rsidP="00D43808" w14:paraId="2D747A2E" w14:textId="6330E9C8">
      <w:pPr>
        <w:rPr>
          <w:rFonts w:ascii="Times New Roman" w:hAnsi="Times New Roman"/>
          <w:sz w:val="24"/>
        </w:rPr>
      </w:pPr>
      <w:r>
        <w:rPr>
          <w:rFonts w:ascii="Times New Roman" w:eastAsia="Times New Roman" w:hAnsi="Times New Roman"/>
          <w:b/>
          <w:bCs/>
          <w:color w:val="000000" w:themeColor="text1"/>
          <w:sz w:val="24"/>
        </w:rPr>
        <w:t>Comment 3.2-0</w:t>
      </w:r>
      <w:r w:rsidR="0014104E">
        <w:rPr>
          <w:rFonts w:ascii="Times New Roman" w:eastAsia="Times New Roman" w:hAnsi="Times New Roman"/>
          <w:b/>
          <w:bCs/>
          <w:color w:val="000000" w:themeColor="text1"/>
          <w:sz w:val="24"/>
        </w:rPr>
        <w:t>8</w:t>
      </w:r>
      <w:r>
        <w:rPr>
          <w:rFonts w:ascii="Times New Roman" w:eastAsia="Times New Roman" w:hAnsi="Times New Roman"/>
          <w:b/>
          <w:bCs/>
          <w:color w:val="000000" w:themeColor="text1"/>
          <w:sz w:val="24"/>
        </w:rPr>
        <w:t xml:space="preserve">: </w:t>
      </w:r>
      <w:r>
        <w:rPr>
          <w:rFonts w:ascii="Times New Roman" w:hAnsi="Times New Roman"/>
          <w:sz w:val="24"/>
        </w:rPr>
        <w:t>One</w:t>
      </w:r>
      <w:r w:rsidRPr="026DB28C">
        <w:rPr>
          <w:rFonts w:ascii="Times New Roman" w:hAnsi="Times New Roman"/>
          <w:sz w:val="24"/>
        </w:rPr>
        <w:t xml:space="preserve"> commenter stated that facilities should provide information to local responders about their backup power capabilities during a hazard event, including the backup generation source, fuel type, capacity (operational hours), and process consequences for extended power loss. The commenter stated that the information provided should address how long a facility can maintain the RMP process(es) safely with backup power (0165).</w:t>
      </w:r>
    </w:p>
    <w:p w:rsidR="00D43808" w:rsidP="00D43808" w14:paraId="687FF6EC" w14:textId="77777777">
      <w:pPr>
        <w:ind w:left="720"/>
        <w:rPr>
          <w:rFonts w:ascii="Times New Roman" w:eastAsia="Times New Roman" w:hAnsi="Times New Roman"/>
          <w:color w:val="000000" w:themeColor="text1"/>
          <w:sz w:val="24"/>
        </w:rPr>
      </w:pPr>
      <w:r w:rsidRPr="026DB28C">
        <w:rPr>
          <w:rFonts w:ascii="Times New Roman" w:hAnsi="Times New Roman"/>
          <w:b/>
          <w:bCs/>
          <w:sz w:val="24"/>
        </w:rPr>
        <w:t>EPA Response</w:t>
      </w:r>
      <w:r>
        <w:rPr>
          <w:rFonts w:ascii="Times New Roman" w:hAnsi="Times New Roman"/>
          <w:b/>
          <w:bCs/>
          <w:sz w:val="24"/>
        </w:rPr>
        <w:t xml:space="preserve">: </w:t>
      </w:r>
      <w:r w:rsidRPr="026DB28C">
        <w:rPr>
          <w:rFonts w:ascii="Times New Roman" w:eastAsia="Times New Roman" w:hAnsi="Times New Roman"/>
          <w:color w:val="000000" w:themeColor="text1"/>
          <w:sz w:val="24"/>
        </w:rPr>
        <w:t xml:space="preserve">In response to the comment that facilities should provide local responders with their backup power capabilities during a hazard event, </w:t>
      </w:r>
      <w:bookmarkStart w:id="44" w:name="_Hlk148595070"/>
      <w:r w:rsidRPr="026DB28C">
        <w:rPr>
          <w:rFonts w:ascii="Times New Roman" w:eastAsia="Times New Roman" w:hAnsi="Times New Roman"/>
          <w:color w:val="000000" w:themeColor="text1"/>
          <w:sz w:val="24"/>
        </w:rPr>
        <w:t xml:space="preserve">EPA maintains that it is very important to ensure that Local Emergency Planning Committees (LEPCs) or local emergency response officials have the information necessary for developing local emergency response plans; however, EPA believes it is not necessary to specify in the RMP rule the types or format of information that LEPCs or emergency response officials may request. </w:t>
      </w:r>
      <w:r w:rsidRPr="00FD2858">
        <w:rPr>
          <w:rFonts w:ascii="Times New Roman" w:eastAsia="Times New Roman" w:hAnsi="Times New Roman"/>
          <w:color w:val="000000" w:themeColor="text1"/>
          <w:sz w:val="24"/>
        </w:rPr>
        <w:t xml:space="preserve">Section 303(d)(3) of </w:t>
      </w:r>
      <w:r>
        <w:rPr>
          <w:rFonts w:ascii="Times New Roman" w:eastAsia="Times New Roman" w:hAnsi="Times New Roman"/>
          <w:color w:val="000000" w:themeColor="text1"/>
          <w:sz w:val="24"/>
        </w:rPr>
        <w:t>the</w:t>
      </w:r>
      <w:r w:rsidRPr="026DB28C">
        <w:rPr>
          <w:rFonts w:ascii="Times New Roman" w:eastAsia="Times New Roman" w:hAnsi="Times New Roman"/>
          <w:color w:val="000000" w:themeColor="text1"/>
          <w:sz w:val="24"/>
        </w:rPr>
        <w:t xml:space="preserve"> Emergency Planning and Community Right to Know Act already provides the necessary authority to allow LEPCs to request information needed to develop the local emergency response plan.</w:t>
      </w:r>
      <w:r w:rsidRPr="1464C6FC">
        <w:rPr>
          <w:rFonts w:ascii="Times New Roman" w:eastAsia="Times New Roman" w:hAnsi="Times New Roman"/>
          <w:color w:val="000000" w:themeColor="text1"/>
          <w:sz w:val="24"/>
        </w:rPr>
        <w:t xml:space="preserve"> Furthermore, as part of the annual coordination between facilities and local emergency responders, responders may obtain information on backup power as appropriate.</w:t>
      </w:r>
      <w:bookmarkEnd w:id="44"/>
      <w:r w:rsidRPr="1464C6FC">
        <w:rPr>
          <w:rFonts w:ascii="Times New Roman" w:eastAsia="Times New Roman" w:hAnsi="Times New Roman"/>
          <w:color w:val="000000" w:themeColor="text1"/>
          <w:sz w:val="24"/>
        </w:rPr>
        <w:t xml:space="preserve"> </w:t>
      </w:r>
    </w:p>
    <w:p w:rsidR="00D43808" w:rsidRPr="006F68E9" w:rsidP="00D43808" w14:paraId="1030AF21" w14:textId="148085A8">
      <w:pPr>
        <w:rPr>
          <w:rFonts w:ascii="Times New Roman" w:hAnsi="Times New Roman"/>
          <w:sz w:val="24"/>
        </w:rPr>
      </w:pPr>
      <w:r>
        <w:rPr>
          <w:rFonts w:ascii="Times New Roman" w:hAnsi="Times New Roman"/>
          <w:b/>
          <w:bCs/>
          <w:sz w:val="24"/>
        </w:rPr>
        <w:t>Comment 3.2-0</w:t>
      </w:r>
      <w:r w:rsidR="0014104E">
        <w:rPr>
          <w:rFonts w:ascii="Times New Roman" w:hAnsi="Times New Roman"/>
          <w:b/>
          <w:bCs/>
          <w:sz w:val="24"/>
        </w:rPr>
        <w:t>9</w:t>
      </w:r>
      <w:r>
        <w:rPr>
          <w:rFonts w:ascii="Times New Roman" w:hAnsi="Times New Roman"/>
          <w:b/>
          <w:bCs/>
          <w:sz w:val="24"/>
        </w:rPr>
        <w:t xml:space="preserve">: </w:t>
      </w:r>
      <w:r>
        <w:rPr>
          <w:rFonts w:ascii="Times New Roman" w:hAnsi="Times New Roman"/>
          <w:sz w:val="24"/>
        </w:rPr>
        <w:t>One</w:t>
      </w:r>
      <w:r w:rsidRPr="006F68E9">
        <w:rPr>
          <w:rFonts w:ascii="Times New Roman" w:hAnsi="Times New Roman"/>
          <w:sz w:val="24"/>
        </w:rPr>
        <w:t xml:space="preserve"> commenter recommended that EPA entirely remove the provision “not all RMP-regulated processes will need emergency backup power (for example, certain RMP-regulated storage processes)” from any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The commenter</w:t>
      </w:r>
      <w:r w:rsidRPr="006F68E9">
        <w:rPr>
          <w:rFonts w:ascii="Times New Roman" w:hAnsi="Times New Roman"/>
          <w:sz w:val="24"/>
        </w:rPr>
        <w:t xml:space="preserve"> </w:t>
      </w:r>
      <w:r>
        <w:rPr>
          <w:rFonts w:ascii="Times New Roman" w:hAnsi="Times New Roman"/>
          <w:sz w:val="24"/>
        </w:rPr>
        <w:t>expressed</w:t>
      </w:r>
      <w:r w:rsidRPr="006F68E9">
        <w:rPr>
          <w:rFonts w:ascii="Times New Roman" w:hAnsi="Times New Roman"/>
          <w:sz w:val="24"/>
        </w:rPr>
        <w:t xml:space="preserve"> that to the extent EPA does retain a version of this requirement, the commenter encouraged EPA to expressly include exceptions in the regulatory text (0239).</w:t>
      </w:r>
    </w:p>
    <w:p w:rsidR="00D43808" w:rsidP="00283121" w14:paraId="36BB2DFA" w14:textId="5BDB279D">
      <w:pPr>
        <w:ind w:left="720"/>
        <w:rPr>
          <w:rFonts w:ascii="Times New Roman" w:hAnsi="Times New Roman"/>
          <w:b/>
          <w:bCs/>
          <w:sz w:val="24"/>
        </w:rPr>
      </w:pPr>
      <w:r w:rsidRPr="008B71F8">
        <w:rPr>
          <w:rFonts w:ascii="Times New Roman" w:hAnsi="Times New Roman"/>
          <w:b/>
          <w:bCs/>
          <w:sz w:val="24"/>
        </w:rPr>
        <w:t>EPA Response:</w:t>
      </w:r>
      <w:r w:rsidRPr="00283121" w:rsidR="00283121">
        <w:t xml:space="preserve"> </w:t>
      </w:r>
      <w:r w:rsidRPr="00C77E58" w:rsidR="00C77E58">
        <w:rPr>
          <w:rFonts w:ascii="Times New Roman" w:hAnsi="Times New Roman"/>
          <w:sz w:val="24"/>
        </w:rPr>
        <w:t xml:space="preserve"> </w:t>
      </w:r>
      <w:r w:rsidR="00E665A2">
        <w:rPr>
          <w:rFonts w:ascii="Times New Roman" w:hAnsi="Times New Roman"/>
          <w:sz w:val="24"/>
        </w:rPr>
        <w:t>EPA disagrees</w:t>
      </w:r>
      <w:r w:rsidR="00A37EDC">
        <w:rPr>
          <w:rFonts w:ascii="Times New Roman" w:hAnsi="Times New Roman"/>
          <w:sz w:val="24"/>
        </w:rPr>
        <w:t xml:space="preserve"> that it should provide </w:t>
      </w:r>
      <w:r w:rsidR="009D4F55">
        <w:rPr>
          <w:rFonts w:ascii="Times New Roman" w:hAnsi="Times New Roman"/>
          <w:sz w:val="24"/>
        </w:rPr>
        <w:t xml:space="preserve">exceptions or </w:t>
      </w:r>
      <w:r w:rsidR="00CE2922">
        <w:rPr>
          <w:rFonts w:ascii="Times New Roman" w:hAnsi="Times New Roman"/>
          <w:sz w:val="24"/>
        </w:rPr>
        <w:t>exemptions</w:t>
      </w:r>
      <w:r w:rsidR="00C77E58">
        <w:rPr>
          <w:rFonts w:ascii="Times New Roman" w:hAnsi="Times New Roman"/>
          <w:sz w:val="24"/>
        </w:rPr>
        <w:t xml:space="preserve"> </w:t>
      </w:r>
      <w:r w:rsidR="00500CE1">
        <w:rPr>
          <w:rFonts w:ascii="Times New Roman" w:hAnsi="Times New Roman"/>
          <w:sz w:val="24"/>
        </w:rPr>
        <w:t xml:space="preserve">for </w:t>
      </w:r>
      <w:r w:rsidR="003A7520">
        <w:rPr>
          <w:rFonts w:ascii="Times New Roman" w:hAnsi="Times New Roman"/>
          <w:sz w:val="24"/>
        </w:rPr>
        <w:t>certain facilit</w:t>
      </w:r>
      <w:r w:rsidR="00FC5791">
        <w:rPr>
          <w:rFonts w:ascii="Times New Roman" w:hAnsi="Times New Roman"/>
          <w:sz w:val="24"/>
        </w:rPr>
        <w:t>y processes</w:t>
      </w:r>
      <w:r w:rsidR="0086187B">
        <w:rPr>
          <w:rFonts w:ascii="Times New Roman" w:hAnsi="Times New Roman"/>
          <w:sz w:val="24"/>
        </w:rPr>
        <w:t xml:space="preserve"> from </w:t>
      </w:r>
      <w:r w:rsidR="008D188F">
        <w:rPr>
          <w:rFonts w:ascii="Times New Roman" w:hAnsi="Times New Roman"/>
          <w:sz w:val="24"/>
        </w:rPr>
        <w:t>backup power requirement</w:t>
      </w:r>
      <w:r w:rsidR="007939FD">
        <w:rPr>
          <w:rFonts w:ascii="Times New Roman" w:hAnsi="Times New Roman"/>
          <w:sz w:val="24"/>
        </w:rPr>
        <w:t xml:space="preserve">s </w:t>
      </w:r>
      <w:r w:rsidR="00C77E58">
        <w:rPr>
          <w:rFonts w:ascii="Times New Roman" w:hAnsi="Times New Roman"/>
          <w:sz w:val="24"/>
        </w:rPr>
        <w:t xml:space="preserve">in regulatory text. </w:t>
      </w:r>
      <w:r w:rsidRPr="00283121" w:rsidR="00283121">
        <w:rPr>
          <w:rFonts w:ascii="Times New Roman" w:hAnsi="Times New Roman"/>
          <w:sz w:val="24"/>
        </w:rPr>
        <w:t xml:space="preserve">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w:t>
      </w:r>
      <w:r w:rsidR="005F3585">
        <w:rPr>
          <w:rFonts w:ascii="Times New Roman" w:hAnsi="Times New Roman"/>
          <w:sz w:val="24"/>
        </w:rPr>
        <w:t xml:space="preserve">for the source </w:t>
      </w:r>
      <w:r w:rsidRPr="00283121" w:rsidR="00283121">
        <w:rPr>
          <w:rFonts w:ascii="Times New Roman" w:hAnsi="Times New Roman"/>
          <w:sz w:val="24"/>
        </w:rPr>
        <w:t>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w:t>
      </w:r>
      <w:r w:rsidR="00283121">
        <w:rPr>
          <w:rFonts w:ascii="Times New Roman" w:hAnsi="Times New Roman"/>
          <w:sz w:val="24"/>
        </w:rPr>
        <w:t xml:space="preserve"> </w:t>
      </w:r>
      <w:r w:rsidRPr="00D83C41" w:rsidR="00D83C41">
        <w:rPr>
          <w:rFonts w:ascii="Times New Roman" w:hAnsi="Times New Roman"/>
          <w:sz w:val="24"/>
        </w:rPr>
        <w:t xml:space="preserve">EPA takes a slightly different approach with respect to backup power for monitors.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w:t>
      </w:r>
      <w:r w:rsidRPr="00D83C41" w:rsidR="00D83C41">
        <w:rPr>
          <w:rFonts w:ascii="Times New Roman" w:hAnsi="Times New Roman"/>
          <w:sz w:val="24"/>
        </w:rPr>
        <w:t>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w:t>
      </w:r>
    </w:p>
    <w:p w:rsidR="00D43808" w:rsidP="00D43808" w14:paraId="45DF9102" w14:textId="6B8CB4D8">
      <w:pPr>
        <w:rPr>
          <w:rFonts w:ascii="Times New Roman" w:hAnsi="Times New Roman"/>
          <w:sz w:val="24"/>
        </w:rPr>
      </w:pPr>
      <w:r>
        <w:rPr>
          <w:rFonts w:ascii="Times New Roman" w:hAnsi="Times New Roman"/>
          <w:b/>
          <w:bCs/>
          <w:sz w:val="24"/>
        </w:rPr>
        <w:t>Comment 3.2-</w:t>
      </w:r>
      <w:r w:rsidR="0014104E">
        <w:rPr>
          <w:rFonts w:ascii="Times New Roman" w:hAnsi="Times New Roman"/>
          <w:b/>
          <w:bCs/>
          <w:sz w:val="24"/>
        </w:rPr>
        <w:t>10</w:t>
      </w:r>
      <w:r>
        <w:rPr>
          <w:rFonts w:ascii="Times New Roman" w:hAnsi="Times New Roman"/>
          <w:b/>
          <w:bCs/>
          <w:sz w:val="24"/>
        </w:rPr>
        <w:t xml:space="preserve">: </w:t>
      </w:r>
      <w:r>
        <w:rPr>
          <w:rFonts w:ascii="Times New Roman" w:hAnsi="Times New Roman"/>
          <w:sz w:val="24"/>
        </w:rPr>
        <w:t xml:space="preserve">One </w:t>
      </w:r>
      <w:r w:rsidRPr="006F68E9">
        <w:rPr>
          <w:rFonts w:ascii="Times New Roman" w:hAnsi="Times New Roman"/>
          <w:sz w:val="24"/>
        </w:rPr>
        <w:t>commenter suggested that EPA specify an appropriate compliance deadline</w:t>
      </w:r>
      <w:r>
        <w:rPr>
          <w:rFonts w:ascii="Times New Roman" w:hAnsi="Times New Roman"/>
          <w:sz w:val="24"/>
        </w:rPr>
        <w:t xml:space="preserve"> for backup power requirements</w:t>
      </w:r>
      <w:r w:rsidRPr="006F68E9">
        <w:rPr>
          <w:rFonts w:ascii="Times New Roman" w:hAnsi="Times New Roman"/>
          <w:sz w:val="24"/>
        </w:rPr>
        <w:t xml:space="preserve"> no later than three years from the date of promulgation</w:t>
      </w:r>
      <w:r>
        <w:rPr>
          <w:rFonts w:ascii="Times New Roman" w:hAnsi="Times New Roman"/>
          <w:sz w:val="24"/>
        </w:rPr>
        <w:t xml:space="preserve"> (0444)</w:t>
      </w:r>
      <w:r w:rsidRPr="006F68E9">
        <w:rPr>
          <w:rFonts w:ascii="Times New Roman" w:hAnsi="Times New Roman"/>
          <w:sz w:val="24"/>
        </w:rPr>
        <w:t>. </w:t>
      </w:r>
    </w:p>
    <w:p w:rsidR="00D43808" w:rsidP="00F76D7A" w14:paraId="2CCAD49E" w14:textId="01CBC793">
      <w:pPr>
        <w:ind w:left="720"/>
        <w:rPr>
          <w:rFonts w:ascii="Times New Roman" w:hAnsi="Times New Roman"/>
          <w:b/>
          <w:bCs/>
          <w:sz w:val="24"/>
        </w:rPr>
      </w:pPr>
      <w:r w:rsidRPr="00F76D7A">
        <w:rPr>
          <w:rFonts w:ascii="Times New Roman" w:hAnsi="Times New Roman"/>
          <w:b/>
          <w:bCs/>
          <w:sz w:val="24"/>
        </w:rPr>
        <w:t>EPA Response:</w:t>
      </w:r>
      <w:r w:rsidRPr="00F76D7A" w:rsidR="00F76D7A">
        <w:t xml:space="preserve"> </w:t>
      </w:r>
      <w:r w:rsidRPr="00F76D7A" w:rsidR="00F76D7A">
        <w:rPr>
          <w:rFonts w:ascii="Times New Roman" w:hAnsi="Times New Roman"/>
          <w:sz w:val="24"/>
        </w:rPr>
        <w:t>EPA has adopted the three-year compliance date and has amended the regulatory language. EPA believes three years will allow time to evaluate and secure standby or backup power needs for air monitoring equipment and assure their safe operation.</w:t>
      </w:r>
    </w:p>
    <w:p w:rsidR="00D43808" w:rsidRPr="00A05200" w:rsidP="00D43808" w14:paraId="7C4B7189" w14:textId="77777777">
      <w:pPr>
        <w:rPr>
          <w:rFonts w:ascii="Times New Roman" w:eastAsia="Times New Roman" w:hAnsi="Times New Roman"/>
          <w:color w:val="000000" w:themeColor="text1"/>
          <w:sz w:val="24"/>
        </w:rPr>
      </w:pPr>
      <w:r>
        <w:rPr>
          <w:rFonts w:ascii="Times New Roman" w:eastAsia="Times New Roman" w:hAnsi="Times New Roman"/>
          <w:i/>
          <w:iCs/>
          <w:color w:val="000000" w:themeColor="text1"/>
          <w:sz w:val="24"/>
        </w:rPr>
        <w:t>Backup power requirements exceed the scope of RMP</w:t>
      </w:r>
    </w:p>
    <w:p w:rsidR="00D43808" w:rsidP="00D43808" w14:paraId="754F8130" w14:textId="36573350">
      <w:pPr>
        <w:rPr>
          <w:rFonts w:ascii="Times New Roman" w:hAnsi="Times New Roman"/>
          <w:sz w:val="24"/>
        </w:rPr>
      </w:pPr>
      <w:r>
        <w:rPr>
          <w:rFonts w:ascii="Times New Roman" w:hAnsi="Times New Roman"/>
          <w:b/>
          <w:bCs/>
          <w:sz w:val="24"/>
        </w:rPr>
        <w:t>Comment 3.2-1</w:t>
      </w:r>
      <w:r w:rsidR="0014104E">
        <w:rPr>
          <w:rFonts w:ascii="Times New Roman" w:hAnsi="Times New Roman"/>
          <w:b/>
          <w:bCs/>
          <w:sz w:val="24"/>
        </w:rPr>
        <w:t>1</w:t>
      </w:r>
      <w:r>
        <w:rPr>
          <w:rFonts w:ascii="Times New Roman" w:hAnsi="Times New Roman"/>
          <w:b/>
          <w:bCs/>
          <w:sz w:val="24"/>
        </w:rPr>
        <w:t xml:space="preserve">: </w:t>
      </w:r>
      <w:r w:rsidRPr="24F9C2D3">
        <w:rPr>
          <w:rFonts w:ascii="Times New Roman" w:hAnsi="Times New Roman"/>
          <w:sz w:val="24"/>
        </w:rPr>
        <w:t>A few commenters stated that EPA’s proposal to explicitly require back-up and emergency power systems exceeds the scope of RMP without proper justification (0232, 0253, 0272). One commenter expressed concern that the proposed backup power requirements exceed EPA’s statutory authority and lack a reasoned basis (0207). A couple of commenters also questioned whether EPA’s statutory authority allows it to require such actions. The commenters contended that air emission monitoring equipment is typically regulated under other EPA CAA regulatory programs (New Source Performance Standards, National Emission Standards for Hazardous Air Pollutants, and Title V permitting program). The commenters requested that EPA explicitly explain its statutory authority under CAA § 112</w:t>
      </w:r>
      <w:r>
        <w:rPr>
          <w:rFonts w:ascii="Times New Roman" w:hAnsi="Times New Roman"/>
          <w:sz w:val="24"/>
        </w:rPr>
        <w:t>I</w:t>
      </w:r>
      <w:r w:rsidRPr="24F9C2D3">
        <w:rPr>
          <w:rFonts w:ascii="Times New Roman" w:hAnsi="Times New Roman"/>
          <w:sz w:val="24"/>
        </w:rPr>
        <w:t xml:space="preserve"> to mandate this requirement and allow for meaningful public comment (0229, 0232). Based on this, one of the commenters believed the </w:t>
      </w:r>
      <w:r>
        <w:rPr>
          <w:rFonts w:ascii="Times New Roman" w:hAnsi="Times New Roman"/>
          <w:sz w:val="24"/>
        </w:rPr>
        <w:t>p</w:t>
      </w:r>
      <w:r w:rsidRPr="24F9C2D3">
        <w:rPr>
          <w:rFonts w:ascii="Times New Roman" w:hAnsi="Times New Roman"/>
          <w:sz w:val="24"/>
        </w:rPr>
        <w:t xml:space="preserve">roposed </w:t>
      </w:r>
      <w:r>
        <w:rPr>
          <w:rFonts w:ascii="Times New Roman" w:hAnsi="Times New Roman"/>
          <w:sz w:val="24"/>
        </w:rPr>
        <w:t>r</w:t>
      </w:r>
      <w:r w:rsidRPr="24F9C2D3">
        <w:rPr>
          <w:rFonts w:ascii="Times New Roman" w:hAnsi="Times New Roman"/>
          <w:sz w:val="24"/>
        </w:rPr>
        <w:t xml:space="preserve">ule should not be finalized (0229). Both commenters requested that, if EPA moves forward with a </w:t>
      </w:r>
      <w:r>
        <w:rPr>
          <w:rFonts w:ascii="Times New Roman" w:hAnsi="Times New Roman"/>
          <w:sz w:val="24"/>
        </w:rPr>
        <w:t>f</w:t>
      </w:r>
      <w:r w:rsidRPr="24F9C2D3">
        <w:rPr>
          <w:rFonts w:ascii="Times New Roman" w:hAnsi="Times New Roman"/>
          <w:sz w:val="24"/>
        </w:rPr>
        <w:t xml:space="preserve">inal </w:t>
      </w:r>
      <w:r>
        <w:rPr>
          <w:rFonts w:ascii="Times New Roman" w:hAnsi="Times New Roman"/>
          <w:sz w:val="24"/>
        </w:rPr>
        <w:t>r</w:t>
      </w:r>
      <w:r w:rsidRPr="24F9C2D3">
        <w:rPr>
          <w:rFonts w:ascii="Times New Roman" w:hAnsi="Times New Roman"/>
          <w:sz w:val="24"/>
        </w:rPr>
        <w:t>ule, a detailed clarification on what is meant by this provision would be needed, including extensive guidance on which systems require standby or backup power and that “air pollution control or monitoring equipment” would be well defined to ensure facilities understand what is considered control and monitoring equipment (0229, 0232). </w:t>
      </w:r>
      <w:r>
        <w:rPr>
          <w:rFonts w:ascii="Times New Roman" w:hAnsi="Times New Roman"/>
          <w:sz w:val="24"/>
        </w:rPr>
        <w:t>Another</w:t>
      </w:r>
      <w:r w:rsidRPr="006F68E9">
        <w:rPr>
          <w:rFonts w:ascii="Times New Roman" w:hAnsi="Times New Roman"/>
          <w:sz w:val="24"/>
        </w:rPr>
        <w:t xml:space="preserve"> commenter </w:t>
      </w:r>
      <w:r>
        <w:rPr>
          <w:rFonts w:ascii="Times New Roman" w:hAnsi="Times New Roman"/>
          <w:sz w:val="24"/>
        </w:rPr>
        <w:t>expressed</w:t>
      </w:r>
      <w:r w:rsidRPr="006F68E9">
        <w:rPr>
          <w:rFonts w:ascii="Times New Roman" w:hAnsi="Times New Roman"/>
          <w:sz w:val="24"/>
        </w:rPr>
        <w:t xml:space="preserve"> that if EPA intended to require back up power for monitoring each system during power outages, it would not only exceed EPA’s authority under RMP but would impose a significant cost not considered by the Agency</w:t>
      </w:r>
      <w:r>
        <w:rPr>
          <w:rFonts w:ascii="Times New Roman" w:hAnsi="Times New Roman"/>
          <w:sz w:val="24"/>
        </w:rPr>
        <w:t xml:space="preserve"> (0268)</w:t>
      </w:r>
      <w:r w:rsidRPr="006F68E9">
        <w:rPr>
          <w:rFonts w:ascii="Times New Roman" w:hAnsi="Times New Roman"/>
          <w:sz w:val="24"/>
        </w:rPr>
        <w:t>.</w:t>
      </w:r>
    </w:p>
    <w:p w:rsidR="00D43808" w:rsidP="00D43808" w14:paraId="061C085A"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w:t>
      </w:r>
      <w:r>
        <w:rPr>
          <w:rFonts w:ascii="Times New Roman" w:hAnsi="Times New Roman"/>
          <w:sz w:val="24"/>
        </w:rPr>
        <w:t xml:space="preserve"> further elaborated </w:t>
      </w:r>
      <w:r w:rsidRPr="006F68E9">
        <w:rPr>
          <w:rFonts w:ascii="Times New Roman" w:hAnsi="Times New Roman"/>
          <w:sz w:val="24"/>
        </w:rPr>
        <w:t>that the statute authorizes EPA “to promulgate release prevention [and] detection … requirements which may include monitoring,” for “regulated substances” 42 U.S.C. § 7412(r)(7)(A). The commenter claimed that the Proposed Rule makes no distinction between equipment monitoring regulated substances and unregulated substances under the RMP program and that the RMP statute does not provide EPA with any authority over pollution controls regardless of what type of substance they control. The commenter recommended that, to the extent that EPA wishes to mandate backup power for emission controls and monitoring equipment, these issues should be addressed under the appropriate CAA program (Title V or New Source Review) (0207).</w:t>
      </w:r>
    </w:p>
    <w:p w:rsidR="004D6C46" w:rsidP="004D6C46" w14:paraId="2BE0685E" w14:textId="3ADCBA6A">
      <w:pPr>
        <w:rPr>
          <w:rFonts w:ascii="Times New Roman" w:hAnsi="Times New Roman"/>
          <w:sz w:val="24"/>
        </w:rPr>
      </w:pPr>
      <w:r w:rsidRPr="00311A6A">
        <w:rPr>
          <w:rFonts w:ascii="Times New Roman" w:hAnsi="Times New Roman"/>
          <w:sz w:val="24"/>
        </w:rPr>
        <w:t>A couple of commenters stated that a focus on maintaining air pollution control or monitoring equipment during a power loss, while important, may detract from the fundamental purpose of the RMP</w:t>
      </w:r>
      <w:r>
        <w:rPr>
          <w:rFonts w:ascii="Times New Roman" w:hAnsi="Times New Roman"/>
          <w:sz w:val="24"/>
        </w:rPr>
        <w:t xml:space="preserve"> (0229, 0232)</w:t>
      </w:r>
      <w:r w:rsidRPr="00311A6A">
        <w:rPr>
          <w:rFonts w:ascii="Times New Roman" w:hAnsi="Times New Roman"/>
          <w:sz w:val="24"/>
        </w:rPr>
        <w:t>.</w:t>
      </w:r>
    </w:p>
    <w:p w:rsidR="00D43808" w:rsidRPr="00215834" w:rsidP="00D43808" w14:paraId="7C79062F" w14:textId="0E71DDE4">
      <w:pPr>
        <w:ind w:left="720"/>
        <w:rPr>
          <w:rFonts w:ascii="Times New Roman" w:hAnsi="Times New Roman"/>
          <w:b/>
          <w:bCs/>
          <w:sz w:val="24"/>
        </w:rPr>
      </w:pPr>
      <w:r w:rsidRPr="24F9C2D3">
        <w:rPr>
          <w:rFonts w:ascii="Times New Roman" w:hAnsi="Times New Roman"/>
          <w:b/>
          <w:bCs/>
          <w:sz w:val="24"/>
        </w:rPr>
        <w:t>EPA Response</w:t>
      </w:r>
      <w:r>
        <w:rPr>
          <w:rFonts w:ascii="Times New Roman" w:hAnsi="Times New Roman"/>
          <w:b/>
          <w:bCs/>
          <w:sz w:val="24"/>
        </w:rPr>
        <w:t xml:space="preserve">: </w:t>
      </w:r>
      <w:r w:rsidRPr="393C66C7">
        <w:rPr>
          <w:rFonts w:ascii="Times New Roman" w:eastAsia="Times New Roman" w:hAnsi="Times New Roman"/>
          <w:color w:val="000000" w:themeColor="text1"/>
          <w:sz w:val="24"/>
        </w:rPr>
        <w:t xml:space="preserve">EPA </w:t>
      </w:r>
      <w:r w:rsidRPr="393C66C7" w:rsidR="7D98183E">
        <w:rPr>
          <w:rFonts w:ascii="Times New Roman" w:eastAsia="Times New Roman" w:hAnsi="Times New Roman"/>
          <w:color w:val="000000" w:themeColor="text1"/>
          <w:sz w:val="24"/>
        </w:rPr>
        <w:t>notes that the requirement for backup power for air pollution control or monitoring equipment only applies to equipment</w:t>
      </w:r>
      <w:r w:rsidR="00E85223">
        <w:rPr>
          <w:rFonts w:ascii="Times New Roman" w:eastAsia="Times New Roman" w:hAnsi="Times New Roman"/>
          <w:color w:val="000000" w:themeColor="text1"/>
          <w:sz w:val="24"/>
        </w:rPr>
        <w:t xml:space="preserve"> associated with prevention and detection of </w:t>
      </w:r>
      <w:r w:rsidRPr="393C66C7" w:rsidR="5CEA8AD7">
        <w:rPr>
          <w:rFonts w:ascii="Times New Roman" w:eastAsia="Times New Roman" w:hAnsi="Times New Roman"/>
          <w:color w:val="000000" w:themeColor="text1"/>
          <w:sz w:val="24"/>
        </w:rPr>
        <w:t xml:space="preserve">accidental releases of regulated substances from </w:t>
      </w:r>
      <w:r w:rsidRPr="393C66C7" w:rsidR="00BB3B99">
        <w:rPr>
          <w:rFonts w:ascii="Times New Roman" w:eastAsia="Times New Roman" w:hAnsi="Times New Roman"/>
          <w:color w:val="000000" w:themeColor="text1"/>
          <w:sz w:val="24"/>
        </w:rPr>
        <w:t>processes</w:t>
      </w:r>
      <w:r w:rsidRPr="393C66C7" w:rsidR="5CEA8AD7">
        <w:rPr>
          <w:rFonts w:ascii="Times New Roman" w:eastAsia="Times New Roman" w:hAnsi="Times New Roman"/>
          <w:color w:val="000000" w:themeColor="text1"/>
          <w:sz w:val="24"/>
        </w:rPr>
        <w:t xml:space="preserve"> subject to 40 CFR part 68. Therefore, EPA</w:t>
      </w:r>
      <w:r w:rsidRPr="24F9C2D3">
        <w:rPr>
          <w:rFonts w:ascii="Times New Roman" w:eastAsia="Times New Roman" w:hAnsi="Times New Roman"/>
          <w:color w:val="000000" w:themeColor="text1"/>
          <w:sz w:val="24"/>
        </w:rPr>
        <w:t xml:space="preserve"> disagrees that the backup and emergency power system requirements exceed the scope of the RMP rule and EPA’s statutory authority and also disagrees that the monitoring requirements may detract from the fundamental purpose of the RMP rule. Each modification of the RMP rule that EPA proposed and is finalizing is based on EPA’s rulemaking authority under CAA section 112</w:t>
      </w:r>
      <w:r>
        <w:rPr>
          <w:rFonts w:ascii="Times New Roman" w:eastAsia="Times New Roman" w:hAnsi="Times New Roman"/>
          <w:color w:val="000000" w:themeColor="text1"/>
          <w:sz w:val="24"/>
        </w:rPr>
        <w:t>I</w:t>
      </w:r>
      <w:r w:rsidRPr="24F9C2D3">
        <w:rPr>
          <w:rFonts w:ascii="Times New Roman" w:eastAsia="Times New Roman" w:hAnsi="Times New Roman"/>
          <w:color w:val="000000" w:themeColor="text1"/>
          <w:sz w:val="24"/>
        </w:rPr>
        <w:t xml:space="preserve">(7). </w:t>
      </w:r>
      <w:r w:rsidRPr="1464C6FC">
        <w:rPr>
          <w:rFonts w:ascii="Times New Roman" w:eastAsia="Times New Roman" w:hAnsi="Times New Roman"/>
          <w:color w:val="000000" w:themeColor="text1"/>
          <w:sz w:val="24"/>
        </w:rPr>
        <w:t>Both paragraph (A) and subparagraph (B)(I) of section 112</w:t>
      </w:r>
      <w:r>
        <w:rPr>
          <w:rFonts w:ascii="Times New Roman" w:eastAsia="Times New Roman" w:hAnsi="Times New Roman"/>
          <w:color w:val="000000" w:themeColor="text1"/>
          <w:sz w:val="24"/>
        </w:rPr>
        <w:t>I</w:t>
      </w:r>
      <w:r w:rsidRPr="1464C6FC">
        <w:rPr>
          <w:rFonts w:ascii="Times New Roman" w:eastAsia="Times New Roman" w:hAnsi="Times New Roman"/>
          <w:color w:val="000000" w:themeColor="text1"/>
          <w:sz w:val="24"/>
        </w:rPr>
        <w:t>(7) explicitly grant EPA the authority to require monitoring for accidental releases. See CAA section 112</w:t>
      </w:r>
      <w:r>
        <w:rPr>
          <w:rFonts w:ascii="Times New Roman" w:eastAsia="Times New Roman" w:hAnsi="Times New Roman"/>
          <w:color w:val="000000" w:themeColor="text1"/>
          <w:sz w:val="24"/>
        </w:rPr>
        <w:t>I</w:t>
      </w:r>
      <w:r w:rsidRPr="1464C6FC">
        <w:rPr>
          <w:rFonts w:ascii="Times New Roman" w:eastAsia="Times New Roman" w:hAnsi="Times New Roman"/>
          <w:color w:val="000000" w:themeColor="text1"/>
          <w:sz w:val="24"/>
        </w:rPr>
        <w:t>(7)(A) (EPA “authorized to promulgate release prevention, detection, and correction requirements which may include monitoring”); CAA section 112</w:t>
      </w:r>
      <w:r>
        <w:rPr>
          <w:rFonts w:ascii="Times New Roman" w:eastAsia="Times New Roman" w:hAnsi="Times New Roman"/>
          <w:color w:val="000000" w:themeColor="text1"/>
          <w:sz w:val="24"/>
        </w:rPr>
        <w:t>I</w:t>
      </w:r>
      <w:r w:rsidRPr="1464C6FC">
        <w:rPr>
          <w:rFonts w:ascii="Times New Roman" w:eastAsia="Times New Roman" w:hAnsi="Times New Roman"/>
          <w:color w:val="000000" w:themeColor="text1"/>
          <w:sz w:val="24"/>
        </w:rPr>
        <w:t xml:space="preserve">(7)(B)(I) (as appropriate, the accidental release regulations shall cover the use, operation, and upkeep of equipment to monitor accidental releases). </w:t>
      </w:r>
      <w:r w:rsidRPr="24F9C2D3">
        <w:rPr>
          <w:rFonts w:ascii="Times New Roman" w:eastAsia="Times New Roman" w:hAnsi="Times New Roman"/>
          <w:color w:val="000000" w:themeColor="text1"/>
          <w:sz w:val="24"/>
        </w:rPr>
        <w:t xml:space="preserve">The original rule established, through its statutory authority, the requirement to monitor for accidental releases to help prevent and mitigate releases. Therefore, backup and emergency power system requirements being finalized </w:t>
      </w:r>
      <w:r w:rsidRPr="000F3FD4">
        <w:rPr>
          <w:rFonts w:ascii="Times New Roman" w:eastAsia="Times New Roman" w:hAnsi="Times New Roman"/>
          <w:color w:val="000000" w:themeColor="text1"/>
          <w:sz w:val="24"/>
        </w:rPr>
        <w:t xml:space="preserve">in this rule </w:t>
      </w:r>
      <w:r w:rsidRPr="24F9C2D3">
        <w:rPr>
          <w:rFonts w:ascii="Times New Roman" w:eastAsia="Times New Roman" w:hAnsi="Times New Roman"/>
          <w:color w:val="000000" w:themeColor="text1"/>
          <w:sz w:val="24"/>
        </w:rPr>
        <w:t xml:space="preserve">simply ensure </w:t>
      </w:r>
      <w:r w:rsidRPr="1464C6FC">
        <w:rPr>
          <w:rFonts w:ascii="Times New Roman" w:eastAsia="Times New Roman" w:hAnsi="Times New Roman"/>
          <w:color w:val="000000" w:themeColor="text1"/>
          <w:sz w:val="24"/>
        </w:rPr>
        <w:t xml:space="preserve">proper operation of monitors and </w:t>
      </w:r>
      <w:r w:rsidRPr="24F9C2D3">
        <w:rPr>
          <w:rFonts w:ascii="Times New Roman" w:eastAsia="Times New Roman" w:hAnsi="Times New Roman"/>
          <w:color w:val="000000" w:themeColor="text1"/>
          <w:sz w:val="24"/>
        </w:rPr>
        <w:t xml:space="preserve">continuous compliance with </w:t>
      </w:r>
      <w:r w:rsidRPr="1464C6FC">
        <w:rPr>
          <w:rFonts w:ascii="Times New Roman" w:eastAsia="Times New Roman" w:hAnsi="Times New Roman"/>
          <w:color w:val="000000" w:themeColor="text1"/>
          <w:sz w:val="24"/>
        </w:rPr>
        <w:t>the</w:t>
      </w:r>
      <w:r w:rsidRPr="24F9C2D3">
        <w:rPr>
          <w:rFonts w:ascii="Times New Roman" w:eastAsia="Times New Roman" w:hAnsi="Times New Roman"/>
          <w:color w:val="000000" w:themeColor="text1"/>
          <w:sz w:val="24"/>
        </w:rPr>
        <w:t xml:space="preserve"> existing requirement.</w:t>
      </w:r>
      <w:r>
        <w:rPr>
          <w:rFonts w:ascii="Times New Roman" w:eastAsia="Times New Roman" w:hAnsi="Times New Roman"/>
          <w:color w:val="000000" w:themeColor="text1"/>
          <w:sz w:val="24"/>
        </w:rPr>
        <w:t xml:space="preserve"> </w:t>
      </w:r>
    </w:p>
    <w:p w:rsidR="00D43808" w:rsidRPr="00C7631F" w:rsidP="00D43808" w14:paraId="49EF40B2" w14:textId="77777777">
      <w:pPr>
        <w:rPr>
          <w:rFonts w:ascii="Times New Roman" w:hAnsi="Times New Roman"/>
          <w:i/>
          <w:iCs/>
          <w:sz w:val="24"/>
        </w:rPr>
      </w:pPr>
      <w:r>
        <w:rPr>
          <w:rFonts w:ascii="Times New Roman" w:hAnsi="Times New Roman"/>
          <w:i/>
          <w:iCs/>
          <w:sz w:val="24"/>
        </w:rPr>
        <w:t>Other comments in opposition to the backup power requirements</w:t>
      </w:r>
    </w:p>
    <w:p w:rsidR="00D43808" w:rsidP="00D43808" w14:paraId="7A91BDCF" w14:textId="7A124727">
      <w:pPr>
        <w:rPr>
          <w:rStyle w:val="Strong"/>
          <w:rFonts w:ascii="Times New Roman" w:hAnsi="Times New Roman"/>
          <w:b w:val="0"/>
          <w:bCs w:val="0"/>
          <w:sz w:val="24"/>
        </w:rPr>
      </w:pPr>
      <w:r w:rsidRPr="000817BC">
        <w:rPr>
          <w:rStyle w:val="Strong"/>
          <w:rFonts w:ascii="Times New Roman" w:hAnsi="Times New Roman"/>
          <w:sz w:val="24"/>
        </w:rPr>
        <w:t>Comment</w:t>
      </w:r>
      <w:r>
        <w:rPr>
          <w:rStyle w:val="Strong"/>
          <w:rFonts w:ascii="Times New Roman" w:hAnsi="Times New Roman"/>
          <w:sz w:val="24"/>
        </w:rPr>
        <w:t xml:space="preserve"> 3.2-1</w:t>
      </w:r>
      <w:r w:rsidR="0014104E">
        <w:rPr>
          <w:rStyle w:val="Strong"/>
          <w:rFonts w:ascii="Times New Roman" w:hAnsi="Times New Roman"/>
          <w:sz w:val="24"/>
        </w:rPr>
        <w:t>2</w:t>
      </w:r>
      <w:r w:rsidRPr="000817BC">
        <w:rPr>
          <w:rStyle w:val="Strong"/>
          <w:rFonts w:ascii="Times New Roman" w:hAnsi="Times New Roman"/>
          <w:sz w:val="24"/>
        </w:rPr>
        <w:t>:</w:t>
      </w:r>
      <w:r>
        <w:rPr>
          <w:rStyle w:val="Strong"/>
          <w:rFonts w:ascii="Times New Roman" w:hAnsi="Times New Roman"/>
          <w:b w:val="0"/>
          <w:bCs w:val="0"/>
          <w:sz w:val="24"/>
        </w:rPr>
        <w:t xml:space="preserve"> A</w:t>
      </w:r>
      <w:r w:rsidRPr="0AB0A3D6">
        <w:rPr>
          <w:rStyle w:val="Strong"/>
          <w:rFonts w:ascii="Times New Roman" w:hAnsi="Times New Roman"/>
          <w:b w:val="0"/>
          <w:bCs w:val="0"/>
          <w:sz w:val="24"/>
        </w:rPr>
        <w:t xml:space="preserve"> couple of commenters claimed that EPA made an unjustified assumption in the preamble of the proposed rule that facilities will remove air monitoring and control equipment from service prior to a natural disaster to evade monitoring requirements. The commenters stated that the suggestion that facilities will attempt to evade regulatory agency requirements in the event of a natural disaster is improper and inappropriate (0229, 0232). </w:t>
      </w:r>
    </w:p>
    <w:p w:rsidR="00D43808" w:rsidRPr="00F417FC" w:rsidP="00D43808" w14:paraId="442BA389" w14:textId="77777777">
      <w:pPr>
        <w:rPr>
          <w:rFonts w:ascii="Times New Roman" w:hAnsi="Times New Roman"/>
          <w:sz w:val="24"/>
        </w:rPr>
      </w:pPr>
      <w:r w:rsidRPr="00F417FC">
        <w:rPr>
          <w:rFonts w:ascii="Times New Roman" w:hAnsi="Times New Roman"/>
          <w:sz w:val="24"/>
        </w:rPr>
        <w:t xml:space="preserve">A couple of commenters </w:t>
      </w:r>
      <w:r>
        <w:rPr>
          <w:rFonts w:ascii="Times New Roman" w:hAnsi="Times New Roman"/>
          <w:sz w:val="24"/>
        </w:rPr>
        <w:t>echoed</w:t>
      </w:r>
      <w:r w:rsidRPr="00F417FC">
        <w:rPr>
          <w:rFonts w:ascii="Times New Roman" w:hAnsi="Times New Roman"/>
          <w:sz w:val="24"/>
        </w:rPr>
        <w:t xml:space="preserve"> that there is no support for EPA’s concern that facilities will use extreme weather events as a pretext for disabling monitoring equipment and evading monitoring equipment (0230, 0239).</w:t>
      </w:r>
    </w:p>
    <w:p w:rsidR="00593188" w:rsidP="00D43808" w14:paraId="363E4D2A" w14:textId="130890EE">
      <w:pPr>
        <w:rPr>
          <w:rFonts w:ascii="Times New Roman" w:hAnsi="Times New Roman"/>
          <w:sz w:val="24"/>
        </w:rPr>
      </w:pPr>
      <w:r>
        <w:rPr>
          <w:rFonts w:ascii="Times New Roman" w:hAnsi="Times New Roman"/>
          <w:sz w:val="24"/>
        </w:rPr>
        <w:t>Conversely, o</w:t>
      </w:r>
      <w:r w:rsidRPr="006F68E9">
        <w:rPr>
          <w:rFonts w:ascii="Times New Roman" w:hAnsi="Times New Roman"/>
          <w:sz w:val="24"/>
        </w:rPr>
        <w:t xml:space="preserve">ne commenter recommended the need for penalties for regulated facilities for intentionally removing air monitors from service. The commenter added that regulated facilities should have backup power for air monitors to operate continuously (0255). A couple of commenters requested that EPA take needed enforcement steps (0250, 0264). A couple of commenters requested that EPA include penalties suitable to prevent monitor shutdown (0270, 0409). One of the commenters pointed to EPA’s recognition of intentional dismantling of monitoring equipment and based on these events, the commenter called for EPA to include penalties sufficient to deter companies from intentionally turning off their existing air monitors and removing them from service, whether because of the presence of a natural hazard or not (0270). </w:t>
      </w:r>
    </w:p>
    <w:p w:rsidR="00302C55" w:rsidRPr="00593188" w:rsidP="00D43808" w14:paraId="5FCD7830" w14:textId="6888C00C">
      <w:pPr>
        <w:rPr>
          <w:rFonts w:ascii="Times New Roman" w:hAnsi="Times New Roman"/>
          <w:sz w:val="24"/>
          <w:highlight w:val="magenta"/>
        </w:rPr>
      </w:pPr>
      <w:r w:rsidRPr="006F68E9">
        <w:rPr>
          <w:rFonts w:ascii="Times New Roman" w:hAnsi="Times New Roman"/>
          <w:sz w:val="24"/>
        </w:rPr>
        <w:t>Several commenters stated that requirements for air pollution control or monitoring equipment to have backup power if they are associated with the prevention/detection of an accidental release from an RMP-regulated process are already covered by process hazard analyses (PHAs). The commenters claimed that applying back up power broadly as a part of a risk-based regulation would require facilities that do not need such safeguards, as determined by their PHA, to implement costly measures unnecessarily (0180, 0205, 0217, 0234, 0226, 0458).</w:t>
      </w:r>
    </w:p>
    <w:p w:rsidR="00D43808" w:rsidRPr="00953360" w:rsidP="00D43808" w14:paraId="592DA9FE" w14:textId="19D0BA84">
      <w:pPr>
        <w:ind w:left="720"/>
        <w:rPr>
          <w:rFonts w:ascii="Times New Roman" w:eastAsia="Times New Roman" w:hAnsi="Times New Roman"/>
          <w:color w:val="000000" w:themeColor="text1"/>
          <w:sz w:val="24"/>
        </w:rPr>
      </w:pPr>
      <w:r w:rsidRPr="166D9D1B">
        <w:rPr>
          <w:rFonts w:ascii="Times New Roman" w:hAnsi="Times New Roman"/>
          <w:b/>
          <w:bCs/>
          <w:sz w:val="24"/>
        </w:rPr>
        <w:t>EPA Response</w:t>
      </w:r>
      <w:r>
        <w:rPr>
          <w:rFonts w:ascii="Times New Roman" w:hAnsi="Times New Roman"/>
          <w:b/>
          <w:sz w:val="24"/>
        </w:rPr>
        <w:t xml:space="preserve">: </w:t>
      </w:r>
      <w:r w:rsidRPr="562E99FB">
        <w:rPr>
          <w:rFonts w:ascii="Times New Roman" w:eastAsia="Times New Roman" w:hAnsi="Times New Roman"/>
          <w:color w:val="000000" w:themeColor="text1"/>
          <w:sz w:val="24"/>
        </w:rPr>
        <w:t>In response to</w:t>
      </w:r>
      <w:r w:rsidRPr="562E99FB">
        <w:rPr>
          <w:rFonts w:ascii="Times New Roman" w:eastAsia="Times New Roman" w:hAnsi="Times New Roman"/>
          <w:b/>
          <w:bCs/>
          <w:color w:val="000000" w:themeColor="text1"/>
          <w:sz w:val="24"/>
        </w:rPr>
        <w:t xml:space="preserve"> </w:t>
      </w:r>
      <w:r w:rsidRPr="562E99FB">
        <w:rPr>
          <w:rStyle w:val="Strong"/>
          <w:rFonts w:ascii="Times New Roman" w:eastAsia="Times New Roman" w:hAnsi="Times New Roman"/>
          <w:b w:val="0"/>
          <w:bCs w:val="0"/>
          <w:color w:val="000000" w:themeColor="text1"/>
          <w:sz w:val="24"/>
        </w:rPr>
        <w:t xml:space="preserve">comments regarding facilities’ removal of air monitoring equipment, </w:t>
      </w:r>
      <w:r w:rsidRPr="00986686">
        <w:rPr>
          <w:rStyle w:val="Strong"/>
          <w:rFonts w:ascii="Times New Roman" w:eastAsia="Times New Roman" w:hAnsi="Times New Roman"/>
          <w:b w:val="0"/>
          <w:bCs w:val="0"/>
          <w:color w:val="000000" w:themeColor="text1"/>
          <w:sz w:val="24"/>
        </w:rPr>
        <w:t xml:space="preserve">EPA notes that the final rule is </w:t>
      </w:r>
      <w:r w:rsidRPr="00986686">
        <w:rPr>
          <w:rFonts w:ascii="Times New Roman" w:hAnsi="Times New Roman"/>
        </w:rPr>
        <w:t xml:space="preserve">revising </w:t>
      </w:r>
      <w:r w:rsidRPr="00986686">
        <w:rPr>
          <w:rFonts w:ascii="Times New Roman" w:eastAsia="Times New Roman" w:hAnsi="Times New Roman"/>
          <w:color w:val="000000" w:themeColor="text1"/>
          <w:sz w:val="24"/>
        </w:rPr>
        <w:t xml:space="preserve">40 CFR 68.52(b)(9) and 68.69(a)(4) to </w:t>
      </w:r>
      <w:r w:rsidRPr="00986686">
        <w:rPr>
          <w:rFonts w:ascii="Times New Roman" w:eastAsia="Times New Roman" w:hAnsi="Times New Roman"/>
          <w:color w:val="000000" w:themeColor="text1"/>
          <w:sz w:val="24"/>
        </w:rPr>
        <w:t>require documentation of the removal of monitoring equipment for accidental releases during disasters in facility operating procedures. In doing so, the Agency</w:t>
      </w:r>
      <w:r w:rsidRPr="562E99FB">
        <w:rPr>
          <w:rFonts w:ascii="Times New Roman" w:eastAsia="Times New Roman" w:hAnsi="Times New Roman"/>
          <w:color w:val="000000" w:themeColor="text1"/>
          <w:sz w:val="24"/>
        </w:rPr>
        <w:t xml:space="preserve"> addresses the concern that the threat of extreme weather events has, and will continue to be, used by some owners or operators to justify disabling equipment designed to monitor and detect chemical releases of RMP-regulated substances at their facility</w:t>
      </w:r>
      <w:r w:rsidR="004628B3">
        <w:rPr>
          <w:rFonts w:ascii="Times New Roman" w:eastAsia="Times New Roman" w:hAnsi="Times New Roman"/>
          <w:color w:val="000000" w:themeColor="text1"/>
          <w:sz w:val="24"/>
        </w:rPr>
        <w:t xml:space="preserve"> </w:t>
      </w:r>
      <w:r w:rsidRPr="004628B3" w:rsidR="004628B3">
        <w:rPr>
          <w:rFonts w:ascii="Times New Roman" w:eastAsia="Times New Roman" w:hAnsi="Times New Roman"/>
          <w:color w:val="000000" w:themeColor="text1"/>
          <w:sz w:val="24"/>
        </w:rPr>
        <w:t>(87 FR 53571)</w:t>
      </w:r>
      <w:r w:rsidRPr="562E99FB">
        <w:rPr>
          <w:rFonts w:ascii="Times New Roman" w:eastAsia="Times New Roman" w:hAnsi="Times New Roman"/>
          <w:color w:val="000000" w:themeColor="text1"/>
          <w:sz w:val="24"/>
        </w:rPr>
        <w:t>. To prevent accidental releases, RMP owners or operators are required to develop a program that includes monitoring for such releases. EPA does not believe all natural disasters should be treated as an exception to this requirement.</w:t>
      </w:r>
      <w:r>
        <w:rPr>
          <w:rFonts w:ascii="Times New Roman" w:eastAsia="Times New Roman" w:hAnsi="Times New Roman"/>
          <w:color w:val="000000" w:themeColor="text1"/>
          <w:sz w:val="24"/>
        </w:rPr>
        <w:t xml:space="preserve"> </w:t>
      </w:r>
      <w:r w:rsidRPr="562E99FB">
        <w:rPr>
          <w:rFonts w:ascii="Times New Roman" w:eastAsia="Times New Roman" w:hAnsi="Times New Roman"/>
          <w:color w:val="000000" w:themeColor="text1"/>
          <w:sz w:val="24"/>
        </w:rPr>
        <w:t>However, EPA understands that, in some situations, such as hurricane winds, there is a potential for damage to, or by, monitoring equipment if not secured</w:t>
      </w:r>
      <w:r w:rsidRPr="1464C6FC">
        <w:rPr>
          <w:rFonts w:ascii="Times New Roman" w:eastAsia="Times New Roman" w:hAnsi="Times New Roman"/>
          <w:color w:val="000000" w:themeColor="text1"/>
          <w:sz w:val="24"/>
        </w:rPr>
        <w:t xml:space="preserve"> and allows a source to shut down monitoring equipment in such cases provided that an explanation is included in its RMP.</w:t>
      </w:r>
      <w:r>
        <w:rPr>
          <w:rFonts w:ascii="Times New Roman" w:eastAsia="Times New Roman" w:hAnsi="Times New Roman"/>
          <w:color w:val="000000" w:themeColor="text1"/>
          <w:sz w:val="24"/>
        </w:rPr>
        <w:t xml:space="preserve"> </w:t>
      </w:r>
      <w:r w:rsidRPr="393C66C7" w:rsidR="6704CAC3">
        <w:rPr>
          <w:rFonts w:ascii="Times New Roman" w:eastAsia="Times New Roman" w:hAnsi="Times New Roman"/>
          <w:color w:val="000000" w:themeColor="text1"/>
          <w:sz w:val="24"/>
        </w:rPr>
        <w:t xml:space="preserve">We believe the requirement for documentation when a source shuts down accidental release monitoring equipment properly </w:t>
      </w:r>
      <w:r w:rsidRPr="393C66C7" w:rsidR="003B4942">
        <w:rPr>
          <w:rFonts w:ascii="Times New Roman" w:eastAsia="Times New Roman" w:hAnsi="Times New Roman"/>
          <w:color w:val="000000" w:themeColor="text1"/>
          <w:sz w:val="24"/>
        </w:rPr>
        <w:t>allows</w:t>
      </w:r>
      <w:r w:rsidRPr="393C66C7" w:rsidR="6704CAC3">
        <w:rPr>
          <w:rFonts w:ascii="Times New Roman" w:eastAsia="Times New Roman" w:hAnsi="Times New Roman"/>
          <w:color w:val="000000" w:themeColor="text1"/>
          <w:sz w:val="24"/>
        </w:rPr>
        <w:t xml:space="preserve"> for nec</w:t>
      </w:r>
      <w:r w:rsidRPr="393C66C7" w:rsidR="6D6B6127">
        <w:rPr>
          <w:rFonts w:ascii="Times New Roman" w:eastAsia="Times New Roman" w:hAnsi="Times New Roman"/>
          <w:color w:val="000000" w:themeColor="text1"/>
          <w:sz w:val="24"/>
        </w:rPr>
        <w:t xml:space="preserve">essary </w:t>
      </w:r>
      <w:r w:rsidRPr="393C66C7" w:rsidR="003B4942">
        <w:rPr>
          <w:rFonts w:ascii="Times New Roman" w:eastAsia="Times New Roman" w:hAnsi="Times New Roman"/>
          <w:color w:val="000000" w:themeColor="text1"/>
          <w:sz w:val="24"/>
        </w:rPr>
        <w:t>shutdowns</w:t>
      </w:r>
      <w:r w:rsidRPr="393C66C7" w:rsidR="6D6B6127">
        <w:rPr>
          <w:rFonts w:ascii="Times New Roman" w:eastAsia="Times New Roman" w:hAnsi="Times New Roman"/>
          <w:color w:val="000000" w:themeColor="text1"/>
          <w:sz w:val="24"/>
        </w:rPr>
        <w:t xml:space="preserve"> while allowing for oversight of </w:t>
      </w:r>
      <w:r w:rsidRPr="393C66C7" w:rsidR="7679F40E">
        <w:rPr>
          <w:rFonts w:ascii="Times New Roman" w:eastAsia="Times New Roman" w:hAnsi="Times New Roman"/>
          <w:color w:val="000000" w:themeColor="text1"/>
          <w:sz w:val="24"/>
        </w:rPr>
        <w:t>any abuse.</w:t>
      </w:r>
    </w:p>
    <w:p w:rsidR="00D43808" w:rsidRPr="006F68E9" w:rsidP="00D43808" w14:paraId="47DF4C57" w14:textId="6826F756">
      <w:pPr>
        <w:rPr>
          <w:rFonts w:ascii="Times New Roman" w:hAnsi="Times New Roman"/>
          <w:sz w:val="24"/>
        </w:rPr>
      </w:pPr>
      <w:r>
        <w:rPr>
          <w:rFonts w:ascii="Times New Roman" w:hAnsi="Times New Roman"/>
          <w:b/>
          <w:bCs/>
          <w:sz w:val="24"/>
        </w:rPr>
        <w:t>Comment 3.2-1</w:t>
      </w:r>
      <w:r w:rsidR="0014104E">
        <w:rPr>
          <w:rFonts w:ascii="Times New Roman" w:hAnsi="Times New Roman"/>
          <w:b/>
          <w:bCs/>
          <w:sz w:val="24"/>
        </w:rPr>
        <w:t>3</w:t>
      </w:r>
      <w:r>
        <w:rPr>
          <w:rFonts w:ascii="Times New Roman" w:hAnsi="Times New Roman"/>
          <w:b/>
          <w:bCs/>
          <w:sz w:val="24"/>
        </w:rPr>
        <w:t xml:space="preserve">: </w:t>
      </w:r>
      <w:r w:rsidRPr="006F68E9">
        <w:rPr>
          <w:rFonts w:ascii="Times New Roman" w:hAnsi="Times New Roman"/>
          <w:sz w:val="24"/>
        </w:rPr>
        <w:t>One commenter opposed across-the-board requirement that RMP facilities maintain backup power capability because the need for such capability depends entirely on the nature of the processes being run at a facility (0275).</w:t>
      </w:r>
    </w:p>
    <w:p w:rsidR="00CC507F" w:rsidRPr="006F68E9" w:rsidP="00D43808" w14:paraId="1F848F21" w14:textId="3B73AD12">
      <w:pPr>
        <w:rPr>
          <w:rFonts w:ascii="Times New Roman" w:hAnsi="Times New Roman"/>
          <w:sz w:val="24"/>
        </w:rPr>
      </w:pPr>
      <w:r w:rsidRPr="006F68E9">
        <w:rPr>
          <w:rFonts w:ascii="Times New Roman" w:hAnsi="Times New Roman"/>
          <w:sz w:val="24"/>
        </w:rPr>
        <w:t>One commenter claimed that providing standby or backup power for air pollution control or detection equipment for all stationary sources is not always practical or necessary. The commenter noted that c</w:t>
      </w:r>
      <w:r w:rsidRPr="006F68E9">
        <w:rPr>
          <w:rFonts w:ascii="Times New Roman" w:eastAsia="Times New Roman" w:hAnsi="Times New Roman"/>
          <w:sz w:val="24"/>
        </w:rPr>
        <w:t>ertain engineering controls can adequately mitigate risk without power, such as processes with valves that open or close automatically to a safe position in the event of a power loss, and that alternatives to providing emergency power to cool chemicals during adverse weather exist, including transferring them off-site (0215).</w:t>
      </w:r>
    </w:p>
    <w:p w:rsidR="00D43808" w:rsidRPr="00C97994" w:rsidP="002C5065" w14:paraId="5C8081FE" w14:textId="76D6772C">
      <w:pPr>
        <w:ind w:left="720"/>
        <w:rPr>
          <w:rFonts w:ascii="Times New Roman" w:hAnsi="Times New Roman"/>
          <w:sz w:val="24"/>
        </w:rPr>
      </w:pPr>
      <w:r w:rsidRPr="00711C2C">
        <w:rPr>
          <w:rFonts w:ascii="Times New Roman" w:hAnsi="Times New Roman"/>
          <w:b/>
          <w:bCs/>
          <w:sz w:val="24"/>
        </w:rPr>
        <w:t>EPA Response:</w:t>
      </w:r>
      <w:r>
        <w:rPr>
          <w:rFonts w:ascii="Times New Roman" w:hAnsi="Times New Roman"/>
          <w:b/>
          <w:bCs/>
          <w:sz w:val="24"/>
        </w:rPr>
        <w:t xml:space="preserve"> </w:t>
      </w:r>
      <w:r w:rsidRPr="00C97994" w:rsidR="002C5065">
        <w:rPr>
          <w:rFonts w:ascii="Times New Roman" w:hAnsi="Times New Roman"/>
          <w:sz w:val="24"/>
        </w:rPr>
        <w:t>EPA is not requiring implementation of standby or emergency power for the entirety of an RMP process at this time. However, the Agency is requiring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 EPA takes a slightly different approach with respect to backup power for monitors.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w:t>
      </w:r>
      <w:r w:rsidRPr="393C66C7" w:rsidR="3EB08EDC">
        <w:rPr>
          <w:rFonts w:ascii="Times New Roman" w:hAnsi="Times New Roman"/>
          <w:sz w:val="24"/>
        </w:rPr>
        <w:t xml:space="preserve"> </w:t>
      </w:r>
      <w:bookmarkStart w:id="45" w:name="_Hlk152658891"/>
      <w:r w:rsidRPr="393C66C7" w:rsidR="3EB08EDC">
        <w:rPr>
          <w:rFonts w:ascii="Times New Roman" w:hAnsi="Times New Roman"/>
          <w:sz w:val="24"/>
        </w:rPr>
        <w:t xml:space="preserve">If a process has </w:t>
      </w:r>
      <w:r w:rsidR="005D0877">
        <w:rPr>
          <w:rFonts w:ascii="Times New Roman" w:hAnsi="Times New Roman"/>
          <w:sz w:val="24"/>
        </w:rPr>
        <w:t>powerless</w:t>
      </w:r>
      <w:r w:rsidRPr="393C66C7" w:rsidR="3EB08EDC">
        <w:rPr>
          <w:rFonts w:ascii="Times New Roman" w:hAnsi="Times New Roman"/>
          <w:sz w:val="24"/>
        </w:rPr>
        <w:t xml:space="preserve"> controls </w:t>
      </w:r>
      <w:r w:rsidR="00B801A9">
        <w:rPr>
          <w:rFonts w:ascii="Times New Roman" w:hAnsi="Times New Roman"/>
          <w:sz w:val="24"/>
        </w:rPr>
        <w:t>(e.g</w:t>
      </w:r>
      <w:r w:rsidR="005E376D">
        <w:rPr>
          <w:rFonts w:ascii="Times New Roman" w:hAnsi="Times New Roman"/>
          <w:sz w:val="24"/>
        </w:rPr>
        <w:t>.,</w:t>
      </w:r>
      <w:r w:rsidR="00B801A9">
        <w:rPr>
          <w:rFonts w:ascii="Times New Roman" w:hAnsi="Times New Roman"/>
          <w:sz w:val="24"/>
        </w:rPr>
        <w:t xml:space="preserve"> </w:t>
      </w:r>
      <w:r w:rsidR="005E376D">
        <w:rPr>
          <w:rFonts w:ascii="Times New Roman" w:hAnsi="Times New Roman"/>
          <w:sz w:val="24"/>
        </w:rPr>
        <w:t>passive mitigation)</w:t>
      </w:r>
      <w:r w:rsidRPr="393C66C7" w:rsidR="3EB08EDC">
        <w:rPr>
          <w:rFonts w:ascii="Times New Roman" w:hAnsi="Times New Roman"/>
          <w:sz w:val="24"/>
        </w:rPr>
        <w:t xml:space="preserve"> that prevent an accidental release during power loss, then</w:t>
      </w:r>
      <w:r w:rsidRPr="393C66C7" w:rsidR="51601FE6">
        <w:rPr>
          <w:rFonts w:ascii="Times New Roman" w:hAnsi="Times New Roman"/>
          <w:sz w:val="24"/>
        </w:rPr>
        <w:t xml:space="preserve"> no power </w:t>
      </w:r>
      <w:r w:rsidRPr="393C66C7" w:rsidR="51601FE6">
        <w:rPr>
          <w:rFonts w:ascii="Times New Roman" w:hAnsi="Times New Roman"/>
          <w:sz w:val="24"/>
        </w:rPr>
        <w:t>would be needed as part of the accidental release emission contro</w:t>
      </w:r>
      <w:r w:rsidRPr="393C66C7" w:rsidR="123E38F1">
        <w:rPr>
          <w:rFonts w:ascii="Times New Roman" w:hAnsi="Times New Roman"/>
          <w:sz w:val="24"/>
        </w:rPr>
        <w:t xml:space="preserve">l equipment, and no backup power would </w:t>
      </w:r>
      <w:r w:rsidRPr="393C66C7" w:rsidR="6F5777B0">
        <w:rPr>
          <w:rFonts w:ascii="Times New Roman" w:hAnsi="Times New Roman"/>
          <w:sz w:val="24"/>
        </w:rPr>
        <w:t>need to be provided.</w:t>
      </w:r>
    </w:p>
    <w:bookmarkEnd w:id="45"/>
    <w:p w:rsidR="00D43808" w:rsidP="00D43808" w14:paraId="5B596FB8" w14:textId="4927D5BD">
      <w:pPr>
        <w:rPr>
          <w:rFonts w:ascii="Times New Roman" w:hAnsi="Times New Roman"/>
          <w:sz w:val="24"/>
        </w:rPr>
      </w:pPr>
      <w:r>
        <w:rPr>
          <w:rFonts w:ascii="Times New Roman" w:hAnsi="Times New Roman"/>
          <w:b/>
          <w:bCs/>
          <w:sz w:val="24"/>
        </w:rPr>
        <w:t>Comment 3.2-1</w:t>
      </w:r>
      <w:r w:rsidR="00CC507F">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One commenter, stating that their air pollution control or monitoring equipment is powered by the same facility electrical distribution system powering all other operations, claimed that installing a separate electrical system to provide backup power to air pollution monitoring equipment was unnecessary and would be extremely difficult to implement at an existing facility. The commenter claimed that the cost to install and maintain an independent electrical system capable of supplying backup power to air pollution control or monitoring equipment was not properly considered or justified. The commenter stated that the source of standby or backup power would necessarily be a fossil-fueled internal combustion engine requiring routine testing and generating undesirable emissions in conflict with the climate change mitigation goals of Executive Order 13990 (0238).</w:t>
      </w:r>
    </w:p>
    <w:p w:rsidR="00D43808" w:rsidRPr="00F43C88" w:rsidP="00D43808" w14:paraId="111FD351" w14:textId="77777777">
      <w:pPr>
        <w:rPr>
          <w:rFonts w:ascii="Times New Roman" w:eastAsia="Times New Roman" w:hAnsi="Times New Roman"/>
          <w:b/>
          <w:bCs/>
          <w:sz w:val="24"/>
        </w:rPr>
      </w:pPr>
      <w:r w:rsidRPr="00F43C88">
        <w:rPr>
          <w:rFonts w:ascii="Times New Roman" w:hAnsi="Times New Roman"/>
          <w:sz w:val="24"/>
        </w:rPr>
        <w:t>Another</w:t>
      </w:r>
      <w:r w:rsidRPr="00F43C88">
        <w:rPr>
          <w:rFonts w:ascii="Times New Roman" w:hAnsi="Times New Roman"/>
          <w:b/>
          <w:bCs/>
          <w:sz w:val="24"/>
        </w:rPr>
        <w:t xml:space="preserve"> </w:t>
      </w:r>
      <w:r w:rsidRPr="00F43C88">
        <w:rPr>
          <w:rFonts w:ascii="Times New Roman" w:hAnsi="Times New Roman"/>
          <w:sz w:val="24"/>
        </w:rPr>
        <w:t>commenter stated the requirement to implement the changes to require air pollution or monitoring equipment associated with prevention and detection of accidental releases without full consideration of the benefits and practicability of doing so on a facility-specific basis is troublesome (0230).</w:t>
      </w:r>
    </w:p>
    <w:p w:rsidR="00FE7D8E" w:rsidRPr="00FE7D8E" w:rsidP="00FE7D8E" w14:paraId="6B6244D8" w14:textId="758B98B8">
      <w:pPr>
        <w:ind w:left="720"/>
        <w:rPr>
          <w:rFonts w:ascii="Times New Roman" w:hAnsi="Times New Roman"/>
          <w:sz w:val="24"/>
        </w:rPr>
      </w:pPr>
      <w:r w:rsidRPr="00FE7D8E">
        <w:rPr>
          <w:rFonts w:ascii="Times New Roman" w:hAnsi="Times New Roman"/>
          <w:b/>
          <w:bCs/>
          <w:sz w:val="24"/>
        </w:rPr>
        <w:t>EPA Response:</w:t>
      </w:r>
      <w:r w:rsidRPr="00FE7D8E">
        <w:rPr>
          <w:rFonts w:ascii="Times New Roman" w:hAnsi="Times New Roman"/>
          <w:sz w:val="24"/>
        </w:rPr>
        <w:t xml:space="preserve"> </w:t>
      </w:r>
      <w:r w:rsidR="00E9291A">
        <w:rPr>
          <w:rFonts w:ascii="Times New Roman" w:hAnsi="Times New Roman"/>
          <w:sz w:val="24"/>
        </w:rPr>
        <w:t>In t</w:t>
      </w:r>
      <w:r w:rsidRPr="00FE7D8E">
        <w:rPr>
          <w:rFonts w:ascii="Times New Roman" w:hAnsi="Times New Roman"/>
          <w:sz w:val="24"/>
        </w:rPr>
        <w:t xml:space="preserve">his final rule EPA is requiring standby or backup power for air pollution control or monitoring equipment associated with prevention and detection of accidental releases from RMP-regulated processes and has amended regulatory language to reflect the requirement. EPA believes 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 </w:t>
      </w:r>
    </w:p>
    <w:p w:rsidR="00FE7D8E" w:rsidRPr="00FE7D8E" w:rsidP="00FE7D8E" w14:paraId="4C701EFF" w14:textId="05103D8E">
      <w:pPr>
        <w:ind w:left="720"/>
        <w:rPr>
          <w:rFonts w:ascii="Times New Roman" w:hAnsi="Times New Roman"/>
          <w:b/>
          <w:bCs/>
          <w:sz w:val="24"/>
        </w:rPr>
      </w:pPr>
      <w:r w:rsidRPr="00FE7D8E">
        <w:rPr>
          <w:rFonts w:ascii="Times New Roman" w:hAnsi="Times New Roman"/>
          <w:sz w:val="24"/>
        </w:rPr>
        <w:t>EPA updated the estimated costs for this provision in the SCCAP final rule RIA. The proposed rule estimated a cost of $1,000 per facility for backup power for monitoring equipment. The final rule increased the estimated cost to $3,300 per facility in any given year based on generator pricing and sensor power requirement information from commercial websites, as well as an example of the number of perimeter monitors at a facility. EPA assumes the typical facility’s perimeter monitoring system will require a 1 kW backup generator, but facilities may purchase a slightly more powerful model. EPA assumes a facility will pay $3,000 to purchase and install such a small generator based on identifying an 8.5kW home generator listed for slightly below $3,000. EPA assumes a 5-year lifespan for the generator, so facilities will newly purchase or make repairs of equivalent cost every 5 years. EPA assumes ordinary annual operation and maintenance costs of 10% of purchase and installation costs, or $300 per year</w:t>
      </w:r>
      <w:r w:rsidR="00376148">
        <w:rPr>
          <w:rFonts w:ascii="Times New Roman" w:hAnsi="Times New Roman"/>
          <w:sz w:val="24"/>
        </w:rPr>
        <w:t xml:space="preserve"> and that</w:t>
      </w:r>
      <w:r w:rsidR="00E26AF0">
        <w:rPr>
          <w:rFonts w:ascii="Times New Roman" w:hAnsi="Times New Roman"/>
          <w:sz w:val="24"/>
        </w:rPr>
        <w:t xml:space="preserve"> m</w:t>
      </w:r>
      <w:r w:rsidRPr="00FE7D8E" w:rsidR="00DD45B4">
        <w:rPr>
          <w:rFonts w:ascii="Times New Roman" w:hAnsi="Times New Roman"/>
          <w:sz w:val="24"/>
        </w:rPr>
        <w:t xml:space="preserve">any </w:t>
      </w:r>
      <w:r w:rsidRPr="00FE7D8E" w:rsidR="00DD45B4">
        <w:rPr>
          <w:rFonts w:ascii="Times New Roman" w:hAnsi="Times New Roman"/>
          <w:sz w:val="24"/>
        </w:rPr>
        <w:t>continuous emissions monitoring systems have low power requirements.</w:t>
      </w:r>
      <w:r>
        <w:rPr>
          <w:rFonts w:ascii="Times New Roman" w:hAnsi="Times New Roman"/>
          <w:sz w:val="24"/>
          <w:vertAlign w:val="superscript"/>
        </w:rPr>
        <w:footnoteReference w:id="66"/>
      </w:r>
      <w:r w:rsidRPr="00FE7D8E" w:rsidR="00DD45B4">
        <w:rPr>
          <w:rFonts w:ascii="Times New Roman" w:hAnsi="Times New Roman"/>
          <w:sz w:val="24"/>
        </w:rPr>
        <w:t xml:space="preserve"> </w:t>
      </w:r>
      <w:r w:rsidRPr="00FE7D8E">
        <w:rPr>
          <w:rFonts w:ascii="Times New Roman" w:hAnsi="Times New Roman"/>
          <w:sz w:val="24"/>
        </w:rPr>
        <w:t>Section 4.4.6 of the RIA for more detail on the estimated costs.</w:t>
      </w:r>
    </w:p>
    <w:p w:rsidR="00D43808" w:rsidP="00D43808" w14:paraId="5F5BA03F" w14:textId="68A4CEF8">
      <w:pPr>
        <w:rPr>
          <w:rFonts w:ascii="Times New Roman" w:hAnsi="Times New Roman"/>
          <w:sz w:val="24"/>
        </w:rPr>
      </w:pPr>
      <w:r>
        <w:rPr>
          <w:rFonts w:ascii="Times New Roman" w:hAnsi="Times New Roman"/>
          <w:b/>
          <w:bCs/>
          <w:sz w:val="24"/>
        </w:rPr>
        <w:t>Comment 3.2-1</w:t>
      </w:r>
      <w:r w:rsidR="00A34904">
        <w:rPr>
          <w:rFonts w:ascii="Times New Roman" w:hAnsi="Times New Roman"/>
          <w:b/>
          <w:bCs/>
          <w:sz w:val="24"/>
        </w:rPr>
        <w:t>5</w:t>
      </w:r>
      <w:r>
        <w:rPr>
          <w:rFonts w:ascii="Times New Roman" w:hAnsi="Times New Roman"/>
          <w:b/>
          <w:bCs/>
          <w:sz w:val="24"/>
        </w:rPr>
        <w:t xml:space="preserve">: </w:t>
      </w:r>
      <w:r>
        <w:rPr>
          <w:rFonts w:ascii="Times New Roman" w:hAnsi="Times New Roman"/>
          <w:sz w:val="24"/>
        </w:rPr>
        <w:t>One commenter</w:t>
      </w:r>
      <w:r w:rsidRPr="006F68E9">
        <w:rPr>
          <w:rFonts w:ascii="Times New Roman" w:hAnsi="Times New Roman"/>
          <w:sz w:val="24"/>
        </w:rPr>
        <w:t xml:space="preserve"> claimed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failed to provide a reasoned basis for imposing the backup power requirements, stating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never attempted to provide any data supporting these requirements and that Appendix A to the Technical Support Document do not appear to identify any accidents caused by a loss of power. The commenter believed that EPA justified the proposal based on what the commenter claimed were unsubstantiated concerns “that air monitoring and control equipment is often removed from service” at unidentified facilities “before natural disasters” or that owners and operators may “conceivably in some cases” use a loss of power to intentionally “evade monitoring requirements.” The commenter referred to EPA’s discussion of anecdotes and NRC reporting to argue that power loss may lead to releases of regulated substances but claimed that such justification falls apart with EPA’s noting that “most of these incidents” used to justify the new requirements “did not involve RMP chemicals, processes, or accidental releases.” The commenter requested that, to support the proposed requirements, EPA must provide relevant data (0207).</w:t>
      </w:r>
    </w:p>
    <w:p w:rsidR="00EA5DFF" w:rsidP="00EA5DFF" w14:paraId="2B39E12E" w14:textId="7BA493B6">
      <w:pPr>
        <w:ind w:left="720"/>
        <w:rPr>
          <w:rFonts w:ascii="Times New Roman" w:hAnsi="Times New Roman"/>
          <w:sz w:val="24"/>
        </w:rPr>
      </w:pPr>
      <w:r w:rsidRPr="00A1185A">
        <w:rPr>
          <w:rFonts w:ascii="Times New Roman" w:hAnsi="Times New Roman"/>
          <w:b/>
          <w:sz w:val="24"/>
        </w:rPr>
        <w:t>EPA Response:</w:t>
      </w:r>
      <w:r>
        <w:rPr>
          <w:rFonts w:ascii="Times New Roman" w:hAnsi="Times New Roman"/>
          <w:b/>
          <w:bCs/>
          <w:sz w:val="24"/>
        </w:rPr>
        <w:t xml:space="preserve"> </w:t>
      </w:r>
      <w:r w:rsidRPr="001F2B29">
        <w:rPr>
          <w:rFonts w:ascii="Times New Roman" w:hAnsi="Times New Roman"/>
          <w:sz w:val="24"/>
        </w:rPr>
        <w:t xml:space="preserve">Both paragraph (A) and subparagraph (B)(i) of </w:t>
      </w:r>
      <w:r>
        <w:rPr>
          <w:rFonts w:ascii="Times New Roman" w:hAnsi="Times New Roman"/>
          <w:sz w:val="24"/>
        </w:rPr>
        <w:t xml:space="preserve">CAA </w:t>
      </w:r>
      <w:r w:rsidRPr="001F2B29">
        <w:rPr>
          <w:rFonts w:ascii="Times New Roman" w:hAnsi="Times New Roman"/>
          <w:sz w:val="24"/>
        </w:rPr>
        <w:t>section 112(r)(7) explicitly grant EPA the authority to require monitoring for accidental releases. See CAA section 112(r)(7)(A)) (EPA “authorized to promulgate release prevention, detection, and correction requirements which may include monitoring”); CAA section 112(r)(7)(B)(I) (as appropriate, the accidental release regulations shall cover the use, operation, and upkeep of equipment to monitor accidental releases). The original rule established, through its statutory authority, the requirement to monitor for accidental releases to help prevent and mitigate releases. Therefore, backup and emergency power system requirements being finalized in this rule simply ensure proper operation of monitors and continuous compliance with the existing requirement.</w:t>
      </w:r>
    </w:p>
    <w:p w:rsidR="00D43808" w:rsidRPr="008B2CB2" w:rsidP="008B2CB2" w14:paraId="591F7E7F" w14:textId="5FCCD641">
      <w:pPr>
        <w:ind w:left="720"/>
        <w:rPr>
          <w:rFonts w:ascii="Times New Roman" w:hAnsi="Times New Roman"/>
          <w:sz w:val="24"/>
        </w:rPr>
      </w:pPr>
      <w:r>
        <w:rPr>
          <w:rFonts w:ascii="Times New Roman" w:hAnsi="Times New Roman"/>
          <w:sz w:val="24"/>
        </w:rPr>
        <w:t>Further</w:t>
      </w:r>
      <w:r w:rsidRPr="008B2CB2" w:rsidR="009B4385">
        <w:rPr>
          <w:rFonts w:ascii="Times New Roman" w:hAnsi="Times New Roman"/>
          <w:sz w:val="24"/>
        </w:rPr>
        <w:t xml:space="preserve">, the 2022 SCCAP proposed rule and the accompanying Technical Background Document show that past accidents have been caused by power failure, and the backup power provisions target these events. </w:t>
      </w:r>
      <w:r w:rsidRPr="008B2CB2" w:rsidR="009B4385">
        <w:rPr>
          <w:rFonts w:ascii="Times New Roman" w:hAnsi="Times New Roman"/>
          <w:sz w:val="24"/>
        </w:rPr>
        <w:t>Based on RMP-reportable accident and other data</w:t>
      </w:r>
      <w:r w:rsidR="007836C1">
        <w:rPr>
          <w:rFonts w:ascii="Times New Roman" w:hAnsi="Times New Roman"/>
          <w:sz w:val="24"/>
        </w:rPr>
        <w:t xml:space="preserve"> from RMP regulated industry sectors</w:t>
      </w:r>
      <w:r>
        <w:rPr>
          <w:rStyle w:val="FootnoteReference"/>
          <w:rFonts w:ascii="Times New Roman" w:hAnsi="Times New Roman"/>
          <w:sz w:val="24"/>
        </w:rPr>
        <w:footnoteReference w:id="67"/>
      </w:r>
      <w:r w:rsidRPr="008B2CB2" w:rsidR="009B4385">
        <w:rPr>
          <w:rFonts w:ascii="Times New Roman" w:hAnsi="Times New Roman"/>
          <w:sz w:val="24"/>
        </w:rPr>
        <w:t xml:space="preserve">, </w:t>
      </w:r>
      <w:r w:rsidRPr="008B2CB2" w:rsidR="009B4385">
        <w:rPr>
          <w:rFonts w:ascii="Times New Roman" w:hAnsi="Times New Roman"/>
          <w:sz w:val="24"/>
        </w:rPr>
        <w:t>chemical accidents can impose substantial costs on firms, employees, emergency responders, the community, and the broader economy. Reducing the risk of such accidents, the severity of the impacts when accidents occur, and improving information availability, as the provisions of this final rule intend, will provide benefits to the potentially affected members of society.</w:t>
      </w:r>
    </w:p>
    <w:p w:rsidR="00FF2152" w:rsidP="008B2CB2" w14:paraId="1C833AAE" w14:textId="73A32A09">
      <w:pPr>
        <w:ind w:left="720"/>
        <w:rPr>
          <w:rFonts w:ascii="Times New Roman" w:hAnsi="Times New Roman"/>
          <w:sz w:val="24"/>
        </w:rPr>
      </w:pPr>
      <w:r>
        <w:rPr>
          <w:rFonts w:ascii="Times New Roman" w:hAnsi="Times New Roman"/>
          <w:sz w:val="24"/>
        </w:rPr>
        <w:t>Lastly, i</w:t>
      </w:r>
      <w:r w:rsidRPr="00FF2152">
        <w:rPr>
          <w:rFonts w:ascii="Times New Roman" w:hAnsi="Times New Roman"/>
          <w:sz w:val="24"/>
        </w:rPr>
        <w:t xml:space="preserve">n response to comments regarding facilities’ removal of air monitoring equipment, EPA notes that the final rule is revising 40 CFR 68.52(b)(9) and 68.69(a)(4) </w:t>
      </w:r>
      <w:r w:rsidRPr="00FF2152">
        <w:rPr>
          <w:rFonts w:ascii="Times New Roman" w:hAnsi="Times New Roman"/>
          <w:sz w:val="24"/>
        </w:rPr>
        <w:t>to require documentation of the removal of monitoring equipment for accidental releases during disasters in facility operating procedures. In doing so, the Agency addresses the concern that the threat of extreme weather events has, and will continue to be, used by some owners or operators to justify disabling equipment designed to monitor and detect chemical releases of RMP-regulated substances at their facility</w:t>
      </w:r>
      <w:r w:rsidR="00F86167">
        <w:rPr>
          <w:rFonts w:ascii="Times New Roman" w:hAnsi="Times New Roman"/>
          <w:sz w:val="24"/>
        </w:rPr>
        <w:t xml:space="preserve"> </w:t>
      </w:r>
      <w:r w:rsidRPr="00F86167" w:rsidR="00F86167">
        <w:rPr>
          <w:rFonts w:ascii="Times New Roman" w:hAnsi="Times New Roman"/>
          <w:sz w:val="24"/>
        </w:rPr>
        <w:t>(87 FR 53571)</w:t>
      </w:r>
      <w:r w:rsidRPr="00FF2152">
        <w:rPr>
          <w:rFonts w:ascii="Times New Roman" w:hAnsi="Times New Roman"/>
          <w:sz w:val="24"/>
        </w:rPr>
        <w:t>. To prevent accidental releases, RMP owners or operators are required to develop a program that includes monitoring for such releases. EPA does not believe all natural disasters should be treated as an exception to this requirement. However, EPA understands that, in some situations, such as hurricane winds, there is a potential for damage to, or by, monitoring equipment if not secured and allows a source to shut down monitoring equipment in such cases provided that an explanation is included in its RMP.</w:t>
      </w:r>
    </w:p>
    <w:p w:rsidR="00D43808" w:rsidP="00D43808" w14:paraId="2844B517" w14:textId="72F87896">
      <w:pPr>
        <w:rPr>
          <w:rFonts w:ascii="Times New Roman" w:hAnsi="Times New Roman"/>
          <w:sz w:val="24"/>
        </w:rPr>
      </w:pPr>
      <w:r>
        <w:rPr>
          <w:rFonts w:ascii="Times New Roman" w:hAnsi="Times New Roman"/>
          <w:b/>
          <w:bCs/>
          <w:sz w:val="24"/>
        </w:rPr>
        <w:t>Comment 3.2-1</w:t>
      </w:r>
      <w:r w:rsidR="00A34904">
        <w:rPr>
          <w:rFonts w:ascii="Times New Roman" w:hAnsi="Times New Roman"/>
          <w:b/>
          <w:bCs/>
          <w:sz w:val="24"/>
        </w:rPr>
        <w:t>6</w:t>
      </w:r>
      <w:r>
        <w:rPr>
          <w:rFonts w:ascii="Times New Roman" w:hAnsi="Times New Roman"/>
          <w:b/>
          <w:bCs/>
          <w:sz w:val="24"/>
        </w:rPr>
        <w:t xml:space="preserve">: </w:t>
      </w:r>
      <w:r>
        <w:rPr>
          <w:rFonts w:ascii="Times New Roman" w:hAnsi="Times New Roman"/>
          <w:sz w:val="24"/>
        </w:rPr>
        <w:t>One commenter</w:t>
      </w:r>
      <w:r w:rsidRPr="006F68E9">
        <w:rPr>
          <w:rFonts w:ascii="Times New Roman" w:hAnsi="Times New Roman"/>
          <w:sz w:val="24"/>
        </w:rPr>
        <w:t xml:space="preserve"> opposed </w:t>
      </w:r>
      <w:r>
        <w:rPr>
          <w:rFonts w:ascii="Times New Roman" w:hAnsi="Times New Roman"/>
          <w:sz w:val="24"/>
        </w:rPr>
        <w:t>the proposed requirements for backup power for air pollution control or monitoring equipment</w:t>
      </w:r>
      <w:r w:rsidRPr="006F68E9">
        <w:rPr>
          <w:rFonts w:ascii="Times New Roman" w:hAnsi="Times New Roman"/>
          <w:sz w:val="24"/>
        </w:rPr>
        <w:t>, noting that a PHA may conclude that backup power is appropriate for monitoring equipment but in many other processes, the relevant reaction may simply cease if electric power is no longer available. The commenter believed there would be no reason to continue powering air pollution control devices or monitors in such a case (0275).</w:t>
      </w:r>
    </w:p>
    <w:p w:rsidR="008428D3" w:rsidP="00D43808" w14:paraId="67D4A27C" w14:textId="636A63A2">
      <w:pPr>
        <w:rPr>
          <w:rFonts w:ascii="Times New Roman" w:hAnsi="Times New Roman"/>
          <w:sz w:val="24"/>
        </w:rPr>
      </w:pPr>
      <w:r>
        <w:rPr>
          <w:rFonts w:ascii="Times New Roman" w:hAnsi="Times New Roman"/>
          <w:sz w:val="24"/>
        </w:rPr>
        <w:t>Two</w:t>
      </w:r>
      <w:r w:rsidRPr="006F68E9">
        <w:rPr>
          <w:rFonts w:ascii="Times New Roman" w:hAnsi="Times New Roman"/>
          <w:sz w:val="24"/>
        </w:rPr>
        <w:t xml:space="preserve"> commenter</w:t>
      </w:r>
      <w:r>
        <w:rPr>
          <w:rFonts w:ascii="Times New Roman" w:hAnsi="Times New Roman"/>
          <w:sz w:val="24"/>
        </w:rPr>
        <w:t xml:space="preserve">s </w:t>
      </w:r>
      <w:r w:rsidRPr="006F68E9">
        <w:rPr>
          <w:rFonts w:ascii="Times New Roman" w:hAnsi="Times New Roman"/>
          <w:sz w:val="24"/>
        </w:rPr>
        <w:t>stated that the requirement for air pollution control or monitoring equipment associated with prevention and detection of accidental releases from RMP-regulated processes to have standby or backup power does not seem to be expressed anywhere in the proposed regulatory text</w:t>
      </w:r>
      <w:r>
        <w:rPr>
          <w:rFonts w:ascii="Times New Roman" w:hAnsi="Times New Roman"/>
          <w:sz w:val="24"/>
        </w:rPr>
        <w:t xml:space="preserve"> (0215, </w:t>
      </w:r>
      <w:r w:rsidRPr="00AA5419">
        <w:rPr>
          <w:rFonts w:ascii="Times New Roman" w:hAnsi="Times New Roman"/>
          <w:sz w:val="24"/>
        </w:rPr>
        <w:t>0275). One of the commenters stated that if EPA intends to require standby or backup power for air pollution control or detection equipment in all circumstances, the regulatory text should make that clear. The commenter also stated that as with any new regulatory requirements, EPA must provide adequate justification and address the costs and benefits in its economic analysis of the proposed rule (0215).</w:t>
      </w:r>
    </w:p>
    <w:p w:rsidR="00474979" w:rsidRPr="001C222C" w:rsidP="00275D43" w14:paraId="234EFC34" w14:textId="46B02DCE">
      <w:pPr>
        <w:ind w:left="720"/>
        <w:rPr>
          <w:rFonts w:ascii="Times New Roman" w:hAnsi="Times New Roman"/>
          <w:sz w:val="24"/>
        </w:rPr>
      </w:pPr>
      <w:r w:rsidRPr="00DA2B11">
        <w:rPr>
          <w:rFonts w:ascii="Times New Roman" w:hAnsi="Times New Roman"/>
          <w:b/>
          <w:bCs/>
          <w:sz w:val="24"/>
        </w:rPr>
        <w:t>Response:</w:t>
      </w:r>
      <w:r w:rsidRPr="00AA5419">
        <w:rPr>
          <w:rFonts w:ascii="Times New Roman" w:hAnsi="Times New Roman"/>
          <w:b/>
          <w:bCs/>
          <w:sz w:val="24"/>
        </w:rPr>
        <w:t xml:space="preserve"> </w:t>
      </w:r>
      <w:r w:rsidRPr="001C222C">
        <w:rPr>
          <w:rFonts w:ascii="Times New Roman" w:hAnsi="Times New Roman"/>
          <w:sz w:val="24"/>
        </w:rPr>
        <w:t>To prevent accidents, RMP owners or operators are required to develop a program that includes monitoring for accidental releases. EPA does not believe natural disasters should be treated as an exception to this</w:t>
      </w:r>
      <w:r w:rsidRPr="001C222C" w:rsidR="001C222C">
        <w:rPr>
          <w:rFonts w:ascii="Times New Roman" w:hAnsi="Times New Roman"/>
          <w:sz w:val="24"/>
        </w:rPr>
        <w:t xml:space="preserve"> </w:t>
      </w:r>
      <w:r w:rsidRPr="393C66C7" w:rsidR="001C222C">
        <w:rPr>
          <w:rFonts w:ascii="Times New Roman" w:hAnsi="Times New Roman"/>
          <w:sz w:val="24"/>
          <w14:ligatures w14:val="standardContextual"/>
        </w:rPr>
        <w:t>requirement. A large-scale natural disaster may threaten multiple RMP facilities</w:t>
      </w:r>
      <w:r w:rsidRPr="00DA2B11" w:rsidR="00DA2B11">
        <w:t xml:space="preserve"> </w:t>
      </w:r>
      <w:r w:rsidRPr="393C66C7" w:rsidR="00DA2B11">
        <w:rPr>
          <w:rFonts w:ascii="Times New Roman" w:hAnsi="Times New Roman"/>
          <w:sz w:val="24"/>
          <w14:ligatures w14:val="standardContextual"/>
        </w:rPr>
        <w:t>in a community simultaneously</w:t>
      </w:r>
      <w:r w:rsidRPr="393C66C7" w:rsidR="00750759">
        <w:rPr>
          <w:rFonts w:ascii="Times New Roman" w:hAnsi="Times New Roman"/>
          <w:sz w:val="24"/>
          <w14:ligatures w14:val="standardContextual"/>
        </w:rPr>
        <w:t xml:space="preserve">, </w:t>
      </w:r>
      <w:r w:rsidRPr="393C66C7" w:rsidR="098C5B25">
        <w:rPr>
          <w:rFonts w:ascii="Times New Roman" w:hAnsi="Times New Roman"/>
          <w:sz w:val="24"/>
          <w14:ligatures w14:val="standardContextual"/>
        </w:rPr>
        <w:t xml:space="preserve">regardless </w:t>
      </w:r>
      <w:r w:rsidRPr="393C66C7" w:rsidR="00750759">
        <w:rPr>
          <w:rFonts w:ascii="Times New Roman" w:hAnsi="Times New Roman"/>
          <w:sz w:val="24"/>
          <w14:ligatures w14:val="standardContextual"/>
        </w:rPr>
        <w:t>of the</w:t>
      </w:r>
      <w:r w:rsidRPr="393C66C7" w:rsidR="00DA2B11">
        <w:rPr>
          <w:rFonts w:ascii="Times New Roman" w:hAnsi="Times New Roman"/>
          <w:sz w:val="24"/>
          <w14:ligatures w14:val="standardContextual"/>
        </w:rPr>
        <w:t xml:space="preserve"> process being operational, </w:t>
      </w:r>
      <w:r w:rsidRPr="393C66C7" w:rsidR="001C222C">
        <w:rPr>
          <w:rFonts w:ascii="Times New Roman" w:hAnsi="Times New Roman"/>
          <w:sz w:val="24"/>
          <w14:ligatures w14:val="standardContextual"/>
        </w:rPr>
        <w:t>leaving communities to endure the direct effects of a natural disaster without receiving warning of associated chemical releases. EPA wants to ensure RMP-regulated substances at covered processes are continually being monitored so that potential exposure to</w:t>
      </w:r>
      <w:r w:rsidRPr="393C66C7" w:rsidR="003C30D5">
        <w:rPr>
          <w:rFonts w:ascii="Times New Roman" w:hAnsi="Times New Roman"/>
          <w:sz w:val="24"/>
          <w14:ligatures w14:val="standardContextual"/>
        </w:rPr>
        <w:t xml:space="preserve"> </w:t>
      </w:r>
      <w:r w:rsidRPr="393C66C7" w:rsidR="001C222C">
        <w:rPr>
          <w:rFonts w:ascii="Times New Roman" w:hAnsi="Times New Roman"/>
          <w:sz w:val="24"/>
          <w14:ligatures w14:val="standardContextual"/>
        </w:rPr>
        <w:t>chemical substances can be measured during and following a natural disaster.</w:t>
      </w:r>
      <w:r w:rsidRPr="393C66C7" w:rsidR="00EF2A74">
        <w:rPr>
          <w:rFonts w:ascii="Times New Roman" w:hAnsi="Times New Roman"/>
          <w:sz w:val="24"/>
          <w14:ligatures w14:val="standardContextual"/>
        </w:rPr>
        <w:t xml:space="preserve"> </w:t>
      </w:r>
      <w:r w:rsidRPr="393C66C7" w:rsidR="00157A80">
        <w:rPr>
          <w:rFonts w:ascii="Times New Roman" w:hAnsi="Times New Roman"/>
          <w:sz w:val="24"/>
          <w14:ligatures w14:val="standardContextual"/>
        </w:rPr>
        <w:t>EPA is therefore requiring standby or backup power for air pollution control or monitoring equipment associated with prevention and detection of accidental releases from RMP-regulated processes.</w:t>
      </w:r>
      <w:r w:rsidRPr="003B3502" w:rsidR="003B3502">
        <w:rPr>
          <w:rFonts w:ascii="Times New Roman" w:hAnsi="Times New Roman"/>
          <w:sz w:val="24"/>
        </w:rPr>
        <w:t xml:space="preserve"> </w:t>
      </w:r>
      <w:r w:rsidR="00960C4C">
        <w:rPr>
          <w:rFonts w:ascii="Times New Roman" w:hAnsi="Times New Roman"/>
          <w:sz w:val="24"/>
        </w:rPr>
        <w:t>I</w:t>
      </w:r>
      <w:r w:rsidRPr="393C66C7" w:rsidR="003B3502">
        <w:rPr>
          <w:rFonts w:ascii="Times New Roman" w:hAnsi="Times New Roman"/>
          <w:sz w:val="24"/>
        </w:rPr>
        <w:t xml:space="preserve">f a process has </w:t>
      </w:r>
      <w:r w:rsidR="003B3502">
        <w:rPr>
          <w:rFonts w:ascii="Times New Roman" w:hAnsi="Times New Roman"/>
          <w:sz w:val="24"/>
        </w:rPr>
        <w:t>powerless</w:t>
      </w:r>
      <w:r w:rsidRPr="393C66C7" w:rsidR="003B3502">
        <w:rPr>
          <w:rFonts w:ascii="Times New Roman" w:hAnsi="Times New Roman"/>
          <w:sz w:val="24"/>
        </w:rPr>
        <w:t xml:space="preserve"> controls </w:t>
      </w:r>
      <w:r w:rsidR="00E26525">
        <w:rPr>
          <w:rFonts w:ascii="Times New Roman" w:hAnsi="Times New Roman"/>
          <w:sz w:val="24"/>
        </w:rPr>
        <w:t>(e.g., passive mitigation)</w:t>
      </w:r>
      <w:r w:rsidRPr="393C66C7" w:rsidR="003B3502">
        <w:rPr>
          <w:rFonts w:ascii="Times New Roman" w:hAnsi="Times New Roman"/>
          <w:sz w:val="24"/>
        </w:rPr>
        <w:t xml:space="preserve"> that prevent an accidental release during power loss, then no power would be needed as part of the accidental release emission control equipment, and no backup power would need to be provided.</w:t>
      </w:r>
    </w:p>
    <w:p w:rsidR="00D43808" w:rsidRPr="0070552B" w:rsidP="00D43808" w14:paraId="3B686508" w14:textId="77777777">
      <w:pPr>
        <w:rPr>
          <w:rFonts w:ascii="Times New Roman" w:hAnsi="Times New Roman"/>
          <w:i/>
          <w:iCs/>
          <w:sz w:val="24"/>
        </w:rPr>
      </w:pPr>
      <w:r>
        <w:rPr>
          <w:rFonts w:ascii="Times New Roman" w:hAnsi="Times New Roman"/>
          <w:i/>
          <w:iCs/>
          <w:sz w:val="24"/>
        </w:rPr>
        <w:t>Requests for clarification</w:t>
      </w:r>
    </w:p>
    <w:p w:rsidR="00D43808" w:rsidP="00D43808" w14:paraId="2EF8A6F8" w14:textId="74E415BA">
      <w:pPr>
        <w:rPr>
          <w:rFonts w:ascii="Times New Roman" w:hAnsi="Times New Roman"/>
          <w:sz w:val="24"/>
        </w:rPr>
      </w:pPr>
      <w:r>
        <w:rPr>
          <w:rStyle w:val="Strong"/>
          <w:rFonts w:ascii="Times New Roman" w:hAnsi="Times New Roman"/>
          <w:bCs w:val="0"/>
          <w:sz w:val="24"/>
        </w:rPr>
        <w:t>Comment 3.2-1</w:t>
      </w:r>
      <w:r w:rsidR="00A34904">
        <w:rPr>
          <w:rStyle w:val="Strong"/>
          <w:rFonts w:ascii="Times New Roman" w:hAnsi="Times New Roman"/>
          <w:bCs w:val="0"/>
          <w:sz w:val="24"/>
        </w:rPr>
        <w:t>7</w:t>
      </w:r>
      <w:r>
        <w:rPr>
          <w:rStyle w:val="Strong"/>
          <w:rFonts w:ascii="Times New Roman" w:hAnsi="Times New Roman"/>
          <w:bCs w:val="0"/>
          <w:sz w:val="24"/>
        </w:rPr>
        <w:t xml:space="preserve">: </w:t>
      </w:r>
      <w:r w:rsidRPr="006F68E9">
        <w:rPr>
          <w:rStyle w:val="Strong"/>
          <w:rFonts w:ascii="Times New Roman" w:hAnsi="Times New Roman"/>
          <w:b w:val="0"/>
          <w:sz w:val="24"/>
        </w:rPr>
        <w:t xml:space="preserve">One commenter requested that EPA clarify its proposal with respect to standby or backup power for air pollution control or monitoring equipment. The commenter noted the </w:t>
      </w:r>
      <w:r w:rsidRPr="006F68E9">
        <w:rPr>
          <w:rFonts w:ascii="Times New Roman" w:hAnsi="Times New Roman"/>
          <w:sz w:val="24"/>
        </w:rPr>
        <w:t xml:space="preserve">intent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ule’s preamble to require air pollution control or monitoring equipment associated with prevention and detection of accidental releases to have standby or backup power. The commenter claimed that there is no reference in the proposed revisions to the </w:t>
      </w:r>
      <w:r w:rsidRPr="006F68E9">
        <w:rPr>
          <w:rFonts w:ascii="Times New Roman" w:hAnsi="Times New Roman"/>
          <w:sz w:val="24"/>
        </w:rPr>
        <w:t xml:space="preserve">regulatory text to air pollution control or monitoring equipment. The commenter claimed that hazard evaluations for Program 2 and 3 facilities would have to specifically address standby or emergency power systems for hazard prevention-related equipment, but that it was not clear from the proposed regulatory text that such provisions would necessarily require backup power for air pollution control equipment nor what the relevant types of equipment would be. The commenter believed that the lack of details and ambiguity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meant that they had not been provided a meaningful opportunity to comment (0233).</w:t>
      </w:r>
    </w:p>
    <w:p w:rsidR="00D43808" w:rsidRPr="003570B4" w:rsidP="00100E95" w14:paraId="142A4160" w14:textId="0BED427F">
      <w:pPr>
        <w:ind w:left="720"/>
        <w:rPr>
          <w:rFonts w:ascii="Times New Roman" w:hAnsi="Times New Roman"/>
          <w:b/>
          <w:bCs/>
          <w:sz w:val="24"/>
        </w:rPr>
      </w:pPr>
      <w:r w:rsidRPr="00100E95">
        <w:rPr>
          <w:rFonts w:ascii="Times New Roman" w:hAnsi="Times New Roman"/>
          <w:b/>
          <w:bCs/>
          <w:sz w:val="24"/>
        </w:rPr>
        <w:t>EPA Response:</w:t>
      </w:r>
      <w:r w:rsidR="00100E95">
        <w:rPr>
          <w:rFonts w:ascii="Times New Roman" w:hAnsi="Times New Roman"/>
          <w:b/>
          <w:bCs/>
          <w:sz w:val="24"/>
        </w:rPr>
        <w:t xml:space="preserve"> </w:t>
      </w:r>
      <w:r w:rsidRPr="009F1C17" w:rsidR="00100E95">
        <w:rPr>
          <w:rFonts w:ascii="Times New Roman" w:hAnsi="Times New Roman"/>
          <w:sz w:val="24"/>
        </w:rPr>
        <w:t xml:space="preserve">This was </w:t>
      </w:r>
      <w:r w:rsidR="00100E95">
        <w:rPr>
          <w:rFonts w:ascii="Times New Roman" w:hAnsi="Times New Roman"/>
          <w:sz w:val="24"/>
        </w:rPr>
        <w:t>erroneously omitted in the SCCAP proposal. E</w:t>
      </w:r>
      <w:r w:rsidRPr="009F1C17" w:rsidR="00100E95">
        <w:rPr>
          <w:rFonts w:ascii="Times New Roman" w:hAnsi="Times New Roman"/>
          <w:sz w:val="24"/>
        </w:rPr>
        <w:t>PA has included in the SCCAP final rule regulatory text at 40 CFR 68.50(a)(3) and 68.67(c)(3) t</w:t>
      </w:r>
      <w:r w:rsidR="00100E95">
        <w:rPr>
          <w:rFonts w:ascii="Times New Roman" w:hAnsi="Times New Roman"/>
          <w:sz w:val="24"/>
        </w:rPr>
        <w:t>he</w:t>
      </w:r>
      <w:r w:rsidRPr="009F1C17" w:rsidR="00100E95">
        <w:rPr>
          <w:rFonts w:ascii="Times New Roman" w:hAnsi="Times New Roman"/>
          <w:sz w:val="24"/>
        </w:rPr>
        <w:t xml:space="preserve"> require</w:t>
      </w:r>
      <w:r w:rsidR="00100E95">
        <w:rPr>
          <w:rFonts w:ascii="Times New Roman" w:hAnsi="Times New Roman"/>
          <w:sz w:val="24"/>
        </w:rPr>
        <w:t>ment for</w:t>
      </w:r>
      <w:r w:rsidRPr="009F1C17" w:rsidR="00100E95">
        <w:rPr>
          <w:rFonts w:ascii="Times New Roman" w:hAnsi="Times New Roman"/>
          <w:sz w:val="24"/>
        </w:rPr>
        <w:t xml:space="preserve"> monitoring equipment associated with prevention and detection of accidental releases from covered processes to have standby or backup power.</w:t>
      </w:r>
    </w:p>
    <w:p w:rsidR="00D43808" w:rsidRPr="00F43C88" w:rsidP="00D43808" w14:paraId="2E1F5075" w14:textId="53054F3D">
      <w:pPr>
        <w:rPr>
          <w:rFonts w:ascii="Times New Roman" w:hAnsi="Times New Roman"/>
          <w:sz w:val="24"/>
        </w:rPr>
      </w:pPr>
      <w:r w:rsidRPr="00F43C88">
        <w:rPr>
          <w:rFonts w:ascii="Times New Roman" w:hAnsi="Times New Roman"/>
          <w:b/>
          <w:bCs/>
          <w:sz w:val="24"/>
        </w:rPr>
        <w:t>Comment</w:t>
      </w:r>
      <w:r>
        <w:rPr>
          <w:rFonts w:ascii="Times New Roman" w:hAnsi="Times New Roman"/>
          <w:b/>
          <w:bCs/>
          <w:sz w:val="24"/>
        </w:rPr>
        <w:t xml:space="preserve"> 3.2-</w:t>
      </w:r>
      <w:r w:rsidR="008428D3">
        <w:rPr>
          <w:rFonts w:ascii="Times New Roman" w:hAnsi="Times New Roman"/>
          <w:b/>
          <w:bCs/>
          <w:sz w:val="24"/>
        </w:rPr>
        <w:t>18</w:t>
      </w:r>
      <w:r w:rsidRPr="00F43C88">
        <w:rPr>
          <w:rFonts w:ascii="Times New Roman" w:hAnsi="Times New Roman"/>
          <w:b/>
          <w:bCs/>
          <w:sz w:val="24"/>
        </w:rPr>
        <w:t xml:space="preserve">: </w:t>
      </w:r>
      <w:r w:rsidRPr="00F43C88">
        <w:rPr>
          <w:rFonts w:ascii="Times New Roman" w:hAnsi="Times New Roman"/>
          <w:sz w:val="24"/>
        </w:rPr>
        <w:t>Another commenter stated that the proposed rule’s analysis of the power loss issue is ambiguous and should be clarified in a supplemental notice of proposed rule. The commenter also requested that EPA provide additional clarification for the type of equipment the proposed rule is meant to address. The commenter noted that there are many examples of air monitoring systems used to detect accidental releases and it is not clear which equipment EPA is referring to concerning its stated expectation for standby/emergency power (0268).</w:t>
      </w:r>
    </w:p>
    <w:p w:rsidR="00BA5D00" w:rsidP="006549D6" w14:paraId="03871849" w14:textId="4502B991">
      <w:pPr>
        <w:ind w:left="720"/>
      </w:pPr>
      <w:r w:rsidRPr="00911704">
        <w:rPr>
          <w:rFonts w:ascii="Times New Roman" w:hAnsi="Times New Roman"/>
          <w:b/>
          <w:bCs/>
          <w:sz w:val="24"/>
        </w:rPr>
        <w:t>EPA Response:</w:t>
      </w:r>
      <w:r w:rsidRPr="00324243" w:rsidR="00324243">
        <w:t xml:space="preserve"> </w:t>
      </w:r>
      <w:r w:rsidRPr="00F01BCA" w:rsidR="00F01BCA">
        <w:rPr>
          <w:rFonts w:ascii="Times New Roman" w:hAnsi="Times New Roman"/>
          <w:sz w:val="24"/>
        </w:rPr>
        <w:t xml:space="preserve">EPA believes no supplemental proposal is needed to provide a meaningful opportunity for comment on the basis of and justification for the </w:t>
      </w:r>
      <w:r w:rsidR="00370395">
        <w:rPr>
          <w:rFonts w:ascii="Times New Roman" w:hAnsi="Times New Roman"/>
          <w:sz w:val="24"/>
        </w:rPr>
        <w:t xml:space="preserve">power loss </w:t>
      </w:r>
      <w:r w:rsidRPr="00F01BCA" w:rsidR="00F01BCA">
        <w:rPr>
          <w:rFonts w:ascii="Times New Roman" w:hAnsi="Times New Roman"/>
          <w:sz w:val="24"/>
        </w:rPr>
        <w:t>requirements adopted in the final rule.</w:t>
      </w:r>
      <w:r w:rsidRPr="00F01BCA" w:rsidR="00F01BCA">
        <w:t xml:space="preserve"> </w:t>
      </w:r>
      <w:r w:rsidRPr="00BA5D00">
        <w:rPr>
          <w:rFonts w:ascii="Times New Roman" w:hAnsi="Times New Roman"/>
          <w:sz w:val="24"/>
        </w:rPr>
        <w:t xml:space="preserve">The proposal drew robust substantive comment on the </w:t>
      </w:r>
      <w:r>
        <w:rPr>
          <w:rFonts w:ascii="Times New Roman" w:hAnsi="Times New Roman"/>
          <w:sz w:val="24"/>
        </w:rPr>
        <w:t xml:space="preserve">power loss provisions </w:t>
      </w:r>
      <w:r w:rsidRPr="00BA5D00">
        <w:rPr>
          <w:rFonts w:ascii="Times New Roman" w:hAnsi="Times New Roman"/>
          <w:sz w:val="24"/>
        </w:rPr>
        <w:t xml:space="preserve">raised by the proposal. The volume and detail of the comments supports the adequacy of the notice. </w:t>
      </w:r>
      <w:r w:rsidR="00776522">
        <w:rPr>
          <w:rFonts w:ascii="Times New Roman" w:hAnsi="Times New Roman"/>
          <w:sz w:val="24"/>
        </w:rPr>
        <w:t xml:space="preserve">To </w:t>
      </w:r>
      <w:r w:rsidRPr="00BA5D00">
        <w:rPr>
          <w:rFonts w:ascii="Times New Roman" w:hAnsi="Times New Roman"/>
          <w:sz w:val="24"/>
        </w:rPr>
        <w:t>the extent that the commenters contend that any provision of the final rule lacked notice of information of central relevance within the timeframes established by CAA 307(d)(7), the CAA provides a remedy procedure through the reconsideration process under CAA 307(d)(7)(B).</w:t>
      </w:r>
    </w:p>
    <w:p w:rsidR="00AE3E75" w:rsidP="006549D6" w14:paraId="5A6F882D" w14:textId="07243AAF">
      <w:pPr>
        <w:ind w:left="720"/>
        <w:rPr>
          <w:rFonts w:ascii="Times New Roman" w:hAnsi="Times New Roman"/>
          <w:sz w:val="24"/>
        </w:rPr>
      </w:pPr>
      <w:r w:rsidRPr="009073CC">
        <w:rPr>
          <w:rFonts w:ascii="Times New Roman" w:hAnsi="Times New Roman"/>
          <w:sz w:val="24"/>
        </w:rPr>
        <w:t>In the proposed rule, EPA provided data showing that power loss has resulted in serious accidental release incidents at RMP-regulated facilities, and EPA believes making more explicit t</w:t>
      </w:r>
      <w:r w:rsidR="003A156C">
        <w:rPr>
          <w:rFonts w:ascii="Times New Roman" w:hAnsi="Times New Roman"/>
          <w:sz w:val="24"/>
        </w:rPr>
        <w:t>he</w:t>
      </w:r>
      <w:r w:rsidRPr="009073CC">
        <w:rPr>
          <w:rFonts w:ascii="Times New Roman" w:hAnsi="Times New Roman"/>
          <w:sz w:val="24"/>
        </w:rPr>
        <w:t xml:space="preserve"> already-existing accident prevention program requirement to evaluate hazards of the process will ensure that threats of power loss are properly evaluated and managed to prevent or mitigate releases of RMP-regulated substances at covered facilities. </w:t>
      </w:r>
      <w:r w:rsidR="007D76E7">
        <w:rPr>
          <w:rFonts w:ascii="Times New Roman" w:hAnsi="Times New Roman"/>
          <w:sz w:val="24"/>
        </w:rPr>
        <w:t xml:space="preserve">Further, </w:t>
      </w:r>
      <w:r w:rsidRPr="007D76E7" w:rsidR="007D76E7">
        <w:rPr>
          <w:rFonts w:ascii="Times New Roman" w:hAnsi="Times New Roman"/>
          <w:sz w:val="24"/>
        </w:rPr>
        <w:t xml:space="preserve">EPA is not requiring implementation of standby or emergency power for the entirety of an RMP process at this time. </w:t>
      </w:r>
      <w:r w:rsidR="006549D6">
        <w:rPr>
          <w:rFonts w:ascii="Times New Roman" w:hAnsi="Times New Roman"/>
          <w:sz w:val="24"/>
        </w:rPr>
        <w:t>T</w:t>
      </w:r>
      <w:r w:rsidRPr="007D76E7" w:rsidR="007D76E7">
        <w:rPr>
          <w:rFonts w:ascii="Times New Roman" w:hAnsi="Times New Roman"/>
          <w:sz w:val="24"/>
        </w:rPr>
        <w:t>he Agency requir</w:t>
      </w:r>
      <w:r w:rsidR="006549D6">
        <w:rPr>
          <w:rFonts w:ascii="Times New Roman" w:hAnsi="Times New Roman"/>
          <w:sz w:val="24"/>
        </w:rPr>
        <w:t>es</w:t>
      </w:r>
      <w:r w:rsidRPr="007D76E7" w:rsidR="007D76E7">
        <w:rPr>
          <w:rFonts w:ascii="Times New Roman" w:hAnsi="Times New Roman"/>
          <w:sz w:val="24"/>
        </w:rPr>
        <w:t xml:space="preserve"> the source to consider the appropriateness of backup power for their process and to explain decisions not to implement backup power. There may be situations where backup power is not critical to chemical release prevention, so the rule provides sources the opportunity to explain their decision-making. Such an approach is consistent with the performance-based structure of the rule that relies on examination of process safety issues by the source, rational decision-making on the part of owners and operators, and oversight by implementing agencies through compliance assistance and enforcement and the public through disclosure. </w:t>
      </w:r>
    </w:p>
    <w:p w:rsidR="009073CC" w:rsidP="006549D6" w14:paraId="5D788B29" w14:textId="53A0C9EE">
      <w:pPr>
        <w:ind w:left="720"/>
        <w:rPr>
          <w:rFonts w:ascii="Times New Roman" w:hAnsi="Times New Roman"/>
          <w:sz w:val="24"/>
        </w:rPr>
      </w:pPr>
      <w:r w:rsidRPr="007D76E7">
        <w:rPr>
          <w:rFonts w:ascii="Times New Roman" w:hAnsi="Times New Roman"/>
          <w:sz w:val="24"/>
        </w:rPr>
        <w:t xml:space="preserve">EPA takes a slightly different approach with respect to backup power for monitors. EPA is requiring standby or backup power for air pollution control or monitoring equipment associated with prevention and detection of accidental releases from RMP-regulated processes and has amended regulatory language to reflect the requirement. EPA believes </w:t>
      </w:r>
      <w:r w:rsidRPr="007D76E7">
        <w:rPr>
          <w:rFonts w:ascii="Times New Roman" w:hAnsi="Times New Roman"/>
          <w:sz w:val="24"/>
        </w:rPr>
        <w:t>that doing so will help ensure compliance with the intent of the rule and ensure that the RMP-regulated substances at covered processes are continually being monitored so that potential exposure to chemical substances can be measured during and following a natural disaster. While the Agency acknowledges that there may be processes that do not require backup power, the Agency believes that once a facility has made and documented the determination that it is appropriate to have monitors for accidental releases, then ensuring their operation through requiring backup power is an appropriate operational requirement.</w:t>
      </w:r>
    </w:p>
    <w:p w:rsidR="00B04540" w:rsidP="00B04540" w14:paraId="04E006C0" w14:textId="1D29F68E">
      <w:pPr>
        <w:ind w:left="720"/>
        <w:rPr>
          <w:rFonts w:ascii="Times New Roman" w:hAnsi="Times New Roman"/>
          <w:sz w:val="24"/>
        </w:rPr>
      </w:pPr>
      <w:bookmarkStart w:id="46" w:name="_Hlk149022710"/>
      <w:r w:rsidRPr="00AA1406">
        <w:rPr>
          <w:rFonts w:ascii="Times New Roman" w:hAnsi="Times New Roman"/>
          <w:sz w:val="24"/>
        </w:rPr>
        <w:t xml:space="preserve">Conforming to the performance-based nature of the RMP rule, </w:t>
      </w:r>
      <w:r w:rsidRPr="00AA1406" w:rsidR="00FB1334">
        <w:rPr>
          <w:rFonts w:ascii="Times New Roman" w:hAnsi="Times New Roman"/>
          <w:sz w:val="24"/>
        </w:rPr>
        <w:t>the existing RMP regulations allow facility owners or operators to</w:t>
      </w:r>
      <w:r w:rsidR="008D32DC">
        <w:rPr>
          <w:rFonts w:ascii="Times New Roman" w:hAnsi="Times New Roman"/>
          <w:sz w:val="24"/>
        </w:rPr>
        <w:t xml:space="preserve"> </w:t>
      </w:r>
      <w:r w:rsidRPr="00AA1406" w:rsidR="00FB1334">
        <w:rPr>
          <w:rFonts w:ascii="Times New Roman" w:hAnsi="Times New Roman"/>
          <w:sz w:val="24"/>
        </w:rPr>
        <w:t>choose</w:t>
      </w:r>
      <w:r w:rsidR="00875CDA">
        <w:rPr>
          <w:rFonts w:ascii="Times New Roman" w:hAnsi="Times New Roman"/>
          <w:sz w:val="24"/>
        </w:rPr>
        <w:t xml:space="preserve"> </w:t>
      </w:r>
      <w:r w:rsidRPr="00AA1406" w:rsidR="00875CDA">
        <w:rPr>
          <w:rFonts w:ascii="Times New Roman" w:hAnsi="Times New Roman"/>
          <w:sz w:val="24"/>
        </w:rPr>
        <w:t>how they will detect releases at their facility</w:t>
      </w:r>
      <w:r w:rsidRPr="00AA1406" w:rsidR="00FB1334">
        <w:rPr>
          <w:rFonts w:ascii="Times New Roman" w:hAnsi="Times New Roman"/>
          <w:sz w:val="24"/>
        </w:rPr>
        <w:t>.</w:t>
      </w:r>
      <w:r>
        <w:rPr>
          <w:rStyle w:val="FootnoteReference"/>
          <w:rFonts w:ascii="Times New Roman" w:hAnsi="Times New Roman"/>
          <w:sz w:val="24"/>
        </w:rPr>
        <w:footnoteReference w:id="68"/>
      </w:r>
      <w:r w:rsidRPr="00AA1406" w:rsidR="00FB1334">
        <w:rPr>
          <w:rFonts w:ascii="Times New Roman" w:hAnsi="Times New Roman"/>
          <w:sz w:val="24"/>
        </w:rPr>
        <w:t xml:space="preserve"> </w:t>
      </w:r>
      <w:r w:rsidRPr="00AA1406" w:rsidR="0086664C">
        <w:rPr>
          <w:rFonts w:ascii="Times New Roman" w:hAnsi="Times New Roman"/>
          <w:sz w:val="24"/>
        </w:rPr>
        <w:t xml:space="preserve">Due to the numerous RMP-regulated substances—and </w:t>
      </w:r>
      <w:r w:rsidRPr="00AA1406" w:rsidR="002161D4">
        <w:rPr>
          <w:rFonts w:ascii="Times New Roman" w:hAnsi="Times New Roman"/>
          <w:sz w:val="24"/>
        </w:rPr>
        <w:t>different technologies</w:t>
      </w:r>
      <w:r w:rsidRPr="00AA1406" w:rsidR="0086664C">
        <w:rPr>
          <w:rFonts w:ascii="Times New Roman" w:hAnsi="Times New Roman"/>
          <w:sz w:val="24"/>
        </w:rPr>
        <w:t xml:space="preserve"> and methods available of accurately detecting those substances—EPA expects facilities to identify the most effective method of detecting releases of their specific substances, from their specific process operations, based on RAGAGEP.</w:t>
      </w:r>
      <w:r w:rsidRPr="00AA1406" w:rsidR="00D979F8">
        <w:rPr>
          <w:rFonts w:ascii="Times New Roman" w:hAnsi="Times New Roman"/>
          <w:sz w:val="24"/>
        </w:rPr>
        <w:t xml:space="preserve"> </w:t>
      </w:r>
      <w:r w:rsidRPr="00AA1406" w:rsidR="004F4ED6">
        <w:rPr>
          <w:rFonts w:ascii="Times New Roman" w:hAnsi="Times New Roman"/>
          <w:sz w:val="24"/>
        </w:rPr>
        <w:t>For example, EPA would expect facilities with anhydrous ammonia in ammonia refrigeration systems to adopt IIAR 9–2020, ‘‘Minimum System Safety Requirements for Existing Closed-Circuit Ammonia Refrigeration Systems’’ (specifically, section 7.3.12)</w:t>
      </w:r>
      <w:r>
        <w:rPr>
          <w:rStyle w:val="FootnoteReference"/>
          <w:rFonts w:ascii="Times New Roman" w:hAnsi="Times New Roman"/>
          <w:sz w:val="24"/>
        </w:rPr>
        <w:footnoteReference w:id="69"/>
      </w:r>
      <w:r w:rsidRPr="00AA1406" w:rsidR="004F4ED6">
        <w:rPr>
          <w:rFonts w:ascii="Times New Roman" w:hAnsi="Times New Roman"/>
          <w:sz w:val="24"/>
        </w:rPr>
        <w:t>, to address the specific requirements for ammonia detection and alarms in machinery rooms. For water and wastewater treatment facilities using gaseous chlorine, EPA would expect adoption of the Chlorine Institute’s ‘‘Pamphlet 73, Atmospheric Monitoring Equipment for Chlorine.</w:t>
      </w:r>
      <w:r>
        <w:rPr>
          <w:rStyle w:val="FootnoteReference"/>
          <w:rFonts w:ascii="Times New Roman" w:hAnsi="Times New Roman"/>
          <w:sz w:val="24"/>
        </w:rPr>
        <w:footnoteReference w:id="70"/>
      </w:r>
      <w:r w:rsidRPr="00AA1406" w:rsidR="004F4ED6">
        <w:rPr>
          <w:rFonts w:ascii="Times New Roman" w:hAnsi="Times New Roman"/>
          <w:sz w:val="24"/>
        </w:rPr>
        <w:t xml:space="preserve"> </w:t>
      </w:r>
      <w:bookmarkEnd w:id="46"/>
      <w:r w:rsidRPr="00AA1406" w:rsidR="000007B5">
        <w:rPr>
          <w:rFonts w:ascii="Times New Roman" w:hAnsi="Times New Roman"/>
          <w:sz w:val="24"/>
        </w:rPr>
        <w:t>Nevertheless, whichever monitoring system</w:t>
      </w:r>
      <w:r w:rsidR="00C55A6C">
        <w:rPr>
          <w:rFonts w:ascii="Times New Roman" w:hAnsi="Times New Roman"/>
          <w:sz w:val="24"/>
        </w:rPr>
        <w:t xml:space="preserve"> identified and</w:t>
      </w:r>
      <w:r w:rsidRPr="00AA1406" w:rsidR="000007B5">
        <w:rPr>
          <w:rFonts w:ascii="Times New Roman" w:hAnsi="Times New Roman"/>
          <w:sz w:val="24"/>
        </w:rPr>
        <w:t xml:space="preserve"> used, if it require</w:t>
      </w:r>
      <w:r w:rsidRPr="00AA1406" w:rsidR="003A23AE">
        <w:rPr>
          <w:rFonts w:ascii="Times New Roman" w:hAnsi="Times New Roman"/>
          <w:sz w:val="24"/>
        </w:rPr>
        <w:t>s power to operate</w:t>
      </w:r>
      <w:r w:rsidR="00C55A6C">
        <w:rPr>
          <w:rFonts w:ascii="Times New Roman" w:hAnsi="Times New Roman"/>
          <w:sz w:val="24"/>
        </w:rPr>
        <w:t>,</w:t>
      </w:r>
      <w:r w:rsidRPr="00AA1406" w:rsidR="003A23AE">
        <w:rPr>
          <w:rFonts w:ascii="Times New Roman" w:hAnsi="Times New Roman"/>
          <w:sz w:val="24"/>
        </w:rPr>
        <w:t xml:space="preserve"> EPA </w:t>
      </w:r>
      <w:r w:rsidR="004C26DF">
        <w:rPr>
          <w:rFonts w:ascii="Times New Roman" w:hAnsi="Times New Roman"/>
          <w:sz w:val="24"/>
        </w:rPr>
        <w:t>is requiring</w:t>
      </w:r>
      <w:r w:rsidRPr="00AA1406" w:rsidR="003A23AE">
        <w:rPr>
          <w:rFonts w:ascii="Times New Roman" w:hAnsi="Times New Roman"/>
          <w:sz w:val="24"/>
        </w:rPr>
        <w:t xml:space="preserve"> </w:t>
      </w:r>
      <w:r w:rsidRPr="00AA1406" w:rsidR="00AA1406">
        <w:rPr>
          <w:rFonts w:ascii="Times New Roman" w:hAnsi="Times New Roman"/>
          <w:sz w:val="24"/>
        </w:rPr>
        <w:t xml:space="preserve">those monitors to have backup or standby power. </w:t>
      </w:r>
    </w:p>
    <w:p w:rsidR="00FD7A30" w:rsidRPr="00AA1406" w:rsidP="00FD7A30" w14:paraId="301DD137" w14:textId="77777777">
      <w:pPr>
        <w:rPr>
          <w:rFonts w:ascii="Times New Roman" w:hAnsi="Times New Roman"/>
          <w:sz w:val="24"/>
        </w:rPr>
      </w:pPr>
    </w:p>
    <w:p w:rsidR="00D43808" w:rsidP="00FD7A30" w14:paraId="7BDFA7F1" w14:textId="77777777">
      <w:pPr>
        <w:pStyle w:val="Heading1"/>
        <w:spacing w:before="120"/>
      </w:pPr>
      <w:bookmarkStart w:id="47" w:name="_Toc146879985"/>
      <w:bookmarkStart w:id="48" w:name="_Toc153373779"/>
      <w:r w:rsidRPr="006F68E9">
        <w:t>Stationary Source Siting</w:t>
      </w:r>
      <w:bookmarkEnd w:id="47"/>
      <w:bookmarkEnd w:id="48"/>
    </w:p>
    <w:p w:rsidR="00D43808" w:rsidRPr="0034682A" w:rsidP="00D43808" w14:paraId="4E3ACEC0" w14:textId="77777777">
      <w:pPr>
        <w:rPr>
          <w:rFonts w:ascii="Times New Roman" w:hAnsi="Times New Roman"/>
          <w:i/>
          <w:iCs/>
          <w:sz w:val="24"/>
        </w:rPr>
      </w:pPr>
      <w:r w:rsidRPr="0034682A">
        <w:rPr>
          <w:rFonts w:ascii="Times New Roman" w:hAnsi="Times New Roman"/>
          <w:i/>
          <w:iCs/>
          <w:sz w:val="24"/>
        </w:rPr>
        <w:t>Comments associated with this issue are discussed in the sub-issues below.</w:t>
      </w:r>
    </w:p>
    <w:p w:rsidR="00D43808" w:rsidRPr="002C3D3E" w:rsidP="00FD7A30" w14:paraId="411A7271" w14:textId="77777777">
      <w:pPr>
        <w:pStyle w:val="Heading2"/>
        <w:spacing w:before="120"/>
        <w:rPr>
          <w:rFonts w:ascii="Times New Roman" w:hAnsi="Times New Roman" w:cs="Times New Roman"/>
          <w:b/>
          <w:bCs/>
          <w:color w:val="auto"/>
          <w:sz w:val="24"/>
          <w:szCs w:val="24"/>
        </w:rPr>
      </w:pPr>
      <w:bookmarkStart w:id="49" w:name="_Toc146879986"/>
      <w:bookmarkStart w:id="50" w:name="_Toc153373780"/>
      <w:r w:rsidRPr="6D3F9CC5">
        <w:rPr>
          <w:rFonts w:ascii="Times New Roman" w:hAnsi="Times New Roman" w:cs="Times New Roman"/>
          <w:b/>
          <w:bCs/>
          <w:color w:val="auto"/>
          <w:sz w:val="24"/>
          <w:szCs w:val="24"/>
        </w:rPr>
        <w:t xml:space="preserve">Proposed </w:t>
      </w:r>
      <w:bookmarkEnd w:id="49"/>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pproach</w:t>
      </w:r>
      <w:bookmarkEnd w:id="50"/>
    </w:p>
    <w:p w:rsidR="00D43808" w:rsidRPr="0012565E" w:rsidP="00D43808" w14:paraId="2EA538F6" w14:textId="77777777">
      <w:pPr>
        <w:rPr>
          <w:rFonts w:ascii="Times New Roman" w:hAnsi="Times New Roman"/>
          <w:i/>
          <w:iCs/>
          <w:sz w:val="24"/>
        </w:rPr>
      </w:pPr>
      <w:r>
        <w:rPr>
          <w:rFonts w:ascii="Times New Roman" w:hAnsi="Times New Roman"/>
          <w:i/>
          <w:iCs/>
          <w:sz w:val="24"/>
        </w:rPr>
        <w:t>Comments in support of amending the regulatory text defining stationary source evaluations for Program 2 and 3 processes</w:t>
      </w:r>
    </w:p>
    <w:p w:rsidR="00D43808" w:rsidP="00D43808" w14:paraId="1386FC07" w14:textId="77777777">
      <w:pPr>
        <w:rPr>
          <w:rFonts w:ascii="Times New Roman" w:hAnsi="Times New Roman"/>
          <w:sz w:val="24"/>
        </w:rPr>
      </w:pPr>
      <w:r>
        <w:rPr>
          <w:rFonts w:ascii="Times New Roman" w:hAnsi="Times New Roman"/>
          <w:b/>
          <w:bCs/>
          <w:sz w:val="24"/>
        </w:rPr>
        <w:t xml:space="preserve">Comment 4.1-01: </w:t>
      </w:r>
      <w:r w:rsidRPr="162835F2">
        <w:rPr>
          <w:rFonts w:ascii="Times New Roman" w:hAnsi="Times New Roman"/>
          <w:sz w:val="24"/>
        </w:rPr>
        <w:t>A few commenters expressed support for EPA’s proposal to amend regulatory text for Program 2 and 3 processes to define stationary source siting evaluations as including placement of processes, equipment, buildings, and hazards posed by proximate facilities and accident release consequences posed by proximity to the public (0228, 0444, 0460</w:t>
      </w:r>
      <w:r>
        <w:rPr>
          <w:rFonts w:ascii="Times New Roman" w:hAnsi="Times New Roman"/>
          <w:sz w:val="24"/>
        </w:rPr>
        <w:t>, 0275</w:t>
      </w:r>
      <w:r w:rsidRPr="162835F2">
        <w:rPr>
          <w:rFonts w:ascii="Times New Roman" w:hAnsi="Times New Roman"/>
          <w:sz w:val="24"/>
        </w:rPr>
        <w:t xml:space="preserve">). One commenter stated that doing so would ensure the protection of human health and the environment (0257). </w:t>
      </w:r>
    </w:p>
    <w:p w:rsidR="00D43808" w:rsidP="00D43808" w14:paraId="3C7F5709" w14:textId="77777777">
      <w:pPr>
        <w:rPr>
          <w:rFonts w:ascii="Times New Roman" w:hAnsi="Times New Roman"/>
          <w:sz w:val="24"/>
        </w:rPr>
      </w:pPr>
      <w:r w:rsidRPr="006F68E9">
        <w:rPr>
          <w:rFonts w:ascii="Times New Roman" w:hAnsi="Times New Roman"/>
          <w:sz w:val="24"/>
        </w:rPr>
        <w:t>A couple of commenters noted that the proposed siting requirements are more of a clarification to current regulations (0181, 0262).</w:t>
      </w:r>
    </w:p>
    <w:p w:rsidR="00D43808" w:rsidRPr="006F68E9" w:rsidP="00D43808" w14:paraId="7C3ABA79" w14:textId="77777777">
      <w:pPr>
        <w:ind w:left="720"/>
        <w:rPr>
          <w:rFonts w:ascii="Times New Roman" w:hAnsi="Times New Roman"/>
          <w:b/>
          <w:bCs/>
          <w:sz w:val="24"/>
        </w:rPr>
      </w:pPr>
      <w:r w:rsidRPr="162835F2">
        <w:rPr>
          <w:rFonts w:ascii="Times New Roman" w:hAnsi="Times New Roman"/>
          <w:b/>
          <w:bCs/>
          <w:sz w:val="24"/>
        </w:rPr>
        <w:t>EPA Response</w:t>
      </w:r>
      <w:r>
        <w:rPr>
          <w:rFonts w:ascii="Times New Roman" w:hAnsi="Times New Roman"/>
          <w:b/>
          <w:bCs/>
          <w:sz w:val="24"/>
        </w:rPr>
        <w:t xml:space="preserve">: </w:t>
      </w:r>
      <w:r w:rsidRPr="162835F2">
        <w:rPr>
          <w:rFonts w:ascii="Times New Roman" w:eastAsia="Times New Roman" w:hAnsi="Times New Roman"/>
          <w:color w:val="000000" w:themeColor="text1"/>
          <w:sz w:val="24"/>
        </w:rPr>
        <w:t xml:space="preserve">EPA agrees that amending the regulatory text to make more explicit the requirement that process hazard evaluations for both Program 2 (hazard review) and Program 3 (PHA) include </w:t>
      </w:r>
      <w:r w:rsidRPr="004B0A84">
        <w:rPr>
          <w:rFonts w:ascii="Times New Roman" w:eastAsia="Times New Roman" w:hAnsi="Times New Roman"/>
          <w:color w:val="000000" w:themeColor="text1"/>
          <w:sz w:val="24"/>
        </w:rPr>
        <w:t xml:space="preserve">in the siting evaluation </w:t>
      </w:r>
      <w:r w:rsidRPr="162835F2">
        <w:rPr>
          <w:rFonts w:ascii="Times New Roman" w:eastAsia="Times New Roman" w:hAnsi="Times New Roman"/>
          <w:color w:val="000000" w:themeColor="text1"/>
          <w:sz w:val="24"/>
        </w:rPr>
        <w:t>the placement of processes, equipment, buildings, and hazards posed by proximate facilities, and accident release consequences posed by proximity to the public</w:t>
      </w:r>
      <w:r>
        <w:rPr>
          <w:rFonts w:ascii="Times New Roman" w:eastAsia="Times New Roman" w:hAnsi="Times New Roman"/>
          <w:color w:val="000000" w:themeColor="text1"/>
          <w:sz w:val="24"/>
        </w:rPr>
        <w:t>,</w:t>
      </w:r>
      <w:r w:rsidRPr="162835F2">
        <w:rPr>
          <w:rFonts w:ascii="Times New Roman" w:eastAsia="Times New Roman" w:hAnsi="Times New Roman"/>
          <w:color w:val="000000" w:themeColor="text1"/>
          <w:sz w:val="24"/>
        </w:rPr>
        <w:t xml:space="preserve"> </w:t>
      </w:r>
      <w:r w:rsidRPr="004B0A84">
        <w:rPr>
          <w:rFonts w:ascii="Times New Roman" w:eastAsia="Times New Roman" w:hAnsi="Times New Roman"/>
          <w:color w:val="000000" w:themeColor="text1"/>
          <w:sz w:val="24"/>
        </w:rPr>
        <w:t xml:space="preserve">will </w:t>
      </w:r>
      <w:r w:rsidRPr="162835F2">
        <w:rPr>
          <w:rFonts w:ascii="Times New Roman" w:eastAsia="Times New Roman" w:hAnsi="Times New Roman"/>
          <w:color w:val="000000" w:themeColor="text1"/>
          <w:sz w:val="24"/>
        </w:rPr>
        <w:t xml:space="preserve">help ensure the protection of human health and the environment. As discussed in the proposal, siting of processes and equipment within a stationary source can impact the surrounding community, not only through the proximity of the accidental release to offsite receptors adjacent to the facility boundary (e.g., people, infrastructure, environmental resources), but also through increasing the likelihood of a secondary </w:t>
      </w:r>
      <w:r>
        <w:rPr>
          <w:rFonts w:ascii="Times New Roman" w:eastAsia="Times New Roman" w:hAnsi="Times New Roman"/>
          <w:color w:val="000000" w:themeColor="text1"/>
          <w:sz w:val="24"/>
        </w:rPr>
        <w:t>“</w:t>
      </w:r>
      <w:r w:rsidRPr="162835F2">
        <w:rPr>
          <w:rFonts w:ascii="Times New Roman" w:eastAsia="Times New Roman" w:hAnsi="Times New Roman"/>
          <w:color w:val="000000" w:themeColor="text1"/>
          <w:sz w:val="24"/>
        </w:rPr>
        <w:t>knock-on</w:t>
      </w:r>
      <w:r>
        <w:rPr>
          <w:rFonts w:ascii="Times New Roman" w:eastAsia="Times New Roman" w:hAnsi="Times New Roman"/>
          <w:color w:val="000000" w:themeColor="text1"/>
          <w:sz w:val="24"/>
        </w:rPr>
        <w:t>”</w:t>
      </w:r>
      <w:r w:rsidRPr="162835F2">
        <w:rPr>
          <w:rFonts w:ascii="Times New Roman" w:eastAsia="Times New Roman" w:hAnsi="Times New Roman"/>
          <w:color w:val="000000" w:themeColor="text1"/>
          <w:sz w:val="24"/>
        </w:rPr>
        <w:t xml:space="preserve"> release by compromising nearby processes. The proposal offered several examples of accidental releases which illustrate the significant effects of the lack of sufficient distance between the source boundary and neighboring residential areas.</w:t>
      </w:r>
      <w:r>
        <w:rPr>
          <w:rFonts w:ascii="Times New Roman" w:eastAsia="Times New Roman" w:hAnsi="Times New Roman"/>
          <w:color w:val="000000" w:themeColor="text1"/>
          <w:sz w:val="24"/>
        </w:rPr>
        <w:t xml:space="preserve"> </w:t>
      </w:r>
    </w:p>
    <w:p w:rsidR="00D43808" w:rsidP="00D43808" w14:paraId="7410BBB9" w14:textId="77777777">
      <w:pPr>
        <w:rPr>
          <w:rFonts w:ascii="Times New Roman" w:hAnsi="Times New Roman"/>
          <w:sz w:val="24"/>
        </w:rPr>
      </w:pPr>
      <w:r>
        <w:rPr>
          <w:rFonts w:ascii="Times New Roman" w:hAnsi="Times New Roman"/>
          <w:b/>
          <w:bCs/>
          <w:sz w:val="24"/>
        </w:rPr>
        <w:t xml:space="preserve">Comment 4.1-02: </w:t>
      </w:r>
      <w:r>
        <w:rPr>
          <w:rFonts w:ascii="Times New Roman" w:hAnsi="Times New Roman"/>
          <w:sz w:val="24"/>
        </w:rPr>
        <w:t>One</w:t>
      </w:r>
      <w:r w:rsidRPr="162835F2">
        <w:rPr>
          <w:rFonts w:ascii="Times New Roman" w:hAnsi="Times New Roman"/>
          <w:sz w:val="24"/>
        </w:rPr>
        <w:t xml:space="preserve"> commenter stated that EPA should require implementation of stationary source siting recommendations found in the analysis to the greatest extent practicable to assure protection for fenceline communities (0460). Similarly, another commenter suggested that if it is practicable for a facility to take an action to eliminate or lessen hazards associated with RMP processes through different siting, it should be required to do so (0444). </w:t>
      </w:r>
    </w:p>
    <w:p w:rsidR="00D43808" w:rsidRPr="00361F95" w:rsidP="00D43808" w14:paraId="40FEAD81" w14:textId="1D9A0E2A">
      <w:pPr>
        <w:ind w:left="720"/>
        <w:rPr>
          <w:rFonts w:ascii="Times New Roman" w:hAnsi="Times New Roman"/>
          <w:b/>
          <w:bCs/>
          <w:sz w:val="24"/>
        </w:rPr>
      </w:pPr>
      <w:r w:rsidRPr="162835F2">
        <w:rPr>
          <w:rFonts w:ascii="Times New Roman" w:hAnsi="Times New Roman"/>
          <w:b/>
          <w:bCs/>
          <w:sz w:val="24"/>
        </w:rPr>
        <w:t>EPA Response</w:t>
      </w:r>
      <w:r>
        <w:rPr>
          <w:rFonts w:ascii="Times New Roman" w:hAnsi="Times New Roman"/>
          <w:b/>
          <w:bCs/>
          <w:sz w:val="24"/>
        </w:rPr>
        <w:t xml:space="preserve">: </w:t>
      </w:r>
      <w:r w:rsidRPr="162835F2">
        <w:rPr>
          <w:rFonts w:ascii="Times New Roman" w:eastAsia="Times New Roman" w:hAnsi="Times New Roman"/>
          <w:color w:val="000000" w:themeColor="text1"/>
          <w:sz w:val="24"/>
        </w:rPr>
        <w:t xml:space="preserve">In response to comments that EPA should require implementation of stationary source recommendations, EPA notes that, at this time, the Agency is only choosing to make more explicit what is required to be addressed in a stationary source siting evaluation. Rather than propose additional requirements, EPA is instead expounding on the current regulatory text to ensure that siting evaluations properly account for hazards resulting from the location of processes, equipment, building, and proximate facilities, and their effects on the surrounding community. EPA continues to believe the performance-based nature of both this provision and the overall rule allow facility owners and operators to </w:t>
      </w:r>
      <w:r w:rsidRPr="29AAB906" w:rsidR="017F1651">
        <w:rPr>
          <w:rFonts w:ascii="Times New Roman" w:eastAsia="Times New Roman" w:hAnsi="Times New Roman"/>
          <w:color w:val="000000" w:themeColor="text1"/>
          <w:sz w:val="24"/>
        </w:rPr>
        <w:t xml:space="preserve">reasonably </w:t>
      </w:r>
      <w:r w:rsidRPr="162835F2">
        <w:rPr>
          <w:rFonts w:ascii="Times New Roman" w:eastAsia="Times New Roman" w:hAnsi="Times New Roman"/>
          <w:color w:val="000000" w:themeColor="text1"/>
          <w:sz w:val="24"/>
        </w:rPr>
        <w:t>determine what risk reduction measures work best for their particular chemical use, process</w:t>
      </w:r>
      <w:r w:rsidRPr="162835F2">
        <w:rPr>
          <w:rFonts w:ascii="Times New Roman" w:eastAsia="Times New Roman" w:hAnsi="Times New Roman"/>
          <w:color w:val="0078D4"/>
          <w:sz w:val="24"/>
          <w:u w:val="single"/>
        </w:rPr>
        <w:t>,</w:t>
      </w:r>
      <w:r w:rsidRPr="162835F2">
        <w:rPr>
          <w:rFonts w:ascii="Times New Roman" w:eastAsia="Times New Roman" w:hAnsi="Times New Roman"/>
          <w:color w:val="000000" w:themeColor="text1"/>
          <w:sz w:val="24"/>
        </w:rPr>
        <w:t xml:space="preserve"> or facility. </w:t>
      </w:r>
    </w:p>
    <w:p w:rsidR="00D43808" w:rsidRPr="0012565E" w:rsidP="00BA0EBD" w14:paraId="05530D1A" w14:textId="77777777">
      <w:pPr>
        <w:tabs>
          <w:tab w:val="left" w:pos="720"/>
          <w:tab w:val="left" w:pos="1627"/>
          <w:tab w:val="left" w:pos="2160"/>
          <w:tab w:val="left" w:pos="2880"/>
        </w:tabs>
        <w:rPr>
          <w:rFonts w:ascii="Times New Roman" w:eastAsia="Times New Roman" w:hAnsi="Times New Roman"/>
          <w:i/>
          <w:iCs/>
          <w:color w:val="000000" w:themeColor="text1"/>
          <w:sz w:val="24"/>
        </w:rPr>
      </w:pPr>
      <w:r>
        <w:rPr>
          <w:rFonts w:ascii="Times New Roman" w:eastAsia="Times New Roman" w:hAnsi="Times New Roman"/>
          <w:i/>
          <w:iCs/>
          <w:color w:val="000000" w:themeColor="text1"/>
          <w:sz w:val="24"/>
        </w:rPr>
        <w:t>General comments in opposition to stationary siting requirements</w:t>
      </w:r>
    </w:p>
    <w:p w:rsidR="00D43808" w:rsidP="00D43808" w14:paraId="5E2A4CC0" w14:textId="77777777">
      <w:pPr>
        <w:rPr>
          <w:rFonts w:ascii="Times New Roman" w:hAnsi="Times New Roman"/>
          <w:sz w:val="24"/>
        </w:rPr>
      </w:pPr>
      <w:r>
        <w:rPr>
          <w:rFonts w:ascii="Times New Roman" w:hAnsi="Times New Roman"/>
          <w:b/>
          <w:bCs/>
          <w:sz w:val="24"/>
        </w:rPr>
        <w:t xml:space="preserve">Comment 4.1-03: </w:t>
      </w:r>
      <w:r w:rsidRPr="34C109EA">
        <w:rPr>
          <w:rFonts w:ascii="Times New Roman" w:hAnsi="Times New Roman"/>
          <w:sz w:val="24"/>
        </w:rPr>
        <w:t xml:space="preserve">Several commenters </w:t>
      </w:r>
      <w:r>
        <w:rPr>
          <w:rFonts w:ascii="Times New Roman" w:hAnsi="Times New Roman"/>
          <w:sz w:val="24"/>
        </w:rPr>
        <w:t>state</w:t>
      </w:r>
      <w:r w:rsidRPr="34C109EA">
        <w:rPr>
          <w:rFonts w:ascii="Times New Roman" w:hAnsi="Times New Roman"/>
          <w:sz w:val="24"/>
        </w:rPr>
        <w:t xml:space="preserve">d that implementing facility siting requirements </w:t>
      </w:r>
      <w:r>
        <w:rPr>
          <w:rFonts w:ascii="Times New Roman" w:hAnsi="Times New Roman"/>
          <w:sz w:val="24"/>
        </w:rPr>
        <w:t>is</w:t>
      </w:r>
      <w:r w:rsidRPr="34C109EA">
        <w:rPr>
          <w:rFonts w:ascii="Times New Roman" w:hAnsi="Times New Roman"/>
          <w:sz w:val="24"/>
        </w:rPr>
        <w:t xml:space="preserve"> unnecessary and duplicative because facilities covered by OSHA's PSM regulations already undergo similar requirements. The commenters stated that this creates the opportunity for inconsistent enforcement between EPA and OSHA (0180, 0205, 0207, 0217, 0226, 0229, 0232, 0234, 0253, 0458).</w:t>
      </w:r>
    </w:p>
    <w:p w:rsidR="00D43808" w:rsidP="00D43808" w14:paraId="05A390B8" w14:textId="77777777">
      <w:pPr>
        <w:rPr>
          <w:rFonts w:ascii="Times New Roman" w:hAnsi="Times New Roman"/>
          <w:sz w:val="24"/>
        </w:rPr>
      </w:pPr>
      <w:r w:rsidRPr="006F68E9">
        <w:rPr>
          <w:rFonts w:ascii="Times New Roman" w:hAnsi="Times New Roman"/>
          <w:sz w:val="24"/>
        </w:rPr>
        <w:t>One commenter noted that they supported EPA’s decision in the previous rule not to add facility siting requirements. The commenter suggested that the new RMP rule not include specific siting requirements (0238).</w:t>
      </w:r>
    </w:p>
    <w:p w:rsidR="00D43808" w:rsidP="00D43808" w14:paraId="6EF39737" w14:textId="77777777">
      <w:pPr>
        <w:rPr>
          <w:rFonts w:ascii="Times New Roman" w:hAnsi="Times New Roman"/>
          <w:sz w:val="24"/>
        </w:rPr>
      </w:pPr>
      <w:r w:rsidRPr="006F68E9">
        <w:rPr>
          <w:rFonts w:ascii="Times New Roman" w:hAnsi="Times New Roman"/>
          <w:sz w:val="24"/>
        </w:rPr>
        <w:t>One commenter suggested that the proposed siting requirements not be too prescriptive because stationary source siting is a complex issue. The commenter also suggested that EPA should avoid diverting RMP compliance personnel and resources away from the most critical incident prevention activities (0215).</w:t>
      </w:r>
    </w:p>
    <w:p w:rsidR="00D43808" w:rsidP="00D43808" w14:paraId="11FD17EA" w14:textId="77777777">
      <w:pPr>
        <w:rPr>
          <w:rFonts w:ascii="Times New Roman" w:hAnsi="Times New Roman"/>
          <w:sz w:val="24"/>
        </w:rPr>
      </w:pPr>
      <w:r w:rsidRPr="006F68E9">
        <w:rPr>
          <w:rFonts w:ascii="Times New Roman" w:hAnsi="Times New Roman"/>
          <w:sz w:val="24"/>
        </w:rPr>
        <w:t>Another commenter suggested that EPA focus on developing and maintaining additional guidance and tools to assist regulated facilities to comply with the already-existing requirements rather than change the regulatory language (0230).</w:t>
      </w:r>
    </w:p>
    <w:p w:rsidR="00D43808" w:rsidP="00D43808" w14:paraId="358B1418" w14:textId="77777777">
      <w:pPr>
        <w:rPr>
          <w:rFonts w:ascii="Times New Roman" w:hAnsi="Times New Roman"/>
          <w:sz w:val="24"/>
        </w:rPr>
      </w:pPr>
      <w:r w:rsidRPr="006F68E9">
        <w:rPr>
          <w:rFonts w:ascii="Times New Roman" w:hAnsi="Times New Roman"/>
          <w:sz w:val="24"/>
        </w:rPr>
        <w:t>Another commenter expressed concern about EPA’s statement that it is not proposing additional requirements but simply making “more explicit what is required to be addressed in a stationary source siting evaluation.” The commenter suggested that EPA refrain from adding any burdens to facilities while amending this language (0197).</w:t>
      </w:r>
    </w:p>
    <w:p w:rsidR="001758F1" w:rsidP="00BA0EBD" w14:paraId="69DA1CA1" w14:textId="77777777">
      <w:pPr>
        <w:tabs>
          <w:tab w:val="left" w:pos="720"/>
          <w:tab w:val="left" w:pos="1627"/>
          <w:tab w:val="left" w:pos="2160"/>
          <w:tab w:val="left" w:pos="2880"/>
        </w:tabs>
        <w:ind w:left="720"/>
        <w:rPr>
          <w:rFonts w:ascii="Times New Roman" w:hAnsi="Times New Roman"/>
          <w:b/>
          <w:bCs/>
          <w:sz w:val="24"/>
        </w:rPr>
      </w:pPr>
      <w:r>
        <w:rPr>
          <w:rFonts w:ascii="Times New Roman" w:hAnsi="Times New Roman"/>
          <w:b/>
          <w:bCs/>
          <w:sz w:val="24"/>
        </w:rPr>
        <w:t xml:space="preserve">EPA Response: </w:t>
      </w:r>
      <w:r w:rsidRPr="001758F1">
        <w:rPr>
          <w:rFonts w:ascii="Times New Roman" w:hAnsi="Times New Roman"/>
          <w:sz w:val="24"/>
        </w:rPr>
        <w:t>EPA notes that, at this time, the Agency is only choosing to make more explicit what is required to be addressed in a stationary source siting evaluation. Rather than propose additional requirements, EPA is instead expounding on the current regulatory text to ensure that siting evaluations properly account for hazards resulting from the location of processes, equipment, building, and proximate facilities, and their effects on the surrounding community.</w:t>
      </w:r>
      <w:r>
        <w:rPr>
          <w:rFonts w:ascii="Times New Roman" w:hAnsi="Times New Roman"/>
          <w:b/>
          <w:bCs/>
          <w:sz w:val="24"/>
        </w:rPr>
        <w:t xml:space="preserve"> </w:t>
      </w:r>
    </w:p>
    <w:p w:rsidR="00D43808" w:rsidP="00BA0EBD" w14:paraId="338EBD61" w14:textId="1E8B8781">
      <w:pPr>
        <w:tabs>
          <w:tab w:val="left" w:pos="720"/>
          <w:tab w:val="left" w:pos="1627"/>
          <w:tab w:val="left" w:pos="2160"/>
          <w:tab w:val="left" w:pos="2880"/>
        </w:tabs>
        <w:ind w:left="720"/>
        <w:rPr>
          <w:rFonts w:ascii="Times New Roman" w:eastAsia="Times New Roman" w:hAnsi="Times New Roman"/>
          <w:color w:val="000000" w:themeColor="text1"/>
          <w:sz w:val="24"/>
        </w:rPr>
      </w:pPr>
      <w:r w:rsidRPr="162835F2">
        <w:rPr>
          <w:rFonts w:ascii="Times New Roman" w:eastAsia="Times New Roman" w:hAnsi="Times New Roman"/>
          <w:color w:val="000000" w:themeColor="text1"/>
          <w:sz w:val="24"/>
        </w:rPr>
        <w:t>EPA disagrees with comments that implementing the facility siting requirements would create the opportunity for inconsistent enforcement between EPA and OSHA. The OSHA PSM standard and RMP rule both require that facility siting be addressed as one element of a PHA (29</w:t>
      </w:r>
      <w:r w:rsidRPr="000F64D7">
        <w:rPr>
          <w:rFonts w:ascii="Times New Roman" w:eastAsia="Times New Roman" w:hAnsi="Times New Roman"/>
          <w:color w:val="0078D4"/>
          <w:sz w:val="24"/>
        </w:rPr>
        <w:t xml:space="preserve"> </w:t>
      </w:r>
      <w:r w:rsidRPr="162835F2">
        <w:rPr>
          <w:rFonts w:ascii="Times New Roman" w:eastAsia="Times New Roman" w:hAnsi="Times New Roman"/>
          <w:color w:val="000000" w:themeColor="text1"/>
          <w:sz w:val="24"/>
        </w:rPr>
        <w:t>CFR 1910.119(e)(3)(v)</w:t>
      </w:r>
      <w:r w:rsidRPr="000F64D7">
        <w:rPr>
          <w:rFonts w:ascii="Times New Roman" w:eastAsia="Times New Roman" w:hAnsi="Times New Roman"/>
          <w:color w:val="0078D4"/>
          <w:sz w:val="24"/>
        </w:rPr>
        <w:t xml:space="preserve"> </w:t>
      </w:r>
      <w:r w:rsidRPr="162835F2">
        <w:rPr>
          <w:rFonts w:ascii="Times New Roman" w:eastAsia="Times New Roman" w:hAnsi="Times New Roman"/>
          <w:color w:val="000000" w:themeColor="text1"/>
          <w:sz w:val="24"/>
        </w:rPr>
        <w:t>and 40 CFR 68.67(c)(5)). In response to comments on the proposed PSM rule, OSHA indicated that facility siting should always be considered during PHAs and therefore decided to emphasize this element by specifically listing siting evaluation in regulatory text.</w:t>
      </w:r>
      <w:r w:rsidR="009005D9">
        <w:rPr>
          <w:rFonts w:ascii="Times New Roman" w:eastAsia="Times New Roman" w:hAnsi="Times New Roman"/>
          <w:color w:val="000000" w:themeColor="text1"/>
          <w:sz w:val="24"/>
        </w:rPr>
        <w:t xml:space="preserve"> </w:t>
      </w:r>
      <w:r w:rsidRPr="162835F2">
        <w:rPr>
          <w:rFonts w:ascii="Times New Roman" w:eastAsia="Times New Roman" w:hAnsi="Times New Roman"/>
          <w:color w:val="000000" w:themeColor="text1"/>
          <w:sz w:val="24"/>
        </w:rPr>
        <w:t>EPA’s approach to the siting requirement is consistent with its general approach to PSM in the 1996 RMP rule: sound, comprehensive PSM systems can protect workers, the public, and the environment.</w:t>
      </w:r>
    </w:p>
    <w:p w:rsidR="00AE3DD7" w:rsidP="00BA0EBD" w14:paraId="14083BC3" w14:textId="64BE55DA">
      <w:pPr>
        <w:tabs>
          <w:tab w:val="left" w:pos="720"/>
          <w:tab w:val="left" w:pos="1627"/>
          <w:tab w:val="left" w:pos="2160"/>
          <w:tab w:val="left" w:pos="2880"/>
        </w:tabs>
        <w:ind w:left="720"/>
        <w:rPr>
          <w:rFonts w:ascii="Times New Roman" w:eastAsia="Times New Roman" w:hAnsi="Times New Roman"/>
          <w:color w:val="000000" w:themeColor="text1"/>
          <w:szCs w:val="22"/>
          <w:vertAlign w:val="superscript"/>
        </w:rPr>
      </w:pPr>
      <w:r w:rsidRPr="007C0D80">
        <w:rPr>
          <w:rFonts w:ascii="Times New Roman" w:eastAsia="Times New Roman" w:hAnsi="Times New Roman"/>
          <w:color w:val="000000" w:themeColor="text1"/>
          <w:sz w:val="24"/>
        </w:rPr>
        <w:t>EPA expects facilities to continue to use available resources and any additional industry-specific guidance to properly evaluate siting hazards.</w:t>
      </w:r>
    </w:p>
    <w:p w:rsidR="00D43808" w:rsidP="00D43808" w14:paraId="0603F1DB" w14:textId="77777777">
      <w:pPr>
        <w:rPr>
          <w:rFonts w:ascii="Times New Roman" w:hAnsi="Times New Roman"/>
          <w:sz w:val="24"/>
        </w:rPr>
      </w:pPr>
      <w:r>
        <w:rPr>
          <w:rFonts w:ascii="Times New Roman" w:hAnsi="Times New Roman"/>
          <w:b/>
          <w:bCs/>
          <w:sz w:val="24"/>
        </w:rPr>
        <w:t xml:space="preserve">Comment 4.1-04: </w:t>
      </w:r>
      <w:r w:rsidRPr="64D2B920">
        <w:rPr>
          <w:rFonts w:ascii="Times New Roman" w:hAnsi="Times New Roman"/>
          <w:sz w:val="24"/>
        </w:rPr>
        <w:t>A couple of commenters stated that it is impracticable for EPA to require existing facilities to move processes to comply with any new siting requirements. The commenters suggested that EPA clarify that these requirements do not apply to existing facilities (0242, 0267).</w:t>
      </w:r>
      <w:r w:rsidRPr="708FB265">
        <w:rPr>
          <w:rFonts w:ascii="Times New Roman" w:hAnsi="Times New Roman"/>
          <w:sz w:val="24"/>
        </w:rPr>
        <w:t xml:space="preserve"> </w:t>
      </w:r>
      <w:r w:rsidRPr="6B513D3D">
        <w:rPr>
          <w:rFonts w:ascii="Times New Roman" w:hAnsi="Times New Roman"/>
          <w:sz w:val="24"/>
        </w:rPr>
        <w:t>One commenter stated that imposing new siting requirements after a facility has been established would raise fundamental fairness issues, as well as possible regulatory “takings” issues, potentially requiring compensation to the affected sources (0229).</w:t>
      </w:r>
      <w:r w:rsidRPr="607A8ABA">
        <w:rPr>
          <w:rFonts w:ascii="Times New Roman" w:hAnsi="Times New Roman"/>
          <w:sz w:val="24"/>
        </w:rPr>
        <w:t xml:space="preserve"> </w:t>
      </w:r>
      <w:r w:rsidRPr="67A14F16">
        <w:rPr>
          <w:rFonts w:ascii="Times New Roman" w:hAnsi="Times New Roman"/>
          <w:sz w:val="24"/>
        </w:rPr>
        <w:t xml:space="preserve">One </w:t>
      </w:r>
      <w:r>
        <w:rPr>
          <w:rFonts w:ascii="Times New Roman" w:hAnsi="Times New Roman"/>
          <w:sz w:val="24"/>
        </w:rPr>
        <w:t>commenter stated</w:t>
      </w:r>
      <w:r w:rsidRPr="67A14F16">
        <w:rPr>
          <w:rFonts w:ascii="Times New Roman" w:hAnsi="Times New Roman"/>
          <w:sz w:val="24"/>
        </w:rPr>
        <w:t xml:space="preserve"> that conducting a siting analysis is a significant undertaking for existing sources who do not have potential to cause offsite consequences. The commenter stated that it would be a costly and arduous undertaking to determine exactly what facilities are proximate and understand their internal operations. The commenter requested that EPA clarify whether an evaluation of the accidental release consequences posed by proximity would be necessary if a facility does not have the potential to cause offsite consequences (0261).</w:t>
      </w:r>
    </w:p>
    <w:p w:rsidR="00D43808" w:rsidRPr="006F68E9" w:rsidP="00D43808" w14:paraId="60621A33" w14:textId="77777777">
      <w:pPr>
        <w:rPr>
          <w:rFonts w:ascii="Times New Roman" w:hAnsi="Times New Roman"/>
          <w:sz w:val="24"/>
        </w:rPr>
      </w:pPr>
      <w:r>
        <w:rPr>
          <w:rFonts w:ascii="Times New Roman" w:hAnsi="Times New Roman"/>
          <w:sz w:val="24"/>
        </w:rPr>
        <w:t>Another commenter</w:t>
      </w:r>
      <w:r w:rsidRPr="006F68E9">
        <w:rPr>
          <w:rFonts w:ascii="Times New Roman" w:hAnsi="Times New Roman"/>
          <w:sz w:val="24"/>
        </w:rPr>
        <w:t xml:space="preserve"> stated that PHA currently requires evaluation of stationary source siting, and most companies perform siting studies using industry guidance such as the API RP 752 and 753 or the CCPS Guidelines that evaluate onsite receptors – not offsite. The commenter noted that none of these recommended practices and guidance documents require facilities to move existing equipment (0268).</w:t>
      </w:r>
    </w:p>
    <w:p w:rsidR="00D43808" w:rsidP="00D43808" w14:paraId="2E9406D9" w14:textId="77777777">
      <w:pPr>
        <w:ind w:left="720"/>
      </w:pPr>
      <w:r w:rsidRPr="162835F2">
        <w:rPr>
          <w:rFonts w:ascii="Times New Roman" w:hAnsi="Times New Roman"/>
          <w:b/>
          <w:bCs/>
          <w:sz w:val="24"/>
        </w:rPr>
        <w:t>EPA Response</w:t>
      </w:r>
      <w:r>
        <w:rPr>
          <w:rFonts w:ascii="Times New Roman" w:hAnsi="Times New Roman"/>
          <w:b/>
          <w:bCs/>
          <w:sz w:val="24"/>
        </w:rPr>
        <w:t xml:space="preserve">: </w:t>
      </w:r>
      <w:r w:rsidRPr="00361F95">
        <w:rPr>
          <w:rFonts w:ascii="Times New Roman" w:hAnsi="Times New Roman"/>
          <w:color w:val="000000" w:themeColor="text1"/>
          <w:sz w:val="24"/>
        </w:rPr>
        <w:t xml:space="preserve">EPA disagrees that it is impracticable to require existing facilities to comply with siting requirements. EPA notes that there is a breadth of guidance on siting, </w:t>
      </w:r>
      <w:r w:rsidRPr="00361F95">
        <w:rPr>
          <w:rFonts w:ascii="Times New Roman" w:hAnsi="Times New Roman"/>
          <w:color w:val="000000" w:themeColor="text1"/>
          <w:sz w:val="24"/>
        </w:rPr>
        <w:t xml:space="preserve">and the Agency therefore believes there is adequate information available for facilities to comply with the </w:t>
      </w:r>
      <w:r w:rsidRPr="00581C99">
        <w:rPr>
          <w:rFonts w:ascii="Times New Roman" w:hAnsi="Times New Roman"/>
          <w:color w:val="000000" w:themeColor="text1"/>
          <w:sz w:val="24"/>
        </w:rPr>
        <w:t xml:space="preserve">proposed </w:t>
      </w:r>
      <w:r w:rsidRPr="00361F95">
        <w:rPr>
          <w:rFonts w:ascii="Times New Roman" w:hAnsi="Times New Roman"/>
          <w:color w:val="000000" w:themeColor="text1"/>
          <w:sz w:val="24"/>
        </w:rPr>
        <w:t>text</w:t>
      </w:r>
      <w:r w:rsidRPr="00581C99">
        <w:rPr>
          <w:rFonts w:ascii="Times New Roman" w:hAnsi="Times New Roman"/>
          <w:color w:val="000000" w:themeColor="text1"/>
          <w:sz w:val="24"/>
        </w:rPr>
        <w:t xml:space="preserve"> in this final rule</w:t>
      </w:r>
      <w:r w:rsidRPr="00361F95">
        <w:rPr>
          <w:rFonts w:ascii="Times New Roman" w:hAnsi="Times New Roman"/>
          <w:color w:val="000000" w:themeColor="text1"/>
          <w:sz w:val="24"/>
        </w:rPr>
        <w:t>. EPA expects facilities to continue to use available resources and any additional industry-specific guidance to properly evaluate siting hazards. The rule does not mandate that existing sources modify their footprint as a result of a siting analysis. The approach taken in this rule is similar to how hazard evaluations have proceeded in the past: require the analysis of hazards and rely upon owners and operators to use the information reasonably when determining what measures should be undertaken. The Agency also notes that Program 1 processes are not covered by this requirement; Program 2 and 3 sources subject to this requirement will have undertaken offsite consequence analyses and determined that they may have offsite impacts that disqualify them from Program 1. Finally, while EPA has in the past discussed the potential for requiring minimal setbacks and other specific location restrictions, notwithstanding local zoning, the siting requirement in this rule does not contain such a restriction on location.</w:t>
      </w:r>
      <w:r>
        <w:t xml:space="preserve"> </w:t>
      </w:r>
    </w:p>
    <w:p w:rsidR="00D43808" w:rsidRPr="006F68E9" w:rsidP="00D43808" w14:paraId="7FD77105" w14:textId="77777777">
      <w:pPr>
        <w:rPr>
          <w:rFonts w:ascii="Times New Roman" w:hAnsi="Times New Roman"/>
          <w:sz w:val="24"/>
        </w:rPr>
      </w:pPr>
      <w:r>
        <w:rPr>
          <w:rFonts w:ascii="Times New Roman" w:hAnsi="Times New Roman"/>
          <w:b/>
          <w:bCs/>
          <w:sz w:val="24"/>
        </w:rPr>
        <w:t xml:space="preserve">Comment 4.1-05: </w:t>
      </w:r>
      <w:r w:rsidRPr="006F68E9">
        <w:rPr>
          <w:rFonts w:ascii="Times New Roman" w:hAnsi="Times New Roman"/>
          <w:sz w:val="24"/>
        </w:rPr>
        <w:t xml:space="preserve">Another commenter noted that the Texas Commission on Environmental Quality (TCEQ) has said repeatedly that it does not address siting in permitting decisions. The commenter stated that this is one reason that the Agency has been completely unwilling to address cumulative impacts in permitting (0254). </w:t>
      </w:r>
    </w:p>
    <w:p w:rsidR="00D43808" w:rsidRPr="00D540D9" w:rsidP="004A4477" w14:paraId="0717C3E2" w14:textId="3A1E32DB">
      <w:pPr>
        <w:ind w:left="720"/>
        <w:rPr>
          <w:rFonts w:ascii="Times New Roman" w:hAnsi="Times New Roman"/>
          <w:b/>
          <w:bCs/>
          <w:sz w:val="24"/>
        </w:rPr>
      </w:pPr>
      <w:r w:rsidRPr="007D4391">
        <w:rPr>
          <w:rFonts w:ascii="Times New Roman" w:hAnsi="Times New Roman"/>
          <w:b/>
          <w:bCs/>
          <w:sz w:val="24"/>
        </w:rPr>
        <w:t>EPA Response:</w:t>
      </w:r>
      <w:r w:rsidRPr="004A4477" w:rsidR="004A4477">
        <w:t xml:space="preserve"> </w:t>
      </w:r>
      <w:r w:rsidRPr="00E83B6E" w:rsidR="00E83B6E">
        <w:rPr>
          <w:rFonts w:ascii="Times New Roman" w:hAnsi="Times New Roman"/>
          <w:sz w:val="24"/>
        </w:rPr>
        <w:t>W</w:t>
      </w:r>
      <w:r w:rsidRPr="00E83B6E" w:rsidR="004A4477">
        <w:rPr>
          <w:rFonts w:ascii="Times New Roman" w:hAnsi="Times New Roman"/>
          <w:sz w:val="24"/>
        </w:rPr>
        <w:t>hile EPA has in the past discussed the potential for requiring minimal setbacks and other specific location restrictions, notwithstanding local zoning, the siting requirement in this rule does not contain such restrictions on location.</w:t>
      </w:r>
    </w:p>
    <w:p w:rsidR="00D43808" w:rsidRPr="00D01FA2" w:rsidP="00BA0EBD" w14:paraId="35C25A58" w14:textId="77777777">
      <w:pPr>
        <w:tabs>
          <w:tab w:val="left" w:pos="720"/>
          <w:tab w:val="left" w:pos="1627"/>
          <w:tab w:val="left" w:pos="2160"/>
          <w:tab w:val="left" w:pos="2880"/>
        </w:tabs>
        <w:rPr>
          <w:rFonts w:ascii="Times New Roman" w:eastAsia="Times New Roman" w:hAnsi="Times New Roman"/>
          <w:i/>
          <w:iCs/>
          <w:sz w:val="24"/>
        </w:rPr>
      </w:pPr>
      <w:r w:rsidRPr="00D01FA2">
        <w:rPr>
          <w:rFonts w:ascii="Times New Roman" w:hAnsi="Times New Roman"/>
          <w:i/>
          <w:iCs/>
          <w:sz w:val="24"/>
        </w:rPr>
        <w:t>Comments addressing</w:t>
      </w:r>
      <w:r>
        <w:rPr>
          <w:rFonts w:ascii="Times New Roman" w:hAnsi="Times New Roman"/>
          <w:i/>
          <w:iCs/>
          <w:sz w:val="24"/>
        </w:rPr>
        <w:t xml:space="preserve"> consideration of</w:t>
      </w:r>
      <w:r w:rsidRPr="00D01FA2">
        <w:rPr>
          <w:rFonts w:ascii="Times New Roman" w:hAnsi="Times New Roman"/>
          <w:i/>
          <w:iCs/>
          <w:sz w:val="24"/>
        </w:rPr>
        <w:t xml:space="preserve"> proximate facilities</w:t>
      </w:r>
    </w:p>
    <w:p w:rsidR="00D43808" w:rsidRPr="006F68E9" w:rsidP="00D43808" w14:paraId="7C10A002" w14:textId="77777777">
      <w:pPr>
        <w:rPr>
          <w:rFonts w:ascii="Times New Roman" w:hAnsi="Times New Roman"/>
          <w:sz w:val="24"/>
        </w:rPr>
      </w:pPr>
      <w:r>
        <w:rPr>
          <w:rFonts w:ascii="Times New Roman" w:hAnsi="Times New Roman"/>
          <w:b/>
          <w:bCs/>
          <w:sz w:val="24"/>
        </w:rPr>
        <w:t xml:space="preserve">Comment 4.1-06: </w:t>
      </w:r>
      <w:r w:rsidRPr="30D31540">
        <w:rPr>
          <w:rFonts w:ascii="Times New Roman" w:hAnsi="Times New Roman"/>
          <w:sz w:val="24"/>
        </w:rPr>
        <w:t xml:space="preserve">Several commenters expressed concern that EPA did not define the term “proximate facilities” (0180, 0205, 0217, 0226, 0232, 0234, 0237, 0253, 0272, 0458). Many commenters were also concerned that when these facilities are identified, it is not practical to expect them to share information with each other due to confidential business information (CBI) and security concerns (0173, 0180, 0205, 0217, 0223, 0226, 0229, 0232, 0233, </w:t>
      </w:r>
      <w:r>
        <w:rPr>
          <w:rFonts w:ascii="Times New Roman" w:hAnsi="Times New Roman"/>
          <w:sz w:val="24"/>
        </w:rPr>
        <w:t xml:space="preserve">0234, </w:t>
      </w:r>
      <w:r w:rsidRPr="30D31540">
        <w:rPr>
          <w:rFonts w:ascii="Times New Roman" w:hAnsi="Times New Roman"/>
          <w:sz w:val="24"/>
        </w:rPr>
        <w:t>0458). One of the commenters suggested that EPA update the regulatory text to make an allowance for instances where neighboring facilities do not cooperate in the siting evaluation (0233).</w:t>
      </w:r>
    </w:p>
    <w:p w:rsidR="00595A56" w:rsidRPr="006F68E9" w:rsidP="00595A56" w14:paraId="5A8393A1" w14:textId="77777777">
      <w:pPr>
        <w:rPr>
          <w:rFonts w:ascii="Times New Roman" w:hAnsi="Times New Roman"/>
          <w:sz w:val="24"/>
        </w:rPr>
      </w:pPr>
      <w:r w:rsidRPr="007C65A5">
        <w:rPr>
          <w:rFonts w:ascii="Times New Roman" w:hAnsi="Times New Roman"/>
          <w:sz w:val="24"/>
        </w:rPr>
        <w:t>Several commenters requested additional clarification about the proximate facility requirements.</w:t>
      </w:r>
      <w:r>
        <w:rPr>
          <w:rFonts w:ascii="Times New Roman" w:hAnsi="Times New Roman"/>
          <w:b/>
          <w:bCs/>
          <w:sz w:val="24"/>
        </w:rPr>
        <w:t xml:space="preserve"> </w:t>
      </w:r>
      <w:r w:rsidRPr="006F68E9">
        <w:rPr>
          <w:rFonts w:ascii="Times New Roman" w:hAnsi="Times New Roman"/>
          <w:sz w:val="24"/>
        </w:rPr>
        <w:t xml:space="preserve">One commenter noted that the proposal fails to specify what type of facilities are to be considered proximate because the preamble could be read to suggest that a proximate facility include both RMP-covered and non-RMP facilities. The commenter also stated that the proposal fails to address several practical questions that make this kind of kind of hazard assessment an impossible task, including (0268): </w:t>
      </w:r>
    </w:p>
    <w:p w:rsidR="00595A56" w:rsidRPr="006F68E9" w:rsidP="00595A56" w14:paraId="04C368D3" w14:textId="77777777">
      <w:pPr>
        <w:pStyle w:val="ListParagraph"/>
        <w:rPr>
          <w:rFonts w:ascii="Times New Roman" w:hAnsi="Times New Roman"/>
          <w:sz w:val="24"/>
        </w:rPr>
      </w:pPr>
      <w:r w:rsidRPr="006F68E9">
        <w:rPr>
          <w:rFonts w:ascii="Times New Roman" w:hAnsi="Times New Roman"/>
          <w:sz w:val="24"/>
        </w:rPr>
        <w:t>What authority would allow a PHA team to compel a proximate facility to provide information?</w:t>
      </w:r>
    </w:p>
    <w:p w:rsidR="00595A56" w:rsidRPr="006F68E9" w:rsidP="00595A56" w14:paraId="57991841" w14:textId="77777777">
      <w:pPr>
        <w:pStyle w:val="ListParagraph"/>
        <w:rPr>
          <w:rFonts w:ascii="Times New Roman" w:hAnsi="Times New Roman"/>
          <w:sz w:val="24"/>
        </w:rPr>
      </w:pPr>
      <w:r w:rsidRPr="006F68E9">
        <w:rPr>
          <w:rFonts w:ascii="Times New Roman" w:hAnsi="Times New Roman"/>
          <w:sz w:val="24"/>
        </w:rPr>
        <w:t>How would the PHA team address the potential sharing of proprietary information and/or trade secrets?</w:t>
      </w:r>
    </w:p>
    <w:p w:rsidR="00595A56" w:rsidP="00595A56" w14:paraId="274458E5" w14:textId="77777777">
      <w:pPr>
        <w:pStyle w:val="ListParagraph"/>
        <w:rPr>
          <w:rFonts w:ascii="Times New Roman" w:hAnsi="Times New Roman"/>
          <w:sz w:val="24"/>
        </w:rPr>
      </w:pPr>
      <w:r w:rsidRPr="006F68E9">
        <w:rPr>
          <w:rFonts w:ascii="Times New Roman" w:hAnsi="Times New Roman"/>
          <w:sz w:val="24"/>
        </w:rPr>
        <w:t>How would information sharing be conducted while protecting against antitrust concerns and other issues?</w:t>
      </w:r>
    </w:p>
    <w:p w:rsidR="00595A56" w:rsidP="00595A56" w14:paraId="04131685" w14:textId="77777777">
      <w:pPr>
        <w:rPr>
          <w:rFonts w:ascii="Times New Roman" w:hAnsi="Times New Roman"/>
          <w:sz w:val="24"/>
        </w:rPr>
      </w:pPr>
      <w:r>
        <w:rPr>
          <w:rFonts w:ascii="Times New Roman" w:hAnsi="Times New Roman"/>
          <w:sz w:val="24"/>
        </w:rPr>
        <w:t>Another</w:t>
      </w:r>
      <w:r w:rsidRPr="00581A69">
        <w:rPr>
          <w:rFonts w:ascii="Times New Roman" w:hAnsi="Times New Roman"/>
          <w:sz w:val="24"/>
        </w:rPr>
        <w:t xml:space="preserve"> commenter requested that EPA explain how it intends the offsite factors of the proposed requirements to work and why they are necessary. The commenter noted that it is unclear how </w:t>
      </w:r>
      <w:r w:rsidRPr="00581A69">
        <w:rPr>
          <w:rFonts w:ascii="Times New Roman" w:hAnsi="Times New Roman"/>
          <w:sz w:val="24"/>
        </w:rPr>
        <w:t>EPA anticipates that a hazard review or PHA team will consider hazards posed by proximate facilities. The commenter stated that a stationary source will not have sufficient information to evaluate hazards from proximate facilities and it will not be able to prevent or mitigate the consequences of an accidental release from a proximate facility (0215).</w:t>
      </w:r>
    </w:p>
    <w:p w:rsidR="00595A56" w:rsidRPr="006F68E9" w:rsidP="00D43808" w14:paraId="7277018E" w14:textId="7D271A8F">
      <w:pPr>
        <w:rPr>
          <w:rFonts w:ascii="Times New Roman" w:hAnsi="Times New Roman"/>
          <w:sz w:val="24"/>
        </w:rPr>
      </w:pPr>
      <w:r>
        <w:rPr>
          <w:rFonts w:ascii="Times New Roman" w:hAnsi="Times New Roman"/>
          <w:sz w:val="24"/>
        </w:rPr>
        <w:t xml:space="preserve">Another </w:t>
      </w:r>
      <w:r w:rsidRPr="006F68E9">
        <w:rPr>
          <w:rFonts w:ascii="Times New Roman" w:hAnsi="Times New Roman"/>
          <w:sz w:val="24"/>
        </w:rPr>
        <w:t>commenter questioned what happens if one or more of the proximate facilities change owners, change operations, or even sell or vacate the premises</w:t>
      </w:r>
      <w:r>
        <w:rPr>
          <w:rFonts w:ascii="Times New Roman" w:hAnsi="Times New Roman"/>
          <w:sz w:val="24"/>
        </w:rPr>
        <w:t>.</w:t>
      </w:r>
      <w:r w:rsidRPr="006F68E9">
        <w:rPr>
          <w:rFonts w:ascii="Times New Roman" w:hAnsi="Times New Roman"/>
          <w:sz w:val="24"/>
        </w:rPr>
        <w:t xml:space="preserve"> The commenter also </w:t>
      </w:r>
      <w:r>
        <w:rPr>
          <w:rFonts w:ascii="Times New Roman" w:hAnsi="Times New Roman"/>
          <w:sz w:val="24"/>
        </w:rPr>
        <w:t>stated this plan</w:t>
      </w:r>
      <w:r w:rsidRPr="006F68E9">
        <w:rPr>
          <w:rFonts w:ascii="Times New Roman" w:hAnsi="Times New Roman"/>
          <w:sz w:val="24"/>
        </w:rPr>
        <w:t xml:space="preserve"> would seem to have any real force only for the initial review of a yet-to-be constructed RMP facility, as such facilities would be able to move during construction processes, equipment, buildings to where they would avoid or minimize the hazards posed to/by proximate facilities (0261).</w:t>
      </w:r>
    </w:p>
    <w:p w:rsidR="00D43808" w:rsidP="00D43808" w14:paraId="24D755DA" w14:textId="4B4037FE">
      <w:pPr>
        <w:ind w:left="720"/>
        <w:rPr>
          <w:rFonts w:ascii="Times New Roman" w:eastAsia="Times New Roman" w:hAnsi="Times New Roman"/>
          <w:sz w:val="24"/>
        </w:rPr>
      </w:pPr>
      <w:r w:rsidRPr="162835F2">
        <w:rPr>
          <w:rFonts w:ascii="Times New Roman" w:hAnsi="Times New Roman"/>
          <w:b/>
          <w:bCs/>
          <w:sz w:val="24"/>
        </w:rPr>
        <w:t>EPA Response</w:t>
      </w:r>
      <w:r>
        <w:rPr>
          <w:rFonts w:ascii="Times New Roman" w:hAnsi="Times New Roman"/>
          <w:b/>
          <w:bCs/>
          <w:sz w:val="24"/>
        </w:rPr>
        <w:t xml:space="preserve">: </w:t>
      </w:r>
      <w:r w:rsidRPr="162835F2">
        <w:rPr>
          <w:rFonts w:ascii="Times New Roman" w:eastAsia="Times New Roman" w:hAnsi="Times New Roman"/>
          <w:color w:val="000000" w:themeColor="text1"/>
          <w:sz w:val="24"/>
        </w:rPr>
        <w:t>In response to the comments regarding the definition of “proximate facilities” and CBI, EPA notes that the provision is for facility owners and operators to be aware of and consider the apparent presence of</w:t>
      </w:r>
      <w:r w:rsidR="00BD0D5E">
        <w:rPr>
          <w:rFonts w:ascii="Times New Roman" w:eastAsia="Times New Roman" w:hAnsi="Times New Roman"/>
          <w:color w:val="000000" w:themeColor="text1"/>
          <w:sz w:val="24"/>
        </w:rPr>
        <w:t xml:space="preserve"> </w:t>
      </w:r>
      <w:r w:rsidRPr="162835F2">
        <w:rPr>
          <w:rFonts w:ascii="Times New Roman" w:eastAsia="Times New Roman" w:hAnsi="Times New Roman"/>
          <w:color w:val="000000" w:themeColor="text1"/>
          <w:sz w:val="24"/>
        </w:rPr>
        <w:t>facilities</w:t>
      </w:r>
      <w:r w:rsidR="00BD0D5E">
        <w:rPr>
          <w:rFonts w:ascii="Times New Roman" w:eastAsia="Times New Roman" w:hAnsi="Times New Roman"/>
          <w:color w:val="000000" w:themeColor="text1"/>
          <w:sz w:val="24"/>
        </w:rPr>
        <w:t xml:space="preserve"> (RMP </w:t>
      </w:r>
      <w:r w:rsidR="00465F0A">
        <w:rPr>
          <w:rFonts w:ascii="Times New Roman" w:eastAsia="Times New Roman" w:hAnsi="Times New Roman"/>
          <w:color w:val="000000" w:themeColor="text1"/>
          <w:sz w:val="24"/>
        </w:rPr>
        <w:t xml:space="preserve">regulated or </w:t>
      </w:r>
      <w:r w:rsidR="0063468C">
        <w:rPr>
          <w:rFonts w:ascii="Times New Roman" w:eastAsia="Times New Roman" w:hAnsi="Times New Roman"/>
          <w:color w:val="000000" w:themeColor="text1"/>
          <w:sz w:val="24"/>
        </w:rPr>
        <w:t>otherwise)</w:t>
      </w:r>
      <w:r w:rsidRPr="162835F2">
        <w:rPr>
          <w:rFonts w:ascii="Times New Roman" w:eastAsia="Times New Roman" w:hAnsi="Times New Roman"/>
          <w:color w:val="000000" w:themeColor="text1"/>
          <w:sz w:val="24"/>
        </w:rPr>
        <w:t xml:space="preserve"> within release impact zones that could occur from their facility, and how those releases would be affected because of the presence of nearby facilities. While EPA encourages sharing of chemical and process information between facilities, particularly for emergency response purposes, EPA does not believe this is required in order to comply with the provision. </w:t>
      </w:r>
      <w:r w:rsidRPr="63266EB6">
        <w:rPr>
          <w:rFonts w:ascii="Times New Roman" w:eastAsia="Times New Roman" w:hAnsi="Times New Roman"/>
          <w:color w:val="000000" w:themeColor="text1"/>
          <w:sz w:val="24"/>
        </w:rPr>
        <w:t xml:space="preserve">Nevertheless, when conducting siting </w:t>
      </w:r>
      <w:r w:rsidRPr="50B04357">
        <w:rPr>
          <w:rFonts w:ascii="Times New Roman" w:eastAsia="Times New Roman" w:hAnsi="Times New Roman"/>
          <w:color w:val="000000" w:themeColor="text1"/>
          <w:sz w:val="24"/>
        </w:rPr>
        <w:t>evaluations</w:t>
      </w:r>
      <w:r w:rsidRPr="63266EB6">
        <w:rPr>
          <w:rFonts w:ascii="Times New Roman" w:eastAsia="Times New Roman" w:hAnsi="Times New Roman"/>
          <w:color w:val="000000" w:themeColor="text1"/>
          <w:sz w:val="24"/>
        </w:rPr>
        <w:t>, EPA would reasonably expect sources to consult publicly accessible information on nearby sources, such as RMPs and information available through LEPCs. This type of information is not CBI.</w:t>
      </w:r>
      <w:r w:rsidRPr="63266EB6">
        <w:rPr>
          <w:rFonts w:ascii="Times New Roman" w:eastAsia="Times New Roman" w:hAnsi="Times New Roman"/>
          <w:sz w:val="24"/>
        </w:rPr>
        <w:t xml:space="preserve"> </w:t>
      </w:r>
    </w:p>
    <w:p w:rsidR="00D43808" w:rsidP="00D43808" w14:paraId="7405600A" w14:textId="77777777">
      <w:pPr>
        <w:rPr>
          <w:rFonts w:ascii="Times New Roman" w:hAnsi="Times New Roman"/>
          <w:sz w:val="24"/>
        </w:rPr>
      </w:pPr>
      <w:r>
        <w:rPr>
          <w:rFonts w:ascii="Times New Roman" w:hAnsi="Times New Roman"/>
          <w:b/>
          <w:bCs/>
          <w:sz w:val="24"/>
        </w:rPr>
        <w:t xml:space="preserve">Comment 4.1-07: </w:t>
      </w:r>
      <w:r w:rsidRPr="006F68E9">
        <w:rPr>
          <w:rFonts w:ascii="Times New Roman" w:hAnsi="Times New Roman"/>
          <w:sz w:val="24"/>
        </w:rPr>
        <w:t xml:space="preserve">Another commenter questioned EPA’s proposal that an expanded source siting evaluation is needed to effectively create a boundary between a facility and proximate facilities. The commenter </w:t>
      </w:r>
      <w:r>
        <w:rPr>
          <w:rFonts w:ascii="Times New Roman" w:hAnsi="Times New Roman"/>
          <w:sz w:val="24"/>
        </w:rPr>
        <w:t>expressed</w:t>
      </w:r>
      <w:r w:rsidRPr="006F68E9">
        <w:rPr>
          <w:rFonts w:ascii="Times New Roman" w:hAnsi="Times New Roman"/>
          <w:sz w:val="24"/>
        </w:rPr>
        <w:t xml:space="preserve"> that creating federal siting boundaries falls outside EPA’s authority to address accidental releases (0272). </w:t>
      </w:r>
    </w:p>
    <w:p w:rsidR="00D43808" w:rsidP="00D379CD" w14:paraId="0D42434A" w14:textId="48C17D30">
      <w:pPr>
        <w:ind w:left="720"/>
        <w:rPr>
          <w:rFonts w:ascii="Times New Roman" w:hAnsi="Times New Roman"/>
          <w:sz w:val="24"/>
        </w:rPr>
      </w:pPr>
      <w:r w:rsidRPr="00C0573B">
        <w:rPr>
          <w:rFonts w:ascii="Times New Roman" w:hAnsi="Times New Roman"/>
          <w:b/>
          <w:bCs/>
          <w:sz w:val="24"/>
        </w:rPr>
        <w:t>EPA Response:</w:t>
      </w:r>
      <w:r w:rsidRPr="00D379CD" w:rsidR="00D379CD">
        <w:t xml:space="preserve"> </w:t>
      </w:r>
      <w:r w:rsidRPr="00C0573B" w:rsidR="00D379CD">
        <w:rPr>
          <w:rFonts w:ascii="Times New Roman" w:hAnsi="Times New Roman"/>
          <w:sz w:val="24"/>
        </w:rPr>
        <w:t>EPA notes that, at this time, the Agency is only choosing to make more explicit what is required to be addressed in a stationary source siting evaluation. Rather than propose additional requirements, EPA is instead expounding on the current regulatory text to ensure that siting evaluations properly account for hazards resulting from the location of processes, equipment, building, and proximate facilities, and their effects on the surrounding community. EPA notes that the provision is for facility owners and operators to be aware of and consider the apparent presence of facilities within release impact zones that could occur from their facility, and how those releases would be affected because of the presence of nearby facilities.</w:t>
      </w:r>
      <w:r w:rsidRPr="00C0573B" w:rsidR="00377391">
        <w:rPr>
          <w:rFonts w:ascii="Times New Roman" w:hAnsi="Times New Roman"/>
          <w:sz w:val="24"/>
        </w:rPr>
        <w:t xml:space="preserve"> </w:t>
      </w:r>
      <w:r w:rsidRPr="00C0573B" w:rsidR="00C0573B">
        <w:rPr>
          <w:rFonts w:ascii="Times New Roman" w:hAnsi="Times New Roman"/>
          <w:sz w:val="24"/>
        </w:rPr>
        <w:t>EPA continues to believe the performance-based nature of both this provision and the overall rule allow facility owners and operators the discretion to determine what risk reduction measures work best for their particular chemical use, process, or facility.</w:t>
      </w:r>
      <w:r w:rsidRPr="29AAB906" w:rsidR="2BA39126">
        <w:rPr>
          <w:rFonts w:ascii="Times New Roman" w:hAnsi="Times New Roman"/>
          <w:sz w:val="24"/>
        </w:rPr>
        <w:t xml:space="preserve"> No provision of this rule requires creating or adjusting boundaries of facilities. EPA </w:t>
      </w:r>
      <w:r w:rsidRPr="29AAB906" w:rsidR="22029303">
        <w:rPr>
          <w:rFonts w:ascii="Times New Roman" w:hAnsi="Times New Roman"/>
          <w:sz w:val="24"/>
        </w:rPr>
        <w:t xml:space="preserve">simply requires </w:t>
      </w:r>
      <w:r w:rsidRPr="29AAB906" w:rsidR="6D74A4FC">
        <w:rPr>
          <w:rFonts w:ascii="Times New Roman" w:hAnsi="Times New Roman"/>
          <w:sz w:val="24"/>
        </w:rPr>
        <w:t xml:space="preserve">some </w:t>
      </w:r>
      <w:r w:rsidRPr="29AAB906" w:rsidR="22029303">
        <w:rPr>
          <w:rFonts w:ascii="Times New Roman" w:hAnsi="Times New Roman"/>
          <w:sz w:val="24"/>
        </w:rPr>
        <w:t>cogni</w:t>
      </w:r>
      <w:r w:rsidRPr="29AAB906" w:rsidR="60A77834">
        <w:rPr>
          <w:rFonts w:ascii="Times New Roman" w:hAnsi="Times New Roman"/>
          <w:sz w:val="24"/>
        </w:rPr>
        <w:t>zance</w:t>
      </w:r>
      <w:r w:rsidRPr="29AAB906" w:rsidR="22029303">
        <w:rPr>
          <w:rFonts w:ascii="Times New Roman" w:hAnsi="Times New Roman"/>
          <w:sz w:val="24"/>
        </w:rPr>
        <w:t xml:space="preserve"> of</w:t>
      </w:r>
      <w:r w:rsidRPr="29AAB906" w:rsidR="5BBF27C3">
        <w:rPr>
          <w:rFonts w:ascii="Times New Roman" w:hAnsi="Times New Roman"/>
          <w:sz w:val="24"/>
        </w:rPr>
        <w:t xml:space="preserve"> the potential impacts of proximate facilities on the </w:t>
      </w:r>
      <w:r w:rsidRPr="29AAB906" w:rsidR="31B6E1B6">
        <w:rPr>
          <w:rFonts w:ascii="Times New Roman" w:hAnsi="Times New Roman"/>
          <w:sz w:val="24"/>
        </w:rPr>
        <w:t xml:space="preserve">hazards of the regulated source. </w:t>
      </w:r>
    </w:p>
    <w:p w:rsidR="00D43808" w:rsidRPr="0098707A" w:rsidP="00D43808" w14:paraId="54E8F2E2" w14:textId="77777777">
      <w:pPr>
        <w:rPr>
          <w:rFonts w:ascii="Times New Roman" w:hAnsi="Times New Roman"/>
          <w:i/>
          <w:iCs/>
          <w:sz w:val="24"/>
        </w:rPr>
      </w:pPr>
      <w:r w:rsidRPr="0098707A">
        <w:rPr>
          <w:rFonts w:ascii="Times New Roman" w:hAnsi="Times New Roman"/>
          <w:i/>
          <w:iCs/>
          <w:sz w:val="24"/>
        </w:rPr>
        <w:t>Comments addressing</w:t>
      </w:r>
      <w:r>
        <w:rPr>
          <w:rFonts w:ascii="Times New Roman" w:hAnsi="Times New Roman"/>
          <w:i/>
          <w:iCs/>
          <w:sz w:val="24"/>
        </w:rPr>
        <w:t xml:space="preserve"> consideration</w:t>
      </w:r>
      <w:r w:rsidRPr="0098707A">
        <w:rPr>
          <w:rFonts w:ascii="Times New Roman" w:hAnsi="Times New Roman"/>
          <w:i/>
          <w:iCs/>
          <w:sz w:val="24"/>
        </w:rPr>
        <w:t xml:space="preserve"> of accident release consequences</w:t>
      </w:r>
    </w:p>
    <w:p w:rsidR="00D43808" w:rsidP="00D43808" w14:paraId="07BAAAA3" w14:textId="298733EB">
      <w:pPr>
        <w:rPr>
          <w:rFonts w:ascii="Times New Roman" w:hAnsi="Times New Roman"/>
          <w:sz w:val="24"/>
        </w:rPr>
      </w:pPr>
      <w:r w:rsidRPr="00487480">
        <w:rPr>
          <w:rFonts w:ascii="Times New Roman" w:hAnsi="Times New Roman"/>
          <w:b/>
          <w:bCs/>
          <w:sz w:val="24"/>
        </w:rPr>
        <w:t>Comment</w:t>
      </w:r>
      <w:r>
        <w:rPr>
          <w:rFonts w:ascii="Times New Roman" w:hAnsi="Times New Roman"/>
          <w:b/>
          <w:bCs/>
          <w:sz w:val="24"/>
        </w:rPr>
        <w:t xml:space="preserve"> 4.1-0</w:t>
      </w:r>
      <w:r w:rsidR="00630655">
        <w:rPr>
          <w:rFonts w:ascii="Times New Roman" w:hAnsi="Times New Roman"/>
          <w:b/>
          <w:bCs/>
          <w:sz w:val="24"/>
        </w:rPr>
        <w:t>8</w:t>
      </w:r>
      <w:r>
        <w:rPr>
          <w:rFonts w:ascii="Times New Roman" w:hAnsi="Times New Roman"/>
          <w:sz w:val="24"/>
        </w:rPr>
        <w:t xml:space="preserve">: </w:t>
      </w:r>
      <w:r w:rsidRPr="006F68E9">
        <w:rPr>
          <w:rFonts w:ascii="Times New Roman" w:hAnsi="Times New Roman"/>
          <w:sz w:val="24"/>
        </w:rPr>
        <w:t xml:space="preserve">One commenter expressed concern over EPA’s proposal that a hazard review or PHA team consider “potential accidental release consequences to nearby public and environmental receptors.” The commenter </w:t>
      </w:r>
      <w:r>
        <w:rPr>
          <w:rFonts w:ascii="Times New Roman" w:hAnsi="Times New Roman"/>
          <w:sz w:val="24"/>
        </w:rPr>
        <w:t>stated</w:t>
      </w:r>
      <w:r w:rsidRPr="006F68E9">
        <w:rPr>
          <w:rFonts w:ascii="Times New Roman" w:hAnsi="Times New Roman"/>
          <w:sz w:val="24"/>
        </w:rPr>
        <w:t xml:space="preserve"> that it is unclear how hazard review or PHA team members, who are working to identify means to prevent or mitigate accidental releases, </w:t>
      </w:r>
      <w:r w:rsidRPr="006F68E9">
        <w:rPr>
          <w:rFonts w:ascii="Times New Roman" w:hAnsi="Times New Roman"/>
          <w:sz w:val="24"/>
        </w:rPr>
        <w:t>would change the hazard review or PHA by knowing that an accidental release could have offsite consequences (0215).</w:t>
      </w:r>
    </w:p>
    <w:p w:rsidR="00551A7A" w:rsidRPr="00BA0EBD" w:rsidP="00BA0EBD" w14:paraId="275CAB8C" w14:textId="4394CE45">
      <w:pPr>
        <w:autoSpaceDE w:val="0"/>
        <w:autoSpaceDN w:val="0"/>
        <w:adjustRightInd w:val="0"/>
        <w:ind w:left="720"/>
        <w:rPr>
          <w:rFonts w:ascii="Times New Roman" w:hAnsi="Times New Roman" w:eastAsiaTheme="minorHAnsi"/>
          <w:sz w:val="24"/>
          <w14:ligatures w14:val="standardContextual"/>
        </w:rPr>
      </w:pPr>
      <w:r w:rsidRPr="003214B8">
        <w:rPr>
          <w:rFonts w:ascii="Times New Roman" w:hAnsi="Times New Roman"/>
          <w:b/>
          <w:bCs/>
          <w:sz w:val="24"/>
        </w:rPr>
        <w:t>EPA Response:</w:t>
      </w:r>
      <w:r w:rsidRPr="003214B8" w:rsidR="00794189">
        <w:rPr>
          <w:rFonts w:ascii="Melior" w:hAnsi="Melior" w:eastAsiaTheme="minorHAnsi" w:cs="Melior"/>
          <w:b/>
          <w:bCs/>
          <w:sz w:val="18"/>
          <w:szCs w:val="18"/>
          <w14:ligatures w14:val="standardContextual"/>
        </w:rPr>
        <w:t xml:space="preserve"> </w:t>
      </w:r>
      <w:r w:rsidRPr="003214B8" w:rsidR="003214B8">
        <w:rPr>
          <w:rFonts w:ascii="Times New Roman" w:hAnsi="Times New Roman" w:eastAsiaTheme="minorHAnsi"/>
          <w:sz w:val="24"/>
          <w14:ligatures w14:val="standardContextual"/>
        </w:rPr>
        <w:t xml:space="preserve">As </w:t>
      </w:r>
      <w:r w:rsidR="0000760B">
        <w:rPr>
          <w:rFonts w:ascii="Times New Roman" w:hAnsi="Times New Roman" w:eastAsiaTheme="minorHAnsi"/>
          <w:sz w:val="24"/>
          <w14:ligatures w14:val="standardContextual"/>
        </w:rPr>
        <w:t>discussed</w:t>
      </w:r>
      <w:r w:rsidRPr="003214B8" w:rsidR="003214B8">
        <w:rPr>
          <w:rFonts w:ascii="Times New Roman" w:hAnsi="Times New Roman" w:eastAsiaTheme="minorHAnsi"/>
          <w:sz w:val="24"/>
          <w14:ligatures w14:val="standardContextual"/>
        </w:rPr>
        <w:t xml:space="preserve"> in RMP guidance and in the SCCAP proposal, t</w:t>
      </w:r>
      <w:r w:rsidRPr="003214B8" w:rsidR="00794189">
        <w:rPr>
          <w:rFonts w:ascii="Times New Roman" w:hAnsi="Times New Roman" w:eastAsiaTheme="minorHAnsi"/>
          <w:sz w:val="24"/>
          <w14:ligatures w14:val="standardContextual"/>
        </w:rPr>
        <w:t>he requirement to consider stationary</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 xml:space="preserve">source siting during the </w:t>
      </w:r>
      <w:r w:rsidRPr="003214B8" w:rsidR="001F4966">
        <w:rPr>
          <w:rFonts w:ascii="Times New Roman" w:hAnsi="Times New Roman" w:eastAsiaTheme="minorHAnsi"/>
          <w:sz w:val="24"/>
          <w14:ligatures w14:val="standardContextual"/>
        </w:rPr>
        <w:t>p</w:t>
      </w:r>
      <w:r w:rsidRPr="003214B8" w:rsidR="00794189">
        <w:rPr>
          <w:rFonts w:ascii="Times New Roman" w:hAnsi="Times New Roman" w:eastAsiaTheme="minorHAnsi"/>
          <w:sz w:val="24"/>
          <w14:ligatures w14:val="standardContextual"/>
        </w:rPr>
        <w:t>rocess hazard</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analysis means that you should consider</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the location of the covered vessels and</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evaluate whether their location creates</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risks for offsite public or environmental</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receptors, as well as onsite receptors.</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This analysis should consider the</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proximity of the vessels that could lead</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to a release of a regulated substance.</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The</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analysis may be done qualitatively. The</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analysis addresses whether the location</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of the vessels creates risks that could be</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reduced by changing the location or</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taking other actions, such as installing</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mitigation systems. As with other aspects of the RMP rule,</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EPA expects regulated facilities to rely</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on industry guidance to help adequately</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address stationary source siting in</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 xml:space="preserve">PHAs. </w:t>
      </w:r>
      <w:r w:rsidRPr="003214B8" w:rsidR="003214B8">
        <w:rPr>
          <w:rFonts w:ascii="Times New Roman" w:hAnsi="Times New Roman" w:eastAsiaTheme="minorHAnsi"/>
          <w:sz w:val="24"/>
          <w14:ligatures w14:val="standardContextual"/>
        </w:rPr>
        <w:t xml:space="preserve">The </w:t>
      </w:r>
      <w:r w:rsidR="00157BCB">
        <w:rPr>
          <w:rFonts w:ascii="Times New Roman" w:hAnsi="Times New Roman" w:eastAsiaTheme="minorHAnsi"/>
          <w:sz w:val="24"/>
          <w14:ligatures w14:val="standardContextual"/>
        </w:rPr>
        <w:t xml:space="preserve">SCCAP </w:t>
      </w:r>
      <w:r w:rsidRPr="003214B8" w:rsidR="003214B8">
        <w:rPr>
          <w:rFonts w:ascii="Times New Roman" w:hAnsi="Times New Roman" w:eastAsiaTheme="minorHAnsi"/>
          <w:sz w:val="24"/>
          <w14:ligatures w14:val="standardContextual"/>
        </w:rPr>
        <w:t xml:space="preserve">proposal offered </w:t>
      </w:r>
      <w:r w:rsidRPr="003214B8" w:rsidR="00794189">
        <w:rPr>
          <w:rFonts w:ascii="Times New Roman" w:hAnsi="Times New Roman" w:eastAsiaTheme="minorHAnsi"/>
          <w:sz w:val="24"/>
          <w14:ligatures w14:val="standardContextual"/>
        </w:rPr>
        <w:t>examples of</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relevant industry guidance on siting</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considerations are available to facility</w:t>
      </w:r>
      <w:r w:rsidRPr="003214B8" w:rsidR="001F4966">
        <w:rPr>
          <w:rFonts w:ascii="Times New Roman" w:hAnsi="Times New Roman" w:eastAsiaTheme="minorHAnsi"/>
          <w:sz w:val="24"/>
          <w14:ligatures w14:val="standardContextual"/>
        </w:rPr>
        <w:t xml:space="preserve"> </w:t>
      </w:r>
      <w:r w:rsidRPr="003214B8" w:rsidR="00794189">
        <w:rPr>
          <w:rFonts w:ascii="Times New Roman" w:hAnsi="Times New Roman" w:eastAsiaTheme="minorHAnsi"/>
          <w:sz w:val="24"/>
          <w14:ligatures w14:val="standardContextual"/>
        </w:rPr>
        <w:t>owners and operators</w:t>
      </w:r>
      <w:r w:rsidRPr="003214B8" w:rsidR="003214B8">
        <w:rPr>
          <w:rFonts w:ascii="Times New Roman" w:hAnsi="Times New Roman" w:eastAsiaTheme="minorHAnsi"/>
          <w:sz w:val="24"/>
          <w14:ligatures w14:val="standardContextual"/>
        </w:rPr>
        <w:t>.</w:t>
      </w:r>
    </w:p>
    <w:p w:rsidR="00551A7A" w:rsidRPr="003214B8" w:rsidP="00BA0EBD" w14:paraId="77B72373" w14:textId="30C394DF">
      <w:pPr>
        <w:autoSpaceDE w:val="0"/>
        <w:autoSpaceDN w:val="0"/>
        <w:adjustRightInd w:val="0"/>
        <w:ind w:left="720"/>
        <w:rPr>
          <w:rFonts w:ascii="Times New Roman" w:hAnsi="Times New Roman"/>
          <w:b/>
          <w:bCs/>
          <w:sz w:val="24"/>
        </w:rPr>
      </w:pPr>
      <w:r w:rsidRPr="00CF2DAA">
        <w:rPr>
          <w:rFonts w:ascii="Times New Roman" w:hAnsi="Times New Roman"/>
          <w:sz w:val="24"/>
        </w:rPr>
        <w:t>EPA notes that, at this time, the Agency is only choosing to make more explicit what is required to be addressed in a stationary source siting evaluation. Rather than propose additional requirements, EPA is instead expounding on the current regulatory text to ensure that siting evaluations properly account for hazards resulting from the location of processes, equipment, building, and proximate facilities, and their effects on the surrounding community.</w:t>
      </w:r>
    </w:p>
    <w:p w:rsidR="00D43808" w:rsidP="00D43808" w14:paraId="30A39B6A" w14:textId="11C0837E">
      <w:pPr>
        <w:rPr>
          <w:rFonts w:ascii="Times New Roman" w:hAnsi="Times New Roman"/>
          <w:sz w:val="24"/>
        </w:rPr>
      </w:pPr>
      <w:r>
        <w:rPr>
          <w:rFonts w:ascii="Times New Roman" w:hAnsi="Times New Roman"/>
          <w:b/>
          <w:bCs/>
          <w:sz w:val="24"/>
        </w:rPr>
        <w:t>Comment 4.1-</w:t>
      </w:r>
      <w:r w:rsidR="00630655">
        <w:rPr>
          <w:rFonts w:ascii="Times New Roman" w:hAnsi="Times New Roman"/>
          <w:b/>
          <w:bCs/>
          <w:sz w:val="24"/>
        </w:rPr>
        <w:t>09</w:t>
      </w:r>
      <w:r>
        <w:rPr>
          <w:rFonts w:ascii="Times New Roman" w:hAnsi="Times New Roman"/>
          <w:b/>
          <w:bCs/>
          <w:sz w:val="24"/>
        </w:rPr>
        <w:t xml:space="preserve">: </w:t>
      </w:r>
      <w:r w:rsidRPr="006F68E9">
        <w:rPr>
          <w:rFonts w:ascii="Times New Roman" w:hAnsi="Times New Roman"/>
          <w:sz w:val="24"/>
        </w:rPr>
        <w:t xml:space="preserve">Some commenters expressed concern about EPA’s use of inapposite incidents as justification for the proposed siting requirements (0207, 0232, 0253, 0268, 0272). One of the commenters noted that only one of the seven examples occurred since the 2019 rule took effect and it was an incident outside the United States where similar zoning ordinances either do not exist or differ significantly and another example did not include a release (0268). Another commenter suggested that EPA should issue a supplemental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clearly explaining the rationale, particularly why the existing regulatory language is deficient and how the new proposed requirement could reduce accidents, and EPA’s legal authority for doing so (0207). One commenter stated that incidents in foreign countries subject to different legal systems provide no grounds to regulate U.S. based facilities (0272).</w:t>
      </w:r>
    </w:p>
    <w:p w:rsidR="000134F0" w:rsidRPr="000134F0" w:rsidP="000134F0" w14:paraId="26AB0F84" w14:textId="0DE7F394">
      <w:pPr>
        <w:ind w:left="720"/>
        <w:rPr>
          <w:rFonts w:ascii="Times New Roman" w:hAnsi="Times New Roman"/>
          <w:sz w:val="24"/>
        </w:rPr>
      </w:pPr>
      <w:r w:rsidRPr="000134F0">
        <w:rPr>
          <w:rFonts w:ascii="Times New Roman" w:hAnsi="Times New Roman"/>
          <w:b/>
          <w:bCs/>
          <w:sz w:val="24"/>
        </w:rPr>
        <w:t>EPA Response:</w:t>
      </w:r>
      <w:r w:rsidRPr="00404E54" w:rsidR="00404E54">
        <w:t xml:space="preserve"> </w:t>
      </w:r>
      <w:r w:rsidRPr="000134F0" w:rsidR="00404E54">
        <w:rPr>
          <w:rFonts w:ascii="Times New Roman" w:hAnsi="Times New Roman"/>
          <w:sz w:val="24"/>
        </w:rPr>
        <w:t xml:space="preserve">The proposal offered several examples of accidental releases </w:t>
      </w:r>
      <w:r w:rsidRPr="000134F0" w:rsidR="00485896">
        <w:rPr>
          <w:rFonts w:ascii="Times New Roman" w:hAnsi="Times New Roman"/>
          <w:sz w:val="24"/>
        </w:rPr>
        <w:t xml:space="preserve">to </w:t>
      </w:r>
      <w:r w:rsidRPr="000134F0" w:rsidR="00404E54">
        <w:rPr>
          <w:rFonts w:ascii="Times New Roman" w:hAnsi="Times New Roman"/>
          <w:sz w:val="24"/>
        </w:rPr>
        <w:t>illustrate the significant effects of the lack of sufficient distance between the source boundary and neighboring residential areas.</w:t>
      </w:r>
      <w:r w:rsidRPr="000134F0" w:rsidR="003F0B5E">
        <w:rPr>
          <w:rFonts w:ascii="Times New Roman" w:hAnsi="Times New Roman"/>
          <w:sz w:val="24"/>
        </w:rPr>
        <w:t xml:space="preserve"> </w:t>
      </w:r>
      <w:r w:rsidRPr="000134F0" w:rsidR="00B266C7">
        <w:rPr>
          <w:rFonts w:ascii="Times New Roman" w:hAnsi="Times New Roman"/>
          <w:sz w:val="24"/>
        </w:rPr>
        <w:t xml:space="preserve">Additionally, </w:t>
      </w:r>
      <w:r w:rsidRPr="000134F0">
        <w:rPr>
          <w:rFonts w:ascii="Times New Roman" w:hAnsi="Times New Roman"/>
          <w:sz w:val="24"/>
        </w:rPr>
        <w:t xml:space="preserve">in the proposal </w:t>
      </w:r>
      <w:r w:rsidRPr="000134F0" w:rsidR="00B266C7">
        <w:rPr>
          <w:rFonts w:ascii="Times New Roman" w:hAnsi="Times New Roman"/>
          <w:sz w:val="24"/>
        </w:rPr>
        <w:t>EPA provided</w:t>
      </w:r>
      <w:r w:rsidRPr="000134F0" w:rsidR="00F04900">
        <w:rPr>
          <w:rFonts w:ascii="Times New Roman" w:hAnsi="Times New Roman"/>
          <w:sz w:val="24"/>
        </w:rPr>
        <w:t xml:space="preserve"> EPA RMP and OSHA PSM enforcement actions </w:t>
      </w:r>
      <w:r w:rsidRPr="000134F0">
        <w:rPr>
          <w:rFonts w:ascii="Times New Roman" w:hAnsi="Times New Roman"/>
          <w:sz w:val="24"/>
        </w:rPr>
        <w:t xml:space="preserve">that showed despite enforcement and the consequences of catastrophic accidents, issues of siting continue to threaten process safety. </w:t>
      </w:r>
      <w:r w:rsidRPr="29AAB906" w:rsidR="0D3D9854">
        <w:rPr>
          <w:rFonts w:ascii="Times New Roman" w:hAnsi="Times New Roman"/>
          <w:sz w:val="24"/>
        </w:rPr>
        <w:t xml:space="preserve">We did not restrict our review of accidents to post-2019 incidents. We </w:t>
      </w:r>
      <w:r w:rsidRPr="29AAB906" w:rsidR="492C47E8">
        <w:rPr>
          <w:rFonts w:ascii="Times New Roman" w:hAnsi="Times New Roman"/>
          <w:sz w:val="24"/>
        </w:rPr>
        <w:t xml:space="preserve">do not argue that solely post-2019 incidents justify our change of position regarding whether rule </w:t>
      </w:r>
      <w:r w:rsidRPr="29AAB906" w:rsidR="39A8E583">
        <w:rPr>
          <w:rFonts w:ascii="Times New Roman" w:hAnsi="Times New Roman"/>
          <w:sz w:val="24"/>
        </w:rPr>
        <w:t>amendments are necessary. Therefore, we appropriately looked at more than just post-2019 incidents.</w:t>
      </w:r>
    </w:p>
    <w:p w:rsidR="00D43808" w:rsidRPr="000134F0" w:rsidP="000134F0" w14:paraId="0F8E04D5" w14:textId="0FC004C9">
      <w:pPr>
        <w:ind w:left="720"/>
        <w:rPr>
          <w:rFonts w:ascii="Times New Roman" w:hAnsi="Times New Roman"/>
          <w:sz w:val="24"/>
        </w:rPr>
      </w:pPr>
      <w:r w:rsidRPr="29AAB906">
        <w:rPr>
          <w:rFonts w:ascii="Times New Roman" w:hAnsi="Times New Roman"/>
          <w:sz w:val="24"/>
        </w:rPr>
        <w:t>Consideration of siting has always been a core element of both the PSM standard and the RMP rule</w:t>
      </w:r>
      <w:r w:rsidRPr="29AAB906" w:rsidR="2D23F951">
        <w:rPr>
          <w:rFonts w:ascii="Times New Roman" w:hAnsi="Times New Roman"/>
          <w:sz w:val="24"/>
        </w:rPr>
        <w:t xml:space="preserve">. </w:t>
      </w:r>
      <w:r w:rsidRPr="29AAB906" w:rsidR="168632B7">
        <w:rPr>
          <w:rFonts w:ascii="Times New Roman" w:hAnsi="Times New Roman"/>
          <w:sz w:val="24"/>
        </w:rPr>
        <w:t xml:space="preserve">Siting relates to potential effects of releases and </w:t>
      </w:r>
      <w:r w:rsidRPr="29AAB906" w:rsidR="599D7F9A">
        <w:rPr>
          <w:rFonts w:ascii="Times New Roman" w:hAnsi="Times New Roman"/>
          <w:sz w:val="24"/>
        </w:rPr>
        <w:t>a program to prevent and mitigate the impacts of release (CAA 112(r)(7)(</w:t>
      </w:r>
      <w:r w:rsidRPr="29AAB906" w:rsidR="3D1D54BE">
        <w:rPr>
          <w:rFonts w:ascii="Times New Roman" w:hAnsi="Times New Roman"/>
          <w:sz w:val="24"/>
        </w:rPr>
        <w:t>B)(ii).</w:t>
      </w:r>
      <w:r w:rsidRPr="29AAB906">
        <w:rPr>
          <w:rFonts w:ascii="Times New Roman" w:hAnsi="Times New Roman"/>
          <w:sz w:val="24"/>
        </w:rPr>
        <w:t xml:space="preserve"> </w:t>
      </w:r>
      <w:r w:rsidRPr="000134F0" w:rsidR="003F0B5E">
        <w:rPr>
          <w:rFonts w:ascii="Times New Roman" w:hAnsi="Times New Roman"/>
          <w:sz w:val="24"/>
        </w:rPr>
        <w:t xml:space="preserve">EPA believes that amending the regulatory text to make more explicit the requirement that process hazard evaluations for both Program 2 (hazard review) and Program 3 (PHA) include in the siting evaluation the placement of processes, equipment, buildings, and hazards posed by proximate facilities, </w:t>
      </w:r>
      <w:r w:rsidRPr="000134F0" w:rsidR="003F0B5E">
        <w:rPr>
          <w:rFonts w:ascii="Times New Roman" w:hAnsi="Times New Roman"/>
          <w:sz w:val="24"/>
        </w:rPr>
        <w:t>and accident release consequences posed by proximity to the public, will help ensure the protection of human health and the environment. As discussed in the proposal, siting of processes and equipment within a stationary source can impact the surrounding community, not only through the proximity of the accidental release to offsite receptors adjacent to the facility boundary (e.g., people, infrastructure, environmental resources), but also through increasing the likelihood of a secondary ‘‘knock-on’’ release by compromising nearby processes.</w:t>
      </w:r>
    </w:p>
    <w:p w:rsidR="00D43808" w:rsidP="00D43808" w14:paraId="565C1241" w14:textId="75CA4B0E">
      <w:pPr>
        <w:rPr>
          <w:rFonts w:ascii="Times New Roman" w:hAnsi="Times New Roman"/>
          <w:sz w:val="24"/>
        </w:rPr>
      </w:pPr>
      <w:r>
        <w:rPr>
          <w:rFonts w:ascii="Times New Roman" w:hAnsi="Times New Roman"/>
          <w:b/>
          <w:bCs/>
          <w:sz w:val="24"/>
        </w:rPr>
        <w:t>Comment 4.1-1</w:t>
      </w:r>
      <w:r w:rsidR="00630655">
        <w:rPr>
          <w:rFonts w:ascii="Times New Roman" w:hAnsi="Times New Roman"/>
          <w:b/>
          <w:bCs/>
          <w:sz w:val="24"/>
        </w:rPr>
        <w:t>0</w:t>
      </w:r>
      <w:r>
        <w:rPr>
          <w:rFonts w:ascii="Times New Roman" w:hAnsi="Times New Roman"/>
          <w:b/>
          <w:bCs/>
          <w:sz w:val="24"/>
        </w:rPr>
        <w:t xml:space="preserve">: </w:t>
      </w:r>
      <w:r w:rsidRPr="006F68E9">
        <w:rPr>
          <w:rFonts w:ascii="Times New Roman" w:hAnsi="Times New Roman"/>
          <w:sz w:val="24"/>
        </w:rPr>
        <w:t xml:space="preserve">One commenter stated that EPA asserts “accidents continue to happen” as a reason for requiring siting evaluation to “ensure protection of human health and the environment.” The commenter </w:t>
      </w:r>
      <w:r>
        <w:rPr>
          <w:rFonts w:ascii="Times New Roman" w:hAnsi="Times New Roman"/>
          <w:sz w:val="24"/>
        </w:rPr>
        <w:t>expressed</w:t>
      </w:r>
      <w:r w:rsidRPr="006F68E9">
        <w:rPr>
          <w:rFonts w:ascii="Times New Roman" w:hAnsi="Times New Roman"/>
          <w:sz w:val="24"/>
        </w:rPr>
        <w:t xml:space="preserve"> that while Congress designed the program to prevent and mitigate the impacts of accidental releases, it did not require or assume no accidents (0268). </w:t>
      </w:r>
    </w:p>
    <w:p w:rsidR="00D43808" w:rsidRPr="00EF61EC" w:rsidP="000E3215" w14:paraId="25352E44" w14:textId="19D259B8">
      <w:pPr>
        <w:ind w:left="720"/>
        <w:rPr>
          <w:rFonts w:ascii="Times New Roman" w:hAnsi="Times New Roman"/>
          <w:sz w:val="24"/>
        </w:rPr>
      </w:pPr>
      <w:r w:rsidRPr="00EF61EC">
        <w:rPr>
          <w:rFonts w:ascii="Times New Roman" w:hAnsi="Times New Roman"/>
          <w:b/>
          <w:bCs/>
          <w:sz w:val="24"/>
        </w:rPr>
        <w:t>EPA Response:</w:t>
      </w:r>
      <w:r w:rsidRPr="000E3215" w:rsidR="000E3215">
        <w:t xml:space="preserve"> </w:t>
      </w:r>
      <w:r w:rsidRPr="00EF61EC" w:rsidR="000E3215">
        <w:rPr>
          <w:rFonts w:ascii="Times New Roman" w:hAnsi="Times New Roman"/>
          <w:sz w:val="24"/>
        </w:rPr>
        <w:t xml:space="preserve">Congress charged EPA to promulgate reasonable regulations to provide to the greatest extent practicable for the prevention and detection of accidental releases. Even when EPA has discharged its mandatory duty under CAA section 112(r)(7)(B), the Agency retains the discretion to amend the regulations when they can be improved to further the intent of the statute. </w:t>
      </w:r>
      <w:r w:rsidRPr="00EF61EC" w:rsidR="000E3215">
        <w:rPr>
          <w:rFonts w:ascii="Times New Roman" w:hAnsi="Times New Roman"/>
          <w:sz w:val="24"/>
        </w:rPr>
        <w:t xml:space="preserve">Therefore, when major </w:t>
      </w:r>
      <w:r w:rsidR="0053567A">
        <w:rPr>
          <w:rFonts w:ascii="Times New Roman" w:hAnsi="Times New Roman"/>
          <w:sz w:val="24"/>
        </w:rPr>
        <w:t xml:space="preserve">concerning </w:t>
      </w:r>
      <w:r w:rsidRPr="00EF61EC" w:rsidR="000E3215">
        <w:rPr>
          <w:rFonts w:ascii="Times New Roman" w:hAnsi="Times New Roman"/>
          <w:sz w:val="24"/>
        </w:rPr>
        <w:t>RMP accidents</w:t>
      </w:r>
      <w:r w:rsidR="0053567A">
        <w:rPr>
          <w:rFonts w:ascii="Times New Roman" w:hAnsi="Times New Roman"/>
          <w:sz w:val="24"/>
        </w:rPr>
        <w:t>, including major accidents,</w:t>
      </w:r>
      <w:r w:rsidRPr="00EF61EC" w:rsidR="000E3215">
        <w:rPr>
          <w:rFonts w:ascii="Times New Roman" w:hAnsi="Times New Roman"/>
          <w:sz w:val="24"/>
        </w:rPr>
        <w:t xml:space="preserve"> continue </w:t>
      </w:r>
      <w:r w:rsidRPr="00EF61EC" w:rsidR="000E3215">
        <w:rPr>
          <w:rFonts w:ascii="Times New Roman" w:hAnsi="Times New Roman"/>
          <w:sz w:val="24"/>
        </w:rPr>
        <w:t xml:space="preserve">to occur as they </w:t>
      </w:r>
      <w:r w:rsidRPr="00EF61EC" w:rsidR="00A91234">
        <w:rPr>
          <w:rFonts w:ascii="Times New Roman" w:hAnsi="Times New Roman"/>
          <w:sz w:val="24"/>
        </w:rPr>
        <w:t>have, it</w:t>
      </w:r>
      <w:r w:rsidRPr="00EF61EC" w:rsidR="000E3215">
        <w:rPr>
          <w:rFonts w:ascii="Times New Roman" w:hAnsi="Times New Roman"/>
          <w:sz w:val="24"/>
        </w:rPr>
        <w:t xml:space="preserve"> is EPA’s responsibility to further protect human health and the environment, if there are reasonable opportunities to do so.</w:t>
      </w:r>
      <w:r w:rsidRPr="00EF61EC" w:rsidR="007A2E13">
        <w:rPr>
          <w:rFonts w:ascii="Times New Roman" w:hAnsi="Times New Roman"/>
          <w:sz w:val="24"/>
        </w:rPr>
        <w:t xml:space="preserve"> EPA believes that amending the regulatory text to make more explicit the requirement that process hazard evaluations include in the siting evaluation the placement of processes, equipment, buildings, and hazards posed by proximate facilities, and accident release consequences posed by proximity to the public, will help ensure the protection of human health and the environment.</w:t>
      </w:r>
    </w:p>
    <w:p w:rsidR="00D43808" w:rsidP="00D43808" w14:paraId="043CBAB4" w14:textId="74A3C17A">
      <w:pPr>
        <w:rPr>
          <w:rFonts w:ascii="Times New Roman" w:hAnsi="Times New Roman"/>
          <w:sz w:val="24"/>
        </w:rPr>
      </w:pPr>
      <w:r>
        <w:rPr>
          <w:rFonts w:ascii="Times New Roman" w:hAnsi="Times New Roman"/>
          <w:b/>
          <w:bCs/>
          <w:sz w:val="24"/>
        </w:rPr>
        <w:t>Comment 4.1-1</w:t>
      </w:r>
      <w:r w:rsidR="00630655">
        <w:rPr>
          <w:rFonts w:ascii="Times New Roman" w:hAnsi="Times New Roman"/>
          <w:b/>
          <w:bCs/>
          <w:sz w:val="24"/>
        </w:rPr>
        <w:t>1</w:t>
      </w:r>
      <w:r>
        <w:rPr>
          <w:rFonts w:ascii="Times New Roman" w:hAnsi="Times New Roman"/>
          <w:b/>
          <w:bCs/>
          <w:sz w:val="24"/>
        </w:rPr>
        <w:t xml:space="preserve">: </w:t>
      </w:r>
      <w:r w:rsidRPr="006F68E9">
        <w:rPr>
          <w:rFonts w:ascii="Times New Roman" w:hAnsi="Times New Roman"/>
          <w:sz w:val="24"/>
        </w:rPr>
        <w:t xml:space="preserve">The commenter also noted that EPA claims the </w:t>
      </w:r>
      <w:r w:rsidRPr="162835F2">
        <w:rPr>
          <w:rFonts w:ascii="Times New Roman" w:hAnsi="Times New Roman"/>
          <w:sz w:val="24"/>
        </w:rPr>
        <w:t>proposed r</w:t>
      </w:r>
      <w:r w:rsidRPr="006F68E9">
        <w:rPr>
          <w:rFonts w:ascii="Times New Roman" w:hAnsi="Times New Roman"/>
          <w:sz w:val="24"/>
        </w:rPr>
        <w:t xml:space="preserve">ule is needed to address the increased likelihood of knock-on secondary releases by a nearby process. The commenter stated that even though the preamble suggests such releases are common, it does not include concrete examples. The commenter mentioned that EPA references two source siting enforcement actions against facilities that had no reported incidents. The commenter suggested that these anecdotal references are insufficient basis for EPA to change nearly 30 years of source siting requirements rooted in the PSM regulations (0268). </w:t>
      </w:r>
    </w:p>
    <w:p w:rsidR="002E50F1" w:rsidRPr="002E50F1" w:rsidP="00143B11" w14:paraId="0D18073A" w14:textId="7BC66B94">
      <w:pPr>
        <w:ind w:left="720"/>
        <w:rPr>
          <w:rFonts w:ascii="Times New Roman" w:hAnsi="Times New Roman"/>
          <w:sz w:val="24"/>
        </w:rPr>
      </w:pPr>
      <w:r w:rsidRPr="002E50F1">
        <w:rPr>
          <w:rFonts w:ascii="Times New Roman" w:hAnsi="Times New Roman"/>
          <w:b/>
          <w:sz w:val="24"/>
        </w:rPr>
        <w:t>EPA Response:</w:t>
      </w:r>
      <w:r w:rsidRPr="00143B11" w:rsidR="00143B11">
        <w:t xml:space="preserve"> </w:t>
      </w:r>
      <w:r w:rsidRPr="002E50F1">
        <w:rPr>
          <w:rFonts w:ascii="Times New Roman" w:hAnsi="Times New Roman"/>
          <w:sz w:val="24"/>
        </w:rPr>
        <w:t>The proposal offered several examples of accidental releases to illustrate the significant effects of the lack of sufficient distance between the source boundary and neighboring residential areas. Additionally, in the proposal EPA provided EPA RMP and OSHA PSM enforcement actions that showed despite enforcement and the consequences of catastrophic accidents, issues of siting continue to threaten process safety.</w:t>
      </w:r>
    </w:p>
    <w:p w:rsidR="00F438A4" w:rsidP="00143B11" w14:paraId="6C30698E" w14:textId="77777777">
      <w:pPr>
        <w:ind w:left="720"/>
        <w:rPr>
          <w:rFonts w:ascii="Times New Roman" w:hAnsi="Times New Roman"/>
          <w:sz w:val="24"/>
        </w:rPr>
      </w:pPr>
      <w:r w:rsidRPr="002E50F1">
        <w:rPr>
          <w:rFonts w:ascii="Times New Roman" w:hAnsi="Times New Roman"/>
          <w:sz w:val="24"/>
        </w:rPr>
        <w:t xml:space="preserve">EPA </w:t>
      </w:r>
      <w:r w:rsidRPr="002E50F1" w:rsidR="00F407FD">
        <w:rPr>
          <w:rFonts w:ascii="Times New Roman" w:hAnsi="Times New Roman"/>
          <w:sz w:val="24"/>
        </w:rPr>
        <w:t xml:space="preserve">believes </w:t>
      </w:r>
      <w:r w:rsidRPr="002E50F1">
        <w:rPr>
          <w:rFonts w:ascii="Times New Roman" w:hAnsi="Times New Roman"/>
          <w:sz w:val="24"/>
        </w:rPr>
        <w:t xml:space="preserve">there are good reasons for </w:t>
      </w:r>
      <w:r w:rsidR="002E50F1">
        <w:rPr>
          <w:rFonts w:ascii="Times New Roman" w:hAnsi="Times New Roman"/>
          <w:sz w:val="24"/>
        </w:rPr>
        <w:t xml:space="preserve">the stationary source siting regulatory text changes and </w:t>
      </w:r>
      <w:r w:rsidRPr="002E50F1" w:rsidR="002E50F1">
        <w:rPr>
          <w:rFonts w:ascii="Times New Roman" w:hAnsi="Times New Roman"/>
          <w:sz w:val="24"/>
        </w:rPr>
        <w:t xml:space="preserve">all the provisions </w:t>
      </w:r>
      <w:r w:rsidRPr="002E50F1">
        <w:rPr>
          <w:rFonts w:ascii="Times New Roman" w:hAnsi="Times New Roman"/>
          <w:sz w:val="24"/>
        </w:rPr>
        <w:t xml:space="preserve">adopted in this </w:t>
      </w:r>
      <w:r w:rsidRPr="002E50F1" w:rsidR="002E50F1">
        <w:rPr>
          <w:rFonts w:ascii="Times New Roman" w:hAnsi="Times New Roman"/>
          <w:sz w:val="24"/>
        </w:rPr>
        <w:t>final rule</w:t>
      </w:r>
      <w:r w:rsidRPr="002E50F1">
        <w:rPr>
          <w:rFonts w:ascii="Times New Roman" w:hAnsi="Times New Roman"/>
          <w:sz w:val="24"/>
        </w:rPr>
        <w:t>. Accidental releases remain a significant concern to communities and cost society more than $540 million yearly.</w:t>
      </w:r>
      <w:r>
        <w:rPr>
          <w:rStyle w:val="FootnoteReference"/>
          <w:rFonts w:ascii="Times New Roman" w:hAnsi="Times New Roman"/>
          <w:sz w:val="24"/>
        </w:rPr>
        <w:footnoteReference w:id="71"/>
      </w:r>
      <w:r w:rsidRPr="002E50F1">
        <w:rPr>
          <w:rFonts w:ascii="Times New Roman" w:hAnsi="Times New Roman"/>
          <w:sz w:val="24"/>
        </w:rPr>
        <w:t xml:space="preserve"> </w:t>
      </w:r>
    </w:p>
    <w:p w:rsidR="00F438A4" w:rsidRPr="00F438A4" w:rsidP="00EC0B77" w14:paraId="43A37312" w14:textId="783E3956">
      <w:pPr>
        <w:ind w:left="720"/>
        <w:rPr>
          <w:rFonts w:ascii="Times New Roman" w:hAnsi="Times New Roman"/>
          <w:sz w:val="24"/>
        </w:rPr>
      </w:pPr>
      <w:r w:rsidRPr="00F438A4">
        <w:rPr>
          <w:rFonts w:ascii="Times New Roman" w:hAnsi="Times New Roman"/>
          <w:sz w:val="24"/>
        </w:rPr>
        <w:t>Further, EPA notes that knock-on effects are a well-recognized</w:t>
      </w:r>
      <w:r w:rsidR="00CA0524">
        <w:rPr>
          <w:rFonts w:ascii="Times New Roman" w:hAnsi="Times New Roman"/>
          <w:sz w:val="24"/>
        </w:rPr>
        <w:t xml:space="preserve"> industry</w:t>
      </w:r>
      <w:r w:rsidRPr="00F438A4">
        <w:rPr>
          <w:rFonts w:ascii="Times New Roman" w:hAnsi="Times New Roman"/>
          <w:sz w:val="24"/>
        </w:rPr>
        <w:t xml:space="preserve"> release scenario. </w:t>
      </w:r>
      <w:r>
        <w:rPr>
          <w:rFonts w:ascii="Times New Roman" w:hAnsi="Times New Roman"/>
          <w:sz w:val="24"/>
          <w:vertAlign w:val="superscript"/>
        </w:rPr>
        <w:footnoteReference w:id="72"/>
      </w:r>
      <w:r w:rsidRPr="00F438A4">
        <w:rPr>
          <w:rFonts w:ascii="Times New Roman" w:hAnsi="Times New Roman"/>
          <w:sz w:val="24"/>
        </w:rPr>
        <w:t xml:space="preserve"> While not many </w:t>
      </w:r>
      <w:r w:rsidR="00BD52A3">
        <w:rPr>
          <w:rFonts w:ascii="Times New Roman" w:hAnsi="Times New Roman"/>
          <w:sz w:val="24"/>
        </w:rPr>
        <w:t xml:space="preserve">recent </w:t>
      </w:r>
      <w:r w:rsidRPr="00F438A4">
        <w:rPr>
          <w:rFonts w:ascii="Times New Roman" w:hAnsi="Times New Roman"/>
          <w:sz w:val="24"/>
        </w:rPr>
        <w:t>catastrophic accidents may have occurred</w:t>
      </w:r>
      <w:r w:rsidR="00BD52A3">
        <w:rPr>
          <w:rFonts w:ascii="Times New Roman" w:hAnsi="Times New Roman"/>
          <w:sz w:val="24"/>
        </w:rPr>
        <w:t xml:space="preserve"> under this </w:t>
      </w:r>
      <w:r w:rsidR="00CA0524">
        <w:rPr>
          <w:rFonts w:ascii="Times New Roman" w:hAnsi="Times New Roman"/>
          <w:sz w:val="24"/>
        </w:rPr>
        <w:t>scenario</w:t>
      </w:r>
      <w:r w:rsidRPr="00F438A4">
        <w:rPr>
          <w:rFonts w:ascii="Times New Roman" w:hAnsi="Times New Roman"/>
          <w:sz w:val="24"/>
        </w:rPr>
        <w:t xml:space="preserve">, research indicates that chemical industries are evolving toward </w:t>
      </w:r>
      <w:r w:rsidR="00A74439">
        <w:rPr>
          <w:rFonts w:ascii="Times New Roman" w:hAnsi="Times New Roman"/>
          <w:sz w:val="24"/>
        </w:rPr>
        <w:t xml:space="preserve">facility </w:t>
      </w:r>
      <w:r w:rsidRPr="00F438A4">
        <w:rPr>
          <w:rFonts w:ascii="Times New Roman" w:hAnsi="Times New Roman"/>
          <w:sz w:val="24"/>
        </w:rPr>
        <w:t>clusters</w:t>
      </w:r>
      <w:r w:rsidR="00D87966">
        <w:rPr>
          <w:rFonts w:ascii="Times New Roman" w:hAnsi="Times New Roman"/>
          <w:sz w:val="24"/>
        </w:rPr>
        <w:t xml:space="preserve"> handling increasing amounts of hazardous substance</w:t>
      </w:r>
      <w:r w:rsidR="00E65A09">
        <w:rPr>
          <w:rFonts w:ascii="Times New Roman" w:hAnsi="Times New Roman"/>
          <w:sz w:val="24"/>
        </w:rPr>
        <w:t>s</w:t>
      </w:r>
      <w:r w:rsidR="006742D8">
        <w:rPr>
          <w:rFonts w:ascii="Times New Roman" w:hAnsi="Times New Roman"/>
          <w:sz w:val="24"/>
        </w:rPr>
        <w:t>,</w:t>
      </w:r>
      <w:r w:rsidRPr="00F438A4">
        <w:rPr>
          <w:rFonts w:ascii="Times New Roman" w:hAnsi="Times New Roman"/>
          <w:sz w:val="24"/>
        </w:rPr>
        <w:t xml:space="preserve"> </w:t>
      </w:r>
      <w:r w:rsidR="008C14F7">
        <w:rPr>
          <w:rFonts w:ascii="Times New Roman" w:hAnsi="Times New Roman"/>
          <w:sz w:val="24"/>
        </w:rPr>
        <w:t xml:space="preserve">therefore </w:t>
      </w:r>
      <w:r w:rsidRPr="00F438A4">
        <w:rPr>
          <w:rFonts w:ascii="Times New Roman" w:hAnsi="Times New Roman"/>
          <w:sz w:val="24"/>
        </w:rPr>
        <w:t xml:space="preserve">emphasis </w:t>
      </w:r>
      <w:r w:rsidR="006742D8">
        <w:rPr>
          <w:rFonts w:ascii="Times New Roman" w:hAnsi="Times New Roman"/>
          <w:sz w:val="24"/>
        </w:rPr>
        <w:t xml:space="preserve">should </w:t>
      </w:r>
      <w:r w:rsidR="0070665D">
        <w:rPr>
          <w:rFonts w:ascii="Times New Roman" w:hAnsi="Times New Roman"/>
          <w:sz w:val="24"/>
        </w:rPr>
        <w:t>continually</w:t>
      </w:r>
      <w:r w:rsidR="006528BF">
        <w:rPr>
          <w:rFonts w:ascii="Times New Roman" w:hAnsi="Times New Roman"/>
          <w:sz w:val="24"/>
        </w:rPr>
        <w:t xml:space="preserve"> be focused </w:t>
      </w:r>
      <w:r w:rsidR="00E65A09">
        <w:rPr>
          <w:rFonts w:ascii="Times New Roman" w:hAnsi="Times New Roman"/>
          <w:sz w:val="24"/>
        </w:rPr>
        <w:t>on</w:t>
      </w:r>
      <w:r w:rsidRPr="00F438A4">
        <w:rPr>
          <w:rFonts w:ascii="Times New Roman" w:hAnsi="Times New Roman"/>
          <w:sz w:val="24"/>
        </w:rPr>
        <w:t xml:space="preserve"> major chemical risks and on domino events which can eventually lead to catastrophic knock-on accidents.</w:t>
      </w:r>
      <w:r>
        <w:rPr>
          <w:rFonts w:ascii="Times New Roman" w:hAnsi="Times New Roman"/>
          <w:sz w:val="24"/>
          <w:vertAlign w:val="superscript"/>
        </w:rPr>
        <w:footnoteReference w:id="73"/>
      </w:r>
      <w:r w:rsidRPr="00F438A4">
        <w:rPr>
          <w:rFonts w:ascii="Times New Roman" w:hAnsi="Times New Roman"/>
          <w:sz w:val="24"/>
        </w:rPr>
        <w:t xml:space="preserve">  </w:t>
      </w:r>
      <w:r w:rsidRPr="00EC0B77" w:rsidR="00EC0B77">
        <w:rPr>
          <w:rFonts w:ascii="Times New Roman" w:hAnsi="Times New Roman"/>
          <w:sz w:val="24"/>
        </w:rPr>
        <w:t xml:space="preserve">EPA must </w:t>
      </w:r>
      <w:r w:rsidR="00C34E19">
        <w:rPr>
          <w:rFonts w:ascii="Times New Roman" w:hAnsi="Times New Roman"/>
          <w:sz w:val="24"/>
        </w:rPr>
        <w:t xml:space="preserve">prioritize </w:t>
      </w:r>
      <w:r w:rsidR="005379E0">
        <w:rPr>
          <w:rFonts w:ascii="Times New Roman" w:hAnsi="Times New Roman"/>
          <w:sz w:val="24"/>
        </w:rPr>
        <w:t xml:space="preserve">this scenario to help protect human health and the environment from </w:t>
      </w:r>
      <w:r w:rsidR="00C34E19">
        <w:rPr>
          <w:rFonts w:ascii="Times New Roman" w:hAnsi="Times New Roman"/>
          <w:sz w:val="24"/>
        </w:rPr>
        <w:t xml:space="preserve">major catastrophic releases. </w:t>
      </w:r>
    </w:p>
    <w:p w:rsidR="00D43808" w:rsidRPr="00B9384A" w:rsidP="00764F3F" w14:paraId="48EF158A" w14:textId="46BE4C52">
      <w:pPr>
        <w:ind w:left="720"/>
        <w:rPr>
          <w:rFonts w:ascii="Times New Roman" w:hAnsi="Times New Roman"/>
          <w:i/>
          <w:iCs/>
          <w:sz w:val="24"/>
        </w:rPr>
      </w:pPr>
      <w:r>
        <w:rPr>
          <w:rFonts w:ascii="Times New Roman" w:hAnsi="Times New Roman"/>
          <w:i/>
          <w:iCs/>
          <w:sz w:val="24"/>
        </w:rPr>
        <w:t>Comments on zoning concerns</w:t>
      </w:r>
    </w:p>
    <w:p w:rsidR="00D43808" w:rsidP="00D43808" w14:paraId="171A2681" w14:textId="101E7B62">
      <w:pPr>
        <w:rPr>
          <w:rFonts w:ascii="Times New Roman" w:hAnsi="Times New Roman"/>
          <w:sz w:val="24"/>
        </w:rPr>
      </w:pPr>
      <w:r>
        <w:rPr>
          <w:rFonts w:ascii="Times New Roman" w:hAnsi="Times New Roman"/>
          <w:b/>
          <w:bCs/>
          <w:sz w:val="24"/>
        </w:rPr>
        <w:t>Comment 4.1-1</w:t>
      </w:r>
      <w:r w:rsidR="00630655">
        <w:rPr>
          <w:rFonts w:ascii="Times New Roman" w:hAnsi="Times New Roman"/>
          <w:b/>
          <w:bCs/>
          <w:sz w:val="24"/>
        </w:rPr>
        <w:t>2</w:t>
      </w:r>
      <w:r>
        <w:rPr>
          <w:rFonts w:ascii="Times New Roman" w:hAnsi="Times New Roman"/>
          <w:b/>
          <w:bCs/>
          <w:sz w:val="24"/>
        </w:rPr>
        <w:t xml:space="preserve">: </w:t>
      </w:r>
      <w:r w:rsidRPr="3F53C19D">
        <w:rPr>
          <w:rFonts w:ascii="Times New Roman" w:hAnsi="Times New Roman"/>
          <w:sz w:val="24"/>
        </w:rPr>
        <w:t xml:space="preserve">Several commenters expressed concerns about the siting for a new facility or facility expansion and local zoning regulations (0230, 0237, 0239, 0268). One of the commenters noted that the proposed </w:t>
      </w:r>
      <w:r w:rsidRPr="3D65B0ED">
        <w:rPr>
          <w:rFonts w:ascii="Times New Roman" w:hAnsi="Times New Roman"/>
          <w:sz w:val="24"/>
        </w:rPr>
        <w:t>requirements should</w:t>
      </w:r>
      <w:r w:rsidRPr="3F53C19D">
        <w:rPr>
          <w:rFonts w:ascii="Times New Roman" w:hAnsi="Times New Roman"/>
          <w:sz w:val="24"/>
        </w:rPr>
        <w:t xml:space="preserve"> be narrowly interpreted to preserve local zoning authority (0268). Another commenter mentioned that neither the facility nor EPA have any authority or control over local zoning ordinances that may have allowed development within an area that EPA’s new criteria may deem to have inappropriate buffers or setbacks (0239).</w:t>
      </w:r>
      <w:r w:rsidRPr="162835F2">
        <w:rPr>
          <w:rFonts w:ascii="Times New Roman" w:hAnsi="Times New Roman"/>
          <w:sz w:val="24"/>
        </w:rPr>
        <w:t xml:space="preserve"> Another commenter stated that the facility siting provision could negatively affect where facilities could be built, depending on the distance between a facility process and off-site populations. The commenter encouraged EPA to consider a policy restricting outside populations from building close to a facility which could interfere with real estate plans and impact local building regulations (0184).</w:t>
      </w:r>
    </w:p>
    <w:p w:rsidR="00D43808" w:rsidP="00D43808" w14:paraId="6143CE65" w14:textId="77777777">
      <w:pPr>
        <w:rPr>
          <w:rFonts w:ascii="Times New Roman" w:hAnsi="Times New Roman"/>
          <w:sz w:val="24"/>
        </w:rPr>
      </w:pPr>
      <w:r w:rsidRPr="006F68E9">
        <w:rPr>
          <w:rFonts w:ascii="Times New Roman" w:hAnsi="Times New Roman"/>
          <w:sz w:val="24"/>
        </w:rPr>
        <w:t>One commenter recommended that EPA issue guidance on zoning and planning for emergency planning districts. The commenter noted that there are few resources available to address lack of sufficient distance between the source boundary and neighboring residential areas for facilities that fall under RMP and EPCRA and collaboration between local hazardous material coordinators and planning and zoning (0165).</w:t>
      </w:r>
    </w:p>
    <w:p w:rsidR="00D43808" w:rsidP="002135CA" w14:paraId="0151E6FD" w14:textId="6E788BA6">
      <w:pPr>
        <w:ind w:left="720"/>
        <w:rPr>
          <w:rFonts w:ascii="Times New Roman" w:hAnsi="Times New Roman"/>
          <w:sz w:val="24"/>
        </w:rPr>
      </w:pPr>
      <w:r w:rsidRPr="00923DCF">
        <w:rPr>
          <w:rFonts w:ascii="Times New Roman" w:hAnsi="Times New Roman"/>
          <w:b/>
          <w:bCs/>
          <w:sz w:val="24"/>
        </w:rPr>
        <w:t>EPA Response:</w:t>
      </w:r>
      <w:r w:rsidRPr="002135CA" w:rsidR="002135CA">
        <w:t xml:space="preserve"> </w:t>
      </w:r>
      <w:r w:rsidRPr="002135CA" w:rsidR="002135CA">
        <w:rPr>
          <w:rFonts w:ascii="Times New Roman" w:hAnsi="Times New Roman"/>
          <w:sz w:val="24"/>
        </w:rPr>
        <w:t>While EPA has in the past discussed the potential for requiring minimal setbacks and other specific location restrictions, notwithstanding local zoning, the siting requirement in this rule does not contain such a restrictions on location.</w:t>
      </w:r>
    </w:p>
    <w:p w:rsidR="00297695" w:rsidRPr="00297695" w:rsidP="00BA0EBD" w14:paraId="78382602" w14:textId="6DB12CC4">
      <w:pPr>
        <w:ind w:left="720"/>
        <w:rPr>
          <w:rFonts w:ascii="Times New Roman" w:hAnsi="Times New Roman"/>
          <w:sz w:val="24"/>
        </w:rPr>
      </w:pPr>
      <w:r>
        <w:rPr>
          <w:rFonts w:ascii="Times New Roman" w:hAnsi="Times New Roman"/>
          <w:sz w:val="24"/>
        </w:rPr>
        <w:t>In the SCCAP proposal</w:t>
      </w:r>
      <w:r w:rsidR="0067079E">
        <w:rPr>
          <w:rFonts w:ascii="Times New Roman" w:hAnsi="Times New Roman"/>
          <w:sz w:val="24"/>
        </w:rPr>
        <w:t>,</w:t>
      </w:r>
      <w:r>
        <w:rPr>
          <w:rFonts w:ascii="Times New Roman" w:hAnsi="Times New Roman"/>
          <w:sz w:val="24"/>
        </w:rPr>
        <w:t xml:space="preserve"> </w:t>
      </w:r>
      <w:r w:rsidR="0067079E">
        <w:rPr>
          <w:rFonts w:ascii="Times New Roman" w:hAnsi="Times New Roman"/>
          <w:sz w:val="24"/>
        </w:rPr>
        <w:t>EPA identified</w:t>
      </w:r>
      <w:r w:rsidRPr="0067079E" w:rsidR="0067079E">
        <w:rPr>
          <w:rFonts w:ascii="Times New Roman" w:hAnsi="Times New Roman"/>
          <w:sz w:val="24"/>
        </w:rPr>
        <w:t xml:space="preserve"> </w:t>
      </w:r>
      <w:r w:rsidRPr="00297695" w:rsidR="0067079E">
        <w:rPr>
          <w:rFonts w:ascii="Times New Roman" w:hAnsi="Times New Roman"/>
          <w:sz w:val="24"/>
        </w:rPr>
        <w:t>relevant industry guidance on siting</w:t>
      </w:r>
      <w:r w:rsidR="0067079E">
        <w:rPr>
          <w:rFonts w:ascii="Times New Roman" w:hAnsi="Times New Roman"/>
          <w:sz w:val="24"/>
        </w:rPr>
        <w:t xml:space="preserve"> </w:t>
      </w:r>
      <w:r w:rsidRPr="00297695" w:rsidR="0067079E">
        <w:rPr>
          <w:rFonts w:ascii="Times New Roman" w:hAnsi="Times New Roman"/>
          <w:sz w:val="24"/>
        </w:rPr>
        <w:t>considerations available to facility</w:t>
      </w:r>
      <w:r w:rsidR="0067079E">
        <w:rPr>
          <w:rFonts w:ascii="Times New Roman" w:hAnsi="Times New Roman"/>
          <w:sz w:val="24"/>
        </w:rPr>
        <w:t xml:space="preserve"> </w:t>
      </w:r>
      <w:r w:rsidRPr="00297695" w:rsidR="0067079E">
        <w:rPr>
          <w:rFonts w:ascii="Times New Roman" w:hAnsi="Times New Roman"/>
          <w:sz w:val="24"/>
        </w:rPr>
        <w:t>owners and operators</w:t>
      </w:r>
      <w:r w:rsidR="0067079E">
        <w:rPr>
          <w:rFonts w:ascii="Times New Roman" w:hAnsi="Times New Roman"/>
          <w:sz w:val="24"/>
        </w:rPr>
        <w:t xml:space="preserve">. </w:t>
      </w:r>
      <w:r w:rsidRPr="00297695">
        <w:rPr>
          <w:rFonts w:ascii="Times New Roman" w:hAnsi="Times New Roman"/>
          <w:sz w:val="24"/>
        </w:rPr>
        <w:t>As with other aspects of the RMP rule,</w:t>
      </w:r>
      <w:r>
        <w:rPr>
          <w:rFonts w:ascii="Times New Roman" w:hAnsi="Times New Roman"/>
          <w:sz w:val="24"/>
        </w:rPr>
        <w:t xml:space="preserve"> </w:t>
      </w:r>
      <w:r w:rsidRPr="00297695">
        <w:rPr>
          <w:rFonts w:ascii="Times New Roman" w:hAnsi="Times New Roman"/>
          <w:sz w:val="24"/>
        </w:rPr>
        <w:t>EPA expects regulated facilities to rely</w:t>
      </w:r>
      <w:r>
        <w:rPr>
          <w:rFonts w:ascii="Times New Roman" w:hAnsi="Times New Roman"/>
          <w:sz w:val="24"/>
        </w:rPr>
        <w:t xml:space="preserve"> </w:t>
      </w:r>
      <w:r w:rsidRPr="00297695">
        <w:rPr>
          <w:rFonts w:ascii="Times New Roman" w:hAnsi="Times New Roman"/>
          <w:sz w:val="24"/>
        </w:rPr>
        <w:t>on industry guidance to help adequately</w:t>
      </w:r>
      <w:r>
        <w:rPr>
          <w:rFonts w:ascii="Times New Roman" w:hAnsi="Times New Roman"/>
          <w:sz w:val="24"/>
        </w:rPr>
        <w:t xml:space="preserve"> </w:t>
      </w:r>
      <w:r w:rsidRPr="00297695">
        <w:rPr>
          <w:rFonts w:ascii="Times New Roman" w:hAnsi="Times New Roman"/>
          <w:sz w:val="24"/>
        </w:rPr>
        <w:t>address stationary source siting in</w:t>
      </w:r>
      <w:r>
        <w:rPr>
          <w:rFonts w:ascii="Times New Roman" w:hAnsi="Times New Roman"/>
          <w:sz w:val="24"/>
        </w:rPr>
        <w:t xml:space="preserve"> </w:t>
      </w:r>
      <w:r w:rsidRPr="00297695">
        <w:rPr>
          <w:rFonts w:ascii="Times New Roman" w:hAnsi="Times New Roman"/>
          <w:sz w:val="24"/>
        </w:rPr>
        <w:t xml:space="preserve">PHAs. </w:t>
      </w:r>
      <w:r w:rsidR="007F0C7F">
        <w:rPr>
          <w:rFonts w:ascii="Times New Roman" w:hAnsi="Times New Roman"/>
          <w:sz w:val="24"/>
        </w:rPr>
        <w:t>Additionally,</w:t>
      </w:r>
      <w:r w:rsidR="0067079E">
        <w:rPr>
          <w:rFonts w:ascii="Times New Roman" w:hAnsi="Times New Roman"/>
          <w:sz w:val="24"/>
        </w:rPr>
        <w:t xml:space="preserve"> EPA </w:t>
      </w:r>
      <w:r w:rsidR="00FB2281">
        <w:rPr>
          <w:rFonts w:ascii="Times New Roman" w:hAnsi="Times New Roman"/>
          <w:sz w:val="24"/>
        </w:rPr>
        <w:t>appreciates the suggestion</w:t>
      </w:r>
      <w:r w:rsidR="00B63AA9">
        <w:rPr>
          <w:rFonts w:ascii="Times New Roman" w:hAnsi="Times New Roman"/>
          <w:sz w:val="24"/>
        </w:rPr>
        <w:t xml:space="preserve"> to issue further</w:t>
      </w:r>
      <w:r w:rsidR="00E66DDF">
        <w:rPr>
          <w:rFonts w:ascii="Times New Roman" w:hAnsi="Times New Roman"/>
          <w:sz w:val="24"/>
        </w:rPr>
        <w:t xml:space="preserve"> siting </w:t>
      </w:r>
      <w:r w:rsidR="007F0C7F">
        <w:rPr>
          <w:rFonts w:ascii="Times New Roman" w:hAnsi="Times New Roman"/>
          <w:sz w:val="24"/>
        </w:rPr>
        <w:t xml:space="preserve">emergency </w:t>
      </w:r>
      <w:r w:rsidR="00CE3D00">
        <w:rPr>
          <w:rFonts w:ascii="Times New Roman" w:hAnsi="Times New Roman"/>
          <w:sz w:val="24"/>
        </w:rPr>
        <w:t xml:space="preserve">planning </w:t>
      </w:r>
      <w:r w:rsidR="00B2495D">
        <w:rPr>
          <w:rFonts w:ascii="Times New Roman" w:hAnsi="Times New Roman"/>
          <w:sz w:val="24"/>
        </w:rPr>
        <w:t xml:space="preserve">guidance </w:t>
      </w:r>
      <w:r w:rsidR="00CE3D00">
        <w:rPr>
          <w:rFonts w:ascii="Times New Roman" w:hAnsi="Times New Roman"/>
          <w:sz w:val="24"/>
        </w:rPr>
        <w:t xml:space="preserve">and will consider </w:t>
      </w:r>
      <w:r w:rsidR="00693397">
        <w:rPr>
          <w:rFonts w:ascii="Times New Roman" w:hAnsi="Times New Roman"/>
          <w:sz w:val="24"/>
        </w:rPr>
        <w:t xml:space="preserve">the </w:t>
      </w:r>
      <w:r w:rsidR="00923DCF">
        <w:rPr>
          <w:rFonts w:ascii="Times New Roman" w:hAnsi="Times New Roman"/>
          <w:sz w:val="24"/>
        </w:rPr>
        <w:t>idea</w:t>
      </w:r>
      <w:r w:rsidR="00693397">
        <w:rPr>
          <w:rFonts w:ascii="Times New Roman" w:hAnsi="Times New Roman"/>
          <w:sz w:val="24"/>
        </w:rPr>
        <w:t xml:space="preserve"> </w:t>
      </w:r>
      <w:r w:rsidR="007F0C7F">
        <w:rPr>
          <w:rFonts w:ascii="Times New Roman" w:hAnsi="Times New Roman"/>
          <w:sz w:val="24"/>
        </w:rPr>
        <w:t xml:space="preserve">for future RMP activities. </w:t>
      </w:r>
    </w:p>
    <w:p w:rsidR="00D43808" w:rsidRPr="00EF6E44" w:rsidP="00D43808" w14:paraId="3E1739C6" w14:textId="77777777">
      <w:pPr>
        <w:rPr>
          <w:rFonts w:ascii="Times New Roman" w:hAnsi="Times New Roman"/>
          <w:i/>
          <w:iCs/>
          <w:sz w:val="24"/>
        </w:rPr>
      </w:pPr>
      <w:r>
        <w:rPr>
          <w:rFonts w:ascii="Times New Roman" w:hAnsi="Times New Roman"/>
          <w:i/>
          <w:iCs/>
          <w:sz w:val="24"/>
        </w:rPr>
        <w:t>Recommended additions or expansions of stationary source requirements or guidance</w:t>
      </w:r>
    </w:p>
    <w:p w:rsidR="00D43808" w:rsidP="00D43808" w14:paraId="1C102DCF" w14:textId="72A338BC">
      <w:pPr>
        <w:rPr>
          <w:rFonts w:ascii="Times New Roman" w:hAnsi="Times New Roman"/>
          <w:sz w:val="24"/>
        </w:rPr>
      </w:pPr>
      <w:r w:rsidRPr="00EB1D02">
        <w:rPr>
          <w:rFonts w:ascii="Times New Roman" w:hAnsi="Times New Roman"/>
          <w:b/>
          <w:bCs/>
          <w:sz w:val="24"/>
        </w:rPr>
        <w:t>Comment</w:t>
      </w:r>
      <w:r>
        <w:rPr>
          <w:rFonts w:ascii="Times New Roman" w:hAnsi="Times New Roman"/>
          <w:b/>
          <w:bCs/>
          <w:sz w:val="24"/>
        </w:rPr>
        <w:t xml:space="preserve"> 4.1-1</w:t>
      </w:r>
      <w:r w:rsidR="00630655">
        <w:rPr>
          <w:rFonts w:ascii="Times New Roman" w:hAnsi="Times New Roman"/>
          <w:b/>
          <w:bCs/>
          <w:sz w:val="24"/>
        </w:rPr>
        <w:t>3</w:t>
      </w:r>
      <w:r w:rsidRPr="00EB1D02">
        <w:rPr>
          <w:rFonts w:ascii="Times New Roman" w:hAnsi="Times New Roman"/>
          <w:b/>
          <w:bCs/>
          <w:sz w:val="24"/>
        </w:rPr>
        <w:t>:</w:t>
      </w:r>
      <w:r>
        <w:rPr>
          <w:rFonts w:ascii="Times New Roman" w:hAnsi="Times New Roman"/>
          <w:sz w:val="24"/>
        </w:rPr>
        <w:t xml:space="preserve"> Several commenters provided specific recommendations that EPA expand or revise the scope of stationary source requirements or guidance, including the following: </w:t>
      </w:r>
    </w:p>
    <w:p w:rsidR="00D43808" w:rsidP="00E57324" w14:paraId="33BA2B14" w14:textId="77777777">
      <w:pPr>
        <w:pStyle w:val="ListParagraph"/>
        <w:numPr>
          <w:ilvl w:val="0"/>
          <w:numId w:val="17"/>
        </w:numPr>
        <w:rPr>
          <w:rFonts w:ascii="Times New Roman" w:hAnsi="Times New Roman"/>
          <w:sz w:val="24"/>
        </w:rPr>
      </w:pPr>
      <w:r w:rsidRPr="00894309">
        <w:rPr>
          <w:rFonts w:ascii="Times New Roman" w:hAnsi="Times New Roman"/>
          <w:sz w:val="24"/>
        </w:rPr>
        <w:t xml:space="preserve">Some commenters suggested that EPA immediately redefine “stationary source” to ensure that the entire facility must comply with RMP requirements if any part of it is </w:t>
      </w:r>
      <w:r w:rsidRPr="00894309">
        <w:rPr>
          <w:rFonts w:ascii="Times New Roman" w:hAnsi="Times New Roman"/>
          <w:sz w:val="24"/>
        </w:rPr>
        <w:t>covered (0252, 0264, 0269, 0460). One commenter stated that EPA should expand coverage of the program by redefining the definition of “stationary source” (0160).</w:t>
      </w:r>
    </w:p>
    <w:p w:rsidR="00D43808" w:rsidP="00E57324" w14:paraId="08135FAF" w14:textId="77777777">
      <w:pPr>
        <w:pStyle w:val="ListParagraph"/>
        <w:numPr>
          <w:ilvl w:val="0"/>
          <w:numId w:val="17"/>
        </w:numPr>
        <w:rPr>
          <w:rFonts w:ascii="Times New Roman" w:hAnsi="Times New Roman"/>
          <w:sz w:val="24"/>
        </w:rPr>
      </w:pPr>
      <w:r w:rsidRPr="00894309">
        <w:rPr>
          <w:rFonts w:ascii="Times New Roman" w:hAnsi="Times New Roman"/>
          <w:sz w:val="24"/>
        </w:rPr>
        <w:t>One commenter requested that a definition of “facility” should be provided for clarity on the distinction between a stationary source and a facility (0185).</w:t>
      </w:r>
    </w:p>
    <w:p w:rsidR="00D43808" w:rsidP="00E57324" w14:paraId="6A4A5FA3" w14:textId="77777777">
      <w:pPr>
        <w:pStyle w:val="ListParagraph"/>
        <w:numPr>
          <w:ilvl w:val="0"/>
          <w:numId w:val="17"/>
        </w:num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suggested that EPA should strengthen the required hazard evaluation by mandating consideration of all hazardous substances stored at a facility, as well as cascading effects on co-located or proximate facilities (0148).</w:t>
      </w:r>
      <w:r>
        <w:rPr>
          <w:rFonts w:ascii="Times New Roman" w:hAnsi="Times New Roman"/>
          <w:sz w:val="24"/>
        </w:rPr>
        <w:t xml:space="preserve"> Another commenter similarly recommended that </w:t>
      </w:r>
      <w:r w:rsidRPr="006F68E9">
        <w:rPr>
          <w:rFonts w:ascii="Times New Roman" w:hAnsi="Times New Roman"/>
          <w:sz w:val="24"/>
        </w:rPr>
        <w:t>EPA add appropriate language that a regulatory agency assess stationary source siting when performing a hazard review. The commenter stated that conscientiously assessing and planning for these specific hazards would increase awareness and emergency planning (0245).</w:t>
      </w:r>
    </w:p>
    <w:p w:rsidR="00D43808" w:rsidP="00E57324" w14:paraId="4243F0B8" w14:textId="77777777">
      <w:pPr>
        <w:pStyle w:val="ListParagraph"/>
        <w:numPr>
          <w:ilvl w:val="0"/>
          <w:numId w:val="17"/>
        </w:numPr>
        <w:rPr>
          <w:rFonts w:ascii="Times New Roman" w:hAnsi="Times New Roman"/>
          <w:sz w:val="24"/>
        </w:rPr>
      </w:pPr>
      <w:r w:rsidRPr="006F68E9">
        <w:rPr>
          <w:rFonts w:ascii="Times New Roman" w:hAnsi="Times New Roman"/>
          <w:sz w:val="24"/>
        </w:rPr>
        <w:t>Some commenters suggested that EPA require facilities to evaluate cumulative impacts in the siting evaluation and alleviate the hazards identified in the siting evaluation. The commenters also suggested that EPA specify the various cumulative impacts that the facility should consider in the evaluation (0208, 0240, 0449, 0453).</w:t>
      </w:r>
    </w:p>
    <w:p w:rsidR="00D43808" w:rsidP="00E57324" w14:paraId="43768A07" w14:textId="77777777">
      <w:pPr>
        <w:pStyle w:val="ListParagraph"/>
        <w:numPr>
          <w:ilvl w:val="0"/>
          <w:numId w:val="17"/>
        </w:num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 suggested that EPA should consider setback or buffer requirements between RMP sites. The commenter noted that the setbacks should apply facility to facility, facility to adjacent incompatible land use, and site to site within one facility. The commenter suggested that facilities be required to evaluate changes and additions to existing land uses surrounding their facilities on a periodic basis; every two years would be appropriate (0241).</w:t>
      </w:r>
    </w:p>
    <w:p w:rsidR="00D43808" w:rsidP="00E57324" w14:paraId="3599F773" w14:textId="77777777">
      <w:pPr>
        <w:pStyle w:val="ListParagraph"/>
        <w:numPr>
          <w:ilvl w:val="0"/>
          <w:numId w:val="17"/>
        </w:num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mentioned that the Global Home of Chemical Engineers AIChE CCPS </w:t>
      </w:r>
      <w:r w:rsidRPr="006F68E9">
        <w:rPr>
          <w:rFonts w:ascii="Times New Roman" w:hAnsi="Times New Roman"/>
          <w:i/>
          <w:iCs/>
          <w:sz w:val="24"/>
        </w:rPr>
        <w:t>Guidelines for Siting and Layout of Facilities</w:t>
      </w:r>
      <w:r w:rsidRPr="006F68E9">
        <w:rPr>
          <w:rFonts w:ascii="Times New Roman" w:hAnsi="Times New Roman"/>
          <w:sz w:val="24"/>
        </w:rPr>
        <w:t xml:space="preserve"> is a useful tool for enhanced hazard review and PHA. The commenter noted that the AIChE CCPS facility siting guidelines encourage facility owners and operators to analyze natural hazards such as severe storms and flooding primarily in initial site selection. The commenter suggested that EPA could improve upon the AIChE CCPS guidelines by providing guidance to facility owners on how to model future climate conditions and their impacts on natural hazards (0204).</w:t>
      </w:r>
    </w:p>
    <w:p w:rsidR="00F067AA" w:rsidRPr="005B0578" w:rsidP="00E57324" w14:paraId="096E2C16" w14:textId="02F2D0AD">
      <w:pPr>
        <w:pStyle w:val="ListParagraph"/>
        <w:numPr>
          <w:ilvl w:val="0"/>
          <w:numId w:val="17"/>
        </w:numPr>
        <w:rPr>
          <w:rFonts w:ascii="Times New Roman" w:hAnsi="Times New Roman"/>
          <w:sz w:val="24"/>
        </w:rPr>
      </w:pPr>
      <w:r w:rsidRPr="006D3FE6">
        <w:rPr>
          <w:rFonts w:ascii="Times New Roman" w:hAnsi="Times New Roman"/>
          <w:sz w:val="24"/>
        </w:rPr>
        <w:t>One commenter requested that EPA review industry guidance and ensure that site layout distances and standards used by owners or operators are consequence-based (not risk-based), include cumulative impacts assessments, and are adequate to protect the public, infrastructure, and environmental receptors against potential worst-case releases (0220).</w:t>
      </w:r>
    </w:p>
    <w:p w:rsidR="005B0578" w:rsidP="00E57324" w14:paraId="6C4C925E" w14:textId="7E795F17">
      <w:pPr>
        <w:pStyle w:val="ListParagraph"/>
        <w:numPr>
          <w:ilvl w:val="0"/>
          <w:numId w:val="17"/>
        </w:numPr>
        <w:rPr>
          <w:rFonts w:ascii="Times New Roman" w:hAnsi="Times New Roman"/>
          <w:sz w:val="24"/>
        </w:rPr>
      </w:pPr>
      <w:r w:rsidRPr="006D3FE6">
        <w:rPr>
          <w:rFonts w:ascii="Times New Roman" w:hAnsi="Times New Roman"/>
          <w:sz w:val="24"/>
        </w:rPr>
        <w:t>Referring to EPA’s proposal to require facilities to conduct siting evaluations, one commenter stated that EPA missed an opportunity to incorporate a substantive assessment of cumulative impacts. The commenter urged EPA to incorporate more explicit requirements for identifying, evaluating, and addressing facility siting harms during the PHA, rather than relying on industry guidance to address stationary source siting. In particular, the commenter suggested that Proposed Rule can be strengthened by providing guidance to facilities on comprehensively assessing cumulative impacts in siting evaluations and requiring facilities to implement measures to alleviate hazards to fenceline communities (0240).</w:t>
      </w:r>
    </w:p>
    <w:p w:rsidR="00D43808" w:rsidRPr="00CF2DAA" w:rsidP="00D43808" w14:paraId="6EB6C680" w14:textId="338340A0">
      <w:pPr>
        <w:ind w:left="720"/>
        <w:rPr>
          <w:rFonts w:ascii="Times New Roman" w:hAnsi="Times New Roman"/>
          <w:sz w:val="24"/>
        </w:rPr>
      </w:pPr>
      <w:r w:rsidRPr="00CF2DAA">
        <w:rPr>
          <w:rFonts w:ascii="Times New Roman" w:hAnsi="Times New Roman"/>
          <w:b/>
          <w:bCs/>
          <w:sz w:val="24"/>
        </w:rPr>
        <w:t>EPA Response:</w:t>
      </w:r>
      <w:r w:rsidRPr="00CF2DAA" w:rsidR="00CF2DAA">
        <w:t xml:space="preserve"> </w:t>
      </w:r>
      <w:r w:rsidRPr="00CF2DAA" w:rsidR="00CF2DAA">
        <w:rPr>
          <w:rFonts w:ascii="Times New Roman" w:hAnsi="Times New Roman"/>
          <w:sz w:val="24"/>
        </w:rPr>
        <w:t xml:space="preserve">EPA notes that, at this time, the Agency is only choosing to make more explicit what is required to be addressed in a stationary source siting evaluation. Rather than propose additional requirements, EPA is instead expounding on the current regulatory text to ensure that siting evaluations properly account for hazards resulting from the location of processes, equipment, building, and proximate facilities, and their </w:t>
      </w:r>
      <w:r w:rsidRPr="00CF2DAA" w:rsidR="00CF2DAA">
        <w:rPr>
          <w:rFonts w:ascii="Times New Roman" w:hAnsi="Times New Roman"/>
          <w:sz w:val="24"/>
        </w:rPr>
        <w:t>effects on the surrounding community. EPA continues to believe the performance-based nature of both this provision and the overall rule allow facility owners and operators the discretion to determine what risk reduction measures work best for their particular chemical use, process</w:t>
      </w:r>
      <w:r w:rsidR="00CF2DAA">
        <w:rPr>
          <w:rFonts w:ascii="Times New Roman" w:hAnsi="Times New Roman"/>
          <w:sz w:val="24"/>
        </w:rPr>
        <w:t xml:space="preserve">. EPA appreciates the suggestions for further guidance and will consider them for future RMP activities. </w:t>
      </w:r>
    </w:p>
    <w:p w:rsidR="00D43808" w:rsidP="00D43808" w14:paraId="74EA0087" w14:textId="610D6962">
      <w:pPr>
        <w:rPr>
          <w:rFonts w:ascii="Times New Roman" w:hAnsi="Times New Roman"/>
          <w:sz w:val="24"/>
        </w:rPr>
      </w:pPr>
      <w:r>
        <w:rPr>
          <w:rFonts w:ascii="Times New Roman" w:hAnsi="Times New Roman"/>
          <w:b/>
          <w:bCs/>
          <w:sz w:val="24"/>
        </w:rPr>
        <w:t>Comment 4.1-1</w:t>
      </w:r>
      <w:r w:rsidR="00630655">
        <w:rPr>
          <w:rFonts w:ascii="Times New Roman" w:hAnsi="Times New Roman"/>
          <w:b/>
          <w:bCs/>
          <w:sz w:val="24"/>
        </w:rPr>
        <w:t>4</w:t>
      </w:r>
      <w:r>
        <w:rPr>
          <w:rFonts w:ascii="Times New Roman" w:hAnsi="Times New Roman"/>
          <w:b/>
          <w:bCs/>
          <w:sz w:val="24"/>
        </w:rPr>
        <w:t xml:space="preserve">: </w:t>
      </w:r>
      <w:r w:rsidRPr="00B15926">
        <w:rPr>
          <w:rFonts w:ascii="Times New Roman" w:hAnsi="Times New Roman"/>
          <w:sz w:val="24"/>
        </w:rPr>
        <w:t>A few commenters requested clarity on the proposed requirements</w:t>
      </w:r>
      <w:r>
        <w:rPr>
          <w:rFonts w:ascii="Times New Roman" w:hAnsi="Times New Roman"/>
          <w:sz w:val="24"/>
        </w:rPr>
        <w:t xml:space="preserve"> (0460, 0239)</w:t>
      </w:r>
      <w:r w:rsidRPr="00B15926">
        <w:rPr>
          <w:rFonts w:ascii="Times New Roman" w:hAnsi="Times New Roman"/>
          <w:sz w:val="24"/>
        </w:rPr>
        <w:t xml:space="preserve">. </w:t>
      </w:r>
      <w:r w:rsidRPr="006F68E9">
        <w:rPr>
          <w:rFonts w:ascii="Times New Roman" w:hAnsi="Times New Roman"/>
          <w:sz w:val="24"/>
        </w:rPr>
        <w:t>One commenter mentioned that by failing to specify what constitutes an evaluation in the rule, EPA is allowing facilities to rely on a potentially inadequate evaluation. The commenter suggested that a clear explanation of essential components would make it easier for facilities to understand and fulfill their obligations and for EPA to enforce them (0460).</w:t>
      </w:r>
      <w:r>
        <w:rPr>
          <w:rFonts w:ascii="Times New Roman" w:hAnsi="Times New Roman"/>
          <w:sz w:val="24"/>
        </w:rPr>
        <w:t xml:space="preserve"> Another</w:t>
      </w:r>
      <w:r w:rsidRPr="006F68E9">
        <w:rPr>
          <w:rFonts w:ascii="Times New Roman" w:hAnsi="Times New Roman"/>
          <w:sz w:val="24"/>
        </w:rPr>
        <w:t xml:space="preserve"> commenter suggested that EPA provide additional information indicating how it believes existing facilities can meet the new requirements and make clear that facilities are not required to take any steps that would conflict with other legal and regulatory requirements (0239).</w:t>
      </w:r>
    </w:p>
    <w:p w:rsidR="00551A7A" w:rsidP="00D43808" w14:paraId="128F5438" w14:textId="134C7996">
      <w:pPr>
        <w:ind w:left="720"/>
        <w:rPr>
          <w:rFonts w:ascii="Times New Roman" w:hAnsi="Times New Roman"/>
          <w:sz w:val="24"/>
        </w:rPr>
      </w:pPr>
      <w:r w:rsidRPr="00EC4BB6">
        <w:rPr>
          <w:rFonts w:ascii="Times New Roman" w:hAnsi="Times New Roman"/>
          <w:b/>
          <w:bCs/>
          <w:sz w:val="24"/>
        </w:rPr>
        <w:t>EPA Response:</w:t>
      </w:r>
      <w:r w:rsidRPr="00EC4BB6">
        <w:rPr>
          <w:rFonts w:ascii="Times New Roman" w:hAnsi="Times New Roman"/>
          <w:sz w:val="24"/>
        </w:rPr>
        <w:t xml:space="preserve"> </w:t>
      </w:r>
      <w:r w:rsidRPr="00551A7A">
        <w:t xml:space="preserve"> </w:t>
      </w:r>
      <w:r w:rsidRPr="00551A7A">
        <w:rPr>
          <w:rFonts w:ascii="Times New Roman" w:hAnsi="Times New Roman"/>
          <w:sz w:val="24"/>
        </w:rPr>
        <w:t>As discussed in RMP guidance and in the SCCAP proposal, the requirement to consider stationary source siting during the process hazard analysis means that you should consider the location of the covered vessels and evaluate whether their location creates risks for offsite public or environmental receptors, as well as onsite receptors. This analysis should consider the proximity of the vessels that could lead to a release of a regulated substance. The analysis may be done qualitatively. The analysis addresses whether the location of the vessels creates risks that could be reduced by changing the location or taking other actions, such as installing mitigation systems. As with other aspects of the RMP rule, EPA expects regulated facilities to rely on industry guidance to help adequately address stationary source siting in PHAs. The SCCAP proposal offered examples of relevant industry guidance on siting considerations are available to facility owners and operators.</w:t>
      </w:r>
    </w:p>
    <w:p w:rsidR="00551A7A" w:rsidP="00D43808" w14:paraId="4DABB345" w14:textId="3B7966DB">
      <w:pPr>
        <w:ind w:left="720"/>
        <w:rPr>
          <w:rFonts w:ascii="Times New Roman" w:hAnsi="Times New Roman"/>
          <w:sz w:val="24"/>
        </w:rPr>
      </w:pPr>
      <w:r w:rsidRPr="00551A7A">
        <w:rPr>
          <w:rFonts w:ascii="Times New Roman" w:hAnsi="Times New Roman"/>
          <w:sz w:val="24"/>
        </w:rPr>
        <w:t>EPA notes that, at this time, the Agency is only choosing to make more explicit what is required to be addressed in a stationary source siting evaluation. Rather than propose additional requirements, EPA is instead expounding on the current regulatory text to ensure that siting evaluations properly account for hazards resulting from the location of processes, equipment, building, and proximate facilities, and their effects on the surrounding community.</w:t>
      </w:r>
    </w:p>
    <w:p w:rsidR="00D43808" w:rsidP="00D43808" w14:paraId="502327C3" w14:textId="3FC7C6D5">
      <w:pPr>
        <w:ind w:left="720"/>
        <w:rPr>
          <w:rFonts w:ascii="Times New Roman" w:hAnsi="Times New Roman"/>
          <w:sz w:val="24"/>
        </w:rPr>
      </w:pPr>
      <w:r w:rsidRPr="00EC4BB6">
        <w:rPr>
          <w:rFonts w:ascii="Times New Roman" w:hAnsi="Times New Roman"/>
          <w:sz w:val="24"/>
        </w:rPr>
        <w:t xml:space="preserve">EPA will consider these comments </w:t>
      </w:r>
      <w:r w:rsidR="00551A7A">
        <w:rPr>
          <w:rFonts w:ascii="Times New Roman" w:hAnsi="Times New Roman"/>
          <w:sz w:val="24"/>
        </w:rPr>
        <w:t xml:space="preserve">further </w:t>
      </w:r>
      <w:r w:rsidRPr="00EC4BB6">
        <w:rPr>
          <w:rFonts w:ascii="Times New Roman" w:hAnsi="Times New Roman"/>
          <w:sz w:val="24"/>
        </w:rPr>
        <w:t xml:space="preserve">when determining whether to develop </w:t>
      </w:r>
      <w:r w:rsidR="00551A7A">
        <w:rPr>
          <w:rFonts w:ascii="Times New Roman" w:hAnsi="Times New Roman"/>
          <w:sz w:val="24"/>
        </w:rPr>
        <w:t xml:space="preserve">additional </w:t>
      </w:r>
      <w:r w:rsidRPr="00EC4BB6">
        <w:rPr>
          <w:rFonts w:ascii="Times New Roman" w:hAnsi="Times New Roman"/>
          <w:sz w:val="24"/>
        </w:rPr>
        <w:t>guidance on stationary source siting requirements.</w:t>
      </w:r>
    </w:p>
    <w:p w:rsidR="00BA0EBD" w:rsidRPr="00EC4BB6" w:rsidP="00BA0EBD" w14:paraId="47E265FF" w14:textId="77777777">
      <w:pPr>
        <w:rPr>
          <w:rFonts w:ascii="Times New Roman" w:hAnsi="Times New Roman"/>
          <w:sz w:val="24"/>
        </w:rPr>
      </w:pPr>
    </w:p>
    <w:p w:rsidR="00D43808" w:rsidP="00BA0EBD" w14:paraId="6FB95341" w14:textId="77777777">
      <w:pPr>
        <w:pStyle w:val="Heading1"/>
        <w:spacing w:before="120"/>
      </w:pPr>
      <w:bookmarkStart w:id="52" w:name="_Toc146879987"/>
      <w:bookmarkStart w:id="53" w:name="_Toc153373781"/>
      <w:r w:rsidRPr="006F68E9">
        <w:t>Hazard Evaluation Recommendation Information Availability</w:t>
      </w:r>
      <w:bookmarkEnd w:id="52"/>
      <w:bookmarkEnd w:id="53"/>
      <w:r w:rsidRPr="006F68E9">
        <w:t xml:space="preserve"> </w:t>
      </w:r>
    </w:p>
    <w:p w:rsidR="00D43808" w:rsidRPr="00012E27" w:rsidP="00D43808" w14:paraId="33BBE8A3" w14:textId="77777777">
      <w:pPr>
        <w:rPr>
          <w:i/>
        </w:rPr>
      </w:pPr>
      <w:r w:rsidRPr="00012E27">
        <w:rPr>
          <w:rFonts w:ascii="Times New Roman" w:hAnsi="Times New Roman"/>
          <w:i/>
          <w:iCs/>
          <w:sz w:val="24"/>
        </w:rPr>
        <w:t>Comments associated with this issue are discussed in the sub-issues below.</w:t>
      </w:r>
    </w:p>
    <w:p w:rsidR="00D43808" w:rsidRPr="006F68E9" w:rsidP="00BA0EBD" w14:paraId="4AD89127" w14:textId="77777777">
      <w:pPr>
        <w:pStyle w:val="Heading2"/>
        <w:spacing w:before="120"/>
        <w:rPr>
          <w:rFonts w:ascii="Times New Roman" w:hAnsi="Times New Roman" w:cs="Times New Roman"/>
          <w:b/>
          <w:bCs/>
          <w:color w:val="auto"/>
          <w:sz w:val="24"/>
          <w:szCs w:val="24"/>
        </w:rPr>
      </w:pPr>
      <w:bookmarkStart w:id="54" w:name="_Toc146879988"/>
      <w:bookmarkStart w:id="55" w:name="_Toc153373782"/>
      <w:r w:rsidRPr="6D3F9CC5">
        <w:rPr>
          <w:rFonts w:ascii="Times New Roman" w:hAnsi="Times New Roman" w:cs="Times New Roman"/>
          <w:b/>
          <w:bCs/>
          <w:color w:val="auto"/>
          <w:sz w:val="24"/>
          <w:szCs w:val="24"/>
        </w:rPr>
        <w:t xml:space="preserve">Proposed </w:t>
      </w:r>
      <w:bookmarkEnd w:id="54"/>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pproach</w:t>
      </w:r>
      <w:bookmarkEnd w:id="55"/>
    </w:p>
    <w:p w:rsidR="00D43808" w:rsidP="00D43808" w14:paraId="71455A22" w14:textId="77777777">
      <w:pPr>
        <w:rPr>
          <w:rFonts w:ascii="Times New Roman" w:hAnsi="Times New Roman"/>
          <w:i/>
          <w:iCs/>
          <w:sz w:val="24"/>
        </w:rPr>
      </w:pPr>
      <w:r>
        <w:rPr>
          <w:rFonts w:ascii="Times New Roman" w:hAnsi="Times New Roman"/>
          <w:i/>
          <w:iCs/>
          <w:sz w:val="24"/>
        </w:rPr>
        <w:t>Comments in support of information availability requirements</w:t>
      </w:r>
    </w:p>
    <w:p w:rsidR="00D43808" w:rsidP="00D43808" w14:paraId="0C9FC9CF" w14:textId="77777777">
      <w:pPr>
        <w:rPr>
          <w:rFonts w:ascii="Times New Roman" w:hAnsi="Times New Roman"/>
          <w:sz w:val="24"/>
        </w:rPr>
      </w:pPr>
      <w:r>
        <w:rPr>
          <w:rFonts w:ascii="Times New Roman" w:hAnsi="Times New Roman"/>
          <w:b/>
          <w:bCs/>
          <w:sz w:val="24"/>
        </w:rPr>
        <w:t xml:space="preserve">Comment 5.1-01: </w:t>
      </w:r>
      <w:r w:rsidRPr="6D3F9CC5">
        <w:rPr>
          <w:rFonts w:ascii="Times New Roman" w:hAnsi="Times New Roman"/>
          <w:sz w:val="24"/>
        </w:rPr>
        <w:t>Several commenters expressed support for including recommendations from hazard evaluations of natural hazards, loss of power, and facility siting that were not adopted in a facility’s risk management plan (</w:t>
      </w:r>
      <w:r>
        <w:rPr>
          <w:rFonts w:ascii="Times New Roman" w:hAnsi="Times New Roman"/>
          <w:sz w:val="24"/>
        </w:rPr>
        <w:t xml:space="preserve">0192, </w:t>
      </w:r>
      <w:r w:rsidRPr="6D3F9CC5">
        <w:rPr>
          <w:rFonts w:ascii="Times New Roman" w:hAnsi="Times New Roman"/>
          <w:sz w:val="24"/>
        </w:rPr>
        <w:t xml:space="preserve">0203, 0240, 0444, 0460). A couple of the commenters </w:t>
      </w:r>
      <w:r>
        <w:rPr>
          <w:rFonts w:ascii="Times New Roman" w:hAnsi="Times New Roman"/>
          <w:sz w:val="24"/>
        </w:rPr>
        <w:t xml:space="preserve">suggested </w:t>
      </w:r>
      <w:r w:rsidRPr="6D3F9CC5">
        <w:rPr>
          <w:rFonts w:ascii="Times New Roman" w:hAnsi="Times New Roman"/>
          <w:sz w:val="24"/>
        </w:rPr>
        <w:t xml:space="preserve">that facilities should be required to implement practicable recommendations (0444, 0460). </w:t>
      </w:r>
    </w:p>
    <w:p w:rsidR="00D43808" w:rsidP="00D43808" w14:paraId="690DBCA0" w14:textId="77777777">
      <w:pPr>
        <w:rPr>
          <w:rFonts w:ascii="Times New Roman" w:hAnsi="Times New Roman"/>
          <w:sz w:val="24"/>
        </w:rPr>
      </w:pPr>
      <w:r w:rsidRPr="6D3F9CC5">
        <w:rPr>
          <w:rFonts w:ascii="Times New Roman" w:hAnsi="Times New Roman"/>
          <w:sz w:val="24"/>
        </w:rPr>
        <w:t>Another commenter stated that failing to finalize the proposal would be arbitrary and capricious because owners and operators can continue to ignore recommendations from hazard evaluations with no justification, even if the recommendations are feasible and effective (0460). One commenter strongly supported EPA’s decision to require RMP facilities to report declined recommendations in hazard evaluations, but also suggested there should be a baseline checklist of natural hazard mitigation measures (0240).</w:t>
      </w:r>
    </w:p>
    <w:p w:rsidR="00D43808" w:rsidP="00D43808" w14:paraId="4F0A2954" w14:textId="77777777">
      <w:pPr>
        <w:rPr>
          <w:rFonts w:ascii="Times New Roman" w:hAnsi="Times New Roman"/>
          <w:sz w:val="24"/>
        </w:rPr>
      </w:pPr>
      <w:r w:rsidRPr="006F68E9">
        <w:rPr>
          <w:rFonts w:ascii="Times New Roman" w:hAnsi="Times New Roman"/>
          <w:sz w:val="24"/>
        </w:rPr>
        <w:t>A couple of commenters expressed agreement with EPA’s approach to require facilities to provide justification for why they did not implement recommendations from the hazard review (0173, 0257).</w:t>
      </w:r>
    </w:p>
    <w:p w:rsidR="00D43808" w:rsidRPr="00361F95" w:rsidP="00D43808" w14:paraId="53E0683C" w14:textId="77777777">
      <w:pPr>
        <w:ind w:left="720"/>
        <w:rPr>
          <w:rFonts w:ascii="Times New Roman" w:hAnsi="Times New Roman"/>
          <w:b/>
          <w:sz w:val="24"/>
        </w:rPr>
      </w:pPr>
      <w:r w:rsidRPr="5EBDCCAF">
        <w:rPr>
          <w:rFonts w:ascii="Times New Roman" w:hAnsi="Times New Roman"/>
          <w:b/>
          <w:bCs/>
          <w:sz w:val="24"/>
        </w:rPr>
        <w:t>EPA Response</w:t>
      </w:r>
      <w:r>
        <w:rPr>
          <w:rFonts w:ascii="Times New Roman" w:hAnsi="Times New Roman"/>
          <w:b/>
          <w:bCs/>
          <w:sz w:val="24"/>
        </w:rPr>
        <w:t>:</w:t>
      </w:r>
      <w:r>
        <w:rPr>
          <w:rFonts w:ascii="Times New Roman" w:hAnsi="Times New Roman"/>
          <w:b/>
          <w:sz w:val="24"/>
        </w:rPr>
        <w:t xml:space="preserve"> </w:t>
      </w:r>
      <w:r w:rsidRPr="5EBDCCAF">
        <w:rPr>
          <w:rFonts w:ascii="Times New Roman" w:eastAsia="Times New Roman" w:hAnsi="Times New Roman"/>
          <w:color w:val="000000" w:themeColor="text1"/>
          <w:sz w:val="24"/>
        </w:rPr>
        <w:t>EPA believes that finalizing the hazard evaluation recommendation information availability provisions will enable the public to ensure facilities have conducted appropriate evaluations to address potential hazards that can affect communities near the fenceline of facilities. At this time, EPA is not requiring facilities to implement practicable recommendations from natural hazard, power loss, and siting hazard evaluations, as long as facilities list in their risk management plans the recommendations that were not implemented and the justification for those decisions.</w:t>
      </w:r>
    </w:p>
    <w:p w:rsidR="00D43808" w:rsidRPr="000B57F6" w:rsidP="00D43808" w14:paraId="630BB523" w14:textId="77777777">
      <w:pPr>
        <w:rPr>
          <w:rFonts w:ascii="Times New Roman" w:hAnsi="Times New Roman"/>
          <w:i/>
          <w:iCs/>
          <w:sz w:val="24"/>
        </w:rPr>
      </w:pPr>
      <w:r>
        <w:rPr>
          <w:rFonts w:ascii="Times New Roman" w:hAnsi="Times New Roman"/>
          <w:i/>
          <w:iCs/>
          <w:sz w:val="24"/>
        </w:rPr>
        <w:t>Comments in opposition to information availability requirements</w:t>
      </w:r>
    </w:p>
    <w:p w:rsidR="00D43808" w:rsidP="00D43808" w14:paraId="5330FCC5" w14:textId="77777777">
      <w:pPr>
        <w:rPr>
          <w:rFonts w:ascii="Times New Roman" w:hAnsi="Times New Roman"/>
          <w:sz w:val="24"/>
        </w:rPr>
      </w:pPr>
      <w:r>
        <w:rPr>
          <w:rFonts w:ascii="Times New Roman" w:hAnsi="Times New Roman"/>
          <w:b/>
          <w:bCs/>
          <w:sz w:val="24"/>
        </w:rPr>
        <w:t xml:space="preserve">Comment 5.1-02: </w:t>
      </w:r>
      <w:r w:rsidRPr="162835F2">
        <w:rPr>
          <w:rFonts w:ascii="Times New Roman" w:hAnsi="Times New Roman"/>
          <w:sz w:val="24"/>
        </w:rPr>
        <w:t xml:space="preserve">Several commenters expressed concern that there is no reasonable explanation for requiring the reporting of </w:t>
      </w:r>
      <w:r>
        <w:rPr>
          <w:rFonts w:ascii="Times New Roman" w:hAnsi="Times New Roman"/>
          <w:sz w:val="24"/>
        </w:rPr>
        <w:t>declined</w:t>
      </w:r>
      <w:r w:rsidRPr="162835F2">
        <w:rPr>
          <w:rFonts w:ascii="Times New Roman" w:hAnsi="Times New Roman"/>
          <w:sz w:val="24"/>
        </w:rPr>
        <w:t xml:space="preserve"> recommendations. The commenters</w:t>
      </w:r>
      <w:r>
        <w:rPr>
          <w:rFonts w:ascii="Times New Roman" w:hAnsi="Times New Roman"/>
          <w:sz w:val="24"/>
        </w:rPr>
        <w:t xml:space="preserve"> stated</w:t>
      </w:r>
      <w:r w:rsidRPr="162835F2">
        <w:rPr>
          <w:rFonts w:ascii="Times New Roman" w:hAnsi="Times New Roman"/>
          <w:sz w:val="24"/>
        </w:rPr>
        <w:t xml:space="preserve"> that the proposed PHA changes require new reporting obligations that are unnecessary and have not been fully analyzed</w:t>
      </w:r>
      <w:r w:rsidRPr="0F49C284">
        <w:rPr>
          <w:rFonts w:ascii="Times New Roman" w:hAnsi="Times New Roman"/>
          <w:sz w:val="24"/>
        </w:rPr>
        <w:t xml:space="preserve"> </w:t>
      </w:r>
      <w:r w:rsidRPr="7AEBAF0B">
        <w:rPr>
          <w:rFonts w:ascii="Times New Roman" w:hAnsi="Times New Roman"/>
          <w:sz w:val="24"/>
        </w:rPr>
        <w:t>(0232, 0238, 0253, 0268, 0272).</w:t>
      </w:r>
      <w:r w:rsidRPr="162835F2">
        <w:rPr>
          <w:rFonts w:ascii="Times New Roman" w:hAnsi="Times New Roman"/>
          <w:sz w:val="24"/>
        </w:rPr>
        <w:t xml:space="preserve"> </w:t>
      </w:r>
    </w:p>
    <w:p w:rsidR="00D43808" w:rsidP="00D43808" w14:paraId="195DF17A" w14:textId="77777777">
      <w:pPr>
        <w:rPr>
          <w:rFonts w:ascii="Times New Roman" w:hAnsi="Times New Roman"/>
          <w:sz w:val="24"/>
        </w:rPr>
      </w:pPr>
      <w:r w:rsidRPr="103D52A6">
        <w:rPr>
          <w:rFonts w:ascii="Times New Roman" w:hAnsi="Times New Roman"/>
          <w:sz w:val="24"/>
        </w:rPr>
        <w:t xml:space="preserve">A few commenters </w:t>
      </w:r>
      <w:r>
        <w:rPr>
          <w:rFonts w:ascii="Times New Roman" w:hAnsi="Times New Roman"/>
          <w:sz w:val="24"/>
        </w:rPr>
        <w:t>asserted</w:t>
      </w:r>
      <w:r w:rsidRPr="103D52A6">
        <w:rPr>
          <w:rFonts w:ascii="Times New Roman" w:hAnsi="Times New Roman"/>
          <w:sz w:val="24"/>
        </w:rPr>
        <w:t xml:space="preserve"> that the proposed requirements are unnecessary because this information is already documented as part of the PHA or Layers of Protection Analysis (LOPA) and adding it to the RMP only produces double documentation without added benefit (0181, 0223, 0262).</w:t>
      </w:r>
    </w:p>
    <w:p w:rsidR="00757542" w:rsidP="00D43808" w14:paraId="71DD4E8A" w14:textId="2EB9F2BF">
      <w:pPr>
        <w:rPr>
          <w:rFonts w:ascii="Times New Roman" w:hAnsi="Times New Roman"/>
          <w:sz w:val="24"/>
        </w:rPr>
      </w:pPr>
      <w:r w:rsidRPr="006F68E9">
        <w:rPr>
          <w:rFonts w:ascii="Times New Roman" w:hAnsi="Times New Roman"/>
          <w:sz w:val="24"/>
        </w:rPr>
        <w:t xml:space="preserve">One commenter expressed concern about a mandate that that would require RMP-regulated facilities to justify when facility siting hazard evaluation recommendations are not adopted. The commenter suggested that implementation (or not) of recommendations identified in a facility siting should be at the discretion of an owner/operator (0263). </w:t>
      </w:r>
    </w:p>
    <w:p w:rsidR="00D43808" w:rsidRPr="00361F95" w:rsidP="00D43808" w14:paraId="44059BFA" w14:textId="77777777">
      <w:pPr>
        <w:ind w:left="720"/>
        <w:rPr>
          <w:rFonts w:ascii="Times New Roman" w:hAnsi="Times New Roman"/>
          <w:b/>
          <w:sz w:val="24"/>
        </w:rPr>
      </w:pPr>
      <w:r w:rsidRPr="45C8555E">
        <w:rPr>
          <w:rFonts w:ascii="Times New Roman" w:hAnsi="Times New Roman"/>
          <w:b/>
          <w:bCs/>
          <w:sz w:val="24"/>
        </w:rPr>
        <w:t xml:space="preserve">EPA </w:t>
      </w:r>
      <w:r w:rsidRPr="5310AD7B">
        <w:rPr>
          <w:rFonts w:ascii="Times New Roman" w:hAnsi="Times New Roman"/>
          <w:b/>
          <w:bCs/>
          <w:sz w:val="24"/>
        </w:rPr>
        <w:t>Response</w:t>
      </w:r>
      <w:r>
        <w:rPr>
          <w:rFonts w:ascii="Times New Roman" w:hAnsi="Times New Roman"/>
          <w:b/>
          <w:bCs/>
          <w:sz w:val="24"/>
        </w:rPr>
        <w:t>:</w:t>
      </w:r>
      <w:r>
        <w:rPr>
          <w:rFonts w:ascii="Times New Roman" w:hAnsi="Times New Roman"/>
          <w:b/>
          <w:sz w:val="24"/>
        </w:rPr>
        <w:t xml:space="preserve"> </w:t>
      </w:r>
      <w:r w:rsidRPr="5310AD7B">
        <w:rPr>
          <w:rFonts w:ascii="Times New Roman" w:eastAsia="Times New Roman" w:hAnsi="Times New Roman"/>
          <w:color w:val="000000" w:themeColor="text1"/>
          <w:sz w:val="24"/>
        </w:rPr>
        <w:t>EPA disagrees that the requirements are unnecessary and provide no benefits. EPA believes the requirements are important to help the public understand how facilities address the hazards that may affect their community to keep the risk at or below an “acceptable level,” which include adherence to RAGAGEP</w:t>
      </w:r>
      <w:r w:rsidRPr="63266EB6">
        <w:rPr>
          <w:rFonts w:ascii="Times New Roman" w:eastAsia="Times New Roman" w:hAnsi="Times New Roman"/>
          <w:color w:val="000000" w:themeColor="text1"/>
          <w:sz w:val="24"/>
        </w:rPr>
        <w:t>,</w:t>
      </w:r>
      <w:r w:rsidRPr="5310AD7B">
        <w:rPr>
          <w:rFonts w:ascii="Times New Roman" w:eastAsia="Times New Roman" w:hAnsi="Times New Roman"/>
          <w:color w:val="000000" w:themeColor="text1"/>
          <w:sz w:val="24"/>
        </w:rPr>
        <w:t xml:space="preserve"> and the reasonable judgments and efforts of compliance programs aimed at preventing or mitigating accidental releases. </w:t>
      </w:r>
    </w:p>
    <w:p w:rsidR="00D43808" w:rsidP="00D43808" w14:paraId="263DAAAD" w14:textId="77777777">
      <w:pPr>
        <w:rPr>
          <w:rFonts w:ascii="Times New Roman" w:hAnsi="Times New Roman"/>
          <w:sz w:val="24"/>
        </w:rPr>
      </w:pPr>
      <w:r>
        <w:rPr>
          <w:rFonts w:ascii="Times New Roman" w:hAnsi="Times New Roman"/>
          <w:b/>
          <w:bCs/>
          <w:sz w:val="24"/>
        </w:rPr>
        <w:t xml:space="preserve">Comment 5.1-03: </w:t>
      </w:r>
      <w:r w:rsidRPr="1C4B901B">
        <w:rPr>
          <w:rFonts w:ascii="Times New Roman" w:hAnsi="Times New Roman"/>
          <w:sz w:val="24"/>
        </w:rPr>
        <w:t xml:space="preserve">Several commenters expressed concern that listing recommendations that are not adopted in risk management plans with justification is unnecessary with little benefit (0180, 0205, 0217, 0223, 0226, 0234, 0458). </w:t>
      </w:r>
      <w:r w:rsidRPr="17FB4E40">
        <w:rPr>
          <w:rFonts w:ascii="Times New Roman" w:hAnsi="Times New Roman"/>
          <w:sz w:val="24"/>
        </w:rPr>
        <w:t xml:space="preserve">A few commenters </w:t>
      </w:r>
      <w:r>
        <w:rPr>
          <w:rFonts w:ascii="Times New Roman" w:hAnsi="Times New Roman"/>
          <w:sz w:val="24"/>
        </w:rPr>
        <w:t xml:space="preserve">similarly </w:t>
      </w:r>
      <w:r w:rsidRPr="17FB4E40">
        <w:rPr>
          <w:rFonts w:ascii="Times New Roman" w:hAnsi="Times New Roman"/>
          <w:sz w:val="24"/>
        </w:rPr>
        <w:t>suggested that there is no evidence that requiring individual facilities to provide such documentation will reduce accident rates and may lead some to believe that it is possible to eliminate all risks, including potential risks, which could lead to a release (0210, 0230, 0233).</w:t>
      </w:r>
    </w:p>
    <w:p w:rsidR="00D43808" w:rsidRPr="006F68E9" w:rsidP="00D43808" w14:paraId="26C9750F" w14:textId="77777777">
      <w:pPr>
        <w:rPr>
          <w:rFonts w:ascii="Times New Roman" w:hAnsi="Times New Roman"/>
          <w:sz w:val="24"/>
        </w:rPr>
      </w:pPr>
      <w:r w:rsidRPr="6D3F9CC5">
        <w:rPr>
          <w:rFonts w:ascii="Times New Roman" w:hAnsi="Times New Roman"/>
          <w:sz w:val="24"/>
        </w:rPr>
        <w:t>One commenter stated that it is unusual for a site to decline to implement a hazard review or PHA recommendation involving natural hazards, power loss or siting. The commenter expressed concern that being required to describe it in a risk management plan would only draw attention to an idea that was not well-founded (0275).</w:t>
      </w:r>
    </w:p>
    <w:p w:rsidR="00D43808" w:rsidP="00D43808" w14:paraId="199C7B7F" w14:textId="5E37425F">
      <w:pPr>
        <w:ind w:left="720"/>
        <w:rPr>
          <w:rFonts w:ascii="Times New Roman" w:eastAsia="Times New Roman" w:hAnsi="Times New Roman"/>
          <w:color w:val="000000" w:themeColor="text1"/>
          <w:sz w:val="24"/>
        </w:rPr>
      </w:pPr>
      <w:r w:rsidRPr="5C4C2715">
        <w:rPr>
          <w:rFonts w:ascii="Times New Roman" w:hAnsi="Times New Roman"/>
          <w:b/>
          <w:bCs/>
          <w:sz w:val="24"/>
        </w:rPr>
        <w:t>EPA Response</w:t>
      </w:r>
      <w:r>
        <w:rPr>
          <w:rFonts w:ascii="Times New Roman" w:hAnsi="Times New Roman"/>
          <w:b/>
          <w:sz w:val="24"/>
        </w:rPr>
        <w:t xml:space="preserve">: </w:t>
      </w:r>
      <w:r w:rsidRPr="5C4C2715">
        <w:rPr>
          <w:rFonts w:ascii="Times New Roman" w:eastAsia="Times New Roman" w:hAnsi="Times New Roman"/>
          <w:color w:val="000000" w:themeColor="text1"/>
          <w:sz w:val="24"/>
        </w:rPr>
        <w:t xml:space="preserve">In response to comments that requiring such documentation will not reduce accident rates, EPA believes that when local citizens have adequate information and knowledge about the risks associated with facility hazards, facility owners and operators may be motivated to further improve their safety performance in response to community </w:t>
      </w:r>
      <w:r w:rsidRPr="63266EB6">
        <w:rPr>
          <w:rFonts w:ascii="Times New Roman" w:eastAsia="Times New Roman" w:hAnsi="Times New Roman"/>
          <w:color w:val="000000" w:themeColor="text1"/>
          <w:sz w:val="24"/>
        </w:rPr>
        <w:t>oversight. At a minimum, better community understanding of identified hazards</w:t>
      </w:r>
      <w:r w:rsidRPr="5C4C2715">
        <w:rPr>
          <w:rFonts w:ascii="Times New Roman" w:eastAsia="Times New Roman" w:hAnsi="Times New Roman"/>
          <w:color w:val="000000" w:themeColor="text1"/>
          <w:sz w:val="24"/>
        </w:rPr>
        <w:t xml:space="preserve"> and </w:t>
      </w:r>
      <w:r w:rsidRPr="63266EB6">
        <w:rPr>
          <w:rFonts w:ascii="Times New Roman" w:eastAsia="Times New Roman" w:hAnsi="Times New Roman"/>
          <w:color w:val="000000" w:themeColor="text1"/>
          <w:sz w:val="24"/>
        </w:rPr>
        <w:t xml:space="preserve">remedies not implemented will promote better community emergency planning. </w:t>
      </w:r>
      <w:r w:rsidRPr="00CE11A5" w:rsidR="00CE11A5">
        <w:rPr>
          <w:rFonts w:ascii="Times New Roman" w:eastAsia="Times New Roman" w:hAnsi="Times New Roman"/>
          <w:color w:val="000000" w:themeColor="text1"/>
          <w:sz w:val="24"/>
        </w:rPr>
        <w:t xml:space="preserve">EPA </w:t>
      </w:r>
      <w:r w:rsidR="00CE11A5">
        <w:rPr>
          <w:rFonts w:ascii="Times New Roman" w:eastAsia="Times New Roman" w:hAnsi="Times New Roman"/>
          <w:color w:val="000000" w:themeColor="text1"/>
          <w:sz w:val="24"/>
        </w:rPr>
        <w:t xml:space="preserve">also </w:t>
      </w:r>
      <w:r w:rsidRPr="00CE11A5" w:rsidR="00CE11A5">
        <w:rPr>
          <w:rFonts w:ascii="Times New Roman" w:eastAsia="Times New Roman" w:hAnsi="Times New Roman"/>
          <w:color w:val="000000" w:themeColor="text1"/>
          <w:sz w:val="24"/>
        </w:rPr>
        <w:t>believes the requirements are important to help the public understand how facilities address the hazards that may affect their community to keep the risk at or below an “acceptable level,” which include adherence to RAGAGEP, and the reasonable judgments and efforts of compliance programs aimed at preventing or mitigating accidental releases.</w:t>
      </w:r>
    </w:p>
    <w:p w:rsidR="0010027B" w:rsidRPr="00D50006" w:rsidP="00D43808" w14:paraId="63B1BDDC" w14:textId="3FD96A5D">
      <w:pPr>
        <w:ind w:left="720"/>
        <w:rPr>
          <w:rFonts w:ascii="Times New Roman" w:hAnsi="Times New Roman"/>
          <w:bCs/>
          <w:sz w:val="24"/>
        </w:rPr>
      </w:pPr>
      <w:r>
        <w:rPr>
          <w:rFonts w:ascii="Times New Roman" w:hAnsi="Times New Roman"/>
          <w:bCs/>
          <w:sz w:val="24"/>
        </w:rPr>
        <w:t xml:space="preserve">Further, </w:t>
      </w:r>
      <w:r w:rsidR="00D50006">
        <w:rPr>
          <w:rFonts w:ascii="Times New Roman" w:hAnsi="Times New Roman"/>
          <w:bCs/>
          <w:sz w:val="24"/>
        </w:rPr>
        <w:t>the final rule will</w:t>
      </w:r>
      <w:r w:rsidR="00E326FD">
        <w:rPr>
          <w:rFonts w:ascii="Times New Roman" w:hAnsi="Times New Roman"/>
          <w:bCs/>
          <w:sz w:val="24"/>
        </w:rPr>
        <w:t xml:space="preserve"> </w:t>
      </w:r>
      <w:r w:rsidRPr="00E326FD" w:rsidR="00E326FD">
        <w:rPr>
          <w:rFonts w:ascii="Times New Roman" w:hAnsi="Times New Roman"/>
          <w:bCs/>
          <w:sz w:val="24"/>
        </w:rPr>
        <w:t>requir</w:t>
      </w:r>
      <w:r w:rsidR="00E326FD">
        <w:rPr>
          <w:rFonts w:ascii="Times New Roman" w:hAnsi="Times New Roman"/>
          <w:bCs/>
          <w:sz w:val="24"/>
        </w:rPr>
        <w:t>e</w:t>
      </w:r>
      <w:r w:rsidRPr="00E326FD" w:rsidR="00E326FD">
        <w:rPr>
          <w:rFonts w:ascii="Times New Roman" w:hAnsi="Times New Roman"/>
          <w:bCs/>
          <w:sz w:val="24"/>
        </w:rPr>
        <w:t xml:space="preserve"> owners and operators to choose one of four pre-selected categories</w:t>
      </w:r>
      <w:r w:rsidR="000048E9">
        <w:rPr>
          <w:rFonts w:ascii="Times New Roman" w:hAnsi="Times New Roman"/>
          <w:bCs/>
          <w:sz w:val="24"/>
        </w:rPr>
        <w:t xml:space="preserve">, </w:t>
      </w:r>
      <w:r w:rsidRPr="000048E9" w:rsidR="000048E9">
        <w:rPr>
          <w:rFonts w:ascii="Times New Roman" w:hAnsi="Times New Roman"/>
          <w:bCs/>
          <w:sz w:val="24"/>
        </w:rPr>
        <w:t>such as those in OSHA’s 1994 Compliance Directive</w:t>
      </w:r>
      <w:r>
        <w:rPr>
          <w:rFonts w:ascii="Times New Roman" w:hAnsi="Times New Roman"/>
          <w:bCs/>
          <w:sz w:val="24"/>
          <w:vertAlign w:val="superscript"/>
        </w:rPr>
        <w:footnoteReference w:id="74"/>
      </w:r>
      <w:r w:rsidRPr="000048E9" w:rsidR="000048E9">
        <w:rPr>
          <w:rFonts w:ascii="Times New Roman" w:hAnsi="Times New Roman"/>
          <w:bCs/>
          <w:sz w:val="24"/>
        </w:rPr>
        <w:t xml:space="preserve">, </w:t>
      </w:r>
      <w:r w:rsidR="00E326FD">
        <w:rPr>
          <w:rFonts w:ascii="Times New Roman" w:hAnsi="Times New Roman"/>
          <w:bCs/>
          <w:sz w:val="24"/>
        </w:rPr>
        <w:t>to</w:t>
      </w:r>
      <w:r w:rsidRPr="00E326FD" w:rsidR="00E326FD">
        <w:rPr>
          <w:rFonts w:ascii="Times New Roman" w:hAnsi="Times New Roman"/>
          <w:bCs/>
          <w:sz w:val="24"/>
        </w:rPr>
        <w:t xml:space="preserve"> makes it easier for owners and operators to understand and comply with their </w:t>
      </w:r>
      <w:r w:rsidRPr="00E326FD" w:rsidR="00D50006">
        <w:rPr>
          <w:rFonts w:ascii="Times New Roman" w:hAnsi="Times New Roman"/>
          <w:bCs/>
          <w:sz w:val="24"/>
        </w:rPr>
        <w:t>duties</w:t>
      </w:r>
      <w:r w:rsidR="00D50006">
        <w:rPr>
          <w:rFonts w:ascii="Times New Roman" w:hAnsi="Times New Roman"/>
          <w:bCs/>
          <w:sz w:val="24"/>
        </w:rPr>
        <w:t>.</w:t>
      </w:r>
      <w:r w:rsidR="00E326FD">
        <w:rPr>
          <w:rFonts w:ascii="Times New Roman" w:hAnsi="Times New Roman"/>
          <w:bCs/>
          <w:sz w:val="24"/>
        </w:rPr>
        <w:t xml:space="preserve"> </w:t>
      </w:r>
      <w:r w:rsidRPr="500AAB84">
        <w:rPr>
          <w:rFonts w:ascii="Times New Roman" w:hAnsi="Times New Roman"/>
          <w:sz w:val="24"/>
        </w:rPr>
        <w:t>EPA</w:t>
      </w:r>
      <w:r w:rsidRPr="00D50006">
        <w:rPr>
          <w:rFonts w:ascii="Times New Roman" w:hAnsi="Times New Roman"/>
          <w:bCs/>
          <w:sz w:val="24"/>
        </w:rPr>
        <w:t xml:space="preserve"> is not requiring narrative explanations to be reported as there is concern that such explanations may be greatly inconsistent as they would require large amounts of technically challenging and varying information to be comparably condensed. The Agency believes the four pre-selected categories ensures a balanced approach to providing beneficial data to the public as well as a straightforward method of reporting for facility owners/operators.</w:t>
      </w:r>
    </w:p>
    <w:p w:rsidR="00D43808" w:rsidP="00D43808" w14:paraId="233A6FB6" w14:textId="77777777">
      <w:pPr>
        <w:rPr>
          <w:rFonts w:ascii="Times New Roman" w:hAnsi="Times New Roman"/>
          <w:sz w:val="24"/>
        </w:rPr>
      </w:pPr>
      <w:r>
        <w:rPr>
          <w:rFonts w:ascii="Times New Roman" w:hAnsi="Times New Roman"/>
          <w:b/>
          <w:sz w:val="24"/>
        </w:rPr>
        <w:t xml:space="preserve">Comment 5.1-04: </w:t>
      </w:r>
      <w:r>
        <w:rPr>
          <w:rFonts w:ascii="Times New Roman" w:hAnsi="Times New Roman"/>
          <w:sz w:val="24"/>
        </w:rPr>
        <w:t>Several</w:t>
      </w:r>
      <w:r w:rsidRPr="162835F2">
        <w:rPr>
          <w:rFonts w:ascii="Times New Roman" w:hAnsi="Times New Roman"/>
          <w:sz w:val="24"/>
        </w:rPr>
        <w:t xml:space="preserve"> commenters </w:t>
      </w:r>
      <w:r>
        <w:rPr>
          <w:rFonts w:ascii="Times New Roman" w:hAnsi="Times New Roman"/>
          <w:sz w:val="24"/>
        </w:rPr>
        <w:t>stated</w:t>
      </w:r>
      <w:r w:rsidRPr="162835F2">
        <w:rPr>
          <w:rFonts w:ascii="Times New Roman" w:hAnsi="Times New Roman"/>
          <w:sz w:val="24"/>
        </w:rPr>
        <w:t xml:space="preserve"> that EPA did not consider the labor costs and time that would be devoted to preparing a written justification for rejected recommendations (0232, 0238, 0253, 0268, 0272). One of the commenters stated that the time and resources could be better spent on implementing accepted recommendations (0268).</w:t>
      </w:r>
      <w:r>
        <w:rPr>
          <w:rFonts w:ascii="Times New Roman" w:hAnsi="Times New Roman"/>
          <w:sz w:val="24"/>
        </w:rPr>
        <w:t xml:space="preserve"> </w:t>
      </w:r>
    </w:p>
    <w:p w:rsidR="00D43808" w:rsidRPr="006F68E9" w:rsidP="00D43808" w14:paraId="13DC51EA" w14:textId="77777777">
      <w:pPr>
        <w:rPr>
          <w:rFonts w:ascii="Times New Roman" w:hAnsi="Times New Roman"/>
          <w:b/>
          <w:bCs/>
          <w:sz w:val="24"/>
        </w:rPr>
      </w:pPr>
      <w:r>
        <w:rPr>
          <w:rFonts w:ascii="Times New Roman" w:hAnsi="Times New Roman"/>
          <w:sz w:val="24"/>
        </w:rPr>
        <w:t>One commenter</w:t>
      </w:r>
      <w:r w:rsidRPr="006F68E9">
        <w:rPr>
          <w:rFonts w:ascii="Times New Roman" w:hAnsi="Times New Roman"/>
          <w:sz w:val="24"/>
        </w:rPr>
        <w:t xml:space="preserve"> suggested that if PHAs are not conducted at the same frequency as the RMP 5-year renewal, the RMPs will need constant updating to incorporate this information as each PHA revalidation is completed (0181).</w:t>
      </w:r>
    </w:p>
    <w:p w:rsidR="00D43808" w:rsidP="00D43808" w14:paraId="063F4BB6" w14:textId="67A9AA15">
      <w:pPr>
        <w:ind w:left="720"/>
        <w:rPr>
          <w:rFonts w:ascii="Times New Roman" w:eastAsia="Times New Roman" w:hAnsi="Times New Roman"/>
          <w:color w:val="000000" w:themeColor="text1"/>
          <w:sz w:val="24"/>
        </w:rPr>
      </w:pPr>
      <w:r w:rsidRPr="3212B4F6">
        <w:rPr>
          <w:rFonts w:ascii="Times New Roman" w:hAnsi="Times New Roman"/>
          <w:b/>
          <w:bCs/>
          <w:sz w:val="24"/>
        </w:rPr>
        <w:t>EPA Response</w:t>
      </w:r>
      <w:r>
        <w:rPr>
          <w:rFonts w:ascii="Times New Roman" w:hAnsi="Times New Roman"/>
          <w:b/>
          <w:sz w:val="24"/>
        </w:rPr>
        <w:t xml:space="preserve">: </w:t>
      </w:r>
      <w:r w:rsidRPr="17FB4E40">
        <w:rPr>
          <w:rFonts w:ascii="Times New Roman" w:eastAsia="Times New Roman" w:hAnsi="Times New Roman"/>
          <w:color w:val="000000" w:themeColor="text1"/>
          <w:sz w:val="24"/>
        </w:rPr>
        <w:t>In response to comments that EPA did not consider the costs of preparing written justifications for rejected recommendations, EPA notes that the RIA for the final rule estimates anticipated costs for preparing written justifications.</w:t>
      </w:r>
      <w:r>
        <w:rPr>
          <w:rFonts w:ascii="Times New Roman" w:eastAsia="Times New Roman" w:hAnsi="Times New Roman"/>
          <w:color w:val="000000" w:themeColor="text1"/>
          <w:sz w:val="24"/>
        </w:rPr>
        <w:t xml:space="preserve"> </w:t>
      </w:r>
      <w:r w:rsidRPr="00C73743" w:rsidR="00C73743">
        <w:rPr>
          <w:rFonts w:ascii="Times New Roman" w:eastAsia="Times New Roman" w:hAnsi="Times New Roman"/>
          <w:color w:val="000000" w:themeColor="text1"/>
          <w:sz w:val="24"/>
        </w:rPr>
        <w:t>EPA believes the requirements are important to help the public understand how facilities address the hazards that may affect their community to keep the risk at or below an “acceptable level,” which include adherence to RAGAGEP, and the reasonable judgments and efforts of compliance programs aimed at preventing or mitigating accidental releases.</w:t>
      </w:r>
    </w:p>
    <w:p w:rsidR="005D6C20" w:rsidRPr="00A043DF" w:rsidP="00D43808" w14:paraId="5711BC63" w14:textId="6C6BC023">
      <w:pPr>
        <w:ind w:left="720"/>
        <w:rPr>
          <w:rFonts w:ascii="Times New Roman" w:hAnsi="Times New Roman"/>
          <w:sz w:val="24"/>
        </w:rPr>
      </w:pPr>
      <w:r w:rsidRPr="00A043DF">
        <w:rPr>
          <w:rFonts w:ascii="Times New Roman" w:hAnsi="Times New Roman"/>
          <w:sz w:val="24"/>
        </w:rPr>
        <w:t xml:space="preserve">EPA notes that </w:t>
      </w:r>
      <w:r w:rsidRPr="00A043DF" w:rsidR="00902AD0">
        <w:rPr>
          <w:rFonts w:ascii="Times New Roman" w:hAnsi="Times New Roman"/>
          <w:sz w:val="24"/>
        </w:rPr>
        <w:t>under 40 CFR 68.190(b),</w:t>
      </w:r>
      <w:r w:rsidRPr="00A043DF" w:rsidR="00C57B35">
        <w:rPr>
          <w:rFonts w:ascii="Times New Roman" w:hAnsi="Times New Roman"/>
          <w:sz w:val="24"/>
        </w:rPr>
        <w:t xml:space="preserve"> the owner or operator must </w:t>
      </w:r>
      <w:bookmarkStart w:id="56" w:name="_Hlk147992020"/>
      <w:r w:rsidRPr="00A043DF" w:rsidR="00C57B35">
        <w:rPr>
          <w:rFonts w:ascii="Times New Roman" w:hAnsi="Times New Roman"/>
          <w:sz w:val="24"/>
        </w:rPr>
        <w:t xml:space="preserve">review, </w:t>
      </w:r>
      <w:r w:rsidRPr="00A043DF" w:rsidR="00B9290F">
        <w:rPr>
          <w:rFonts w:ascii="Times New Roman" w:hAnsi="Times New Roman"/>
          <w:sz w:val="24"/>
        </w:rPr>
        <w:t>update,</w:t>
      </w:r>
      <w:r w:rsidRPr="00A043DF" w:rsidR="00C57B35">
        <w:rPr>
          <w:rFonts w:ascii="Times New Roman" w:hAnsi="Times New Roman"/>
          <w:sz w:val="24"/>
        </w:rPr>
        <w:t xml:space="preserve"> and resubmit their RMP </w:t>
      </w:r>
      <w:bookmarkEnd w:id="56"/>
      <w:r w:rsidR="005A78DC">
        <w:rPr>
          <w:rFonts w:ascii="Times New Roman" w:hAnsi="Times New Roman"/>
          <w:sz w:val="24"/>
        </w:rPr>
        <w:t>a</w:t>
      </w:r>
      <w:r w:rsidRPr="005A78DC" w:rsidR="005A78DC">
        <w:rPr>
          <w:rFonts w:ascii="Times New Roman" w:hAnsi="Times New Roman"/>
          <w:sz w:val="24"/>
        </w:rPr>
        <w:t>t least once every five years</w:t>
      </w:r>
      <w:r w:rsidR="005A78DC">
        <w:rPr>
          <w:rFonts w:ascii="Times New Roman" w:hAnsi="Times New Roman"/>
          <w:sz w:val="24"/>
        </w:rPr>
        <w:t xml:space="preserve">, </w:t>
      </w:r>
      <w:r w:rsidRPr="00EE4CAE" w:rsidR="005A78DC">
        <w:rPr>
          <w:rFonts w:ascii="Times New Roman" w:hAnsi="Times New Roman"/>
          <w:i/>
          <w:iCs/>
          <w:sz w:val="24"/>
        </w:rPr>
        <w:t xml:space="preserve">or </w:t>
      </w:r>
      <w:r w:rsidRPr="00A043DF" w:rsidR="00C319D1">
        <w:rPr>
          <w:rFonts w:ascii="Times New Roman" w:hAnsi="Times New Roman"/>
          <w:sz w:val="24"/>
        </w:rPr>
        <w:t>within six months of a change that requires a revised PHA or hazard review</w:t>
      </w:r>
      <w:r w:rsidR="006A50D6">
        <w:rPr>
          <w:rFonts w:ascii="Times New Roman" w:hAnsi="Times New Roman"/>
          <w:sz w:val="24"/>
        </w:rPr>
        <w:t xml:space="preserve"> (</w:t>
      </w:r>
      <w:r w:rsidR="00FA08BE">
        <w:rPr>
          <w:rFonts w:ascii="Times New Roman" w:hAnsi="Times New Roman"/>
          <w:sz w:val="24"/>
        </w:rPr>
        <w:t>or due to other reasons</w:t>
      </w:r>
      <w:r w:rsidR="006A50D6">
        <w:rPr>
          <w:rFonts w:ascii="Times New Roman" w:hAnsi="Times New Roman"/>
          <w:sz w:val="24"/>
        </w:rPr>
        <w:t>)</w:t>
      </w:r>
      <w:r w:rsidR="009F0178">
        <w:rPr>
          <w:rFonts w:ascii="Times New Roman" w:hAnsi="Times New Roman"/>
          <w:sz w:val="24"/>
        </w:rPr>
        <w:t>, not for both reasons</w:t>
      </w:r>
      <w:r w:rsidRPr="00A043DF" w:rsidR="00C319D1">
        <w:rPr>
          <w:rFonts w:ascii="Times New Roman" w:hAnsi="Times New Roman"/>
          <w:sz w:val="24"/>
        </w:rPr>
        <w:t>.</w:t>
      </w:r>
      <w:r w:rsidR="00661527">
        <w:rPr>
          <w:rFonts w:ascii="Times New Roman" w:hAnsi="Times New Roman"/>
          <w:sz w:val="24"/>
        </w:rPr>
        <w:t xml:space="preserve"> A facility would be expected to include </w:t>
      </w:r>
      <w:r w:rsidR="00860776">
        <w:rPr>
          <w:rFonts w:ascii="Times New Roman" w:hAnsi="Times New Roman"/>
          <w:sz w:val="24"/>
        </w:rPr>
        <w:t xml:space="preserve">declined recommendations in </w:t>
      </w:r>
      <w:r w:rsidR="005A6978">
        <w:rPr>
          <w:rFonts w:ascii="Times New Roman" w:hAnsi="Times New Roman"/>
          <w:sz w:val="24"/>
        </w:rPr>
        <w:t xml:space="preserve">their </w:t>
      </w:r>
      <w:r w:rsidR="00860776">
        <w:rPr>
          <w:rFonts w:ascii="Times New Roman" w:hAnsi="Times New Roman"/>
          <w:sz w:val="24"/>
        </w:rPr>
        <w:t>resubmission</w:t>
      </w:r>
      <w:r w:rsidR="00FA08BE">
        <w:rPr>
          <w:rFonts w:ascii="Times New Roman" w:hAnsi="Times New Roman"/>
          <w:sz w:val="24"/>
        </w:rPr>
        <w:t xml:space="preserve"> </w:t>
      </w:r>
      <w:r w:rsidR="005A6978">
        <w:rPr>
          <w:rFonts w:ascii="Times New Roman" w:hAnsi="Times New Roman"/>
          <w:sz w:val="24"/>
        </w:rPr>
        <w:t xml:space="preserve">that resulted from a </w:t>
      </w:r>
      <w:r w:rsidR="00FA08BE">
        <w:rPr>
          <w:rFonts w:ascii="Times New Roman" w:hAnsi="Times New Roman"/>
          <w:sz w:val="24"/>
        </w:rPr>
        <w:t>complete</w:t>
      </w:r>
      <w:r w:rsidR="000520C7">
        <w:rPr>
          <w:rFonts w:ascii="Times New Roman" w:hAnsi="Times New Roman"/>
          <w:sz w:val="24"/>
        </w:rPr>
        <w:t xml:space="preserve">d </w:t>
      </w:r>
      <w:r w:rsidR="00FA08BE">
        <w:rPr>
          <w:rFonts w:ascii="Times New Roman" w:hAnsi="Times New Roman"/>
          <w:sz w:val="24"/>
        </w:rPr>
        <w:t>PHA</w:t>
      </w:r>
      <w:r w:rsidR="00860776">
        <w:rPr>
          <w:rFonts w:ascii="Times New Roman" w:hAnsi="Times New Roman"/>
          <w:sz w:val="24"/>
        </w:rPr>
        <w:t>.</w:t>
      </w:r>
      <w:r w:rsidR="006604BE">
        <w:rPr>
          <w:rFonts w:ascii="Times New Roman" w:hAnsi="Times New Roman"/>
          <w:sz w:val="24"/>
        </w:rPr>
        <w:t xml:space="preserve"> The next resubmission </w:t>
      </w:r>
      <w:r w:rsidR="000520C7">
        <w:rPr>
          <w:rFonts w:ascii="Times New Roman" w:hAnsi="Times New Roman"/>
          <w:sz w:val="24"/>
        </w:rPr>
        <w:t>could then</w:t>
      </w:r>
      <w:r w:rsidR="006604BE">
        <w:rPr>
          <w:rFonts w:ascii="Times New Roman" w:hAnsi="Times New Roman"/>
          <w:sz w:val="24"/>
        </w:rPr>
        <w:t xml:space="preserve"> be expected</w:t>
      </w:r>
      <w:r w:rsidR="00F60B95">
        <w:rPr>
          <w:rFonts w:ascii="Times New Roman" w:hAnsi="Times New Roman"/>
          <w:sz w:val="24"/>
        </w:rPr>
        <w:t xml:space="preserve"> in the next five years</w:t>
      </w:r>
      <w:r w:rsidR="000520C7">
        <w:rPr>
          <w:rFonts w:ascii="Times New Roman" w:hAnsi="Times New Roman"/>
          <w:sz w:val="24"/>
        </w:rPr>
        <w:t>, s</w:t>
      </w:r>
      <w:r w:rsidR="00F60B95">
        <w:rPr>
          <w:rFonts w:ascii="Times New Roman" w:hAnsi="Times New Roman"/>
          <w:sz w:val="24"/>
        </w:rPr>
        <w:t>imilar to the schedule of the PH</w:t>
      </w:r>
      <w:r w:rsidR="000520C7">
        <w:rPr>
          <w:rFonts w:ascii="Times New Roman" w:hAnsi="Times New Roman"/>
          <w:sz w:val="24"/>
        </w:rPr>
        <w:t>A</w:t>
      </w:r>
      <w:r w:rsidR="00F60B95">
        <w:rPr>
          <w:rFonts w:ascii="Times New Roman" w:hAnsi="Times New Roman"/>
          <w:sz w:val="24"/>
        </w:rPr>
        <w:t xml:space="preserve">. If PHAs are done more often than 5 years, the facility would already be </w:t>
      </w:r>
      <w:r w:rsidRPr="00F60B95" w:rsidR="00F60B95">
        <w:rPr>
          <w:rFonts w:ascii="Times New Roman" w:hAnsi="Times New Roman"/>
          <w:sz w:val="24"/>
        </w:rPr>
        <w:t>review</w:t>
      </w:r>
      <w:r w:rsidR="00F60B95">
        <w:rPr>
          <w:rFonts w:ascii="Times New Roman" w:hAnsi="Times New Roman"/>
          <w:sz w:val="24"/>
        </w:rPr>
        <w:t>ing</w:t>
      </w:r>
      <w:r w:rsidRPr="00F60B95" w:rsidR="00F60B95">
        <w:rPr>
          <w:rFonts w:ascii="Times New Roman" w:hAnsi="Times New Roman"/>
          <w:sz w:val="24"/>
        </w:rPr>
        <w:t>, upda</w:t>
      </w:r>
      <w:r w:rsidR="00F60B95">
        <w:rPr>
          <w:rFonts w:ascii="Times New Roman" w:hAnsi="Times New Roman"/>
          <w:sz w:val="24"/>
        </w:rPr>
        <w:t>ting</w:t>
      </w:r>
      <w:r w:rsidRPr="00F60B95" w:rsidR="00F60B95">
        <w:rPr>
          <w:rFonts w:ascii="Times New Roman" w:hAnsi="Times New Roman"/>
          <w:sz w:val="24"/>
        </w:rPr>
        <w:t>, and resubmit</w:t>
      </w:r>
      <w:r w:rsidR="00F60B95">
        <w:rPr>
          <w:rFonts w:ascii="Times New Roman" w:hAnsi="Times New Roman"/>
          <w:sz w:val="24"/>
        </w:rPr>
        <w:t>ting</w:t>
      </w:r>
      <w:r w:rsidRPr="00F60B95" w:rsidR="00F60B95">
        <w:rPr>
          <w:rFonts w:ascii="Times New Roman" w:hAnsi="Times New Roman"/>
          <w:sz w:val="24"/>
        </w:rPr>
        <w:t xml:space="preserve"> their RMP</w:t>
      </w:r>
      <w:r w:rsidR="00F60B95">
        <w:rPr>
          <w:rFonts w:ascii="Times New Roman" w:hAnsi="Times New Roman"/>
          <w:sz w:val="24"/>
        </w:rPr>
        <w:t xml:space="preserve"> on that lesser frequency. EPA believes this </w:t>
      </w:r>
      <w:r w:rsidR="004D658B">
        <w:rPr>
          <w:rFonts w:ascii="Times New Roman" w:hAnsi="Times New Roman"/>
          <w:sz w:val="24"/>
        </w:rPr>
        <w:t xml:space="preserve">additional information would be minimal burden if the facility is already resubmitting all their RMP information of a greater frequency. </w:t>
      </w:r>
    </w:p>
    <w:p w:rsidR="00D43808" w:rsidP="00D43808" w14:paraId="45484674" w14:textId="77777777">
      <w:pPr>
        <w:rPr>
          <w:rFonts w:ascii="Times New Roman" w:hAnsi="Times New Roman"/>
          <w:sz w:val="24"/>
        </w:rPr>
      </w:pPr>
      <w:r>
        <w:rPr>
          <w:rFonts w:ascii="Times New Roman" w:hAnsi="Times New Roman"/>
          <w:b/>
          <w:bCs/>
          <w:sz w:val="24"/>
        </w:rPr>
        <w:t xml:space="preserve">Comment 5.1-05: </w:t>
      </w:r>
      <w:r w:rsidRPr="1C4B901B">
        <w:rPr>
          <w:rFonts w:ascii="Times New Roman" w:hAnsi="Times New Roman"/>
          <w:sz w:val="24"/>
        </w:rPr>
        <w:t xml:space="preserve">Some commenters </w:t>
      </w:r>
      <w:r>
        <w:rPr>
          <w:rFonts w:ascii="Times New Roman" w:hAnsi="Times New Roman"/>
          <w:sz w:val="24"/>
        </w:rPr>
        <w:t>asserted</w:t>
      </w:r>
      <w:r w:rsidRPr="1C4B901B">
        <w:rPr>
          <w:rFonts w:ascii="Times New Roman" w:hAnsi="Times New Roman"/>
          <w:sz w:val="24"/>
        </w:rPr>
        <w:t xml:space="preserve"> that the </w:t>
      </w:r>
      <w:r w:rsidRPr="6D3F9CC5">
        <w:rPr>
          <w:rFonts w:ascii="Times New Roman" w:hAnsi="Times New Roman"/>
          <w:sz w:val="24"/>
        </w:rPr>
        <w:t>hazard evaluation information availability requirements</w:t>
      </w:r>
      <w:r w:rsidRPr="1C4B901B">
        <w:rPr>
          <w:rFonts w:ascii="Times New Roman" w:hAnsi="Times New Roman"/>
          <w:sz w:val="24"/>
        </w:rPr>
        <w:t xml:space="preserve"> will likely cause facilities to consider a narrower scope of recommendations to avoid making this exercise more burdensome. The commenters also suggested that this requirement is duplicative because facilities already have to justify why recommendations are not being taken when they submit PHAs (0180, 0205, 0217, 0226, 0234, 0458).</w:t>
      </w:r>
      <w:r w:rsidRPr="43212E3F">
        <w:rPr>
          <w:rFonts w:ascii="Times New Roman" w:hAnsi="Times New Roman"/>
          <w:sz w:val="24"/>
        </w:rPr>
        <w:t xml:space="preserve"> </w:t>
      </w:r>
      <w:r w:rsidRPr="27A3DE4F">
        <w:rPr>
          <w:rFonts w:ascii="Times New Roman" w:hAnsi="Times New Roman"/>
          <w:sz w:val="24"/>
        </w:rPr>
        <w:t>Similarly, one</w:t>
      </w:r>
      <w:r w:rsidRPr="43212E3F">
        <w:rPr>
          <w:rFonts w:ascii="Times New Roman" w:hAnsi="Times New Roman"/>
          <w:sz w:val="24"/>
        </w:rPr>
        <w:t xml:space="preserve"> commenter expressed concern that the proposed requirement will discourage facility leaders from pushing their PHA/LOPA teams from identifying unmitigated hazards to limit the amount of information they are required to report to EPA (0181). Another commenter recommended that EPA make clear that an appropriately justified denial during initial review of a facility’s RMP plan should not have to be re-justified in subsequent reviews of the plan (0261).</w:t>
      </w:r>
    </w:p>
    <w:p w:rsidR="00D43808" w:rsidRPr="006F68E9" w:rsidP="00D43808" w14:paraId="00C3B8F8" w14:textId="77777777">
      <w:pPr>
        <w:rPr>
          <w:rFonts w:ascii="Times New Roman" w:hAnsi="Times New Roman"/>
          <w:sz w:val="24"/>
        </w:rPr>
      </w:pPr>
      <w:r w:rsidRPr="006F68E9">
        <w:rPr>
          <w:rFonts w:ascii="Times New Roman" w:hAnsi="Times New Roman"/>
          <w:sz w:val="24"/>
        </w:rPr>
        <w:t>Another commenter</w:t>
      </w:r>
      <w:r>
        <w:rPr>
          <w:rFonts w:ascii="Times New Roman" w:hAnsi="Times New Roman"/>
          <w:sz w:val="24"/>
        </w:rPr>
        <w:t xml:space="preserve"> recommended that </w:t>
      </w:r>
      <w:r w:rsidRPr="006F68E9">
        <w:rPr>
          <w:rFonts w:ascii="Times New Roman" w:hAnsi="Times New Roman"/>
          <w:sz w:val="24"/>
        </w:rPr>
        <w:t xml:space="preserve">the implementation (or not) of recommendations identified in an STAA, hazard evaluation or facility siting should be at the discretion of an owner/operator (0263). </w:t>
      </w:r>
    </w:p>
    <w:p w:rsidR="00230075" w:rsidRPr="00230075" w:rsidP="00D43808" w14:paraId="69DEF005" w14:textId="6BE6F572">
      <w:pPr>
        <w:rPr>
          <w:rFonts w:ascii="Times New Roman" w:hAnsi="Times New Roman"/>
          <w:sz w:val="24"/>
        </w:rPr>
      </w:pPr>
      <w:r w:rsidRPr="00230075">
        <w:rPr>
          <w:rFonts w:ascii="Times New Roman" w:hAnsi="Times New Roman"/>
          <w:sz w:val="24"/>
        </w:rPr>
        <w:t>One commenter stated that EPA is effectively imposing IST analysis on Program 2 and Program 3 facilities, referring to the proposal that facilities would be required to either implement recommendations from hazard evaluations or justify in their risk management plans the recommendations that were not adopted. The commenter added that existing regulations already require these facilities to consider multiple risks that may impact operations. The commenter stated that documenting recommendations not adopted ignores the significant decrease in accident rates facilities have already achieved under existing RMP regulations and creates an unnecessary burden not expected to change accident rates. In addition, the commenter said that EPA’s proposal creates significant enforcement risks from both EPA and citizen groups, as the proposed rule could subject RMP facilities to unreasonable expectations to eliminate all risks, which is neither technically nor financially feasible (0239).</w:t>
      </w:r>
    </w:p>
    <w:p w:rsidR="00D43808" w:rsidRPr="00DD5DF2" w:rsidP="00D43808" w14:paraId="6F9BB9FD" w14:textId="68626C06">
      <w:pPr>
        <w:ind w:left="720"/>
        <w:rPr>
          <w:rFonts w:ascii="Times New Roman" w:hAnsi="Times New Roman"/>
          <w:b/>
          <w:sz w:val="24"/>
        </w:rPr>
      </w:pPr>
      <w:r w:rsidRPr="355707A0">
        <w:rPr>
          <w:rFonts w:ascii="Times New Roman" w:hAnsi="Times New Roman"/>
          <w:b/>
          <w:bCs/>
          <w:sz w:val="24"/>
        </w:rPr>
        <w:t>EPA Response</w:t>
      </w:r>
      <w:r>
        <w:rPr>
          <w:rFonts w:ascii="Times New Roman" w:hAnsi="Times New Roman"/>
          <w:b/>
          <w:bCs/>
          <w:sz w:val="24"/>
        </w:rPr>
        <w:t xml:space="preserve">: </w:t>
      </w:r>
      <w:r w:rsidRPr="00FD1566">
        <w:rPr>
          <w:rFonts w:ascii="Times New Roman" w:hAnsi="Times New Roman"/>
          <w:color w:val="000000" w:themeColor="text1"/>
          <w:sz w:val="24"/>
        </w:rPr>
        <w:t>In response to the comments that the requirement will discourage facilities from considering recommendations and identifying unmitigated hazards, EPA notes that the hazard evaluation requirement</w:t>
      </w:r>
      <w:r w:rsidRPr="007653E3">
        <w:rPr>
          <w:rFonts w:ascii="Times New Roman" w:hAnsi="Times New Roman"/>
          <w:color w:val="000000" w:themeColor="text1"/>
          <w:sz w:val="24"/>
        </w:rPr>
        <w:t>s</w:t>
      </w:r>
      <w:r w:rsidRPr="00FD1566">
        <w:rPr>
          <w:rFonts w:ascii="Times New Roman" w:hAnsi="Times New Roman"/>
          <w:color w:val="000000" w:themeColor="text1"/>
          <w:sz w:val="24"/>
        </w:rPr>
        <w:t xml:space="preserve"> for Program 2 (</w:t>
      </w:r>
      <w:r w:rsidRPr="007653E3">
        <w:rPr>
          <w:rFonts w:ascii="Times New Roman" w:hAnsi="Times New Roman"/>
          <w:color w:val="000000" w:themeColor="text1"/>
          <w:sz w:val="24"/>
        </w:rPr>
        <w:t xml:space="preserve">40 CFR </w:t>
      </w:r>
      <w:r w:rsidRPr="00FD1566">
        <w:rPr>
          <w:rFonts w:ascii="Times New Roman" w:hAnsi="Times New Roman"/>
          <w:color w:val="000000" w:themeColor="text1"/>
          <w:sz w:val="24"/>
        </w:rPr>
        <w:t>68.50) and Program 3 (</w:t>
      </w:r>
      <w:r w:rsidRPr="007653E3">
        <w:rPr>
          <w:rFonts w:ascii="Times New Roman" w:hAnsi="Times New Roman"/>
          <w:color w:val="000000" w:themeColor="text1"/>
          <w:sz w:val="24"/>
        </w:rPr>
        <w:t xml:space="preserve">40 CFR </w:t>
      </w:r>
      <w:r w:rsidRPr="00FD1566">
        <w:rPr>
          <w:rFonts w:ascii="Times New Roman" w:hAnsi="Times New Roman"/>
          <w:color w:val="000000" w:themeColor="text1"/>
          <w:sz w:val="24"/>
        </w:rPr>
        <w:t>68.67) processes remain unchanged – to identify, evaluate, and control hazards involved in the process, assuring the recommendations are resolved in a timely manner. When facilities fail to conduct these activities, they will not be in compliance with the hazard evaluation provisions. EPA believes the flexibility permitted in hazards evaluations, that is, allowing facility owners and operators to choose which recommendations will be implemented, is the best approach for exercising reasonable judgement to determine what risk reduction measures work best for their particular chemical use, process</w:t>
      </w:r>
      <w:r w:rsidRPr="00FD1566">
        <w:rPr>
          <w:rFonts w:ascii="Times New Roman" w:hAnsi="Times New Roman"/>
          <w:color w:val="0078D4"/>
          <w:sz w:val="24"/>
          <w:u w:val="single"/>
        </w:rPr>
        <w:t>,</w:t>
      </w:r>
      <w:r w:rsidRPr="00FD1566">
        <w:rPr>
          <w:rFonts w:ascii="Times New Roman" w:hAnsi="Times New Roman"/>
          <w:color w:val="000000" w:themeColor="text1"/>
          <w:sz w:val="24"/>
        </w:rPr>
        <w:t xml:space="preserve"> or facility. </w:t>
      </w:r>
      <w:r w:rsidRPr="500AAB84" w:rsidR="1F75572D">
        <w:rPr>
          <w:rFonts w:ascii="Times New Roman" w:hAnsi="Times New Roman"/>
          <w:color w:val="000000" w:themeColor="text1"/>
          <w:sz w:val="24"/>
        </w:rPr>
        <w:t>The exercise of explaining the rationale for declining recommendations</w:t>
      </w:r>
      <w:r w:rsidRPr="500AAB84">
        <w:rPr>
          <w:rFonts w:ascii="Times New Roman" w:hAnsi="Times New Roman"/>
          <w:color w:val="000000" w:themeColor="text1"/>
          <w:sz w:val="24"/>
        </w:rPr>
        <w:t xml:space="preserve"> </w:t>
      </w:r>
      <w:r w:rsidRPr="500AAB84" w:rsidR="26D98271">
        <w:rPr>
          <w:rFonts w:ascii="Times New Roman" w:hAnsi="Times New Roman"/>
          <w:color w:val="000000" w:themeColor="text1"/>
          <w:sz w:val="24"/>
        </w:rPr>
        <w:t xml:space="preserve">will help assure the decisions are reasonable. </w:t>
      </w:r>
      <w:r w:rsidRPr="00FD1566">
        <w:rPr>
          <w:rFonts w:ascii="Times New Roman" w:hAnsi="Times New Roman"/>
          <w:color w:val="000000" w:themeColor="text1"/>
          <w:sz w:val="24"/>
        </w:rPr>
        <w:t>However, EPA views choosing to leave hazards unaddressed out of fear of public scrutiny as not exercising reasonable judgement, particularly when it may leave the process more vulnerable to accidental releases.</w:t>
      </w:r>
      <w:r>
        <w:rPr>
          <w:color w:val="000000" w:themeColor="text1"/>
        </w:rPr>
        <w:t xml:space="preserve"> </w:t>
      </w:r>
    </w:p>
    <w:p w:rsidR="00CD40C5" w:rsidRPr="00CD40C5" w:rsidP="00CD40C5" w14:paraId="6C025B72" w14:textId="5598105F">
      <w:pPr>
        <w:rPr>
          <w:rFonts w:ascii="Times New Roman" w:hAnsi="Times New Roman"/>
          <w:color w:val="000000" w:themeColor="text1"/>
          <w:sz w:val="24"/>
        </w:rPr>
      </w:pPr>
      <w:r w:rsidRPr="00CD40C5">
        <w:rPr>
          <w:rFonts w:ascii="Times New Roman" w:hAnsi="Times New Roman"/>
          <w:b/>
          <w:bCs/>
          <w:color w:val="000000" w:themeColor="text1"/>
          <w:sz w:val="24"/>
        </w:rPr>
        <w:t>Comment 5.1-06:</w:t>
      </w:r>
      <w:r w:rsidRPr="00CD40C5">
        <w:rPr>
          <w:rFonts w:ascii="Times New Roman" w:hAnsi="Times New Roman"/>
          <w:color w:val="000000" w:themeColor="text1"/>
          <w:sz w:val="24"/>
        </w:rPr>
        <w:t xml:space="preserve"> One commenter stated that the following elements in Sections 7 and 8 related to the PHA and hazard review pose a potential security risk: major hazards identified, process controls, mitigation systems in use, monitoring detection systems in place, and changes made since the last PHA or hazard review. The commenter stated that these elements provide too much insight into facility design, operation, and mitigation strategies that can be potentially exploited. The commenter also stated that specific information regarding security threats is held by DHS, and providing documented security threats, or security risks from prior incidents or near misses, provides a road map for bad actors and propagates future security threats (0238).</w:t>
      </w:r>
    </w:p>
    <w:p w:rsidR="00CD40C5" w:rsidRPr="00CD40C5" w:rsidP="00B16E96" w14:paraId="4C7CD4F3" w14:textId="2F3ED9AD">
      <w:pPr>
        <w:ind w:left="720"/>
        <w:rPr>
          <w:rFonts w:ascii="Times New Roman" w:hAnsi="Times New Roman"/>
          <w:b/>
          <w:sz w:val="24"/>
        </w:rPr>
      </w:pPr>
      <w:r w:rsidRPr="00B16E96">
        <w:rPr>
          <w:rFonts w:ascii="Times New Roman" w:hAnsi="Times New Roman"/>
          <w:b/>
          <w:sz w:val="24"/>
        </w:rPr>
        <w:t>EPA Response:</w:t>
      </w:r>
      <w:r w:rsidRPr="00CD40C5">
        <w:rPr>
          <w:rFonts w:ascii="Times New Roman" w:hAnsi="Times New Roman"/>
          <w:b/>
          <w:sz w:val="24"/>
        </w:rPr>
        <w:t xml:space="preserve"> </w:t>
      </w:r>
      <w:r w:rsidRPr="00B16E96" w:rsidR="005B7411">
        <w:rPr>
          <w:rFonts w:ascii="Times New Roman" w:hAnsi="Times New Roman"/>
          <w:bCs/>
          <w:sz w:val="24"/>
        </w:rPr>
        <w:t>T</w:t>
      </w:r>
      <w:r w:rsidRPr="00B16E96" w:rsidR="00C15027">
        <w:rPr>
          <w:rFonts w:ascii="Times New Roman" w:hAnsi="Times New Roman"/>
          <w:bCs/>
          <w:sz w:val="24"/>
        </w:rPr>
        <w:t xml:space="preserve">he RMP rule already requires </w:t>
      </w:r>
      <w:r w:rsidRPr="00B16E96" w:rsidR="00726DE5">
        <w:rPr>
          <w:rFonts w:ascii="Times New Roman" w:hAnsi="Times New Roman"/>
          <w:bCs/>
          <w:sz w:val="24"/>
        </w:rPr>
        <w:t>regulated facilities to</w:t>
      </w:r>
      <w:r w:rsidR="003820AC">
        <w:rPr>
          <w:rFonts w:ascii="Times New Roman" w:hAnsi="Times New Roman"/>
          <w:bCs/>
          <w:sz w:val="24"/>
        </w:rPr>
        <w:t xml:space="preserve"> provide in the RMP</w:t>
      </w:r>
      <w:r w:rsidR="0083621A">
        <w:rPr>
          <w:rFonts w:ascii="Times New Roman" w:hAnsi="Times New Roman"/>
          <w:bCs/>
          <w:sz w:val="24"/>
        </w:rPr>
        <w:t xml:space="preserve">, specific information that </w:t>
      </w:r>
      <w:r w:rsidR="00776F7E">
        <w:rPr>
          <w:rFonts w:ascii="Times New Roman" w:hAnsi="Times New Roman"/>
          <w:bCs/>
          <w:sz w:val="24"/>
        </w:rPr>
        <w:t>applies</w:t>
      </w:r>
      <w:r w:rsidR="0083621A">
        <w:rPr>
          <w:rFonts w:ascii="Times New Roman" w:hAnsi="Times New Roman"/>
          <w:bCs/>
          <w:sz w:val="24"/>
        </w:rPr>
        <w:t xml:space="preserve"> to their hazard </w:t>
      </w:r>
      <w:r w:rsidR="00776F7E">
        <w:rPr>
          <w:rFonts w:ascii="Times New Roman" w:hAnsi="Times New Roman"/>
          <w:bCs/>
          <w:sz w:val="24"/>
        </w:rPr>
        <w:t>evaluation. This information includes t</w:t>
      </w:r>
      <w:r w:rsidRPr="00B16E96" w:rsidR="00B16E96">
        <w:rPr>
          <w:rFonts w:ascii="Times New Roman" w:hAnsi="Times New Roman"/>
          <w:bCs/>
          <w:sz w:val="24"/>
        </w:rPr>
        <w:t>he expected date of completion of any changes resulting from the hazard review;</w:t>
      </w:r>
      <w:r w:rsidR="00776F7E">
        <w:rPr>
          <w:rFonts w:ascii="Times New Roman" w:hAnsi="Times New Roman"/>
          <w:bCs/>
          <w:sz w:val="24"/>
        </w:rPr>
        <w:t xml:space="preserve"> m</w:t>
      </w:r>
      <w:r w:rsidRPr="00B16E96" w:rsidR="00B16E96">
        <w:rPr>
          <w:rFonts w:ascii="Times New Roman" w:hAnsi="Times New Roman"/>
          <w:bCs/>
          <w:sz w:val="24"/>
        </w:rPr>
        <w:t xml:space="preserve">ajor hazards identified; </w:t>
      </w:r>
      <w:r w:rsidR="00776F7E">
        <w:rPr>
          <w:rFonts w:ascii="Times New Roman" w:hAnsi="Times New Roman"/>
          <w:bCs/>
          <w:sz w:val="24"/>
        </w:rPr>
        <w:t>p</w:t>
      </w:r>
      <w:r w:rsidRPr="00B16E96" w:rsidR="00B16E96">
        <w:rPr>
          <w:rFonts w:ascii="Times New Roman" w:hAnsi="Times New Roman"/>
          <w:bCs/>
          <w:sz w:val="24"/>
        </w:rPr>
        <w:t xml:space="preserve">rocess controls in use; </w:t>
      </w:r>
      <w:r w:rsidR="00776F7E">
        <w:rPr>
          <w:rFonts w:ascii="Times New Roman" w:hAnsi="Times New Roman"/>
          <w:bCs/>
          <w:sz w:val="24"/>
        </w:rPr>
        <w:t>m</w:t>
      </w:r>
      <w:r w:rsidRPr="00B16E96" w:rsidR="00B16E96">
        <w:rPr>
          <w:rFonts w:ascii="Times New Roman" w:hAnsi="Times New Roman"/>
          <w:bCs/>
          <w:sz w:val="24"/>
        </w:rPr>
        <w:t xml:space="preserve">itigation systems in use; (5) </w:t>
      </w:r>
      <w:r w:rsidR="00776F7E">
        <w:rPr>
          <w:rFonts w:ascii="Times New Roman" w:hAnsi="Times New Roman"/>
          <w:bCs/>
          <w:sz w:val="24"/>
        </w:rPr>
        <w:t>mo</w:t>
      </w:r>
      <w:r w:rsidRPr="00B16E96" w:rsidR="00B16E96">
        <w:rPr>
          <w:rFonts w:ascii="Times New Roman" w:hAnsi="Times New Roman"/>
          <w:bCs/>
          <w:sz w:val="24"/>
        </w:rPr>
        <w:t xml:space="preserve">nitoring and detection systems in use; and (6) </w:t>
      </w:r>
      <w:r w:rsidR="00776F7E">
        <w:rPr>
          <w:rFonts w:ascii="Times New Roman" w:hAnsi="Times New Roman"/>
          <w:bCs/>
          <w:sz w:val="24"/>
        </w:rPr>
        <w:t>c</w:t>
      </w:r>
      <w:r w:rsidRPr="00B16E96" w:rsidR="00B16E96">
        <w:rPr>
          <w:rFonts w:ascii="Times New Roman" w:hAnsi="Times New Roman"/>
          <w:bCs/>
          <w:sz w:val="24"/>
        </w:rPr>
        <w:t>hanges since the last hazard review.</w:t>
      </w:r>
      <w:r w:rsidR="00776F7E">
        <w:rPr>
          <w:rFonts w:ascii="Times New Roman" w:hAnsi="Times New Roman"/>
          <w:bCs/>
          <w:sz w:val="24"/>
        </w:rPr>
        <w:t xml:space="preserve"> As </w:t>
      </w:r>
      <w:r w:rsidR="006A463F">
        <w:rPr>
          <w:rFonts w:ascii="Times New Roman" w:hAnsi="Times New Roman"/>
          <w:bCs/>
          <w:sz w:val="24"/>
        </w:rPr>
        <w:t xml:space="preserve">no </w:t>
      </w:r>
      <w:r w:rsidR="00776F7E">
        <w:rPr>
          <w:rFonts w:ascii="Times New Roman" w:hAnsi="Times New Roman"/>
          <w:bCs/>
          <w:sz w:val="24"/>
        </w:rPr>
        <w:t xml:space="preserve">changes to these reported data elements were proposed, comments specific to these elements are outside the scope of this rulemaking. </w:t>
      </w:r>
    </w:p>
    <w:p w:rsidR="00276E1C" w:rsidRPr="002246AF" w:rsidP="00276E1C" w14:paraId="21479545" w14:textId="77777777">
      <w:pPr>
        <w:ind w:left="720"/>
        <w:rPr>
          <w:rFonts w:ascii="Times New Roman" w:eastAsia="MS Mincho" w:hAnsi="Times New Roman"/>
          <w:sz w:val="24"/>
        </w:rPr>
      </w:pPr>
      <w:r w:rsidRPr="002246AF">
        <w:rPr>
          <w:rFonts w:ascii="Times New Roman" w:hAnsi="Times New Roman"/>
          <w:sz w:val="24"/>
        </w:rPr>
        <w:t>EPA did however propose</w:t>
      </w:r>
      <w:r w:rsidRPr="002246AF">
        <w:rPr>
          <w:rFonts w:ascii="Times New Roman" w:hAnsi="Times New Roman"/>
          <w:sz w:val="24"/>
        </w:rPr>
        <w:t xml:space="preserve"> to require that risk management plans under 40 CFR 68.170(e)(7) and 68.175(e)(8) include declined </w:t>
      </w:r>
      <w:bookmarkStart w:id="57" w:name="_Hlk138167663"/>
      <w:r w:rsidRPr="002246AF">
        <w:rPr>
          <w:rFonts w:ascii="Times New Roman" w:hAnsi="Times New Roman"/>
          <w:sz w:val="24"/>
        </w:rPr>
        <w:t>natural hazard, power loss, and siting</w:t>
      </w:r>
      <w:bookmarkEnd w:id="57"/>
      <w:r w:rsidRPr="002246AF">
        <w:rPr>
          <w:rFonts w:ascii="Times New Roman" w:hAnsi="Times New Roman"/>
          <w:sz w:val="24"/>
        </w:rPr>
        <w:t xml:space="preserve"> hazard evaluation recommendations and their associated justifications. In addition to the proposed approach, EPA requested comment on whether the Agency should require declined natural hazard, power loss, and siting hazard evaluation recommendations to be included in narrative form and whether the Agency should provide specific categories of recommendations for facilities to choose from when reporting or allowing the owner or operator to post this information online and provide a link to their information within their submitted RMP. Further, EPA requested comment on methods to provide justification for declining relevant hazard evaluation recommendations.</w:t>
      </w:r>
    </w:p>
    <w:p w:rsidR="00B95CA4" w:rsidRPr="002246AF" w:rsidP="00B95CA4" w14:paraId="36E638DF" w14:textId="5A243BD5">
      <w:pPr>
        <w:ind w:left="720"/>
        <w:rPr>
          <w:rFonts w:ascii="Times New Roman" w:hAnsi="Times New Roman"/>
          <w:b/>
          <w:sz w:val="24"/>
        </w:rPr>
      </w:pPr>
      <w:r w:rsidRPr="002246AF">
        <w:rPr>
          <w:rFonts w:ascii="Times New Roman" w:hAnsi="Times New Roman"/>
          <w:sz w:val="24"/>
        </w:rPr>
        <w:t xml:space="preserve">EPA </w:t>
      </w:r>
      <w:r w:rsidRPr="002246AF" w:rsidR="002246AF">
        <w:rPr>
          <w:rFonts w:ascii="Times New Roman" w:hAnsi="Times New Roman"/>
          <w:sz w:val="24"/>
        </w:rPr>
        <w:t>believes</w:t>
      </w:r>
      <w:r w:rsidRPr="002246AF">
        <w:rPr>
          <w:rFonts w:ascii="Times New Roman" w:hAnsi="Times New Roman"/>
          <w:sz w:val="24"/>
        </w:rPr>
        <w:t xml:space="preserve"> that requiring owners and operators to choose one of four pre-selected categories makes it easier for owners and operators to understand and comply with their duties and is thus finalizing this component in the rule. EPA is not requiring narrative explanations to be reported as there is concern that such explanations may be greatly inconsistent as they would require large amounts of technically challenging and varying information to be comparably condensed. The Agency believes the four pre-selected categories ensures a balanced approach to providing beneficial data to the public as well as a straightforward method of reporting for facility owners/operators.</w:t>
      </w:r>
    </w:p>
    <w:p w:rsidR="00D43808" w:rsidRPr="00455B6F" w:rsidP="00D43808" w14:paraId="443B0C15" w14:textId="77777777">
      <w:pPr>
        <w:rPr>
          <w:rFonts w:ascii="Times New Roman" w:hAnsi="Times New Roman"/>
          <w:i/>
          <w:iCs/>
          <w:sz w:val="24"/>
        </w:rPr>
      </w:pPr>
      <w:r>
        <w:rPr>
          <w:rFonts w:ascii="Times New Roman" w:hAnsi="Times New Roman"/>
          <w:i/>
          <w:iCs/>
          <w:sz w:val="24"/>
        </w:rPr>
        <w:t>Comments on the availability of information to the public</w:t>
      </w:r>
    </w:p>
    <w:p w:rsidR="00D43808" w:rsidP="00D43808" w14:paraId="284B59AC" w14:textId="316B2AA0">
      <w:pPr>
        <w:rPr>
          <w:rFonts w:ascii="Times New Roman" w:hAnsi="Times New Roman"/>
          <w:b/>
          <w:bCs/>
          <w:sz w:val="24"/>
        </w:rPr>
      </w:pPr>
      <w:r>
        <w:rPr>
          <w:rFonts w:ascii="Times New Roman" w:hAnsi="Times New Roman"/>
          <w:b/>
          <w:bCs/>
          <w:sz w:val="24"/>
        </w:rPr>
        <w:t>Comment 5.1-0</w:t>
      </w:r>
      <w:r w:rsidR="00FB4184">
        <w:rPr>
          <w:rFonts w:ascii="Times New Roman" w:hAnsi="Times New Roman"/>
          <w:b/>
          <w:bCs/>
          <w:sz w:val="24"/>
        </w:rPr>
        <w:t>7</w:t>
      </w:r>
      <w:r>
        <w:rPr>
          <w:rFonts w:ascii="Times New Roman" w:hAnsi="Times New Roman"/>
          <w:b/>
          <w:bCs/>
          <w:sz w:val="24"/>
        </w:rPr>
        <w:t xml:space="preserve">: </w:t>
      </w:r>
      <w:r w:rsidRPr="006F68E9">
        <w:rPr>
          <w:rFonts w:ascii="Times New Roman" w:hAnsi="Times New Roman"/>
          <w:sz w:val="24"/>
        </w:rPr>
        <w:t xml:space="preserve">Several commenters </w:t>
      </w:r>
      <w:r w:rsidRPr="001860D7">
        <w:rPr>
          <w:rFonts w:ascii="Times New Roman" w:hAnsi="Times New Roman"/>
          <w:sz w:val="24"/>
        </w:rPr>
        <w:t>expressed concerns about availability of hazard evaluation information to the public</w:t>
      </w:r>
      <w:r>
        <w:rPr>
          <w:rFonts w:ascii="Times New Roman" w:hAnsi="Times New Roman"/>
          <w:sz w:val="24"/>
        </w:rPr>
        <w:t>, as described below</w:t>
      </w:r>
      <w:r w:rsidRPr="001860D7">
        <w:rPr>
          <w:rFonts w:ascii="Times New Roman" w:hAnsi="Times New Roman"/>
          <w:sz w:val="24"/>
        </w:rPr>
        <w:t>.</w:t>
      </w:r>
      <w:r>
        <w:rPr>
          <w:rFonts w:ascii="Times New Roman" w:hAnsi="Times New Roman"/>
          <w:b/>
          <w:bCs/>
          <w:sz w:val="24"/>
        </w:rPr>
        <w:t xml:space="preserve"> </w:t>
      </w:r>
    </w:p>
    <w:p w:rsidR="00D43808" w:rsidP="00D43808" w14:paraId="6DBBDF5E" w14:textId="4B046AF5">
      <w:pPr>
        <w:rPr>
          <w:rFonts w:ascii="Times New Roman" w:hAnsi="Times New Roman"/>
          <w:sz w:val="24"/>
        </w:rPr>
      </w:pPr>
      <w:r>
        <w:rPr>
          <w:rFonts w:ascii="Times New Roman" w:hAnsi="Times New Roman"/>
          <w:sz w:val="24"/>
        </w:rPr>
        <w:t>A few</w:t>
      </w:r>
      <w:r w:rsidRPr="006F68E9">
        <w:rPr>
          <w:rFonts w:ascii="Times New Roman" w:hAnsi="Times New Roman"/>
          <w:sz w:val="24"/>
        </w:rPr>
        <w:t xml:space="preserve"> commenters noted that process hazard analyses (PHAs) and hazard review are highly technical and complicated internal documents that can be easily misconstrued by the public (0184, 0210, 0233, 0237). A couple of commenters mentioned that sharing such information with the public could open facilities to unnecessary liability and create security vulnerabilities, particularly for chemicals of interest to DHS (0184, 0237). One commenter mentioned that EPA provided no evidence that public access to lists of declined hazard evaluations will in any way aid in improving facility safety (0233).</w:t>
      </w:r>
    </w:p>
    <w:p w:rsidR="00D43808" w:rsidRPr="001860D7" w:rsidP="00D43808" w14:paraId="5B7508B7" w14:textId="03880669">
      <w:pPr>
        <w:rPr>
          <w:rFonts w:ascii="Times New Roman" w:hAnsi="Times New Roman"/>
          <w:b/>
          <w:sz w:val="24"/>
        </w:rPr>
      </w:pPr>
      <w:r>
        <w:rPr>
          <w:rFonts w:ascii="Times New Roman" w:hAnsi="Times New Roman"/>
          <w:sz w:val="24"/>
        </w:rPr>
        <w:t>One commenter</w:t>
      </w:r>
      <w:r w:rsidRPr="006F68E9">
        <w:rPr>
          <w:rFonts w:ascii="Times New Roman" w:hAnsi="Times New Roman"/>
          <w:sz w:val="24"/>
        </w:rPr>
        <w:t xml:space="preserve"> expressed concern that the disclosure of whether to accept or reject a safety program would ultimately affect the facility’s discretion over how best to handle safety on its worksite. The commenter suggested that posting this information online or in the RMP would conflict with Congressional intent to protect this information </w:t>
      </w:r>
      <w:r>
        <w:rPr>
          <w:rFonts w:ascii="Times New Roman" w:hAnsi="Times New Roman"/>
          <w:sz w:val="24"/>
        </w:rPr>
        <w:t>by</w:t>
      </w:r>
      <w:r w:rsidRPr="006F68E9">
        <w:rPr>
          <w:rFonts w:ascii="Times New Roman" w:hAnsi="Times New Roman"/>
          <w:sz w:val="24"/>
        </w:rPr>
        <w:t xml:space="preserve"> revealing to the public security-related information (0215).</w:t>
      </w:r>
    </w:p>
    <w:p w:rsidR="00D43808" w:rsidRPr="006F68E9" w:rsidP="00D43808" w14:paraId="33DC4027"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their member companies continuously engage with the communities in which they operate and provide information to the community about various aspects of their business operations and receive feedback from the community. The commenter stated that this approach allows for increased levels of understanding by all parties, without the risk that the public will misunderstand a rejected recommendation (0262).</w:t>
      </w:r>
    </w:p>
    <w:p w:rsidR="00D43808" w:rsidP="00D43808" w14:paraId="2395F2AF" w14:textId="77777777">
      <w:pPr>
        <w:rPr>
          <w:rFonts w:ascii="Times New Roman" w:hAnsi="Times New Roman"/>
          <w:sz w:val="24"/>
        </w:rPr>
      </w:pPr>
      <w:r w:rsidRPr="006F68E9">
        <w:rPr>
          <w:rFonts w:ascii="Times New Roman" w:hAnsi="Times New Roman"/>
          <w:sz w:val="24"/>
        </w:rPr>
        <w:t xml:space="preserve">A few commenters recommended that the information be made available to first responders and LEPCs upon request, but not made generally available (0165, 0184, 0237). </w:t>
      </w:r>
    </w:p>
    <w:p w:rsidR="00DE26E0" w:rsidRPr="00B21640" w:rsidP="00B21640" w14:paraId="6008D6C8" w14:textId="537B86F7">
      <w:pPr>
        <w:pStyle w:val="pf0"/>
        <w:spacing w:before="120" w:beforeAutospacing="0" w:after="120" w:afterAutospacing="0"/>
        <w:ind w:left="720"/>
      </w:pPr>
      <w:r w:rsidRPr="00AE5BF2">
        <w:rPr>
          <w:b/>
          <w:bCs/>
        </w:rPr>
        <w:t>EPA Response</w:t>
      </w:r>
      <w:r w:rsidR="00910B93">
        <w:rPr>
          <w:b/>
          <w:bCs/>
        </w:rPr>
        <w:t xml:space="preserve">: </w:t>
      </w:r>
      <w:r w:rsidRPr="005C2215" w:rsidR="00910B93">
        <w:t>T</w:t>
      </w:r>
      <w:r w:rsidRPr="00910B93" w:rsidR="00910B93">
        <w:t xml:space="preserve">he final rule will require owners and operators to choose one of four pre-selected categories to make it easier for owners and operators to understand and comply with their duties. EPA is not requiring narrative explanations to be reported as there is concern that such explanations may be greatly inconsistent as they would require large amounts of technically challenging and varying information to be comparably condensed. </w:t>
      </w:r>
      <w:bookmarkStart w:id="58" w:name="_Hlk148440196"/>
      <w:r w:rsidRPr="00910B93" w:rsidR="00910B93">
        <w:t>The Agency believes the four pre-selected categories ensures a balanced approach to providing beneficial data to the public</w:t>
      </w:r>
      <w:r w:rsidR="0012215E">
        <w:t xml:space="preserve">, allowing </w:t>
      </w:r>
      <w:r w:rsidRPr="00910B93" w:rsidR="00910B93">
        <w:t>a straightforward method of reporting for facility owners/operators</w:t>
      </w:r>
      <w:r w:rsidR="008B03E2">
        <w:t xml:space="preserve">, as well as </w:t>
      </w:r>
      <w:r w:rsidR="00AE5BF2">
        <w:t>reducing</w:t>
      </w:r>
      <w:r w:rsidR="008B03E2">
        <w:t xml:space="preserve"> security </w:t>
      </w:r>
      <w:r w:rsidR="00AE5BF2">
        <w:t>related concerns</w:t>
      </w:r>
      <w:r w:rsidRPr="00910B93" w:rsidR="00910B93">
        <w:t>.</w:t>
      </w:r>
      <w:bookmarkEnd w:id="58"/>
    </w:p>
    <w:p w:rsidR="0072614A" w:rsidP="00B21640" w14:paraId="1D68EA32" w14:textId="55E3DC53">
      <w:pPr>
        <w:pStyle w:val="pf0"/>
        <w:spacing w:before="120" w:beforeAutospacing="0" w:after="120" w:afterAutospacing="0"/>
        <w:ind w:left="720"/>
      </w:pPr>
      <w:r w:rsidRPr="008A4AC6">
        <w:t xml:space="preserve">EPA believes the flexibility permitted in hazards evaluations, that is, allowing facility owners and operators to choose which recommendations will be implemented, is the best approach for exercising reasonable judgement to determine what risk reduction measures work best for their particular chemical use, process, or facility. However, EPA views choosing to leave hazards unaddressed out of fear of public scrutiny as not exercising reasonable judgement, particularly when it may leave the process more vulnerable to accidental releases.   </w:t>
      </w:r>
    </w:p>
    <w:p w:rsidR="00DE26E0" w:rsidP="00B21640" w14:paraId="6F18F7F2" w14:textId="0C93CE95">
      <w:pPr>
        <w:pStyle w:val="pf0"/>
        <w:spacing w:before="120" w:beforeAutospacing="0" w:after="120" w:afterAutospacing="0"/>
        <w:ind w:left="720"/>
      </w:pPr>
      <w:r w:rsidRPr="005B6E48">
        <w:t>EPA believes the requirements are important to help the public understand how facilities address the hazards that may affect their community to keep the risk at or below an “acceptable level,” which include adherence to RAGAGEP, and the reasonable judgments and efforts of compliance programs aimed at preventing or mitigating accidental releases. EPA believes that when local citizens have adequate information and knowledge about the risks associated with facility hazards, facility owners and operators may be motivated to further improve their safety performance in response to community oversight. At a minimum, better community understanding of identified hazards and remedies not implemented will promote better community emergency planning.</w:t>
      </w:r>
    </w:p>
    <w:p w:rsidR="00431CC4" w:rsidRPr="005B6E48" w:rsidP="00B21640" w14:paraId="7125E853" w14:textId="046D49A8">
      <w:pPr>
        <w:pStyle w:val="pf0"/>
        <w:spacing w:before="120" w:beforeAutospacing="0" w:after="120" w:afterAutospacing="0"/>
        <w:ind w:left="720"/>
      </w:pPr>
      <w:r>
        <w:t xml:space="preserve">Lastly, </w:t>
      </w:r>
      <w:r w:rsidR="00BE656C">
        <w:t xml:space="preserve">EPA disagrees that information relating to declined recommendations from </w:t>
      </w:r>
      <w:r w:rsidR="00927F6B">
        <w:t xml:space="preserve">hazard evaluations create security </w:t>
      </w:r>
      <w:r w:rsidR="00193D45">
        <w:t>vulnerabilities</w:t>
      </w:r>
      <w:r w:rsidR="00927F6B">
        <w:t xml:space="preserve"> </w:t>
      </w:r>
      <w:r w:rsidR="00193D45">
        <w:t>or conflict with Congressional intent to protect information. T</w:t>
      </w:r>
      <w:r w:rsidRPr="00431CC4">
        <w:t xml:space="preserve">he information disclosures that will be required by the final rule are fully consistent with the statutes and regulatory programs </w:t>
      </w:r>
      <w:r w:rsidR="00D06AFD">
        <w:t xml:space="preserve">that address security </w:t>
      </w:r>
      <w:r w:rsidR="003A72ED">
        <w:t>vulnerabilities</w:t>
      </w:r>
      <w:r w:rsidRPr="00431CC4">
        <w:t xml:space="preserve">. CSISSFRRA specified that portions of RMPs containing “offsite consequence analysis information” (OCA Information), any electronic data base created from those portions, and any statewide or national ranking derived from such information is subject to restrictions on disclosure (CAA 112(r)(7)(H)(i)(III) and 112(r)(7)(H)(v)). </w:t>
      </w:r>
      <w:r w:rsidRPr="00431CC4">
        <w:t xml:space="preserve">Regulations promulgated jointly by EPA and the Department of Justice further define OCA Information in 40 CFR 1400.2(j). The final rule will not require disclosure of release scenarios or rankings based on such scenarios, nor will it make available any information based on such scenarios. The CIIA restricts information “not customarily in the public domain.” CFATS creates a category of information, Chemical-terrorism Vulnerability Information (CVI), which further restricts certain information generated to implement CFATS (see 6 CFR 27.400). In promulgating CFATS, DHS announced its intent to preserve Federal release disclosure, emergency planning, and accident prevention statutes, including EPCRA and CAA 112(r) (72 </w:t>
      </w:r>
      <w:r w:rsidR="00EA75C9">
        <w:t>FR</w:t>
      </w:r>
      <w:r w:rsidRPr="00431CC4">
        <w:t xml:space="preserve"> 17714, April 9, 2007). The information that will be required to be disclosed by this rule largely draws on information otherwise in the public domain and simplifies the public’s access to it.</w:t>
      </w:r>
      <w:r w:rsidR="00FB74AB">
        <w:t xml:space="preserve"> It is important to also note that </w:t>
      </w:r>
      <w:r w:rsidRPr="00FB74AB" w:rsidR="00FB74AB">
        <w:t>EPA worked closely with Federal partners, including the DHS and the Federal Bureau of Investigation (FBI), to develop information availability requirements that strike a balance between security concerns and the need for sharing chemical hazard information with the public.</w:t>
      </w:r>
    </w:p>
    <w:p w:rsidR="00D43808" w:rsidRPr="003F319C" w:rsidP="00D43808" w14:paraId="7432C375" w14:textId="77777777">
      <w:pPr>
        <w:rPr>
          <w:rFonts w:ascii="Times New Roman" w:hAnsi="Times New Roman"/>
          <w:i/>
          <w:sz w:val="24"/>
        </w:rPr>
      </w:pPr>
      <w:r>
        <w:rPr>
          <w:rFonts w:ascii="Times New Roman" w:hAnsi="Times New Roman"/>
          <w:i/>
          <w:iCs/>
          <w:sz w:val="24"/>
        </w:rPr>
        <w:t xml:space="preserve">Comments with requests for clarification or recommendations </w:t>
      </w:r>
    </w:p>
    <w:p w:rsidR="00D43808" w:rsidP="00D43808" w14:paraId="5A815776" w14:textId="2B674BD1">
      <w:pPr>
        <w:rPr>
          <w:rFonts w:ascii="Times New Roman" w:hAnsi="Times New Roman"/>
          <w:sz w:val="24"/>
        </w:rPr>
      </w:pPr>
      <w:r>
        <w:rPr>
          <w:rFonts w:ascii="Times New Roman" w:hAnsi="Times New Roman"/>
          <w:b/>
          <w:bCs/>
          <w:sz w:val="24"/>
        </w:rPr>
        <w:t>Comment 5.1-0</w:t>
      </w:r>
      <w:r w:rsidR="00FB4184">
        <w:rPr>
          <w:rFonts w:ascii="Times New Roman" w:hAnsi="Times New Roman"/>
          <w:b/>
          <w:bCs/>
          <w:sz w:val="24"/>
        </w:rPr>
        <w:t>8</w:t>
      </w:r>
      <w:r>
        <w:rPr>
          <w:rFonts w:ascii="Times New Roman" w:hAnsi="Times New Roman"/>
          <w:b/>
          <w:bCs/>
          <w:sz w:val="24"/>
        </w:rPr>
        <w:t xml:space="preserve">: </w:t>
      </w:r>
      <w:r w:rsidRPr="006F68E9">
        <w:rPr>
          <w:rFonts w:ascii="Times New Roman" w:hAnsi="Times New Roman"/>
          <w:sz w:val="24"/>
        </w:rPr>
        <w:t>One commenter requested clarification on the hazard evaluation recommendations. The commenter questioned whether the recommendations include all hazards related to natural hazards, loss of power, and facility siting currently at the facility and how the facility is actively or will address the recommendation; or will the recommendations only include gaps identified in the evaluation (0165).</w:t>
      </w:r>
    </w:p>
    <w:p w:rsidR="00D43808" w:rsidRPr="0019767B" w:rsidP="002D3608" w14:paraId="2F0542BA" w14:textId="751AD207">
      <w:pPr>
        <w:ind w:left="720"/>
        <w:rPr>
          <w:rFonts w:ascii="Times New Roman" w:hAnsi="Times New Roman"/>
          <w:b/>
          <w:bCs/>
          <w:sz w:val="24"/>
        </w:rPr>
      </w:pPr>
      <w:r w:rsidRPr="00850AE6">
        <w:rPr>
          <w:rFonts w:ascii="Times New Roman" w:hAnsi="Times New Roman"/>
          <w:b/>
          <w:bCs/>
          <w:sz w:val="24"/>
        </w:rPr>
        <w:t>EPA Response:</w:t>
      </w:r>
      <w:r w:rsidRPr="002D3608" w:rsidR="002D3608">
        <w:t xml:space="preserve"> </w:t>
      </w:r>
      <w:r w:rsidRPr="00850AE6" w:rsidR="00923DE4">
        <w:rPr>
          <w:rFonts w:ascii="Times New Roman" w:hAnsi="Times New Roman"/>
          <w:sz w:val="24"/>
        </w:rPr>
        <w:t>The requirement finalized in this rule will require o</w:t>
      </w:r>
      <w:r w:rsidRPr="00850AE6" w:rsidR="0030296D">
        <w:rPr>
          <w:rFonts w:ascii="Times New Roman" w:hAnsi="Times New Roman"/>
          <w:sz w:val="24"/>
        </w:rPr>
        <w:t xml:space="preserve">wners and operators to </w:t>
      </w:r>
      <w:r w:rsidRPr="00850AE6" w:rsidR="002D3608">
        <w:rPr>
          <w:rFonts w:ascii="Times New Roman" w:hAnsi="Times New Roman"/>
          <w:sz w:val="24"/>
        </w:rPr>
        <w:t xml:space="preserve">list in their risk management plans </w:t>
      </w:r>
      <w:r w:rsidRPr="00850AE6" w:rsidR="00791491">
        <w:rPr>
          <w:rFonts w:ascii="Times New Roman" w:hAnsi="Times New Roman"/>
          <w:sz w:val="24"/>
        </w:rPr>
        <w:t xml:space="preserve">only </w:t>
      </w:r>
      <w:r w:rsidRPr="00850AE6" w:rsidR="002D3608">
        <w:rPr>
          <w:rFonts w:ascii="Times New Roman" w:hAnsi="Times New Roman"/>
          <w:sz w:val="24"/>
        </w:rPr>
        <w:t xml:space="preserve">the recommendations from their natural hazard, loss of power, and siting </w:t>
      </w:r>
      <w:r w:rsidRPr="00850AE6" w:rsidR="00D1077B">
        <w:rPr>
          <w:rFonts w:ascii="Times New Roman" w:hAnsi="Times New Roman"/>
          <w:sz w:val="24"/>
        </w:rPr>
        <w:t xml:space="preserve">hazard </w:t>
      </w:r>
      <w:r w:rsidRPr="00850AE6" w:rsidR="002D3608">
        <w:rPr>
          <w:rFonts w:ascii="Times New Roman" w:hAnsi="Times New Roman"/>
          <w:sz w:val="24"/>
        </w:rPr>
        <w:t>evaluations that were not adopted and the justification for those decisions.</w:t>
      </w:r>
      <w:r w:rsidRPr="00850AE6" w:rsidR="0030296D">
        <w:rPr>
          <w:rFonts w:ascii="Times New Roman" w:hAnsi="Times New Roman"/>
          <w:sz w:val="24"/>
        </w:rPr>
        <w:t xml:space="preserve"> </w:t>
      </w:r>
      <w:r w:rsidRPr="00850AE6" w:rsidR="00015613">
        <w:rPr>
          <w:rFonts w:ascii="Times New Roman" w:hAnsi="Times New Roman"/>
          <w:sz w:val="24"/>
        </w:rPr>
        <w:t>However, EPA notes u</w:t>
      </w:r>
      <w:r w:rsidRPr="00850AE6" w:rsidR="00082323">
        <w:rPr>
          <w:rFonts w:ascii="Times New Roman" w:hAnsi="Times New Roman"/>
          <w:sz w:val="24"/>
        </w:rPr>
        <w:t>nder</w:t>
      </w:r>
      <w:r w:rsidRPr="00850AE6" w:rsidR="00962E59">
        <w:rPr>
          <w:rFonts w:ascii="Times New Roman" w:hAnsi="Times New Roman"/>
          <w:sz w:val="24"/>
        </w:rPr>
        <w:t xml:space="preserve"> 40 CFR</w:t>
      </w:r>
      <w:r w:rsidRPr="00850AE6" w:rsidR="00082323">
        <w:rPr>
          <w:rFonts w:ascii="Times New Roman" w:hAnsi="Times New Roman"/>
          <w:sz w:val="24"/>
        </w:rPr>
        <w:t xml:space="preserve"> 68.170</w:t>
      </w:r>
      <w:r w:rsidRPr="00850AE6" w:rsidR="00993B98">
        <w:rPr>
          <w:rFonts w:ascii="Times New Roman" w:hAnsi="Times New Roman"/>
          <w:sz w:val="24"/>
        </w:rPr>
        <w:t xml:space="preserve">(e)(2) and 68.175(e)(2) facilities have always been required to report </w:t>
      </w:r>
      <w:r w:rsidR="00887673">
        <w:rPr>
          <w:rFonts w:ascii="Times New Roman" w:hAnsi="Times New Roman"/>
          <w:sz w:val="24"/>
        </w:rPr>
        <w:t xml:space="preserve">in their RMP </w:t>
      </w:r>
      <w:r w:rsidRPr="00850AE6" w:rsidR="003F26CB">
        <w:rPr>
          <w:rFonts w:ascii="Times New Roman" w:hAnsi="Times New Roman"/>
          <w:sz w:val="24"/>
        </w:rPr>
        <w:t>major hazard identified in the most recent PHA.</w:t>
      </w:r>
      <w:r>
        <w:rPr>
          <w:rStyle w:val="FootnoteReference"/>
          <w:rFonts w:ascii="Times New Roman" w:hAnsi="Times New Roman"/>
          <w:sz w:val="24"/>
        </w:rPr>
        <w:footnoteReference w:id="75"/>
      </w:r>
      <w:r w:rsidRPr="00850AE6" w:rsidR="003F26CB">
        <w:rPr>
          <w:rFonts w:ascii="Times New Roman" w:hAnsi="Times New Roman"/>
          <w:sz w:val="24"/>
        </w:rPr>
        <w:t xml:space="preserve"> </w:t>
      </w:r>
    </w:p>
    <w:p w:rsidR="00D43808" w:rsidP="00D43808" w14:paraId="77DDB2E2" w14:textId="505C1D8D">
      <w:pPr>
        <w:rPr>
          <w:rFonts w:ascii="Times New Roman" w:hAnsi="Times New Roman"/>
          <w:sz w:val="24"/>
        </w:rPr>
      </w:pPr>
      <w:r>
        <w:rPr>
          <w:rFonts w:ascii="Times New Roman" w:hAnsi="Times New Roman"/>
          <w:b/>
          <w:bCs/>
          <w:sz w:val="24"/>
        </w:rPr>
        <w:t>Comment 5.1-0</w:t>
      </w:r>
      <w:r w:rsidR="00FB4184">
        <w:rPr>
          <w:rFonts w:ascii="Times New Roman" w:hAnsi="Times New Roman"/>
          <w:b/>
          <w:bCs/>
          <w:sz w:val="24"/>
        </w:rPr>
        <w:t>9</w:t>
      </w:r>
      <w:r>
        <w:rPr>
          <w:rFonts w:ascii="Times New Roman" w:hAnsi="Times New Roman"/>
          <w:b/>
          <w:bCs/>
          <w:sz w:val="24"/>
        </w:rPr>
        <w:t xml:space="preserve">: </w:t>
      </w:r>
      <w:r w:rsidRPr="006F68E9">
        <w:rPr>
          <w:rFonts w:ascii="Times New Roman" w:hAnsi="Times New Roman"/>
          <w:sz w:val="24"/>
        </w:rPr>
        <w:t xml:space="preserve">One commenter suggested that EPA coordinate hazard evaluations information availability requirements with OSHA (0215). </w:t>
      </w:r>
    </w:p>
    <w:p w:rsidR="00D43808" w:rsidRPr="00C363C8" w:rsidP="00BF2925" w14:paraId="04C50A29" w14:textId="07E42C73">
      <w:pPr>
        <w:ind w:left="720"/>
        <w:rPr>
          <w:rFonts w:ascii="Times New Roman" w:hAnsi="Times New Roman"/>
          <w:b/>
          <w:sz w:val="24"/>
        </w:rPr>
      </w:pPr>
      <w:r w:rsidRPr="00231845">
        <w:rPr>
          <w:rFonts w:ascii="Times New Roman" w:hAnsi="Times New Roman"/>
          <w:b/>
          <w:bCs/>
          <w:sz w:val="24"/>
        </w:rPr>
        <w:t>EPA Response:</w:t>
      </w:r>
      <w:r w:rsidRPr="0057153A" w:rsidR="0057153A">
        <w:t xml:space="preserve"> </w:t>
      </w:r>
      <w:r w:rsidRPr="00955BD9" w:rsidR="0057153A">
        <w:rPr>
          <w:rFonts w:ascii="Times New Roman" w:hAnsi="Times New Roman"/>
        </w:rPr>
        <w:t xml:space="preserve">For </w:t>
      </w:r>
      <w:r w:rsidRPr="00955BD9" w:rsidR="0057153A">
        <w:rPr>
          <w:rFonts w:ascii="Times New Roman" w:hAnsi="Times New Roman"/>
          <w:sz w:val="24"/>
        </w:rPr>
        <w:t>many years, 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Appendix A to this document), staff from the agencies discussed the development of the RMP SCCAP Rule and potential issues to be addressed by EPA.</w:t>
      </w:r>
      <w:r w:rsidR="00DB464C">
        <w:rPr>
          <w:rFonts w:ascii="Times New Roman" w:hAnsi="Times New Roman"/>
          <w:sz w:val="24"/>
        </w:rPr>
        <w:t xml:space="preserve"> </w:t>
      </w:r>
      <w:r w:rsidR="00231845">
        <w:rPr>
          <w:rFonts w:ascii="Times New Roman" w:hAnsi="Times New Roman"/>
          <w:sz w:val="24"/>
        </w:rPr>
        <w:t>These discussion</w:t>
      </w:r>
      <w:r w:rsidR="00DB464C">
        <w:rPr>
          <w:rFonts w:ascii="Times New Roman" w:hAnsi="Times New Roman"/>
          <w:sz w:val="24"/>
        </w:rPr>
        <w:t>s</w:t>
      </w:r>
      <w:r w:rsidR="00231845">
        <w:rPr>
          <w:rFonts w:ascii="Times New Roman" w:hAnsi="Times New Roman"/>
          <w:sz w:val="24"/>
        </w:rPr>
        <w:t xml:space="preserve"> included the </w:t>
      </w:r>
      <w:r w:rsidR="00DB464C">
        <w:rPr>
          <w:rFonts w:ascii="Times New Roman" w:hAnsi="Times New Roman"/>
          <w:sz w:val="24"/>
        </w:rPr>
        <w:t>hazard evaluation information avai</w:t>
      </w:r>
      <w:r w:rsidR="00DC4928">
        <w:rPr>
          <w:rFonts w:ascii="Times New Roman" w:hAnsi="Times New Roman"/>
          <w:sz w:val="24"/>
        </w:rPr>
        <w:t>lability</w:t>
      </w:r>
      <w:r w:rsidR="00DB464C">
        <w:rPr>
          <w:rFonts w:ascii="Times New Roman" w:hAnsi="Times New Roman"/>
          <w:sz w:val="24"/>
        </w:rPr>
        <w:t xml:space="preserve"> requirements. </w:t>
      </w:r>
    </w:p>
    <w:p w:rsidR="00D43808" w:rsidP="00B21640" w14:paraId="1623731B" w14:textId="77777777">
      <w:pPr>
        <w:pStyle w:val="Heading2"/>
        <w:numPr>
          <w:ilvl w:val="0"/>
          <w:numId w:val="0"/>
        </w:numPr>
        <w:spacing w:before="120"/>
        <w:ind w:left="408" w:hanging="408"/>
        <w:rPr>
          <w:rFonts w:ascii="Times New Roman" w:hAnsi="Times New Roman" w:cs="Times New Roman"/>
          <w:b/>
          <w:bCs/>
          <w:color w:val="auto"/>
          <w:sz w:val="24"/>
          <w:szCs w:val="24"/>
        </w:rPr>
      </w:pPr>
      <w:bookmarkStart w:id="59" w:name="_Toc146879990"/>
      <w:bookmarkStart w:id="60" w:name="_Toc153373783"/>
      <w:r>
        <w:rPr>
          <w:rFonts w:ascii="Times New Roman" w:hAnsi="Times New Roman" w:cs="Times New Roman"/>
          <w:b/>
          <w:bCs/>
          <w:color w:val="auto"/>
          <w:sz w:val="24"/>
          <w:szCs w:val="24"/>
        </w:rPr>
        <w:t>5.2</w:t>
      </w:r>
      <w:r>
        <w:rPr>
          <w:rFonts w:ascii="Times New Roman" w:hAnsi="Times New Roman" w:cs="Times New Roman"/>
          <w:b/>
          <w:bCs/>
          <w:color w:val="auto"/>
          <w:sz w:val="24"/>
          <w:szCs w:val="24"/>
        </w:rPr>
        <w:tab/>
      </w:r>
      <w:r w:rsidRPr="6D3F9CC5">
        <w:rPr>
          <w:rFonts w:ascii="Times New Roman" w:hAnsi="Times New Roman" w:cs="Times New Roman"/>
          <w:b/>
          <w:bCs/>
          <w:color w:val="auto"/>
          <w:sz w:val="24"/>
          <w:szCs w:val="24"/>
        </w:rPr>
        <w:t>Methods</w:t>
      </w:r>
      <w:bookmarkEnd w:id="59"/>
      <w:bookmarkEnd w:id="60"/>
      <w:r w:rsidRPr="6D3F9CC5">
        <w:rPr>
          <w:rFonts w:ascii="Times New Roman" w:hAnsi="Times New Roman" w:cs="Times New Roman"/>
          <w:b/>
          <w:bCs/>
          <w:color w:val="auto"/>
          <w:sz w:val="24"/>
          <w:szCs w:val="24"/>
        </w:rPr>
        <w:t xml:space="preserve"> </w:t>
      </w:r>
    </w:p>
    <w:p w:rsidR="00D43808" w:rsidP="00D43808" w14:paraId="69038CBA" w14:textId="77777777">
      <w:pPr>
        <w:rPr>
          <w:rFonts w:ascii="Times New Roman" w:hAnsi="Times New Roman"/>
          <w:sz w:val="24"/>
        </w:rPr>
      </w:pPr>
      <w:r>
        <w:rPr>
          <w:rFonts w:ascii="Times New Roman" w:hAnsi="Times New Roman"/>
          <w:b/>
          <w:bCs/>
          <w:sz w:val="24"/>
        </w:rPr>
        <w:t xml:space="preserve">Comment 5.2-01: </w:t>
      </w:r>
      <w:r w:rsidRPr="7FF7B759">
        <w:rPr>
          <w:rFonts w:ascii="Times New Roman" w:hAnsi="Times New Roman"/>
          <w:sz w:val="24"/>
        </w:rPr>
        <w:t>A few commenters expressed support for using categories</w:t>
      </w:r>
      <w:r w:rsidRPr="63266EB6">
        <w:rPr>
          <w:rFonts w:ascii="Times New Roman" w:hAnsi="Times New Roman"/>
          <w:sz w:val="24"/>
        </w:rPr>
        <w:t>, such as those in OSHA’s 1994 Compliance Directive,</w:t>
      </w:r>
      <w:r w:rsidRPr="7FF7B759">
        <w:rPr>
          <w:rFonts w:ascii="Times New Roman" w:hAnsi="Times New Roman"/>
          <w:sz w:val="24"/>
        </w:rPr>
        <w:t xml:space="preserve"> for declining to adopt a PHA recommendation (0173, </w:t>
      </w:r>
      <w:r w:rsidRPr="7FF7B759">
        <w:rPr>
          <w:rFonts w:ascii="Times New Roman" w:hAnsi="Times New Roman"/>
          <w:sz w:val="24"/>
        </w:rPr>
        <w:t xml:space="preserve">0261, 0460). One of the commenters noted that requiring owners and operators to choose one of four pre-selected categories makes it easier for owners and operators to understand and comply with their duties. The commenter suggested that EPA should not include alternative categories or a catch-all “other” category because doing so would dilute the purpose of the amendment by allowing facilities to decline recommendations for potentially insufficient reasons (0460). </w:t>
      </w:r>
      <w:r w:rsidRPr="006F68E9">
        <w:rPr>
          <w:rFonts w:ascii="Times New Roman" w:hAnsi="Times New Roman"/>
          <w:sz w:val="24"/>
        </w:rPr>
        <w:t>Another commenter recommended the use of specific categories for documenting justifications, which would result in ease of use and general consistency, for both the regulated community and those seeking information. The commenter noted that it may be necessary to allow a category of “other” where narrative information can be added if a recommendation does not fit any of the listed categories (0230).</w:t>
      </w:r>
      <w:r>
        <w:rPr>
          <w:rFonts w:ascii="Times New Roman" w:hAnsi="Times New Roman"/>
          <w:sz w:val="24"/>
        </w:rPr>
        <w:t xml:space="preserve"> </w:t>
      </w:r>
    </w:p>
    <w:p w:rsidR="00D43808" w:rsidP="00D43808" w14:paraId="483AA512" w14:textId="3FBC7398">
      <w:pPr>
        <w:rPr>
          <w:rFonts w:ascii="Times New Roman" w:hAnsi="Times New Roman"/>
          <w:sz w:val="24"/>
        </w:rPr>
      </w:pPr>
      <w:r w:rsidRPr="7FF7B759">
        <w:rPr>
          <w:rFonts w:ascii="Times New Roman" w:hAnsi="Times New Roman"/>
          <w:sz w:val="24"/>
        </w:rPr>
        <w:t xml:space="preserve">Another commenter expressed concern that the list of </w:t>
      </w:r>
      <w:r w:rsidRPr="7FF7B759">
        <w:rPr>
          <w:rFonts w:ascii="Times New Roman" w:hAnsi="Times New Roman"/>
          <w:sz w:val="24"/>
        </w:rPr>
        <w:t>possible natural hazard</w:t>
      </w:r>
      <w:r w:rsidR="00277A51">
        <w:rPr>
          <w:rFonts w:ascii="Times New Roman" w:hAnsi="Times New Roman"/>
          <w:sz w:val="24"/>
        </w:rPr>
        <w:t>s</w:t>
      </w:r>
      <w:r w:rsidRPr="7FF7B759">
        <w:rPr>
          <w:rFonts w:ascii="Times New Roman" w:hAnsi="Times New Roman"/>
          <w:sz w:val="24"/>
        </w:rPr>
        <w:t>, loss of power, and siting evaluation recommendations that might not be adopted could be expansive; therefore, the commenter suggests EPA should provide specific categories of recommendations for facilities to choose from when reporting (0261).</w:t>
      </w:r>
      <w:r>
        <w:rPr>
          <w:rFonts w:ascii="Times New Roman" w:hAnsi="Times New Roman"/>
          <w:sz w:val="24"/>
        </w:rPr>
        <w:t xml:space="preserve"> </w:t>
      </w:r>
      <w:r w:rsidRPr="7FF7B759">
        <w:rPr>
          <w:rFonts w:ascii="Times New Roman" w:hAnsi="Times New Roman"/>
          <w:sz w:val="24"/>
        </w:rPr>
        <w:t>A commenter recommended that EPA require owners and operators to include not only documentation that one of the four justifications is met, but also a narrative explaining how the documentation shows that the justification has been met (0460). Conversely, another commenter noted that requiring covered facilities to provide declined hazard evaluation recommendations in narrative form is an unnecessary intrusion into internal practices at a facility that does not improve that facility’s safety (0215).</w:t>
      </w:r>
    </w:p>
    <w:p w:rsidR="00D43808" w:rsidP="00D43808" w14:paraId="0CDB73CA" w14:textId="77777777">
      <w:pPr>
        <w:rPr>
          <w:rFonts w:ascii="Times New Roman" w:hAnsi="Times New Roman"/>
          <w:sz w:val="24"/>
        </w:rPr>
      </w:pPr>
      <w:r w:rsidRPr="7FF7B759">
        <w:rPr>
          <w:rFonts w:ascii="Times New Roman" w:hAnsi="Times New Roman"/>
          <w:sz w:val="24"/>
        </w:rPr>
        <w:t>One commenter noted that the proposed requirement for selection of “preselected categories” does not appear in the proposed regulatory text and recommended that if EPA intends to make the use of these categories mandatory, it must put them into the regulatory text. The commenter also noted that these categories are good conclusions for internal facility evaluations that assess complex considerations, but they provide little to no useful information to LEPCs and local communities (0215).</w:t>
      </w:r>
    </w:p>
    <w:p w:rsidR="00D43808" w:rsidRPr="006F68E9" w:rsidP="00D43808" w14:paraId="59F5D476" w14:textId="77777777">
      <w:pPr>
        <w:rPr>
          <w:rFonts w:ascii="Times New Roman" w:hAnsi="Times New Roman"/>
          <w:sz w:val="24"/>
        </w:rPr>
      </w:pPr>
      <w:r>
        <w:rPr>
          <w:rFonts w:ascii="Times New Roman" w:hAnsi="Times New Roman"/>
          <w:sz w:val="24"/>
        </w:rPr>
        <w:t>One</w:t>
      </w:r>
      <w:r w:rsidRPr="6D3F9CC5">
        <w:rPr>
          <w:rFonts w:ascii="Times New Roman" w:hAnsi="Times New Roman"/>
          <w:sz w:val="24"/>
        </w:rPr>
        <w:t xml:space="preserve"> commenter stated that the proposed list of justifications for not adopting a recommendation includes “the recommendation is infeasible”, but the term “infeasible” is not defined. The commenter recommended that EPA consider whether the term “not practicable” should be used instead since a new definition of “practicability” is also being proposed (0230). </w:t>
      </w:r>
    </w:p>
    <w:p w:rsidR="00D43808" w:rsidRPr="006F68E9" w:rsidP="00D43808" w14:paraId="46E4A907" w14:textId="0939C5C1">
      <w:pPr>
        <w:ind w:left="720"/>
        <w:rPr>
          <w:rFonts w:ascii="Times New Roman" w:hAnsi="Times New Roman"/>
          <w:b/>
          <w:bCs/>
          <w:sz w:val="24"/>
        </w:rPr>
      </w:pPr>
      <w:r w:rsidRPr="05453C4A">
        <w:rPr>
          <w:rFonts w:ascii="Times New Roman" w:hAnsi="Times New Roman"/>
          <w:b/>
          <w:bCs/>
          <w:sz w:val="24"/>
        </w:rPr>
        <w:t>EPA Response</w:t>
      </w:r>
      <w:r>
        <w:rPr>
          <w:rFonts w:ascii="Times New Roman" w:hAnsi="Times New Roman"/>
          <w:b/>
          <w:bCs/>
          <w:sz w:val="24"/>
        </w:rPr>
        <w:t xml:space="preserve">: </w:t>
      </w:r>
      <w:r w:rsidRPr="05453C4A">
        <w:rPr>
          <w:rFonts w:ascii="Times New Roman" w:eastAsia="Times New Roman" w:hAnsi="Times New Roman"/>
          <w:color w:val="000000" w:themeColor="text1"/>
          <w:sz w:val="24"/>
        </w:rPr>
        <w:t xml:space="preserve">EPA agrees that requiring owners and operators to choose one of four pre-selected categories makes it easier for owners and operators to understand and comply with their duties and is thus finalizing this component in the rule. </w:t>
      </w:r>
      <w:r w:rsidRPr="63266EB6">
        <w:rPr>
          <w:rFonts w:ascii="Times New Roman" w:eastAsia="Times New Roman" w:hAnsi="Times New Roman"/>
          <w:color w:val="000000" w:themeColor="text1"/>
          <w:sz w:val="24"/>
        </w:rPr>
        <w:t>EPA is not requiring narrative explanations</w:t>
      </w:r>
      <w:r w:rsidRPr="05453C4A">
        <w:rPr>
          <w:rFonts w:ascii="Times New Roman" w:eastAsia="Times New Roman" w:hAnsi="Times New Roman"/>
          <w:color w:val="000000" w:themeColor="text1"/>
          <w:sz w:val="24"/>
        </w:rPr>
        <w:t xml:space="preserve"> to </w:t>
      </w:r>
      <w:r w:rsidRPr="63266EB6">
        <w:rPr>
          <w:rFonts w:ascii="Times New Roman" w:eastAsia="Times New Roman" w:hAnsi="Times New Roman"/>
          <w:color w:val="000000" w:themeColor="text1"/>
          <w:sz w:val="24"/>
        </w:rPr>
        <w:t>be reported as there is concern that such explanations may be greatly inconsistent as they would require large amounts of technically challenging and varying information to be comparably condensed. The Agency believes the four pre-selected categories ensures</w:t>
      </w:r>
      <w:r w:rsidRPr="05453C4A">
        <w:rPr>
          <w:rFonts w:ascii="Times New Roman" w:eastAsia="Times New Roman" w:hAnsi="Times New Roman"/>
          <w:color w:val="000000" w:themeColor="text1"/>
          <w:sz w:val="24"/>
        </w:rPr>
        <w:t xml:space="preserve"> a balanced approach to providing beneficial data to the public as well as a straightforward method of reporting for facility owners/operators. While EPA is not adding the categories to the regulatory text, EPA will plan to revise its online RMP submission system, RMP*eSubmi</w:t>
      </w:r>
      <w:r w:rsidRPr="00986248">
        <w:rPr>
          <w:rFonts w:ascii="Times New Roman" w:eastAsia="Times New Roman" w:hAnsi="Times New Roman"/>
          <w:sz w:val="24"/>
        </w:rPr>
        <w:t>t,</w:t>
      </w:r>
      <w:r w:rsidRPr="63266EB6">
        <w:rPr>
          <w:rFonts w:ascii="Times New Roman" w:eastAsia="Times New Roman" w:hAnsi="Times New Roman"/>
          <w:color w:val="000000" w:themeColor="text1"/>
          <w:vertAlign w:val="superscript"/>
        </w:rPr>
        <w:t>16</w:t>
      </w:r>
      <w:r w:rsidRPr="05453C4A">
        <w:rPr>
          <w:rFonts w:ascii="Times New Roman" w:eastAsia="Times New Roman" w:hAnsi="Times New Roman"/>
          <w:color w:val="000000" w:themeColor="text1"/>
          <w:sz w:val="24"/>
        </w:rPr>
        <w:t xml:space="preserve"> to include the categories</w:t>
      </w:r>
      <w:r>
        <w:rPr>
          <w:rStyle w:val="FootnoteReference"/>
          <w:rFonts w:ascii="Times New Roman" w:eastAsia="Times New Roman" w:hAnsi="Times New Roman"/>
          <w:color w:val="000000" w:themeColor="text1"/>
          <w:sz w:val="24"/>
        </w:rPr>
        <w:footnoteReference w:id="76"/>
      </w:r>
      <w:r w:rsidRPr="05453C4A">
        <w:rPr>
          <w:rFonts w:ascii="Times New Roman" w:eastAsia="Times New Roman" w:hAnsi="Times New Roman"/>
          <w:color w:val="000000" w:themeColor="text1"/>
          <w:sz w:val="24"/>
        </w:rPr>
        <w:t xml:space="preserve">, </w:t>
      </w:r>
      <w:r w:rsidRPr="05453C4A">
        <w:rPr>
          <w:rFonts w:ascii="Times New Roman" w:eastAsia="Times New Roman" w:hAnsi="Times New Roman"/>
          <w:color w:val="000000" w:themeColor="text1"/>
          <w:sz w:val="24"/>
        </w:rPr>
        <w:t xml:space="preserve">similar to </w:t>
      </w:r>
      <w:r w:rsidRPr="63266EB6">
        <w:rPr>
          <w:rFonts w:ascii="Times New Roman" w:eastAsia="Times New Roman" w:hAnsi="Times New Roman"/>
          <w:color w:val="000000" w:themeColor="text1"/>
          <w:sz w:val="24"/>
        </w:rPr>
        <w:t xml:space="preserve">those in OSHA’s 1994 Compliance Directive, which will mimic </w:t>
      </w:r>
      <w:r w:rsidRPr="05453C4A">
        <w:rPr>
          <w:rFonts w:ascii="Times New Roman" w:eastAsia="Times New Roman" w:hAnsi="Times New Roman"/>
          <w:color w:val="000000" w:themeColor="text1"/>
          <w:sz w:val="24"/>
        </w:rPr>
        <w:t xml:space="preserve">the approach for other data components required by </w:t>
      </w:r>
      <w:r w:rsidRPr="00986248">
        <w:rPr>
          <w:rFonts w:ascii="Times New Roman" w:eastAsia="Times New Roman" w:hAnsi="Times New Roman"/>
          <w:color w:val="000000" w:themeColor="text1"/>
          <w:sz w:val="24"/>
        </w:rPr>
        <w:t xml:space="preserve">40 CFR </w:t>
      </w:r>
      <w:r w:rsidRPr="05453C4A">
        <w:rPr>
          <w:rFonts w:ascii="Times New Roman" w:eastAsia="Times New Roman" w:hAnsi="Times New Roman"/>
          <w:color w:val="000000" w:themeColor="text1"/>
          <w:sz w:val="24"/>
        </w:rPr>
        <w:t xml:space="preserve">68.170 and </w:t>
      </w:r>
      <w:r w:rsidRPr="00986248">
        <w:rPr>
          <w:rFonts w:ascii="Times New Roman" w:eastAsia="Times New Roman" w:hAnsi="Times New Roman"/>
          <w:color w:val="000000" w:themeColor="text1"/>
          <w:sz w:val="24"/>
        </w:rPr>
        <w:t>40 CFR</w:t>
      </w:r>
      <w:r w:rsidRPr="05453C4A">
        <w:rPr>
          <w:rFonts w:ascii="Times New Roman" w:eastAsia="Times New Roman" w:hAnsi="Times New Roman"/>
          <w:color w:val="000000" w:themeColor="text1"/>
          <w:sz w:val="24"/>
        </w:rPr>
        <w:t xml:space="preserve"> 68.175. Sources will therefore be able to update their RMPs with the information once the </w:t>
      </w:r>
      <w:r w:rsidRPr="05453C4A">
        <w:rPr>
          <w:rFonts w:ascii="Times New Roman" w:eastAsia="Times New Roman" w:hAnsi="Times New Roman"/>
          <w:color w:val="000000" w:themeColor="text1"/>
          <w:sz w:val="24"/>
        </w:rPr>
        <w:t>additional data field is incorporated into the system, and in accordance with applicable compliance dates. EPA also plans to update the RMP*eSubmit User's Manual</w:t>
      </w:r>
      <w:r w:rsidRPr="63266EB6">
        <w:rPr>
          <w:rFonts w:ascii="Times New Roman" w:eastAsia="Times New Roman" w:hAnsi="Times New Roman"/>
          <w:color w:val="000000" w:themeColor="text1"/>
          <w:vertAlign w:val="superscript"/>
        </w:rPr>
        <w:t>17</w:t>
      </w:r>
      <w:r w:rsidRPr="05453C4A">
        <w:rPr>
          <w:rFonts w:ascii="Times New Roman" w:eastAsia="Times New Roman" w:hAnsi="Times New Roman"/>
          <w:color w:val="000000" w:themeColor="text1"/>
          <w:sz w:val="24"/>
        </w:rPr>
        <w:t xml:space="preserve"> to provide guidance for entering declined recommendations and applying these categories to them.</w:t>
      </w:r>
    </w:p>
    <w:p w:rsidR="00D43808" w:rsidP="00D43808" w14:paraId="4D355C8A" w14:textId="77777777">
      <w:pPr>
        <w:rPr>
          <w:rFonts w:ascii="Times New Roman" w:hAnsi="Times New Roman"/>
          <w:sz w:val="24"/>
        </w:rPr>
      </w:pPr>
      <w:r>
        <w:rPr>
          <w:rFonts w:ascii="Times New Roman" w:hAnsi="Times New Roman"/>
          <w:b/>
          <w:bCs/>
          <w:sz w:val="24"/>
        </w:rPr>
        <w:t xml:space="preserve">Comment 5.2-02: </w:t>
      </w:r>
      <w:r w:rsidRPr="7FF7B759">
        <w:rPr>
          <w:rFonts w:ascii="Times New Roman" w:hAnsi="Times New Roman"/>
          <w:sz w:val="24"/>
        </w:rPr>
        <w:t>One commenter recommended that the information be presented in a public and easily accessible space across many different sites and locations (0192)</w:t>
      </w:r>
      <w:r>
        <w:rPr>
          <w:rFonts w:ascii="Times New Roman" w:hAnsi="Times New Roman"/>
          <w:sz w:val="24"/>
        </w:rPr>
        <w:t>.</w:t>
      </w:r>
      <w:r w:rsidRPr="7FF7B759">
        <w:rPr>
          <w:rFonts w:ascii="Times New Roman" w:hAnsi="Times New Roman"/>
          <w:sz w:val="24"/>
        </w:rPr>
        <w:t xml:space="preserve"> Similarly, another commenter suggested that owners of RMP facilities should be obligated to post hazard-related information online and provide a link in risk management plans so responders and local communities can access this information (0444).</w:t>
      </w:r>
    </w:p>
    <w:p w:rsidR="00D43808" w:rsidP="000808F9" w14:paraId="2F1146E4" w14:textId="24191F01">
      <w:pPr>
        <w:ind w:left="720"/>
        <w:rPr>
          <w:rFonts w:ascii="Times New Roman" w:hAnsi="Times New Roman"/>
          <w:bCs/>
          <w:sz w:val="24"/>
        </w:rPr>
      </w:pPr>
      <w:r w:rsidRPr="005C2215">
        <w:rPr>
          <w:rFonts w:ascii="Times New Roman" w:hAnsi="Times New Roman"/>
          <w:b/>
          <w:bCs/>
          <w:sz w:val="24"/>
        </w:rPr>
        <w:t>EPA Response:</w:t>
      </w:r>
      <w:r w:rsidR="005C2215">
        <w:rPr>
          <w:rFonts w:ascii="Times New Roman" w:hAnsi="Times New Roman"/>
          <w:b/>
          <w:bCs/>
          <w:sz w:val="24"/>
        </w:rPr>
        <w:t xml:space="preserve"> </w:t>
      </w:r>
      <w:r w:rsidRPr="005C2215" w:rsidR="005C2215">
        <w:rPr>
          <w:rFonts w:ascii="Times New Roman" w:hAnsi="Times New Roman"/>
          <w:bCs/>
          <w:sz w:val="24"/>
        </w:rPr>
        <w:t>The final rule will require owners and operators to choose one of four pre-selected categories</w:t>
      </w:r>
      <w:r w:rsidR="000808F9">
        <w:rPr>
          <w:rFonts w:ascii="Times New Roman" w:hAnsi="Times New Roman"/>
          <w:bCs/>
          <w:sz w:val="24"/>
        </w:rPr>
        <w:t xml:space="preserve">, </w:t>
      </w:r>
      <w:r w:rsidRPr="000808F9" w:rsidR="000808F9">
        <w:rPr>
          <w:rFonts w:ascii="Times New Roman" w:hAnsi="Times New Roman"/>
          <w:bCs/>
          <w:sz w:val="24"/>
        </w:rPr>
        <w:t>such as those in OSHA’s 1994 Compliance Directive</w:t>
      </w:r>
      <w:r>
        <w:rPr>
          <w:rFonts w:ascii="Times New Roman" w:hAnsi="Times New Roman"/>
          <w:bCs/>
          <w:sz w:val="24"/>
          <w:vertAlign w:val="superscript"/>
        </w:rPr>
        <w:footnoteReference w:id="77"/>
      </w:r>
      <w:r w:rsidRPr="000808F9" w:rsidR="000808F9">
        <w:rPr>
          <w:rFonts w:ascii="Times New Roman" w:hAnsi="Times New Roman"/>
          <w:bCs/>
          <w:sz w:val="24"/>
        </w:rPr>
        <w:t xml:space="preserve">, </w:t>
      </w:r>
      <w:r w:rsidRPr="005C2215" w:rsidR="005C2215">
        <w:rPr>
          <w:rFonts w:ascii="Times New Roman" w:hAnsi="Times New Roman"/>
          <w:bCs/>
          <w:sz w:val="24"/>
        </w:rPr>
        <w:t>to make it easier for owners and operators to understand and comply with their duties. EPA is not requiring narrative explanations to be reported as there is concern that such explanations may be greatly inconsistent as they would require large amounts of technically challenging and varying information to be comparably condensed. The Agency believes the four pre-selected categories ensures a balanced approach to providing beneficial data to the public, allowing a straightforward method of reporting for facility owners/operators, as well as reducing security related concerns.</w:t>
      </w:r>
    </w:p>
    <w:p w:rsidR="00CC1BED" w:rsidP="00CB7C24" w14:paraId="0165BD69" w14:textId="7BABE6F0">
      <w:pPr>
        <w:ind w:left="720"/>
        <w:rPr>
          <w:rFonts w:ascii="Times New Roman" w:hAnsi="Times New Roman"/>
          <w:bCs/>
          <w:sz w:val="24"/>
        </w:rPr>
      </w:pPr>
      <w:r w:rsidRPr="00B47B9F">
        <w:rPr>
          <w:rFonts w:ascii="Times New Roman" w:hAnsi="Times New Roman"/>
          <w:bCs/>
          <w:sz w:val="24"/>
        </w:rPr>
        <w:t>EPA will plan to revise its online RMP submission system, RMP*eSubmit, to include the categories</w:t>
      </w:r>
      <w:r>
        <w:rPr>
          <w:rStyle w:val="FootnoteReference"/>
          <w:rFonts w:ascii="Times New Roman" w:eastAsia="Times New Roman" w:hAnsi="Times New Roman"/>
          <w:color w:val="000000" w:themeColor="text1"/>
          <w:sz w:val="24"/>
        </w:rPr>
        <w:footnoteReference w:id="78"/>
      </w:r>
      <w:r w:rsidRPr="00B47B9F">
        <w:rPr>
          <w:rFonts w:ascii="Times New Roman" w:hAnsi="Times New Roman"/>
          <w:bCs/>
          <w:sz w:val="24"/>
        </w:rPr>
        <w:t>, which will mimic the approach for other data components required</w:t>
      </w:r>
      <w:r w:rsidR="00E030B6">
        <w:rPr>
          <w:rFonts w:ascii="Times New Roman" w:hAnsi="Times New Roman"/>
          <w:bCs/>
          <w:sz w:val="24"/>
        </w:rPr>
        <w:t xml:space="preserve"> to be reported in the RMP</w:t>
      </w:r>
      <w:r w:rsidRPr="00B47B9F">
        <w:rPr>
          <w:rFonts w:ascii="Times New Roman" w:hAnsi="Times New Roman"/>
          <w:bCs/>
          <w:sz w:val="24"/>
        </w:rPr>
        <w:t xml:space="preserve"> by 40 CFR 68.170 and 40 CFR 68.175. </w:t>
      </w:r>
      <w:r w:rsidR="004733BC">
        <w:rPr>
          <w:rFonts w:ascii="Times New Roman" w:hAnsi="Times New Roman"/>
          <w:bCs/>
          <w:sz w:val="24"/>
        </w:rPr>
        <w:t xml:space="preserve">Additionally, under this final rule, information </w:t>
      </w:r>
      <w:r w:rsidR="00462F30">
        <w:rPr>
          <w:rFonts w:ascii="Times New Roman" w:hAnsi="Times New Roman"/>
          <w:bCs/>
          <w:sz w:val="24"/>
        </w:rPr>
        <w:t>available</w:t>
      </w:r>
      <w:r w:rsidR="008720B3">
        <w:rPr>
          <w:rFonts w:ascii="Times New Roman" w:hAnsi="Times New Roman"/>
          <w:bCs/>
          <w:sz w:val="24"/>
        </w:rPr>
        <w:t xml:space="preserve"> to the public</w:t>
      </w:r>
      <w:r w:rsidR="00462F30">
        <w:rPr>
          <w:rFonts w:ascii="Times New Roman" w:hAnsi="Times New Roman"/>
          <w:bCs/>
          <w:sz w:val="24"/>
        </w:rPr>
        <w:t xml:space="preserve"> under 40 CFR 68.210</w:t>
      </w:r>
      <w:r w:rsidR="00EC0BA4">
        <w:rPr>
          <w:rFonts w:ascii="Times New Roman" w:hAnsi="Times New Roman"/>
          <w:bCs/>
          <w:sz w:val="24"/>
        </w:rPr>
        <w:t>(d)</w:t>
      </w:r>
      <w:r w:rsidR="00462F30">
        <w:rPr>
          <w:rFonts w:ascii="Times New Roman" w:hAnsi="Times New Roman"/>
          <w:bCs/>
          <w:sz w:val="24"/>
        </w:rPr>
        <w:t xml:space="preserve"> will include </w:t>
      </w:r>
      <w:r w:rsidRPr="00D750DF" w:rsidR="00D750DF">
        <w:rPr>
          <w:rFonts w:ascii="Times New Roman" w:hAnsi="Times New Roman"/>
          <w:bCs/>
          <w:sz w:val="24"/>
        </w:rPr>
        <w:t xml:space="preserve">declined recommendations from </w:t>
      </w:r>
      <w:r w:rsidR="00D750DF">
        <w:rPr>
          <w:rFonts w:ascii="Times New Roman" w:hAnsi="Times New Roman"/>
          <w:bCs/>
          <w:sz w:val="24"/>
        </w:rPr>
        <w:t>hazard evaluations, power loss</w:t>
      </w:r>
      <w:r w:rsidR="00F43FB3">
        <w:rPr>
          <w:rFonts w:ascii="Times New Roman" w:hAnsi="Times New Roman"/>
          <w:bCs/>
          <w:sz w:val="24"/>
        </w:rPr>
        <w:t>,</w:t>
      </w:r>
      <w:r w:rsidR="00D750DF">
        <w:rPr>
          <w:rFonts w:ascii="Times New Roman" w:hAnsi="Times New Roman"/>
          <w:bCs/>
          <w:sz w:val="24"/>
        </w:rPr>
        <w:t xml:space="preserve"> and </w:t>
      </w:r>
      <w:r w:rsidR="00271482">
        <w:rPr>
          <w:rFonts w:ascii="Times New Roman" w:hAnsi="Times New Roman"/>
          <w:bCs/>
          <w:sz w:val="24"/>
        </w:rPr>
        <w:t xml:space="preserve">stationary source siting. </w:t>
      </w:r>
      <w:r w:rsidR="00DE462A">
        <w:rPr>
          <w:rFonts w:ascii="Times New Roman" w:hAnsi="Times New Roman"/>
          <w:bCs/>
          <w:sz w:val="24"/>
        </w:rPr>
        <w:t>T</w:t>
      </w:r>
      <w:r w:rsidRPr="00CB7C24" w:rsidR="00CB7C24">
        <w:rPr>
          <w:rFonts w:ascii="Times New Roman" w:hAnsi="Times New Roman"/>
          <w:bCs/>
          <w:sz w:val="24"/>
        </w:rPr>
        <w:t xml:space="preserve">he Agency </w:t>
      </w:r>
      <w:r w:rsidR="008720B3">
        <w:rPr>
          <w:rFonts w:ascii="Times New Roman" w:hAnsi="Times New Roman"/>
          <w:bCs/>
          <w:sz w:val="24"/>
        </w:rPr>
        <w:t>believes</w:t>
      </w:r>
      <w:r w:rsidRPr="00CB7C24" w:rsidR="00CB7C24">
        <w:rPr>
          <w:rFonts w:ascii="Times New Roman" w:hAnsi="Times New Roman"/>
          <w:bCs/>
          <w:sz w:val="24"/>
        </w:rPr>
        <w:t xml:space="preserve"> that including this information in the RMP w</w:t>
      </w:r>
      <w:r w:rsidR="008720B3">
        <w:rPr>
          <w:rFonts w:ascii="Times New Roman" w:hAnsi="Times New Roman"/>
          <w:bCs/>
          <w:sz w:val="24"/>
        </w:rPr>
        <w:t xml:space="preserve">ill </w:t>
      </w:r>
      <w:r w:rsidRPr="00CB7C24" w:rsidR="00CB7C24">
        <w:rPr>
          <w:rFonts w:ascii="Times New Roman" w:hAnsi="Times New Roman"/>
          <w:bCs/>
          <w:sz w:val="24"/>
        </w:rPr>
        <w:t xml:space="preserve">ultimately enable the public to ensure facilities have conducted appropriate evaluations to address potential hazards that can affect communities near facility fencelines. </w:t>
      </w:r>
    </w:p>
    <w:p w:rsidR="000A185F" w:rsidP="000A185F" w14:paraId="12B580CA" w14:textId="77777777">
      <w:pPr>
        <w:rPr>
          <w:rFonts w:ascii="Times New Roman" w:hAnsi="Times New Roman"/>
          <w:bCs/>
          <w:sz w:val="24"/>
        </w:rPr>
      </w:pPr>
    </w:p>
    <w:p w:rsidR="003B12AF" w:rsidRPr="0065484C" w:rsidP="000A185F" w14:paraId="215BF501" w14:textId="6CAFE9E9">
      <w:pPr>
        <w:pStyle w:val="Heading1"/>
        <w:spacing w:before="120"/>
      </w:pPr>
      <w:bookmarkStart w:id="61" w:name="_Toc146879991"/>
      <w:bookmarkStart w:id="62" w:name="_Toc153373784"/>
      <w:bookmarkStart w:id="63" w:name="_Toc146880011"/>
      <w:r w:rsidRPr="006F68E9">
        <w:t>Safer Technology and Alternatives Analysis (STAA)</w:t>
      </w:r>
      <w:bookmarkEnd w:id="61"/>
      <w:bookmarkEnd w:id="62"/>
    </w:p>
    <w:p w:rsidR="003B12AF" w:rsidRPr="009959EC" w:rsidP="003B12AF" w14:paraId="5FD2ECE5" w14:textId="77777777">
      <w:pPr>
        <w:rPr>
          <w:i/>
        </w:rPr>
      </w:pPr>
      <w:r w:rsidRPr="009959EC">
        <w:rPr>
          <w:rFonts w:ascii="Times New Roman" w:hAnsi="Times New Roman"/>
          <w:i/>
          <w:sz w:val="24"/>
        </w:rPr>
        <w:t>Comments associated with this issue are discussed in the sub-issues below.</w:t>
      </w:r>
    </w:p>
    <w:p w:rsidR="003B12AF" w:rsidRPr="006F68E9" w:rsidP="001360F6" w14:paraId="39D6FC9C" w14:textId="77777777">
      <w:pPr>
        <w:pStyle w:val="Heading2"/>
        <w:spacing w:before="120"/>
        <w:rPr>
          <w:rFonts w:ascii="Times New Roman" w:hAnsi="Times New Roman" w:cs="Times New Roman"/>
          <w:b/>
          <w:bCs/>
          <w:color w:val="auto"/>
          <w:sz w:val="24"/>
          <w:szCs w:val="24"/>
        </w:rPr>
      </w:pPr>
      <w:bookmarkStart w:id="64" w:name="_Toc146879992"/>
      <w:bookmarkStart w:id="65" w:name="_Toc153373785"/>
      <w:r w:rsidRPr="6D3F9CC5">
        <w:rPr>
          <w:rFonts w:ascii="Times New Roman" w:hAnsi="Times New Roman" w:cs="Times New Roman"/>
          <w:b/>
          <w:bCs/>
          <w:color w:val="auto"/>
          <w:sz w:val="24"/>
          <w:szCs w:val="24"/>
        </w:rPr>
        <w:t xml:space="preserve">Proposed </w:t>
      </w:r>
      <w:bookmarkEnd w:id="64"/>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pproach</w:t>
      </w:r>
      <w:bookmarkEnd w:id="65"/>
    </w:p>
    <w:p w:rsidR="003B12AF" w:rsidRPr="009959EC" w:rsidP="003B12AF" w14:paraId="07A5CA56" w14:textId="77777777">
      <w:pPr>
        <w:rPr>
          <w:rFonts w:ascii="Times New Roman" w:hAnsi="Times New Roman"/>
          <w:i/>
          <w:sz w:val="24"/>
        </w:rPr>
      </w:pPr>
      <w:r>
        <w:rPr>
          <w:rFonts w:ascii="Times New Roman" w:hAnsi="Times New Roman"/>
          <w:i/>
          <w:iCs/>
          <w:sz w:val="24"/>
        </w:rPr>
        <w:t>General support for STAA provisions</w:t>
      </w:r>
    </w:p>
    <w:p w:rsidR="003B12AF" w:rsidP="003B12AF" w14:paraId="7E4FFAAA" w14:textId="77777777">
      <w:pPr>
        <w:rPr>
          <w:rFonts w:ascii="Times New Roman" w:hAnsi="Times New Roman"/>
          <w:sz w:val="24"/>
        </w:rPr>
      </w:pPr>
      <w:r w:rsidRPr="00EA79A7">
        <w:rPr>
          <w:rFonts w:ascii="Times New Roman" w:hAnsi="Times New Roman"/>
          <w:b/>
          <w:sz w:val="24"/>
        </w:rPr>
        <w:t>Comment</w:t>
      </w:r>
      <w:r>
        <w:rPr>
          <w:rFonts w:ascii="Times New Roman" w:hAnsi="Times New Roman"/>
          <w:b/>
          <w:sz w:val="24"/>
        </w:rPr>
        <w:t xml:space="preserve"> 6.1-01</w:t>
      </w:r>
      <w:r w:rsidRPr="00EA79A7">
        <w:rPr>
          <w:rFonts w:ascii="Times New Roman" w:hAnsi="Times New Roman"/>
          <w:b/>
          <w:sz w:val="24"/>
        </w:rPr>
        <w:t>:</w:t>
      </w:r>
      <w:r>
        <w:rPr>
          <w:rFonts w:ascii="Times New Roman" w:hAnsi="Times New Roman"/>
          <w:sz w:val="24"/>
        </w:rPr>
        <w:t xml:space="preserve"> A few commenters expressed general support for STAA requirements.</w:t>
      </w:r>
    </w:p>
    <w:p w:rsidR="003B12AF" w:rsidP="003B12AF" w14:paraId="5D503927" w14:textId="61C9B354">
      <w:pPr>
        <w:rPr>
          <w:rFonts w:ascii="Times New Roman" w:hAnsi="Times New Roman"/>
          <w:sz w:val="24"/>
        </w:rPr>
      </w:pPr>
      <w:r w:rsidRPr="006F68E9">
        <w:rPr>
          <w:rFonts w:ascii="Times New Roman" w:hAnsi="Times New Roman"/>
          <w:sz w:val="24"/>
        </w:rPr>
        <w:t xml:space="preserve">Referring to the White House announcement on the expansion of the Industrial Control Systems (ICS) Cybersecurity Initiative to include the chemical sector with a focus on high-risk facilities, one commenter </w:t>
      </w:r>
      <w:r>
        <w:rPr>
          <w:rFonts w:ascii="Times New Roman" w:hAnsi="Times New Roman"/>
          <w:sz w:val="24"/>
        </w:rPr>
        <w:t>said</w:t>
      </w:r>
      <w:r w:rsidRPr="006F68E9">
        <w:rPr>
          <w:rFonts w:ascii="Times New Roman" w:hAnsi="Times New Roman"/>
          <w:sz w:val="24"/>
        </w:rPr>
        <w:t xml:space="preserve"> that DHS is legally barred from requiring I</w:t>
      </w:r>
      <w:r w:rsidR="000A5FBA">
        <w:rPr>
          <w:rFonts w:ascii="Times New Roman" w:hAnsi="Times New Roman"/>
          <w:sz w:val="24"/>
        </w:rPr>
        <w:t>ST</w:t>
      </w:r>
      <w:r w:rsidRPr="006F68E9">
        <w:rPr>
          <w:rFonts w:ascii="Times New Roman" w:hAnsi="Times New Roman"/>
          <w:sz w:val="24"/>
        </w:rPr>
        <w:t xml:space="preserve"> </w:t>
      </w:r>
      <w:r w:rsidRPr="006F68E9">
        <w:rPr>
          <w:rFonts w:ascii="Times New Roman" w:hAnsi="Times New Roman"/>
          <w:sz w:val="24"/>
        </w:rPr>
        <w:t xml:space="preserve">or any specific security measure. The commenter pointed out that this is an opportunity for EPA to step forward as the only federal agency with the legal authority to require high risk facilities to switch to safer </w:t>
      </w:r>
      <w:r w:rsidRPr="006F68E9">
        <w:rPr>
          <w:rFonts w:ascii="Times New Roman" w:hAnsi="Times New Roman"/>
          <w:sz w:val="24"/>
        </w:rPr>
        <w:t>alternatives, which will make them less attractive terrorism targets and vastly reduce the consequences of an attack (0274).</w:t>
      </w:r>
    </w:p>
    <w:p w:rsidR="003B12AF" w:rsidP="003B12AF" w14:paraId="69AD6E7F" w14:textId="77777777">
      <w:pPr>
        <w:rPr>
          <w:rFonts w:ascii="Times New Roman" w:hAnsi="Times New Roman"/>
          <w:sz w:val="24"/>
        </w:rPr>
      </w:pPr>
      <w:r w:rsidRPr="006F68E9">
        <w:rPr>
          <w:rFonts w:ascii="Times New Roman" w:hAnsi="Times New Roman"/>
          <w:sz w:val="24"/>
        </w:rPr>
        <w:t>One of the commenters reiterated that safer technology is standard as a best practice and that both EPA and OSHA have stated IST/ISD is the first choice for managing chemical hazards and risks (0240).</w:t>
      </w:r>
    </w:p>
    <w:p w:rsidR="003B12AF" w:rsidP="003B12AF" w14:paraId="3D74FC77"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stated that </w:t>
      </w:r>
      <w:r>
        <w:rPr>
          <w:rFonts w:ascii="Times New Roman" w:hAnsi="Times New Roman"/>
          <w:sz w:val="24"/>
        </w:rPr>
        <w:t xml:space="preserve">the </w:t>
      </w:r>
      <w:r w:rsidRPr="006F68E9">
        <w:rPr>
          <w:rFonts w:ascii="Times New Roman" w:hAnsi="Times New Roman"/>
          <w:sz w:val="24"/>
        </w:rPr>
        <w:t xml:space="preserve">data on facilities prone to climate risk and RMP incidents related to extreme weather and power loss demonstrate that there is a strong need to restore STAA and other prevention measures previously rescinded (and further strengthen them). The commenter </w:t>
      </w:r>
      <w:r>
        <w:rPr>
          <w:rFonts w:ascii="Times New Roman" w:hAnsi="Times New Roman"/>
          <w:sz w:val="24"/>
        </w:rPr>
        <w:t>further elaborated that</w:t>
      </w:r>
      <w:r w:rsidRPr="006F68E9">
        <w:rPr>
          <w:rFonts w:ascii="Times New Roman" w:hAnsi="Times New Roman"/>
          <w:sz w:val="24"/>
        </w:rPr>
        <w:t xml:space="preserve"> climate threats increase the need for stronger prevention across the board in the RMP program – to assess and eliminate hazards, to improve safety audits and incident investigation, and to strengthen all other components of the program addressed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(0460).</w:t>
      </w:r>
    </w:p>
    <w:p w:rsidR="003B12AF" w:rsidP="003B12AF" w14:paraId="4C064483" w14:textId="77777777">
      <w:pPr>
        <w:rPr>
          <w:rFonts w:ascii="Times New Roman" w:hAnsi="Times New Roman"/>
          <w:sz w:val="24"/>
        </w:rPr>
      </w:pPr>
      <w:r w:rsidRPr="006F68E9">
        <w:rPr>
          <w:rFonts w:ascii="Times New Roman" w:hAnsi="Times New Roman"/>
          <w:sz w:val="24"/>
        </w:rPr>
        <w:t>One commenter highlighted the 2019 explosion at the Philadelphia Energy Solutions oil refinery as disaster proving the need for stronger RMP regulations (0447). Another commenter felt a recent spill near the Huron River supports the requirement to seriously examine less-bad alternatives to industrial processes (0142).</w:t>
      </w:r>
    </w:p>
    <w:p w:rsidR="003B12AF" w:rsidP="003B12AF" w14:paraId="277F22EB" w14:textId="2699D7B9">
      <w:pPr>
        <w:rPr>
          <w:rFonts w:ascii="Times New Roman" w:hAnsi="Times New Roman"/>
          <w:sz w:val="24"/>
        </w:rPr>
      </w:pPr>
      <w:r w:rsidRPr="008E1983">
        <w:rPr>
          <w:rFonts w:ascii="Times New Roman" w:hAnsi="Times New Roman"/>
          <w:sz w:val="24"/>
        </w:rPr>
        <w:t xml:space="preserve">One commenter shared that STAA analysis prompted 41% of 91 facilities covered by the New Jersey Toxic Catastrophe Prevention Program, which requires STAA analysis, </w:t>
      </w:r>
      <w:r w:rsidRPr="3BE510FA" w:rsidR="44D15CFD">
        <w:rPr>
          <w:rFonts w:ascii="Times New Roman" w:hAnsi="Times New Roman"/>
          <w:sz w:val="24"/>
        </w:rPr>
        <w:t xml:space="preserve">to </w:t>
      </w:r>
      <w:r w:rsidRPr="008E1983">
        <w:rPr>
          <w:rFonts w:ascii="Times New Roman" w:hAnsi="Times New Roman"/>
          <w:sz w:val="24"/>
        </w:rPr>
        <w:t xml:space="preserve">implement or </w:t>
      </w:r>
      <w:r w:rsidRPr="3BE510FA" w:rsidR="610B26F8">
        <w:rPr>
          <w:rFonts w:ascii="Times New Roman" w:hAnsi="Times New Roman"/>
          <w:sz w:val="24"/>
        </w:rPr>
        <w:t xml:space="preserve">to </w:t>
      </w:r>
      <w:r w:rsidRPr="008E1983">
        <w:rPr>
          <w:rFonts w:ascii="Times New Roman" w:hAnsi="Times New Roman"/>
          <w:sz w:val="24"/>
        </w:rPr>
        <w:t xml:space="preserve">schedule </w:t>
      </w:r>
      <w:r w:rsidRPr="3BE510FA">
        <w:rPr>
          <w:rFonts w:ascii="Times New Roman" w:hAnsi="Times New Roman"/>
          <w:sz w:val="24"/>
        </w:rPr>
        <w:t>implement</w:t>
      </w:r>
      <w:r w:rsidRPr="3BE510FA" w:rsidR="204DB051">
        <w:rPr>
          <w:rFonts w:ascii="Times New Roman" w:hAnsi="Times New Roman"/>
          <w:sz w:val="24"/>
        </w:rPr>
        <w:t>ation of</w:t>
      </w:r>
      <w:r w:rsidRPr="008E1983">
        <w:rPr>
          <w:rFonts w:ascii="Times New Roman" w:hAnsi="Times New Roman"/>
          <w:sz w:val="24"/>
        </w:rPr>
        <w:t xml:space="preserve"> one or more safety measures following their most recent review.</w:t>
      </w:r>
      <w:r w:rsidRPr="008E1983">
        <w:rPr>
          <w:rFonts w:ascii="Times New Roman" w:eastAsia="Times New Roman" w:hAnsi="Times New Roman"/>
          <w:sz w:val="24"/>
        </w:rPr>
        <w:t xml:space="preserve"> The commenter stated that while 70 of the 118 safety measures implemented or scheduled were in chemical production or oil refining, 48 safety measures were implemented or scheduled in other sectors, including ammonia refrigeration and water/wastewater treatment </w:t>
      </w:r>
      <w:r w:rsidRPr="008E1983">
        <w:rPr>
          <w:rFonts w:ascii="Times New Roman" w:hAnsi="Times New Roman"/>
          <w:sz w:val="24"/>
        </w:rPr>
        <w:t xml:space="preserve">(0178). </w:t>
      </w:r>
    </w:p>
    <w:p w:rsidR="003B12AF" w:rsidP="003B12AF" w14:paraId="536B563B" w14:textId="77777777">
      <w:pPr>
        <w:rPr>
          <w:rFonts w:ascii="Times New Roman" w:hAnsi="Times New Roman"/>
          <w:sz w:val="24"/>
        </w:rPr>
      </w:pPr>
      <w:r w:rsidRPr="006F68E9">
        <w:rPr>
          <w:rFonts w:ascii="Times New Roman" w:hAnsi="Times New Roman"/>
          <w:sz w:val="24"/>
        </w:rPr>
        <w:t>One commenter urged EPA to coordinate efforts with other EPA departments, such as the Office of Chemical and Safety, so that chemicals that could cause catastrophic hazards are banned. The commenter stressed that safer alternative requirements are essential, and EPA should strengthen enforceability, corrective action, and accountability (0158).</w:t>
      </w:r>
    </w:p>
    <w:p w:rsidR="003B12AF" w:rsidRPr="004C185A" w:rsidP="003B12AF" w14:paraId="57D7EC80" w14:textId="77777777">
      <w:pPr>
        <w:ind w:left="720"/>
        <w:rPr>
          <w:rFonts w:ascii="Times New Roman" w:hAnsi="Times New Roman"/>
          <w:sz w:val="24"/>
        </w:rPr>
      </w:pPr>
      <w:r w:rsidRPr="00C33A8B">
        <w:rPr>
          <w:rFonts w:ascii="Times New Roman" w:hAnsi="Times New Roman"/>
          <w:b/>
          <w:bCs/>
          <w:sz w:val="24"/>
        </w:rPr>
        <w:t>EPA Response:</w:t>
      </w:r>
      <w:r w:rsidRPr="00A66D6B">
        <w:t xml:space="preserve"> </w:t>
      </w:r>
      <w:r w:rsidRPr="004C185A">
        <w:rPr>
          <w:rFonts w:ascii="Times New Roman" w:hAnsi="Times New Roman"/>
          <w:sz w:val="24"/>
        </w:rPr>
        <w:t xml:space="preserve">Based on comments on both the proposed options and the alternative approaches presented, EPA is finalizing the proposed provisions for STAA with the following modifications: </w:t>
      </w:r>
    </w:p>
    <w:p w:rsidR="003B12AF" w:rsidRPr="004C185A" w:rsidP="00F7582D" w14:paraId="1198C6E4" w14:textId="77777777">
      <w:pPr>
        <w:pStyle w:val="ListParagraph"/>
        <w:numPr>
          <w:ilvl w:val="0"/>
          <w:numId w:val="27"/>
        </w:numPr>
        <w:tabs>
          <w:tab w:val="left" w:pos="1080"/>
          <w:tab w:val="left" w:pos="1627"/>
          <w:tab w:val="left" w:pos="2160"/>
          <w:tab w:val="left" w:pos="2880"/>
        </w:tabs>
        <w:ind w:left="1080"/>
        <w:rPr>
          <w:rFonts w:ascii="Times New Roman" w:hAnsi="Times New Roman"/>
          <w:sz w:val="24"/>
        </w:rPr>
      </w:pPr>
      <w:r w:rsidRPr="004C185A">
        <w:rPr>
          <w:rFonts w:ascii="Times New Roman" w:hAnsi="Times New Roman"/>
          <w:sz w:val="24"/>
        </w:rPr>
        <w:t xml:space="preserve">Revising </w:t>
      </w:r>
      <w:bookmarkStart w:id="66" w:name="_Hlk133330897"/>
      <w:r w:rsidRPr="004C185A">
        <w:rPr>
          <w:rFonts w:ascii="Times New Roman" w:hAnsi="Times New Roman"/>
          <w:sz w:val="24"/>
        </w:rPr>
        <w:t>40 CFR 68.67(c)(9)</w:t>
      </w:r>
      <w:r w:rsidRPr="004C185A">
        <w:rPr>
          <w:rFonts w:ascii="Times New Roman" w:hAnsi="Times New Roman"/>
          <w:b/>
          <w:sz w:val="24"/>
        </w:rPr>
        <w:t xml:space="preserve"> </w:t>
      </w:r>
      <w:bookmarkEnd w:id="66"/>
      <w:r w:rsidRPr="004C185A">
        <w:rPr>
          <w:rFonts w:ascii="Times New Roman" w:hAnsi="Times New Roman"/>
          <w:sz w:val="24"/>
        </w:rPr>
        <w:t>to expand the STAA evaluation to all regulated facilities with Program 3 processes in NAICS codes 324 and 325.</w:t>
      </w:r>
    </w:p>
    <w:p w:rsidR="003B12AF" w:rsidRPr="004C185A" w:rsidP="00F7582D" w14:paraId="2D12CAE2" w14:textId="6FDA187E">
      <w:pPr>
        <w:pStyle w:val="ListParagraph"/>
        <w:numPr>
          <w:ilvl w:val="0"/>
          <w:numId w:val="27"/>
        </w:numPr>
        <w:tabs>
          <w:tab w:val="left" w:pos="1080"/>
          <w:tab w:val="left" w:pos="1627"/>
          <w:tab w:val="left" w:pos="2160"/>
          <w:tab w:val="left" w:pos="2880"/>
        </w:tabs>
        <w:ind w:left="1080"/>
        <w:rPr>
          <w:rFonts w:ascii="Times New Roman" w:hAnsi="Times New Roman"/>
          <w:sz w:val="24"/>
        </w:rPr>
      </w:pPr>
      <w:r w:rsidRPr="004C185A">
        <w:rPr>
          <w:rFonts w:ascii="Times New Roman" w:hAnsi="Times New Roman"/>
          <w:sz w:val="24"/>
        </w:rPr>
        <w:t>Revising 40 CFR 68.67(c)(9)(ii)</w:t>
      </w:r>
      <w:r w:rsidRPr="004C185A">
        <w:rPr>
          <w:rFonts w:ascii="Times New Roman" w:hAnsi="Times New Roman"/>
          <w:b/>
          <w:sz w:val="24"/>
        </w:rPr>
        <w:t xml:space="preserve"> </w:t>
      </w:r>
      <w:r w:rsidRPr="004C185A">
        <w:rPr>
          <w:rFonts w:ascii="Times New Roman" w:hAnsi="Times New Roman"/>
          <w:sz w:val="24"/>
        </w:rPr>
        <w:t xml:space="preserve">to expand the </w:t>
      </w:r>
      <w:r w:rsidR="00055ABB">
        <w:rPr>
          <w:rFonts w:ascii="Times New Roman" w:hAnsi="Times New Roman"/>
          <w:sz w:val="24"/>
        </w:rPr>
        <w:t>IST/ISD</w:t>
      </w:r>
      <w:r w:rsidRPr="004C185A">
        <w:rPr>
          <w:rFonts w:ascii="Times New Roman" w:hAnsi="Times New Roman"/>
          <w:sz w:val="24"/>
        </w:rPr>
        <w:t xml:space="preserve"> practicability assessment to regulated facilities with Program 3 processes in NAICS codes 324 and 325 that also have had at least one RMP-reportable accident under 40 CFR 68.42 since the facility’s most recent PHA.</w:t>
      </w:r>
    </w:p>
    <w:p w:rsidR="003B12AF" w:rsidRPr="004C185A" w:rsidP="00F7582D" w14:paraId="44FE0077" w14:textId="77777777">
      <w:pPr>
        <w:pStyle w:val="ListParagraph"/>
        <w:numPr>
          <w:ilvl w:val="0"/>
          <w:numId w:val="27"/>
        </w:numPr>
        <w:tabs>
          <w:tab w:val="left" w:pos="1080"/>
          <w:tab w:val="left" w:pos="1627"/>
          <w:tab w:val="left" w:pos="2160"/>
          <w:tab w:val="left" w:pos="2880"/>
        </w:tabs>
        <w:ind w:left="1080"/>
        <w:rPr>
          <w:rFonts w:ascii="Times New Roman" w:hAnsi="Times New Roman"/>
          <w:sz w:val="24"/>
        </w:rPr>
      </w:pPr>
      <w:r w:rsidRPr="004C185A">
        <w:rPr>
          <w:rFonts w:ascii="Times New Roman" w:hAnsi="Times New Roman"/>
          <w:sz w:val="24"/>
        </w:rPr>
        <w:t xml:space="preserve">Adding 40 CFR 68.67(h) to require implementation of at least one passive measure at an applicable facility, or an inherently safer technology or design, or a combination of active and procedural measures equivalent to or greater than the risk reduction of a passive measure. </w:t>
      </w:r>
    </w:p>
    <w:p w:rsidR="003B12AF" w:rsidRPr="00EA79A7" w:rsidP="003B12AF" w14:paraId="5F64B031" w14:textId="77777777">
      <w:pPr>
        <w:rPr>
          <w:rFonts w:ascii="Times New Roman" w:hAnsi="Times New Roman"/>
          <w:i/>
          <w:sz w:val="24"/>
        </w:rPr>
      </w:pPr>
      <w:r>
        <w:rPr>
          <w:rFonts w:ascii="Times New Roman" w:hAnsi="Times New Roman"/>
          <w:i/>
          <w:iCs/>
          <w:sz w:val="24"/>
        </w:rPr>
        <w:t>General opposition to or recommended revisions for STAA provisions</w:t>
      </w:r>
    </w:p>
    <w:p w:rsidR="003B12AF" w:rsidRPr="006F68E9" w:rsidP="003B12AF" w14:paraId="34C83546" w14:textId="77777777">
      <w:pPr>
        <w:rPr>
          <w:rFonts w:ascii="Times New Roman" w:hAnsi="Times New Roman"/>
          <w:sz w:val="24"/>
        </w:rPr>
      </w:pPr>
      <w:bookmarkStart w:id="67" w:name="_Toc146879993"/>
      <w:r>
        <w:rPr>
          <w:rFonts w:ascii="Times New Roman" w:hAnsi="Times New Roman"/>
          <w:b/>
          <w:bCs/>
          <w:sz w:val="24"/>
        </w:rPr>
        <w:t xml:space="preserve">Comment 6.1-02: </w:t>
      </w:r>
      <w:r w:rsidRPr="006B47CC">
        <w:rPr>
          <w:rFonts w:ascii="Times New Roman" w:hAnsi="Times New Roman"/>
          <w:sz w:val="24"/>
        </w:rPr>
        <w:t xml:space="preserve">Several commenters </w:t>
      </w:r>
      <w:r w:rsidRPr="2B9813E5">
        <w:rPr>
          <w:rFonts w:ascii="Times New Roman" w:hAnsi="Times New Roman"/>
          <w:sz w:val="24"/>
        </w:rPr>
        <w:t xml:space="preserve">urged EPA to continue rejecting IST requirements as it has historically been doing (0173, 0184, 0202, 0205, 0207, 0215, 0227, 0229, 0230, </w:t>
      </w:r>
      <w:r w:rsidRPr="2B9813E5">
        <w:rPr>
          <w:rFonts w:ascii="Times New Roman" w:eastAsia="Times New Roman" w:hAnsi="Times New Roman"/>
          <w:sz w:val="24"/>
        </w:rPr>
        <w:t xml:space="preserve">0233, </w:t>
      </w:r>
      <w:r w:rsidRPr="2B9813E5">
        <w:rPr>
          <w:rFonts w:ascii="Times New Roman" w:hAnsi="Times New Roman"/>
          <w:sz w:val="24"/>
        </w:rPr>
        <w:t xml:space="preserve">0266, </w:t>
      </w:r>
      <w:r w:rsidRPr="2B9813E5">
        <w:rPr>
          <w:rFonts w:ascii="Times New Roman" w:hAnsi="Times New Roman"/>
          <w:sz w:val="24"/>
        </w:rPr>
        <w:t xml:space="preserve">0261, 0268, 0271, 0272, 0275). </w:t>
      </w: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said</w:t>
      </w:r>
      <w:r w:rsidRPr="006F68E9">
        <w:rPr>
          <w:rFonts w:ascii="Times New Roman" w:hAnsi="Times New Roman"/>
          <w:sz w:val="24"/>
        </w:rPr>
        <w:t xml:space="preserve"> that in the first issued RMP regulations in 1996, EPA decided not to mandate IST analysis. The commenter stated that the same fundamental issues and problems stand today (0227). </w:t>
      </w:r>
    </w:p>
    <w:p w:rsidR="003B12AF" w:rsidRPr="006F68E9" w:rsidP="003B12AF" w14:paraId="7FB0805D" w14:textId="762EB71E">
      <w:pPr>
        <w:rPr>
          <w:rFonts w:ascii="Times New Roman" w:hAnsi="Times New Roman"/>
          <w:sz w:val="24"/>
        </w:rPr>
      </w:pPr>
      <w:r w:rsidRPr="006B47CC">
        <w:rPr>
          <w:rFonts w:ascii="Times New Roman" w:hAnsi="Times New Roman"/>
          <w:sz w:val="24"/>
        </w:rPr>
        <w:t>Several commenters support EPA’s IST requirements but recommended that EPA make some adjustments (0107, 0148, 0257, 0444).</w:t>
      </w:r>
    </w:p>
    <w:p w:rsidR="003B12AF" w:rsidRPr="006F68E9" w:rsidP="003B12AF" w14:paraId="313969FF"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stated that the currently approved PHA methodologies already provide successful risk mitigation</w:t>
      </w:r>
      <w:r>
        <w:rPr>
          <w:rFonts w:ascii="Times New Roman" w:hAnsi="Times New Roman"/>
          <w:sz w:val="24"/>
        </w:rPr>
        <w:t>,</w:t>
      </w:r>
      <w:r w:rsidRPr="006F68E9">
        <w:rPr>
          <w:rFonts w:ascii="Times New Roman" w:hAnsi="Times New Roman"/>
          <w:sz w:val="24"/>
        </w:rPr>
        <w:t xml:space="preserve"> and IST requirements would duplicate this effort (0263).</w:t>
      </w:r>
      <w:r>
        <w:rPr>
          <w:rFonts w:ascii="Times New Roman" w:hAnsi="Times New Roman"/>
          <w:sz w:val="24"/>
        </w:rPr>
        <w:t xml:space="preserve"> </w:t>
      </w:r>
      <w:r w:rsidRPr="006F68E9">
        <w:rPr>
          <w:rFonts w:ascii="Times New Roman" w:hAnsi="Times New Roman"/>
          <w:sz w:val="24"/>
        </w:rPr>
        <w:t xml:space="preserve">One of the commenters </w:t>
      </w:r>
      <w:r>
        <w:rPr>
          <w:rFonts w:ascii="Times New Roman" w:hAnsi="Times New Roman"/>
          <w:sz w:val="24"/>
        </w:rPr>
        <w:t>stated</w:t>
      </w:r>
      <w:r w:rsidRPr="006F68E9">
        <w:rPr>
          <w:rFonts w:ascii="Times New Roman" w:hAnsi="Times New Roman"/>
          <w:sz w:val="24"/>
        </w:rPr>
        <w:t xml:space="preserve"> that ambiguities in the proposed STAA requirements would make compliance difficult (0215). </w:t>
      </w:r>
    </w:p>
    <w:p w:rsidR="003B12AF" w:rsidP="003B12AF" w14:paraId="02A41902" w14:textId="77777777">
      <w:pPr>
        <w:rPr>
          <w:rFonts w:ascii="Times New Roman" w:hAnsi="Times New Roman"/>
          <w:sz w:val="24"/>
        </w:rPr>
      </w:pPr>
      <w:r w:rsidRPr="00EB63AB">
        <w:rPr>
          <w:rFonts w:ascii="Times New Roman" w:hAnsi="Times New Roman"/>
          <w:sz w:val="24"/>
        </w:rPr>
        <w:t xml:space="preserve">Another commenter stated that inherent safety of an alternative is a relative concept that is dependent on the hazard assessed and the current technology being used at a facility and has little practical application in the hazard evaluation context. The commenter added that there is no “zero-risk” technology that will be the inherently safer alternative under every circumstance and by mandating alternative analysis, EPA is encouraging facilities to consider active risk-shifting (0233). </w:t>
      </w:r>
    </w:p>
    <w:p w:rsidR="003B12AF" w:rsidRPr="006F68E9" w:rsidP="003B12AF" w14:paraId="6C600C22" w14:textId="77777777">
      <w:pPr>
        <w:rPr>
          <w:rFonts w:ascii="Times New Roman" w:hAnsi="Times New Roman"/>
          <w:sz w:val="24"/>
        </w:rPr>
      </w:pPr>
      <w:r w:rsidRPr="00980233">
        <w:rPr>
          <w:rFonts w:ascii="Times New Roman" w:hAnsi="Times New Roman"/>
          <w:sz w:val="24"/>
        </w:rPr>
        <w:t>Another commenter stated that different state agencies use different terms to describe IST and inherently safer design (ISD), and EPA proposing to use STAA adds to the confusion (0173).</w:t>
      </w:r>
    </w:p>
    <w:p w:rsidR="00B036CE" w:rsidRPr="00F7582D" w:rsidP="00F7582D" w14:paraId="6596F0A4" w14:textId="045A4816">
      <w:pPr>
        <w:pStyle w:val="BodyText"/>
        <w:spacing w:before="120" w:after="120" w:line="240" w:lineRule="auto"/>
        <w:ind w:left="720" w:firstLine="0"/>
        <w:rPr>
          <w:b/>
          <w:bCs/>
          <w:szCs w:val="24"/>
        </w:rPr>
      </w:pPr>
      <w:r>
        <w:rPr>
          <w:b/>
          <w:bCs/>
        </w:rPr>
        <w:t xml:space="preserve">EPA Response: </w:t>
      </w:r>
      <w:bookmarkEnd w:id="67"/>
      <w:r w:rsidRPr="00B036CE">
        <w:rPr>
          <w:sz w:val="22"/>
          <w:szCs w:val="22"/>
        </w:rPr>
        <w:t xml:space="preserve"> </w:t>
      </w:r>
      <w:r w:rsidRPr="00945E47">
        <w:rPr>
          <w:szCs w:val="24"/>
        </w:rPr>
        <w:t>EPA believes that where feasible, reducing or eliminating hazards through change in materials, chemistry, or process variables is preferable to adding layers of safety to a process. While layers of passive, active or procedural controls will reduce the risk, they will do nothing to reduce the nature of the hazard itself. Failure of control devices or human error can result in an accidental release. However, inherent safety seeks to preferentially remove the hazard at the source, as opposed to accepting the hazard and attempting to mitigate the effects. In addition to eliminating or reducing a hazard, IST can also minimize the impact of a release or terminate the accident sequence before there are major impacts on people, property or the environment.</w:t>
      </w:r>
      <w:r w:rsidRPr="00945E47" w:rsidR="004E762E">
        <w:rPr>
          <w:szCs w:val="24"/>
        </w:rPr>
        <w:t xml:space="preserve"> The PHA can and should consider IST as hazard reduction or risk management measures where feasible and appropriate. Opportunities for the application of the inherently safer strategy of simplification can be evaluated for each safety device or procedure during a PHA as well as in review of mechanical integrity program practices and </w:t>
      </w:r>
      <w:r w:rsidRPr="00945E47" w:rsidR="00945E47">
        <w:rPr>
          <w:szCs w:val="24"/>
        </w:rPr>
        <w:t>procedures.</w:t>
      </w:r>
    </w:p>
    <w:p w:rsidR="003B12AF" w:rsidRPr="00C05D0A" w:rsidP="00F7582D" w14:paraId="3BBE6D37" w14:textId="2BB3762B">
      <w:pPr>
        <w:pStyle w:val="BodyText"/>
        <w:spacing w:before="120" w:after="120" w:line="240" w:lineRule="auto"/>
        <w:ind w:left="720" w:firstLine="0"/>
        <w:rPr>
          <w:rStyle w:val="eop"/>
        </w:rPr>
      </w:pPr>
      <w:r>
        <w:t>Regarding</w:t>
      </w:r>
      <w:r w:rsidR="0079601A">
        <w:t xml:space="preserve"> the safeguard implementation provision of the rule, </w:t>
      </w:r>
      <w:r w:rsidRPr="00EC2E78">
        <w:t>EPA</w:t>
      </w:r>
      <w:r>
        <w:t xml:space="preserve"> acknowledges </w:t>
      </w:r>
      <w:r w:rsidRPr="00EC2E78">
        <w:t xml:space="preserve">that </w:t>
      </w:r>
      <w:r>
        <w:t>the requirement to control hazards h</w:t>
      </w:r>
      <w:r w:rsidRPr="00EC2E78">
        <w:t xml:space="preserve">as been a </w:t>
      </w:r>
      <w:r>
        <w:t xml:space="preserve">PHA </w:t>
      </w:r>
      <w:r w:rsidRPr="00EC2E78">
        <w:t>requirement since the inception of the rule</w:t>
      </w:r>
      <w:r>
        <w:t>. Therefore</w:t>
      </w:r>
      <w:r>
        <w:t>,</w:t>
      </w:r>
      <w:r w:rsidRPr="00EC2E78">
        <w:t xml:space="preserve"> some </w:t>
      </w:r>
      <w:r>
        <w:t xml:space="preserve">passive (or equivalent) </w:t>
      </w:r>
      <w:r w:rsidRPr="00EC2E78">
        <w:t>safeguard</w:t>
      </w:r>
      <w:r>
        <w:t xml:space="preserve">s to control hazards are likely </w:t>
      </w:r>
      <w:r w:rsidRPr="00EC2E78">
        <w:t>already</w:t>
      </w:r>
      <w:r>
        <w:t xml:space="preserve"> </w:t>
      </w:r>
      <w:r w:rsidRPr="00EC2E78">
        <w:t xml:space="preserve">in place </w:t>
      </w:r>
      <w:r>
        <w:t xml:space="preserve">within facility processes. </w:t>
      </w:r>
      <w:r w:rsidRPr="00EC2E78">
        <w:t xml:space="preserve">Facilities that have already implemented </w:t>
      </w:r>
      <w:r>
        <w:t>passive measures or an equivalent level of risk reduction</w:t>
      </w:r>
      <w:r w:rsidRPr="00EC2E78">
        <w:t xml:space="preserve"> should document their implementation in their next PHA, determine whether there is additional information that should be considered in their STAA, and continue to consider additional </w:t>
      </w:r>
      <w:r>
        <w:t xml:space="preserve">passive (or equivalent) measures </w:t>
      </w:r>
      <w:r w:rsidRPr="00EC2E78">
        <w:t>during subsequent PHA re-validation cycles.</w:t>
      </w:r>
    </w:p>
    <w:p w:rsidR="003B12AF" w:rsidP="003B12AF" w14:paraId="1370A0F0" w14:textId="77777777">
      <w:pPr>
        <w:rPr>
          <w:rFonts w:ascii="Times New Roman" w:hAnsi="Times New Roman"/>
          <w:sz w:val="24"/>
        </w:rPr>
      </w:pPr>
      <w:r w:rsidRPr="008A605A">
        <w:rPr>
          <w:rFonts w:ascii="Times New Roman" w:hAnsi="Times New Roman"/>
          <w:b/>
          <w:bCs/>
          <w:sz w:val="24"/>
        </w:rPr>
        <w:t>Comment</w:t>
      </w:r>
      <w:r>
        <w:rPr>
          <w:rFonts w:ascii="Times New Roman" w:hAnsi="Times New Roman"/>
          <w:b/>
          <w:bCs/>
          <w:sz w:val="24"/>
        </w:rPr>
        <w:t xml:space="preserve"> 6.1-03</w:t>
      </w:r>
      <w:r w:rsidRPr="008A605A">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 couple of commenters urged EPA to use correct assumptions for incident data when determining STAA requirements (0270, 0274). For example, one of the commenters highlighted that the low-probability, but high-consequence events cannot be reliably predicted by looking at an overall trend. The commenter recommended EPA review the incident data in a way </w:t>
      </w:r>
      <w:r w:rsidRPr="006F68E9">
        <w:rPr>
          <w:rFonts w:ascii="Times New Roman" w:hAnsi="Times New Roman"/>
          <w:sz w:val="24"/>
        </w:rPr>
        <w:t>that best reflects the reality of the hazard impacts to workers and communities on the fenceline and nearby (0270).</w:t>
      </w:r>
    </w:p>
    <w:p w:rsidR="003B12AF" w:rsidRPr="008A605A" w:rsidP="003B12AF" w14:paraId="62DAD560" w14:textId="7581B63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STAA requirements have not been proven to have any measurable risk reduction benefits. The commenter highlighted EPA’s failure to analyze recent changes in accident rates in jurisdictions with STAA or STAA-like requirements to confirm the effectiveness of STAA in preventing accidents. For example, a fresh analysis of new data from the implementation of the California Refinery Process Safety Management (</w:t>
      </w:r>
      <w:r w:rsidRPr="55365EDD" w:rsidR="006A7C04">
        <w:rPr>
          <w:rFonts w:ascii="Times New Roman" w:hAnsi="Times New Roman"/>
          <w:sz w:val="24"/>
        </w:rPr>
        <w:t>CAL</w:t>
      </w:r>
      <w:r w:rsidRPr="55365EDD">
        <w:rPr>
          <w:rFonts w:ascii="Times New Roman" w:hAnsi="Times New Roman"/>
          <w:sz w:val="24"/>
        </w:rPr>
        <w:t>PSM</w:t>
      </w:r>
      <w:r w:rsidRPr="006F68E9">
        <w:rPr>
          <w:rFonts w:ascii="Times New Roman" w:hAnsi="Times New Roman"/>
          <w:sz w:val="24"/>
        </w:rPr>
        <w:t xml:space="preserve">) and CalARP requirements—finalized shortly after the issuance of the 2017 RMP Amendments </w:t>
      </w:r>
      <w:r>
        <w:rPr>
          <w:rFonts w:ascii="Times New Roman" w:hAnsi="Times New Roman"/>
          <w:sz w:val="24"/>
        </w:rPr>
        <w:t>final rule</w:t>
      </w:r>
      <w:r w:rsidRPr="006F68E9">
        <w:rPr>
          <w:rFonts w:ascii="Times New Roman" w:hAnsi="Times New Roman"/>
          <w:sz w:val="24"/>
        </w:rPr>
        <w:t xml:space="preserve">—could inform EPA’s understanding of the efficacy of inherent safety analyses (0233). </w:t>
      </w:r>
    </w:p>
    <w:p w:rsidR="00672779" w:rsidP="00F7582D" w14:paraId="1B274CD2" w14:textId="3EB6D851">
      <w:pPr>
        <w:pStyle w:val="BodyText"/>
        <w:spacing w:before="120" w:after="120" w:line="240" w:lineRule="auto"/>
        <w:ind w:left="720" w:firstLine="0"/>
        <w:rPr>
          <w:rFonts w:eastAsiaTheme="minorEastAsia"/>
          <w:szCs w:val="24"/>
        </w:rPr>
      </w:pPr>
      <w:r w:rsidRPr="00450619">
        <w:rPr>
          <w:rFonts w:eastAsiaTheme="minorEastAsia"/>
          <w:b/>
          <w:bCs/>
          <w:szCs w:val="24"/>
        </w:rPr>
        <w:t>EPA Response:</w:t>
      </w:r>
      <w:r w:rsidRPr="00450619">
        <w:rPr>
          <w:rFonts w:eastAsiaTheme="minorEastAsia"/>
          <w:szCs w:val="24"/>
        </w:rPr>
        <w:t xml:space="preserve"> </w:t>
      </w:r>
      <w:r w:rsidR="007C182D">
        <w:rPr>
          <w:rFonts w:eastAsiaTheme="minorEastAsia"/>
          <w:szCs w:val="24"/>
        </w:rPr>
        <w:t>E</w:t>
      </w:r>
      <w:r w:rsidRPr="00450619">
        <w:rPr>
          <w:rFonts w:eastAsiaTheme="minorEastAsia"/>
          <w:szCs w:val="24"/>
        </w:rPr>
        <w:t xml:space="preserve">PA disagrees with commenters indicating implementation of STAA measures has no proven benefits. A review of corrective actions following RMP accidents provides insight that practicable methods to address hazards are not infrequently found after accidents, which suggests the rule could be strengthened by providing incentives to implement those controls in advance of the </w:t>
      </w:r>
      <w:r w:rsidRPr="00450619">
        <w:rPr>
          <w:rFonts w:eastAsiaTheme="minorEastAsia"/>
          <w:szCs w:val="24"/>
        </w:rPr>
        <w:t>accident</w:t>
      </w:r>
      <w:r w:rsidRPr="00450619">
        <w:rPr>
          <w:rFonts w:eastAsiaTheme="minorEastAsia"/>
          <w:szCs w:val="24"/>
        </w:rPr>
        <w:t>. In reviewing RMP data from facilities subject to the practicability assessment and this STAA safeguard implementation provision (621 facilities), 59 percent of facilities indicated in their most recent PHA, some type of change was implemented. On average, 1.2 process safety changes</w:t>
      </w:r>
      <w:r>
        <w:rPr>
          <w:rFonts w:eastAsiaTheme="minorEastAsia"/>
          <w:szCs w:val="24"/>
        </w:rPr>
        <w:footnoteReference w:id="79"/>
      </w:r>
      <w:r w:rsidRPr="00450619">
        <w:rPr>
          <w:rFonts w:eastAsiaTheme="minorEastAsia"/>
          <w:szCs w:val="24"/>
        </w:rPr>
        <w:t xml:space="preserve"> were implemented because of the PHA, but of those facilities having accidents (16.8 percent), an average of 2.2 process safety changes were made after an accident occurred</w:t>
      </w:r>
      <w:r w:rsidRPr="00450619">
        <w:rPr>
          <w:rFonts w:eastAsiaTheme="minorEastAsia"/>
          <w:szCs w:val="24"/>
        </w:rPr>
        <w:t>.</w:t>
      </w:r>
      <w:r>
        <w:rPr>
          <w:rStyle w:val="FootnoteReference"/>
          <w:rFonts w:eastAsiaTheme="minorEastAsia"/>
          <w:szCs w:val="24"/>
        </w:rPr>
        <w:footnoteReference w:id="80"/>
      </w:r>
      <w:r w:rsidRPr="00450619">
        <w:rPr>
          <w:rFonts w:eastAsiaTheme="minorEastAsia"/>
          <w:szCs w:val="24"/>
        </w:rPr>
        <w:t xml:space="preserve"> </w:t>
      </w:r>
      <w:r w:rsidR="0007006C">
        <w:rPr>
          <w:rFonts w:eastAsiaTheme="minorEastAsia"/>
          <w:szCs w:val="24"/>
        </w:rPr>
        <w:t xml:space="preserve">This review was one piece of evidence supporting EPA’s reasoned judgment that the risk reduction benefits of the STAA implementation justified the costs. Therefore, as RMP facility process change data has shown, </w:t>
      </w:r>
      <w:r w:rsidRPr="00450619">
        <w:rPr>
          <w:rFonts w:eastAsiaTheme="minorEastAsia"/>
          <w:szCs w:val="24"/>
        </w:rPr>
        <w:t xml:space="preserve">EPA </w:t>
      </w:r>
      <w:r w:rsidR="0007006C">
        <w:rPr>
          <w:rFonts w:eastAsiaTheme="minorEastAsia"/>
          <w:szCs w:val="24"/>
        </w:rPr>
        <w:t xml:space="preserve">expects </w:t>
      </w:r>
      <w:r w:rsidRPr="00450619">
        <w:rPr>
          <w:rFonts w:eastAsiaTheme="minorEastAsia"/>
          <w:szCs w:val="24"/>
        </w:rPr>
        <w:t xml:space="preserve">there </w:t>
      </w:r>
      <w:r w:rsidR="00355121">
        <w:rPr>
          <w:rFonts w:eastAsiaTheme="minorEastAsia"/>
          <w:szCs w:val="24"/>
        </w:rPr>
        <w:t>are benefits</w:t>
      </w:r>
      <w:r w:rsidRPr="00450619">
        <w:rPr>
          <w:rFonts w:eastAsiaTheme="minorEastAsia"/>
          <w:szCs w:val="24"/>
        </w:rPr>
        <w:t xml:space="preserve"> </w:t>
      </w:r>
      <w:r w:rsidRPr="00450619">
        <w:rPr>
          <w:rFonts w:eastAsiaTheme="minorEastAsia"/>
          <w:szCs w:val="24"/>
        </w:rPr>
        <w:t>to make risk reduction changes through the PHA prior to an accident occurring.</w:t>
      </w:r>
    </w:p>
    <w:p w:rsidR="003B12AF" w:rsidRPr="00F44742" w:rsidP="00E72223" w14:paraId="0038BAF1" w14:textId="04BFEC74">
      <w:pPr>
        <w:pStyle w:val="BodyText"/>
        <w:spacing w:before="120" w:after="120" w:line="240" w:lineRule="auto"/>
        <w:ind w:left="720" w:firstLine="0"/>
        <w:rPr>
          <w:rFonts w:eastAsiaTheme="minorEastAsia"/>
          <w:b/>
          <w:szCs w:val="24"/>
        </w:rPr>
      </w:pPr>
      <w:r>
        <w:rPr>
          <w:rFonts w:eastAsiaTheme="minorEastAsia"/>
          <w:szCs w:val="24"/>
        </w:rPr>
        <w:t>Regarding</w:t>
      </w:r>
      <w:r w:rsidR="00EE16FD">
        <w:rPr>
          <w:rFonts w:eastAsiaTheme="minorEastAsia"/>
          <w:szCs w:val="24"/>
        </w:rPr>
        <w:t xml:space="preserve"> </w:t>
      </w:r>
      <w:r w:rsidR="00E72223">
        <w:rPr>
          <w:rFonts w:eastAsiaTheme="minorEastAsia"/>
          <w:szCs w:val="24"/>
        </w:rPr>
        <w:t xml:space="preserve">the California </w:t>
      </w:r>
      <w:r w:rsidR="008B32AB">
        <w:rPr>
          <w:rFonts w:eastAsiaTheme="minorEastAsia"/>
          <w:szCs w:val="24"/>
        </w:rPr>
        <w:t>regulation</w:t>
      </w:r>
      <w:r>
        <w:rPr>
          <w:rFonts w:eastAsiaTheme="minorEastAsia"/>
          <w:szCs w:val="24"/>
        </w:rPr>
        <w:t>,</w:t>
      </w:r>
      <w:r w:rsidR="008B32AB">
        <w:rPr>
          <w:rFonts w:eastAsiaTheme="minorEastAsia"/>
          <w:szCs w:val="24"/>
        </w:rPr>
        <w:t xml:space="preserve"> </w:t>
      </w:r>
      <w:r w:rsidR="00E72223">
        <w:rPr>
          <w:rFonts w:eastAsiaTheme="minorEastAsia"/>
          <w:szCs w:val="24"/>
        </w:rPr>
        <w:t xml:space="preserve">Process Safety </w:t>
      </w:r>
      <w:r w:rsidRPr="00E72223" w:rsidR="00E72223">
        <w:rPr>
          <w:rFonts w:eastAsiaTheme="minorEastAsia"/>
          <w:szCs w:val="24"/>
        </w:rPr>
        <w:t>Management for Petroleum Refineries, CCR Title 8 §5189.1</w:t>
      </w:r>
      <w:r>
        <w:rPr>
          <w:rStyle w:val="FootnoteReference"/>
          <w:rFonts w:eastAsiaTheme="minorEastAsia"/>
          <w:szCs w:val="24"/>
        </w:rPr>
        <w:footnoteReference w:id="81"/>
      </w:r>
      <w:r>
        <w:rPr>
          <w:rFonts w:eastAsiaTheme="minorEastAsia"/>
          <w:szCs w:val="24"/>
        </w:rPr>
        <w:t xml:space="preserve">, </w:t>
      </w:r>
      <w:r w:rsidR="00431753">
        <w:rPr>
          <w:rFonts w:eastAsiaTheme="minorEastAsia"/>
          <w:szCs w:val="24"/>
        </w:rPr>
        <w:t xml:space="preserve">EPA met </w:t>
      </w:r>
      <w:r w:rsidR="00796679">
        <w:rPr>
          <w:rFonts w:eastAsiaTheme="minorEastAsia"/>
          <w:szCs w:val="24"/>
        </w:rPr>
        <w:t xml:space="preserve">with </w:t>
      </w:r>
      <w:r w:rsidR="00CF765A">
        <w:rPr>
          <w:rFonts w:eastAsiaTheme="minorEastAsia"/>
          <w:szCs w:val="24"/>
        </w:rPr>
        <w:t xml:space="preserve">the </w:t>
      </w:r>
      <w:r w:rsidR="000E1CD0">
        <w:rPr>
          <w:rFonts w:eastAsiaTheme="minorEastAsia"/>
          <w:szCs w:val="24"/>
        </w:rPr>
        <w:t>Cal</w:t>
      </w:r>
      <w:r w:rsidR="00CF765A">
        <w:rPr>
          <w:rFonts w:eastAsiaTheme="minorEastAsia"/>
          <w:szCs w:val="24"/>
        </w:rPr>
        <w:t>ifornia Department of Industrial Relations</w:t>
      </w:r>
      <w:r w:rsidRPr="00A17674" w:rsidR="00662348">
        <w:rPr>
          <w:rFonts w:eastAsiaTheme="minorEastAsia"/>
          <w:szCs w:val="24"/>
        </w:rPr>
        <w:t xml:space="preserve"> </w:t>
      </w:r>
      <w:r w:rsidR="00AE2454">
        <w:rPr>
          <w:rFonts w:eastAsiaTheme="minorEastAsia"/>
          <w:szCs w:val="24"/>
        </w:rPr>
        <w:t xml:space="preserve">(CalDIR) </w:t>
      </w:r>
      <w:r w:rsidR="00796679">
        <w:rPr>
          <w:rFonts w:eastAsiaTheme="minorEastAsia"/>
          <w:szCs w:val="24"/>
        </w:rPr>
        <w:t xml:space="preserve">prior to development of the proposal to discuss the effectiveness of </w:t>
      </w:r>
      <w:r w:rsidR="00EE16FD">
        <w:rPr>
          <w:rFonts w:eastAsiaTheme="minorEastAsia"/>
          <w:szCs w:val="24"/>
        </w:rPr>
        <w:t>the</w:t>
      </w:r>
      <w:r w:rsidR="00796679">
        <w:rPr>
          <w:rFonts w:eastAsiaTheme="minorEastAsia"/>
          <w:szCs w:val="24"/>
        </w:rPr>
        <w:t xml:space="preserve"> </w:t>
      </w:r>
      <w:r w:rsidR="00F37E04">
        <w:rPr>
          <w:rFonts w:eastAsiaTheme="minorEastAsia"/>
          <w:szCs w:val="24"/>
        </w:rPr>
        <w:t>new regulation</w:t>
      </w:r>
      <w:r w:rsidR="00603E6D">
        <w:rPr>
          <w:rFonts w:eastAsiaTheme="minorEastAsia"/>
          <w:szCs w:val="24"/>
        </w:rPr>
        <w:t>.</w:t>
      </w:r>
      <w:r w:rsidR="00796679">
        <w:rPr>
          <w:rFonts w:eastAsiaTheme="minorEastAsia"/>
          <w:szCs w:val="24"/>
        </w:rPr>
        <w:t xml:space="preserve"> CalDIR also </w:t>
      </w:r>
      <w:r w:rsidR="00603E6D">
        <w:rPr>
          <w:rFonts w:eastAsiaTheme="minorEastAsia"/>
          <w:szCs w:val="24"/>
        </w:rPr>
        <w:t xml:space="preserve">gave </w:t>
      </w:r>
      <w:r w:rsidR="00E17D3E">
        <w:rPr>
          <w:rFonts w:eastAsiaTheme="minorEastAsia"/>
          <w:szCs w:val="24"/>
        </w:rPr>
        <w:t xml:space="preserve">verbal remarks </w:t>
      </w:r>
      <w:r w:rsidR="00F37E04">
        <w:rPr>
          <w:rFonts w:eastAsiaTheme="minorEastAsia"/>
          <w:szCs w:val="24"/>
        </w:rPr>
        <w:t xml:space="preserve">and </w:t>
      </w:r>
      <w:r w:rsidRPr="00A17674" w:rsidR="00662348">
        <w:rPr>
          <w:rFonts w:eastAsiaTheme="minorEastAsia"/>
          <w:szCs w:val="24"/>
        </w:rPr>
        <w:t xml:space="preserve">submitted comments in response to </w:t>
      </w:r>
      <w:r w:rsidR="00CC1CAD">
        <w:rPr>
          <w:rFonts w:eastAsiaTheme="minorEastAsia"/>
          <w:szCs w:val="24"/>
        </w:rPr>
        <w:t xml:space="preserve">the </w:t>
      </w:r>
      <w:r w:rsidR="004B7BDD">
        <w:rPr>
          <w:rFonts w:eastAsiaTheme="minorEastAsia"/>
          <w:szCs w:val="24"/>
        </w:rPr>
        <w:t>“</w:t>
      </w:r>
      <w:r w:rsidRPr="00CC1CAD" w:rsidR="00CC1CAD">
        <w:rPr>
          <w:rFonts w:eastAsiaTheme="minorEastAsia"/>
          <w:szCs w:val="24"/>
        </w:rPr>
        <w:t>Notice of virtual public listening sessions; request for public comment” (86 FR 28828)</w:t>
      </w:r>
      <w:r w:rsidRPr="00A17674" w:rsidR="00C6780A">
        <w:rPr>
          <w:rFonts w:eastAsiaTheme="minorEastAsia"/>
          <w:szCs w:val="24"/>
        </w:rPr>
        <w:t>.</w:t>
      </w:r>
      <w:r>
        <w:rPr>
          <w:rStyle w:val="FootnoteReference"/>
          <w:rFonts w:eastAsiaTheme="minorEastAsia"/>
          <w:szCs w:val="24"/>
        </w:rPr>
        <w:footnoteReference w:id="82"/>
      </w:r>
      <w:r w:rsidRPr="00C6780A" w:rsidR="00C6780A">
        <w:rPr>
          <w:rFonts w:eastAsiaTheme="minorEastAsia"/>
          <w:szCs w:val="24"/>
        </w:rPr>
        <w:t xml:space="preserve"> </w:t>
      </w:r>
      <w:r w:rsidR="004707CE">
        <w:rPr>
          <w:rFonts w:eastAsiaTheme="minorEastAsia"/>
          <w:szCs w:val="24"/>
        </w:rPr>
        <w:t>CalDIR’s</w:t>
      </w:r>
      <w:r w:rsidR="00A90062">
        <w:rPr>
          <w:rFonts w:eastAsiaTheme="minorEastAsia"/>
          <w:szCs w:val="24"/>
        </w:rPr>
        <w:t xml:space="preserve"> comments </w:t>
      </w:r>
      <w:r w:rsidR="003171BC">
        <w:rPr>
          <w:rFonts w:eastAsiaTheme="minorEastAsia"/>
          <w:szCs w:val="24"/>
        </w:rPr>
        <w:t>referenced</w:t>
      </w:r>
      <w:r w:rsidR="004707CE">
        <w:rPr>
          <w:rFonts w:eastAsiaTheme="minorEastAsia"/>
          <w:szCs w:val="24"/>
        </w:rPr>
        <w:t xml:space="preserve"> their new regulations. </w:t>
      </w:r>
      <w:r w:rsidR="008346A3">
        <w:rPr>
          <w:rFonts w:eastAsiaTheme="minorEastAsia"/>
          <w:szCs w:val="24"/>
        </w:rPr>
        <w:t xml:space="preserve">EPA reviewed </w:t>
      </w:r>
      <w:r w:rsidR="00CC5239">
        <w:rPr>
          <w:rFonts w:eastAsiaTheme="minorEastAsia"/>
          <w:szCs w:val="24"/>
        </w:rPr>
        <w:t xml:space="preserve">and considered those </w:t>
      </w:r>
      <w:r w:rsidR="000E1CD0">
        <w:rPr>
          <w:rFonts w:eastAsiaTheme="minorEastAsia"/>
          <w:szCs w:val="24"/>
        </w:rPr>
        <w:t>comments</w:t>
      </w:r>
      <w:r w:rsidR="001B6BF3">
        <w:rPr>
          <w:rFonts w:eastAsiaTheme="minorEastAsia"/>
          <w:szCs w:val="24"/>
        </w:rPr>
        <w:t xml:space="preserve"> </w:t>
      </w:r>
      <w:r w:rsidR="007E1D43">
        <w:rPr>
          <w:rFonts w:eastAsiaTheme="minorEastAsia"/>
          <w:szCs w:val="24"/>
        </w:rPr>
        <w:t xml:space="preserve">for the SCCAP </w:t>
      </w:r>
      <w:r w:rsidR="00A17674">
        <w:rPr>
          <w:rFonts w:eastAsiaTheme="minorEastAsia"/>
          <w:szCs w:val="24"/>
        </w:rPr>
        <w:t>proposal</w:t>
      </w:r>
      <w:r w:rsidR="000E1CD0">
        <w:rPr>
          <w:rFonts w:eastAsiaTheme="minorEastAsia"/>
          <w:szCs w:val="24"/>
        </w:rPr>
        <w:t xml:space="preserve">. </w:t>
      </w:r>
    </w:p>
    <w:p w:rsidR="003B12AF" w:rsidRPr="006F68E9" w:rsidP="003B12AF" w14:paraId="1B6854B8" w14:textId="77777777">
      <w:pPr>
        <w:rPr>
          <w:rFonts w:ascii="Times New Roman" w:hAnsi="Times New Roman"/>
          <w:sz w:val="24"/>
        </w:rPr>
      </w:pPr>
      <w:r w:rsidRPr="00450619">
        <w:rPr>
          <w:rFonts w:ascii="Times New Roman" w:hAnsi="Times New Roman"/>
          <w:b/>
          <w:bCs/>
          <w:sz w:val="24"/>
        </w:rPr>
        <w:t>Comment</w:t>
      </w:r>
      <w:r>
        <w:rPr>
          <w:rFonts w:ascii="Times New Roman" w:hAnsi="Times New Roman"/>
          <w:b/>
          <w:bCs/>
          <w:sz w:val="24"/>
        </w:rPr>
        <w:t xml:space="preserve"> 6.1-04</w:t>
      </w:r>
      <w:r w:rsidRPr="00450619">
        <w:rPr>
          <w:rFonts w:ascii="Times New Roman" w:hAnsi="Times New Roman"/>
          <w:b/>
          <w:bCs/>
          <w:sz w:val="24"/>
        </w:rPr>
        <w:t>:</w:t>
      </w:r>
      <w:r w:rsidRPr="00450619">
        <w:rPr>
          <w:rFonts w:ascii="Times New Roman" w:hAnsi="Times New Roman"/>
          <w:sz w:val="24"/>
        </w:rPr>
        <w:t xml:space="preserve"> </w:t>
      </w:r>
      <w:r w:rsidRPr="006F68E9">
        <w:rPr>
          <w:rFonts w:ascii="Times New Roman" w:hAnsi="Times New Roman"/>
          <w:sz w:val="24"/>
        </w:rPr>
        <w:t xml:space="preserve">A few commenters suggested EPA strengthen the STAA to protect more workers and address environmental justice (0152, 0183, </w:t>
      </w:r>
      <w:r>
        <w:rPr>
          <w:rFonts w:ascii="Times New Roman" w:hAnsi="Times New Roman"/>
          <w:sz w:val="24"/>
        </w:rPr>
        <w:t xml:space="preserve">0203, </w:t>
      </w:r>
      <w:r w:rsidRPr="006F68E9">
        <w:rPr>
          <w:rFonts w:ascii="Times New Roman" w:hAnsi="Times New Roman"/>
          <w:sz w:val="24"/>
        </w:rPr>
        <w:t>0456).</w:t>
      </w:r>
      <w:r w:rsidRPr="00C90230">
        <w:rPr>
          <w:rFonts w:ascii="Times New Roman" w:hAnsi="Times New Roman"/>
          <w:sz w:val="24"/>
        </w:rPr>
        <w:t xml:space="preserve"> </w:t>
      </w:r>
      <w:r w:rsidRPr="00122B3F">
        <w:rPr>
          <w:rFonts w:ascii="Times New Roman" w:hAnsi="Times New Roman"/>
          <w:sz w:val="24"/>
        </w:rPr>
        <w:t xml:space="preserve">One commenter specifically </w:t>
      </w:r>
      <w:r>
        <w:rPr>
          <w:rFonts w:ascii="Times New Roman" w:hAnsi="Times New Roman"/>
          <w:sz w:val="24"/>
        </w:rPr>
        <w:t>discussed</w:t>
      </w:r>
      <w:r w:rsidRPr="00122B3F">
        <w:rPr>
          <w:rFonts w:ascii="Times New Roman" w:hAnsi="Times New Roman"/>
          <w:sz w:val="24"/>
        </w:rPr>
        <w:t xml:space="preserve"> reproductive health, requesting that EPA require all facilities regulated under the </w:t>
      </w:r>
      <w:r>
        <w:rPr>
          <w:rFonts w:ascii="Times New Roman" w:hAnsi="Times New Roman"/>
          <w:sz w:val="24"/>
        </w:rPr>
        <w:t>p</w:t>
      </w:r>
      <w:r w:rsidRPr="00122B3F">
        <w:rPr>
          <w:rFonts w:ascii="Times New Roman" w:hAnsi="Times New Roman"/>
          <w:sz w:val="24"/>
        </w:rPr>
        <w:t xml:space="preserve">roposed </w:t>
      </w:r>
      <w:r>
        <w:rPr>
          <w:rFonts w:ascii="Times New Roman" w:hAnsi="Times New Roman"/>
          <w:sz w:val="24"/>
        </w:rPr>
        <w:t>r</w:t>
      </w:r>
      <w:r w:rsidRPr="00122B3F">
        <w:rPr>
          <w:rFonts w:ascii="Times New Roman" w:hAnsi="Times New Roman"/>
          <w:sz w:val="24"/>
        </w:rPr>
        <w:t xml:space="preserve">ule to implement inherently safer chemicals and processes because it would support the reproductive health of </w:t>
      </w:r>
      <w:r>
        <w:rPr>
          <w:rFonts w:ascii="Times New Roman" w:hAnsi="Times New Roman"/>
          <w:sz w:val="24"/>
        </w:rPr>
        <w:t xml:space="preserve">facility </w:t>
      </w:r>
      <w:r w:rsidRPr="00122B3F">
        <w:rPr>
          <w:rFonts w:ascii="Times New Roman" w:hAnsi="Times New Roman"/>
          <w:sz w:val="24"/>
        </w:rPr>
        <w:t>workers</w:t>
      </w:r>
      <w:r>
        <w:rPr>
          <w:rFonts w:ascii="Times New Roman" w:hAnsi="Times New Roman"/>
          <w:sz w:val="24"/>
        </w:rPr>
        <w:t xml:space="preserve">, fenceline communities, and </w:t>
      </w:r>
      <w:r w:rsidRPr="00122B3F">
        <w:rPr>
          <w:rFonts w:ascii="Times New Roman" w:hAnsi="Times New Roman"/>
          <w:sz w:val="24"/>
        </w:rPr>
        <w:t>across the supply chain (0160).</w:t>
      </w:r>
    </w:p>
    <w:p w:rsidR="003B12AF" w:rsidRPr="00B31A56" w:rsidP="003B12AF" w14:paraId="0C86CDEC" w14:textId="77777777">
      <w:pPr>
        <w:pStyle w:val="pf0"/>
        <w:spacing w:before="120" w:beforeAutospacing="0" w:after="120" w:afterAutospacing="0"/>
        <w:rPr>
          <w:rFonts w:eastAsiaTheme="minorEastAsia"/>
        </w:rPr>
      </w:pPr>
      <w:r w:rsidRPr="00B31A56">
        <w:rPr>
          <w:rFonts w:eastAsiaTheme="minorEastAsia"/>
        </w:rPr>
        <w:t>One commenter stated that by requiring only a narrow subset of high hazard facilities to conduct STAAs, the current proposal fails to address environmental justice disparities around many types of RMP facilities--disparities in terms of housing value, household income, race and ethnicity, education levels, and poverty which are consistently found near many high-hazard facilities, not just those 5% of facilities where EPA plans to require an STAA. The commenter further stated that less than 9% of the workers employed at RMP sites would be protected from a chemical release by the proposed STAA requirements (0203).</w:t>
      </w:r>
    </w:p>
    <w:p w:rsidR="003B12AF" w:rsidRPr="00B31A56" w:rsidP="003B12AF" w14:paraId="2A9685A4" w14:textId="77777777">
      <w:pPr>
        <w:pStyle w:val="pf0"/>
        <w:spacing w:before="120" w:beforeAutospacing="0" w:after="120" w:afterAutospacing="0"/>
        <w:rPr>
          <w:rFonts w:eastAsiaTheme="minorEastAsia"/>
        </w:rPr>
      </w:pPr>
      <w:r w:rsidRPr="00B31A56">
        <w:rPr>
          <w:rFonts w:eastAsiaTheme="minorEastAsia"/>
        </w:rPr>
        <w:t xml:space="preserve">In an analysis performed by one commenter, they found </w:t>
      </w:r>
      <w:r>
        <w:rPr>
          <w:rFonts w:eastAsiaTheme="minorEastAsia"/>
        </w:rPr>
        <w:t>a</w:t>
      </w:r>
      <w:r w:rsidRPr="00B31A56">
        <w:rPr>
          <w:rFonts w:eastAsiaTheme="minorEastAsia"/>
        </w:rPr>
        <w:t xml:space="preserve"> failure of the STAA program to have a meaningful impact on environmental justice, which the commenter stated indicates the need to increase the coverage of STAA (0183).</w:t>
      </w:r>
    </w:p>
    <w:p w:rsidR="003B12AF" w:rsidP="003B12AF" w14:paraId="6B91B32D" w14:textId="07956D54">
      <w:pPr>
        <w:ind w:left="720"/>
        <w:rPr>
          <w:rFonts w:ascii="Times New Roman" w:hAnsi="Times New Roman"/>
          <w:sz w:val="24"/>
        </w:rPr>
      </w:pPr>
      <w:r w:rsidRPr="00500A7C">
        <w:rPr>
          <w:rFonts w:ascii="Times New Roman" w:hAnsi="Times New Roman"/>
          <w:b/>
          <w:bCs/>
          <w:sz w:val="24"/>
        </w:rPr>
        <w:t>EPA Response:</w:t>
      </w:r>
      <w:r w:rsidRPr="00BD451C">
        <w:rPr>
          <w:rFonts w:ascii="Times New Roman" w:hAnsi="Times New Roman"/>
          <w:sz w:val="24"/>
        </w:rPr>
        <w:t xml:space="preserve"> </w:t>
      </w:r>
      <w:r w:rsidRPr="00500A7C">
        <w:rPr>
          <w:rFonts w:ascii="Times New Roman" w:hAnsi="Times New Roman"/>
          <w:sz w:val="24"/>
        </w:rPr>
        <w:t xml:space="preserve">EPA has considered </w:t>
      </w:r>
      <w:r w:rsidR="00165A47">
        <w:rPr>
          <w:rFonts w:ascii="Times New Roman" w:hAnsi="Times New Roman"/>
          <w:sz w:val="24"/>
        </w:rPr>
        <w:t>impacts and risks to local communities, including communities with EJ concerns</w:t>
      </w:r>
      <w:r w:rsidRPr="00500A7C">
        <w:rPr>
          <w:rFonts w:ascii="Times New Roman" w:hAnsi="Times New Roman"/>
          <w:sz w:val="24"/>
        </w:rPr>
        <w:t xml:space="preserve"> and fenceline communities throughout the rulemaking process. </w:t>
      </w:r>
      <w:r w:rsidRPr="00500A7C">
        <w:rPr>
          <w:rFonts w:ascii="Times New Roman" w:hAnsi="Times New Roman"/>
          <w:sz w:val="24"/>
        </w:rPr>
        <w:t xml:space="preserve">EPA believes that the final </w:t>
      </w:r>
      <w:r>
        <w:rPr>
          <w:rFonts w:ascii="Times New Roman" w:hAnsi="Times New Roman"/>
          <w:sz w:val="24"/>
        </w:rPr>
        <w:t>STAA</w:t>
      </w:r>
      <w:r w:rsidRPr="00500A7C">
        <w:rPr>
          <w:rFonts w:ascii="Times New Roman" w:hAnsi="Times New Roman"/>
          <w:sz w:val="24"/>
        </w:rPr>
        <w:t xml:space="preserve"> provision</w:t>
      </w:r>
      <w:r>
        <w:rPr>
          <w:rFonts w:ascii="Times New Roman" w:hAnsi="Times New Roman"/>
          <w:sz w:val="24"/>
        </w:rPr>
        <w:t>s</w:t>
      </w:r>
      <w:r w:rsidRPr="00500A7C">
        <w:rPr>
          <w:rFonts w:ascii="Times New Roman" w:hAnsi="Times New Roman"/>
          <w:sz w:val="24"/>
        </w:rPr>
        <w:t xml:space="preserve"> makes significant improvements to </w:t>
      </w:r>
      <w:r>
        <w:rPr>
          <w:rFonts w:ascii="Times New Roman" w:hAnsi="Times New Roman"/>
          <w:sz w:val="24"/>
        </w:rPr>
        <w:t>protect</w:t>
      </w:r>
      <w:r w:rsidRPr="00500A7C">
        <w:rPr>
          <w:rFonts w:ascii="Times New Roman" w:hAnsi="Times New Roman"/>
          <w:sz w:val="24"/>
        </w:rPr>
        <w:t xml:space="preserve"> fenceline communities.</w:t>
      </w:r>
    </w:p>
    <w:p w:rsidR="00864262" w:rsidP="003B12AF" w14:paraId="5C91176C" w14:textId="77996CDE">
      <w:pPr>
        <w:ind w:left="720"/>
        <w:rPr>
          <w:rFonts w:ascii="Segoe UI" w:hAnsi="Segoe UI" w:cs="Segoe UI"/>
          <w:sz w:val="18"/>
          <w:szCs w:val="18"/>
        </w:rPr>
      </w:pPr>
      <w:r w:rsidRPr="004F5880">
        <w:rPr>
          <w:rFonts w:ascii="Times New Roman" w:hAnsi="Times New Roman"/>
          <w:sz w:val="24"/>
        </w:rPr>
        <w:t xml:space="preserve">Further, </w:t>
      </w:r>
      <w:r w:rsidRPr="004F5880" w:rsidR="000732CC">
        <w:rPr>
          <w:rFonts w:ascii="Times New Roman" w:hAnsi="Times New Roman"/>
          <w:sz w:val="24"/>
        </w:rPr>
        <w:t>EPA expects the final rule provisions</w:t>
      </w:r>
      <w:r w:rsidRPr="004F5880" w:rsidR="005A2A7A">
        <w:rPr>
          <w:rFonts w:ascii="Times New Roman" w:hAnsi="Times New Roman"/>
          <w:sz w:val="24"/>
        </w:rPr>
        <w:t>, including STAA,</w:t>
      </w:r>
      <w:r w:rsidRPr="004F5880" w:rsidR="000732CC">
        <w:rPr>
          <w:rFonts w:ascii="Times New Roman" w:hAnsi="Times New Roman"/>
          <w:sz w:val="24"/>
        </w:rPr>
        <w:t xml:space="preserve"> to reduce baseline damages that are not quantified. These damages include potential </w:t>
      </w:r>
      <w:r w:rsidRPr="004F5880" w:rsidR="000732CC">
        <w:rPr>
          <w:rFonts w:ascii="Times New Roman" w:hAnsi="Times New Roman"/>
          <w:sz w:val="24"/>
        </w:rPr>
        <w:t>health risk</w:t>
      </w:r>
      <w:r w:rsidR="00444A9D">
        <w:rPr>
          <w:rFonts w:ascii="Times New Roman" w:hAnsi="Times New Roman"/>
          <w:sz w:val="24"/>
        </w:rPr>
        <w:t>s</w:t>
      </w:r>
      <w:r w:rsidRPr="004F5880" w:rsidR="000732CC">
        <w:rPr>
          <w:rFonts w:ascii="Times New Roman" w:hAnsi="Times New Roman"/>
          <w:sz w:val="24"/>
        </w:rPr>
        <w:t xml:space="preserve"> from toxic chemical</w:t>
      </w:r>
      <w:r w:rsidR="00444A9D">
        <w:rPr>
          <w:rFonts w:ascii="Times New Roman" w:hAnsi="Times New Roman"/>
          <w:sz w:val="24"/>
        </w:rPr>
        <w:t xml:space="preserve"> exposure</w:t>
      </w:r>
      <w:r w:rsidRPr="004F5880" w:rsidR="000732CC">
        <w:rPr>
          <w:rFonts w:ascii="Times New Roman" w:hAnsi="Times New Roman"/>
          <w:sz w:val="24"/>
        </w:rPr>
        <w:t>, lost productivity at affected facilities, emergency response costs, transaction costs from potential subsequent legal battles, property value losses in nearby neighborhoods, environmental damage and costs of evacuation and sheltering-in-place events, and others</w:t>
      </w:r>
      <w:r w:rsidRPr="004F5880" w:rsidR="003560FB">
        <w:rPr>
          <w:rFonts w:ascii="Times New Roman" w:hAnsi="Times New Roman"/>
          <w:sz w:val="24"/>
        </w:rPr>
        <w:t>.</w:t>
      </w:r>
      <w:r w:rsidRPr="004F5880" w:rsidR="000732CC">
        <w:rPr>
          <w:rFonts w:ascii="Times New Roman" w:hAnsi="Times New Roman"/>
          <w:sz w:val="24"/>
        </w:rPr>
        <w:t xml:space="preserve">  </w:t>
      </w:r>
      <w:r w:rsidRPr="004F5880">
        <w:rPr>
          <w:rFonts w:ascii="Times New Roman" w:hAnsi="Times New Roman"/>
          <w:sz w:val="24"/>
        </w:rPr>
        <w:t>They have not been quantified because there is either limited or no information in the RMP data</w:t>
      </w:r>
      <w:r w:rsidR="00107520">
        <w:rPr>
          <w:rFonts w:ascii="Times New Roman" w:hAnsi="Times New Roman"/>
          <w:sz w:val="24"/>
        </w:rPr>
        <w:t xml:space="preserve"> that could allow for precise quantification</w:t>
      </w:r>
      <w:r w:rsidRPr="004F5880">
        <w:rPr>
          <w:rFonts w:ascii="Times New Roman" w:hAnsi="Times New Roman"/>
          <w:sz w:val="24"/>
        </w:rPr>
        <w:t>. However, in some cases, these damages could be even more detrimental to the facility and community than those damages that can be quantified.</w:t>
      </w:r>
      <w:r w:rsidR="005E4554">
        <w:rPr>
          <w:rFonts w:ascii="Times New Roman" w:hAnsi="Times New Roman"/>
          <w:sz w:val="24"/>
        </w:rPr>
        <w:t xml:space="preserve"> More detail of this discussion is included in Chapter 6 of the RIA.</w:t>
      </w:r>
      <w:r w:rsidRPr="00AD3C98" w:rsidR="00AD3C98">
        <w:rPr>
          <w:rFonts w:ascii="Segoe UI" w:hAnsi="Segoe UI" w:cs="Segoe UI"/>
          <w:sz w:val="18"/>
          <w:szCs w:val="18"/>
        </w:rPr>
        <w:t xml:space="preserve"> </w:t>
      </w:r>
    </w:p>
    <w:p w:rsidR="000732CC" w:rsidRPr="004F5880" w:rsidP="003B12AF" w14:paraId="7105BF1D" w14:textId="3D91F33C">
      <w:pPr>
        <w:ind w:left="720"/>
        <w:rPr>
          <w:rFonts w:ascii="Times New Roman" w:hAnsi="Times New Roman"/>
          <w:sz w:val="24"/>
        </w:rPr>
      </w:pPr>
      <w:r>
        <w:rPr>
          <w:rFonts w:ascii="Times New Roman" w:hAnsi="Times New Roman"/>
          <w:sz w:val="24"/>
        </w:rPr>
        <w:t>The Agency</w:t>
      </w:r>
      <w:r w:rsidRPr="00AD3C98" w:rsidR="00AD3C98">
        <w:rPr>
          <w:rFonts w:ascii="Times New Roman" w:hAnsi="Times New Roman"/>
          <w:sz w:val="24"/>
        </w:rPr>
        <w:t xml:space="preserve"> believe</w:t>
      </w:r>
      <w:r>
        <w:rPr>
          <w:rFonts w:ascii="Times New Roman" w:hAnsi="Times New Roman"/>
          <w:sz w:val="24"/>
        </w:rPr>
        <w:t>s</w:t>
      </w:r>
      <w:r w:rsidR="00E6189A">
        <w:rPr>
          <w:rFonts w:ascii="Times New Roman" w:hAnsi="Times New Roman"/>
          <w:sz w:val="24"/>
        </w:rPr>
        <w:t xml:space="preserve"> the</w:t>
      </w:r>
      <w:r w:rsidRPr="00AD3C98" w:rsidR="00AD3C98">
        <w:rPr>
          <w:rFonts w:ascii="Times New Roman" w:hAnsi="Times New Roman"/>
          <w:sz w:val="24"/>
        </w:rPr>
        <w:t xml:space="preserve"> focused approach </w:t>
      </w:r>
      <w:r w:rsidR="006453F7">
        <w:rPr>
          <w:rFonts w:ascii="Times New Roman" w:hAnsi="Times New Roman"/>
          <w:sz w:val="24"/>
        </w:rPr>
        <w:t xml:space="preserve">for STAA </w:t>
      </w:r>
      <w:r w:rsidRPr="00AD3C98" w:rsidR="00AD3C98">
        <w:rPr>
          <w:rFonts w:ascii="Times New Roman" w:hAnsi="Times New Roman"/>
          <w:sz w:val="24"/>
        </w:rPr>
        <w:t>is appropriate</w:t>
      </w:r>
      <w:r w:rsidR="00343062">
        <w:rPr>
          <w:rFonts w:ascii="Times New Roman" w:hAnsi="Times New Roman"/>
          <w:sz w:val="24"/>
        </w:rPr>
        <w:t>.</w:t>
      </w:r>
      <w:r w:rsidRPr="00343062" w:rsidR="00343062">
        <w:t xml:space="preserve"> </w:t>
      </w:r>
      <w:r w:rsidRPr="00343062" w:rsidR="00343062">
        <w:rPr>
          <w:rFonts w:ascii="Times New Roman" w:hAnsi="Times New Roman"/>
          <w:sz w:val="24"/>
        </w:rPr>
        <w:t>The 5 percent of sources mentioned by the commenter, augmented by those refineries and chemical manufacturer sources that have had accidents in the past 5 years, are responsible for 42% of the total accidents from RMP-covered sources over the period from 2016-2020, and 83% of the accident damage</w:t>
      </w:r>
      <w:r w:rsidR="004B12A6">
        <w:rPr>
          <w:rFonts w:ascii="Times New Roman" w:hAnsi="Times New Roman"/>
          <w:sz w:val="24"/>
        </w:rPr>
        <w:t>, which supports additional requirements beyond STAA (i.e., a practicability assessment and the implementation requirement)</w:t>
      </w:r>
      <w:r w:rsidRPr="00343062" w:rsidR="00343062">
        <w:rPr>
          <w:rFonts w:ascii="Times New Roman" w:hAnsi="Times New Roman"/>
          <w:sz w:val="24"/>
        </w:rPr>
        <w:t xml:space="preserve">. Concentrating the most demanding requirements on this subset of sources recognizes the </w:t>
      </w:r>
      <w:r w:rsidRPr="00343062" w:rsidR="00343062">
        <w:rPr>
          <w:rFonts w:ascii="Times New Roman" w:hAnsi="Times New Roman"/>
          <w:sz w:val="24"/>
        </w:rPr>
        <w:t>track record of heightened risk presented by these sources to their nearby communities.</w:t>
      </w:r>
      <w:r w:rsidR="00343062">
        <w:rPr>
          <w:rFonts w:ascii="Times New Roman" w:hAnsi="Times New Roman"/>
          <w:sz w:val="24"/>
        </w:rPr>
        <w:t xml:space="preserve"> </w:t>
      </w:r>
      <w:r w:rsidR="000A08DE">
        <w:rPr>
          <w:rFonts w:ascii="Times New Roman" w:hAnsi="Times New Roman"/>
          <w:sz w:val="24"/>
        </w:rPr>
        <w:t>Also</w:t>
      </w:r>
      <w:r w:rsidRPr="00F56C23">
        <w:rPr>
          <w:rFonts w:ascii="Times New Roman" w:hAnsi="Times New Roman"/>
          <w:sz w:val="24"/>
        </w:rPr>
        <w:t xml:space="preserve">, close co-location of sources in NAICS codes 324 and 325 further increases the risk to the public that may be potentially exposed to a release from multiple sources. In these sectors, the worst-case scenarios of 80 percent of sources extend at least 1 mile, therefore the communities surrounding these sources will typically face multiple threats. </w:t>
      </w:r>
      <w:r w:rsidRPr="00B250A8" w:rsidR="00ED52EA">
        <w:rPr>
          <w:rFonts w:ascii="Times New Roman" w:hAnsi="Times New Roman"/>
          <w:sz w:val="24"/>
        </w:rPr>
        <w:t>EPA’s analysis</w:t>
      </w:r>
      <w:r w:rsidRPr="00DA56BA" w:rsidR="00354DD1">
        <w:rPr>
          <w:rFonts w:ascii="Times New Roman" w:hAnsi="Times New Roman"/>
          <w:sz w:val="24"/>
        </w:rPr>
        <w:t xml:space="preserve"> to identify </w:t>
      </w:r>
      <w:r w:rsidR="00FD3719">
        <w:rPr>
          <w:rFonts w:ascii="Times New Roman" w:hAnsi="Times New Roman"/>
          <w:sz w:val="24"/>
        </w:rPr>
        <w:t xml:space="preserve">these </w:t>
      </w:r>
      <w:r w:rsidRPr="00DA56BA" w:rsidR="00354DD1">
        <w:rPr>
          <w:rFonts w:ascii="Times New Roman" w:hAnsi="Times New Roman"/>
          <w:sz w:val="24"/>
        </w:rPr>
        <w:t>communities</w:t>
      </w:r>
      <w:r>
        <w:rPr>
          <w:rStyle w:val="FootnoteReference"/>
          <w:rFonts w:ascii="Times New Roman" w:hAnsi="Times New Roman"/>
          <w:sz w:val="24"/>
        </w:rPr>
        <w:footnoteReference w:id="83"/>
      </w:r>
      <w:r w:rsidRPr="00DA56BA" w:rsidR="00354DD1">
        <w:rPr>
          <w:rFonts w:ascii="Times New Roman" w:hAnsi="Times New Roman"/>
          <w:sz w:val="24"/>
        </w:rPr>
        <w:t xml:space="preserve"> </w:t>
      </w:r>
      <w:r w:rsidRPr="00B250A8" w:rsidR="00354DD1">
        <w:rPr>
          <w:rFonts w:ascii="Times New Roman" w:hAnsi="Times New Roman"/>
          <w:sz w:val="24"/>
        </w:rPr>
        <w:t>show</w:t>
      </w:r>
      <w:r w:rsidRPr="00B250A8" w:rsidR="00ED52EA">
        <w:rPr>
          <w:rFonts w:ascii="Times New Roman" w:hAnsi="Times New Roman"/>
          <w:sz w:val="24"/>
        </w:rPr>
        <w:t xml:space="preserve"> </w:t>
      </w:r>
      <w:r w:rsidR="003B1EC5">
        <w:rPr>
          <w:rFonts w:ascii="Times New Roman" w:hAnsi="Times New Roman"/>
          <w:sz w:val="24"/>
        </w:rPr>
        <w:t>that</w:t>
      </w:r>
      <w:r w:rsidR="00E53B5F">
        <w:rPr>
          <w:rFonts w:ascii="Times New Roman" w:hAnsi="Times New Roman"/>
          <w:sz w:val="24"/>
        </w:rPr>
        <w:t xml:space="preserve"> the</w:t>
      </w:r>
      <w:r w:rsidR="003B1EC5">
        <w:rPr>
          <w:rFonts w:ascii="Times New Roman" w:hAnsi="Times New Roman"/>
          <w:sz w:val="24"/>
        </w:rPr>
        <w:t xml:space="preserve"> </w:t>
      </w:r>
      <w:r w:rsidRPr="00D34932" w:rsidR="00D34932">
        <w:rPr>
          <w:rFonts w:ascii="Times New Roman" w:hAnsi="Times New Roman"/>
          <w:sz w:val="24"/>
        </w:rPr>
        <w:t xml:space="preserve">communities near RMP facilities and facilities with RMP-reportable accidents have higher percentages of </w:t>
      </w:r>
      <w:r w:rsidRPr="00D34932" w:rsidR="00DA56BA">
        <w:rPr>
          <w:rFonts w:ascii="Times New Roman" w:hAnsi="Times New Roman"/>
          <w:sz w:val="24"/>
        </w:rPr>
        <w:t>low-income</w:t>
      </w:r>
      <w:r w:rsidRPr="00D34932" w:rsidR="00D34932">
        <w:rPr>
          <w:rFonts w:ascii="Times New Roman" w:hAnsi="Times New Roman"/>
          <w:sz w:val="24"/>
        </w:rPr>
        <w:t xml:space="preserve"> individuals and Black (non-Hispanic) and Hispanic residents compared to the national comparison group</w:t>
      </w:r>
      <w:r w:rsidR="00E53B5F">
        <w:rPr>
          <w:rFonts w:ascii="Times New Roman" w:hAnsi="Times New Roman"/>
          <w:sz w:val="24"/>
        </w:rPr>
        <w:t>. This analysis s</w:t>
      </w:r>
      <w:r w:rsidRPr="00503569" w:rsidR="00503569">
        <w:rPr>
          <w:rFonts w:ascii="Times New Roman" w:hAnsi="Times New Roman"/>
          <w:sz w:val="24"/>
        </w:rPr>
        <w:t>uggests that the benefits of the provisions</w:t>
      </w:r>
      <w:r w:rsidR="00DA56BA">
        <w:rPr>
          <w:rFonts w:ascii="Times New Roman" w:hAnsi="Times New Roman"/>
          <w:sz w:val="24"/>
        </w:rPr>
        <w:t>, including STAA,</w:t>
      </w:r>
      <w:r w:rsidRPr="00503569" w:rsidR="00503569">
        <w:rPr>
          <w:rFonts w:ascii="Times New Roman" w:hAnsi="Times New Roman"/>
          <w:sz w:val="24"/>
        </w:rPr>
        <w:t xml:space="preserve"> may reduce potential exposure for communities with higher percentages of Black (non-Hispanic), Hispanic and </w:t>
      </w:r>
      <w:r w:rsidRPr="00503569" w:rsidR="00DA56BA">
        <w:rPr>
          <w:rFonts w:ascii="Times New Roman" w:hAnsi="Times New Roman"/>
          <w:sz w:val="24"/>
        </w:rPr>
        <w:t>low-income</w:t>
      </w:r>
      <w:r w:rsidRPr="00503569" w:rsidR="00503569">
        <w:rPr>
          <w:rFonts w:ascii="Times New Roman" w:hAnsi="Times New Roman"/>
          <w:sz w:val="24"/>
        </w:rPr>
        <w:t xml:space="preserve"> populations. </w:t>
      </w:r>
    </w:p>
    <w:p w:rsidR="003B12AF" w:rsidRPr="006F68E9" w:rsidP="0095537F" w14:paraId="4F93B3F1" w14:textId="77777777">
      <w:pPr>
        <w:ind w:left="720"/>
        <w:rPr>
          <w:rFonts w:ascii="Times New Roman" w:hAnsi="Times New Roman"/>
          <w:sz w:val="24"/>
        </w:rPr>
      </w:pPr>
      <w:r>
        <w:rPr>
          <w:rFonts w:ascii="Times New Roman" w:hAnsi="Times New Roman"/>
          <w:b/>
          <w:bCs/>
          <w:sz w:val="24"/>
        </w:rPr>
        <w:t xml:space="preserve">Comment 6.1-05: </w:t>
      </w:r>
      <w:r>
        <w:rPr>
          <w:rFonts w:ascii="Times New Roman" w:hAnsi="Times New Roman"/>
          <w:sz w:val="24"/>
        </w:rPr>
        <w:t>One</w:t>
      </w:r>
      <w:r w:rsidRPr="006F68E9">
        <w:rPr>
          <w:rFonts w:ascii="Times New Roman" w:hAnsi="Times New Roman"/>
          <w:sz w:val="24"/>
        </w:rPr>
        <w:t xml:space="preserve"> commenter requested that EPA require a third-party review of the STAA (0120). </w:t>
      </w:r>
    </w:p>
    <w:p w:rsidR="003B12AF" w:rsidP="001C11DF" w14:paraId="706B0249" w14:textId="00C9FE38">
      <w:pPr>
        <w:ind w:left="720"/>
        <w:rPr>
          <w:rFonts w:ascii="Times New Roman" w:hAnsi="Times New Roman"/>
          <w:sz w:val="24"/>
        </w:rPr>
      </w:pPr>
      <w:r w:rsidRPr="001C11DF">
        <w:rPr>
          <w:rFonts w:ascii="Times New Roman" w:hAnsi="Times New Roman"/>
          <w:b/>
          <w:bCs/>
          <w:sz w:val="24"/>
        </w:rPr>
        <w:t>EPA Response:</w:t>
      </w:r>
      <w:r w:rsidRPr="001C11DF" w:rsidR="001C11DF">
        <w:t xml:space="preserve"> </w:t>
      </w:r>
      <w:r w:rsidR="00075F25">
        <w:rPr>
          <w:rFonts w:ascii="Times New Roman" w:hAnsi="Times New Roman"/>
          <w:sz w:val="24"/>
        </w:rPr>
        <w:t>The finalized</w:t>
      </w:r>
      <w:r w:rsidRPr="001C11DF" w:rsidR="001C11DF">
        <w:rPr>
          <w:rFonts w:ascii="Times New Roman" w:hAnsi="Times New Roman"/>
          <w:sz w:val="24"/>
        </w:rPr>
        <w:t xml:space="preserve"> STAA </w:t>
      </w:r>
      <w:r w:rsidR="00075F25">
        <w:rPr>
          <w:rFonts w:ascii="Times New Roman" w:hAnsi="Times New Roman"/>
          <w:sz w:val="24"/>
        </w:rPr>
        <w:t xml:space="preserve">provisions do not require </w:t>
      </w:r>
      <w:r w:rsidR="00CB1D45">
        <w:rPr>
          <w:rFonts w:ascii="Times New Roman" w:hAnsi="Times New Roman"/>
          <w:sz w:val="24"/>
        </w:rPr>
        <w:t xml:space="preserve">the STAA </w:t>
      </w:r>
      <w:r w:rsidRPr="001C11DF" w:rsidR="001C11DF">
        <w:rPr>
          <w:rFonts w:ascii="Times New Roman" w:hAnsi="Times New Roman"/>
          <w:sz w:val="24"/>
        </w:rPr>
        <w:t>or its documentation</w:t>
      </w:r>
      <w:r w:rsidR="006C1FA9">
        <w:rPr>
          <w:rFonts w:ascii="Times New Roman" w:hAnsi="Times New Roman"/>
          <w:sz w:val="24"/>
        </w:rPr>
        <w:t xml:space="preserve"> </w:t>
      </w:r>
      <w:r w:rsidRPr="001C11DF" w:rsidR="001C11DF">
        <w:rPr>
          <w:rFonts w:ascii="Times New Roman" w:hAnsi="Times New Roman"/>
          <w:sz w:val="24"/>
        </w:rPr>
        <w:t xml:space="preserve">within the PHA to be automatically submitted </w:t>
      </w:r>
      <w:r w:rsidR="0029542F">
        <w:rPr>
          <w:rFonts w:ascii="Times New Roman" w:hAnsi="Times New Roman"/>
          <w:sz w:val="24"/>
        </w:rPr>
        <w:t>and reviewed by</w:t>
      </w:r>
      <w:r w:rsidRPr="001C11DF" w:rsidR="001C11DF">
        <w:rPr>
          <w:rFonts w:ascii="Times New Roman" w:hAnsi="Times New Roman"/>
          <w:sz w:val="24"/>
        </w:rPr>
        <w:t xml:space="preserve"> EPA </w:t>
      </w:r>
      <w:r w:rsidR="00920627">
        <w:rPr>
          <w:rFonts w:ascii="Times New Roman" w:hAnsi="Times New Roman"/>
          <w:sz w:val="24"/>
        </w:rPr>
        <w:t>o</w:t>
      </w:r>
      <w:r w:rsidRPr="001C11DF" w:rsidR="001C11DF">
        <w:rPr>
          <w:rFonts w:ascii="Times New Roman" w:hAnsi="Times New Roman"/>
          <w:sz w:val="24"/>
        </w:rPr>
        <w:t xml:space="preserve">r </w:t>
      </w:r>
      <w:r w:rsidR="00920627">
        <w:rPr>
          <w:rFonts w:ascii="Times New Roman" w:hAnsi="Times New Roman"/>
          <w:sz w:val="24"/>
        </w:rPr>
        <w:t>a</w:t>
      </w:r>
      <w:r w:rsidRPr="001C11DF" w:rsidR="001C11DF">
        <w:rPr>
          <w:rFonts w:ascii="Times New Roman" w:hAnsi="Times New Roman"/>
          <w:sz w:val="24"/>
        </w:rPr>
        <w:t>nyone else, but such analysis or documentation must be kept as records under the recordkeeping requirements of § 68.200 and be available for inspection or review by EPA.</w:t>
      </w:r>
    </w:p>
    <w:p w:rsidR="00920627" w:rsidRPr="001C11DF" w:rsidP="001C11DF" w14:paraId="3BE6840F" w14:textId="7E3AC0B4">
      <w:pPr>
        <w:ind w:left="720"/>
        <w:rPr>
          <w:rFonts w:ascii="Times New Roman" w:hAnsi="Times New Roman"/>
          <w:sz w:val="24"/>
        </w:rPr>
      </w:pPr>
      <w:r>
        <w:rPr>
          <w:rFonts w:ascii="Times New Roman" w:hAnsi="Times New Roman"/>
          <w:sz w:val="24"/>
        </w:rPr>
        <w:t>However, under the third-party audit provisions finalized today</w:t>
      </w:r>
      <w:r w:rsidR="00B66195">
        <w:rPr>
          <w:rFonts w:ascii="Times New Roman" w:hAnsi="Times New Roman"/>
          <w:sz w:val="24"/>
        </w:rPr>
        <w:t xml:space="preserve">, </w:t>
      </w:r>
      <w:r w:rsidR="00542E00">
        <w:rPr>
          <w:rFonts w:ascii="Times New Roman" w:hAnsi="Times New Roman"/>
          <w:sz w:val="24"/>
        </w:rPr>
        <w:t xml:space="preserve">a third-party audit </w:t>
      </w:r>
      <w:r w:rsidR="00D77D32">
        <w:rPr>
          <w:rFonts w:ascii="Times New Roman" w:hAnsi="Times New Roman"/>
          <w:sz w:val="24"/>
        </w:rPr>
        <w:t xml:space="preserve">of a STAA could occur. Third-party audits </w:t>
      </w:r>
      <w:r w:rsidR="000920FF">
        <w:rPr>
          <w:rFonts w:ascii="Times New Roman" w:hAnsi="Times New Roman"/>
          <w:sz w:val="24"/>
        </w:rPr>
        <w:t>include auditing</w:t>
      </w:r>
      <w:r w:rsidR="00D77D32">
        <w:rPr>
          <w:rFonts w:ascii="Times New Roman" w:hAnsi="Times New Roman"/>
          <w:sz w:val="24"/>
        </w:rPr>
        <w:t xml:space="preserve"> the </w:t>
      </w:r>
      <w:r w:rsidR="00844360">
        <w:rPr>
          <w:rFonts w:ascii="Times New Roman" w:hAnsi="Times New Roman"/>
          <w:sz w:val="24"/>
        </w:rPr>
        <w:t>facility’s</w:t>
      </w:r>
      <w:r w:rsidR="00542E00">
        <w:rPr>
          <w:rFonts w:ascii="Times New Roman" w:hAnsi="Times New Roman"/>
          <w:sz w:val="24"/>
        </w:rPr>
        <w:t xml:space="preserve"> RMP prevention program</w:t>
      </w:r>
      <w:r w:rsidR="000920FF">
        <w:rPr>
          <w:rFonts w:ascii="Times New Roman" w:hAnsi="Times New Roman"/>
          <w:sz w:val="24"/>
        </w:rPr>
        <w:t xml:space="preserve"> which is inclusive of the PHA and STAA if applicable</w:t>
      </w:r>
      <w:r w:rsidR="00DF2611">
        <w:rPr>
          <w:rFonts w:ascii="Times New Roman" w:hAnsi="Times New Roman"/>
          <w:sz w:val="24"/>
        </w:rPr>
        <w:t xml:space="preserve">. </w:t>
      </w:r>
      <w:r w:rsidRPr="00B72F8A" w:rsidR="00B72F8A">
        <w:rPr>
          <w:rFonts w:ascii="Times New Roman" w:hAnsi="Times New Roman"/>
          <w:sz w:val="24"/>
        </w:rPr>
        <w:t xml:space="preserve">For the final rule, two </w:t>
      </w:r>
      <w:r w:rsidR="000479A0">
        <w:rPr>
          <w:rFonts w:ascii="Times New Roman" w:hAnsi="Times New Roman"/>
          <w:sz w:val="24"/>
        </w:rPr>
        <w:t xml:space="preserve">audit criteria would trigger </w:t>
      </w:r>
      <w:r w:rsidR="00A5265E">
        <w:rPr>
          <w:rFonts w:ascii="Times New Roman" w:hAnsi="Times New Roman"/>
          <w:sz w:val="24"/>
        </w:rPr>
        <w:t>a third-party audit</w:t>
      </w:r>
      <w:r w:rsidR="00673FBC">
        <w:rPr>
          <w:rFonts w:ascii="Times New Roman" w:hAnsi="Times New Roman"/>
          <w:sz w:val="24"/>
        </w:rPr>
        <w:t xml:space="preserve">, </w:t>
      </w:r>
      <w:r w:rsidRPr="00B72F8A" w:rsidR="00B72F8A">
        <w:rPr>
          <w:rFonts w:ascii="Times New Roman" w:hAnsi="Times New Roman"/>
          <w:sz w:val="24"/>
        </w:rPr>
        <w:t xml:space="preserve">one accidental release within five years meeting the criteria in 40 CFR 68.42(a), </w:t>
      </w:r>
      <w:r w:rsidR="00E31868">
        <w:rPr>
          <w:rFonts w:ascii="Times New Roman" w:hAnsi="Times New Roman"/>
          <w:sz w:val="24"/>
        </w:rPr>
        <w:t xml:space="preserve">or when an </w:t>
      </w:r>
      <w:r w:rsidRPr="00B72F8A" w:rsidR="00B72F8A">
        <w:rPr>
          <w:rFonts w:ascii="Times New Roman" w:hAnsi="Times New Roman"/>
          <w:sz w:val="24"/>
        </w:rPr>
        <w:t>implementing agency require</w:t>
      </w:r>
      <w:r w:rsidR="00E31868">
        <w:rPr>
          <w:rFonts w:ascii="Times New Roman" w:hAnsi="Times New Roman"/>
          <w:sz w:val="24"/>
        </w:rPr>
        <w:t xml:space="preserve">s </w:t>
      </w:r>
      <w:r w:rsidR="003E7198">
        <w:rPr>
          <w:rFonts w:ascii="Times New Roman" w:hAnsi="Times New Roman"/>
          <w:sz w:val="24"/>
        </w:rPr>
        <w:t xml:space="preserve">one. </w:t>
      </w:r>
    </w:p>
    <w:p w:rsidR="003B12AF" w:rsidP="00F7582D" w14:paraId="54438D46" w14:textId="77777777">
      <w:pPr>
        <w:pStyle w:val="Heading2"/>
        <w:tabs>
          <w:tab w:val="clear" w:pos="8684"/>
        </w:tabs>
        <w:spacing w:before="120"/>
        <w:rPr>
          <w:rFonts w:ascii="Times New Roman" w:hAnsi="Times New Roman" w:cs="Times New Roman"/>
          <w:b/>
          <w:bCs/>
          <w:color w:val="auto"/>
          <w:sz w:val="24"/>
          <w:szCs w:val="24"/>
        </w:rPr>
      </w:pPr>
      <w:bookmarkStart w:id="68" w:name="_Toc153373786"/>
      <w:bookmarkStart w:id="69" w:name="_Toc146879994"/>
      <w:r>
        <w:rPr>
          <w:rFonts w:ascii="Times New Roman" w:hAnsi="Times New Roman" w:cs="Times New Roman"/>
          <w:b/>
          <w:bCs/>
          <w:color w:val="auto"/>
          <w:sz w:val="24"/>
          <w:szCs w:val="24"/>
        </w:rPr>
        <w:t>General STAA provision comments</w:t>
      </w:r>
      <w:bookmarkEnd w:id="68"/>
    </w:p>
    <w:p w:rsidR="003B12AF" w:rsidRPr="00487DBB" w:rsidP="00F7582D" w14:paraId="3E8F9FDB"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70" w:name="_Toc153373787"/>
      <w:r w:rsidRPr="00487DBB">
        <w:rPr>
          <w:rFonts w:ascii="Times New Roman" w:hAnsi="Times New Roman" w:eastAsiaTheme="minorEastAsia" w:cs="Times New Roman"/>
          <w:b/>
          <w:bCs/>
          <w:color w:val="auto"/>
        </w:rPr>
        <w:t>Require STAA as part of PHA</w:t>
      </w:r>
      <w:bookmarkEnd w:id="70"/>
    </w:p>
    <w:p w:rsidR="003B12AF" w:rsidRPr="00937FB1" w:rsidP="003B12AF" w14:paraId="26F45DD7" w14:textId="77777777">
      <w:pPr>
        <w:rPr>
          <w:rFonts w:ascii="Times New Roman" w:hAnsi="Times New Roman"/>
          <w:i/>
          <w:iCs/>
          <w:sz w:val="24"/>
        </w:rPr>
      </w:pPr>
      <w:r w:rsidRPr="00937FB1">
        <w:rPr>
          <w:rFonts w:ascii="Times New Roman" w:hAnsi="Times New Roman"/>
          <w:i/>
          <w:iCs/>
          <w:sz w:val="24"/>
        </w:rPr>
        <w:t>Support for requiring STAA as part of PHA</w:t>
      </w:r>
    </w:p>
    <w:p w:rsidR="003B12AF" w:rsidP="003B12AF" w14:paraId="07C0CD50" w14:textId="77777777">
      <w:pPr>
        <w:rPr>
          <w:rFonts w:ascii="Times New Roman" w:hAnsi="Times New Roman"/>
          <w:sz w:val="24"/>
        </w:rPr>
      </w:pPr>
      <w:r w:rsidRPr="00463D83">
        <w:rPr>
          <w:rFonts w:ascii="Times New Roman" w:hAnsi="Times New Roman"/>
          <w:b/>
          <w:bCs/>
          <w:sz w:val="24"/>
        </w:rPr>
        <w:t>Comment</w:t>
      </w:r>
      <w:r>
        <w:rPr>
          <w:rFonts w:ascii="Times New Roman" w:hAnsi="Times New Roman"/>
          <w:b/>
          <w:bCs/>
          <w:sz w:val="24"/>
        </w:rPr>
        <w:t xml:space="preserve"> 6.2.1-01</w:t>
      </w:r>
      <w:r w:rsidRPr="00463D83">
        <w:rPr>
          <w:rFonts w:ascii="Times New Roman" w:hAnsi="Times New Roman"/>
          <w:b/>
          <w:bCs/>
          <w:sz w:val="24"/>
        </w:rPr>
        <w:t xml:space="preserve"> </w:t>
      </w:r>
      <w:r w:rsidRPr="00463D83">
        <w:rPr>
          <w:rFonts w:ascii="Times New Roman" w:hAnsi="Times New Roman"/>
          <w:sz w:val="24"/>
        </w:rPr>
        <w:t xml:space="preserve">A couple of commenters stated that they support EPA’s proposal that owners and operators of RMP-covered facilities be required to include consideration and documentation of the feasibility of applying safer technologies and alternatives in their process hazard analyses (PHAs) (0173, 0183). One of the commenters </w:t>
      </w:r>
      <w:r>
        <w:rPr>
          <w:rFonts w:ascii="Times New Roman" w:hAnsi="Times New Roman"/>
          <w:sz w:val="24"/>
        </w:rPr>
        <w:t>stated</w:t>
      </w:r>
      <w:r w:rsidRPr="00463D83">
        <w:rPr>
          <w:rFonts w:ascii="Times New Roman" w:hAnsi="Times New Roman"/>
          <w:sz w:val="24"/>
        </w:rPr>
        <w:t>, however, that only doing STAAs within the PHA will limit the effectiveness of the evaluations, and therefore, STAA should be evaluated within the PHA process as well as outside of the PHA in a separate study to evaluate each existing process (0173).</w:t>
      </w:r>
      <w:r>
        <w:rPr>
          <w:rFonts w:ascii="Times New Roman" w:hAnsi="Times New Roman"/>
          <w:sz w:val="24"/>
        </w:rPr>
        <w:t xml:space="preserve"> </w:t>
      </w:r>
      <w:r w:rsidRPr="00AF622A">
        <w:rPr>
          <w:rFonts w:ascii="Times New Roman" w:hAnsi="Times New Roman"/>
          <w:sz w:val="24"/>
        </w:rPr>
        <w:t xml:space="preserve">One commenter </w:t>
      </w:r>
      <w:r>
        <w:rPr>
          <w:rFonts w:ascii="Times New Roman" w:hAnsi="Times New Roman"/>
          <w:sz w:val="24"/>
        </w:rPr>
        <w:t>stated</w:t>
      </w:r>
      <w:r w:rsidRPr="00AF622A">
        <w:rPr>
          <w:rFonts w:ascii="Times New Roman" w:hAnsi="Times New Roman"/>
          <w:sz w:val="24"/>
        </w:rPr>
        <w:t xml:space="preserve"> that the proposed STAA requirements cannot be done just once because facilities could have fluctuating inventories (0231). </w:t>
      </w:r>
    </w:p>
    <w:p w:rsidR="003B12AF" w:rsidRPr="00EC1DC0" w:rsidP="003B12AF" w14:paraId="0A911F20" w14:textId="77777777">
      <w:pPr>
        <w:rPr>
          <w:rFonts w:ascii="Times New Roman" w:hAnsi="Times New Roman"/>
          <w:sz w:val="24"/>
        </w:rPr>
      </w:pPr>
      <w:r w:rsidRPr="00A77537">
        <w:rPr>
          <w:rFonts w:ascii="Times New Roman" w:hAnsi="Times New Roman"/>
          <w:sz w:val="24"/>
        </w:rPr>
        <w:t>Conversely, some</w:t>
      </w:r>
      <w:r w:rsidRPr="00463D83">
        <w:rPr>
          <w:rFonts w:ascii="Times New Roman" w:hAnsi="Times New Roman"/>
          <w:sz w:val="24"/>
        </w:rPr>
        <w:t xml:space="preserve"> commenters expressed opposition to EPA requiring a mandatory STAA component in PHA (0227, 0229, 0232, 0233, 0272). One of the commenters </w:t>
      </w:r>
      <w:r>
        <w:rPr>
          <w:rFonts w:ascii="Times New Roman" w:hAnsi="Times New Roman"/>
          <w:sz w:val="24"/>
        </w:rPr>
        <w:t>said</w:t>
      </w:r>
      <w:r w:rsidRPr="00463D83">
        <w:rPr>
          <w:rFonts w:ascii="Times New Roman" w:hAnsi="Times New Roman"/>
          <w:sz w:val="24"/>
        </w:rPr>
        <w:t xml:space="preserve"> that the proposed rule’s STAA requirements do not acknowledge the value of the PHA risk assessment function (0201). </w:t>
      </w:r>
    </w:p>
    <w:p w:rsidR="003B12AF" w:rsidRPr="00EC1DC0" w:rsidP="003B12AF" w14:paraId="7C63D6C7" w14:textId="77777777">
      <w:pPr>
        <w:rPr>
          <w:rFonts w:ascii="Times New Roman" w:hAnsi="Times New Roman"/>
          <w:sz w:val="24"/>
        </w:rPr>
      </w:pPr>
      <w:r w:rsidRPr="00463D83">
        <w:rPr>
          <w:rFonts w:ascii="Times New Roman" w:hAnsi="Times New Roman"/>
          <w:sz w:val="24"/>
        </w:rPr>
        <w:t xml:space="preserve">Another commenter stated that the analysis of passive measures, active measures, and procedural measures already occurs as part of the PHA, as required by 40 CFR §§ 68.67(c)(3), (4), (6), and (7), and no modification of the current regulations is thus required to ensure that this analysis occurs (0233). The commenter also added that STAA requirements will detract from and reduce the effectiveness of PHAs as it will divert resources from PHA processes that are currently working well at regulated facilities. The commenter </w:t>
      </w:r>
      <w:r>
        <w:rPr>
          <w:rFonts w:ascii="Times New Roman" w:hAnsi="Times New Roman"/>
          <w:sz w:val="24"/>
        </w:rPr>
        <w:t>stated</w:t>
      </w:r>
      <w:r w:rsidRPr="00463D83">
        <w:rPr>
          <w:rFonts w:ascii="Times New Roman" w:hAnsi="Times New Roman"/>
          <w:sz w:val="24"/>
        </w:rPr>
        <w:t xml:space="preserve"> the effectiveness of a PHA depends heavily upon the availability of high-quality process safety information (PSI), yet the proposed rule provides no direction on how the PHA team is to assemble the PSI needed </w:t>
      </w:r>
      <w:r>
        <w:rPr>
          <w:rFonts w:ascii="Times New Roman" w:hAnsi="Times New Roman"/>
          <w:sz w:val="24"/>
        </w:rPr>
        <w:t>to</w:t>
      </w:r>
      <w:r w:rsidRPr="00463D83">
        <w:rPr>
          <w:rFonts w:ascii="Times New Roman" w:hAnsi="Times New Roman"/>
          <w:sz w:val="24"/>
        </w:rPr>
        <w:t xml:space="preserve"> perform the STAA. The commenter explained that facilities would not normally have information about processes not in use there. The commenter added this detracts from the PHA focus on existing facility processes and potentially reduces the effectiveness of the analysis (0233).</w:t>
      </w:r>
      <w:r>
        <w:rPr>
          <w:rFonts w:ascii="Times New Roman" w:hAnsi="Times New Roman"/>
          <w:sz w:val="24"/>
        </w:rPr>
        <w:t xml:space="preserve"> </w:t>
      </w:r>
    </w:p>
    <w:p w:rsidR="003B12AF" w:rsidP="003B12AF" w14:paraId="1D338D6D" w14:textId="77777777">
      <w:pPr>
        <w:rPr>
          <w:rFonts w:ascii="Times New Roman" w:hAnsi="Times New Roman"/>
          <w:sz w:val="24"/>
        </w:rPr>
      </w:pPr>
      <w:r w:rsidRPr="004F2AAD">
        <w:rPr>
          <w:rFonts w:ascii="Times New Roman" w:hAnsi="Times New Roman"/>
          <w:sz w:val="24"/>
        </w:rPr>
        <w:t xml:space="preserve">One commenter stated that some RMP facilities may already be evaluating safer alternatives in the absence of a formal STAA requirement. The commenter suggested EPA strengthen its definitions, reporting, and documentation of IST analysis within the RMP program (0220). </w:t>
      </w:r>
    </w:p>
    <w:p w:rsidR="003B12AF" w:rsidRPr="004F2AAD" w:rsidP="003B12AF" w14:paraId="5DC54F42"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questioned whether the design of requiring co-located facilities to conduct STAA might create an incentive for densely co-located facilities to pool their resources for investigation, piloting, or implementation of landscape-scale NBS, such as mangroves, living shorelines, barrier islands, and other NBS that could be established in the Gulf Coast region (0204).</w:t>
      </w:r>
    </w:p>
    <w:p w:rsidR="003B12AF" w:rsidRPr="00A77537" w:rsidP="003B12AF" w14:paraId="757E8DCF" w14:textId="77777777">
      <w:pPr>
        <w:ind w:left="720"/>
        <w:rPr>
          <w:rFonts w:ascii="Times New Roman" w:hAnsi="Times New Roman"/>
          <w:sz w:val="24"/>
        </w:rPr>
      </w:pPr>
      <w:r w:rsidRPr="00A77537">
        <w:rPr>
          <w:rFonts w:ascii="Times New Roman" w:hAnsi="Times New Roman"/>
          <w:b/>
          <w:sz w:val="24"/>
        </w:rPr>
        <w:t>EPA Response:</w:t>
      </w:r>
      <w:r w:rsidRPr="00A77537">
        <w:rPr>
          <w:rFonts w:ascii="Times New Roman" w:hAnsi="Times New Roman"/>
          <w:sz w:val="24"/>
        </w:rPr>
        <w:t xml:space="preserve"> EPA believes that STAA analysis can be incorporated in the existing RMP PHAs by using PHA techniques such as the Hazard and Operability Study, What-If? Method, checklists, a combination of these, or other appropriate equivalent methodologies. (See 40 CFR 68.67(b)). These techniques themselves are not requirements, but tools available to help the facility owner or operator to identify, evaluate, and control the hazards involved in the process. The Agency also notes that, when EPA previously considered an IST requirement, commenters noted that “PHA teams regularly suggest viable, effective (and inherently safer) alternatives for risk reduction,” and EPA observed that “good PHA techniques often reveal opportunities for continuous improvement of existing processes and operations” (61 FR 31699-700)</w:t>
      </w:r>
      <w:r>
        <w:rPr>
          <w:rFonts w:ascii="Times New Roman" w:hAnsi="Times New Roman"/>
          <w:sz w:val="24"/>
        </w:rPr>
        <w:t>.</w:t>
      </w:r>
    </w:p>
    <w:p w:rsidR="003B12AF" w:rsidRPr="00A77537" w:rsidP="003B12AF" w14:paraId="1313418D" w14:textId="77777777">
      <w:pPr>
        <w:ind w:left="720"/>
        <w:rPr>
          <w:rFonts w:ascii="Times New Roman" w:hAnsi="Times New Roman"/>
          <w:sz w:val="24"/>
        </w:rPr>
      </w:pPr>
      <w:r w:rsidRPr="00A77537">
        <w:rPr>
          <w:rFonts w:ascii="Times New Roman" w:hAnsi="Times New Roman"/>
          <w:sz w:val="24"/>
        </w:rPr>
        <w:t xml:space="preserve">Therefore, EPA agrees with commenters expressing support for including a STAA in the PHA and disagrees with commenters that argue it is not appropriate to include a STAA in the PHA. In fact, the RMP PHA requirements include other aspects of analysis that are typically associated with process design. For example, the PHA must also address stationary source siting issues, which involve the location and proximity of the source relative to local populations. </w:t>
      </w:r>
    </w:p>
    <w:p w:rsidR="003B12AF" w:rsidRPr="00A77537" w:rsidP="003B12AF" w14:paraId="64C681BB" w14:textId="77777777">
      <w:pPr>
        <w:ind w:left="720"/>
        <w:rPr>
          <w:rFonts w:ascii="Times New Roman" w:hAnsi="Times New Roman"/>
          <w:sz w:val="24"/>
        </w:rPr>
      </w:pPr>
      <w:r w:rsidRPr="00A77537">
        <w:rPr>
          <w:rFonts w:ascii="Times New Roman" w:hAnsi="Times New Roman"/>
          <w:sz w:val="24"/>
        </w:rPr>
        <w:t xml:space="preserve">Nevertheless, EPA agrees that for situations where a STAA involves a novel process that is entirely different from the current process, the process design must exist or be developed within the industry, and PSI be compiled, to conduct a PHA for this new process. EPA does not expect facility owners or operators to research and create new processes or conduct research into all possibilities for the use of new chemicals. Instead, the STAA should focus on the industry known and existing substitute processes and chemicals that have been demonstrated to be safe in commercial use. </w:t>
      </w:r>
    </w:p>
    <w:p w:rsidR="003B12AF" w:rsidRPr="00A77537" w:rsidP="003B12AF" w14:paraId="2E6BD606" w14:textId="77777777">
      <w:pPr>
        <w:ind w:left="720"/>
        <w:rPr>
          <w:rFonts w:ascii="Times New Roman" w:hAnsi="Times New Roman"/>
          <w:sz w:val="24"/>
        </w:rPr>
      </w:pPr>
      <w:r w:rsidRPr="00A77537">
        <w:rPr>
          <w:rFonts w:ascii="Times New Roman" w:hAnsi="Times New Roman"/>
          <w:sz w:val="24"/>
        </w:rPr>
        <w:t xml:space="preserve">If a facility is considering an IST chemical substitution or process change from their STAA that involves a significant redesign of their process, such efforts involved with redesign and its evaluation may need to be undertaken as part of a practicability study. The definition of practicability allows for consideration of technological factors, which could include whether the potential safer alternative can be designed and operated to meet the process functions needed. However, not all IST involves substituting a chemical or an entirely new process. Also, there are other types of IST measures (minimization, moderation or simplification) that can be considered to address various points within the current process where hazards and risks exist. </w:t>
      </w:r>
    </w:p>
    <w:p w:rsidR="003B12AF" w:rsidRPr="00A77537" w:rsidP="003B12AF" w14:paraId="79FE7E04" w14:textId="77777777">
      <w:pPr>
        <w:ind w:left="720"/>
        <w:rPr>
          <w:rFonts w:ascii="Times New Roman" w:hAnsi="Times New Roman"/>
          <w:sz w:val="24"/>
        </w:rPr>
      </w:pPr>
      <w:r w:rsidRPr="00A77537">
        <w:rPr>
          <w:rFonts w:ascii="Times New Roman" w:hAnsi="Times New Roman"/>
          <w:sz w:val="24"/>
        </w:rPr>
        <w:t>Facilities may, if desired, conduct a separate STAA analysis of each entire process, outside of the PHA process, as long as it is done in the same timeframe as the PHA, and the results are documented. If a facility does not have staff capable to identify and evaluate alternatives, the facility owner or operator may obtain outside assistance from engineering firms or consultants. Furthermore, the Agency has</w:t>
      </w:r>
      <w:r w:rsidRPr="00A77537">
        <w:rPr>
          <w:rFonts w:ascii="Times New Roman" w:hAnsi="Times New Roman"/>
          <w:sz w:val="24"/>
        </w:rPr>
        <w:t xml:space="preserve"> </w:t>
      </w:r>
      <w:r w:rsidRPr="00A77537">
        <w:rPr>
          <w:rFonts w:ascii="Times New Roman" w:hAnsi="Times New Roman"/>
          <w:sz w:val="24"/>
        </w:rPr>
        <w:t xml:space="preserve">accounted for the technical capabilities of facilities in the sectors targeted for STAA when determining </w:t>
      </w:r>
      <w:r w:rsidRPr="00A77537">
        <w:rPr>
          <w:rFonts w:ascii="Times New Roman" w:hAnsi="Times New Roman"/>
          <w:sz w:val="24"/>
        </w:rPr>
        <w:t>reasonable requirements that provide for the prevention of accidents to the greatest extent practicable.</w:t>
      </w:r>
    </w:p>
    <w:p w:rsidR="003B12AF" w:rsidRPr="00A7049E" w:rsidP="003B12AF" w14:paraId="3335577D" w14:textId="77777777">
      <w:pPr>
        <w:ind w:left="720"/>
        <w:rPr>
          <w:rFonts w:ascii="Times New Roman" w:hAnsi="Times New Roman"/>
          <w:sz w:val="24"/>
        </w:rPr>
      </w:pPr>
      <w:r w:rsidRPr="00A7049E">
        <w:rPr>
          <w:rFonts w:ascii="Times New Roman" w:hAnsi="Times New Roman"/>
          <w:sz w:val="24"/>
        </w:rPr>
        <w:t xml:space="preserve">Due to the performance-based approach of the current RMP PHA requirements at 40 CFR 68.67(c)(3), to identify, evaluate, and control the hazards involved in the process, EPA believes some facilities may have already performed a STAA-type analysis as part of their PHA. </w:t>
      </w:r>
      <w:bookmarkStart w:id="71" w:name="_Hlk137617322"/>
      <w:r w:rsidRPr="00A7049E">
        <w:rPr>
          <w:rFonts w:ascii="Times New Roman" w:hAnsi="Times New Roman"/>
          <w:sz w:val="24"/>
        </w:rPr>
        <w:t>If the facility has already performed such STAA analysis in the past</w:t>
      </w:r>
      <w:bookmarkEnd w:id="71"/>
      <w:r w:rsidRPr="00A7049E">
        <w:rPr>
          <w:rFonts w:ascii="Times New Roman" w:hAnsi="Times New Roman"/>
          <w:sz w:val="24"/>
        </w:rPr>
        <w:t>, then the owner or operator should consider these analyses when updating or revalidating their PHAs and determine whether there is new information that should be considered as part of conducting the current STAA.</w:t>
      </w:r>
    </w:p>
    <w:p w:rsidR="003B12AF" w:rsidP="003B12AF" w14:paraId="206A2FF4" w14:textId="77777777">
      <w:pPr>
        <w:rPr>
          <w:rFonts w:ascii="Times New Roman" w:hAnsi="Times New Roman"/>
          <w:sz w:val="24"/>
        </w:rPr>
      </w:pPr>
      <w:r>
        <w:rPr>
          <w:rFonts w:ascii="Times New Roman" w:hAnsi="Times New Roman"/>
          <w:b/>
          <w:bCs/>
          <w:sz w:val="24"/>
        </w:rPr>
        <w:t xml:space="preserve">Comment 6.2.1-02: </w:t>
      </w: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requiring STAA as part of the PHA exceeds EPA’s authority under CAA § 112(r) to dictate RMP facility design and if Congress intended to grant such authority it would have expressly done so (0272).</w:t>
      </w:r>
    </w:p>
    <w:p w:rsidR="003B12AF" w:rsidP="003B12AF" w14:paraId="24BE5971" w14:textId="15C2E344">
      <w:pPr>
        <w:rPr>
          <w:rFonts w:ascii="Times New Roman" w:hAnsi="Times New Roman"/>
          <w:sz w:val="24"/>
        </w:rPr>
      </w:pPr>
      <w:r w:rsidRPr="2B9813E5">
        <w:rPr>
          <w:rFonts w:ascii="Times New Roman" w:hAnsi="Times New Roman"/>
          <w:sz w:val="24"/>
        </w:rPr>
        <w:t>Some of the commenters asserted that EPA does not have the statutory authority, under § 112</w:t>
      </w:r>
      <w:r w:rsidR="00BD2F53">
        <w:rPr>
          <w:rFonts w:ascii="Times New Roman" w:hAnsi="Times New Roman"/>
          <w:sz w:val="24"/>
        </w:rPr>
        <w:t>(</w:t>
      </w:r>
      <w:r w:rsidR="00A46ACF">
        <w:rPr>
          <w:rFonts w:ascii="Times New Roman" w:hAnsi="Times New Roman"/>
          <w:sz w:val="24"/>
        </w:rPr>
        <w:t>r)</w:t>
      </w:r>
      <w:r w:rsidRPr="2B9813E5">
        <w:rPr>
          <w:rFonts w:ascii="Times New Roman" w:hAnsi="Times New Roman"/>
          <w:sz w:val="24"/>
        </w:rPr>
        <w:t xml:space="preserve"> of the CAA, to impose facility design requirements at any stage of a regulated facility’s lifespan, much less for existing facilities (0207, 0215, 0232, 0268). </w:t>
      </w:r>
    </w:p>
    <w:p w:rsidR="003B12AF" w:rsidP="003B12AF" w14:paraId="357A0790"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supported limiting STAA requirements to just NAICS codes 324 and 325 but </w:t>
      </w:r>
      <w:r>
        <w:rPr>
          <w:rFonts w:ascii="Times New Roman" w:hAnsi="Times New Roman"/>
          <w:sz w:val="24"/>
        </w:rPr>
        <w:t>voiced</w:t>
      </w:r>
      <w:r w:rsidRPr="006F68E9">
        <w:rPr>
          <w:rFonts w:ascii="Times New Roman" w:hAnsi="Times New Roman"/>
          <w:sz w:val="24"/>
        </w:rPr>
        <w:t xml:space="preserve"> concern on the authority and rationality of EPA imposing STAA requirements in general (0207).</w:t>
      </w:r>
    </w:p>
    <w:p w:rsidR="00C06AC0" w:rsidP="003B12AF" w14:paraId="3ED92036" w14:textId="77777777">
      <w:pPr>
        <w:ind w:left="720"/>
        <w:rPr>
          <w:rFonts w:ascii="Times New Roman" w:hAnsi="Times New Roman"/>
          <w:sz w:val="24"/>
        </w:rPr>
      </w:pPr>
      <w:r w:rsidRPr="00DB247D">
        <w:rPr>
          <w:rFonts w:ascii="Times New Roman" w:hAnsi="Times New Roman"/>
          <w:b/>
          <w:sz w:val="24"/>
        </w:rPr>
        <w:t>EPA Response:</w:t>
      </w:r>
      <w:r w:rsidRPr="00DB247D">
        <w:rPr>
          <w:rFonts w:ascii="Times New Roman" w:hAnsi="Times New Roman"/>
          <w:sz w:val="24"/>
        </w:rPr>
        <w:t xml:space="preserve"> The Agency disagrees with the comments that the CAA does not authorize the STAA provisions of this final rule. Both paragraphs (A) and (B) of CAA section 112(r)(7) authorize STAA and IST in particular. EPA cited all of section 112(r)(7) as authority for “[e]ach of the portions of the Risk Management Program rule we propose to modify” (81 FR 13646; March 14, 2016). The authority section for 40 CFR part 68 references CAA section 112(r) and is not limited to particular paragraphs. The proposed rule also noted that paragraph 112(r)(7)(A) had been invoked in the rulemaking petition on IST</w:t>
      </w:r>
      <w:r w:rsidRPr="48CE430A" w:rsidR="6B4457A1">
        <w:rPr>
          <w:rFonts w:ascii="Times New Roman" w:hAnsi="Times New Roman"/>
          <w:sz w:val="24"/>
        </w:rPr>
        <w:t xml:space="preserve"> and is an express grant of authority for regulation of design and</w:t>
      </w:r>
      <w:r w:rsidRPr="48CE430A" w:rsidR="06E25D5F">
        <w:rPr>
          <w:rFonts w:ascii="Times New Roman" w:hAnsi="Times New Roman"/>
          <w:sz w:val="24"/>
        </w:rPr>
        <w:t xml:space="preserve"> </w:t>
      </w:r>
      <w:r w:rsidRPr="48CE430A" w:rsidR="6B4457A1">
        <w:rPr>
          <w:rFonts w:ascii="Times New Roman" w:hAnsi="Times New Roman"/>
          <w:sz w:val="24"/>
        </w:rPr>
        <w:t>operations</w:t>
      </w:r>
      <w:r w:rsidRPr="48CE430A">
        <w:rPr>
          <w:rFonts w:ascii="Times New Roman" w:hAnsi="Times New Roman"/>
          <w:sz w:val="24"/>
        </w:rPr>
        <w:t>.</w:t>
      </w:r>
      <w:r w:rsidRPr="003D4616">
        <w:t xml:space="preserve"> </w:t>
      </w:r>
      <w:r w:rsidR="00265D71">
        <w:t>T</w:t>
      </w:r>
      <w:r w:rsidRPr="003D4616" w:rsidR="003D4616">
        <w:rPr>
          <w:rFonts w:ascii="Times New Roman" w:hAnsi="Times New Roman"/>
          <w:sz w:val="24"/>
        </w:rPr>
        <w:t>he statute explicitly provides the Administrator with the authority to promulgate “design, equipment, work practice, and operational requirements” in CAA section 112(r)(7)(A), as well as requirements for “preventing accidental releases of regulated substances, including safety precautions and maintenance” in CAA section 112(r)(7)(B)(ii)(II). The regulation promulgated in this final rule simply imposes standards on continuing safe operations and equipment. Furthermore, the regulations required by CAA section 112(r)(7)(B)(i), “shall cover the use, operation, repair, replacement, and maintenance of equipment to monitor, detect, inspect, and control” accidental releases of regulated substances as appropriate (emphasis added). Terms such as “use” and “operation” necessarily allow EPA to address ongoing activities and not simply the pre-construction phase, and “replacement” of “equipment” to “control” releases authorizes EPA to require upgrades to release prevention measure such as practicable passive control measures. As discussed above, the Conference Report and the Senate Report provide ample support for requiring implementation of process and control measures to lessen the likelihood and impact of accidental releases.</w:t>
      </w:r>
      <w:r w:rsidRPr="48CE430A">
        <w:rPr>
          <w:rFonts w:ascii="Times New Roman" w:hAnsi="Times New Roman"/>
          <w:sz w:val="24"/>
        </w:rPr>
        <w:t xml:space="preserve"> </w:t>
      </w:r>
    </w:p>
    <w:p w:rsidR="003B12AF" w:rsidRPr="00DB247D" w:rsidP="003B12AF" w14:paraId="2580EC0A" w14:textId="42BCFA0F">
      <w:pPr>
        <w:ind w:left="720"/>
        <w:rPr>
          <w:rFonts w:ascii="Times New Roman" w:hAnsi="Times New Roman"/>
          <w:sz w:val="24"/>
        </w:rPr>
      </w:pPr>
      <w:r w:rsidRPr="48CE430A">
        <w:rPr>
          <w:rFonts w:ascii="Times New Roman" w:hAnsi="Times New Roman"/>
          <w:sz w:val="24"/>
        </w:rPr>
        <w:t>Therefore</w:t>
      </w:r>
      <w:r w:rsidRPr="00DB247D">
        <w:rPr>
          <w:rFonts w:ascii="Times New Roman" w:hAnsi="Times New Roman"/>
          <w:sz w:val="24"/>
        </w:rPr>
        <w:t xml:space="preserve">, EPA provided sufficient notice that the Agency contemplated action under any authority under CAA section 112(r)(7). Nevertheless, EPA also views its authority to require STAA assessments or an IST review, or implementation of safeguards to reduce </w:t>
      </w:r>
      <w:r w:rsidRPr="00DB247D">
        <w:rPr>
          <w:rFonts w:ascii="Times New Roman" w:hAnsi="Times New Roman"/>
          <w:sz w:val="24"/>
        </w:rPr>
        <w:t>risk as being consistent with paragraph 112(r)(7)(B). Under paragraph (B)</w:t>
      </w:r>
      <w:r w:rsidR="003150C8">
        <w:rPr>
          <w:rFonts w:ascii="Times New Roman" w:hAnsi="Times New Roman"/>
          <w:sz w:val="24"/>
        </w:rPr>
        <w:t>(i</w:t>
      </w:r>
      <w:r w:rsidRPr="00DB247D">
        <w:rPr>
          <w:rFonts w:ascii="Times New Roman" w:hAnsi="Times New Roman"/>
          <w:sz w:val="24"/>
        </w:rPr>
        <w:t xml:space="preserve">), EPA has authority to develop “reasonable regulations . . . for the prevention of accidental releases.” The reduction in severity of conditions in a process plainly impacts the accidental release conditions and thus the modeling called for in section 112(r)(7)(B)(ii)(I). Moreover, section 112(r)(7)(B)(ii)(II) specifically mentions that prevention programs in risk management plans shall provide for “safety precautions;” STAA measures are a type of safety precaution. Finally, as noted </w:t>
      </w:r>
      <w:r w:rsidRPr="48CE430A" w:rsidR="3E29AF49">
        <w:rPr>
          <w:rFonts w:ascii="Times New Roman" w:hAnsi="Times New Roman"/>
          <w:sz w:val="24"/>
        </w:rPr>
        <w:t>in the preamble</w:t>
      </w:r>
      <w:r w:rsidRPr="00DB247D">
        <w:rPr>
          <w:rFonts w:ascii="Times New Roman" w:hAnsi="Times New Roman"/>
          <w:sz w:val="24"/>
        </w:rPr>
        <w:t>, the Conference Report for the 1990 CAAA and the Senate Report both demonstrate that Congress intended the regulations to prioritize STAA as a prevention measure.</w:t>
      </w:r>
    </w:p>
    <w:p w:rsidR="003B12AF" w:rsidRPr="0090792B" w:rsidP="003B12AF" w14:paraId="5DEC1578" w14:textId="77777777">
      <w:pPr>
        <w:rPr>
          <w:rFonts w:ascii="Times New Roman" w:hAnsi="Times New Roman"/>
          <w:sz w:val="24"/>
        </w:rPr>
      </w:pPr>
      <w:r w:rsidRPr="00937FB1">
        <w:rPr>
          <w:rFonts w:ascii="Times New Roman" w:hAnsi="Times New Roman"/>
          <w:b/>
          <w:bCs/>
          <w:sz w:val="24"/>
        </w:rPr>
        <w:t>Comment</w:t>
      </w:r>
      <w:r>
        <w:rPr>
          <w:rFonts w:ascii="Times New Roman" w:hAnsi="Times New Roman"/>
          <w:b/>
          <w:bCs/>
          <w:sz w:val="24"/>
        </w:rPr>
        <w:t xml:space="preserve"> 6.2.1-03</w:t>
      </w:r>
      <w:r w:rsidRPr="00937FB1">
        <w:rPr>
          <w:rFonts w:ascii="Times New Roman" w:hAnsi="Times New Roman"/>
          <w:b/>
          <w:bCs/>
          <w:sz w:val="24"/>
        </w:rPr>
        <w:t>:</w:t>
      </w:r>
      <w:r>
        <w:rPr>
          <w:rFonts w:ascii="Times New Roman" w:hAnsi="Times New Roman"/>
          <w:sz w:val="24"/>
        </w:rPr>
        <w:t xml:space="preserve"> </w:t>
      </w:r>
      <w:r w:rsidRPr="009675E5">
        <w:rPr>
          <w:rFonts w:ascii="Times New Roman" w:hAnsi="Times New Roman"/>
          <w:sz w:val="24"/>
        </w:rPr>
        <w:t>One commenter recommended that EPA add a requirement for facilities to verify the adequacy of the PHA for the process and correct the PHA as needed (0173).</w:t>
      </w:r>
      <w:r>
        <w:rPr>
          <w:rFonts w:ascii="Times New Roman" w:hAnsi="Times New Roman"/>
          <w:sz w:val="24"/>
        </w:rPr>
        <w:t xml:space="preserve"> Another</w:t>
      </w:r>
      <w:r w:rsidRPr="006F68E9">
        <w:rPr>
          <w:rFonts w:ascii="Times New Roman" w:hAnsi="Times New Roman"/>
          <w:sz w:val="24"/>
        </w:rPr>
        <w:t xml:space="preserve"> commenter said that industry should pivot to require a STAA that can advise on safer chemicals that can be used (0383). </w:t>
      </w:r>
    </w:p>
    <w:p w:rsidR="007E27C5" w:rsidP="003B12AF" w14:paraId="7646B4A9" w14:textId="77777777">
      <w:pPr>
        <w:ind w:left="720"/>
        <w:rPr>
          <w:rFonts w:ascii="Times New Roman" w:hAnsi="Times New Roman"/>
          <w:sz w:val="24"/>
        </w:rPr>
      </w:pPr>
      <w:r w:rsidRPr="00B63E31">
        <w:rPr>
          <w:rFonts w:ascii="Times New Roman" w:hAnsi="Times New Roman"/>
          <w:b/>
          <w:bCs/>
          <w:sz w:val="24"/>
        </w:rPr>
        <w:t xml:space="preserve">EPA Response: </w:t>
      </w:r>
      <w:r w:rsidRPr="00CC5CE4" w:rsidR="00CC5CE4">
        <w:t xml:space="preserve"> </w:t>
      </w:r>
      <w:r w:rsidRPr="00835377" w:rsidR="00CC5CE4">
        <w:rPr>
          <w:rFonts w:ascii="Times New Roman" w:hAnsi="Times New Roman"/>
          <w:sz w:val="24"/>
        </w:rPr>
        <w:t>The RMP rule has had a longstanding requirement at 40 CFR 68.67(f)</w:t>
      </w:r>
      <w:r w:rsidRPr="00835377" w:rsidR="00AB3D96">
        <w:rPr>
          <w:rFonts w:ascii="Times New Roman" w:hAnsi="Times New Roman"/>
          <w:sz w:val="24"/>
        </w:rPr>
        <w:t xml:space="preserve"> </w:t>
      </w:r>
      <w:r w:rsidRPr="00835377" w:rsidR="00EF5AC0">
        <w:rPr>
          <w:rFonts w:ascii="Times New Roman" w:hAnsi="Times New Roman"/>
          <w:sz w:val="24"/>
        </w:rPr>
        <w:t xml:space="preserve">for </w:t>
      </w:r>
      <w:r w:rsidR="00AC4003">
        <w:rPr>
          <w:rFonts w:ascii="Times New Roman" w:hAnsi="Times New Roman"/>
          <w:sz w:val="24"/>
        </w:rPr>
        <w:t>owners and operators to</w:t>
      </w:r>
      <w:r w:rsidR="00D338E2">
        <w:rPr>
          <w:rFonts w:ascii="Times New Roman" w:hAnsi="Times New Roman"/>
          <w:sz w:val="24"/>
        </w:rPr>
        <w:t>,</w:t>
      </w:r>
      <w:r w:rsidR="00AC4003">
        <w:rPr>
          <w:rFonts w:ascii="Times New Roman" w:hAnsi="Times New Roman"/>
          <w:sz w:val="24"/>
        </w:rPr>
        <w:t xml:space="preserve"> </w:t>
      </w:r>
      <w:r w:rsidRPr="00835377" w:rsidR="00EF5AC0">
        <w:rPr>
          <w:rFonts w:ascii="Times New Roman" w:hAnsi="Times New Roman"/>
          <w:sz w:val="24"/>
        </w:rPr>
        <w:t xml:space="preserve">at </w:t>
      </w:r>
      <w:r w:rsidRPr="00835377" w:rsidR="00CC5CE4">
        <w:rPr>
          <w:rFonts w:ascii="Times New Roman" w:hAnsi="Times New Roman"/>
          <w:sz w:val="24"/>
        </w:rPr>
        <w:t>least every five (5) years</w:t>
      </w:r>
      <w:r w:rsidR="00D338E2">
        <w:rPr>
          <w:rFonts w:ascii="Times New Roman" w:hAnsi="Times New Roman"/>
          <w:sz w:val="24"/>
        </w:rPr>
        <w:t xml:space="preserve">, </w:t>
      </w:r>
      <w:r w:rsidRPr="00835377" w:rsidR="00CC5CE4">
        <w:rPr>
          <w:rFonts w:ascii="Times New Roman" w:hAnsi="Times New Roman"/>
          <w:sz w:val="24"/>
        </w:rPr>
        <w:t>updat</w:t>
      </w:r>
      <w:r w:rsidR="00A74C0E">
        <w:rPr>
          <w:rFonts w:ascii="Times New Roman" w:hAnsi="Times New Roman"/>
          <w:sz w:val="24"/>
        </w:rPr>
        <w:t>e</w:t>
      </w:r>
      <w:r w:rsidRPr="00835377" w:rsidR="00CC5CE4">
        <w:rPr>
          <w:rFonts w:ascii="Times New Roman" w:hAnsi="Times New Roman"/>
          <w:sz w:val="24"/>
        </w:rPr>
        <w:t xml:space="preserve"> and revalidate </w:t>
      </w:r>
      <w:r w:rsidR="00D338E2">
        <w:rPr>
          <w:rFonts w:ascii="Times New Roman" w:hAnsi="Times New Roman"/>
          <w:sz w:val="24"/>
        </w:rPr>
        <w:t xml:space="preserve">the PHA </w:t>
      </w:r>
      <w:r w:rsidRPr="00835377" w:rsidR="00CC5CE4">
        <w:rPr>
          <w:rFonts w:ascii="Times New Roman" w:hAnsi="Times New Roman"/>
          <w:sz w:val="24"/>
        </w:rPr>
        <w:t>by a team, to assure that the process hazard analysis is consistent with the current process.</w:t>
      </w:r>
      <w:r w:rsidRPr="007E27C5">
        <w:rPr>
          <w:rFonts w:ascii="Times New Roman" w:hAnsi="Times New Roman"/>
          <w:sz w:val="24"/>
        </w:rPr>
        <w:t xml:space="preserve"> </w:t>
      </w:r>
    </w:p>
    <w:p w:rsidR="003B12AF" w:rsidP="003B12AF" w14:paraId="450094A1" w14:textId="69DC1AAC">
      <w:pPr>
        <w:ind w:left="720"/>
        <w:rPr>
          <w:rFonts w:ascii="Times New Roman" w:hAnsi="Times New Roman"/>
          <w:sz w:val="24"/>
        </w:rPr>
      </w:pPr>
      <w:r w:rsidRPr="009C47FC">
        <w:rPr>
          <w:rFonts w:ascii="Times New Roman" w:hAnsi="Times New Roman"/>
          <w:sz w:val="24"/>
        </w:rPr>
        <w:t xml:space="preserve">Further, </w:t>
      </w:r>
      <w:r w:rsidRPr="003B3D5B">
        <w:rPr>
          <w:rFonts w:ascii="Times New Roman" w:hAnsi="Times New Roman"/>
          <w:sz w:val="24"/>
        </w:rPr>
        <w:t>EPA considers safer technology alternatives</w:t>
      </w:r>
      <w:r>
        <w:rPr>
          <w:rFonts w:ascii="Times New Roman" w:hAnsi="Times New Roman"/>
          <w:sz w:val="24"/>
        </w:rPr>
        <w:t xml:space="preserve"> analys</w:t>
      </w:r>
      <w:r w:rsidR="004D0EC2">
        <w:rPr>
          <w:rFonts w:ascii="Times New Roman" w:hAnsi="Times New Roman"/>
          <w:sz w:val="24"/>
        </w:rPr>
        <w:t>e</w:t>
      </w:r>
      <w:r>
        <w:rPr>
          <w:rFonts w:ascii="Times New Roman" w:hAnsi="Times New Roman"/>
          <w:sz w:val="24"/>
        </w:rPr>
        <w:t>s to</w:t>
      </w:r>
      <w:r w:rsidRPr="003B3D5B">
        <w:rPr>
          <w:rFonts w:ascii="Times New Roman" w:hAnsi="Times New Roman"/>
          <w:sz w:val="24"/>
        </w:rPr>
        <w:t xml:space="preserve"> include many options beyond chemical substitution.</w:t>
      </w:r>
      <w:r>
        <w:rPr>
          <w:rFonts w:ascii="Times New Roman" w:hAnsi="Times New Roman"/>
          <w:sz w:val="24"/>
        </w:rPr>
        <w:t xml:space="preserve"> </w:t>
      </w:r>
      <w:r w:rsidRPr="009C47FC">
        <w:rPr>
          <w:rFonts w:ascii="Times New Roman" w:hAnsi="Times New Roman"/>
          <w:sz w:val="24"/>
        </w:rPr>
        <w:t xml:space="preserve">EPA expects STAA to be inclusive of the full range of inherent safety options, including minimization, substitution, moderation, and simplification, as well as passive, active, and procedural </w:t>
      </w:r>
      <w:r w:rsidRPr="009C47FC" w:rsidR="00152295">
        <w:rPr>
          <w:rFonts w:ascii="Times New Roman" w:hAnsi="Times New Roman"/>
          <w:sz w:val="24"/>
        </w:rPr>
        <w:t>measures.</w:t>
      </w:r>
    </w:p>
    <w:p w:rsidR="003B12AF" w:rsidRPr="00487DBB" w:rsidP="00F7582D" w14:paraId="7B4B2EF6" w14:textId="146A8F9D">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72" w:name="_Toc153373788"/>
      <w:r w:rsidRPr="00487DBB">
        <w:rPr>
          <w:rFonts w:ascii="Times New Roman" w:hAnsi="Times New Roman" w:eastAsiaTheme="minorEastAsia" w:cs="Times New Roman"/>
          <w:b/>
          <w:bCs/>
          <w:color w:val="auto"/>
        </w:rPr>
        <w:t>Costs of implementing STAA as part of PHA</w:t>
      </w:r>
      <w:bookmarkEnd w:id="72"/>
    </w:p>
    <w:p w:rsidR="008C75BD" w:rsidRPr="008C75BD" w:rsidP="008C75BD" w14:paraId="562B177D" w14:textId="28507910">
      <w:pPr>
        <w:rPr>
          <w:rFonts w:ascii="Times New Roman" w:hAnsi="Times New Roman"/>
          <w:sz w:val="24"/>
        </w:rPr>
      </w:pPr>
      <w:r w:rsidRPr="008C75BD">
        <w:rPr>
          <w:rFonts w:ascii="Times New Roman" w:hAnsi="Times New Roman"/>
          <w:b/>
          <w:sz w:val="24"/>
        </w:rPr>
        <w:t>Comment 6.2.2-01:</w:t>
      </w:r>
      <w:r w:rsidRPr="008C75BD">
        <w:rPr>
          <w:rFonts w:ascii="Times New Roman" w:hAnsi="Times New Roman"/>
          <w:sz w:val="24"/>
        </w:rPr>
        <w:t xml:space="preserve"> A few commenters stated that mandating a full IST or ISD review would require a completely different PHA team, extensively increase the time and resources necessary to complete a PHA, require the PHA team to perform hazard assessments of ever-changing technology they may not be familiar with, and dilute a PHA’s core purpose (0229, 0232, 0233). </w:t>
      </w:r>
    </w:p>
    <w:p w:rsidR="008C75BD" w:rsidRPr="008C75BD" w:rsidP="008C75BD" w14:paraId="4E30EE4D" w14:textId="77777777">
      <w:pPr>
        <w:rPr>
          <w:rFonts w:ascii="Times New Roman" w:hAnsi="Times New Roman"/>
          <w:sz w:val="24"/>
        </w:rPr>
      </w:pPr>
      <w:r w:rsidRPr="008C75BD">
        <w:rPr>
          <w:rFonts w:ascii="Times New Roman" w:hAnsi="Times New Roman"/>
          <w:sz w:val="24"/>
        </w:rPr>
        <w:t>A couple of commenters stated that the requirement to perform STAA for every existing RMP is costly, takes time and resources, and may not result in improvement (0188, 0215).</w:t>
      </w:r>
    </w:p>
    <w:p w:rsidR="008C75BD" w:rsidRPr="008C75BD" w:rsidP="008C75BD" w14:paraId="4632DC49" w14:textId="77777777">
      <w:pPr>
        <w:rPr>
          <w:rFonts w:ascii="Times New Roman" w:hAnsi="Times New Roman"/>
          <w:sz w:val="24"/>
        </w:rPr>
      </w:pPr>
      <w:r w:rsidRPr="008C75BD">
        <w:rPr>
          <w:rFonts w:ascii="Times New Roman" w:hAnsi="Times New Roman"/>
          <w:sz w:val="24"/>
        </w:rPr>
        <w:t>One commenter lamented the resources and time they could better use elsewhere than in conducting an STAA (0205).</w:t>
      </w:r>
    </w:p>
    <w:p w:rsidR="008C75BD" w:rsidRPr="008C75BD" w:rsidP="008C75BD" w14:paraId="2839ADF8" w14:textId="77777777">
      <w:pPr>
        <w:rPr>
          <w:rFonts w:ascii="Times New Roman" w:hAnsi="Times New Roman"/>
          <w:sz w:val="24"/>
        </w:rPr>
      </w:pPr>
      <w:r w:rsidRPr="008C75BD">
        <w:rPr>
          <w:rFonts w:ascii="Times New Roman" w:hAnsi="Times New Roman"/>
          <w:sz w:val="24"/>
        </w:rPr>
        <w:t>Some other commenters stated that since EPA states RMP accidents are exceedingly rare, the financial burden of requiring STAA is unnecessary to impose (0180, 0197, 0205, 0217, 0226, 0234, 0458).</w:t>
      </w:r>
    </w:p>
    <w:p w:rsidR="008C75BD" w:rsidRPr="008C75BD" w:rsidP="008C75BD" w14:paraId="47D3C794" w14:textId="77777777">
      <w:pPr>
        <w:ind w:left="720"/>
        <w:rPr>
          <w:rFonts w:ascii="Times New Roman" w:hAnsi="Times New Roman"/>
          <w:sz w:val="24"/>
        </w:rPr>
      </w:pPr>
      <w:r w:rsidRPr="008C75BD">
        <w:rPr>
          <w:rFonts w:ascii="Times New Roman" w:hAnsi="Times New Roman"/>
          <w:b/>
          <w:bCs/>
          <w:sz w:val="24"/>
        </w:rPr>
        <w:t>EPA Response:</w:t>
      </w:r>
      <w:r w:rsidRPr="008C75BD">
        <w:rPr>
          <w:rFonts w:ascii="Times New Roman" w:hAnsi="Times New Roman"/>
          <w:sz w:val="24"/>
        </w:rPr>
        <w:t xml:space="preserve"> In response to comments concerning costs for implementing STAA measures, EPA believes there is an overemphasis on initial costs leading to less consideration of safer, reliable methods to reduce process risks. CCPS’ 2019, “Guidelines for Inherently Safer Chemical Processes, A Life Cycle Approach,” discusses the tradeoff of initial and operating costs of implementing different STAA measures. CCPS indicates that while inherently safer and passive measures do tend to have higher initial capital costs, operating costs are usually lower than those for the other measures. For active measures as compared to inherently safer and passive measures, reliability is typically lower, and complexity is greater. Operating costs are also actually likely to be the greatest for active solutions. While procedural measures are most often tempting solutions due to </w:t>
      </w:r>
      <w:r w:rsidRPr="008C75BD">
        <w:rPr>
          <w:rFonts w:ascii="Times New Roman" w:hAnsi="Times New Roman"/>
          <w:sz w:val="24"/>
        </w:rPr>
        <w:t>their initial very low capital cost and typically lower complexity, they are often also the least reliable and should be considered only after other solutions have been explored. Similarly, EPA believes passive measures (or active/procedural equivalent) measures that reduce risk and are practicable should be implemented.</w:t>
      </w:r>
    </w:p>
    <w:p w:rsidR="00243AD9" w:rsidP="00F7582D" w14:paraId="41A615A8" w14:textId="77777777">
      <w:pPr>
        <w:pStyle w:val="BodyText"/>
        <w:spacing w:before="120" w:after="120" w:line="240" w:lineRule="auto"/>
        <w:ind w:left="720" w:firstLine="0"/>
        <w:rPr>
          <w:rFonts w:eastAsiaTheme="minorEastAsia"/>
          <w:szCs w:val="24"/>
        </w:rPr>
      </w:pPr>
      <w:r w:rsidRPr="008C75BD">
        <w:rPr>
          <w:rFonts w:eastAsiaTheme="minorEastAsia"/>
          <w:szCs w:val="24"/>
        </w:rPr>
        <w:t xml:space="preserve">The Agency is not requiring formal practicability assessments (as is now required for IST) for passive, active, or procedural measures. Since evaluation of passive, active and procedural measures have been a part of the RMP rule, leading to implementation of some, it is expected that the determination of their practicability already occurs. The Agency believes the requirement to determine what actions are to be taken in 40 CFR 68.67(e) suffices as a practicability determination for the less extensive upgrades or changes to the process as compared to IST. However, to ensure the assessment determining a measure is not practicable complies with the final rule definition, sources will be required to document this conclusion to the implementing agency’s satisfaction; this requirement will help ensure costs alone are not the sole factor in determining practicability.  </w:t>
      </w:r>
    </w:p>
    <w:p w:rsidR="00CC3576" w:rsidP="00F7582D" w14:paraId="6EB1F126" w14:textId="1EF72704">
      <w:pPr>
        <w:pStyle w:val="BodyText"/>
        <w:spacing w:before="120" w:after="120" w:line="240" w:lineRule="auto"/>
        <w:ind w:left="720" w:firstLine="0"/>
        <w:rPr>
          <w:rFonts w:eastAsiaTheme="minorEastAsia"/>
        </w:rPr>
      </w:pPr>
      <w:r w:rsidRPr="0608BE2D">
        <w:rPr>
          <w:rFonts w:eastAsiaTheme="minorEastAsia"/>
        </w:rPr>
        <w:t>In response to comments that</w:t>
      </w:r>
      <w:r w:rsidRPr="0608BE2D" w:rsidR="00B74731">
        <w:rPr>
          <w:rFonts w:eastAsiaTheme="minorEastAsia"/>
        </w:rPr>
        <w:t xml:space="preserve"> </w:t>
      </w:r>
      <w:r w:rsidRPr="0608BE2D" w:rsidR="000878D6">
        <w:rPr>
          <w:rFonts w:eastAsiaTheme="minorEastAsia"/>
        </w:rPr>
        <w:t>a full IST or ISD review will extensively increase time and resources</w:t>
      </w:r>
      <w:r w:rsidRPr="0608BE2D" w:rsidR="0048582A">
        <w:rPr>
          <w:rFonts w:eastAsiaTheme="minorEastAsia"/>
        </w:rPr>
        <w:t>,</w:t>
      </w:r>
      <w:r w:rsidRPr="0608BE2D" w:rsidR="00817AA3">
        <w:rPr>
          <w:rFonts w:eastAsiaTheme="minorEastAsia"/>
        </w:rPr>
        <w:t xml:space="preserve"> </w:t>
      </w:r>
      <w:r w:rsidRPr="0608BE2D" w:rsidR="00D348F4">
        <w:rPr>
          <w:rFonts w:eastAsiaTheme="minorEastAsia"/>
        </w:rPr>
        <w:t>EPA notes that</w:t>
      </w:r>
      <w:r w:rsidRPr="0608BE2D" w:rsidR="000C2ACF">
        <w:rPr>
          <w:rFonts w:eastAsiaTheme="minorEastAsia"/>
        </w:rPr>
        <w:t xml:space="preserve"> the requirement to control hazards has been a PHA requirement since the inception of the rule</w:t>
      </w:r>
      <w:r w:rsidRPr="0608BE2D" w:rsidR="00B344A2">
        <w:rPr>
          <w:rFonts w:eastAsiaTheme="minorEastAsia"/>
        </w:rPr>
        <w:t>, requiring</w:t>
      </w:r>
      <w:r w:rsidRPr="00B344A2" w:rsidR="00B344A2">
        <w:t xml:space="preserve"> </w:t>
      </w:r>
      <w:r w:rsidR="00B344A2">
        <w:t xml:space="preserve">sources to “identify, evaluate and </w:t>
      </w:r>
      <w:r w:rsidR="00B344A2">
        <w:rPr>
          <w:i/>
          <w:iCs/>
        </w:rPr>
        <w:t>control</w:t>
      </w:r>
      <w:r w:rsidR="00B344A2">
        <w:t xml:space="preserve"> the hazards involved in the process.” </w:t>
      </w:r>
      <w:r w:rsidRPr="0608BE2D">
        <w:rPr>
          <w:rFonts w:eastAsiaTheme="minorEastAsia"/>
        </w:rPr>
        <w:t>An industry commenter even stated that the analysis of passive measures, active measures, and procedural measures already occurs as part of the PHA.</w:t>
      </w:r>
      <w:r>
        <w:rPr>
          <w:rStyle w:val="FootnoteReference"/>
          <w:rFonts w:eastAsiaTheme="minorEastAsia"/>
          <w:szCs w:val="24"/>
        </w:rPr>
        <w:footnoteReference w:id="84"/>
      </w:r>
      <w:r w:rsidRPr="00B5226F" w:rsidR="00B5226F">
        <w:t xml:space="preserve"> </w:t>
      </w:r>
      <w:r w:rsidRPr="436E755E" w:rsidR="00B5226F">
        <w:rPr>
          <w:rFonts w:eastAsiaTheme="minorEastAsia"/>
        </w:rPr>
        <w:t>A</w:t>
      </w:r>
      <w:r w:rsidRPr="436E755E" w:rsidR="6477BB53">
        <w:rPr>
          <w:rFonts w:eastAsiaTheme="minorEastAsia"/>
        </w:rPr>
        <w:t>dditionally</w:t>
      </w:r>
      <w:r w:rsidRPr="0608BE2D" w:rsidR="00B5226F">
        <w:rPr>
          <w:rFonts w:eastAsiaTheme="minorEastAsia"/>
        </w:rPr>
        <w:t xml:space="preserve">, RMP data show that some facilities already implement </w:t>
      </w:r>
      <w:r w:rsidRPr="0608BE2D" w:rsidR="00FE4660">
        <w:rPr>
          <w:rFonts w:eastAsiaTheme="minorEastAsia"/>
        </w:rPr>
        <w:t xml:space="preserve">IST/ISD and </w:t>
      </w:r>
      <w:r w:rsidRPr="0608BE2D" w:rsidR="00B5226F">
        <w:rPr>
          <w:rFonts w:eastAsiaTheme="minorEastAsia"/>
        </w:rPr>
        <w:t>safeguards to control hazards within</w:t>
      </w:r>
      <w:r w:rsidRPr="0608BE2D" w:rsidR="004F57EB">
        <w:rPr>
          <w:rFonts w:eastAsiaTheme="minorEastAsia"/>
        </w:rPr>
        <w:t xml:space="preserve"> their</w:t>
      </w:r>
      <w:r w:rsidRPr="0608BE2D" w:rsidR="00B5226F">
        <w:rPr>
          <w:rFonts w:eastAsiaTheme="minorEastAsia"/>
        </w:rPr>
        <w:t xml:space="preserve"> facility processes</w:t>
      </w:r>
      <w:r>
        <w:rPr>
          <w:rStyle w:val="FootnoteReference"/>
          <w:rFonts w:eastAsiaTheme="minorEastAsia"/>
          <w:szCs w:val="24"/>
        </w:rPr>
        <w:footnoteReference w:id="85"/>
      </w:r>
      <w:r w:rsidRPr="0608BE2D" w:rsidR="00B5226F">
        <w:rPr>
          <w:rFonts w:eastAsiaTheme="minorEastAsia"/>
        </w:rPr>
        <w:t>.</w:t>
      </w:r>
      <w:r w:rsidRPr="0608BE2D" w:rsidR="002420B2">
        <w:rPr>
          <w:rFonts w:eastAsiaTheme="minorEastAsia"/>
        </w:rPr>
        <w:t xml:space="preserve"> </w:t>
      </w:r>
      <w:r w:rsidRPr="68127820" w:rsidR="067A7FCD">
        <w:rPr>
          <w:rFonts w:eastAsiaTheme="minorEastAsia"/>
        </w:rPr>
        <w:t xml:space="preserve">Therefore, EPA rejects the suggestion that the inclusion of STAA measures in PHAs is a radical departure from </w:t>
      </w:r>
      <w:r w:rsidRPr="73181BD2" w:rsidR="3BE85F14">
        <w:rPr>
          <w:rFonts w:eastAsiaTheme="minorEastAsia"/>
        </w:rPr>
        <w:t xml:space="preserve">the purpose of </w:t>
      </w:r>
      <w:r w:rsidRPr="0BFF1AD4" w:rsidR="1360BD8A">
        <w:rPr>
          <w:rFonts w:eastAsiaTheme="minorEastAsia"/>
        </w:rPr>
        <w:t xml:space="preserve">PHAs </w:t>
      </w:r>
      <w:r w:rsidRPr="73181BD2" w:rsidR="3BE85F14">
        <w:rPr>
          <w:rFonts w:eastAsiaTheme="minorEastAsia"/>
        </w:rPr>
        <w:t xml:space="preserve">as well as the way they are performed. </w:t>
      </w:r>
      <w:r w:rsidRPr="73181BD2" w:rsidR="002420B2">
        <w:rPr>
          <w:rFonts w:eastAsiaTheme="minorEastAsia"/>
        </w:rPr>
        <w:t>The</w:t>
      </w:r>
      <w:r w:rsidRPr="0608BE2D" w:rsidR="002420B2">
        <w:rPr>
          <w:rFonts w:eastAsiaTheme="minorEastAsia"/>
        </w:rPr>
        <w:t xml:space="preserve"> main innovation</w:t>
      </w:r>
      <w:r w:rsidRPr="0608BE2D" w:rsidR="00C97DA4">
        <w:rPr>
          <w:rFonts w:eastAsiaTheme="minorEastAsia"/>
        </w:rPr>
        <w:t>s</w:t>
      </w:r>
      <w:r w:rsidRPr="0608BE2D" w:rsidR="002420B2">
        <w:rPr>
          <w:rFonts w:eastAsiaTheme="minorEastAsia"/>
        </w:rPr>
        <w:t xml:space="preserve"> of this provision </w:t>
      </w:r>
      <w:r w:rsidRPr="0608BE2D" w:rsidR="00C97DA4">
        <w:rPr>
          <w:rFonts w:eastAsiaTheme="minorEastAsia"/>
        </w:rPr>
        <w:t>are</w:t>
      </w:r>
      <w:r w:rsidRPr="0608BE2D" w:rsidR="002420B2">
        <w:rPr>
          <w:rFonts w:eastAsiaTheme="minorEastAsia"/>
        </w:rPr>
        <w:t xml:space="preserve"> </w:t>
      </w:r>
      <w:r w:rsidRPr="0608BE2D" w:rsidR="0058446B">
        <w:rPr>
          <w:rFonts w:eastAsiaTheme="minorEastAsia"/>
        </w:rPr>
        <w:t>simply</w:t>
      </w:r>
      <w:r w:rsidRPr="0608BE2D" w:rsidR="00CC65CA">
        <w:rPr>
          <w:rFonts w:eastAsiaTheme="minorEastAsia"/>
        </w:rPr>
        <w:t xml:space="preserve"> put</w:t>
      </w:r>
      <w:r w:rsidRPr="0608BE2D" w:rsidR="0024612F">
        <w:rPr>
          <w:rFonts w:eastAsiaTheme="minorEastAsia"/>
        </w:rPr>
        <w:t>ting</w:t>
      </w:r>
      <w:r w:rsidRPr="0608BE2D" w:rsidR="00CC65CA">
        <w:rPr>
          <w:rFonts w:eastAsiaTheme="minorEastAsia"/>
        </w:rPr>
        <w:t xml:space="preserve"> into the RMP rule </w:t>
      </w:r>
      <w:r w:rsidRPr="0608BE2D" w:rsidR="0058446B">
        <w:rPr>
          <w:rFonts w:eastAsiaTheme="minorEastAsia"/>
        </w:rPr>
        <w:t xml:space="preserve">the </w:t>
      </w:r>
      <w:r w:rsidRPr="0608BE2D" w:rsidR="00C97DA4">
        <w:rPr>
          <w:rFonts w:eastAsiaTheme="minorEastAsia"/>
        </w:rPr>
        <w:t xml:space="preserve">well-known </w:t>
      </w:r>
      <w:r w:rsidRPr="0608BE2D" w:rsidR="00B075EB">
        <w:rPr>
          <w:rFonts w:eastAsiaTheme="minorEastAsia"/>
        </w:rPr>
        <w:t xml:space="preserve">industry </w:t>
      </w:r>
      <w:r w:rsidRPr="0608BE2D" w:rsidR="008A110E">
        <w:rPr>
          <w:rFonts w:eastAsiaTheme="minorEastAsia"/>
        </w:rPr>
        <w:t xml:space="preserve">concept of </w:t>
      </w:r>
      <w:r w:rsidRPr="0608BE2D" w:rsidR="0058446B">
        <w:rPr>
          <w:rFonts w:eastAsiaTheme="minorEastAsia"/>
        </w:rPr>
        <w:t>hierarchy of control</w:t>
      </w:r>
      <w:r w:rsidRPr="0608BE2D" w:rsidR="008A110E">
        <w:rPr>
          <w:rFonts w:eastAsiaTheme="minorEastAsia"/>
        </w:rPr>
        <w:t>s</w:t>
      </w:r>
      <w:r>
        <w:rPr>
          <w:rStyle w:val="FootnoteReference"/>
          <w:rFonts w:eastAsiaTheme="minorEastAsia"/>
          <w:szCs w:val="24"/>
        </w:rPr>
        <w:footnoteReference w:id="86"/>
      </w:r>
      <w:r w:rsidRPr="0608BE2D" w:rsidR="0058446B">
        <w:rPr>
          <w:rFonts w:eastAsiaTheme="minorEastAsia"/>
        </w:rPr>
        <w:t xml:space="preserve"> in an STAA analysis</w:t>
      </w:r>
      <w:r w:rsidRPr="0608BE2D" w:rsidR="008A110E">
        <w:rPr>
          <w:rFonts w:eastAsiaTheme="minorEastAsia"/>
        </w:rPr>
        <w:t xml:space="preserve">, </w:t>
      </w:r>
      <w:r w:rsidRPr="0608BE2D" w:rsidR="0024612F">
        <w:rPr>
          <w:rFonts w:eastAsiaTheme="minorEastAsia"/>
        </w:rPr>
        <w:t xml:space="preserve">formal practicability assessments, documentation of rejected practicable ISTs, and implementation of at least one mitigation measure at a facility. </w:t>
      </w:r>
      <w:r w:rsidRPr="0608BE2D" w:rsidR="00383141">
        <w:rPr>
          <w:rFonts w:eastAsiaTheme="minorEastAsia"/>
        </w:rPr>
        <w:t xml:space="preserve">As </w:t>
      </w:r>
      <w:r w:rsidRPr="0608BE2D" w:rsidR="00FB46D3">
        <w:rPr>
          <w:rFonts w:eastAsiaTheme="minorEastAsia"/>
        </w:rPr>
        <w:t>these provision</w:t>
      </w:r>
      <w:r w:rsidRPr="0608BE2D" w:rsidR="008A110E">
        <w:rPr>
          <w:rFonts w:eastAsiaTheme="minorEastAsia"/>
        </w:rPr>
        <w:t>s</w:t>
      </w:r>
      <w:r w:rsidRPr="0608BE2D" w:rsidR="00FB46D3">
        <w:rPr>
          <w:rFonts w:eastAsiaTheme="minorEastAsia"/>
        </w:rPr>
        <w:t xml:space="preserve"> are only applied </w:t>
      </w:r>
      <w:r w:rsidR="003C5824">
        <w:rPr>
          <w:rFonts w:eastAsiaTheme="minorEastAsia"/>
        </w:rPr>
        <w:t xml:space="preserve">to </w:t>
      </w:r>
      <w:r w:rsidRPr="0608BE2D" w:rsidR="00FB46D3">
        <w:rPr>
          <w:rFonts w:eastAsiaTheme="minorEastAsia"/>
        </w:rPr>
        <w:t>subset</w:t>
      </w:r>
      <w:r w:rsidRPr="0608BE2D" w:rsidR="00316076">
        <w:rPr>
          <w:rFonts w:eastAsiaTheme="minorEastAsia"/>
        </w:rPr>
        <w:t>s</w:t>
      </w:r>
      <w:r w:rsidRPr="0608BE2D" w:rsidR="00FB46D3">
        <w:rPr>
          <w:rFonts w:eastAsiaTheme="minorEastAsia"/>
        </w:rPr>
        <w:t xml:space="preserve"> of RMP facilities, the provision</w:t>
      </w:r>
      <w:r w:rsidRPr="0608BE2D" w:rsidR="008A110E">
        <w:rPr>
          <w:rFonts w:eastAsiaTheme="minorEastAsia"/>
        </w:rPr>
        <w:t>s</w:t>
      </w:r>
      <w:r w:rsidRPr="0608BE2D" w:rsidR="00FB46D3">
        <w:rPr>
          <w:rFonts w:eastAsiaTheme="minorEastAsia"/>
        </w:rPr>
        <w:t xml:space="preserve"> </w:t>
      </w:r>
      <w:r w:rsidRPr="0608BE2D" w:rsidR="0024612F">
        <w:rPr>
          <w:rFonts w:eastAsiaTheme="minorEastAsia"/>
        </w:rPr>
        <w:t xml:space="preserve">ensure </w:t>
      </w:r>
      <w:r w:rsidRPr="0608BE2D" w:rsidR="00316076">
        <w:rPr>
          <w:rFonts w:eastAsiaTheme="minorEastAsia"/>
        </w:rPr>
        <w:t>complex process</w:t>
      </w:r>
      <w:r w:rsidRPr="0608BE2D" w:rsidR="00454425">
        <w:rPr>
          <w:rFonts w:eastAsiaTheme="minorEastAsia"/>
        </w:rPr>
        <w:t xml:space="preserve"> </w:t>
      </w:r>
      <w:r w:rsidRPr="0608BE2D" w:rsidR="00F473E2">
        <w:rPr>
          <w:rFonts w:eastAsiaTheme="minorEastAsia"/>
        </w:rPr>
        <w:t xml:space="preserve">are continually generating </w:t>
      </w:r>
      <w:r w:rsidRPr="0608BE2D" w:rsidR="00CD3CA9">
        <w:rPr>
          <w:rFonts w:eastAsiaTheme="minorEastAsia"/>
        </w:rPr>
        <w:t xml:space="preserve">safer design and technology information </w:t>
      </w:r>
      <w:r w:rsidRPr="0608BE2D" w:rsidR="00F473E2">
        <w:rPr>
          <w:rFonts w:eastAsiaTheme="minorEastAsia"/>
        </w:rPr>
        <w:t xml:space="preserve">based on lessons learned </w:t>
      </w:r>
      <w:r w:rsidRPr="0608BE2D" w:rsidR="0071330D">
        <w:rPr>
          <w:rFonts w:eastAsiaTheme="minorEastAsia"/>
        </w:rPr>
        <w:t xml:space="preserve">and that there is </w:t>
      </w:r>
      <w:r w:rsidRPr="0608BE2D" w:rsidR="0024612F">
        <w:rPr>
          <w:rFonts w:eastAsiaTheme="minorEastAsia"/>
        </w:rPr>
        <w:t>continuous improvement at risky facilities</w:t>
      </w:r>
      <w:r w:rsidRPr="0608BE2D" w:rsidR="00F473E2">
        <w:rPr>
          <w:rFonts w:eastAsiaTheme="minorEastAsia"/>
        </w:rPr>
        <w:t>.</w:t>
      </w:r>
      <w:r w:rsidRPr="0608BE2D" w:rsidR="0024612F">
        <w:rPr>
          <w:rFonts w:eastAsiaTheme="minorEastAsia"/>
        </w:rPr>
        <w:t xml:space="preserve"> </w:t>
      </w:r>
    </w:p>
    <w:p w:rsidR="0958BD03" w:rsidP="0958BD03" w14:paraId="081D7C42" w14:textId="7127DC1A">
      <w:pPr>
        <w:pStyle w:val="BodyText"/>
        <w:spacing w:before="120" w:after="120" w:line="240" w:lineRule="auto"/>
        <w:ind w:left="720" w:firstLine="0"/>
        <w:rPr>
          <w:rFonts w:eastAsiaTheme="minorEastAsia"/>
        </w:rPr>
      </w:pPr>
      <w:r w:rsidRPr="1B2EF7DC">
        <w:rPr>
          <w:rFonts w:eastAsiaTheme="minorEastAsia"/>
        </w:rPr>
        <w:t xml:space="preserve">Finally, EPA provides an estimate of the costs of the STAA provisions in the RIA. </w:t>
      </w:r>
    </w:p>
    <w:p w:rsidR="008C75BD" w:rsidRPr="008C75BD" w:rsidP="008C75BD" w14:paraId="623694AF" w14:textId="77777777">
      <w:pPr>
        <w:rPr>
          <w:rFonts w:ascii="Times New Roman" w:hAnsi="Times New Roman"/>
          <w:sz w:val="24"/>
        </w:rPr>
      </w:pPr>
      <w:r w:rsidRPr="008C75BD">
        <w:rPr>
          <w:rFonts w:ascii="Times New Roman" w:hAnsi="Times New Roman"/>
          <w:b/>
          <w:sz w:val="24"/>
        </w:rPr>
        <w:t xml:space="preserve">Comment 6.2.2-02: </w:t>
      </w:r>
      <w:r w:rsidRPr="008C75BD">
        <w:rPr>
          <w:rFonts w:ascii="Times New Roman" w:hAnsi="Times New Roman"/>
          <w:sz w:val="24"/>
        </w:rPr>
        <w:t>A couple of commenters expressed that STAA is inappropriate and cost-prohibitive for existing processes, and the commenters stated that STAA is better suited for new or redesigned processes (0215, 0238).</w:t>
      </w:r>
    </w:p>
    <w:p w:rsidR="008C75BD" w:rsidRPr="008C75BD" w:rsidP="008C75BD" w14:paraId="62F2FA7A" w14:textId="77777777">
      <w:pPr>
        <w:ind w:left="720"/>
        <w:rPr>
          <w:color w:val="000000"/>
          <w:shd w:val="clear" w:color="auto" w:fill="FFFFFF"/>
        </w:rPr>
      </w:pPr>
      <w:r w:rsidRPr="008C75BD">
        <w:rPr>
          <w:rFonts w:ascii="Times New Roman" w:hAnsi="Times New Roman"/>
          <w:b/>
          <w:sz w:val="24"/>
        </w:rPr>
        <w:t xml:space="preserve">EPA Response: </w:t>
      </w:r>
      <w:r w:rsidRPr="008C75BD">
        <w:rPr>
          <w:rFonts w:ascii="Times New Roman" w:hAnsi="Times New Roman"/>
          <w:sz w:val="24"/>
        </w:rPr>
        <w:t>To the extent that particular measures are cost-prohibitive, the rule allows for that to be a factor in assessing whether a measure is practicable.</w:t>
      </w:r>
      <w:r w:rsidRPr="008C75BD">
        <w:rPr>
          <w:rStyle w:val="eop"/>
          <w:color w:val="000000"/>
          <w:shd w:val="clear" w:color="auto" w:fill="FFFFFF"/>
        </w:rPr>
        <w:t> </w:t>
      </w:r>
    </w:p>
    <w:p w:rsidR="008C75BD" w:rsidRPr="008C75BD" w:rsidP="008C75BD" w14:paraId="1E8012A8" w14:textId="77777777">
      <w:r w:rsidRPr="008C75BD">
        <w:rPr>
          <w:rFonts w:ascii="Times New Roman" w:hAnsi="Times New Roman"/>
          <w:b/>
          <w:sz w:val="24"/>
        </w:rPr>
        <w:t xml:space="preserve">Comment 6.2.2-03: </w:t>
      </w:r>
      <w:r w:rsidRPr="008C75BD">
        <w:rPr>
          <w:rFonts w:ascii="Times New Roman" w:hAnsi="Times New Roman"/>
          <w:sz w:val="24"/>
        </w:rPr>
        <w:t>A couple of commenters stated that the STAA provisions would not be cost-effective. The commenters stated that the STAA represents 70% of the total costs EPA estimates apply to the proposed rule (0215, 0268). One of the commenters stated that EPA should have considered a less expensive version of the STAA provision when preparing its lower cost alternatives analysis. The commenter stated that the high-cost and low-cost regulatory alternatives in the proposed rule keep the STAA costs unchanged but considers lower cost alternatives for root cause analysis, third-party audits, and employee participation (0268).</w:t>
      </w:r>
      <w:r w:rsidRPr="008C75BD">
        <w:t xml:space="preserve"> </w:t>
      </w:r>
    </w:p>
    <w:p w:rsidR="008C75BD" w:rsidRPr="008C75BD" w:rsidP="008C75BD" w14:paraId="325885EF" w14:textId="77777777">
      <w:pPr>
        <w:rPr>
          <w:rFonts w:ascii="Times New Roman" w:hAnsi="Times New Roman"/>
          <w:sz w:val="24"/>
        </w:rPr>
      </w:pPr>
      <w:r w:rsidRPr="008C75BD">
        <w:rPr>
          <w:rFonts w:ascii="Times New Roman" w:hAnsi="Times New Roman"/>
          <w:sz w:val="24"/>
        </w:rPr>
        <w:t xml:space="preserve">The commenters stated that the proposed STAA requirement is solely for consideration of possible alternatives and has unproven and unquantified benefits that do not justify the annual cost of $51.8 million (0215, 0268). One of the commenters added that EPA stated that they expect “some portion of future damages would be prevented through implementation of a final rule,” but they did not identify any benefits specifically tied to the STAA provision. The commenter stated that there is consensus on the theoretical value of STAA as a tool to inform future investment decisions and said that once a facility has committed to a particular production technology, STAA is not particularly useful nor informative (0215). </w:t>
      </w:r>
    </w:p>
    <w:p w:rsidR="008C75BD" w:rsidRPr="008C75BD" w:rsidP="008C75BD" w14:paraId="0916DF92" w14:textId="3F7E5884">
      <w:pPr>
        <w:rPr>
          <w:rFonts w:ascii="Times New Roman" w:hAnsi="Times New Roman"/>
          <w:sz w:val="24"/>
        </w:rPr>
      </w:pPr>
      <w:r w:rsidRPr="008C75BD">
        <w:rPr>
          <w:rFonts w:ascii="Times New Roman" w:hAnsi="Times New Roman"/>
          <w:sz w:val="24"/>
        </w:rPr>
        <w:t xml:space="preserve">One commenter stated that the costs of transitioning to safer alternatives are also not sufficiently weighed against the costs of a major incident. The commenter said that in the proposed rule EPA stated that “the known costs of certain STAA changes range from less than $1,000 to over $100 million.” The commenter </w:t>
      </w:r>
      <w:r w:rsidR="00FA1EA6">
        <w:rPr>
          <w:rFonts w:ascii="Times New Roman" w:hAnsi="Times New Roman"/>
          <w:sz w:val="24"/>
        </w:rPr>
        <w:t>provided</w:t>
      </w:r>
      <w:r w:rsidRPr="008C75BD">
        <w:rPr>
          <w:rFonts w:ascii="Times New Roman" w:hAnsi="Times New Roman"/>
          <w:sz w:val="24"/>
        </w:rPr>
        <w:t xml:space="preserve"> an example that at California refineries, research indicates that safety improvements could avoid major incidents costing owners $220 million on average. The commenter also </w:t>
      </w:r>
      <w:r w:rsidR="00FA1EA6">
        <w:rPr>
          <w:rFonts w:ascii="Times New Roman" w:hAnsi="Times New Roman"/>
          <w:sz w:val="24"/>
        </w:rPr>
        <w:t>noted</w:t>
      </w:r>
      <w:r w:rsidRPr="008C75BD" w:rsidR="00FA1EA6">
        <w:rPr>
          <w:rFonts w:ascii="Times New Roman" w:hAnsi="Times New Roman"/>
          <w:sz w:val="24"/>
        </w:rPr>
        <w:t xml:space="preserve"> </w:t>
      </w:r>
      <w:r w:rsidRPr="008C75BD">
        <w:rPr>
          <w:rFonts w:ascii="Times New Roman" w:hAnsi="Times New Roman"/>
          <w:sz w:val="24"/>
        </w:rPr>
        <w:t>that this figure does not include costs to society, such as human lives, economic stress, and health care and emergency service costs (0240).</w:t>
      </w:r>
    </w:p>
    <w:p w:rsidR="008C75BD" w:rsidRPr="008C75BD" w:rsidP="008C75BD" w14:paraId="4D8B8AED" w14:textId="77777777">
      <w:pPr>
        <w:rPr>
          <w:rFonts w:ascii="Times New Roman" w:hAnsi="Times New Roman"/>
          <w:sz w:val="24"/>
        </w:rPr>
      </w:pPr>
      <w:r w:rsidRPr="008C75BD">
        <w:rPr>
          <w:rFonts w:ascii="Times New Roman" w:hAnsi="Times New Roman"/>
          <w:sz w:val="24"/>
        </w:rPr>
        <w:t>Several commenters expressed concern that EPA has not proven the feasibility nor benefit of STAA in reducing RMP-applicable incidents (0205, 0215, 0233, 0268, 0271).</w:t>
      </w:r>
    </w:p>
    <w:p w:rsidR="008C75BD" w:rsidRPr="008C75BD" w:rsidP="008C75BD" w14:paraId="7D5D8A59" w14:textId="77777777">
      <w:pPr>
        <w:ind w:left="720"/>
        <w:rPr>
          <w:rFonts w:ascii="Times New Roman" w:hAnsi="Times New Roman"/>
          <w:sz w:val="24"/>
        </w:rPr>
      </w:pPr>
      <w:r w:rsidRPr="008C75BD">
        <w:rPr>
          <w:rFonts w:ascii="Times New Roman" w:hAnsi="Times New Roman"/>
          <w:b/>
          <w:sz w:val="24"/>
        </w:rPr>
        <w:t xml:space="preserve">EPA </w:t>
      </w:r>
      <w:r w:rsidRPr="008C75BD">
        <w:rPr>
          <w:rFonts w:ascii="Times New Roman" w:hAnsi="Times New Roman"/>
          <w:b/>
          <w:bCs/>
          <w:sz w:val="24"/>
        </w:rPr>
        <w:t>Response</w:t>
      </w:r>
      <w:r w:rsidRPr="008C75BD">
        <w:rPr>
          <w:rFonts w:ascii="Times New Roman" w:hAnsi="Times New Roman"/>
          <w:b/>
          <w:sz w:val="24"/>
        </w:rPr>
        <w:t>:</w:t>
      </w:r>
      <w:r w:rsidRPr="008C75BD">
        <w:rPr>
          <w:rFonts w:ascii="Times New Roman" w:eastAsia="MS Mincho" w:hAnsi="Times New Roman"/>
          <w:sz w:val="24"/>
          <w:szCs w:val="20"/>
        </w:rPr>
        <w:t xml:space="preserve"> </w:t>
      </w:r>
      <w:r w:rsidRPr="008C75BD">
        <w:t xml:space="preserve"> </w:t>
      </w:r>
      <w:r w:rsidRPr="008C75BD">
        <w:rPr>
          <w:rFonts w:ascii="Times New Roman" w:hAnsi="Times New Roman"/>
          <w:sz w:val="24"/>
        </w:rPr>
        <w:t xml:space="preserve">EPA disagrees that the benefits of the STAA requirements do not justify the costs. EPA believes that the STAA should identify potential IST process changes that, if implemented, would result in owners or operators using less hazardous substances, minimizing the amount of regulated substances present in a process, moderating process conditions and reducing process complexity. The STAA also should identify potential passive, active, or procedural safeguards that, when implemented, will result in changes to make processes safer. Such changes help reduce the prevalence of higher risk processes and thereby prevent accidents by either: (1) eliminating the possibility of an accidental release entirely, by making a process more fault-tolerant, such that a minor process upset, or equipment malfunction does not result in a serious accidental release; </w:t>
      </w:r>
      <w:bookmarkStart w:id="73" w:name="_Hlk137617489"/>
      <w:r w:rsidRPr="008C75BD">
        <w:rPr>
          <w:rFonts w:ascii="Times New Roman" w:hAnsi="Times New Roman"/>
          <w:sz w:val="24"/>
        </w:rPr>
        <w:t>and (2) reducing the severity of releases that do occur</w:t>
      </w:r>
      <w:bookmarkEnd w:id="73"/>
      <w:r w:rsidRPr="008C75BD">
        <w:rPr>
          <w:rFonts w:ascii="Times New Roman" w:hAnsi="Times New Roman"/>
          <w:sz w:val="24"/>
        </w:rPr>
        <w:t xml:space="preserve">. </w:t>
      </w:r>
    </w:p>
    <w:p w:rsidR="008C75BD" w:rsidRPr="008C75BD" w:rsidP="008C75BD" w14:paraId="089179E3" w14:textId="53F26859">
      <w:pPr>
        <w:ind w:left="720"/>
        <w:rPr>
          <w:rFonts w:ascii="Times New Roman" w:hAnsi="Times New Roman"/>
          <w:sz w:val="24"/>
        </w:rPr>
      </w:pPr>
      <w:r w:rsidRPr="00342E25">
        <w:rPr>
          <w:rFonts w:ascii="Times New Roman" w:hAnsi="Times New Roman"/>
          <w:sz w:val="24"/>
        </w:rPr>
        <w:t xml:space="preserve">RMP accident data show past accidents have generated highly variable impacts, so the impacts of future accidents are difficult to predict. Nevertheless, it is clear from RMP </w:t>
      </w:r>
      <w:r w:rsidRPr="00342E25">
        <w:rPr>
          <w:rFonts w:ascii="Times New Roman" w:hAnsi="Times New Roman"/>
          <w:sz w:val="24"/>
        </w:rPr>
        <w:t>accident data</w:t>
      </w:r>
      <w:r>
        <w:rPr>
          <w:rFonts w:ascii="Times New Roman" w:hAnsi="Times New Roman"/>
          <w:sz w:val="24"/>
          <w:vertAlign w:val="superscript"/>
        </w:rPr>
        <w:footnoteReference w:id="87"/>
      </w:r>
      <w:r w:rsidRPr="00342E25">
        <w:rPr>
          <w:rFonts w:ascii="Times New Roman" w:hAnsi="Times New Roman"/>
          <w:sz w:val="24"/>
        </w:rPr>
        <w:t xml:space="preserve"> </w:t>
      </w:r>
      <w:r w:rsidRPr="00342E25">
        <w:rPr>
          <w:rFonts w:ascii="Times New Roman" w:hAnsi="Times New Roman"/>
          <w:sz w:val="24"/>
        </w:rPr>
        <w:t xml:space="preserve">and other </w:t>
      </w:r>
      <w:r w:rsidR="002C036F">
        <w:rPr>
          <w:rFonts w:ascii="Times New Roman" w:hAnsi="Times New Roman"/>
          <w:sz w:val="24"/>
        </w:rPr>
        <w:t>relevant data from RMP regulated in</w:t>
      </w:r>
      <w:r w:rsidR="00C87630">
        <w:rPr>
          <w:rFonts w:ascii="Times New Roman" w:hAnsi="Times New Roman"/>
          <w:sz w:val="24"/>
        </w:rPr>
        <w:t>dustr</w:t>
      </w:r>
      <w:r w:rsidR="0051627D">
        <w:rPr>
          <w:rFonts w:ascii="Times New Roman" w:hAnsi="Times New Roman"/>
          <w:sz w:val="24"/>
        </w:rPr>
        <w:t>y sectors</w:t>
      </w:r>
      <w:r w:rsidRPr="00342E25">
        <w:rPr>
          <w:rFonts w:ascii="Times New Roman" w:hAnsi="Times New Roman"/>
          <w:sz w:val="24"/>
        </w:rPr>
        <w:t>,</w:t>
      </w:r>
      <w:r>
        <w:rPr>
          <w:rFonts w:ascii="Times New Roman" w:hAnsi="Times New Roman"/>
          <w:sz w:val="24"/>
          <w:vertAlign w:val="superscript"/>
        </w:rPr>
        <w:footnoteReference w:id="88"/>
      </w:r>
      <w:r w:rsidRPr="00342E25">
        <w:rPr>
          <w:rFonts w:ascii="Times New Roman" w:hAnsi="Times New Roman"/>
          <w:sz w:val="24"/>
        </w:rPr>
        <w:t xml:space="preserve"> that chemical accidents can impose substantial costs on firms, employees, emergency responders, the community, and the broader economy. Because major </w:t>
      </w:r>
      <w:r w:rsidR="00342F52">
        <w:rPr>
          <w:rFonts w:ascii="Times New Roman" w:hAnsi="Times New Roman"/>
          <w:sz w:val="24"/>
        </w:rPr>
        <w:t xml:space="preserve">and other concerning </w:t>
      </w:r>
      <w:r w:rsidRPr="00342E25">
        <w:rPr>
          <w:rFonts w:ascii="Times New Roman" w:hAnsi="Times New Roman"/>
          <w:sz w:val="24"/>
        </w:rPr>
        <w:t>RMP accidents continue to occur, b</w:t>
      </w:r>
      <w:r w:rsidRPr="00342E25">
        <w:rPr>
          <w:rFonts w:ascii="Times New Roman" w:hAnsi="Times New Roman"/>
          <w:sz w:val="24"/>
        </w:rPr>
        <w:t>y</w:t>
      </w:r>
      <w:r w:rsidRPr="008C75BD">
        <w:rPr>
          <w:rFonts w:ascii="Times New Roman" w:hAnsi="Times New Roman"/>
          <w:sz w:val="24"/>
        </w:rPr>
        <w:t xml:space="preserve"> lowering risk of accidents, the benefits include: reductions </w:t>
      </w:r>
      <w:r w:rsidRPr="008C75BD">
        <w:rPr>
          <w:rFonts w:ascii="Times New Roman" w:hAnsi="Times New Roman"/>
          <w:sz w:val="24"/>
        </w:rPr>
        <w:t xml:space="preserve">in the number of fatalities and injuries both onsite and offsite and residents evacuated or otherwise inconvenienced by sheltering in place; reductions in the damage caused to property onsite and offsite of the facility including damages to product, equipment, and buildings; reductions in damages to the environment and ecosystems; and reductions in resources diverted to extinguish fires and clean up affected areas. Preventing serious accidents avoids numerous direct costs, including worker, responder, and public fatalities and injuries, public evacuations, public sheltering in place, and property and environmental damage. It also avoids indirect costs, such as lost productivity due to lost or damaged property and business interruption both onsite and offsite, expenditure of emergency response resources and attendant transaction costs, and reduced offsite property values. Actions that prevent or reduce the severity of accidents in RMP-covered processes are also likely to prevent or mitigate non-RMP accidents at the same facilities because the same or similar actions can be taken for processes and equipment not subject to the regulation, often at minimal additional cost. </w:t>
      </w:r>
    </w:p>
    <w:p w:rsidR="0011260B" w:rsidRPr="00342E25" w:rsidP="0011260B" w14:paraId="6B71B5C3" w14:textId="77777777">
      <w:pPr>
        <w:ind w:left="720"/>
        <w:rPr>
          <w:rFonts w:ascii="Times New Roman" w:hAnsi="Times New Roman"/>
          <w:sz w:val="24"/>
        </w:rPr>
      </w:pPr>
      <w:r w:rsidRPr="00342E25">
        <w:rPr>
          <w:rFonts w:ascii="Times New Roman" w:hAnsi="Times New Roman"/>
          <w:sz w:val="24"/>
        </w:rPr>
        <w:t>Further, for IST/ISD practicability and implementation of certain measures, EPA recognizes facilities will most likely implement IST/ISD when an IST/ISD’s net cost is less than a passive measure’s cost. The Agency assumes owners and operators will likely explore specific benefits to their facility when making decisions and expects the evaluation to consider several factors, such as:</w:t>
      </w:r>
    </w:p>
    <w:p w:rsidR="0011260B" w:rsidRPr="00342E25" w:rsidP="005F0D48" w14:paraId="0456DF99" w14:textId="77777777">
      <w:pPr>
        <w:numPr>
          <w:ilvl w:val="0"/>
          <w:numId w:val="34"/>
        </w:numPr>
        <w:tabs>
          <w:tab w:val="left" w:pos="1080"/>
          <w:tab w:val="left" w:pos="1627"/>
          <w:tab w:val="left" w:pos="2160"/>
          <w:tab w:val="left" w:pos="2880"/>
        </w:tabs>
        <w:ind w:left="1080"/>
        <w:rPr>
          <w:rFonts w:ascii="Times New Roman" w:hAnsi="Times New Roman"/>
          <w:sz w:val="24"/>
        </w:rPr>
      </w:pPr>
      <w:r w:rsidRPr="00342E25">
        <w:rPr>
          <w:rFonts w:ascii="Times New Roman" w:hAnsi="Times New Roman"/>
          <w:sz w:val="24"/>
        </w:rPr>
        <w:t>Operating and Maintenance (O&amp;M) cost – IST/ISD may have a change in O&amp;M costs compared to passive measures. For example, chemicals used in the process may change, which could cause changes in recurring input costs, including potentially lower those costs.</w:t>
      </w:r>
    </w:p>
    <w:p w:rsidR="0011260B" w:rsidRPr="00342E25" w:rsidP="005F0D48" w14:paraId="13CC9779" w14:textId="77777777">
      <w:pPr>
        <w:numPr>
          <w:ilvl w:val="0"/>
          <w:numId w:val="34"/>
        </w:numPr>
        <w:tabs>
          <w:tab w:val="left" w:pos="1080"/>
          <w:tab w:val="left" w:pos="1627"/>
          <w:tab w:val="left" w:pos="2160"/>
          <w:tab w:val="left" w:pos="2880"/>
        </w:tabs>
        <w:ind w:left="1080"/>
        <w:rPr>
          <w:rFonts w:ascii="Times New Roman" w:hAnsi="Times New Roman"/>
          <w:sz w:val="24"/>
        </w:rPr>
      </w:pPr>
      <w:r w:rsidRPr="00342E25">
        <w:rPr>
          <w:rFonts w:ascii="Times New Roman" w:hAnsi="Times New Roman"/>
          <w:sz w:val="24"/>
        </w:rPr>
        <w:t xml:space="preserve">Productivity improvements – IST/ISD could result in productivity improvements from more efficient process and changes to input costs. </w:t>
      </w:r>
    </w:p>
    <w:p w:rsidR="0011260B" w:rsidRPr="00342E25" w:rsidP="005F0D48" w14:paraId="2ADBBAD9" w14:textId="77777777">
      <w:pPr>
        <w:numPr>
          <w:ilvl w:val="0"/>
          <w:numId w:val="34"/>
        </w:numPr>
        <w:tabs>
          <w:tab w:val="left" w:pos="1080"/>
          <w:tab w:val="left" w:pos="1627"/>
          <w:tab w:val="left" w:pos="2160"/>
          <w:tab w:val="left" w:pos="2880"/>
        </w:tabs>
        <w:ind w:left="1080"/>
        <w:rPr>
          <w:rFonts w:ascii="Times New Roman" w:hAnsi="Times New Roman"/>
          <w:sz w:val="24"/>
        </w:rPr>
      </w:pPr>
      <w:r w:rsidRPr="00342E25">
        <w:rPr>
          <w:rFonts w:ascii="Times New Roman" w:hAnsi="Times New Roman"/>
          <w:sz w:val="24"/>
        </w:rPr>
        <w:t xml:space="preserve">Safety improvements – IST/ISD may reduce risks of an accident more than would a passive-equivalent measure. A lower accident risk will result in facility safety benefits and social benefits from fewer accidents. </w:t>
      </w:r>
    </w:p>
    <w:p w:rsidR="0011260B" w:rsidRPr="00342E25" w:rsidP="005F0D48" w14:paraId="4A9BF205" w14:textId="77777777">
      <w:pPr>
        <w:numPr>
          <w:ilvl w:val="0"/>
          <w:numId w:val="34"/>
        </w:numPr>
        <w:tabs>
          <w:tab w:val="left" w:pos="1080"/>
          <w:tab w:val="left" w:pos="1627"/>
          <w:tab w:val="left" w:pos="2160"/>
          <w:tab w:val="left" w:pos="2880"/>
        </w:tabs>
        <w:ind w:left="1080"/>
        <w:rPr>
          <w:rFonts w:ascii="Times New Roman" w:hAnsi="Times New Roman"/>
          <w:sz w:val="24"/>
        </w:rPr>
      </w:pPr>
      <w:r w:rsidRPr="00342E25">
        <w:rPr>
          <w:rFonts w:ascii="Times New Roman" w:hAnsi="Times New Roman"/>
          <w:sz w:val="24"/>
        </w:rPr>
        <w:t>Capital/facility reduced losses – Similar to safety, a lower accident risk will reduce losses to capital as well as shorter than expected facility shutdown time from accidents.</w:t>
      </w:r>
    </w:p>
    <w:p w:rsidR="0011260B" w:rsidRPr="0011260B" w:rsidP="0011260B" w14:paraId="4F293C3F" w14:textId="511167CA">
      <w:pPr>
        <w:ind w:left="720"/>
        <w:rPr>
          <w:rFonts w:ascii="Times New Roman" w:hAnsi="Times New Roman"/>
        </w:rPr>
      </w:pPr>
      <w:r w:rsidRPr="00342E25">
        <w:rPr>
          <w:rFonts w:ascii="Times New Roman" w:hAnsi="Times New Roman"/>
          <w:sz w:val="24"/>
        </w:rPr>
        <w:t xml:space="preserve">These facility specific factors will further help owners and operators </w:t>
      </w:r>
      <w:r w:rsidR="00D051D0">
        <w:rPr>
          <w:rFonts w:ascii="Times New Roman" w:hAnsi="Times New Roman"/>
          <w:sz w:val="24"/>
        </w:rPr>
        <w:t xml:space="preserve">identify facility-specific benefits associated with the </w:t>
      </w:r>
      <w:r w:rsidRPr="00342E25">
        <w:rPr>
          <w:rFonts w:ascii="Times New Roman" w:hAnsi="Times New Roman"/>
          <w:sz w:val="24"/>
        </w:rPr>
        <w:t xml:space="preserve">costs to comply with this provision. EPA continues to believe the performance-based nature of both this provision and the overall rule allow facility owners and operators the discretion to determine </w:t>
      </w:r>
      <w:r w:rsidR="006802AD">
        <w:rPr>
          <w:rFonts w:ascii="Times New Roman" w:hAnsi="Times New Roman"/>
          <w:sz w:val="24"/>
        </w:rPr>
        <w:t xml:space="preserve">which IST/ISDs and passive, </w:t>
      </w:r>
      <w:r w:rsidR="006802AD">
        <w:rPr>
          <w:rFonts w:ascii="Times New Roman" w:hAnsi="Times New Roman"/>
          <w:sz w:val="24"/>
        </w:rPr>
        <w:t xml:space="preserve">active and procedural safeguard </w:t>
      </w:r>
      <w:r w:rsidRPr="00342E25">
        <w:rPr>
          <w:rFonts w:ascii="Times New Roman" w:hAnsi="Times New Roman"/>
          <w:sz w:val="24"/>
        </w:rPr>
        <w:t xml:space="preserve">measures work best for their particular chemical use, process, or facility and for protecting the community potentially affected. </w:t>
      </w:r>
    </w:p>
    <w:p w:rsidR="008C75BD" w:rsidRPr="008C75BD" w:rsidP="008C75BD" w14:paraId="4FFDAF30" w14:textId="77777777">
      <w:pPr>
        <w:ind w:left="720"/>
        <w:rPr>
          <w:rFonts w:ascii="Times New Roman" w:hAnsi="Times New Roman"/>
          <w:sz w:val="24"/>
        </w:rPr>
      </w:pPr>
      <w:r w:rsidRPr="008C75BD">
        <w:rPr>
          <w:rFonts w:ascii="Times New Roman" w:hAnsi="Times New Roman"/>
          <w:sz w:val="24"/>
        </w:rPr>
        <w:t xml:space="preserve">EPA disagrees that the benefits of the STAA requirements are unproven. Since 1996, EPA has seen that advances in ISTs and safer alternatives are becoming more widely available and are being adopted by some companies. Voluntary implementation of some ISTs has been identified through surveys and studies and potential opportunities have been identified through EPA enforcement cases and the U.S. Chemical Safety and Hazard Investigation Board (CSB) incident investigations. As discussed in the 2017 amendments rule (82 FR 4645; Jan. 13, 2017), the Contra Costa County Health Services and New Jersey Department of Environmental Protection (NJDEP) IST regulations have resulted in some facilities adopting IST measures. </w:t>
      </w:r>
    </w:p>
    <w:p w:rsidR="008C75BD" w:rsidRPr="008C75BD" w:rsidP="008C75BD" w14:paraId="5236A758" w14:textId="77777777">
      <w:pPr>
        <w:ind w:left="720"/>
        <w:rPr>
          <w:rFonts w:ascii="Times New Roman" w:hAnsi="Times New Roman"/>
          <w:sz w:val="24"/>
        </w:rPr>
      </w:pPr>
      <w:r w:rsidRPr="008C75BD">
        <w:rPr>
          <w:rFonts w:ascii="Times New Roman" w:hAnsi="Times New Roman"/>
          <w:sz w:val="24"/>
        </w:rPr>
        <w:t>EPA disagrees that STAA is not useful or informative for facilities that have committed to a particular production technology.</w:t>
      </w:r>
      <w:r w:rsidRPr="008C75BD">
        <w:rPr>
          <w:rFonts w:ascii="Times New Roman" w:hAnsi="Times New Roman"/>
          <w:sz w:val="24"/>
        </w:rPr>
        <w:t xml:space="preserve"> </w:t>
      </w:r>
      <w:r w:rsidRPr="008C75BD">
        <w:rPr>
          <w:rFonts w:ascii="Times New Roman" w:hAnsi="Times New Roman"/>
          <w:sz w:val="24"/>
        </w:rPr>
        <w:t>Innovations and research in chemical process safety have evolved and continue to evolve. For those facilities who have not considered adopting any IST or have only done so in limited fashion, EPA believes that there is value in requiring facilities with regulated substances to evaluate whether they can improve risk management of current hazards through potential implementation of ISTs or risk management measures that are more robust and reliable than ones currently in use at the facility. For those facilities who have already considered IST, EPA believes facilities should re-evaluate whether any improvements in hazard or risk reduction can be made.</w:t>
      </w:r>
    </w:p>
    <w:p w:rsidR="008C75BD" w:rsidRPr="008C75BD" w:rsidP="008C75BD" w14:paraId="15BEABD2" w14:textId="23C79D8E">
      <w:pPr>
        <w:ind w:left="720"/>
        <w:rPr>
          <w:rFonts w:ascii="Times New Roman" w:hAnsi="Times New Roman"/>
          <w:sz w:val="24"/>
        </w:rPr>
      </w:pPr>
      <w:r w:rsidRPr="008C75BD">
        <w:rPr>
          <w:rFonts w:ascii="Times New Roman" w:hAnsi="Times New Roman"/>
          <w:sz w:val="24"/>
        </w:rPr>
        <w:t>In response to the comment that EPA did not identify any benefits specifically tied to the STAA provision, EPA</w:t>
      </w:r>
      <w:r w:rsidR="006A325B">
        <w:rPr>
          <w:rFonts w:ascii="Times New Roman" w:hAnsi="Times New Roman"/>
          <w:sz w:val="24"/>
        </w:rPr>
        <w:t xml:space="preserve"> was able to qualitatively judge that the risk reduction from STAA implementation</w:t>
      </w:r>
      <w:r>
        <w:rPr>
          <w:rStyle w:val="FootnoteReference"/>
          <w:rFonts w:ascii="Times New Roman" w:hAnsi="Times New Roman"/>
          <w:sz w:val="24"/>
        </w:rPr>
        <w:footnoteReference w:id="89"/>
      </w:r>
      <w:r w:rsidR="006A325B">
        <w:rPr>
          <w:rFonts w:ascii="Times New Roman" w:hAnsi="Times New Roman"/>
          <w:sz w:val="24"/>
        </w:rPr>
        <w:t xml:space="preserve"> </w:t>
      </w:r>
      <w:r w:rsidR="00AB03E4">
        <w:rPr>
          <w:rFonts w:ascii="Times New Roman" w:hAnsi="Times New Roman"/>
          <w:sz w:val="24"/>
        </w:rPr>
        <w:t>reasonably justified the costs</w:t>
      </w:r>
      <w:r w:rsidRPr="008C75BD">
        <w:rPr>
          <w:rFonts w:ascii="Times New Roman" w:hAnsi="Times New Roman"/>
          <w:sz w:val="24"/>
        </w:rPr>
        <w:t xml:space="preserve">. </w:t>
      </w:r>
      <w:r w:rsidRPr="008C75BD">
        <w:rPr>
          <w:rFonts w:ascii="Times New Roman" w:hAnsi="Times New Roman"/>
          <w:sz w:val="24"/>
        </w:rPr>
        <w:t>In principle, the STAA eliminates or minimizes the opportunities for a chemical release because identification and implementation of “safer” technologies and alternatives,</w:t>
      </w:r>
      <w:r w:rsidRPr="008C75BD">
        <w:rPr>
          <w:rFonts w:ascii="Times New Roman" w:hAnsi="Times New Roman"/>
          <w:sz w:val="24"/>
        </w:rPr>
        <w:t xml:space="preserve"> </w:t>
      </w:r>
      <w:r w:rsidRPr="008C75BD">
        <w:rPr>
          <w:rFonts w:ascii="Times New Roman" w:hAnsi="Times New Roman"/>
          <w:sz w:val="24"/>
        </w:rPr>
        <w:t>should result in a hazard or risk reduction for a particular RMP chemical or process.</w:t>
      </w:r>
      <w:r w:rsidRPr="008C75BD">
        <w:rPr>
          <w:rFonts w:ascii="Times New Roman" w:hAnsi="Times New Roman"/>
          <w:sz w:val="24"/>
        </w:rPr>
        <w:t xml:space="preserve"> </w:t>
      </w:r>
      <w:r w:rsidRPr="008C75BD">
        <w:rPr>
          <w:rFonts w:ascii="Times New Roman" w:hAnsi="Times New Roman"/>
          <w:sz w:val="24"/>
        </w:rPr>
        <w:t xml:space="preserve">EPA recognizes that neither IST nor other procedural, active, or passive measures alone will eliminate all hazards or risks and that reliance on a combination of risk reduction measures will probably be needed for other points in a process. </w:t>
      </w:r>
    </w:p>
    <w:p w:rsidR="008C75BD" w:rsidRPr="008C75BD" w:rsidP="008C75BD" w14:paraId="4ED24A64" w14:textId="77777777">
      <w:pPr>
        <w:rPr>
          <w:rFonts w:ascii="Times New Roman" w:hAnsi="Times New Roman"/>
          <w:sz w:val="24"/>
        </w:rPr>
      </w:pPr>
      <w:r w:rsidRPr="008C75BD">
        <w:rPr>
          <w:rFonts w:ascii="Times New Roman" w:hAnsi="Times New Roman"/>
          <w:b/>
          <w:sz w:val="24"/>
        </w:rPr>
        <w:t xml:space="preserve">Comment 6.2.2-04: </w:t>
      </w:r>
      <w:r w:rsidRPr="008C75BD">
        <w:rPr>
          <w:rFonts w:ascii="Times New Roman" w:hAnsi="Times New Roman"/>
          <w:sz w:val="24"/>
        </w:rPr>
        <w:t>One commenter stated that EPA failed to consider scenarios in which the proposed rule would lead to a refinery shut down. The commenter discussed many factors that may contribute to such a decision, including the high capital cost relative to capital employed, limits on the capacity needed, and lack of space to install necessary equipment. The commenter stated that unit shutdown could cost an estimated $30 million due to decontamination, demolition, and hazardous waste processing. Relatedly, the commenter claimed that EPA failed to consider other impacts associated with refineries shutting down HF alkylation units such as the costs, risks, uncertainties, and environmental impacts associated with imported alkylate. The commenter believed that the loss of half of the United States’ alkylation capacity would severely curtail the domestic production of gasoline, leading to replacement by imports (0268).</w:t>
      </w:r>
    </w:p>
    <w:p w:rsidR="008C75BD" w:rsidRPr="008C75BD" w:rsidP="008C75BD" w14:paraId="747CB385" w14:textId="77777777">
      <w:pPr>
        <w:rPr>
          <w:rFonts w:ascii="Times New Roman" w:hAnsi="Times New Roman"/>
          <w:sz w:val="24"/>
        </w:rPr>
      </w:pPr>
      <w:r w:rsidRPr="008C75BD">
        <w:rPr>
          <w:rFonts w:ascii="Times New Roman" w:hAnsi="Times New Roman"/>
          <w:sz w:val="24"/>
        </w:rPr>
        <w:t xml:space="preserve">The commenter also claimed that a wholesale replacement of U.S. refineries’ HF alkylation capacity with new sulfuric acid alkylation units would involve significant expense, a total capital investment cost of $15 to 45 billion, as well as practical difficulties and would likely not result in </w:t>
      </w:r>
      <w:r w:rsidRPr="008C75BD">
        <w:rPr>
          <w:rFonts w:ascii="Times New Roman" w:hAnsi="Times New Roman"/>
          <w:sz w:val="24"/>
        </w:rPr>
        <w:t>risk reduction to the public or environment, especially when compared to the cost or benefit of alternative courses of action (0268). </w:t>
      </w:r>
    </w:p>
    <w:p w:rsidR="008C75BD" w:rsidRPr="008C75BD" w:rsidP="008C75BD" w14:paraId="6EFFE34F" w14:textId="77777777">
      <w:pPr>
        <w:rPr>
          <w:rFonts w:ascii="Times New Roman" w:hAnsi="Times New Roman"/>
          <w:sz w:val="24"/>
        </w:rPr>
      </w:pPr>
      <w:r w:rsidRPr="008C75BD">
        <w:rPr>
          <w:rFonts w:ascii="Times New Roman" w:hAnsi="Times New Roman"/>
          <w:sz w:val="24"/>
        </w:rPr>
        <w:t>Another commenter was additionally concerned that EPA’s economic justifications for its policy choices, particularly its focus on HF alkylation, departed from the actual cost of alternative technology replacements (0477).</w:t>
      </w:r>
    </w:p>
    <w:p w:rsidR="008C75BD" w:rsidRPr="008C75BD" w:rsidP="008C75BD" w14:paraId="69C0406A" w14:textId="77777777">
      <w:pPr>
        <w:rPr>
          <w:rFonts w:ascii="Times New Roman" w:hAnsi="Times New Roman"/>
          <w:sz w:val="24"/>
        </w:rPr>
      </w:pPr>
      <w:r w:rsidRPr="008C75BD">
        <w:rPr>
          <w:rFonts w:ascii="Times New Roman" w:hAnsi="Times New Roman"/>
          <w:sz w:val="24"/>
        </w:rPr>
        <w:t>Conversely, another commenter suggested that the cost of HF alternatives was not prohibitive when compared to the earnings of the refinery owners (0254).</w:t>
      </w:r>
      <w:r w:rsidRPr="008C75BD">
        <w:rPr>
          <w:rFonts w:ascii="Times New Roman" w:eastAsia="Times New Roman" w:hAnsi="Times New Roman"/>
          <w:sz w:val="24"/>
        </w:rPr>
        <w:t xml:space="preserve"> One commenter recommended that conversion of HF alkylation units meeting established criterion could be funded with infrastructure funds (0134).</w:t>
      </w:r>
      <w:r w:rsidRPr="008C75BD">
        <w:rPr>
          <w:rFonts w:ascii="Times New Roman" w:eastAsia="Times New Roman" w:hAnsi="Times New Roman"/>
          <w:sz w:val="24"/>
        </w:rPr>
        <w:tab/>
      </w:r>
    </w:p>
    <w:p w:rsidR="008C75BD" w:rsidRPr="008C75BD" w:rsidP="008C75BD" w14:paraId="0F73FFF2" w14:textId="77777777">
      <w:pPr>
        <w:rPr>
          <w:rFonts w:ascii="Times New Roman" w:hAnsi="Times New Roman"/>
          <w:sz w:val="24"/>
        </w:rPr>
      </w:pPr>
      <w:r w:rsidRPr="008C75BD">
        <w:rPr>
          <w:rFonts w:ascii="Times New Roman" w:hAnsi="Times New Roman"/>
          <w:sz w:val="24"/>
        </w:rPr>
        <w:t xml:space="preserve">Another commenter claimed that </w:t>
      </w:r>
      <w:r w:rsidRPr="008C75BD">
        <w:rPr>
          <w:rStyle w:val="Strong"/>
          <w:rFonts w:ascii="Times New Roman" w:hAnsi="Times New Roman"/>
          <w:b w:val="0"/>
          <w:bCs w:val="0"/>
          <w:sz w:val="24"/>
        </w:rPr>
        <w:t>data show that HF alkylation processes are well managed</w:t>
      </w:r>
      <w:r w:rsidRPr="008C75BD">
        <w:rPr>
          <w:rFonts w:ascii="Times New Roman" w:hAnsi="Times New Roman"/>
          <w:sz w:val="24"/>
        </w:rPr>
        <w:t xml:space="preserve"> by refiners. The commenter said EPA’s 1993 report on HF and the continuous improvement of industry-developed HF management policy API Recommended Practice 751 (RP 751). The commenter stated that RP 751 is recognized by OSHA and the CSB as providing effective guidance for the safe operation of HF alkylation units and management of HF catalyst. The commenter claimed that there have never been life-threatening injuries to people in surrounding communities stemming from HF-related incidents at refineries, which the commenter stated was because of multiple layers of mitigation technologies and emergency procedures. </w:t>
      </w:r>
      <w:r w:rsidRPr="008C75BD">
        <w:rPr>
          <w:rStyle w:val="Strong"/>
          <w:rFonts w:ascii="Times New Roman" w:hAnsi="Times New Roman"/>
          <w:b w:val="0"/>
          <w:bCs w:val="0"/>
          <w:sz w:val="24"/>
        </w:rPr>
        <w:t>The commenter claimed that the</w:t>
      </w:r>
      <w:r w:rsidRPr="008C75BD">
        <w:rPr>
          <w:rStyle w:val="Strong"/>
          <w:rFonts w:ascii="Times New Roman" w:hAnsi="Times New Roman"/>
          <w:sz w:val="24"/>
        </w:rPr>
        <w:t xml:space="preserve"> </w:t>
      </w:r>
      <w:r w:rsidRPr="008C75BD">
        <w:rPr>
          <w:rFonts w:ascii="Times New Roman" w:hAnsi="Times New Roman"/>
          <w:sz w:val="24"/>
        </w:rPr>
        <w:t>benefits of STAA are flawed because the commenter said that EPA failed to consider the measures taken at facilities that follow or audit against API 751 (0268).</w:t>
      </w:r>
    </w:p>
    <w:p w:rsidR="00A265CC" w:rsidP="008C75BD" w14:paraId="4C2B9E7F" w14:textId="3BF41D03">
      <w:pPr>
        <w:ind w:left="720"/>
        <w:rPr>
          <w:rFonts w:ascii="Times New Roman" w:hAnsi="Times New Roman"/>
          <w:sz w:val="24"/>
        </w:rPr>
      </w:pPr>
      <w:r w:rsidRPr="008C75BD">
        <w:rPr>
          <w:rFonts w:ascii="Times New Roman" w:hAnsi="Times New Roman"/>
          <w:b/>
          <w:bCs/>
          <w:sz w:val="24"/>
        </w:rPr>
        <w:t>EPA Response:</w:t>
      </w:r>
      <w:r w:rsidRPr="008C75BD">
        <w:rPr>
          <w:rFonts w:ascii="Times New Roman" w:hAnsi="Times New Roman"/>
          <w:sz w:val="24"/>
        </w:rPr>
        <w:t xml:space="preserve"> EPA notes that HF is an extremely toxic chemical used for alkylation at 27 percent of facilities in NAICS 324 (45 of 163). EPA is requiring that all HF alkylation processes at petroleum refineries (NAICS 324) conduct an initial STAA evaluation, a practicability assessment for IST</w:t>
      </w:r>
      <w:r w:rsidR="00394E03">
        <w:rPr>
          <w:rFonts w:ascii="Times New Roman" w:hAnsi="Times New Roman"/>
          <w:sz w:val="24"/>
        </w:rPr>
        <w:t>/ISD</w:t>
      </w:r>
      <w:r w:rsidRPr="008C75BD">
        <w:rPr>
          <w:rFonts w:ascii="Times New Roman" w:hAnsi="Times New Roman"/>
          <w:sz w:val="24"/>
        </w:rPr>
        <w:t xml:space="preserve">, and implementation of at least one passive measure (or combination of active or procedural measures equivalent to the risk reduction of a passive measure), primarily due to recent incidents where HF was nearly released when there were explosions, fires, and other releases that could have triggered releases of HF. While API RP 751 offers industry guidance to help safely manage HF alkylation process and its hazards, those process hazards still </w:t>
      </w:r>
      <w:r w:rsidRPr="008C75BD">
        <w:rPr>
          <w:rFonts w:ascii="Times New Roman" w:hAnsi="Times New Roman"/>
          <w:sz w:val="24"/>
        </w:rPr>
        <w:t xml:space="preserve">exist. </w:t>
      </w:r>
      <w:r w:rsidRPr="008C75BD">
        <w:rPr>
          <w:rFonts w:ascii="Times New Roman" w:hAnsi="Times New Roman"/>
          <w:sz w:val="24"/>
        </w:rPr>
        <w:t>In contrast, there are recognized potentially safer chemical alternatives available for HF alkylation that have been successfully implemented by refineries, such as sulfuric acid alkylation, ionic liquid alkylation, or solid acid catalyst alkylation. These eliminate the hazard. With several known alternatives and with recent incident history, EPA believes the process of HF alkylation merits a rule-based prevention approach rather than only selective oversight. In response to the comments urging EPA to require facilities to switch from HF to a safer alternative whenever feasible, the practicability of these potentially safer alternatives is situation-specific, and owners and operators are usually in the best position to make these determinations.</w:t>
      </w:r>
      <w:r w:rsidRPr="00DD2F61">
        <w:rPr>
          <w:rFonts w:ascii="Times New Roman" w:hAnsi="Times New Roman"/>
          <w:sz w:val="24"/>
        </w:rPr>
        <w:t xml:space="preserve"> </w:t>
      </w:r>
    </w:p>
    <w:p w:rsidR="00A106FF" w:rsidRPr="008C75BD" w:rsidP="046ADCAE" w14:paraId="563124CD" w14:textId="1F6EA0F1">
      <w:pPr>
        <w:ind w:left="720"/>
        <w:rPr>
          <w:rFonts w:ascii="Times New Roman" w:eastAsia="Times New Roman" w:hAnsi="Times New Roman"/>
          <w:sz w:val="24"/>
        </w:rPr>
      </w:pPr>
      <w:r w:rsidRPr="28106671">
        <w:rPr>
          <w:rFonts w:ascii="Times New Roman" w:hAnsi="Times New Roman"/>
          <w:sz w:val="24"/>
        </w:rPr>
        <w:t>W</w:t>
      </w:r>
      <w:r w:rsidRPr="28106671">
        <w:rPr>
          <w:rFonts w:ascii="Times New Roman" w:hAnsi="Times New Roman"/>
          <w:sz w:val="24"/>
        </w:rPr>
        <w:t>e</w:t>
      </w:r>
      <w:r w:rsidRPr="00A106FF">
        <w:rPr>
          <w:rFonts w:ascii="Times New Roman" w:hAnsi="Times New Roman"/>
          <w:sz w:val="24"/>
        </w:rPr>
        <w:t xml:space="preserve"> note that the final rule will not require any refinery to stop using hydrofluoric acid alkylation. </w:t>
      </w:r>
      <w:r w:rsidRPr="6776D4D4" w:rsidR="4FCBE233">
        <w:rPr>
          <w:rFonts w:ascii="Times New Roman" w:eastAsia="Times New Roman" w:hAnsi="Times New Roman"/>
          <w:sz w:val="24"/>
        </w:rPr>
        <w:t xml:space="preserve">The approach adopted today does not require a facility to implement a hazard reduction approach beyond what is </w:t>
      </w:r>
      <w:r w:rsidR="00D243A9">
        <w:rPr>
          <w:rFonts w:ascii="Times New Roman" w:eastAsia="Times New Roman" w:hAnsi="Times New Roman"/>
          <w:sz w:val="24"/>
        </w:rPr>
        <w:t xml:space="preserve">to the greatest extent </w:t>
      </w:r>
      <w:r w:rsidRPr="6776D4D4" w:rsidR="4FCBE233">
        <w:rPr>
          <w:rFonts w:ascii="Times New Roman" w:eastAsia="Times New Roman" w:hAnsi="Times New Roman"/>
          <w:sz w:val="24"/>
        </w:rPr>
        <w:t>practicable</w:t>
      </w:r>
      <w:r w:rsidR="00D243A9">
        <w:rPr>
          <w:rFonts w:ascii="Times New Roman" w:eastAsia="Times New Roman" w:hAnsi="Times New Roman"/>
          <w:sz w:val="24"/>
        </w:rPr>
        <w:t xml:space="preserve"> among the reasonable options</w:t>
      </w:r>
      <w:r w:rsidRPr="6776D4D4" w:rsidR="4FCBE233">
        <w:rPr>
          <w:rFonts w:ascii="Times New Roman" w:eastAsia="Times New Roman" w:hAnsi="Times New Roman"/>
          <w:sz w:val="24"/>
        </w:rPr>
        <w:t xml:space="preserve">. </w:t>
      </w:r>
      <w:r w:rsidRPr="7A90A3F1" w:rsidR="7C5A094C">
        <w:rPr>
          <w:rFonts w:ascii="Times New Roman" w:eastAsia="Times New Roman" w:hAnsi="Times New Roman"/>
          <w:sz w:val="24"/>
        </w:rPr>
        <w:t>The rule</w:t>
      </w:r>
      <w:r w:rsidRPr="00EB2517" w:rsidR="7C5A094C">
        <w:rPr>
          <w:rFonts w:ascii="Times New Roman" w:eastAsia="Calibri" w:hAnsi="Times New Roman"/>
          <w:sz w:val="24"/>
        </w:rPr>
        <w:t xml:space="preserve"> only asks that sources </w:t>
      </w:r>
      <w:r w:rsidRPr="00EB2517" w:rsidR="0C3FA2C5">
        <w:rPr>
          <w:rFonts w:ascii="Times New Roman" w:eastAsia="Calibri" w:hAnsi="Times New Roman"/>
          <w:sz w:val="24"/>
        </w:rPr>
        <w:t xml:space="preserve">periodically </w:t>
      </w:r>
      <w:r w:rsidRPr="00EB2517" w:rsidR="7C5A094C">
        <w:rPr>
          <w:rFonts w:ascii="Times New Roman" w:eastAsia="Calibri" w:hAnsi="Times New Roman"/>
          <w:sz w:val="24"/>
        </w:rPr>
        <w:t>assess the practicability</w:t>
      </w:r>
      <w:r w:rsidRPr="00EB2517" w:rsidR="6A5B30AC">
        <w:rPr>
          <w:rFonts w:ascii="Times New Roman" w:eastAsia="Calibri" w:hAnsi="Times New Roman"/>
          <w:sz w:val="24"/>
        </w:rPr>
        <w:t xml:space="preserve"> of ISTs/ISDs</w:t>
      </w:r>
      <w:r w:rsidRPr="00EB2517" w:rsidR="7C5A094C">
        <w:rPr>
          <w:rFonts w:ascii="Times New Roman" w:eastAsia="Calibri" w:hAnsi="Times New Roman"/>
          <w:sz w:val="24"/>
        </w:rPr>
        <w:t xml:space="preserve">, and if they identify a practicable technology and do not adopt it, to explain why in writing. Life cycle of units, costs of replacement, uncertainty about scaling, length of experience with the alternate technology can all be factors in rejecting a technology. </w:t>
      </w:r>
      <w:r w:rsidRPr="0CB1FE40" w:rsidR="77DA6C0F">
        <w:rPr>
          <w:rFonts w:ascii="Times New Roman" w:eastAsia="Times New Roman" w:hAnsi="Times New Roman"/>
          <w:sz w:val="24"/>
        </w:rPr>
        <w:t>EPA recognizes that the factors cited in the comments may lead to limited adoption of ISTs/ISDs at this time.</w:t>
      </w:r>
      <w:r w:rsidRPr="00EB2517" w:rsidR="77DA6C0F">
        <w:rPr>
          <w:rFonts w:ascii="Times New Roman" w:eastAsia="Calibri" w:hAnsi="Times New Roman"/>
          <w:sz w:val="24"/>
        </w:rPr>
        <w:t xml:space="preserve"> </w:t>
      </w:r>
      <w:r w:rsidRPr="00EB2517" w:rsidR="7C5A094C">
        <w:rPr>
          <w:rFonts w:ascii="Times New Roman" w:eastAsia="Calibri" w:hAnsi="Times New Roman"/>
          <w:sz w:val="24"/>
        </w:rPr>
        <w:t>EPA has rejected mandating adoption of alternative ISTs</w:t>
      </w:r>
      <w:r w:rsidRPr="00EB2517" w:rsidR="69D3A0AE">
        <w:rPr>
          <w:rFonts w:ascii="Times New Roman" w:eastAsia="Calibri" w:hAnsi="Times New Roman"/>
          <w:sz w:val="24"/>
        </w:rPr>
        <w:t xml:space="preserve"> but we require periodic re-examination</w:t>
      </w:r>
      <w:r w:rsidRPr="00EB2517" w:rsidR="7C5A094C">
        <w:rPr>
          <w:rFonts w:ascii="Times New Roman" w:eastAsia="Calibri" w:hAnsi="Times New Roman"/>
          <w:sz w:val="24"/>
        </w:rPr>
        <w:t>. By limiting our mandate to study</w:t>
      </w:r>
      <w:r w:rsidRPr="00EB2517" w:rsidR="22AF9F57">
        <w:rPr>
          <w:rFonts w:ascii="Times New Roman" w:eastAsia="Calibri" w:hAnsi="Times New Roman"/>
          <w:sz w:val="24"/>
        </w:rPr>
        <w:t xml:space="preserve"> the practicability of</w:t>
      </w:r>
      <w:r w:rsidRPr="00EB2517" w:rsidR="7C5A094C">
        <w:rPr>
          <w:rFonts w:ascii="Times New Roman" w:eastAsia="Calibri" w:hAnsi="Times New Roman"/>
          <w:sz w:val="24"/>
        </w:rPr>
        <w:t xml:space="preserve"> ISTs/ISDs</w:t>
      </w:r>
      <w:r w:rsidRPr="00EB2517" w:rsidR="7204F27A">
        <w:rPr>
          <w:rFonts w:ascii="Times New Roman" w:eastAsia="Calibri" w:hAnsi="Times New Roman"/>
          <w:sz w:val="24"/>
        </w:rPr>
        <w:t xml:space="preserve"> periodically</w:t>
      </w:r>
      <w:r w:rsidRPr="00EB2517" w:rsidR="7C5A094C">
        <w:rPr>
          <w:rFonts w:ascii="Times New Roman" w:eastAsia="Calibri" w:hAnsi="Times New Roman"/>
          <w:sz w:val="24"/>
        </w:rPr>
        <w:t xml:space="preserve">, we believe we will promote more informed safety decisions and adoption of new technologies where fresh information </w:t>
      </w:r>
      <w:r w:rsidRPr="00EB2517" w:rsidR="3241FC61">
        <w:rPr>
          <w:rFonts w:ascii="Times New Roman" w:eastAsia="Calibri" w:hAnsi="Times New Roman"/>
          <w:sz w:val="24"/>
        </w:rPr>
        <w:t xml:space="preserve">over time </w:t>
      </w:r>
      <w:r w:rsidRPr="00EB2517" w:rsidR="7C5A094C">
        <w:rPr>
          <w:rFonts w:ascii="Times New Roman" w:eastAsia="Calibri" w:hAnsi="Times New Roman"/>
          <w:sz w:val="24"/>
        </w:rPr>
        <w:t>demonstrates adoption is practicable.</w:t>
      </w:r>
      <w:r w:rsidRPr="7A90A3F1" w:rsidR="7C5A094C">
        <w:rPr>
          <w:rFonts w:ascii="Times New Roman" w:eastAsia="Times New Roman" w:hAnsi="Times New Roman"/>
          <w:sz w:val="24"/>
        </w:rPr>
        <w:t xml:space="preserve"> </w:t>
      </w:r>
    </w:p>
    <w:p w:rsidR="78564644" w:rsidP="78564644" w14:paraId="0F3E4B64" w14:textId="25B404A1">
      <w:pPr>
        <w:ind w:left="720"/>
        <w:rPr>
          <w:rFonts w:ascii="Times New Roman" w:hAnsi="Times New Roman"/>
          <w:sz w:val="24"/>
        </w:rPr>
      </w:pPr>
      <w:r w:rsidRPr="7A90A3F1">
        <w:rPr>
          <w:rFonts w:ascii="Times New Roman" w:hAnsi="Times New Roman"/>
          <w:sz w:val="24"/>
        </w:rPr>
        <w:t>Furthermore</w:t>
      </w:r>
      <w:r w:rsidRPr="00A106FF">
        <w:rPr>
          <w:rFonts w:ascii="Times New Roman" w:hAnsi="Times New Roman"/>
          <w:sz w:val="24"/>
        </w:rPr>
        <w:t>, EPA notes that in addition to potentially threatening lives and causing harm to property and the environment, serious accidents at petroleum refineries can result in lost production capacity that results in increased gasoline prices. For example, the proposed rule’s RIA discusses a February 18, 2015, accident at the ExxonMobil refinery in Torrance, California that cost consumers more than $2.4 billion in increased gasoline prices due to the shutdown of a production unit. EPA believes that the proposed safer technologies and alternatives analysis provision has the potential to help avoid serious accidental releases like these and the associated harms to consumers and communities.</w:t>
      </w:r>
    </w:p>
    <w:p w:rsidR="003B12AF" w:rsidRPr="00487DBB" w:rsidP="00F7582D" w14:paraId="2B16C887"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74" w:name="_Toc153373789"/>
      <w:r w:rsidRPr="00487DBB">
        <w:rPr>
          <w:rFonts w:ascii="Times New Roman" w:hAnsi="Times New Roman" w:eastAsiaTheme="minorEastAsia" w:cs="Times New Roman"/>
          <w:b/>
          <w:bCs/>
          <w:color w:val="auto"/>
        </w:rPr>
        <w:t>Hydrogen fluoride (HF)</w:t>
      </w:r>
      <w:bookmarkEnd w:id="74"/>
    </w:p>
    <w:p w:rsidR="003B12AF" w:rsidP="003B12AF" w14:paraId="2417A8E1" w14:textId="77777777">
      <w:pPr>
        <w:rPr>
          <w:rFonts w:ascii="Times New Roman" w:hAnsi="Times New Roman"/>
          <w:i/>
          <w:iCs/>
          <w:sz w:val="24"/>
        </w:rPr>
      </w:pPr>
      <w:r w:rsidRPr="00340CC2">
        <w:rPr>
          <w:rFonts w:ascii="Times New Roman" w:hAnsi="Times New Roman"/>
          <w:i/>
          <w:iCs/>
          <w:sz w:val="24"/>
        </w:rPr>
        <w:t>Support for</w:t>
      </w:r>
      <w:r>
        <w:rPr>
          <w:rFonts w:ascii="Times New Roman" w:hAnsi="Times New Roman"/>
          <w:i/>
          <w:iCs/>
          <w:sz w:val="24"/>
        </w:rPr>
        <w:t xml:space="preserve"> </w:t>
      </w:r>
      <w:r w:rsidRPr="00340CC2">
        <w:rPr>
          <w:rFonts w:ascii="Times New Roman" w:hAnsi="Times New Roman"/>
          <w:i/>
          <w:iCs/>
          <w:sz w:val="24"/>
        </w:rPr>
        <w:t xml:space="preserve">proposed requirements for NAICS 324 facilities using HF </w:t>
      </w:r>
    </w:p>
    <w:p w:rsidR="003B12AF" w:rsidP="003B12AF" w14:paraId="3AB67E4E" w14:textId="77777777">
      <w:pPr>
        <w:rPr>
          <w:rFonts w:ascii="Times New Roman" w:hAnsi="Times New Roman"/>
          <w:sz w:val="24"/>
        </w:rPr>
      </w:pPr>
      <w:r w:rsidRPr="00FD47E0">
        <w:rPr>
          <w:rFonts w:ascii="Times New Roman" w:hAnsi="Times New Roman"/>
          <w:b/>
          <w:sz w:val="24"/>
        </w:rPr>
        <w:t>Comment</w:t>
      </w:r>
      <w:r>
        <w:rPr>
          <w:rFonts w:ascii="Times New Roman" w:hAnsi="Times New Roman"/>
          <w:b/>
          <w:sz w:val="24"/>
        </w:rPr>
        <w:t xml:space="preserve"> 6.2.3-01</w:t>
      </w:r>
      <w:r w:rsidRPr="00FD47E0">
        <w:rPr>
          <w:rFonts w:ascii="Times New Roman" w:hAnsi="Times New Roman"/>
          <w:b/>
          <w:sz w:val="24"/>
        </w:rPr>
        <w:t>:</w:t>
      </w:r>
      <w:r>
        <w:rPr>
          <w:rFonts w:ascii="Times New Roman" w:hAnsi="Times New Roman"/>
          <w:sz w:val="24"/>
        </w:rPr>
        <w:t xml:space="preserve"> </w:t>
      </w:r>
      <w:r w:rsidRPr="00F2714D">
        <w:rPr>
          <w:rFonts w:ascii="Times New Roman" w:hAnsi="Times New Roman"/>
          <w:sz w:val="24"/>
        </w:rPr>
        <w:t>Several commenters stated a range of concerns regarding the dangers of HF (0131, 0134, 0145, 0174, 0216, 0248, 0385, 0444</w:t>
      </w:r>
      <w:r>
        <w:rPr>
          <w:rFonts w:ascii="Times New Roman" w:hAnsi="Times New Roman"/>
          <w:sz w:val="24"/>
        </w:rPr>
        <w:t>, 0456</w:t>
      </w:r>
      <w:r w:rsidRPr="00F2714D">
        <w:rPr>
          <w:rFonts w:ascii="Times New Roman" w:hAnsi="Times New Roman"/>
          <w:sz w:val="24"/>
        </w:rPr>
        <w:t xml:space="preserve">). A few of the commenters specifically </w:t>
      </w:r>
      <w:r>
        <w:rPr>
          <w:rFonts w:ascii="Times New Roman" w:hAnsi="Times New Roman"/>
          <w:sz w:val="24"/>
        </w:rPr>
        <w:t>referenced</w:t>
      </w:r>
      <w:r w:rsidRPr="00F2714D">
        <w:rPr>
          <w:rFonts w:ascii="Times New Roman" w:hAnsi="Times New Roman"/>
          <w:sz w:val="24"/>
        </w:rPr>
        <w:t xml:space="preserve"> near misses or releases of HF and their associated harms and costs (0131, 0216, 0444). </w:t>
      </w:r>
      <w:r w:rsidRPr="00F2714D">
        <w:rPr>
          <w:rFonts w:ascii="Times New Roman" w:eastAsia="Times New Roman" w:hAnsi="Times New Roman"/>
          <w:sz w:val="24"/>
        </w:rPr>
        <w:t xml:space="preserve">One commenter </w:t>
      </w:r>
      <w:r>
        <w:rPr>
          <w:rFonts w:ascii="Times New Roman" w:eastAsia="Times New Roman" w:hAnsi="Times New Roman"/>
          <w:sz w:val="24"/>
        </w:rPr>
        <w:t>discussed</w:t>
      </w:r>
      <w:r w:rsidRPr="00F2714D">
        <w:rPr>
          <w:rFonts w:ascii="Times New Roman" w:eastAsia="Times New Roman" w:hAnsi="Times New Roman"/>
          <w:sz w:val="24"/>
        </w:rPr>
        <w:t xml:space="preserve"> the dangers of HF and the risks to communities, workforces, wildlife, hospitals, and first responders (</w:t>
      </w:r>
      <w:r w:rsidRPr="00BF4F99">
        <w:rPr>
          <w:rFonts w:ascii="Times New Roman" w:eastAsia="Times New Roman" w:hAnsi="Times New Roman"/>
          <w:sz w:val="24"/>
        </w:rPr>
        <w:t xml:space="preserve">0134). </w:t>
      </w:r>
      <w:r w:rsidRPr="00BF4F99">
        <w:rPr>
          <w:rFonts w:ascii="Times New Roman" w:hAnsi="Times New Roman"/>
          <w:sz w:val="24"/>
        </w:rPr>
        <w:t>One commenter stated that earthquakes could cause the release of HF from refineries (0131). Another commenter supported the proposed rule’s recognition of the escalating threat of climate disaster (0174).</w:t>
      </w:r>
      <w:r>
        <w:rPr>
          <w:rFonts w:ascii="Times New Roman" w:hAnsi="Times New Roman"/>
          <w:sz w:val="24"/>
        </w:rPr>
        <w:t xml:space="preserve"> </w:t>
      </w:r>
      <w:r w:rsidRPr="00F2714D">
        <w:rPr>
          <w:rFonts w:ascii="Times New Roman" w:hAnsi="Times New Roman"/>
          <w:sz w:val="24"/>
        </w:rPr>
        <w:t xml:space="preserve">One commenter </w:t>
      </w:r>
      <w:r>
        <w:rPr>
          <w:rFonts w:ascii="Times New Roman" w:hAnsi="Times New Roman"/>
          <w:sz w:val="24"/>
        </w:rPr>
        <w:t>said</w:t>
      </w:r>
      <w:r w:rsidRPr="00F2714D">
        <w:rPr>
          <w:rFonts w:ascii="Times New Roman" w:hAnsi="Times New Roman"/>
          <w:sz w:val="24"/>
        </w:rPr>
        <w:t xml:space="preserve"> the prevalence of refineries using HF near urban centers (0385). Another commenter </w:t>
      </w:r>
      <w:r>
        <w:rPr>
          <w:rFonts w:ascii="Times New Roman" w:hAnsi="Times New Roman"/>
          <w:sz w:val="24"/>
        </w:rPr>
        <w:t>stated</w:t>
      </w:r>
      <w:r w:rsidRPr="00F2714D">
        <w:rPr>
          <w:rFonts w:ascii="Times New Roman" w:hAnsi="Times New Roman"/>
          <w:sz w:val="24"/>
        </w:rPr>
        <w:t xml:space="preserve"> their concerns regarding the hazards of HF, specifically the dangers for nearby school children and a lack of emergency preparedness in schools (0145). </w:t>
      </w:r>
    </w:p>
    <w:p w:rsidR="003B12AF" w:rsidRPr="006F68E9" w:rsidP="003B12AF" w14:paraId="06184384" w14:textId="77777777">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discussed</w:t>
      </w:r>
      <w:r w:rsidRPr="006F68E9">
        <w:rPr>
          <w:rFonts w:ascii="Times New Roman" w:hAnsi="Times New Roman"/>
          <w:sz w:val="24"/>
        </w:rPr>
        <w:t xml:space="preserve"> the presence of commercially proven safer alternatives to HF (0134, 0174). A couple of commenters pointed to many safer alternatives available, such as using solid or liquid ionic catalysts (0385, 0444). </w:t>
      </w:r>
    </w:p>
    <w:p w:rsidR="003B12AF" w:rsidRPr="006F68E9" w:rsidP="003B12AF" w14:paraId="6BE2D5E0"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discussed</w:t>
      </w:r>
      <w:r w:rsidRPr="006F68E9">
        <w:rPr>
          <w:rFonts w:ascii="Times New Roman" w:hAnsi="Times New Roman"/>
          <w:sz w:val="24"/>
        </w:rPr>
        <w:t xml:space="preserve"> a 2022 CSB report that identified four alternative technologies to HF, three of which were already in use and one operating at commercial scale. The commenter also </w:t>
      </w:r>
      <w:r>
        <w:rPr>
          <w:rFonts w:ascii="Times New Roman" w:hAnsi="Times New Roman"/>
          <w:sz w:val="24"/>
        </w:rPr>
        <w:t>discussed</w:t>
      </w:r>
      <w:r w:rsidRPr="006F68E9">
        <w:rPr>
          <w:rFonts w:ascii="Times New Roman" w:hAnsi="Times New Roman"/>
          <w:sz w:val="24"/>
        </w:rPr>
        <w:t xml:space="preserve"> SCAQMD’s reports indicating progress in alternative alkylation technologies, including ionic liquid alkylation and ionikylation (0444). </w:t>
      </w:r>
    </w:p>
    <w:p w:rsidR="003B12AF" w:rsidRPr="006F68E9" w:rsidP="003B12AF" w14:paraId="7833D1AE"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discussed</w:t>
      </w:r>
      <w:r w:rsidRPr="006F68E9">
        <w:rPr>
          <w:rFonts w:ascii="Times New Roman" w:hAnsi="Times New Roman"/>
          <w:sz w:val="24"/>
        </w:rPr>
        <w:t xml:space="preserve"> significant testimony highlighting the ability for refineries to phase out the use of HF. The commenter believed that information from industrial facilities completing such phase out presented an important example of what EPA’s rules should require (0456). Another commenter </w:t>
      </w:r>
      <w:r>
        <w:rPr>
          <w:rFonts w:ascii="Times New Roman" w:hAnsi="Times New Roman"/>
          <w:sz w:val="24"/>
        </w:rPr>
        <w:t>stated</w:t>
      </w:r>
      <w:r w:rsidRPr="006F68E9">
        <w:rPr>
          <w:rFonts w:ascii="Times New Roman" w:hAnsi="Times New Roman"/>
          <w:sz w:val="24"/>
        </w:rPr>
        <w:t xml:space="preserve"> that some refineries are already phasing out the use of HF as an unnecessary catalyst (0392). </w:t>
      </w:r>
    </w:p>
    <w:p w:rsidR="003B12AF" w:rsidP="003B12AF" w14:paraId="77000235"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discussed</w:t>
      </w:r>
      <w:r w:rsidRPr="006F68E9">
        <w:rPr>
          <w:rFonts w:ascii="Times New Roman" w:hAnsi="Times New Roman"/>
          <w:sz w:val="24"/>
        </w:rPr>
        <w:t xml:space="preserve"> the successful implementation of ionic liquid technology to eliminate the use of HF (0216).</w:t>
      </w:r>
    </w:p>
    <w:p w:rsidR="003B12AF" w:rsidP="003B12AF" w14:paraId="5661B126" w14:textId="77777777">
      <w:pPr>
        <w:rPr>
          <w:rFonts w:ascii="Times New Roman" w:eastAsia="Times New Roman" w:hAnsi="Times New Roman"/>
          <w:sz w:val="24"/>
        </w:rPr>
      </w:pPr>
      <w:r w:rsidRPr="006F68E9">
        <w:rPr>
          <w:rFonts w:ascii="Times New Roman" w:eastAsia="Times New Roman" w:hAnsi="Times New Roman"/>
          <w:sz w:val="24"/>
        </w:rPr>
        <w:t>One commenter stated that local regulation</w:t>
      </w:r>
      <w:r>
        <w:rPr>
          <w:rFonts w:ascii="Times New Roman" w:eastAsia="Times New Roman" w:hAnsi="Times New Roman"/>
          <w:sz w:val="24"/>
        </w:rPr>
        <w:t>s</w:t>
      </w:r>
      <w:r w:rsidRPr="006F68E9">
        <w:rPr>
          <w:rFonts w:ascii="Times New Roman" w:eastAsia="Times New Roman" w:hAnsi="Times New Roman"/>
          <w:sz w:val="24"/>
        </w:rPr>
        <w:t xml:space="preserve"> attempting to require conversion from HF have not been successful (0152).</w:t>
      </w:r>
    </w:p>
    <w:p w:rsidR="003B12AF" w:rsidRPr="00F2714D" w:rsidP="003B12AF" w14:paraId="7CD5EF6B" w14:textId="77777777">
      <w:pPr>
        <w:rPr>
          <w:rFonts w:ascii="Times New Roman" w:hAnsi="Times New Roman"/>
          <w:sz w:val="24"/>
        </w:rPr>
      </w:pPr>
      <w:r w:rsidRPr="00F2714D">
        <w:rPr>
          <w:rFonts w:ascii="Times New Roman" w:hAnsi="Times New Roman"/>
          <w:sz w:val="24"/>
        </w:rPr>
        <w:t xml:space="preserve">One commenter </w:t>
      </w:r>
      <w:r>
        <w:rPr>
          <w:rFonts w:ascii="Times New Roman" w:hAnsi="Times New Roman"/>
          <w:sz w:val="24"/>
        </w:rPr>
        <w:t>said</w:t>
      </w:r>
      <w:r w:rsidRPr="00F2714D">
        <w:rPr>
          <w:rFonts w:ascii="Times New Roman" w:hAnsi="Times New Roman"/>
          <w:sz w:val="24"/>
        </w:rPr>
        <w:t xml:space="preserve"> the prevalence of refineries using HF near urban centers (0385). Another commenter </w:t>
      </w:r>
      <w:r>
        <w:rPr>
          <w:rFonts w:ascii="Times New Roman" w:hAnsi="Times New Roman"/>
          <w:sz w:val="24"/>
        </w:rPr>
        <w:t>stated</w:t>
      </w:r>
      <w:r w:rsidRPr="00F2714D">
        <w:rPr>
          <w:rFonts w:ascii="Times New Roman" w:hAnsi="Times New Roman"/>
          <w:sz w:val="24"/>
        </w:rPr>
        <w:t xml:space="preserve"> their concerns regarding the hazards of HF, specifically the dangers for nearby school children and a lack of emergency preparedness in schools (0145). </w:t>
      </w:r>
    </w:p>
    <w:p w:rsidR="003B12AF" w:rsidP="003B12AF" w14:paraId="364EDC4D"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appreciated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ule’s recognition of the dangers presented to workers and communities with respect to the use of HF and supported the elimination of HF once feasible and practicable safer alternatives are identified and commercially available. The commenter </w:t>
      </w:r>
      <w:r>
        <w:rPr>
          <w:rFonts w:ascii="Times New Roman" w:hAnsi="Times New Roman"/>
          <w:sz w:val="24"/>
        </w:rPr>
        <w:t>stated</w:t>
      </w:r>
      <w:r w:rsidRPr="006F68E9">
        <w:rPr>
          <w:rFonts w:ascii="Times New Roman" w:hAnsi="Times New Roman"/>
          <w:sz w:val="24"/>
        </w:rPr>
        <w:t xml:space="preserve"> the importance of working with regulators and the industry to make transitions when reasonable and feasible without refinery closures or job loss (0216).</w:t>
      </w:r>
    </w:p>
    <w:p w:rsidR="003B12AF" w:rsidP="005532AC" w14:paraId="2FC1245D" w14:textId="1F09E06C">
      <w:pPr>
        <w:ind w:left="720"/>
        <w:rPr>
          <w:rFonts w:ascii="Times New Roman" w:hAnsi="Times New Roman"/>
          <w:sz w:val="24"/>
        </w:rPr>
      </w:pPr>
      <w:r w:rsidRPr="00024C6A">
        <w:rPr>
          <w:rFonts w:ascii="Times New Roman" w:hAnsi="Times New Roman"/>
          <w:b/>
          <w:sz w:val="24"/>
        </w:rPr>
        <w:t>EPA Response:</w:t>
      </w:r>
      <w:r w:rsidRPr="00024C6A">
        <w:rPr>
          <w:rFonts w:ascii="Times New Roman" w:hAnsi="Times New Roman"/>
          <w:sz w:val="24"/>
        </w:rPr>
        <w:t xml:space="preserve"> </w:t>
      </w:r>
      <w:r w:rsidRPr="00316DF9">
        <w:rPr>
          <w:rFonts w:ascii="Times New Roman" w:hAnsi="Times New Roman"/>
          <w:sz w:val="24"/>
        </w:rPr>
        <w:t>EPA notes that HF is an extremely toxic chemical used for alkylation at 27 percent of facilities in NAICS 324 (45 of 163). EPA is requiring that all HF alkylation processes at petroleum refineries (NAICS 324) conduct an initial STAA evaluation, a practicability assessment for IST</w:t>
      </w:r>
      <w:r w:rsidR="00394E03">
        <w:rPr>
          <w:rFonts w:ascii="Times New Roman" w:hAnsi="Times New Roman"/>
          <w:sz w:val="24"/>
        </w:rPr>
        <w:t>/ISD</w:t>
      </w:r>
      <w:r w:rsidRPr="00316DF9">
        <w:rPr>
          <w:rFonts w:ascii="Times New Roman" w:hAnsi="Times New Roman"/>
          <w:sz w:val="24"/>
        </w:rPr>
        <w:t xml:space="preserve">, and implementation of at least one passive measure (or combination of active or procedural measures equivalent to the risk reduction of a passive measure), primarily due to recent incidents where HF was nearly released when there were explosions, fires, and other releases that could have triggered releases of HF. While API RP 751 offers industry guidance to help safely manage HF alkylation process and its hazards, those process hazards still </w:t>
      </w:r>
      <w:r w:rsidRPr="00316DF9">
        <w:rPr>
          <w:rFonts w:ascii="Times New Roman" w:hAnsi="Times New Roman"/>
          <w:sz w:val="24"/>
        </w:rPr>
        <w:t>exist</w:t>
      </w:r>
      <w:r w:rsidRPr="00316DF9">
        <w:rPr>
          <w:rFonts w:ascii="Times New Roman" w:hAnsi="Times New Roman"/>
          <w:sz w:val="24"/>
        </w:rPr>
        <w:t>. In contrast, there are recognized potentially safer chemical alternatives available for HF alkylation that have been successfully implemented by refineries, such as sulfuric acid alkylation, ionic liquid alkylation, or solid acid catalyst alkylation. These eliminate the hazard. With several known alternatives and with recent incident history, EPA believes the process of HF alkylation merits a rule-based prevention approach rather than only selective oversight. In response to the comments urging EPA to require facilities to switch from HF to a safer alternative whenever feasible, the practicability of these potentially safer alternatives is situation-specific, and owners and operators are usually in the best position to make these determinations.</w:t>
      </w:r>
      <w:r w:rsidRPr="00024C6A">
        <w:rPr>
          <w:rFonts w:ascii="Times New Roman" w:hAnsi="Times New Roman"/>
          <w:sz w:val="24"/>
        </w:rPr>
        <w:t xml:space="preserve"> </w:t>
      </w:r>
    </w:p>
    <w:p w:rsidR="008D0242" w:rsidP="008D0242" w14:paraId="1FE0C918" w14:textId="3F4F8572">
      <w:pPr>
        <w:rPr>
          <w:rFonts w:ascii="Times New Roman" w:hAnsi="Times New Roman"/>
          <w:sz w:val="24"/>
        </w:rPr>
      </w:pPr>
      <w:r w:rsidRPr="001B267D">
        <w:rPr>
          <w:rFonts w:ascii="Times New Roman" w:eastAsia="Times New Roman" w:hAnsi="Times New Roman"/>
          <w:b/>
          <w:bCs/>
          <w:sz w:val="24"/>
        </w:rPr>
        <w:t>Comment</w:t>
      </w:r>
      <w:r>
        <w:rPr>
          <w:rFonts w:ascii="Times New Roman" w:eastAsia="Times New Roman" w:hAnsi="Times New Roman"/>
          <w:b/>
          <w:bCs/>
          <w:sz w:val="24"/>
        </w:rPr>
        <w:t xml:space="preserve"> 6.2.3-0</w:t>
      </w:r>
      <w:r w:rsidR="0055193A">
        <w:rPr>
          <w:rFonts w:ascii="Times New Roman" w:eastAsia="Times New Roman" w:hAnsi="Times New Roman"/>
          <w:b/>
          <w:bCs/>
          <w:sz w:val="24"/>
        </w:rPr>
        <w:t>2</w:t>
      </w:r>
      <w:r w:rsidRPr="001B267D">
        <w:rPr>
          <w:rFonts w:ascii="Times New Roman" w:eastAsia="Times New Roman" w:hAnsi="Times New Roman"/>
          <w:b/>
          <w:bCs/>
          <w:sz w:val="24"/>
        </w:rPr>
        <w:t>:</w:t>
      </w:r>
      <w:r>
        <w:rPr>
          <w:rFonts w:ascii="Times New Roman" w:eastAsia="Times New Roman" w:hAnsi="Times New Roman"/>
          <w:sz w:val="24"/>
        </w:rPr>
        <w:t xml:space="preserve"> </w:t>
      </w:r>
      <w:r w:rsidRPr="006F68E9">
        <w:rPr>
          <w:rFonts w:ascii="Times New Roman" w:eastAsia="Times New Roman" w:hAnsi="Times New Roman"/>
          <w:sz w:val="24"/>
        </w:rPr>
        <w:t xml:space="preserve">Another commenter was concerned that the </w:t>
      </w:r>
      <w:r>
        <w:rPr>
          <w:rFonts w:ascii="Times New Roman" w:eastAsia="Times New Roman" w:hAnsi="Times New Roman"/>
          <w:sz w:val="24"/>
        </w:rPr>
        <w:t>p</w:t>
      </w:r>
      <w:r w:rsidRPr="006F68E9">
        <w:rPr>
          <w:rFonts w:ascii="Times New Roman" w:eastAsia="Times New Roman" w:hAnsi="Times New Roman"/>
          <w:sz w:val="24"/>
        </w:rPr>
        <w:t xml:space="preserve">roposed </w:t>
      </w:r>
      <w:r>
        <w:rPr>
          <w:rFonts w:ascii="Times New Roman" w:eastAsia="Times New Roman" w:hAnsi="Times New Roman"/>
          <w:sz w:val="24"/>
        </w:rPr>
        <w:t>r</w:t>
      </w:r>
      <w:r w:rsidRPr="006F68E9">
        <w:rPr>
          <w:rFonts w:ascii="Times New Roman" w:eastAsia="Times New Roman" w:hAnsi="Times New Roman"/>
          <w:sz w:val="24"/>
        </w:rPr>
        <w:t>ule did not consider the national security threat of HF facilities and that communities surrounding HF alkylation units are important for national defense. The commenter claimed that MHF is similar to and as hazardous as HF. The commenter stated that HF cannot be sufficiently mitigated, and that communities surrounding HF alkylation units rank high for environmental justice burdens and are important for national defense (0134).</w:t>
      </w:r>
    </w:p>
    <w:p w:rsidR="008D0242" w:rsidP="008D0242" w14:paraId="0D8F631B"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discussed</w:t>
      </w:r>
      <w:r w:rsidRPr="006F68E9">
        <w:rPr>
          <w:rFonts w:ascii="Times New Roman" w:hAnsi="Times New Roman"/>
          <w:sz w:val="24"/>
        </w:rPr>
        <w:t xml:space="preserve"> specific HF refineries vulnerable to accidents, natural disasters, and intentional acts, and that sites within the “vulnerability zone”, which may be frequented by those who are more susceptible to the health effects of MHF of a refinery have no effective way to protect themselves against MHF release. The commenter was concerned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ignores warnings by national security experts (0174).</w:t>
      </w:r>
    </w:p>
    <w:p w:rsidR="008D0242" w:rsidRPr="00120258" w:rsidP="008D0242" w14:paraId="50D9BDED" w14:textId="77777777">
      <w:pPr>
        <w:ind w:left="720"/>
        <w:rPr>
          <w:rFonts w:ascii="Times New Roman" w:hAnsi="Times New Roman"/>
          <w:sz w:val="24"/>
        </w:rPr>
      </w:pPr>
      <w:r w:rsidRPr="18E4C9A9">
        <w:rPr>
          <w:rFonts w:ascii="Times New Roman" w:hAnsi="Times New Roman"/>
          <w:b/>
          <w:bCs/>
          <w:sz w:val="24"/>
        </w:rPr>
        <w:t xml:space="preserve">EPA Response: </w:t>
      </w:r>
      <w:r w:rsidRPr="18E4C9A9">
        <w:rPr>
          <w:rFonts w:ascii="Times New Roman" w:hAnsi="Times New Roman"/>
          <w:sz w:val="24"/>
        </w:rPr>
        <w:t xml:space="preserve">While we recognize that facilities handling RMP regulated substances generally and HF in particular pose a threat to communities in the case of deliberate, criminally caused releases, it is important to note that accidental releases occur much more often than intentional events (about 100 per year using EPA RMP-reportable </w:t>
      </w:r>
      <w:r w:rsidRPr="18E4C9A9">
        <w:rPr>
          <w:rFonts w:ascii="Times New Roman" w:hAnsi="Times New Roman"/>
          <w:sz w:val="24"/>
        </w:rPr>
        <w:t>accidents), whether HF, MHF</w:t>
      </w:r>
      <w:r>
        <w:rPr>
          <w:rStyle w:val="FootnoteReference"/>
          <w:rFonts w:ascii="Times New Roman" w:hAnsi="Times New Roman"/>
          <w:sz w:val="24"/>
        </w:rPr>
        <w:footnoteReference w:id="90"/>
      </w:r>
      <w:r w:rsidRPr="18E4C9A9">
        <w:rPr>
          <w:rFonts w:ascii="Times New Roman" w:hAnsi="Times New Roman"/>
          <w:sz w:val="24"/>
        </w:rPr>
        <w:t xml:space="preserve"> or any other RMP regulated substance. With over 20 years of data now, EPA believes it to be appropriate to base, and therefore has based many of the finalized provisions on prior accident information. We also recognize that, after 9/11, Congress enacted and periodically reauthorized a specific regulatory program for addressing the national security risks from chemical facilities (CFATS). Given our statutory mandate, we emphasize regulation of accidental releases while we ensure that our regulations are compatible with those of DHS. </w:t>
      </w:r>
    </w:p>
    <w:p w:rsidR="008D0242" w:rsidRPr="00120258" w:rsidP="008D0242" w14:paraId="4C581300" w14:textId="77777777">
      <w:pPr>
        <w:ind w:left="720"/>
        <w:rPr>
          <w:rFonts w:ascii="Times New Roman" w:hAnsi="Times New Roman"/>
          <w:sz w:val="24"/>
        </w:rPr>
      </w:pPr>
      <w:r w:rsidRPr="138288DA">
        <w:rPr>
          <w:rFonts w:ascii="Times New Roman" w:hAnsi="Times New Roman"/>
          <w:sz w:val="24"/>
        </w:rPr>
        <w:t>Nevertheless, the RMP rule does not ignore security issues and the potential for 3</w:t>
      </w:r>
      <w:r w:rsidRPr="138288DA">
        <w:rPr>
          <w:rFonts w:ascii="Times New Roman" w:hAnsi="Times New Roman"/>
          <w:sz w:val="24"/>
          <w:vertAlign w:val="superscript"/>
        </w:rPr>
        <w:t>rd</w:t>
      </w:r>
      <w:r w:rsidRPr="138288DA">
        <w:rPr>
          <w:rFonts w:ascii="Times New Roman" w:hAnsi="Times New Roman"/>
          <w:sz w:val="24"/>
        </w:rPr>
        <w:t xml:space="preserve"> party intentional acts to cause </w:t>
      </w:r>
      <w:r w:rsidRPr="16FF41E8">
        <w:rPr>
          <w:rFonts w:ascii="Times New Roman" w:hAnsi="Times New Roman"/>
          <w:sz w:val="24"/>
        </w:rPr>
        <w:t>releases that are unexpected and unintended from the perspective of the owner or operator of a stationary source. There</w:t>
      </w:r>
      <w:r w:rsidRPr="00120258">
        <w:rPr>
          <w:rFonts w:ascii="Times New Roman" w:hAnsi="Times New Roman"/>
          <w:sz w:val="24"/>
        </w:rPr>
        <w:t xml:space="preserve"> have always been </w:t>
      </w:r>
      <w:r>
        <w:rPr>
          <w:rFonts w:ascii="Times New Roman" w:hAnsi="Times New Roman"/>
          <w:sz w:val="24"/>
        </w:rPr>
        <w:t xml:space="preserve">RMP </w:t>
      </w:r>
      <w:r w:rsidRPr="00120258">
        <w:rPr>
          <w:rFonts w:ascii="Times New Roman" w:hAnsi="Times New Roman"/>
          <w:sz w:val="24"/>
        </w:rPr>
        <w:t>provisions that</w:t>
      </w:r>
      <w:r>
        <w:rPr>
          <w:rFonts w:ascii="Times New Roman" w:hAnsi="Times New Roman"/>
          <w:sz w:val="24"/>
        </w:rPr>
        <w:t xml:space="preserve"> help to safeguard chemicals and prevent unauthorized entry into chemical process areas. </w:t>
      </w:r>
      <w:r w:rsidRPr="00120258">
        <w:rPr>
          <w:rFonts w:ascii="Times New Roman" w:hAnsi="Times New Roman"/>
          <w:sz w:val="24"/>
        </w:rPr>
        <w:t>For example, the RMP rule requires a facility</w:t>
      </w:r>
      <w:r>
        <w:rPr>
          <w:rFonts w:ascii="Times New Roman" w:hAnsi="Times New Roman"/>
          <w:sz w:val="24"/>
        </w:rPr>
        <w:t xml:space="preserve"> owner or operator </w:t>
      </w:r>
      <w:r w:rsidRPr="00120258">
        <w:rPr>
          <w:rFonts w:ascii="Times New Roman" w:hAnsi="Times New Roman"/>
          <w:sz w:val="24"/>
        </w:rPr>
        <w:t xml:space="preserve">to </w:t>
      </w:r>
      <w:r w:rsidRPr="00B3085D">
        <w:rPr>
          <w:rFonts w:ascii="Times New Roman" w:hAnsi="Times New Roman"/>
          <w:sz w:val="24"/>
        </w:rPr>
        <w:t>develop and implement safe work practices to provide for the control of hazards during operations</w:t>
      </w:r>
      <w:r>
        <w:rPr>
          <w:rFonts w:ascii="Times New Roman" w:hAnsi="Times New Roman"/>
          <w:sz w:val="24"/>
        </w:rPr>
        <w:t xml:space="preserve"> (40 CFR 68.69(d)</w:t>
      </w:r>
      <w:r w:rsidRPr="00B3085D">
        <w:rPr>
          <w:rFonts w:ascii="Times New Roman" w:hAnsi="Times New Roman"/>
          <w:sz w:val="24"/>
        </w:rPr>
        <w:t xml:space="preserve">. </w:t>
      </w:r>
      <w:r w:rsidRPr="00120258">
        <w:rPr>
          <w:rFonts w:ascii="Times New Roman" w:hAnsi="Times New Roman"/>
          <w:sz w:val="24"/>
        </w:rPr>
        <w:t>The rule also requires facilit</w:t>
      </w:r>
      <w:r>
        <w:rPr>
          <w:rFonts w:ascii="Times New Roman" w:hAnsi="Times New Roman"/>
          <w:sz w:val="24"/>
        </w:rPr>
        <w:t>y owner and operators</w:t>
      </w:r>
      <w:r w:rsidRPr="00120258">
        <w:rPr>
          <w:rFonts w:ascii="Times New Roman" w:hAnsi="Times New Roman"/>
          <w:sz w:val="24"/>
        </w:rPr>
        <w:t xml:space="preserve"> to develop and implement written operating procedures to address and provide clear instructions for the quality control of raw materials and control of hazardous material inventories</w:t>
      </w:r>
      <w:r>
        <w:rPr>
          <w:rFonts w:ascii="Times New Roman" w:hAnsi="Times New Roman"/>
          <w:sz w:val="24"/>
        </w:rPr>
        <w:t xml:space="preserve"> (40 CFR 68.69(a)(3)(iv)</w:t>
      </w:r>
      <w:r w:rsidRPr="00120258">
        <w:rPr>
          <w:rFonts w:ascii="Times New Roman" w:hAnsi="Times New Roman"/>
          <w:sz w:val="24"/>
        </w:rPr>
        <w:t xml:space="preserve">. </w:t>
      </w:r>
    </w:p>
    <w:p w:rsidR="008D0242" w:rsidP="008D0242" w14:paraId="69DDC209" w14:textId="77777777">
      <w:pPr>
        <w:ind w:left="720"/>
        <w:rPr>
          <w:rFonts w:ascii="Times New Roman" w:hAnsi="Times New Roman"/>
          <w:sz w:val="24"/>
        </w:rPr>
      </w:pPr>
      <w:r w:rsidRPr="00002D3D">
        <w:rPr>
          <w:rFonts w:ascii="Times New Roman" w:hAnsi="Times New Roman"/>
          <w:sz w:val="24"/>
        </w:rPr>
        <w:t xml:space="preserve">It is also important to note that DHS promulgated CFATS in accordance with the Homeland Security Appropriations Act of 2007, owing to insufficient security at industrial facilities. CFATS imposes comprehensive federal security regulations (6 CFR Part 27) for high-risk chemical facilities. </w:t>
      </w:r>
      <w:r w:rsidRPr="0002716F">
        <w:rPr>
          <w:rFonts w:ascii="Times New Roman" w:hAnsi="Times New Roman"/>
          <w:sz w:val="24"/>
        </w:rPr>
        <w:t>The CFATS</w:t>
      </w:r>
      <w:r>
        <w:rPr>
          <w:rFonts w:ascii="Times New Roman" w:hAnsi="Times New Roman"/>
          <w:sz w:val="24"/>
        </w:rPr>
        <w:t xml:space="preserve"> </w:t>
      </w:r>
      <w:r w:rsidRPr="0002716F">
        <w:rPr>
          <w:rFonts w:ascii="Times New Roman" w:hAnsi="Times New Roman"/>
          <w:sz w:val="24"/>
        </w:rPr>
        <w:t>program generally requires any facility in possession of a chemical of</w:t>
      </w:r>
      <w:r>
        <w:rPr>
          <w:rFonts w:ascii="Times New Roman" w:hAnsi="Times New Roman"/>
          <w:sz w:val="24"/>
        </w:rPr>
        <w:t xml:space="preserve"> </w:t>
      </w:r>
      <w:r w:rsidRPr="0002716F">
        <w:rPr>
          <w:rFonts w:ascii="Times New Roman" w:hAnsi="Times New Roman"/>
          <w:sz w:val="24"/>
        </w:rPr>
        <w:t>interest above a certain threshold quantity to report its chemical holdings</w:t>
      </w:r>
      <w:r>
        <w:rPr>
          <w:rFonts w:ascii="Times New Roman" w:hAnsi="Times New Roman"/>
          <w:sz w:val="24"/>
        </w:rPr>
        <w:t xml:space="preserve"> </w:t>
      </w:r>
      <w:r w:rsidRPr="0002716F">
        <w:rPr>
          <w:rFonts w:ascii="Times New Roman" w:hAnsi="Times New Roman"/>
          <w:sz w:val="24"/>
        </w:rPr>
        <w:t>and other data to DHS</w:t>
      </w:r>
      <w:r>
        <w:rPr>
          <w:rFonts w:ascii="Times New Roman" w:hAnsi="Times New Roman"/>
          <w:sz w:val="24"/>
        </w:rPr>
        <w:t>- h</w:t>
      </w:r>
      <w:r w:rsidRPr="00886670">
        <w:rPr>
          <w:rFonts w:ascii="Times New Roman" w:hAnsi="Times New Roman"/>
          <w:sz w:val="24"/>
        </w:rPr>
        <w:t xml:space="preserve">ydrogen flouride </w:t>
      </w:r>
      <w:r>
        <w:rPr>
          <w:rFonts w:ascii="Times New Roman" w:hAnsi="Times New Roman"/>
          <w:sz w:val="24"/>
        </w:rPr>
        <w:t>i</w:t>
      </w:r>
      <w:r w:rsidRPr="00886670">
        <w:rPr>
          <w:rFonts w:ascii="Times New Roman" w:hAnsi="Times New Roman"/>
          <w:sz w:val="24"/>
        </w:rPr>
        <w:t xml:space="preserve">s a chemical of interest for the CFATS program. </w:t>
      </w:r>
      <w:r w:rsidRPr="0002716F">
        <w:rPr>
          <w:rFonts w:ascii="Times New Roman" w:hAnsi="Times New Roman"/>
          <w:sz w:val="24"/>
        </w:rPr>
        <w:t>After receiving this information, DHS determines a</w:t>
      </w:r>
      <w:r>
        <w:rPr>
          <w:rFonts w:ascii="Times New Roman" w:hAnsi="Times New Roman"/>
          <w:sz w:val="24"/>
        </w:rPr>
        <w:t xml:space="preserve"> </w:t>
      </w:r>
      <w:r w:rsidRPr="0002716F">
        <w:rPr>
          <w:rFonts w:ascii="Times New Roman" w:hAnsi="Times New Roman"/>
          <w:sz w:val="24"/>
        </w:rPr>
        <w:t>facility’s risk level. High-risk facilities must address comprehensive</w:t>
      </w:r>
      <w:r>
        <w:rPr>
          <w:rFonts w:ascii="Times New Roman" w:hAnsi="Times New Roman"/>
          <w:sz w:val="24"/>
        </w:rPr>
        <w:t xml:space="preserve"> </w:t>
      </w:r>
      <w:r w:rsidRPr="0002716F">
        <w:rPr>
          <w:rFonts w:ascii="Times New Roman" w:hAnsi="Times New Roman"/>
          <w:sz w:val="24"/>
        </w:rPr>
        <w:t>security measures across the CFATS program’s 18 risk-based</w:t>
      </w:r>
      <w:r>
        <w:rPr>
          <w:rFonts w:ascii="Times New Roman" w:hAnsi="Times New Roman"/>
          <w:sz w:val="24"/>
        </w:rPr>
        <w:t xml:space="preserve"> </w:t>
      </w:r>
      <w:r w:rsidRPr="0002716F">
        <w:rPr>
          <w:rFonts w:ascii="Times New Roman" w:hAnsi="Times New Roman"/>
          <w:sz w:val="24"/>
        </w:rPr>
        <w:t>performance standards (CFATS standards).</w:t>
      </w:r>
      <w:r w:rsidRPr="00002D3D">
        <w:rPr>
          <w:rFonts w:ascii="Times New Roman" w:hAnsi="Times New Roman"/>
          <w:sz w:val="24"/>
        </w:rPr>
        <w:t xml:space="preserve"> EPA has been and will continue to work with DHS, DOJ, and other Federal partners on identifying risks and find regulatory solutions </w:t>
      </w:r>
      <w:r>
        <w:rPr>
          <w:rFonts w:ascii="Times New Roman" w:hAnsi="Times New Roman"/>
          <w:sz w:val="24"/>
        </w:rPr>
        <w:t>that address</w:t>
      </w:r>
      <w:r w:rsidRPr="00002D3D">
        <w:rPr>
          <w:rFonts w:ascii="Times New Roman" w:hAnsi="Times New Roman"/>
          <w:sz w:val="24"/>
        </w:rPr>
        <w:t xml:space="preserve"> accident prevention.</w:t>
      </w:r>
      <w:r>
        <w:rPr>
          <w:rStyle w:val="FootnoteReference"/>
          <w:rFonts w:ascii="Times New Roman" w:hAnsi="Times New Roman"/>
          <w:sz w:val="24"/>
        </w:rPr>
        <w:footnoteReference w:id="91"/>
      </w:r>
      <w:r w:rsidRPr="00002D3D">
        <w:rPr>
          <w:rFonts w:ascii="Times New Roman" w:hAnsi="Times New Roman"/>
          <w:sz w:val="24"/>
        </w:rPr>
        <w:t xml:space="preserve"> </w:t>
      </w:r>
    </w:p>
    <w:p w:rsidR="008D0242" w:rsidP="008D0242" w14:paraId="7BD92DE7" w14:textId="0B27E522">
      <w:pPr>
        <w:ind w:left="720"/>
        <w:rPr>
          <w:rFonts w:ascii="Times New Roman" w:hAnsi="Times New Roman"/>
          <w:sz w:val="24"/>
        </w:rPr>
      </w:pPr>
      <w:r>
        <w:rPr>
          <w:rFonts w:ascii="Times New Roman" w:hAnsi="Times New Roman"/>
          <w:sz w:val="24"/>
        </w:rPr>
        <w:t xml:space="preserve">Regarding environmental justice, </w:t>
      </w:r>
      <w:r w:rsidRPr="00EC1537">
        <w:rPr>
          <w:rFonts w:ascii="Times New Roman" w:hAnsi="Times New Roman"/>
          <w:sz w:val="24"/>
        </w:rPr>
        <w:t xml:space="preserve">EPA </w:t>
      </w:r>
      <w:r>
        <w:rPr>
          <w:rFonts w:ascii="Times New Roman" w:hAnsi="Times New Roman"/>
          <w:sz w:val="24"/>
        </w:rPr>
        <w:t>acknowledges</w:t>
      </w:r>
      <w:r w:rsidRPr="00EC1537">
        <w:rPr>
          <w:rFonts w:ascii="Times New Roman" w:hAnsi="Times New Roman"/>
          <w:sz w:val="24"/>
        </w:rPr>
        <w:t xml:space="preserve"> that accidental releases of regulated chemicals from facilities regulated by this action will likely pose disproportionate risks to historically marginalized communities. However, </w:t>
      </w:r>
      <w:r w:rsidRPr="00326891">
        <w:rPr>
          <w:rFonts w:ascii="Times New Roman" w:hAnsi="Times New Roman"/>
          <w:sz w:val="24"/>
        </w:rPr>
        <w:t xml:space="preserve">EPA believes that </w:t>
      </w:r>
      <w:r>
        <w:rPr>
          <w:rFonts w:ascii="Times New Roman" w:hAnsi="Times New Roman"/>
          <w:sz w:val="24"/>
        </w:rPr>
        <w:t>in addition to</w:t>
      </w:r>
      <w:r w:rsidRPr="007F4ADD">
        <w:rPr>
          <w:rFonts w:ascii="Times New Roman" w:hAnsi="Times New Roman"/>
          <w:sz w:val="24"/>
        </w:rPr>
        <w:t xml:space="preserve"> requiring facilities in NAICS </w:t>
      </w:r>
      <w:r>
        <w:rPr>
          <w:rFonts w:ascii="Times New Roman" w:hAnsi="Times New Roman"/>
          <w:sz w:val="24"/>
        </w:rPr>
        <w:t>3</w:t>
      </w:r>
      <w:r w:rsidRPr="007F4ADD">
        <w:rPr>
          <w:rFonts w:ascii="Times New Roman" w:hAnsi="Times New Roman"/>
          <w:sz w:val="24"/>
        </w:rPr>
        <w:t xml:space="preserve">24 and 325 with HF alkylation processes to conduct a </w:t>
      </w:r>
      <w:r>
        <w:rPr>
          <w:rFonts w:ascii="Times New Roman" w:hAnsi="Times New Roman"/>
          <w:sz w:val="24"/>
        </w:rPr>
        <w:t>STAA evaluation, practicality assessment and implement safeguards,</w:t>
      </w:r>
      <w:r w:rsidRPr="007F4ADD">
        <w:rPr>
          <w:rFonts w:ascii="Times New Roman" w:hAnsi="Times New Roman"/>
          <w:sz w:val="24"/>
        </w:rPr>
        <w:t xml:space="preserve"> </w:t>
      </w:r>
      <w:r w:rsidRPr="00326891">
        <w:rPr>
          <w:rFonts w:ascii="Times New Roman" w:hAnsi="Times New Roman"/>
          <w:sz w:val="24"/>
        </w:rPr>
        <w:t xml:space="preserve">several </w:t>
      </w:r>
      <w:r>
        <w:rPr>
          <w:rFonts w:ascii="Times New Roman" w:hAnsi="Times New Roman"/>
          <w:sz w:val="24"/>
        </w:rPr>
        <w:t xml:space="preserve">other </w:t>
      </w:r>
      <w:r w:rsidRPr="00326891">
        <w:rPr>
          <w:rFonts w:ascii="Times New Roman" w:hAnsi="Times New Roman"/>
          <w:sz w:val="24"/>
        </w:rPr>
        <w:t>provisions in this final action will benefit underserved populations</w:t>
      </w:r>
      <w:r>
        <w:rPr>
          <w:rFonts w:ascii="Times New Roman" w:hAnsi="Times New Roman"/>
          <w:sz w:val="24"/>
        </w:rPr>
        <w:t xml:space="preserve"> near facilities with HF processes</w:t>
      </w:r>
      <w:r w:rsidRPr="00326891">
        <w:rPr>
          <w:rFonts w:ascii="Times New Roman" w:hAnsi="Times New Roman"/>
          <w:sz w:val="24"/>
        </w:rPr>
        <w:t>, such, increase</w:t>
      </w:r>
      <w:r>
        <w:rPr>
          <w:rFonts w:ascii="Times New Roman" w:hAnsi="Times New Roman"/>
          <w:sz w:val="24"/>
        </w:rPr>
        <w:t>d</w:t>
      </w:r>
      <w:r w:rsidRPr="00326891">
        <w:rPr>
          <w:rFonts w:ascii="Times New Roman" w:hAnsi="Times New Roman"/>
          <w:sz w:val="24"/>
        </w:rPr>
        <w:t xml:space="preserve"> information availability for fenceline communities, backup power for perimeter monitoring, conduct</w:t>
      </w:r>
      <w:r>
        <w:rPr>
          <w:rFonts w:ascii="Times New Roman" w:hAnsi="Times New Roman"/>
          <w:sz w:val="24"/>
        </w:rPr>
        <w:t>ing</w:t>
      </w:r>
      <w:r w:rsidRPr="00326891">
        <w:rPr>
          <w:rFonts w:ascii="Times New Roman" w:hAnsi="Times New Roman"/>
          <w:sz w:val="24"/>
        </w:rPr>
        <w:t xml:space="preserve"> root cause analyses</w:t>
      </w:r>
      <w:r>
        <w:rPr>
          <w:rFonts w:ascii="Times New Roman" w:hAnsi="Times New Roman"/>
          <w:sz w:val="24"/>
        </w:rPr>
        <w:t xml:space="preserve"> and third-party audits</w:t>
      </w:r>
      <w:r w:rsidRPr="00326891">
        <w:rPr>
          <w:rFonts w:ascii="Times New Roman" w:hAnsi="Times New Roman"/>
          <w:sz w:val="24"/>
        </w:rPr>
        <w:t xml:space="preserve"> for facilities that have reported accidents, and impro</w:t>
      </w:r>
      <w:r>
        <w:rPr>
          <w:rFonts w:ascii="Times New Roman" w:hAnsi="Times New Roman"/>
          <w:sz w:val="24"/>
        </w:rPr>
        <w:t>ving</w:t>
      </w:r>
      <w:r w:rsidRPr="00326891">
        <w:rPr>
          <w:rFonts w:ascii="Times New Roman" w:hAnsi="Times New Roman"/>
          <w:sz w:val="24"/>
        </w:rPr>
        <w:t xml:space="preserve"> community notification and related response planning.</w:t>
      </w:r>
    </w:p>
    <w:p w:rsidR="003B12AF" w:rsidP="003B12AF" w14:paraId="1F9CC5B9" w14:textId="77777777">
      <w:pPr>
        <w:rPr>
          <w:rFonts w:ascii="Times New Roman" w:hAnsi="Times New Roman"/>
          <w:i/>
          <w:iCs/>
          <w:sz w:val="24"/>
        </w:rPr>
      </w:pPr>
      <w:r>
        <w:rPr>
          <w:rFonts w:ascii="Times New Roman" w:hAnsi="Times New Roman"/>
          <w:i/>
          <w:iCs/>
          <w:sz w:val="24"/>
        </w:rPr>
        <w:t xml:space="preserve">Opposition to </w:t>
      </w:r>
      <w:r w:rsidRPr="00340CC2">
        <w:rPr>
          <w:rFonts w:ascii="Times New Roman" w:hAnsi="Times New Roman"/>
          <w:i/>
          <w:iCs/>
          <w:sz w:val="24"/>
        </w:rPr>
        <w:t xml:space="preserve">proposed requirements for NAICS 324 facilities using HF </w:t>
      </w:r>
    </w:p>
    <w:p w:rsidR="003B12AF" w:rsidP="003B12AF" w14:paraId="5C5A1E0D" w14:textId="632F0B90">
      <w:pPr>
        <w:rPr>
          <w:rFonts w:ascii="Times New Roman" w:hAnsi="Times New Roman"/>
          <w:sz w:val="24"/>
        </w:rPr>
      </w:pPr>
      <w:r w:rsidRPr="00B81FD1">
        <w:rPr>
          <w:rFonts w:ascii="Times New Roman" w:hAnsi="Times New Roman"/>
          <w:b/>
          <w:bCs/>
          <w:sz w:val="24"/>
        </w:rPr>
        <w:t>Comment</w:t>
      </w:r>
      <w:r>
        <w:rPr>
          <w:rFonts w:ascii="Times New Roman" w:hAnsi="Times New Roman"/>
          <w:b/>
          <w:bCs/>
          <w:sz w:val="24"/>
        </w:rPr>
        <w:t xml:space="preserve"> 6.2.3-0</w:t>
      </w:r>
      <w:r w:rsidR="0055193A">
        <w:rPr>
          <w:rFonts w:ascii="Times New Roman" w:hAnsi="Times New Roman"/>
          <w:b/>
          <w:bCs/>
          <w:sz w:val="24"/>
        </w:rPr>
        <w:t>3</w:t>
      </w:r>
      <w:r w:rsidRPr="00B81FD1">
        <w:rPr>
          <w:rFonts w:ascii="Times New Roman" w:hAnsi="Times New Roman"/>
          <w:b/>
          <w:bCs/>
          <w:sz w:val="24"/>
        </w:rPr>
        <w:t xml:space="preserve">: </w:t>
      </w:r>
      <w:r w:rsidRPr="00B81FD1">
        <w:rPr>
          <w:rFonts w:ascii="Times New Roman" w:hAnsi="Times New Roman"/>
          <w:sz w:val="24"/>
        </w:rPr>
        <w:t>One commenter urged EPA not to advance requirements specific to HF alkylation units. The commenter claimed that EPA has no legal authority to mandate STAA on</w:t>
      </w:r>
      <w:r w:rsidRPr="002A60BA">
        <w:rPr>
          <w:rStyle w:val="Emphasis"/>
          <w:rFonts w:ascii="Times New Roman" w:hAnsi="Times New Roman"/>
          <w:sz w:val="24"/>
        </w:rPr>
        <w:t xml:space="preserve"> </w:t>
      </w:r>
      <w:r w:rsidRPr="002A60BA">
        <w:rPr>
          <w:rStyle w:val="Emphasis"/>
          <w:rFonts w:ascii="Times New Roman" w:hAnsi="Times New Roman"/>
          <w:i w:val="0"/>
          <w:sz w:val="24"/>
        </w:rPr>
        <w:t>existing</w:t>
      </w:r>
      <w:r w:rsidRPr="00B81FD1">
        <w:rPr>
          <w:rFonts w:ascii="Times New Roman" w:hAnsi="Times New Roman"/>
          <w:sz w:val="24"/>
        </w:rPr>
        <w:t xml:space="preserve"> processes and that the proposed STAA requirements on</w:t>
      </w:r>
      <w:r w:rsidRPr="002A60BA">
        <w:rPr>
          <w:rStyle w:val="Emphasis"/>
          <w:rFonts w:ascii="Times New Roman" w:hAnsi="Times New Roman"/>
          <w:sz w:val="24"/>
        </w:rPr>
        <w:t xml:space="preserve"> </w:t>
      </w:r>
      <w:r w:rsidRPr="002A60BA">
        <w:rPr>
          <w:rStyle w:val="Emphasis"/>
          <w:rFonts w:ascii="Times New Roman" w:hAnsi="Times New Roman"/>
          <w:i w:val="0"/>
          <w:sz w:val="24"/>
        </w:rPr>
        <w:t>all</w:t>
      </w:r>
      <w:r w:rsidRPr="002A60BA">
        <w:rPr>
          <w:rStyle w:val="Emphasis"/>
          <w:rFonts w:ascii="Times New Roman" w:hAnsi="Times New Roman"/>
          <w:sz w:val="24"/>
        </w:rPr>
        <w:t xml:space="preserve"> </w:t>
      </w:r>
      <w:r w:rsidRPr="00B81FD1">
        <w:rPr>
          <w:rFonts w:ascii="Times New Roman" w:hAnsi="Times New Roman"/>
          <w:sz w:val="24"/>
        </w:rPr>
        <w:t>HF alkylation processes at petroleum refineries are arbitrary and unlawful. The commenter claimed that EPA did not provide a meaningful account of the benefits associated with this requirement and failed to state specifically how this requirement would fulfill any statutory requirements of the RMP and has little or no data to support its proposal. The commenter further claimed that the data indicates that the industry is safely managing the risks with HF (0268).</w:t>
      </w:r>
    </w:p>
    <w:p w:rsidR="0041259C" w:rsidP="003B12AF" w14:paraId="42BC76A1" w14:textId="58F34B07">
      <w:pPr>
        <w:ind w:left="720"/>
        <w:rPr>
          <w:rFonts w:ascii="Times New Roman" w:hAnsi="Times New Roman"/>
          <w:sz w:val="24"/>
        </w:rPr>
      </w:pPr>
      <w:r w:rsidRPr="00FD4E5C">
        <w:rPr>
          <w:rFonts w:ascii="Times New Roman" w:hAnsi="Times New Roman"/>
          <w:b/>
          <w:bCs/>
          <w:sz w:val="24"/>
        </w:rPr>
        <w:t>EPA Response:</w:t>
      </w:r>
      <w:r w:rsidRPr="00FD4E5C">
        <w:rPr>
          <w:rFonts w:ascii="Times New Roman" w:hAnsi="Times New Roman"/>
          <w:sz w:val="24"/>
        </w:rPr>
        <w:t xml:space="preserve"> </w:t>
      </w:r>
      <w:r w:rsidRPr="0041259C">
        <w:t xml:space="preserve"> </w:t>
      </w:r>
      <w:r w:rsidRPr="0041259C">
        <w:rPr>
          <w:rFonts w:ascii="Times New Roman" w:hAnsi="Times New Roman"/>
          <w:sz w:val="24"/>
        </w:rPr>
        <w:t xml:space="preserve">EPA notes that HF is an extremely toxic chemical used for alkylation at 27 percent of facilities in NAICS 324 (45 of 163). EPA is requiring that all HF alkylation processes at petroleum refineries (NAICS 324) conduct an initial STAA evaluation, a practicability assessment for IST/ISD, and implementation of at least one passive measure (or combination of active or procedural measures equivalent to the risk reduction of a passive measure), primarily due to recent incidents where HF was nearly released when there were explosions, fires, and other releases that could have triggered releases of HF. While API RP 751 offers industry guidance to help safely manage HF alkylation process and its hazards, those process hazards still </w:t>
      </w:r>
      <w:r w:rsidRPr="0041259C">
        <w:rPr>
          <w:rFonts w:ascii="Times New Roman" w:hAnsi="Times New Roman"/>
          <w:sz w:val="24"/>
        </w:rPr>
        <w:t xml:space="preserve">exist. In contrast, there are recognized potentially safer chemical alternatives available for HF alkylation that have been successfully implemented by refineries, such as sulfuric acid alkylation, ionic liquid alkylation, or solid acid catalyst alkylation. These eliminate the hazard. With several known alternatives and with recent incident history, EPA believes the process of HF alkylation merits a rule-based prevention approach rather than only selective oversight. </w:t>
      </w:r>
    </w:p>
    <w:p w:rsidR="00521E8A" w:rsidRPr="00BB3648" w:rsidP="00BB3648" w14:paraId="2EBA2856" w14:textId="696635A2">
      <w:pPr>
        <w:ind w:left="720"/>
        <w:rPr>
          <w:rFonts w:ascii="Times New Roman" w:hAnsi="Times New Roman"/>
          <w:sz w:val="24"/>
        </w:rPr>
      </w:pPr>
      <w:r w:rsidRPr="00FD4E5C">
        <w:rPr>
          <w:rFonts w:ascii="Times New Roman" w:hAnsi="Times New Roman"/>
          <w:sz w:val="24"/>
        </w:rPr>
        <w:t xml:space="preserve">EPA summarized its legal authority for the various provisions of this final rule in the preamble to the proposed rule, specifically identifying STAA as a prevention measure authorized under CAA section 112(r)(7) (87 FR 53563-64; Aug. 31, 2022). EPA’s legal authority to require an STAA evaluation and implementation of reasonable STAA measures is well-established under both paragraphs (A) and (B) of CAA section 112(r)(7). </w:t>
      </w:r>
      <w:r w:rsidRPr="00BB3648">
        <w:rPr>
          <w:rFonts w:ascii="Times New Roman" w:hAnsi="Times New Roman"/>
          <w:sz w:val="24"/>
        </w:rPr>
        <w:t xml:space="preserve">In authorizing rules for the prevention of accidental releases of regulated substances, subparagraph (A) of section 112(r)(7) specifically allows for rules that address design, equipment, and operations while permitting EPA to distinguish among classes of facilities based on factors “including, but not limited to . . . location [and] process.” This language </w:t>
      </w:r>
      <w:r w:rsidR="00406BD5">
        <w:rPr>
          <w:rFonts w:ascii="Times New Roman" w:hAnsi="Times New Roman"/>
          <w:sz w:val="24"/>
        </w:rPr>
        <w:t>authorizes</w:t>
      </w:r>
      <w:r w:rsidRPr="00BB3648">
        <w:rPr>
          <w:rFonts w:ascii="Times New Roman" w:hAnsi="Times New Roman"/>
          <w:sz w:val="24"/>
        </w:rPr>
        <w:t xml:space="preserve"> EPA to put restrictions on and impose requirements for permissible design of a process and the types of equipment used as well as continuing operation of such designs and technologies. </w:t>
      </w:r>
      <w:bookmarkStart w:id="75" w:name="_Hlk150331018"/>
      <w:r w:rsidRPr="00342F15" w:rsidR="00342F15">
        <w:rPr>
          <w:rFonts w:ascii="Times New Roman" w:hAnsi="Times New Roman"/>
          <w:sz w:val="24"/>
        </w:rPr>
        <w:t xml:space="preserve">With respect to HF alkylation processes, not only does the statute authorize consideration of location when identifying classes to regulate, it also provides that EPA may consider the “potency of substances” when making distinctions among facilities that are covered by regulations under section 112(r)(7)(A). As discussed in the proposed rule, HF is a particularly potent regulated substance. 87 </w:t>
      </w:r>
      <w:r w:rsidR="00EA75C9">
        <w:rPr>
          <w:rFonts w:ascii="Times New Roman" w:hAnsi="Times New Roman"/>
          <w:sz w:val="24"/>
        </w:rPr>
        <w:t>FR</w:t>
      </w:r>
      <w:r w:rsidRPr="00342F15" w:rsidR="00342F15">
        <w:rPr>
          <w:rFonts w:ascii="Times New Roman" w:hAnsi="Times New Roman"/>
          <w:sz w:val="24"/>
        </w:rPr>
        <w:t xml:space="preserve"> 53576 (Aug. 31, 2022). </w:t>
      </w:r>
      <w:bookmarkEnd w:id="75"/>
    </w:p>
    <w:p w:rsidR="00521E8A" w:rsidRPr="00BB3648" w:rsidP="00BB3648" w14:paraId="36AA39FE" w14:textId="4042613E">
      <w:pPr>
        <w:ind w:left="720"/>
        <w:rPr>
          <w:rFonts w:ascii="Times New Roman" w:hAnsi="Times New Roman"/>
          <w:sz w:val="24"/>
        </w:rPr>
      </w:pPr>
      <w:r w:rsidRPr="00BB3648">
        <w:rPr>
          <w:rFonts w:ascii="Times New Roman" w:hAnsi="Times New Roman"/>
          <w:sz w:val="24"/>
        </w:rPr>
        <w:t xml:space="preserve">In addition to the authority granted by subparagraph (A), the authority in subparagraph (B) to develop “reasonable regulations [that] provide, to the greatest extent practicable, for the prevention and detection of accidental releases” </w:t>
      </w:r>
      <w:r w:rsidR="00CD1142">
        <w:rPr>
          <w:rFonts w:ascii="Times New Roman" w:hAnsi="Times New Roman"/>
          <w:sz w:val="24"/>
        </w:rPr>
        <w:t>authorizes</w:t>
      </w:r>
      <w:r w:rsidRPr="00BB3648">
        <w:rPr>
          <w:rFonts w:ascii="Times New Roman" w:hAnsi="Times New Roman"/>
          <w:sz w:val="24"/>
        </w:rPr>
        <w:t xml:space="preserve"> reasonable regulations to mandate examination of potential methods to prevent releases, to examine the practicability of alternative designs and technologies, and to require adoption of release prevention measures when practicable. Many of the same terms appear in both </w:t>
      </w:r>
      <w:r w:rsidRPr="00BB3648">
        <w:rPr>
          <w:rFonts w:ascii="Times New Roman" w:hAnsi="Times New Roman"/>
          <w:sz w:val="24"/>
        </w:rPr>
        <w:t xml:space="preserve">subparagraph (B)(i) as in subparagraph (A) – the requirement to cover ongoing operations, the authority to recognize “differences in … operations, processes and class … of sources,” while also granting authority to regulate “use” of regulated substances.  Subparagraph (7)(B)(ii) authorizes rules to “minimize” accidental releases, which encompasses a mandate to implement practicable passive mitigation measures or their equivalent active and procedural measures. STAA </w:t>
      </w:r>
      <w:r w:rsidR="005262EE">
        <w:rPr>
          <w:rFonts w:ascii="Times New Roman" w:hAnsi="Times New Roman"/>
          <w:sz w:val="24"/>
        </w:rPr>
        <w:t>is</w:t>
      </w:r>
      <w:r w:rsidRPr="00BB3648">
        <w:rPr>
          <w:rFonts w:ascii="Times New Roman" w:hAnsi="Times New Roman"/>
          <w:sz w:val="24"/>
        </w:rPr>
        <w:t xml:space="preserve"> a “safety precaution” under the prevention program. CAA 112(r)(7)(B)(ii)(II). </w:t>
      </w:r>
    </w:p>
    <w:p w:rsidR="003B12AF" w:rsidRPr="00FD4E5C" w:rsidP="003B12AF" w14:paraId="083FBC62" w14:textId="575BA7DB">
      <w:pPr>
        <w:ind w:left="720"/>
        <w:rPr>
          <w:rFonts w:ascii="Times New Roman" w:hAnsi="Times New Roman"/>
          <w:sz w:val="24"/>
        </w:rPr>
      </w:pPr>
      <w:r w:rsidRPr="00FD4E5C">
        <w:rPr>
          <w:rFonts w:ascii="Times New Roman" w:hAnsi="Times New Roman"/>
          <w:sz w:val="24"/>
        </w:rPr>
        <w:t>As noted in the 2017 amendments rule (82 FR 4630; Jan 13, 2017), both the Conference Report for the 1990 CAAA</w:t>
      </w:r>
      <w:r w:rsidRPr="00E46119">
        <w:rPr>
          <w:rFonts w:ascii="Times New Roman" w:hAnsi="Times New Roman"/>
          <w:sz w:val="24"/>
          <w:vertAlign w:val="superscript"/>
        </w:rPr>
        <w:t>34</w:t>
      </w:r>
      <w:r w:rsidRPr="00FD4E5C">
        <w:rPr>
          <w:rFonts w:ascii="Times New Roman" w:hAnsi="Times New Roman"/>
          <w:sz w:val="24"/>
        </w:rPr>
        <w:t xml:space="preserve"> and the 1989 Senate Report related to the CAAA</w:t>
      </w:r>
      <w:r w:rsidRPr="00E46119">
        <w:rPr>
          <w:rFonts w:ascii="Times New Roman" w:hAnsi="Times New Roman"/>
          <w:sz w:val="24"/>
          <w:vertAlign w:val="superscript"/>
        </w:rPr>
        <w:t>35</w:t>
      </w:r>
      <w:r w:rsidRPr="00FD4E5C">
        <w:rPr>
          <w:rFonts w:ascii="Times New Roman" w:hAnsi="Times New Roman"/>
          <w:sz w:val="24"/>
        </w:rPr>
        <w:t xml:space="preserve"> provide substantial support for the concepts of STAA. The Conference Report included support for “a review of the efficacy of various prevention and control measures, including process changes or substitution of materials” (Conference Report pp. 340-41). Further, the Senate Report supported “release prevention measures” that contemplate IST and STAA (Senate Report p. 242). While neither the 1996 RMP rule nor the 2019 reconsideration rule required IST or STAA, neither action based those decisions on a lack of authority under CAA section 112(r)(7) to require examination of safer alternatives at either existing or new processes.  </w:t>
      </w:r>
    </w:p>
    <w:p w:rsidR="003B12AF" w:rsidRPr="00FD4E5C" w:rsidP="003B12AF" w14:paraId="102A9F0C" w14:textId="77777777">
      <w:pPr>
        <w:ind w:left="720"/>
        <w:rPr>
          <w:rFonts w:ascii="Times New Roman" w:hAnsi="Times New Roman"/>
          <w:sz w:val="24"/>
        </w:rPr>
      </w:pPr>
      <w:r w:rsidRPr="00FD4E5C">
        <w:rPr>
          <w:rFonts w:ascii="Times New Roman" w:hAnsi="Times New Roman"/>
          <w:sz w:val="24"/>
        </w:rPr>
        <w:t>Furthermore, in discussing the purpose of the chemical accident provisions, the Senate Report identified a preference for measures that promote safer technologies to those that merely mitigate or respond to releases (pp. 208-209): </w:t>
      </w:r>
    </w:p>
    <w:p w:rsidR="003B12AF" w:rsidRPr="00FD4E5C" w:rsidP="003B12AF" w14:paraId="4E243F9D" w14:textId="5118ADDC">
      <w:pPr>
        <w:ind w:left="1440"/>
        <w:rPr>
          <w:rFonts w:ascii="Times New Roman" w:hAnsi="Times New Roman"/>
          <w:sz w:val="24"/>
        </w:rPr>
      </w:pPr>
      <w:r w:rsidRPr="00FD4E5C">
        <w:rPr>
          <w:rFonts w:ascii="Times New Roman" w:hAnsi="Times New Roman"/>
          <w:sz w:val="24"/>
        </w:rPr>
        <w:t xml:space="preserve">Systems and measures which are effective in preventing accidents are preferable to those which </w:t>
      </w:r>
      <w:r w:rsidR="00263671">
        <w:rPr>
          <w:rFonts w:ascii="Times New Roman" w:hAnsi="Times New Roman"/>
          <w:sz w:val="24"/>
        </w:rPr>
        <w:t xml:space="preserve">are </w:t>
      </w:r>
      <w:r w:rsidRPr="00FD4E5C">
        <w:rPr>
          <w:rFonts w:ascii="Times New Roman" w:hAnsi="Times New Roman"/>
          <w:sz w:val="24"/>
        </w:rPr>
        <w:t xml:space="preserve">intended to minimize the consequences of a release. Measures which entirely eliminate the presence of potential hazards (through substitution of less harmful substances or by </w:t>
      </w:r>
      <w:r w:rsidRPr="00FD4E5C">
        <w:rPr>
          <w:rFonts w:ascii="Times New Roman" w:hAnsi="Times New Roman"/>
          <w:sz w:val="24"/>
        </w:rPr>
        <w:t>minimizing the quantity of an extremely hazardous substance present at any one time), as opposed to those which merely provide additional containment, are the most preferred. </w:t>
      </w:r>
    </w:p>
    <w:p w:rsidR="003B12AF" w:rsidP="003B12AF" w14:paraId="5FA942F9" w14:textId="77777777">
      <w:pPr>
        <w:ind w:left="720"/>
        <w:rPr>
          <w:rFonts w:ascii="Times New Roman" w:hAnsi="Times New Roman"/>
          <w:sz w:val="24"/>
        </w:rPr>
      </w:pPr>
      <w:r w:rsidRPr="00FD4E5C">
        <w:rPr>
          <w:rFonts w:ascii="Times New Roman" w:hAnsi="Times New Roman"/>
          <w:sz w:val="24"/>
        </w:rPr>
        <w:t>The Senate Report is entirely consistent with a preference for the hierarchy of controls that forms the basis of STAA.  </w:t>
      </w:r>
    </w:p>
    <w:p w:rsidR="003B12AF" w:rsidP="003B12AF" w14:paraId="3B8ECC9E" w14:textId="6B9EBC78">
      <w:pPr>
        <w:rPr>
          <w:rFonts w:ascii="Times New Roman" w:hAnsi="Times New Roman"/>
          <w:sz w:val="24"/>
        </w:rPr>
      </w:pPr>
      <w:r w:rsidRPr="0055193A">
        <w:rPr>
          <w:rFonts w:ascii="Times New Roman" w:hAnsi="Times New Roman"/>
          <w:b/>
          <w:bCs/>
          <w:sz w:val="24"/>
        </w:rPr>
        <w:t>Comment 6.2.3-04:</w:t>
      </w:r>
      <w:r>
        <w:rPr>
          <w:rFonts w:ascii="Times New Roman" w:hAnsi="Times New Roman"/>
          <w:sz w:val="24"/>
        </w:rPr>
        <w:t xml:space="preserve"> </w:t>
      </w:r>
      <w:r>
        <w:rPr>
          <w:rFonts w:ascii="Times New Roman" w:hAnsi="Times New Roman"/>
          <w:sz w:val="24"/>
        </w:rPr>
        <w:t>One</w:t>
      </w:r>
      <w:r w:rsidRPr="006F68E9">
        <w:rPr>
          <w:rFonts w:ascii="Times New Roman" w:hAnsi="Times New Roman"/>
          <w:sz w:val="24"/>
        </w:rPr>
        <w:t xml:space="preserve"> </w:t>
      </w:r>
      <w:r w:rsidRPr="60236A83">
        <w:rPr>
          <w:rFonts w:ascii="Times New Roman" w:hAnsi="Times New Roman"/>
          <w:sz w:val="24"/>
        </w:rPr>
        <w:t>commenter</w:t>
      </w:r>
      <w:r w:rsidRPr="006F68E9">
        <w:rPr>
          <w:rFonts w:ascii="Times New Roman" w:hAnsi="Times New Roman"/>
          <w:sz w:val="24"/>
        </w:rPr>
        <w:t xml:space="preserve"> </w:t>
      </w:r>
      <w:r>
        <w:rPr>
          <w:rFonts w:ascii="Times New Roman" w:hAnsi="Times New Roman"/>
          <w:sz w:val="24"/>
        </w:rPr>
        <w:t>said</w:t>
      </w:r>
      <w:r w:rsidRPr="006F68E9">
        <w:rPr>
          <w:rFonts w:ascii="Times New Roman" w:hAnsi="Times New Roman"/>
          <w:sz w:val="24"/>
        </w:rPr>
        <w:t xml:space="preserve"> that EPA stated that many facilities with RMP processes already have the appropriate measures to identify, reduce, and mitigate the threat of an accidental release before it happens. The commenter pointed to petroleum refiners’ safety practices and standards and cited decreases in process safety events at refineries and at petrochemical facilities since 2011. The commenter was concerned that EPA’s focus on HF alkylation units may increase risk because of the introduction of duplicate and arbitrary stop work provisions or requiring facilities to conduct frivolous and expensive alternative technology analyses would harm existing risk reduction efforts (0477).</w:t>
      </w:r>
      <w:r>
        <w:rPr>
          <w:rFonts w:ascii="Times New Roman" w:hAnsi="Times New Roman"/>
          <w:sz w:val="24"/>
        </w:rPr>
        <w:t xml:space="preserve"> </w:t>
      </w:r>
      <w:r w:rsidRPr="006F68E9">
        <w:rPr>
          <w:rFonts w:ascii="Times New Roman" w:hAnsi="Times New Roman"/>
          <w:sz w:val="24"/>
        </w:rPr>
        <w:t>The commenter requested that proposed updates to the RMP be supported by strong data and evidence and that they also not compromise safety nor adversely impact U.S. energy and economic security (0477).</w:t>
      </w:r>
    </w:p>
    <w:p w:rsidR="003B12AF" w:rsidP="71843225" w14:paraId="7CE2E87F" w14:textId="4C600FA4">
      <w:pPr>
        <w:ind w:left="720"/>
        <w:rPr>
          <w:rFonts w:ascii="Times New Roman" w:hAnsi="Times New Roman"/>
          <w:sz w:val="24"/>
        </w:rPr>
      </w:pPr>
      <w:r w:rsidRPr="71843225">
        <w:rPr>
          <w:rFonts w:ascii="Times New Roman" w:hAnsi="Times New Roman"/>
          <w:b/>
          <w:bCs/>
          <w:sz w:val="24"/>
        </w:rPr>
        <w:t>EPA Response:</w:t>
      </w:r>
      <w:r w:rsidRPr="71843225">
        <w:rPr>
          <w:rFonts w:ascii="Times New Roman" w:hAnsi="Times New Roman"/>
          <w:sz w:val="24"/>
        </w:rPr>
        <w:t xml:space="preserve"> The Agency retains substantial flexibility for owners and operators to select among measures they deem appropriate for their stationary sources. </w:t>
      </w:r>
      <w:r w:rsidRPr="71843225" w:rsidR="06C7F83D">
        <w:rPr>
          <w:rFonts w:ascii="Times New Roman" w:hAnsi="Times New Roman"/>
          <w:sz w:val="24"/>
        </w:rPr>
        <w:t xml:space="preserve">While the </w:t>
      </w:r>
      <w:r w:rsidRPr="71843225" w:rsidR="5EC2A268">
        <w:rPr>
          <w:rFonts w:ascii="Times New Roman" w:hAnsi="Times New Roman"/>
          <w:sz w:val="24"/>
        </w:rPr>
        <w:t>number of</w:t>
      </w:r>
      <w:r w:rsidRPr="71843225" w:rsidR="06C7F83D">
        <w:rPr>
          <w:rFonts w:ascii="Times New Roman" w:hAnsi="Times New Roman"/>
          <w:sz w:val="24"/>
        </w:rPr>
        <w:t xml:space="preserve"> significant accidental releases overall and within the refinery sector </w:t>
      </w:r>
      <w:r w:rsidRPr="71843225" w:rsidR="2283FD54">
        <w:rPr>
          <w:rFonts w:ascii="Times New Roman" w:hAnsi="Times New Roman"/>
          <w:sz w:val="24"/>
        </w:rPr>
        <w:t xml:space="preserve">appears to have declined, refineries in particular remain one of the sectors with the most </w:t>
      </w:r>
      <w:r w:rsidRPr="71843225" w:rsidR="19582469">
        <w:rPr>
          <w:rFonts w:ascii="Times New Roman" w:hAnsi="Times New Roman"/>
          <w:sz w:val="24"/>
        </w:rPr>
        <w:t xml:space="preserve">significant </w:t>
      </w:r>
      <w:r w:rsidRPr="71843225" w:rsidR="2283FD54">
        <w:rPr>
          <w:rFonts w:ascii="Times New Roman" w:hAnsi="Times New Roman"/>
          <w:sz w:val="24"/>
        </w:rPr>
        <w:t>accident</w:t>
      </w:r>
      <w:r w:rsidRPr="71843225" w:rsidR="4761A3CE">
        <w:rPr>
          <w:rFonts w:ascii="Times New Roman" w:hAnsi="Times New Roman"/>
          <w:sz w:val="24"/>
        </w:rPr>
        <w:t>a</w:t>
      </w:r>
      <w:r w:rsidRPr="71843225" w:rsidR="20CDEC30">
        <w:rPr>
          <w:rFonts w:ascii="Times New Roman" w:hAnsi="Times New Roman"/>
          <w:sz w:val="24"/>
        </w:rPr>
        <w:t>l releases</w:t>
      </w:r>
      <w:r w:rsidRPr="71843225" w:rsidR="2283FD54">
        <w:rPr>
          <w:rFonts w:ascii="Times New Roman" w:hAnsi="Times New Roman"/>
          <w:sz w:val="24"/>
        </w:rPr>
        <w:t xml:space="preserve"> per facility</w:t>
      </w:r>
      <w:r w:rsidRPr="71843225" w:rsidR="525E8098">
        <w:rPr>
          <w:rFonts w:ascii="Times New Roman" w:hAnsi="Times New Roman"/>
          <w:sz w:val="24"/>
        </w:rPr>
        <w:t xml:space="preserve">. </w:t>
      </w:r>
      <w:r w:rsidRPr="71843225" w:rsidR="5AEF024E">
        <w:rPr>
          <w:rFonts w:ascii="Times New Roman" w:hAnsi="Times New Roman"/>
          <w:sz w:val="24"/>
        </w:rPr>
        <w:t>The Agency believes the modifications of the RMP rule promotes additional safety and will lead to a fu</w:t>
      </w:r>
      <w:r w:rsidRPr="71843225" w:rsidR="4AAAFE82">
        <w:rPr>
          <w:rFonts w:ascii="Times New Roman" w:hAnsi="Times New Roman"/>
          <w:sz w:val="24"/>
        </w:rPr>
        <w:t xml:space="preserve">rther decline in accidents. Provisions like </w:t>
      </w:r>
      <w:r w:rsidRPr="71843225" w:rsidR="4AAAFE82">
        <w:rPr>
          <w:rFonts w:ascii="Times New Roman" w:hAnsi="Times New Roman"/>
          <w:sz w:val="24"/>
        </w:rPr>
        <w:t xml:space="preserve">STAA focus on </w:t>
      </w:r>
      <w:r w:rsidRPr="71843225" w:rsidR="0AC6574C">
        <w:rPr>
          <w:rFonts w:ascii="Times New Roman" w:hAnsi="Times New Roman"/>
          <w:sz w:val="24"/>
        </w:rPr>
        <w:t>regulated industry sectors that pose high risk and, with respect to HF</w:t>
      </w:r>
      <w:r w:rsidRPr="71843225" w:rsidR="5E5B87D5">
        <w:rPr>
          <w:rFonts w:ascii="Times New Roman" w:hAnsi="Times New Roman"/>
          <w:sz w:val="24"/>
        </w:rPr>
        <w:t xml:space="preserve"> alkylation</w:t>
      </w:r>
      <w:r w:rsidRPr="71843225" w:rsidR="0AC6574C">
        <w:rPr>
          <w:rFonts w:ascii="Times New Roman" w:hAnsi="Times New Roman"/>
          <w:sz w:val="24"/>
        </w:rPr>
        <w:t xml:space="preserve">, have </w:t>
      </w:r>
      <w:r w:rsidRPr="71843225" w:rsidR="0CC992E8">
        <w:rPr>
          <w:rFonts w:ascii="Times New Roman" w:hAnsi="Times New Roman"/>
          <w:sz w:val="24"/>
        </w:rPr>
        <w:t xml:space="preserve">deployed ISTs/ ISDs. </w:t>
      </w:r>
      <w:r w:rsidRPr="71843225" w:rsidR="5199C91F">
        <w:rPr>
          <w:rFonts w:ascii="Times New Roman" w:hAnsi="Times New Roman"/>
          <w:sz w:val="24"/>
        </w:rPr>
        <w:t>While some ISTs/ISDs may not be practicable at some or even mo</w:t>
      </w:r>
      <w:r w:rsidRPr="71843225" w:rsidR="750E61D0">
        <w:rPr>
          <w:rFonts w:ascii="Times New Roman" w:hAnsi="Times New Roman"/>
          <w:sz w:val="24"/>
        </w:rPr>
        <w:t>st sources that currently use HF alkylation, the practicability of alternatives may change over time, therefor</w:t>
      </w:r>
      <w:r w:rsidRPr="71843225" w:rsidR="122C8075">
        <w:rPr>
          <w:rFonts w:ascii="Times New Roman" w:hAnsi="Times New Roman"/>
          <w:sz w:val="24"/>
        </w:rPr>
        <w:t>e periodic practicability assessments are appropriate. Nothing in the rule requires adoption of an IST that is not practicable</w:t>
      </w:r>
      <w:r w:rsidRPr="71843225" w:rsidR="64879231">
        <w:rPr>
          <w:rFonts w:ascii="Times New Roman" w:hAnsi="Times New Roman"/>
          <w:sz w:val="24"/>
        </w:rPr>
        <w:t xml:space="preserve">, and the rule allows owners and operators to not adopt practicable ISTs if they document their reasons. </w:t>
      </w:r>
      <w:r w:rsidRPr="71843225" w:rsidR="5339C49D">
        <w:rPr>
          <w:rFonts w:ascii="Times New Roman" w:hAnsi="Times New Roman"/>
          <w:sz w:val="24"/>
        </w:rPr>
        <w:t xml:space="preserve">Energy security may be raised as part of a practicability analysis. </w:t>
      </w:r>
      <w:r w:rsidRPr="71843225" w:rsidR="4E97DBB6">
        <w:rPr>
          <w:rFonts w:ascii="Times New Roman" w:hAnsi="Times New Roman"/>
          <w:sz w:val="24"/>
        </w:rPr>
        <w:t xml:space="preserve">The analyses required for </w:t>
      </w:r>
      <w:r w:rsidRPr="71843225" w:rsidR="2D23505A">
        <w:rPr>
          <w:rFonts w:ascii="Times New Roman" w:hAnsi="Times New Roman"/>
          <w:sz w:val="24"/>
        </w:rPr>
        <w:t>HF Alkylation processes at refineries integrate well with and strengthen PHAs so they should complement existing risk reductio</w:t>
      </w:r>
      <w:r w:rsidRPr="71843225" w:rsidR="7E58B7CE">
        <w:rPr>
          <w:rFonts w:ascii="Times New Roman" w:hAnsi="Times New Roman"/>
          <w:sz w:val="24"/>
        </w:rPr>
        <w:t>n efforts.</w:t>
      </w:r>
      <w:r w:rsidRPr="71843225" w:rsidR="2D23505A">
        <w:rPr>
          <w:rFonts w:ascii="Times New Roman" w:hAnsi="Times New Roman"/>
          <w:sz w:val="24"/>
        </w:rPr>
        <w:t xml:space="preserve"> </w:t>
      </w:r>
    </w:p>
    <w:p w:rsidR="1E82A4C8" w:rsidP="71843225" w14:paraId="23366D53" w14:textId="1C44EBA9">
      <w:pPr>
        <w:ind w:left="720"/>
        <w:rPr>
          <w:rFonts w:ascii="Times New Roman" w:hAnsi="Times New Roman"/>
          <w:sz w:val="24"/>
        </w:rPr>
      </w:pPr>
      <w:r w:rsidRPr="71843225">
        <w:rPr>
          <w:rFonts w:ascii="Times New Roman" w:hAnsi="Times New Roman"/>
          <w:sz w:val="24"/>
        </w:rPr>
        <w:t xml:space="preserve">Stop work issues are addressed in section </w:t>
      </w:r>
      <w:r w:rsidR="00F82DB2">
        <w:rPr>
          <w:rFonts w:ascii="Times New Roman" w:hAnsi="Times New Roman"/>
          <w:sz w:val="24"/>
        </w:rPr>
        <w:t xml:space="preserve">V.E. of the </w:t>
      </w:r>
      <w:r w:rsidR="000375B7">
        <w:rPr>
          <w:rFonts w:ascii="Times New Roman" w:hAnsi="Times New Roman"/>
          <w:sz w:val="24"/>
        </w:rPr>
        <w:t xml:space="preserve">final rule preamble and section </w:t>
      </w:r>
      <w:r w:rsidR="0096506F">
        <w:rPr>
          <w:rFonts w:ascii="Times New Roman" w:hAnsi="Times New Roman"/>
          <w:sz w:val="24"/>
        </w:rPr>
        <w:t>9.3 of this Response to Comment document</w:t>
      </w:r>
      <w:r w:rsidR="000375B7">
        <w:rPr>
          <w:rFonts w:ascii="Times New Roman" w:hAnsi="Times New Roman"/>
          <w:sz w:val="24"/>
        </w:rPr>
        <w:t>.</w:t>
      </w:r>
      <w:r w:rsidR="0096506F">
        <w:rPr>
          <w:rFonts w:ascii="Times New Roman" w:hAnsi="Times New Roman"/>
          <w:sz w:val="24"/>
        </w:rPr>
        <w:t xml:space="preserve"> </w:t>
      </w:r>
    </w:p>
    <w:p w:rsidR="003B12AF" w:rsidP="003B12AF" w14:paraId="46A39265" w14:textId="7F8D6B20">
      <w:pPr>
        <w:rPr>
          <w:rFonts w:ascii="Times New Roman" w:hAnsi="Times New Roman"/>
          <w:sz w:val="24"/>
        </w:rPr>
      </w:pPr>
      <w:r w:rsidRPr="00FE3653">
        <w:rPr>
          <w:rFonts w:ascii="Times New Roman" w:hAnsi="Times New Roman"/>
          <w:b/>
          <w:bCs/>
          <w:sz w:val="24"/>
        </w:rPr>
        <w:t>Comment</w:t>
      </w:r>
      <w:r>
        <w:rPr>
          <w:rFonts w:ascii="Times New Roman" w:hAnsi="Times New Roman"/>
          <w:b/>
          <w:bCs/>
          <w:sz w:val="24"/>
        </w:rPr>
        <w:t xml:space="preserve"> 6.2.3-0</w:t>
      </w:r>
      <w:r w:rsidR="0055193A">
        <w:rPr>
          <w:rFonts w:ascii="Times New Roman" w:hAnsi="Times New Roman"/>
          <w:b/>
          <w:bCs/>
          <w:sz w:val="24"/>
        </w:rPr>
        <w:t>5</w:t>
      </w:r>
      <w:r w:rsidRPr="00FE3653">
        <w:rPr>
          <w:rFonts w:ascii="Times New Roman" w:hAnsi="Times New Roman"/>
          <w:b/>
          <w:bCs/>
          <w:sz w:val="24"/>
        </w:rPr>
        <w:t>:</w:t>
      </w:r>
      <w:r>
        <w:rPr>
          <w:rFonts w:ascii="Times New Roman" w:hAnsi="Times New Roman"/>
          <w:sz w:val="24"/>
        </w:rPr>
        <w:t xml:space="preserve"> A few commenters addressed the underlying data supporting EPA’s proposed HF requirements. </w:t>
      </w:r>
    </w:p>
    <w:p w:rsidR="003B12AF" w:rsidRPr="00B43CAF" w:rsidP="003B12AF" w14:paraId="0C33F78C" w14:textId="24986105">
      <w:pPr>
        <w:rPr>
          <w:rFonts w:ascii="Times New Roman" w:hAnsi="Times New Roman"/>
          <w:sz w:val="24"/>
        </w:rPr>
      </w:pPr>
      <w:r w:rsidRPr="00B43CAF">
        <w:rPr>
          <w:rFonts w:ascii="Times New Roman" w:hAnsi="Times New Roman"/>
          <w:sz w:val="24"/>
        </w:rPr>
        <w:t xml:space="preserve">One commenter requested that EPA exclude precautionary events (e.g., shelter-in-place) to meaningfully determine incidents with significant offsite impacts. The commenter additionally claimed that, when compared to HF releases between 2016 and 2020, there were significantly more releases of ammonia and chlorine. The commenter claimed that this indicated that EPA’s focus on HF alkylation in the refining industry was misguided. The commenter stated that EPA provided no comparison of refinery facilities to other facilities utilizing HF and claimed that the lack of comprehensive data undermined the public’s opportunity to meaningfully comment on the proposal. </w:t>
      </w:r>
      <w:r w:rsidRPr="00B43CAF">
        <w:rPr>
          <w:rStyle w:val="Strong"/>
          <w:rFonts w:ascii="Times New Roman" w:hAnsi="Times New Roman"/>
          <w:b w:val="0"/>
          <w:sz w:val="24"/>
        </w:rPr>
        <w:t xml:space="preserve">The commenter believed that </w:t>
      </w:r>
      <w:r w:rsidRPr="00B43CAF">
        <w:rPr>
          <w:rFonts w:ascii="Times New Roman" w:hAnsi="Times New Roman"/>
          <w:sz w:val="24"/>
        </w:rPr>
        <w:t>EPA’s targeted application of STAA to NAICS 324 facilities with HF alkylation processes was arbitrary, based on flawed assumptions, and missing analyses (0268).</w:t>
      </w:r>
    </w:p>
    <w:p w:rsidR="003B12AF" w:rsidP="003B12AF" w14:paraId="40AC7AF2" w14:textId="77777777">
      <w:pPr>
        <w:rPr>
          <w:rFonts w:ascii="Times New Roman" w:hAnsi="Times New Roman"/>
          <w:sz w:val="24"/>
        </w:rPr>
      </w:pPr>
      <w:r w:rsidRPr="00B43CAF">
        <w:rPr>
          <w:rFonts w:ascii="Times New Roman" w:hAnsi="Times New Roman"/>
          <w:sz w:val="24"/>
        </w:rPr>
        <w:t xml:space="preserve">The commenter cited their analysis of RMP data between 2016 and 2020 for the refining industry, claiming that the industry accounted for less than one-quarter of the RMP-reportable accidents involving HF and stated that the refining industry accounted for less than 1% of the mass of HF released following these events. The commenter claimed that data showed that incidents of HF releases at refineries went down after API 751 was first issued as well as after the 2007 and 2013 updates and that, of the 46 RMP-reportable incidents involving the release of HF at NAICS 324 facilities included in EPA data from 2004-2020, over 60% resulted in the release of 1 pound of HF or less. The commenter claimed that between 2016 and 2020, there have been only 4 incidents involving HF and none resulted in injuries to the public, offsite deaths, offsite property damage, shelter-in-place, or evacuations. The commenter discussed </w:t>
      </w:r>
      <w:r w:rsidRPr="00B43CAF">
        <w:rPr>
          <w:rFonts w:ascii="Times New Roman" w:hAnsi="Times New Roman"/>
          <w:sz w:val="24"/>
        </w:rPr>
        <w:t>several distinct updates to API 751 practices including a special emphasis inspection program to inspect all carbon steel components for five HF corrosion zones (0268).</w:t>
      </w:r>
    </w:p>
    <w:p w:rsidR="003B12AF" w:rsidP="003B12AF" w14:paraId="33F55B86" w14:textId="77777777">
      <w:pPr>
        <w:rPr>
          <w:rFonts w:ascii="Times New Roman" w:hAnsi="Times New Roman"/>
          <w:sz w:val="24"/>
        </w:rPr>
      </w:pPr>
      <w:r>
        <w:rPr>
          <w:rFonts w:ascii="Times New Roman" w:hAnsi="Times New Roman"/>
          <w:sz w:val="24"/>
        </w:rPr>
        <w:t>O</w:t>
      </w:r>
      <w:r w:rsidRPr="006F68E9">
        <w:rPr>
          <w:rFonts w:ascii="Times New Roman" w:hAnsi="Times New Roman"/>
          <w:sz w:val="24"/>
        </w:rPr>
        <w:t>ne commenter claimed that EPA had provided little to no data to back up the need for these massive regulatory changes against industries already working to make operations safer under existing RMP regulations regarding consideration of safer alternatives to HF for all facilities with petroleum and coal product processes. The commenter recommended that the most effective way for EPA to improve safety is to focus their efforts on existing enforcement efforts and increased compliance assistance (0227).</w:t>
      </w:r>
    </w:p>
    <w:p w:rsidR="00020F5F" w:rsidP="003B12AF" w14:paraId="3ECA1EB9" w14:textId="1DC1341B">
      <w:pPr>
        <w:rPr>
          <w:rFonts w:ascii="Times New Roman" w:hAnsi="Times New Roman"/>
          <w:sz w:val="24"/>
        </w:rPr>
      </w:pPr>
      <w:r w:rsidRPr="006F68E9">
        <w:rPr>
          <w:rFonts w:ascii="Times New Roman" w:hAnsi="Times New Roman"/>
          <w:sz w:val="24"/>
        </w:rPr>
        <w:t>A couple of commenters were concerned about the dangers of transporting HF and chemicals of similar hazard (0134, 0248). One of the commenters stated that the danger of transporting these chemicals on roadways was serious and widespread (0248).</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concerns raised in EPA’s 1993 HF Study, hazards of HF and its fate and transport characteristics, the CSB’s 2019 call to update the Study and determine if commercially viable and safer alkylation technologies exist for refineries and </w:t>
      </w:r>
      <w:r>
        <w:rPr>
          <w:rFonts w:ascii="Times New Roman" w:hAnsi="Times New Roman"/>
          <w:sz w:val="24"/>
        </w:rPr>
        <w:t>discussed</w:t>
      </w:r>
      <w:r w:rsidRPr="006F68E9">
        <w:rPr>
          <w:rFonts w:ascii="Times New Roman" w:hAnsi="Times New Roman"/>
          <w:sz w:val="24"/>
        </w:rPr>
        <w:t xml:space="preserve"> a previous challenge that the CSB faced obtaining information regarding an HF incident</w:t>
      </w:r>
      <w:r>
        <w:rPr>
          <w:rFonts w:ascii="Times New Roman" w:hAnsi="Times New Roman"/>
          <w:sz w:val="24"/>
        </w:rPr>
        <w:t>.</w:t>
      </w:r>
      <w:r w:rsidRPr="006F68E9">
        <w:rPr>
          <w:rFonts w:ascii="Times New Roman" w:hAnsi="Times New Roman"/>
          <w:sz w:val="24"/>
        </w:rPr>
        <w:t xml:space="preserve"> The commenter </w:t>
      </w:r>
      <w:r>
        <w:rPr>
          <w:rFonts w:ascii="Times New Roman" w:hAnsi="Times New Roman"/>
          <w:sz w:val="24"/>
        </w:rPr>
        <w:t>said</w:t>
      </w:r>
      <w:r w:rsidRPr="006F68E9">
        <w:rPr>
          <w:rFonts w:ascii="Times New Roman" w:hAnsi="Times New Roman"/>
          <w:sz w:val="24"/>
        </w:rPr>
        <w:t xml:space="preserve"> the CSB’s evaluation of common alkylation unit safety measures for HF and claimed that two of these measures had the potential to fail because they must be triggered by a person or technology (0444).</w:t>
      </w:r>
      <w:r>
        <w:rPr>
          <w:rFonts w:ascii="Times New Roman" w:hAnsi="Times New Roman"/>
          <w:sz w:val="24"/>
        </w:rPr>
        <w:t xml:space="preserve"> </w:t>
      </w:r>
    </w:p>
    <w:p w:rsidR="00961D54" w:rsidP="53C03742" w14:paraId="158B12B1" w14:textId="6DBD6C8F">
      <w:pPr>
        <w:ind w:left="720"/>
        <w:rPr>
          <w:rFonts w:ascii="Times New Roman" w:hAnsi="Times New Roman"/>
          <w:sz w:val="24"/>
        </w:rPr>
      </w:pPr>
      <w:r w:rsidRPr="00796316">
        <w:rPr>
          <w:rFonts w:ascii="Times New Roman" w:hAnsi="Times New Roman"/>
          <w:b/>
          <w:bCs/>
          <w:sz w:val="24"/>
        </w:rPr>
        <w:t>EPA Response:</w:t>
      </w:r>
      <w:r w:rsidRPr="008B224C" w:rsidR="008B224C">
        <w:t xml:space="preserve"> </w:t>
      </w:r>
      <w:r w:rsidRPr="004F541F" w:rsidR="004F541F">
        <w:rPr>
          <w:rFonts w:ascii="Times New Roman" w:hAnsi="Times New Roman"/>
          <w:sz w:val="24"/>
        </w:rPr>
        <w:t xml:space="preserve">EPA is requiring that all HF alkylation processes at petroleum refineries (NAICS 324) conduct an initial STAA evaluation, a practicability assessment for IST/ISD, and implementation of at least one passive measure (or combination of active or procedural measures equivalent to the risk reduction of a passive measure), primarily due to recent incidents where HF was nearly released when there were explosions, fires, and other releases that could have triggered releases of HF. </w:t>
      </w:r>
      <w:r w:rsidRPr="00824909" w:rsidR="008A1761">
        <w:rPr>
          <w:rFonts w:ascii="Times New Roman" w:hAnsi="Times New Roman"/>
          <w:sz w:val="24"/>
        </w:rPr>
        <w:t>HF is an</w:t>
      </w:r>
      <w:r w:rsidR="008A1761">
        <w:rPr>
          <w:rFonts w:ascii="Times New Roman" w:hAnsi="Times New Roman"/>
          <w:sz w:val="24"/>
        </w:rPr>
        <w:t xml:space="preserve"> </w:t>
      </w:r>
      <w:r w:rsidRPr="00824909" w:rsidR="008A1761">
        <w:rPr>
          <w:rFonts w:ascii="Times New Roman" w:hAnsi="Times New Roman"/>
          <w:sz w:val="24"/>
        </w:rPr>
        <w:t>extremely toxic chemical that is lethal at</w:t>
      </w:r>
      <w:r w:rsidR="008A1761">
        <w:rPr>
          <w:rFonts w:ascii="Times New Roman" w:hAnsi="Times New Roman"/>
          <w:sz w:val="24"/>
        </w:rPr>
        <w:t xml:space="preserve"> </w:t>
      </w:r>
      <w:r w:rsidRPr="00824909" w:rsidR="008A1761">
        <w:rPr>
          <w:rFonts w:ascii="Times New Roman" w:hAnsi="Times New Roman"/>
          <w:sz w:val="24"/>
        </w:rPr>
        <w:t>30 ppm</w:t>
      </w:r>
      <w:r w:rsidR="00F340AF">
        <w:rPr>
          <w:rFonts w:ascii="Times New Roman" w:hAnsi="Times New Roman"/>
          <w:sz w:val="24"/>
        </w:rPr>
        <w:t xml:space="preserve"> and </w:t>
      </w:r>
      <w:r w:rsidRPr="00824909" w:rsidR="008A1761">
        <w:rPr>
          <w:rFonts w:ascii="Times New Roman" w:hAnsi="Times New Roman"/>
          <w:sz w:val="24"/>
        </w:rPr>
        <w:t>is covered by RMP when</w:t>
      </w:r>
      <w:r w:rsidR="008A1761">
        <w:rPr>
          <w:rFonts w:ascii="Times New Roman" w:hAnsi="Times New Roman"/>
          <w:sz w:val="24"/>
        </w:rPr>
        <w:t xml:space="preserve"> </w:t>
      </w:r>
      <w:r w:rsidRPr="00824909" w:rsidR="008A1761">
        <w:rPr>
          <w:rFonts w:ascii="Times New Roman" w:hAnsi="Times New Roman"/>
          <w:sz w:val="24"/>
        </w:rPr>
        <w:t>more than 1,000 pounds are used in a</w:t>
      </w:r>
      <w:r w:rsidR="008A1761">
        <w:rPr>
          <w:rFonts w:ascii="Times New Roman" w:hAnsi="Times New Roman"/>
          <w:sz w:val="24"/>
        </w:rPr>
        <w:t xml:space="preserve"> </w:t>
      </w:r>
      <w:r w:rsidRPr="00824909" w:rsidR="008A1761">
        <w:rPr>
          <w:rFonts w:ascii="Times New Roman" w:hAnsi="Times New Roman"/>
          <w:sz w:val="24"/>
        </w:rPr>
        <w:t xml:space="preserve">process. </w:t>
      </w:r>
      <w:r w:rsidR="00F025CD">
        <w:rPr>
          <w:rFonts w:ascii="Times New Roman" w:hAnsi="Times New Roman"/>
          <w:sz w:val="24"/>
        </w:rPr>
        <w:t xml:space="preserve">This </w:t>
      </w:r>
      <w:r w:rsidRPr="00824909" w:rsidR="008A1761">
        <w:rPr>
          <w:rFonts w:ascii="Times New Roman" w:hAnsi="Times New Roman"/>
          <w:sz w:val="24"/>
        </w:rPr>
        <w:t>extremely toxic</w:t>
      </w:r>
      <w:r w:rsidR="008A1761">
        <w:rPr>
          <w:rFonts w:ascii="Times New Roman" w:hAnsi="Times New Roman"/>
          <w:sz w:val="24"/>
        </w:rPr>
        <w:t xml:space="preserve"> </w:t>
      </w:r>
      <w:r w:rsidRPr="00824909" w:rsidR="008A1761">
        <w:rPr>
          <w:rFonts w:ascii="Times New Roman" w:hAnsi="Times New Roman"/>
          <w:sz w:val="24"/>
        </w:rPr>
        <w:t xml:space="preserve">chemical </w:t>
      </w:r>
      <w:r w:rsidR="00F025CD">
        <w:rPr>
          <w:rFonts w:ascii="Times New Roman" w:hAnsi="Times New Roman"/>
          <w:sz w:val="24"/>
        </w:rPr>
        <w:t xml:space="preserve">is </w:t>
      </w:r>
      <w:r w:rsidRPr="00824909" w:rsidR="008A1761">
        <w:rPr>
          <w:rFonts w:ascii="Times New Roman" w:hAnsi="Times New Roman"/>
          <w:sz w:val="24"/>
        </w:rPr>
        <w:t>used for alkylation at 27</w:t>
      </w:r>
      <w:r w:rsidR="008A1761">
        <w:rPr>
          <w:rFonts w:ascii="Times New Roman" w:hAnsi="Times New Roman"/>
          <w:sz w:val="24"/>
        </w:rPr>
        <w:t xml:space="preserve"> </w:t>
      </w:r>
      <w:r w:rsidRPr="00824909" w:rsidR="008A1761">
        <w:rPr>
          <w:rFonts w:ascii="Times New Roman" w:hAnsi="Times New Roman"/>
          <w:sz w:val="24"/>
        </w:rPr>
        <w:t>percent of facilities in NAICS 324 (45 of</w:t>
      </w:r>
      <w:r w:rsidR="008A1761">
        <w:rPr>
          <w:rFonts w:ascii="Times New Roman" w:hAnsi="Times New Roman"/>
          <w:sz w:val="24"/>
        </w:rPr>
        <w:t xml:space="preserve"> </w:t>
      </w:r>
      <w:r w:rsidRPr="00824909" w:rsidR="008A1761">
        <w:rPr>
          <w:rFonts w:ascii="Times New Roman" w:hAnsi="Times New Roman"/>
          <w:sz w:val="24"/>
        </w:rPr>
        <w:t xml:space="preserve">163). </w:t>
      </w:r>
      <w:r w:rsidR="001B16F2">
        <w:rPr>
          <w:rFonts w:ascii="Times New Roman" w:hAnsi="Times New Roman"/>
          <w:sz w:val="24"/>
        </w:rPr>
        <w:t xml:space="preserve">Other substances such as chlorine and ammonia </w:t>
      </w:r>
      <w:r w:rsidRPr="001B16F2" w:rsidR="001B16F2">
        <w:rPr>
          <w:rFonts w:ascii="Times New Roman" w:hAnsi="Times New Roman"/>
          <w:sz w:val="24"/>
        </w:rPr>
        <w:t xml:space="preserve">are among the most ubiquitous chemicals on the </w:t>
      </w:r>
      <w:r w:rsidR="001B16F2">
        <w:rPr>
          <w:rFonts w:ascii="Times New Roman" w:hAnsi="Times New Roman"/>
          <w:sz w:val="24"/>
        </w:rPr>
        <w:t xml:space="preserve">RMP </w:t>
      </w:r>
      <w:r w:rsidRPr="001B16F2" w:rsidR="001B16F2">
        <w:rPr>
          <w:rFonts w:ascii="Times New Roman" w:hAnsi="Times New Roman"/>
          <w:sz w:val="24"/>
        </w:rPr>
        <w:t>regulated substance</w:t>
      </w:r>
      <w:r w:rsidR="00024185">
        <w:rPr>
          <w:rFonts w:ascii="Times New Roman" w:hAnsi="Times New Roman"/>
          <w:sz w:val="24"/>
        </w:rPr>
        <w:t>s</w:t>
      </w:r>
      <w:r w:rsidRPr="001B16F2" w:rsidR="001B16F2">
        <w:rPr>
          <w:rFonts w:ascii="Times New Roman" w:hAnsi="Times New Roman"/>
          <w:sz w:val="24"/>
        </w:rPr>
        <w:t xml:space="preserve"> list so </w:t>
      </w:r>
      <w:r w:rsidR="00024185">
        <w:rPr>
          <w:rFonts w:ascii="Times New Roman" w:hAnsi="Times New Roman"/>
          <w:sz w:val="24"/>
        </w:rPr>
        <w:t>it is expected</w:t>
      </w:r>
      <w:r w:rsidRPr="001B16F2" w:rsidR="001B16F2">
        <w:rPr>
          <w:rFonts w:ascii="Times New Roman" w:hAnsi="Times New Roman"/>
          <w:sz w:val="24"/>
        </w:rPr>
        <w:t>, all things being equal, they would be involved in more accidents. Th</w:t>
      </w:r>
      <w:r w:rsidR="007F324D">
        <w:rPr>
          <w:rFonts w:ascii="Times New Roman" w:hAnsi="Times New Roman"/>
          <w:sz w:val="24"/>
        </w:rPr>
        <w:t>e</w:t>
      </w:r>
      <w:r w:rsidR="00EC17E2">
        <w:rPr>
          <w:rFonts w:ascii="Times New Roman" w:hAnsi="Times New Roman"/>
          <w:sz w:val="24"/>
        </w:rPr>
        <w:t xml:space="preserve"> number of </w:t>
      </w:r>
      <w:r w:rsidRPr="211DE982" w:rsidR="26B0659F">
        <w:rPr>
          <w:rFonts w:ascii="Times New Roman" w:hAnsi="Times New Roman"/>
          <w:sz w:val="24"/>
        </w:rPr>
        <w:t xml:space="preserve">releases </w:t>
      </w:r>
      <w:r w:rsidRPr="01956A40" w:rsidR="26B0659F">
        <w:rPr>
          <w:rFonts w:ascii="Times New Roman" w:hAnsi="Times New Roman"/>
          <w:sz w:val="24"/>
        </w:rPr>
        <w:t xml:space="preserve">from facilities </w:t>
      </w:r>
      <w:r w:rsidRPr="01956A40" w:rsidR="54C6825C">
        <w:rPr>
          <w:rFonts w:ascii="Times New Roman" w:hAnsi="Times New Roman"/>
          <w:sz w:val="24"/>
        </w:rPr>
        <w:t>handling</w:t>
      </w:r>
      <w:r w:rsidR="00EC17E2">
        <w:rPr>
          <w:rFonts w:ascii="Times New Roman" w:hAnsi="Times New Roman"/>
          <w:sz w:val="24"/>
        </w:rPr>
        <w:t xml:space="preserve"> ammonia and chlorine</w:t>
      </w:r>
      <w:r w:rsidRPr="001B16F2" w:rsidR="001B16F2">
        <w:rPr>
          <w:rFonts w:ascii="Times New Roman" w:hAnsi="Times New Roman"/>
          <w:sz w:val="24"/>
        </w:rPr>
        <w:t xml:space="preserve"> does not indicate anything about the frequency of accidents on a per facility basis, nor the availability of alternatives, nor the potential for impacts of individual releases.</w:t>
      </w:r>
    </w:p>
    <w:p w:rsidR="004F541F" w:rsidRPr="004F541F" w:rsidP="53C03742" w14:paraId="3DD784A6" w14:textId="4D99621C">
      <w:pPr>
        <w:ind w:left="720"/>
        <w:rPr>
          <w:rFonts w:ascii="Times New Roman" w:hAnsi="Times New Roman"/>
          <w:sz w:val="24"/>
        </w:rPr>
      </w:pPr>
      <w:r w:rsidRPr="004F541F">
        <w:rPr>
          <w:rFonts w:ascii="Times New Roman" w:hAnsi="Times New Roman"/>
          <w:sz w:val="24"/>
        </w:rPr>
        <w:t xml:space="preserve">While API RP 751 offers industry guidance to help safely manage HF alkylation process and its hazards, those process hazards still </w:t>
      </w:r>
      <w:r w:rsidRPr="004F541F">
        <w:rPr>
          <w:rFonts w:ascii="Times New Roman" w:hAnsi="Times New Roman"/>
          <w:sz w:val="24"/>
        </w:rPr>
        <w:t>exist</w:t>
      </w:r>
      <w:r w:rsidRPr="004F541F">
        <w:rPr>
          <w:rFonts w:ascii="Times New Roman" w:hAnsi="Times New Roman"/>
          <w:sz w:val="24"/>
        </w:rPr>
        <w:t>. In contrast, there are recognized potentially safer chemical alternatives available for HF alkylation that have been successfully implemented by refineries, such as sulfuric acid alkylation, ionic liquid alkylation, or solid acid catalyst alkylation. These eliminate the hazard. With several known alternatives and with recent incident history, EPA believes the process of HF alkylation merits a rule-based prevention approach rather than only selective oversight.</w:t>
      </w:r>
      <w:r w:rsidR="000A1672">
        <w:rPr>
          <w:rFonts w:ascii="Times New Roman" w:hAnsi="Times New Roman"/>
          <w:sz w:val="24"/>
        </w:rPr>
        <w:t xml:space="preserve"> EPA notes </w:t>
      </w:r>
      <w:r w:rsidR="00DA1B62">
        <w:rPr>
          <w:rFonts w:ascii="Times New Roman" w:hAnsi="Times New Roman"/>
          <w:sz w:val="24"/>
        </w:rPr>
        <w:t xml:space="preserve">however </w:t>
      </w:r>
      <w:r w:rsidR="000A1672">
        <w:rPr>
          <w:rFonts w:ascii="Times New Roman" w:hAnsi="Times New Roman"/>
          <w:sz w:val="24"/>
        </w:rPr>
        <w:t xml:space="preserve">that </w:t>
      </w:r>
      <w:r w:rsidRPr="004F541F">
        <w:rPr>
          <w:rFonts w:ascii="Times New Roman" w:hAnsi="Times New Roman"/>
          <w:sz w:val="24"/>
        </w:rPr>
        <w:t xml:space="preserve">the practicability of these potentially safer alternatives is situation-specific, and owners and operators are usually in the best position to make these determinations. </w:t>
      </w:r>
      <w:r w:rsidRPr="53C03742" w:rsidR="77BEFB7C">
        <w:rPr>
          <w:rFonts w:ascii="Times New Roman" w:hAnsi="Times New Roman"/>
          <w:sz w:val="24"/>
        </w:rPr>
        <w:t>Therefore, the rule does not categorically ban HF Alkylation or otherwise require switching to another technology</w:t>
      </w:r>
      <w:r w:rsidRPr="53C03742" w:rsidR="7F6D1D05">
        <w:rPr>
          <w:rFonts w:ascii="Times New Roman" w:hAnsi="Times New Roman"/>
          <w:sz w:val="24"/>
        </w:rPr>
        <w:t>. The rule simply requires periodic assessment of whether the state of the technology has become practicable at the source, and if it has, an explanation if the source elects not to</w:t>
      </w:r>
      <w:r w:rsidRPr="53C03742" w:rsidR="05DC5E8A">
        <w:rPr>
          <w:rFonts w:ascii="Times New Roman" w:hAnsi="Times New Roman"/>
          <w:sz w:val="24"/>
        </w:rPr>
        <w:t xml:space="preserve"> adopt it. </w:t>
      </w:r>
    </w:p>
    <w:p w:rsidR="004F541F" w:rsidRPr="004F541F" w:rsidP="004E3BA8" w14:paraId="2A201D0D" w14:textId="6ADEEC71">
      <w:pPr>
        <w:ind w:left="720"/>
        <w:rPr>
          <w:rFonts w:ascii="Times New Roman" w:hAnsi="Times New Roman"/>
          <w:sz w:val="24"/>
        </w:rPr>
      </w:pPr>
      <w:r w:rsidRPr="53C03742">
        <w:rPr>
          <w:rFonts w:ascii="Times New Roman" w:hAnsi="Times New Roman"/>
          <w:sz w:val="24"/>
        </w:rPr>
        <w:t>EPA acknowledges that it did not conduct a comparison among the various types of processes that use HF</w:t>
      </w:r>
      <w:r w:rsidRPr="53C03742" w:rsidR="573AE9A6">
        <w:rPr>
          <w:rFonts w:ascii="Times New Roman" w:hAnsi="Times New Roman"/>
          <w:sz w:val="24"/>
        </w:rPr>
        <w:t xml:space="preserve"> when it identified HF alkylation processes at refineries as one of the types of sources that must perform a practicability assessment, </w:t>
      </w:r>
      <w:r w:rsidRPr="53C03742" w:rsidR="687A7E20">
        <w:rPr>
          <w:rFonts w:ascii="Times New Roman" w:hAnsi="Times New Roman"/>
          <w:sz w:val="24"/>
        </w:rPr>
        <w:t xml:space="preserve">STAA, and </w:t>
      </w:r>
      <w:r w:rsidRPr="53C03742" w:rsidR="00923241">
        <w:rPr>
          <w:rFonts w:ascii="Times New Roman" w:hAnsi="Times New Roman"/>
          <w:sz w:val="24"/>
        </w:rPr>
        <w:t>comply with</w:t>
      </w:r>
      <w:r w:rsidRPr="53C03742" w:rsidR="5F5DB21F">
        <w:rPr>
          <w:rFonts w:ascii="Times New Roman" w:hAnsi="Times New Roman"/>
          <w:sz w:val="24"/>
        </w:rPr>
        <w:t xml:space="preserve"> the safeguard implementation requirement. As EPA stated in the preamble, HF alkylation was selected because </w:t>
      </w:r>
      <w:r w:rsidRPr="53C03742" w:rsidR="1E029751">
        <w:rPr>
          <w:rFonts w:ascii="Times New Roman" w:hAnsi="Times New Roman"/>
          <w:sz w:val="24"/>
        </w:rPr>
        <w:t xml:space="preserve">there are widely recognized potentially safer alternatives, and recent accident history </w:t>
      </w:r>
      <w:r w:rsidRPr="53C03742" w:rsidR="505E81DC">
        <w:rPr>
          <w:rFonts w:ascii="Times New Roman" w:hAnsi="Times New Roman"/>
          <w:sz w:val="24"/>
        </w:rPr>
        <w:t>shows several near-catastrophes. We note that some of these near catastrophes, like the Husky Refinery incide</w:t>
      </w:r>
      <w:r w:rsidRPr="53C03742" w:rsidR="7DD93C0B">
        <w:rPr>
          <w:rFonts w:ascii="Times New Roman" w:hAnsi="Times New Roman"/>
          <w:sz w:val="24"/>
        </w:rPr>
        <w:t xml:space="preserve">nt in Superior, WI, did not involve </w:t>
      </w:r>
      <w:r w:rsidRPr="53C03742" w:rsidR="00923241">
        <w:rPr>
          <w:rFonts w:ascii="Times New Roman" w:hAnsi="Times New Roman"/>
          <w:sz w:val="24"/>
        </w:rPr>
        <w:t>a</w:t>
      </w:r>
      <w:r w:rsidRPr="53C03742" w:rsidR="7DD93C0B">
        <w:rPr>
          <w:rFonts w:ascii="Times New Roman" w:hAnsi="Times New Roman"/>
          <w:sz w:val="24"/>
        </w:rPr>
        <w:t xml:space="preserve"> release of HF</w:t>
      </w:r>
      <w:r w:rsidRPr="53C03742" w:rsidR="1BD093D6">
        <w:rPr>
          <w:rFonts w:ascii="Times New Roman" w:hAnsi="Times New Roman"/>
          <w:sz w:val="24"/>
        </w:rPr>
        <w:t xml:space="preserve"> and so would be </w:t>
      </w:r>
      <w:r w:rsidRPr="53C03742" w:rsidR="00923241">
        <w:rPr>
          <w:rFonts w:ascii="Times New Roman" w:hAnsi="Times New Roman"/>
          <w:sz w:val="24"/>
        </w:rPr>
        <w:t>omitted</w:t>
      </w:r>
      <w:r w:rsidRPr="53C03742" w:rsidR="1BD093D6">
        <w:rPr>
          <w:rFonts w:ascii="Times New Roman" w:hAnsi="Times New Roman"/>
          <w:sz w:val="24"/>
        </w:rPr>
        <w:t xml:space="preserve"> from the commenter’s list of incidents involving HF</w:t>
      </w:r>
      <w:r w:rsidRPr="53C03742" w:rsidR="7B23066E">
        <w:rPr>
          <w:rFonts w:ascii="Times New Roman" w:hAnsi="Times New Roman"/>
          <w:sz w:val="24"/>
        </w:rPr>
        <w:t>;</w:t>
      </w:r>
      <w:r w:rsidRPr="53C03742" w:rsidR="1BD093D6">
        <w:rPr>
          <w:rFonts w:ascii="Times New Roman" w:hAnsi="Times New Roman"/>
          <w:sz w:val="24"/>
        </w:rPr>
        <w:t xml:space="preserve"> </w:t>
      </w:r>
      <w:r w:rsidRPr="53C03742" w:rsidR="48D5278B">
        <w:rPr>
          <w:rFonts w:ascii="Times New Roman" w:hAnsi="Times New Roman"/>
          <w:sz w:val="24"/>
        </w:rPr>
        <w:t>r</w:t>
      </w:r>
      <w:r w:rsidRPr="53C03742" w:rsidR="7DD93C0B">
        <w:rPr>
          <w:rFonts w:ascii="Times New Roman" w:hAnsi="Times New Roman"/>
          <w:sz w:val="24"/>
        </w:rPr>
        <w:t xml:space="preserve">ather, they involved an incident where a vessel containing HF was well within the blast distance of </w:t>
      </w:r>
      <w:r w:rsidRPr="53C03742" w:rsidR="3C7E213D">
        <w:rPr>
          <w:rFonts w:ascii="Times New Roman" w:hAnsi="Times New Roman"/>
          <w:sz w:val="24"/>
        </w:rPr>
        <w:t>an</w:t>
      </w:r>
      <w:r w:rsidRPr="53C03742" w:rsidR="43CF659C">
        <w:rPr>
          <w:rFonts w:ascii="Times New Roman" w:hAnsi="Times New Roman"/>
          <w:sz w:val="24"/>
        </w:rPr>
        <w:t xml:space="preserve"> exploded process</w:t>
      </w:r>
      <w:r w:rsidRPr="53C03742" w:rsidR="6A50825B">
        <w:rPr>
          <w:rFonts w:ascii="Times New Roman" w:hAnsi="Times New Roman"/>
          <w:sz w:val="24"/>
        </w:rPr>
        <w:t xml:space="preserve"> </w:t>
      </w:r>
      <w:r w:rsidRPr="53C03742" w:rsidR="79431BF0">
        <w:rPr>
          <w:rFonts w:ascii="Times New Roman" w:hAnsi="Times New Roman"/>
          <w:sz w:val="24"/>
        </w:rPr>
        <w:t>and had the potential for a knock-on release</w:t>
      </w:r>
      <w:r w:rsidRPr="53C03742" w:rsidR="43CF659C">
        <w:rPr>
          <w:rFonts w:ascii="Times New Roman" w:hAnsi="Times New Roman"/>
          <w:sz w:val="24"/>
        </w:rPr>
        <w:t>.</w:t>
      </w:r>
      <w:r w:rsidRPr="53C03742" w:rsidR="18962C17">
        <w:rPr>
          <w:rFonts w:ascii="Times New Roman" w:hAnsi="Times New Roman"/>
          <w:sz w:val="24"/>
        </w:rPr>
        <w:t xml:space="preserve"> Similarly, </w:t>
      </w:r>
      <w:r w:rsidRPr="53C03742" w:rsidR="191A5E39">
        <w:rPr>
          <w:rFonts w:ascii="Times New Roman" w:hAnsi="Times New Roman"/>
          <w:sz w:val="24"/>
        </w:rPr>
        <w:t>other instances like the PES incident in Philadelphia, PA, raise concern about HF processes at refineries. In that case, but for timely human intervention, a massive</w:t>
      </w:r>
      <w:r w:rsidRPr="53C03742" w:rsidR="5158AD06">
        <w:rPr>
          <w:rFonts w:ascii="Times New Roman" w:hAnsi="Times New Roman"/>
          <w:sz w:val="24"/>
        </w:rPr>
        <w:t xml:space="preserve"> quantity of HF would have been released. The CSB has recommended further </w:t>
      </w:r>
      <w:r w:rsidRPr="53C03742" w:rsidR="0FFD9238">
        <w:rPr>
          <w:rFonts w:ascii="Times New Roman" w:hAnsi="Times New Roman"/>
          <w:sz w:val="24"/>
        </w:rPr>
        <w:t xml:space="preserve">regulation of HF alkylation in several reports. </w:t>
      </w:r>
      <w:r w:rsidR="009A2D79">
        <w:rPr>
          <w:rFonts w:ascii="Times New Roman" w:hAnsi="Times New Roman"/>
          <w:sz w:val="24"/>
        </w:rPr>
        <w:t>As reflected in the</w:t>
      </w:r>
      <w:r w:rsidRPr="00A03424" w:rsidR="00A03424">
        <w:rPr>
          <w:rFonts w:ascii="Times New Roman" w:hAnsi="Times New Roman"/>
          <w:sz w:val="24"/>
        </w:rPr>
        <w:t xml:space="preserve"> </w:t>
      </w:r>
      <w:r w:rsidR="001A034F">
        <w:rPr>
          <w:rFonts w:ascii="Times New Roman" w:hAnsi="Times New Roman"/>
          <w:sz w:val="24"/>
        </w:rPr>
        <w:t xml:space="preserve">STAA </w:t>
      </w:r>
      <w:r w:rsidRPr="00A03424" w:rsidR="00A03424">
        <w:rPr>
          <w:rFonts w:ascii="Times New Roman" w:hAnsi="Times New Roman"/>
          <w:sz w:val="24"/>
        </w:rPr>
        <w:t xml:space="preserve">safeguard implementation provision for </w:t>
      </w:r>
      <w:r w:rsidR="009A2D79">
        <w:rPr>
          <w:rFonts w:ascii="Times New Roman" w:hAnsi="Times New Roman"/>
          <w:sz w:val="24"/>
        </w:rPr>
        <w:t>HF</w:t>
      </w:r>
      <w:r w:rsidR="001A034F">
        <w:rPr>
          <w:rFonts w:ascii="Times New Roman" w:hAnsi="Times New Roman"/>
          <w:sz w:val="24"/>
        </w:rPr>
        <w:t xml:space="preserve"> alkylation processes</w:t>
      </w:r>
      <w:r w:rsidRPr="00A03424" w:rsidR="00A03424">
        <w:rPr>
          <w:rFonts w:ascii="Times New Roman" w:hAnsi="Times New Roman"/>
          <w:sz w:val="24"/>
        </w:rPr>
        <w:t xml:space="preserve">, EPA </w:t>
      </w:r>
      <w:r w:rsidR="00066F9F">
        <w:rPr>
          <w:rFonts w:ascii="Times New Roman" w:hAnsi="Times New Roman"/>
          <w:sz w:val="24"/>
        </w:rPr>
        <w:t>agrees with CSB’s recommendation</w:t>
      </w:r>
      <w:r w:rsidR="00A124BD">
        <w:rPr>
          <w:rFonts w:ascii="Times New Roman" w:hAnsi="Times New Roman"/>
          <w:sz w:val="24"/>
        </w:rPr>
        <w:t xml:space="preserve">, </w:t>
      </w:r>
      <w:r w:rsidR="00B0410E">
        <w:rPr>
          <w:rFonts w:ascii="Times New Roman" w:hAnsi="Times New Roman"/>
          <w:sz w:val="24"/>
        </w:rPr>
        <w:t>which reflects that</w:t>
      </w:r>
      <w:r w:rsidRPr="00A03424" w:rsidR="00A03424">
        <w:rPr>
          <w:rFonts w:ascii="Times New Roman" w:hAnsi="Times New Roman"/>
          <w:sz w:val="24"/>
        </w:rPr>
        <w:t xml:space="preserve"> solely relying on voluntary implementation of STAA measures </w:t>
      </w:r>
      <w:r w:rsidR="007819CC">
        <w:rPr>
          <w:rFonts w:ascii="Times New Roman" w:hAnsi="Times New Roman"/>
          <w:sz w:val="24"/>
        </w:rPr>
        <w:t xml:space="preserve">is </w:t>
      </w:r>
      <w:r w:rsidRPr="00A03424" w:rsidR="00A03424">
        <w:rPr>
          <w:rFonts w:ascii="Times New Roman" w:hAnsi="Times New Roman"/>
          <w:sz w:val="24"/>
        </w:rPr>
        <w:t>not</w:t>
      </w:r>
      <w:r w:rsidR="007819CC">
        <w:rPr>
          <w:rFonts w:ascii="Times New Roman" w:hAnsi="Times New Roman"/>
          <w:sz w:val="24"/>
        </w:rPr>
        <w:t xml:space="preserve"> </w:t>
      </w:r>
      <w:r w:rsidRPr="00A03424" w:rsidR="00A03424">
        <w:rPr>
          <w:rFonts w:ascii="Times New Roman" w:hAnsi="Times New Roman"/>
          <w:sz w:val="24"/>
        </w:rPr>
        <w:t xml:space="preserve">reasonable and </w:t>
      </w:r>
      <w:r w:rsidR="007819CC">
        <w:rPr>
          <w:rFonts w:ascii="Times New Roman" w:hAnsi="Times New Roman"/>
          <w:sz w:val="24"/>
        </w:rPr>
        <w:t>would</w:t>
      </w:r>
      <w:r w:rsidRPr="00A03424" w:rsidR="00A03424">
        <w:rPr>
          <w:rFonts w:ascii="Times New Roman" w:hAnsi="Times New Roman"/>
          <w:sz w:val="24"/>
        </w:rPr>
        <w:t xml:space="preserve"> </w:t>
      </w:r>
      <w:r w:rsidRPr="00A03424" w:rsidR="00A03424">
        <w:rPr>
          <w:rFonts w:ascii="Times New Roman" w:hAnsi="Times New Roman"/>
          <w:sz w:val="24"/>
        </w:rPr>
        <w:t xml:space="preserve">be inadequate to prevent accidents “to the greatest extent practicable.” This is particularly true when safeguards </w:t>
      </w:r>
      <w:r w:rsidR="00A10EFF">
        <w:rPr>
          <w:rFonts w:ascii="Times New Roman" w:hAnsi="Times New Roman"/>
          <w:sz w:val="24"/>
        </w:rPr>
        <w:t xml:space="preserve">are </w:t>
      </w:r>
      <w:r w:rsidRPr="00A03424" w:rsidR="00A03424">
        <w:rPr>
          <w:rFonts w:ascii="Times New Roman" w:hAnsi="Times New Roman"/>
          <w:sz w:val="24"/>
        </w:rPr>
        <w:t xml:space="preserve">identified and generally deemed practicable, but not implemented. </w:t>
      </w:r>
      <w:r w:rsidRPr="53C03742" w:rsidR="0FFD9238">
        <w:rPr>
          <w:rFonts w:ascii="Times New Roman" w:hAnsi="Times New Roman"/>
          <w:sz w:val="24"/>
        </w:rPr>
        <w:t>While today’s rule does not go as far as banning HF alkylation, it provides for further safety at these processes.</w:t>
      </w:r>
      <w:r w:rsidRPr="53C03742" w:rsidR="43CF659C">
        <w:rPr>
          <w:rFonts w:ascii="Times New Roman" w:hAnsi="Times New Roman"/>
          <w:sz w:val="24"/>
        </w:rPr>
        <w:t xml:space="preserve"> </w:t>
      </w:r>
    </w:p>
    <w:p w:rsidR="003B12AF" w:rsidP="003B12AF" w14:paraId="2CC619EE" w14:textId="0A6EA531">
      <w:pPr>
        <w:rPr>
          <w:rFonts w:ascii="Times New Roman" w:hAnsi="Times New Roman"/>
          <w:sz w:val="24"/>
        </w:rPr>
      </w:pPr>
      <w:r w:rsidRPr="00FE3653">
        <w:rPr>
          <w:rFonts w:ascii="Times New Roman" w:hAnsi="Times New Roman"/>
          <w:b/>
          <w:bCs/>
          <w:sz w:val="24"/>
        </w:rPr>
        <w:t>Comment</w:t>
      </w:r>
      <w:r>
        <w:rPr>
          <w:rFonts w:ascii="Times New Roman" w:hAnsi="Times New Roman"/>
          <w:b/>
          <w:bCs/>
          <w:sz w:val="24"/>
        </w:rPr>
        <w:t xml:space="preserve"> 6.2.3-0</w:t>
      </w:r>
      <w:r w:rsidR="0055193A">
        <w:rPr>
          <w:rFonts w:ascii="Times New Roman" w:hAnsi="Times New Roman"/>
          <w:b/>
          <w:bCs/>
          <w:sz w:val="24"/>
        </w:rPr>
        <w:t>6</w:t>
      </w:r>
      <w:r w:rsidRPr="00FE3653">
        <w:rPr>
          <w:rFonts w:ascii="Times New Roman" w:hAnsi="Times New Roman"/>
          <w:b/>
          <w:bCs/>
          <w:sz w:val="24"/>
        </w:rPr>
        <w:t>:</w:t>
      </w:r>
      <w:r>
        <w:rPr>
          <w:rFonts w:ascii="Times New Roman" w:hAnsi="Times New Roman"/>
          <w:sz w:val="24"/>
        </w:rPr>
        <w:t xml:space="preserve"> Several commenters addressed the feasibility of HF alternative technologies. </w:t>
      </w:r>
    </w:p>
    <w:p w:rsidR="003B12AF" w:rsidP="003B12AF" w14:paraId="46DD9B9F" w14:textId="77777777">
      <w:pPr>
        <w:rPr>
          <w:rFonts w:ascii="Times New Roman" w:hAnsi="Times New Roman"/>
          <w:sz w:val="24"/>
        </w:rPr>
      </w:pPr>
      <w:r w:rsidRPr="006F68E9">
        <w:rPr>
          <w:rFonts w:ascii="Times New Roman" w:hAnsi="Times New Roman"/>
          <w:sz w:val="24"/>
        </w:rPr>
        <w:t xml:space="preserve">One commenter questioned EPA’s focus on ending the HF alkylation process in the name of safety. The commenter </w:t>
      </w:r>
      <w:r>
        <w:rPr>
          <w:rFonts w:ascii="Times New Roman" w:hAnsi="Times New Roman"/>
          <w:sz w:val="24"/>
        </w:rPr>
        <w:t>said</w:t>
      </w:r>
      <w:r w:rsidRPr="006F68E9">
        <w:rPr>
          <w:rFonts w:ascii="Times New Roman" w:hAnsi="Times New Roman"/>
          <w:sz w:val="24"/>
        </w:rPr>
        <w:t xml:space="preserve"> that sulfuric acid comes with its own associated risks, uses approximately 200 times more acid than HF alkylation, and requires additional acid storage tanks for both fresh and spent acid. The commenter stated that many refineries do not have the capability to conduct sulfuric acid alkylation on-site and must use a third-party, offsite facility, which the commenter stated would entail transport by railcar or truck, leading to high volumes of sulfuric acid in trucks and further adding to the potential for an accident to occur. The commenter claimed that many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ule’s suggested alternatives have not been demonstrated at scale and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does not discuss the risks associated with alternative technologies. The commenter believed that risk shifting to alternative technology is inappropriate without considering potential adverse consequences of the replacements (0477).</w:t>
      </w:r>
    </w:p>
    <w:p w:rsidR="003B12AF" w:rsidRPr="008230FC" w:rsidP="003B12AF" w14:paraId="3EA80CA3" w14:textId="77777777">
      <w:pPr>
        <w:rPr>
          <w:rFonts w:ascii="Times New Roman" w:hAnsi="Times New Roman"/>
          <w:sz w:val="24"/>
        </w:rPr>
      </w:pPr>
      <w:r w:rsidRPr="008230FC">
        <w:rPr>
          <w:rFonts w:ascii="Times New Roman" w:hAnsi="Times New Roman"/>
          <w:sz w:val="24"/>
        </w:rPr>
        <w:t>Another commenter stated that sulfuric acid is still a hazardous chemical that can result in severe consequences and claimed that the aggregate risk between sulfuric and HF alkylation are relatively equal given all the safety and mitigation measures employed at refineries. The commenter claimed that a parity of risks between the two indicated that there are no benefits attributed to EPA’s proposed requirement to switch. The commenter stated that the proposed rule may suggest alternatives that potentially pose a greater risk than HF. The commenter claimed that it was premature and dereliction of EPA’s duty to suggest alternatives that had not been evaluated for potential hazards. The commenter requested that EPA strip such alternatives from the proposed rule record (0268).</w:t>
      </w:r>
    </w:p>
    <w:p w:rsidR="003B12AF" w:rsidRPr="008230FC" w:rsidP="003B12AF" w14:paraId="4FF995F1" w14:textId="77777777">
      <w:pPr>
        <w:rPr>
          <w:rFonts w:ascii="Times New Roman" w:hAnsi="Times New Roman"/>
          <w:sz w:val="24"/>
        </w:rPr>
      </w:pPr>
      <w:r w:rsidRPr="008230FC">
        <w:rPr>
          <w:rFonts w:ascii="Times New Roman" w:hAnsi="Times New Roman"/>
          <w:sz w:val="24"/>
        </w:rPr>
        <w:t xml:space="preserve">Another commenter stated that, once a facility is up and running, most alternative technologies are no longer feasible to implement, particularly for refinery fuel alkylation. The commenter claimed that, in nearly all cases, new technology cannot be slotted in without reconstructing </w:t>
      </w:r>
      <w:r w:rsidRPr="008230FC">
        <w:rPr>
          <w:rFonts w:ascii="Times New Roman" w:hAnsi="Times New Roman"/>
          <w:sz w:val="24"/>
        </w:rPr>
        <w:t xml:space="preserve">individual units and potentially reconfiguring entire facilities, which would come with major costs and the potential to severely impact U.S. fuel supplies. The commenter believed that the proposed rule </w:t>
      </w:r>
      <w:r w:rsidRPr="008230FC">
        <w:rPr>
          <w:rStyle w:val="Strong"/>
          <w:rFonts w:ascii="Times New Roman" w:hAnsi="Times New Roman"/>
          <w:b w:val="0"/>
          <w:sz w:val="24"/>
        </w:rPr>
        <w:t>imposes unjustified and underestimated costs on HF alkylation facilities.</w:t>
      </w:r>
      <w:r w:rsidRPr="008230FC">
        <w:rPr>
          <w:rFonts w:ascii="Times New Roman" w:hAnsi="Times New Roman"/>
          <w:sz w:val="24"/>
        </w:rPr>
        <w:t> The commenter suggested allowing facilities to use resources to continue to utilize the PHA process and standards to reduce risk (0268).</w:t>
      </w:r>
      <w:r w:rsidRPr="008230FC">
        <w:rPr>
          <w:rStyle w:val="Strong"/>
          <w:rFonts w:ascii="Times New Roman" w:hAnsi="Times New Roman"/>
          <w:b w:val="0"/>
          <w:sz w:val="24"/>
        </w:rPr>
        <w:t xml:space="preserve"> The commenter claimed that EPA did not consider the feasibility of HF alternatives and conduct a risk-switching analysis</w:t>
      </w:r>
      <w:r w:rsidRPr="008230FC">
        <w:rPr>
          <w:rFonts w:ascii="Times New Roman" w:hAnsi="Times New Roman"/>
          <w:sz w:val="24"/>
        </w:rPr>
        <w:t> and therefore that EPA lacked a reasoned basis to impose a STAA. The commenter stated that EPA had not analyzed the risks, unintended consequences, and feasibility of switching HF alkylation facilities to the alternatives referenced. The commenter claimed that solid acid is not commercially viable, and that ionic-liquids alkylation is in its infancy, and that EPA did not analyze or explain the hazards of these alternatives in the proposal (0268).</w:t>
      </w:r>
    </w:p>
    <w:p w:rsidR="003B12AF" w:rsidP="003B12AF" w14:paraId="34FA1864" w14:textId="77777777">
      <w:pPr>
        <w:rPr>
          <w:rFonts w:ascii="Times New Roman" w:hAnsi="Times New Roman"/>
          <w:sz w:val="24"/>
        </w:rPr>
      </w:pPr>
      <w:r w:rsidRPr="008230FC">
        <w:rPr>
          <w:rFonts w:ascii="Times New Roman" w:hAnsi="Times New Roman"/>
          <w:sz w:val="24"/>
        </w:rPr>
        <w:t>The commenter stated that replacing an HF unit with an alternative catalyst unit is complicated because of the fact that HF is a lower volume catalyst. The commenter claimed that HF units tend to be much smaller in size than sulfuric acid alkylation units to produce the same volume of alkylate. The commenter claimed that sulfuric acid alkylation uses approximately 200 times more acid than HF alkylation and requires additional storage tanks for both fresh and spent acid, in addition to significant capital and investment costs for replacement that may be more than many refineries can afford. The commenter also stated the differing needs for catalyst regeneration and claimed that a catalyst overhaul would need to be paired with other modifications throughout a refinery to accommodate new technology (0268).</w:t>
      </w:r>
    </w:p>
    <w:p w:rsidR="003B12AF" w:rsidRPr="00BF3C3B" w:rsidP="003B12AF" w14:paraId="798685FF" w14:textId="0521A051">
      <w:pPr>
        <w:ind w:left="720"/>
        <w:rPr>
          <w:rFonts w:ascii="Times New Roman" w:hAnsi="Times New Roman"/>
          <w:sz w:val="24"/>
        </w:rPr>
      </w:pPr>
      <w:r w:rsidRPr="00667270">
        <w:rPr>
          <w:rFonts w:ascii="Times New Roman" w:hAnsi="Times New Roman"/>
          <w:b/>
          <w:bCs/>
          <w:sz w:val="24"/>
        </w:rPr>
        <w:t>EPA Response:</w:t>
      </w:r>
      <w:r>
        <w:rPr>
          <w:rFonts w:ascii="Times New Roman" w:hAnsi="Times New Roman"/>
          <w:b/>
          <w:bCs/>
          <w:sz w:val="24"/>
        </w:rPr>
        <w:t xml:space="preserve"> </w:t>
      </w:r>
      <w:r w:rsidRPr="009B6A1E">
        <w:rPr>
          <w:rFonts w:ascii="Times New Roman" w:hAnsi="Times New Roman"/>
          <w:sz w:val="24"/>
        </w:rPr>
        <w:t xml:space="preserve">While API RP 751 offers industry guidance to help safely manage HF alkylation process and its hazards, those process hazards still </w:t>
      </w:r>
      <w:r w:rsidRPr="009B6A1E">
        <w:rPr>
          <w:rFonts w:ascii="Times New Roman" w:hAnsi="Times New Roman"/>
          <w:sz w:val="24"/>
        </w:rPr>
        <w:t xml:space="preserve">exist. </w:t>
      </w:r>
      <w:r w:rsidRPr="009B6A1E">
        <w:rPr>
          <w:rFonts w:ascii="Times New Roman" w:hAnsi="Times New Roman"/>
          <w:sz w:val="24"/>
        </w:rPr>
        <w:t>In contrast, there are recognized potentially safer chemical alternatives available for HF alkylation that have been successfully implemented by refineries, such as sulfuric acid alkylation, ionic liquid alkylation, or solid acid catalyst alkylation. These eliminate the hazard. With several known alternatives and with recent incident history, EPA believes the process of HF alkylation merits a rule-based prevention approach rather than only selective oversight.</w:t>
      </w:r>
      <w:r w:rsidR="00DA1B62">
        <w:rPr>
          <w:rFonts w:ascii="Times New Roman" w:hAnsi="Times New Roman"/>
          <w:sz w:val="24"/>
        </w:rPr>
        <w:t xml:space="preserve"> </w:t>
      </w:r>
      <w:r w:rsidRPr="00DA1B62" w:rsidR="00DA1B62">
        <w:rPr>
          <w:rFonts w:ascii="Times New Roman" w:hAnsi="Times New Roman"/>
          <w:sz w:val="24"/>
        </w:rPr>
        <w:t>EPA notes however that the practicability of these potentially safer alternatives is situation-specific, and owners and operators are usually in the best position to make these determinations.</w:t>
      </w:r>
      <w:r w:rsidRPr="53C03742" w:rsidR="2D68DB54">
        <w:rPr>
          <w:rFonts w:ascii="Times New Roman" w:hAnsi="Times New Roman"/>
          <w:sz w:val="24"/>
        </w:rPr>
        <w:t xml:space="preserve"> Therefore, the rule does not categorically ban HF Alkylation or otherwise require switching to another technology. The rule simply requires periodic assessment of whether the state of the technology has become practicable at the source, and if it has, an explanation if the source elects not to adopt it.</w:t>
      </w:r>
    </w:p>
    <w:p w:rsidR="421B6C5D" w:rsidP="00210020" w14:paraId="0E667636" w14:textId="5C79C6AB">
      <w:pPr>
        <w:ind w:left="720"/>
        <w:rPr>
          <w:rFonts w:ascii="Times New Roman" w:eastAsia="Times New Roman" w:hAnsi="Times New Roman"/>
          <w:sz w:val="24"/>
        </w:rPr>
      </w:pPr>
      <w:r w:rsidRPr="53C03742">
        <w:rPr>
          <w:rFonts w:ascii="Times New Roman" w:eastAsia="Times New Roman" w:hAnsi="Times New Roman"/>
          <w:sz w:val="24"/>
        </w:rPr>
        <w:t>Regarding the potential alternative technology of sulfuric acid alkylation, t</w:t>
      </w:r>
      <w:r w:rsidRPr="53C03742" w:rsidR="0ED73BC2">
        <w:rPr>
          <w:rFonts w:ascii="Times New Roman" w:eastAsia="Times New Roman" w:hAnsi="Times New Roman"/>
          <w:sz w:val="24"/>
        </w:rPr>
        <w:t xml:space="preserve">he final rule allows for consideration of </w:t>
      </w:r>
      <w:r w:rsidRPr="53C03742" w:rsidR="488202C1">
        <w:rPr>
          <w:rFonts w:ascii="Times New Roman" w:eastAsia="Times New Roman" w:hAnsi="Times New Roman"/>
          <w:sz w:val="24"/>
        </w:rPr>
        <w:t>many of the factors identified in the comments when assessing the practicability of the technology at a particular source. For example, the comment</w:t>
      </w:r>
      <w:r w:rsidRPr="53C03742" w:rsidR="04EDB41A">
        <w:rPr>
          <w:rFonts w:ascii="Times New Roman" w:eastAsia="Times New Roman" w:hAnsi="Times New Roman"/>
          <w:sz w:val="24"/>
        </w:rPr>
        <w:t>s identify the need for substantial volumes of sulfuric acid in such a process. In a particular location, that may not be available absent substa</w:t>
      </w:r>
      <w:r w:rsidRPr="53C03742" w:rsidR="30E30841">
        <w:rPr>
          <w:rFonts w:ascii="Times New Roman" w:eastAsia="Times New Roman" w:hAnsi="Times New Roman"/>
          <w:sz w:val="24"/>
        </w:rPr>
        <w:t>ntial risk transfer as the comment suggests (e.g., train</w:t>
      </w:r>
      <w:r w:rsidRPr="53C03742" w:rsidR="633EF2CC">
        <w:rPr>
          <w:rFonts w:ascii="Times New Roman" w:eastAsia="Times New Roman" w:hAnsi="Times New Roman"/>
          <w:sz w:val="24"/>
        </w:rPr>
        <w:t xml:space="preserve"> shipment of substantial volumes of sulfuric acid). T</w:t>
      </w:r>
      <w:r w:rsidRPr="53C03742" w:rsidR="0ED73BC2">
        <w:rPr>
          <w:rFonts w:ascii="Times New Roman" w:eastAsia="Times New Roman" w:hAnsi="Times New Roman"/>
          <w:sz w:val="24"/>
        </w:rPr>
        <w:t>he</w:t>
      </w:r>
      <w:r w:rsidRPr="53C03742" w:rsidR="7B53E654">
        <w:rPr>
          <w:rFonts w:ascii="Times New Roman" w:eastAsia="Times New Roman" w:hAnsi="Times New Roman"/>
          <w:sz w:val="24"/>
        </w:rPr>
        <w:t xml:space="preserve"> rule allows for consideration of the</w:t>
      </w:r>
      <w:r w:rsidRPr="53C03742" w:rsidR="0ED73BC2">
        <w:rPr>
          <w:rFonts w:ascii="Times New Roman" w:eastAsia="Times New Roman" w:hAnsi="Times New Roman"/>
          <w:sz w:val="24"/>
        </w:rPr>
        <w:t xml:space="preserve"> potential for risk transfer, supply chain limitations, and the need to address security implications of any change when assessing </w:t>
      </w:r>
      <w:r w:rsidRPr="53C03742" w:rsidR="2E2CD2A4">
        <w:rPr>
          <w:rFonts w:ascii="Times New Roman" w:eastAsia="Times New Roman" w:hAnsi="Times New Roman"/>
          <w:sz w:val="24"/>
        </w:rPr>
        <w:t>practicability at the source level</w:t>
      </w:r>
      <w:r w:rsidRPr="53C03742" w:rsidR="4C242A6E">
        <w:rPr>
          <w:rFonts w:ascii="Times New Roman" w:eastAsia="Times New Roman" w:hAnsi="Times New Roman"/>
          <w:sz w:val="24"/>
        </w:rPr>
        <w:t xml:space="preserve"> and the rejection of technologies</w:t>
      </w:r>
      <w:r w:rsidRPr="53C03742" w:rsidR="2E2CD2A4">
        <w:rPr>
          <w:rFonts w:ascii="Times New Roman" w:eastAsia="Times New Roman" w:hAnsi="Times New Roman"/>
          <w:sz w:val="24"/>
        </w:rPr>
        <w:t>. S</w:t>
      </w:r>
      <w:r w:rsidRPr="53C03742" w:rsidR="0ED73BC2">
        <w:rPr>
          <w:rFonts w:ascii="Times New Roman" w:eastAsia="Times New Roman" w:hAnsi="Times New Roman"/>
          <w:sz w:val="24"/>
        </w:rPr>
        <w:t>ee 82 FR 4643 (risk transfer), 4648 (supply chain), and 4649 (security).</w:t>
      </w:r>
    </w:p>
    <w:p w:rsidR="003B12AF" w:rsidP="003B12AF" w14:paraId="38CF8764" w14:textId="77777777">
      <w:pPr>
        <w:rPr>
          <w:rFonts w:ascii="Times New Roman" w:hAnsi="Times New Roman"/>
          <w:i/>
          <w:iCs/>
          <w:sz w:val="24"/>
        </w:rPr>
      </w:pPr>
      <w:r>
        <w:rPr>
          <w:rFonts w:ascii="Times New Roman" w:hAnsi="Times New Roman"/>
          <w:i/>
          <w:iCs/>
          <w:sz w:val="24"/>
        </w:rPr>
        <w:t xml:space="preserve">Recommended revisions to </w:t>
      </w:r>
      <w:r w:rsidRPr="00340CC2">
        <w:rPr>
          <w:rFonts w:ascii="Times New Roman" w:hAnsi="Times New Roman"/>
          <w:i/>
          <w:iCs/>
          <w:sz w:val="24"/>
        </w:rPr>
        <w:t xml:space="preserve">proposed requirements for NAICS 324 facilities using HF </w:t>
      </w:r>
    </w:p>
    <w:p w:rsidR="003B12AF" w:rsidP="003B12AF" w14:paraId="0C89D5A2" w14:textId="3964777B">
      <w:pPr>
        <w:rPr>
          <w:rFonts w:ascii="Times New Roman" w:hAnsi="Times New Roman"/>
          <w:sz w:val="24"/>
        </w:rPr>
      </w:pPr>
      <w:r w:rsidRPr="00BF4F99">
        <w:rPr>
          <w:rFonts w:ascii="Times New Roman" w:hAnsi="Times New Roman"/>
          <w:b/>
          <w:bCs/>
          <w:sz w:val="24"/>
        </w:rPr>
        <w:t>Comment</w:t>
      </w:r>
      <w:r>
        <w:rPr>
          <w:rFonts w:ascii="Times New Roman" w:hAnsi="Times New Roman"/>
          <w:b/>
          <w:bCs/>
          <w:sz w:val="24"/>
        </w:rPr>
        <w:t xml:space="preserve"> 6.2.3-0</w:t>
      </w:r>
      <w:r w:rsidR="0055193A">
        <w:rPr>
          <w:rFonts w:ascii="Times New Roman" w:hAnsi="Times New Roman"/>
          <w:b/>
          <w:bCs/>
          <w:sz w:val="24"/>
        </w:rPr>
        <w:t>7</w:t>
      </w:r>
      <w:r w:rsidRPr="00BF4F99">
        <w:rPr>
          <w:rFonts w:ascii="Times New Roman" w:hAnsi="Times New Roman"/>
          <w:b/>
          <w:bCs/>
          <w:sz w:val="24"/>
        </w:rPr>
        <w:t>:</w:t>
      </w:r>
      <w:r>
        <w:rPr>
          <w:rFonts w:ascii="Times New Roman" w:hAnsi="Times New Roman"/>
          <w:sz w:val="24"/>
        </w:rPr>
        <w:t xml:space="preserve"> Many commenters urged EPA to require the elimination of HF. </w:t>
      </w:r>
    </w:p>
    <w:p w:rsidR="003B12AF" w:rsidP="003B12AF" w14:paraId="1ED55436" w14:textId="77777777">
      <w:pPr>
        <w:rPr>
          <w:rFonts w:ascii="Times New Roman" w:hAnsi="Times New Roman"/>
          <w:sz w:val="24"/>
        </w:rPr>
      </w:pPr>
      <w:r w:rsidRPr="00F2714D">
        <w:rPr>
          <w:rFonts w:ascii="Times New Roman" w:hAnsi="Times New Roman"/>
          <w:sz w:val="24"/>
        </w:rPr>
        <w:t>A few commenters urged EPA to strengthen the proposed rule by requiring facilities to switch from HF or other acutely toxic substances to a safer alternative whenever feasible, since safer alternatives are available (0134, 0158, 0248, 0255, 0120</w:t>
      </w:r>
      <w:r>
        <w:rPr>
          <w:rFonts w:ascii="Times New Roman" w:hAnsi="Times New Roman"/>
          <w:sz w:val="24"/>
        </w:rPr>
        <w:t>, 0456</w:t>
      </w:r>
      <w:r w:rsidRPr="00F2714D">
        <w:rPr>
          <w:rFonts w:ascii="Times New Roman" w:hAnsi="Times New Roman"/>
          <w:sz w:val="24"/>
        </w:rPr>
        <w:t xml:space="preserve">). Several commenters supported the idea that the history of HF use and accidents supported the idea that stronger EPA action was necessary to protect communities (0134, 0174, 0216, 0456, 0460). </w:t>
      </w:r>
      <w:r w:rsidRPr="006F68E9">
        <w:rPr>
          <w:rFonts w:ascii="Times New Roman" w:hAnsi="Times New Roman"/>
          <w:sz w:val="24"/>
        </w:rPr>
        <w:t>A couple commenters recommended the RMP require facilities to transition away from extremely harmful alternatives, such as hydrofluoric acid, to safer alternatives (0157, 0160).</w:t>
      </w:r>
    </w:p>
    <w:p w:rsidR="003B12AF" w:rsidP="003B12AF" w14:paraId="790C6378" w14:textId="77777777">
      <w:pPr>
        <w:rPr>
          <w:rFonts w:ascii="Times New Roman" w:hAnsi="Times New Roman"/>
          <w:sz w:val="24"/>
        </w:rPr>
      </w:pPr>
      <w:r w:rsidRPr="00F2714D">
        <w:rPr>
          <w:rFonts w:ascii="Times New Roman" w:hAnsi="Times New Roman"/>
          <w:sz w:val="24"/>
        </w:rPr>
        <w:t>Some commenters were concerned that the proposed rule leaves the continued use of HF up to owners/operators (0134, 0156, 0174, 0456).</w:t>
      </w:r>
    </w:p>
    <w:p w:rsidR="003B12AF" w:rsidP="003B12AF" w14:paraId="6B50FA36" w14:textId="77777777">
      <w:pPr>
        <w:rPr>
          <w:rFonts w:ascii="Times New Roman" w:hAnsi="Times New Roman"/>
          <w:sz w:val="24"/>
        </w:rPr>
      </w:pPr>
      <w:r w:rsidRPr="00F2714D">
        <w:rPr>
          <w:rStyle w:val="Strong"/>
          <w:rFonts w:ascii="Times New Roman" w:hAnsi="Times New Roman"/>
          <w:b w:val="0"/>
          <w:bCs w:val="0"/>
          <w:sz w:val="24"/>
        </w:rPr>
        <w:t>One of the commenters</w:t>
      </w:r>
      <w:r>
        <w:rPr>
          <w:rStyle w:val="Strong"/>
          <w:rFonts w:ascii="Times New Roman" w:hAnsi="Times New Roman"/>
          <w:b w:val="0"/>
          <w:bCs w:val="0"/>
          <w:sz w:val="24"/>
        </w:rPr>
        <w:t xml:space="preserve"> cited</w:t>
      </w:r>
      <w:r w:rsidRPr="00F2714D">
        <w:rPr>
          <w:rStyle w:val="Strong"/>
          <w:rFonts w:ascii="Times New Roman" w:hAnsi="Times New Roman"/>
          <w:b w:val="0"/>
          <w:bCs w:val="0"/>
          <w:sz w:val="24"/>
        </w:rPr>
        <w:t xml:space="preserve"> the CSB’s 2022 report recommendations that HF</w:t>
      </w:r>
      <w:r w:rsidRPr="00F2714D">
        <w:rPr>
          <w:rStyle w:val="Strong"/>
          <w:rFonts w:ascii="Times New Roman" w:hAnsi="Times New Roman"/>
          <w:sz w:val="24"/>
        </w:rPr>
        <w:t xml:space="preserve"> </w:t>
      </w:r>
      <w:r w:rsidRPr="00F2714D">
        <w:rPr>
          <w:rFonts w:ascii="Times New Roman" w:hAnsi="Times New Roman"/>
          <w:sz w:val="24"/>
        </w:rPr>
        <w:t>in remaining alkylation units in the U.S. be eliminated and replaced, if necessary, with less hazardous chemicals that are consistent with ISD. The commenter</w:t>
      </w:r>
      <w:r>
        <w:rPr>
          <w:rFonts w:ascii="Times New Roman" w:hAnsi="Times New Roman"/>
          <w:sz w:val="24"/>
        </w:rPr>
        <w:t xml:space="preserve"> described</w:t>
      </w:r>
      <w:r w:rsidRPr="00F2714D">
        <w:rPr>
          <w:rFonts w:ascii="Times New Roman" w:hAnsi="Times New Roman"/>
          <w:sz w:val="24"/>
        </w:rPr>
        <w:t xml:space="preserve"> STAA as the foundation of the workplace hierarchy of controls and asked the proposed rule to go further to require implementation (0255).</w:t>
      </w:r>
      <w:r>
        <w:rPr>
          <w:rFonts w:ascii="Times New Roman" w:hAnsi="Times New Roman"/>
          <w:sz w:val="24"/>
        </w:rPr>
        <w:t xml:space="preserve"> </w:t>
      </w:r>
    </w:p>
    <w:p w:rsidR="003B12AF" w:rsidP="003B12AF" w14:paraId="1C9BE121" w14:textId="77777777">
      <w:pPr>
        <w:rPr>
          <w:rFonts w:ascii="Times New Roman" w:hAnsi="Times New Roman"/>
          <w:sz w:val="24"/>
        </w:rPr>
      </w:pPr>
      <w:r w:rsidRPr="00F2714D">
        <w:rPr>
          <w:rFonts w:ascii="Times New Roman" w:hAnsi="Times New Roman"/>
          <w:sz w:val="24"/>
        </w:rPr>
        <w:t xml:space="preserve">One commenter stated that the proposed rule was not comprehensive enough to adequately mitigate the inherent risks associated with using HF. The commenter stated that asking these facilities to merely consider switching from HF alkylation to safer alternatives and requiring them to include an STAA as part of their PHA was not enough to eliminate the inherent risk of having HF onsite (0385). </w:t>
      </w:r>
    </w:p>
    <w:p w:rsidR="003B12AF" w:rsidP="003B12AF" w14:paraId="23187E0A" w14:textId="77777777">
      <w:pPr>
        <w:rPr>
          <w:rFonts w:ascii="Times New Roman" w:hAnsi="Times New Roman"/>
          <w:sz w:val="24"/>
        </w:rPr>
      </w:pPr>
      <w:r w:rsidRPr="00F2714D">
        <w:rPr>
          <w:rFonts w:ascii="Times New Roman" w:hAnsi="Times New Roman"/>
          <w:sz w:val="24"/>
        </w:rPr>
        <w:t>A couple of commenters recommended that the use of HF in refineries be banned (0208, 0385). One of the commenters urged EPA to establish an aggressive timeline to phase out HF’s use and said that further study is a waste of time (0208). Another commenter contended that adding a larger scale ban of HF across all the oil refineries in the U.S. would safeguard millions of Americans from facing disaster in the event of an accidental release (0385). One commenter requested that safer alternatives to HF be implemented across all oil refineries in the United States (0385). Another commenter generally supported the study of safer chemical and process alternatives but recommended that, in the case of HF, safer alternatives should be required at refineries now (0254). One commenter highlighted an example of a worker at a chemical plant who was exposed to HF fumes and died as a result (0157).</w:t>
      </w:r>
    </w:p>
    <w:p w:rsidR="003B12AF" w:rsidP="003B12AF" w14:paraId="7DA8114F" w14:textId="77777777">
      <w:pPr>
        <w:rPr>
          <w:rFonts w:ascii="Times New Roman" w:hAnsi="Times New Roman"/>
          <w:sz w:val="24"/>
        </w:rPr>
      </w:pPr>
      <w:r w:rsidRPr="006F68E9">
        <w:rPr>
          <w:rFonts w:ascii="Times New Roman" w:hAnsi="Times New Roman"/>
          <w:sz w:val="24"/>
        </w:rPr>
        <w:t xml:space="preserve">One commenter claimed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does not provide a pathway for the replacement of chemicals like HF due to the provision leaving the </w:t>
      </w:r>
      <w:r w:rsidRPr="006F68E9">
        <w:rPr>
          <w:rFonts w:ascii="Times New Roman" w:eastAsia="Times New Roman" w:hAnsi="Times New Roman"/>
          <w:sz w:val="24"/>
        </w:rPr>
        <w:t>decision of whether to implement commercially proven alternatives to the owners. The commenter was concerned that facilities could state that an alternative is not practical if a third-party audit and conversion are not required. The commenter claimed that California’s required STAA has had little to no effect as evidence supporting this concern (0134).</w:t>
      </w:r>
    </w:p>
    <w:p w:rsidR="003B12AF" w:rsidP="003B12AF" w14:paraId="33ACEF13" w14:textId="77777777">
      <w:pPr>
        <w:rPr>
          <w:rFonts w:ascii="Times New Roman" w:hAnsi="Times New Roman"/>
          <w:sz w:val="24"/>
        </w:rPr>
      </w:pPr>
      <w:r w:rsidRPr="006F68E9">
        <w:rPr>
          <w:rFonts w:ascii="Times New Roman" w:hAnsi="Times New Roman"/>
          <w:sz w:val="24"/>
        </w:rPr>
        <w:t xml:space="preserve">Some commenters expressed support for a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that would require an audited assessment of safer alternatives. The commenters also expressed support for a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that would prioritize conversion away from the use of toxic chemicals like HF and provide clear deadlines for conversion (0131, 0145, 0156, 0174). One of the commenters said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seems to do little to address chemicals that can cause mass casualties since it leaves continued use of dangerous chemicals to facility owners (0131).</w:t>
      </w:r>
    </w:p>
    <w:p w:rsidR="003B12AF" w:rsidP="003B12AF" w14:paraId="0C5C6A9F"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stated</w:t>
      </w:r>
      <w:r w:rsidRPr="006F68E9">
        <w:rPr>
          <w:rFonts w:ascii="Times New Roman" w:hAnsi="Times New Roman"/>
          <w:sz w:val="24"/>
        </w:rPr>
        <w:t xml:space="preserve"> the CSB’s recognition that a small number of refineries have moved forward with phasing out HF, but the vast majority have not taken these steps on their own (0460).</w:t>
      </w:r>
    </w:p>
    <w:p w:rsidR="003B12AF" w:rsidP="003B12AF" w14:paraId="50730A83" w14:textId="77777777">
      <w:pPr>
        <w:rPr>
          <w:rFonts w:ascii="Times New Roman" w:hAnsi="Times New Roman"/>
          <w:sz w:val="24"/>
        </w:rPr>
      </w:pPr>
      <w:r w:rsidRPr="006F68E9">
        <w:rPr>
          <w:rFonts w:ascii="Times New Roman" w:hAnsi="Times New Roman"/>
          <w:sz w:val="24"/>
        </w:rPr>
        <w:t xml:space="preserve">Some commenters stated that only EPA possessed the authority and/or responsibility to eliminate the use of HF and that it should do so (0134, 0152, 0385, 0444). One of the commenters claimed that the history of HF releases and near-releases at refineries shows that EPA can best drive the eventual phase out of HF alkylation and that the groundwork is laid for EPA to take such action. The commenter </w:t>
      </w:r>
      <w:r>
        <w:rPr>
          <w:rFonts w:ascii="Times New Roman" w:hAnsi="Times New Roman"/>
          <w:sz w:val="24"/>
        </w:rPr>
        <w:t>said</w:t>
      </w:r>
      <w:r w:rsidRPr="006F68E9">
        <w:rPr>
          <w:rFonts w:ascii="Times New Roman" w:hAnsi="Times New Roman"/>
          <w:sz w:val="24"/>
        </w:rPr>
        <w:t xml:space="preserve"> that, while local agencies and the CSB have done much to promote HF safety, only EPA could effectively compel the industrywide effort needed to eliminate HF alkylation nationwide. The commenter pointed to the South Coast Air Quality Management District’s (SCAQMD) actions to allow refineries to convert to a modified form of HF and implement harm mitigation measures. The commenter stated that SCAQMD’s actions supported their claim that local agencies themselves were unlikely to compel the implementation of safer alternatives to HF alkylation though they could advance incremental gains (0444). </w:t>
      </w:r>
    </w:p>
    <w:p w:rsidR="003B12AF" w:rsidP="003B12AF" w14:paraId="686718A2" w14:textId="77777777">
      <w:pPr>
        <w:rPr>
          <w:rFonts w:ascii="Times New Roman" w:eastAsia="Times New Roman" w:hAnsi="Times New Roman"/>
          <w:sz w:val="24"/>
        </w:rPr>
      </w:pPr>
      <w:r w:rsidRPr="006F68E9">
        <w:rPr>
          <w:rFonts w:ascii="Times New Roman" w:eastAsia="Times New Roman" w:hAnsi="Times New Roman"/>
          <w:sz w:val="24"/>
        </w:rPr>
        <w:t xml:space="preserve">Another commenter claimed, regarding the </w:t>
      </w:r>
      <w:r>
        <w:rPr>
          <w:rFonts w:ascii="Times New Roman" w:eastAsia="Times New Roman" w:hAnsi="Times New Roman"/>
          <w:sz w:val="24"/>
        </w:rPr>
        <w:t>pr</w:t>
      </w:r>
      <w:r w:rsidRPr="006F68E9">
        <w:rPr>
          <w:rFonts w:ascii="Times New Roman" w:eastAsia="Times New Roman" w:hAnsi="Times New Roman"/>
          <w:sz w:val="24"/>
        </w:rPr>
        <w:t xml:space="preserve">oposed </w:t>
      </w:r>
      <w:r>
        <w:rPr>
          <w:rFonts w:ascii="Times New Roman" w:eastAsia="Times New Roman" w:hAnsi="Times New Roman"/>
          <w:sz w:val="24"/>
        </w:rPr>
        <w:t>r</w:t>
      </w:r>
      <w:r w:rsidRPr="006F68E9">
        <w:rPr>
          <w:rFonts w:ascii="Times New Roman" w:eastAsia="Times New Roman" w:hAnsi="Times New Roman"/>
          <w:sz w:val="24"/>
        </w:rPr>
        <w:t xml:space="preserve">ule allowing the continued use of HF/MHF, that Federal action is required because it is a national security threat. The commenter also </w:t>
      </w:r>
      <w:r>
        <w:rPr>
          <w:rFonts w:ascii="Times New Roman" w:eastAsia="Times New Roman" w:hAnsi="Times New Roman"/>
          <w:sz w:val="24"/>
        </w:rPr>
        <w:t>stated</w:t>
      </w:r>
      <w:r w:rsidRPr="006F68E9">
        <w:rPr>
          <w:rFonts w:ascii="Times New Roman" w:eastAsia="Times New Roman" w:hAnsi="Times New Roman"/>
          <w:sz w:val="24"/>
        </w:rPr>
        <w:t xml:space="preserve"> that the danger cannot be sufficiently mitigated as shown by the numerous near misses (0134).</w:t>
      </w:r>
    </w:p>
    <w:p w:rsidR="003B12AF" w:rsidRPr="00F04C62" w:rsidP="003B12AF" w14:paraId="5628DEE9" w14:textId="77777777">
      <w:pPr>
        <w:ind w:left="720"/>
        <w:rPr>
          <w:rFonts w:ascii="Times New Roman" w:hAnsi="Times New Roman"/>
          <w:sz w:val="24"/>
        </w:rPr>
      </w:pPr>
      <w:r w:rsidRPr="006D4796">
        <w:rPr>
          <w:rFonts w:ascii="Times New Roman" w:hAnsi="Times New Roman"/>
          <w:b/>
          <w:bCs/>
          <w:sz w:val="24"/>
        </w:rPr>
        <w:t>EPA Response:</w:t>
      </w:r>
      <w:r w:rsidRPr="006D4796">
        <w:rPr>
          <w:rFonts w:ascii="Times New Roman" w:hAnsi="Times New Roman"/>
          <w:sz w:val="24"/>
        </w:rPr>
        <w:t xml:space="preserve"> In response to the comments urging EPA to require facilities to switch from HF to a safer alternative whenever feasible, the practicability of these potentially safer alternatives is situation-specific, and owners and operators are usually in the best position to make these determinations.</w:t>
      </w:r>
    </w:p>
    <w:p w:rsidR="003B12AF" w:rsidP="003B12AF" w14:paraId="78FC653C" w14:textId="46EEE904">
      <w:pPr>
        <w:rPr>
          <w:rFonts w:ascii="Times New Roman" w:hAnsi="Times New Roman"/>
          <w:sz w:val="24"/>
        </w:rPr>
      </w:pPr>
      <w:r>
        <w:rPr>
          <w:rFonts w:ascii="Times New Roman" w:hAnsi="Times New Roman"/>
          <w:b/>
          <w:bCs/>
          <w:sz w:val="24"/>
        </w:rPr>
        <w:t>Comment 6.2.3-0</w:t>
      </w:r>
      <w:r w:rsidR="0055193A">
        <w:rPr>
          <w:rFonts w:ascii="Times New Roman" w:hAnsi="Times New Roman"/>
          <w:b/>
          <w:bCs/>
          <w:sz w:val="24"/>
        </w:rPr>
        <w:t>8</w:t>
      </w:r>
      <w:r>
        <w:rPr>
          <w:rFonts w:ascii="Times New Roman" w:hAnsi="Times New Roman"/>
          <w:b/>
          <w:bCs/>
          <w:sz w:val="24"/>
        </w:rPr>
        <w:t xml:space="preserve">: </w:t>
      </w:r>
      <w:r w:rsidRPr="006F68E9">
        <w:rPr>
          <w:rFonts w:ascii="Times New Roman" w:hAnsi="Times New Roman"/>
          <w:sz w:val="24"/>
        </w:rPr>
        <w:t>One commenter recommended that as part of each PHA, the facility identify all alternative alkylation technologies or other ISD that are currently in operation and identify all refineries where that technology is in use or is being implemented. The commenter recommended that the facility gather enough information about each alternative to evaluate the feasibility and practicability of implementation. The commenter recommended that, for each inherently safer alternative to HF alkylation, the facility thoroughly determine and document the practicability of replacing HF alkylation with that technology and for each technology, whether implemented or not, the facility include documentation in its process hazard analysis and submit the full analysis to EPA. The commenter recommended that EPA maintain a database of alternative alkylation technologies with non-propriety information publicly available. The commenter finally recommended that the facility comply with the assessment team requirements specified in § 68.67(9)(iii) (0444).</w:t>
      </w:r>
    </w:p>
    <w:p w:rsidR="003B12AF" w:rsidP="003B12AF" w14:paraId="05C4B1C7" w14:textId="77777777">
      <w:pPr>
        <w:ind w:left="630"/>
        <w:rPr>
          <w:rFonts w:ascii="Times New Roman" w:hAnsi="Times New Roman"/>
          <w:sz w:val="24"/>
        </w:rPr>
      </w:pPr>
      <w:r w:rsidRPr="000A254D">
        <w:rPr>
          <w:rFonts w:ascii="Times New Roman" w:hAnsi="Times New Roman"/>
          <w:b/>
          <w:bCs/>
          <w:sz w:val="24"/>
        </w:rPr>
        <w:t>EPA Response:</w:t>
      </w:r>
      <w:r w:rsidRPr="000A254D">
        <w:t xml:space="preserve"> </w:t>
      </w:r>
      <w:r w:rsidRPr="000A254D">
        <w:rPr>
          <w:rFonts w:ascii="Times New Roman" w:hAnsi="Times New Roman"/>
          <w:sz w:val="24"/>
        </w:rPr>
        <w:t>EPA is requiring that all HF alkylation processes at petroleum refineries (NAICS 324) conduct an initial STAA evaluation, a practicability assessment for IST, and implementation of at least one passive measure (or combination of active or procedural measures equivalent to the risk reduction of a passive measure), primarily due to recent incidents where HF was nearly released when there were explosions, fires, and other releases that could have triggered releases of HF.</w:t>
      </w:r>
    </w:p>
    <w:p w:rsidR="00FD76D4" w:rsidP="003B12AF" w14:paraId="7D8C138C" w14:textId="1FCBDDDB">
      <w:pPr>
        <w:ind w:left="630"/>
        <w:rPr>
          <w:rFonts w:ascii="Times New Roman" w:hAnsi="Times New Roman"/>
          <w:sz w:val="24"/>
        </w:rPr>
      </w:pPr>
      <w:r w:rsidRPr="00C55954">
        <w:rPr>
          <w:rFonts w:ascii="Times New Roman" w:hAnsi="Times New Roman"/>
          <w:sz w:val="24"/>
        </w:rPr>
        <w:t xml:space="preserve">EPA is not requiring the </w:t>
      </w:r>
      <w:r w:rsidR="00E05F88">
        <w:rPr>
          <w:rFonts w:ascii="Times New Roman" w:hAnsi="Times New Roman"/>
          <w:sz w:val="24"/>
        </w:rPr>
        <w:t xml:space="preserve">full </w:t>
      </w:r>
      <w:r w:rsidRPr="00C55954">
        <w:rPr>
          <w:rFonts w:ascii="Times New Roman" w:hAnsi="Times New Roman"/>
          <w:sz w:val="24"/>
        </w:rPr>
        <w:t>STAA or its documentation within the PHA to be automatically submitted to EPA nor to anyone else, but such analysis or documentation must be kept as records under the recordkeeping requirements of § 68.200 and be available for inspection or review by EPA.</w:t>
      </w:r>
      <w:r>
        <w:rPr>
          <w:rFonts w:ascii="Times New Roman" w:hAnsi="Times New Roman"/>
          <w:sz w:val="24"/>
        </w:rPr>
        <w:t xml:space="preserve"> </w:t>
      </w:r>
      <w:r w:rsidRPr="00FD76D4">
        <w:rPr>
          <w:rFonts w:ascii="Times New Roman" w:hAnsi="Times New Roman"/>
          <w:sz w:val="24"/>
        </w:rPr>
        <w:t xml:space="preserve">EPA is </w:t>
      </w:r>
      <w:r w:rsidR="00D34661">
        <w:rPr>
          <w:rFonts w:ascii="Times New Roman" w:hAnsi="Times New Roman"/>
          <w:sz w:val="24"/>
        </w:rPr>
        <w:t xml:space="preserve">however </w:t>
      </w:r>
      <w:r w:rsidRPr="00FD76D4">
        <w:rPr>
          <w:rFonts w:ascii="Times New Roman" w:hAnsi="Times New Roman"/>
          <w:sz w:val="24"/>
        </w:rPr>
        <w:t xml:space="preserve">requiring that basic </w:t>
      </w:r>
      <w:r w:rsidRPr="00FD76D4">
        <w:rPr>
          <w:rFonts w:ascii="Times New Roman" w:hAnsi="Times New Roman"/>
          <w:sz w:val="24"/>
        </w:rPr>
        <w:t xml:space="preserve">information on IST, facility information, categories of safer design identified and implemented and causal factor for initiating safer design implementation be provided in the RMP submission in accordance with 40 CFR 68.175(e)(7). Facilities must provide in their RMP any IST/ISD measures implemented since the last PHA, if any, and the technology category (substitution, minimization, simplification and/or moderation). These technology transfer provisions apply to all facilities required to conduct any component of STAA (evaluation or practicability) under the final rule. </w:t>
      </w:r>
      <w:bookmarkStart w:id="76" w:name="_Hlk129172495"/>
      <w:r w:rsidRPr="00FD76D4">
        <w:rPr>
          <w:rFonts w:ascii="Times New Roman" w:hAnsi="Times New Roman"/>
          <w:sz w:val="24"/>
        </w:rPr>
        <w:t>This reporting is also voluntary for all other facilities, including deregistered facilities, by which EPA expects to capture useful information about how some facilities, on their own accord, choose to make their processes safer.</w:t>
      </w:r>
      <w:bookmarkEnd w:id="76"/>
    </w:p>
    <w:p w:rsidR="003B12AF" w:rsidP="003B12AF" w14:paraId="52C43E1A" w14:textId="6A53F1A4">
      <w:pPr>
        <w:rPr>
          <w:rFonts w:ascii="Times New Roman" w:hAnsi="Times New Roman"/>
          <w:sz w:val="24"/>
        </w:rPr>
      </w:pPr>
      <w:r w:rsidRPr="000163E4">
        <w:rPr>
          <w:rFonts w:ascii="Times New Roman" w:hAnsi="Times New Roman"/>
          <w:b/>
          <w:bCs/>
          <w:sz w:val="24"/>
        </w:rPr>
        <w:t>Comment</w:t>
      </w:r>
      <w:r>
        <w:rPr>
          <w:rFonts w:ascii="Times New Roman" w:hAnsi="Times New Roman"/>
          <w:b/>
          <w:bCs/>
          <w:sz w:val="24"/>
        </w:rPr>
        <w:t xml:space="preserve"> 6.2.3-</w:t>
      </w:r>
      <w:r w:rsidR="00630C66">
        <w:rPr>
          <w:rFonts w:ascii="Times New Roman" w:hAnsi="Times New Roman"/>
          <w:b/>
          <w:bCs/>
          <w:sz w:val="24"/>
        </w:rPr>
        <w:t>0</w:t>
      </w:r>
      <w:r w:rsidR="0055193A">
        <w:rPr>
          <w:rFonts w:ascii="Times New Roman" w:hAnsi="Times New Roman"/>
          <w:b/>
          <w:bCs/>
          <w:sz w:val="24"/>
        </w:rPr>
        <w:t>9</w:t>
      </w:r>
      <w:r w:rsidRPr="00146660">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Some commenters were concerned about the impacts of HF upon communities with environmental justice concerns (0120, 0134, 0174, 0248). One of the commenters supported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ule’s recognition of the danger of HF to communities with environmental justice concerns (0174). </w:t>
      </w:r>
      <w:r>
        <w:rPr>
          <w:rFonts w:ascii="Times New Roman" w:hAnsi="Times New Roman"/>
          <w:sz w:val="24"/>
        </w:rPr>
        <w:t xml:space="preserve">One </w:t>
      </w:r>
      <w:r w:rsidRPr="006F68E9">
        <w:rPr>
          <w:rFonts w:ascii="Times New Roman" w:hAnsi="Times New Roman"/>
          <w:sz w:val="24"/>
        </w:rPr>
        <w:t xml:space="preserve">commenter was concerned that </w:t>
      </w:r>
      <w:r>
        <w:rPr>
          <w:rFonts w:ascii="Times New Roman" w:hAnsi="Times New Roman"/>
          <w:sz w:val="24"/>
        </w:rPr>
        <w:t>the 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would fall short for communities with environmental justice concerns, specifically those living near HF refineries (0248). One commenter </w:t>
      </w:r>
      <w:r>
        <w:rPr>
          <w:rFonts w:ascii="Times New Roman" w:hAnsi="Times New Roman"/>
          <w:sz w:val="24"/>
        </w:rPr>
        <w:t>discussed</w:t>
      </w:r>
      <w:r w:rsidRPr="006F68E9">
        <w:rPr>
          <w:rFonts w:ascii="Times New Roman" w:hAnsi="Times New Roman"/>
          <w:sz w:val="24"/>
        </w:rPr>
        <w:t xml:space="preserve"> two refineries in California using MHF/HF and their location adjacent to underserved communities that already bear a disproportionate pollution burden and have residents who are especially vulnerable to pollution (0120). Another commenter </w:t>
      </w:r>
      <w:r>
        <w:rPr>
          <w:rFonts w:ascii="Times New Roman" w:hAnsi="Times New Roman"/>
          <w:sz w:val="24"/>
        </w:rPr>
        <w:t>said</w:t>
      </w:r>
      <w:r w:rsidRPr="006F68E9">
        <w:rPr>
          <w:rFonts w:ascii="Times New Roman" w:hAnsi="Times New Roman"/>
          <w:sz w:val="24"/>
        </w:rPr>
        <w:t xml:space="preserve"> that </w:t>
      </w:r>
      <w:r w:rsidRPr="006F68E9">
        <w:rPr>
          <w:rFonts w:ascii="Times New Roman" w:eastAsia="Times New Roman" w:hAnsi="Times New Roman"/>
          <w:sz w:val="24"/>
        </w:rPr>
        <w:t>communities surrounding HF alkylation units rank high for environmental justice burdens (0134).</w:t>
      </w:r>
    </w:p>
    <w:p w:rsidR="003B12AF" w:rsidP="003B12AF" w14:paraId="4D8F4E5A" w14:textId="77777777">
      <w:pPr>
        <w:rPr>
          <w:rFonts w:ascii="Times New Roman" w:hAnsi="Times New Roman"/>
          <w:sz w:val="24"/>
        </w:rPr>
      </w:pPr>
      <w:r w:rsidRPr="006F68E9">
        <w:rPr>
          <w:rFonts w:ascii="Times New Roman" w:eastAsia="Times New Roman" w:hAnsi="Times New Roman"/>
          <w:sz w:val="24"/>
        </w:rPr>
        <w:t xml:space="preserve">Another commenter recommended that the </w:t>
      </w:r>
      <w:r>
        <w:rPr>
          <w:rFonts w:ascii="Times New Roman" w:eastAsia="Times New Roman" w:hAnsi="Times New Roman"/>
          <w:sz w:val="24"/>
        </w:rPr>
        <w:t>p</w:t>
      </w:r>
      <w:r w:rsidRPr="006F68E9">
        <w:rPr>
          <w:rFonts w:ascii="Times New Roman" w:eastAsia="Times New Roman" w:hAnsi="Times New Roman"/>
          <w:sz w:val="24"/>
        </w:rPr>
        <w:t xml:space="preserve">roposed </w:t>
      </w:r>
      <w:r>
        <w:rPr>
          <w:rFonts w:ascii="Times New Roman" w:eastAsia="Times New Roman" w:hAnsi="Times New Roman"/>
          <w:sz w:val="24"/>
        </w:rPr>
        <w:t>r</w:t>
      </w:r>
      <w:r w:rsidRPr="006F68E9">
        <w:rPr>
          <w:rFonts w:ascii="Times New Roman" w:eastAsia="Times New Roman" w:hAnsi="Times New Roman"/>
          <w:sz w:val="24"/>
        </w:rPr>
        <w:t xml:space="preserve">ule require that facilities inform the public about the presence of hazardous chemicals like HF in </w:t>
      </w:r>
      <w:r>
        <w:rPr>
          <w:rFonts w:ascii="Times New Roman" w:eastAsia="Times New Roman" w:hAnsi="Times New Roman"/>
          <w:sz w:val="24"/>
        </w:rPr>
        <w:t>a</w:t>
      </w:r>
      <w:r w:rsidRPr="006F68E9">
        <w:rPr>
          <w:rFonts w:ascii="Times New Roman" w:eastAsia="Times New Roman" w:hAnsi="Times New Roman"/>
          <w:sz w:val="24"/>
        </w:rPr>
        <w:t xml:space="preserve"> systematic manner. The commenter also </w:t>
      </w:r>
      <w:r>
        <w:rPr>
          <w:rFonts w:ascii="Times New Roman" w:eastAsia="Times New Roman" w:hAnsi="Times New Roman"/>
          <w:sz w:val="24"/>
        </w:rPr>
        <w:t>stated</w:t>
      </w:r>
      <w:r w:rsidRPr="006F68E9">
        <w:rPr>
          <w:rFonts w:ascii="Times New Roman" w:eastAsia="Times New Roman" w:hAnsi="Times New Roman"/>
          <w:sz w:val="24"/>
        </w:rPr>
        <w:t xml:space="preserve"> that the communities surrounding these refineries rank high in environmental justice concerns (0134).</w:t>
      </w:r>
    </w:p>
    <w:p w:rsidR="00FE1305" w:rsidRPr="002428BF" w:rsidP="002C327D" w14:paraId="6D348F53" w14:textId="7CF40827">
      <w:pPr>
        <w:spacing w:before="0" w:after="0"/>
        <w:ind w:left="720"/>
        <w:rPr>
          <w:rFonts w:ascii="Times New Roman" w:hAnsi="Times New Roman"/>
          <w:sz w:val="24"/>
        </w:rPr>
      </w:pPr>
      <w:r w:rsidRPr="00500A7C">
        <w:rPr>
          <w:rFonts w:ascii="Times New Roman" w:hAnsi="Times New Roman"/>
          <w:b/>
          <w:bCs/>
          <w:sz w:val="24"/>
        </w:rPr>
        <w:t>EPA Response:</w:t>
      </w:r>
      <w:r w:rsidRPr="00BD451C">
        <w:rPr>
          <w:rFonts w:ascii="Times New Roman" w:hAnsi="Times New Roman"/>
          <w:sz w:val="24"/>
        </w:rPr>
        <w:t xml:space="preserve"> </w:t>
      </w:r>
      <w:r w:rsidRPr="00500A7C">
        <w:rPr>
          <w:rFonts w:ascii="Times New Roman" w:hAnsi="Times New Roman"/>
          <w:sz w:val="24"/>
        </w:rPr>
        <w:t xml:space="preserve">EPA has considered </w:t>
      </w:r>
      <w:r w:rsidR="007E467B">
        <w:rPr>
          <w:rFonts w:ascii="Times New Roman" w:hAnsi="Times New Roman"/>
          <w:sz w:val="24"/>
        </w:rPr>
        <w:t xml:space="preserve">impacts and risks to local communities, including communities with EJ concerns </w:t>
      </w:r>
      <w:r w:rsidRPr="00500A7C">
        <w:rPr>
          <w:rFonts w:ascii="Times New Roman" w:hAnsi="Times New Roman"/>
          <w:sz w:val="24"/>
        </w:rPr>
        <w:t>and fenceline communities</w:t>
      </w:r>
      <w:r w:rsidRPr="00500A7C" w:rsidR="00D46169">
        <w:rPr>
          <w:rFonts w:ascii="Times New Roman" w:hAnsi="Times New Roman"/>
          <w:sz w:val="24"/>
        </w:rPr>
        <w:t xml:space="preserve"> </w:t>
      </w:r>
      <w:r w:rsidRPr="00500A7C">
        <w:rPr>
          <w:rFonts w:ascii="Times New Roman" w:hAnsi="Times New Roman"/>
          <w:sz w:val="24"/>
        </w:rPr>
        <w:t>throughout the rulemaking process</w:t>
      </w:r>
      <w:r w:rsidRPr="00500A7C">
        <w:rPr>
          <w:rFonts w:ascii="Times New Roman" w:hAnsi="Times New Roman"/>
          <w:sz w:val="24"/>
        </w:rPr>
        <w:t xml:space="preserve">. </w:t>
      </w:r>
      <w:r w:rsidRPr="002428BF">
        <w:rPr>
          <w:rFonts w:ascii="Times New Roman" w:hAnsi="Times New Roman"/>
          <w:sz w:val="24"/>
        </w:rPr>
        <w:t xml:space="preserve">EPA acknowledged in the proposal that </w:t>
      </w:r>
      <w:r w:rsidRPr="002428BF" w:rsidR="00C12C88">
        <w:rPr>
          <w:rFonts w:ascii="Times New Roman" w:hAnsi="Times New Roman"/>
          <w:sz w:val="24"/>
        </w:rPr>
        <w:t>a</w:t>
      </w:r>
      <w:r w:rsidRPr="002428BF">
        <w:rPr>
          <w:rFonts w:ascii="Times New Roman" w:hAnsi="Times New Roman"/>
          <w:sz w:val="24"/>
        </w:rPr>
        <w:t>lthough the per facility</w:t>
      </w:r>
      <w:r w:rsidR="002428BF">
        <w:rPr>
          <w:rFonts w:ascii="Times New Roman" w:hAnsi="Times New Roman"/>
          <w:sz w:val="24"/>
        </w:rPr>
        <w:t xml:space="preserve"> </w:t>
      </w:r>
      <w:r w:rsidRPr="002428BF">
        <w:rPr>
          <w:rFonts w:ascii="Times New Roman" w:hAnsi="Times New Roman"/>
          <w:sz w:val="24"/>
        </w:rPr>
        <w:t>accident rate between 2016 and 2020</w:t>
      </w:r>
      <w:r>
        <w:rPr>
          <w:rStyle w:val="FootnoteReference"/>
          <w:rFonts w:ascii="Times New Roman" w:hAnsi="Times New Roman"/>
          <w:sz w:val="24"/>
        </w:rPr>
        <w:footnoteReference w:id="92"/>
      </w:r>
      <w:r w:rsidRPr="002428BF">
        <w:rPr>
          <w:rFonts w:ascii="Times New Roman" w:hAnsi="Times New Roman"/>
          <w:sz w:val="24"/>
        </w:rPr>
        <w:t xml:space="preserve"> for all regulated facilities was 3 percent (n = 382 facilities reporting at least one accident out of 12,855 unique facilities reporting between 2016 and 2020), </w:t>
      </w:r>
      <w:r w:rsidRPr="002428BF">
        <w:rPr>
          <w:rFonts w:ascii="Times New Roman" w:hAnsi="Times New Roman"/>
          <w:sz w:val="24"/>
        </w:rPr>
        <w:t>the sector accident rates (number of unique facilities with accidents per</w:t>
      </w:r>
    </w:p>
    <w:p w:rsidR="002428BF" w:rsidRPr="004E3BA8" w:rsidP="002C327D" w14:paraId="1993AC77" w14:textId="5C5C4F95">
      <w:pPr>
        <w:autoSpaceDE w:val="0"/>
        <w:autoSpaceDN w:val="0"/>
        <w:adjustRightInd w:val="0"/>
        <w:spacing w:before="0" w:after="0"/>
        <w:ind w:left="720"/>
        <w:rPr>
          <w:rFonts w:ascii="Times New Roman" w:hAnsi="Times New Roman"/>
          <w:sz w:val="24"/>
        </w:rPr>
      </w:pPr>
      <w:r w:rsidRPr="002428BF">
        <w:rPr>
          <w:rFonts w:ascii="Times New Roman" w:hAnsi="Times New Roman"/>
          <w:sz w:val="24"/>
        </w:rPr>
        <w:t xml:space="preserve">sector divided by the number of unique facilities in each sector) for petroleum and coal </w:t>
      </w:r>
      <w:r w:rsidRPr="002428BF">
        <w:rPr>
          <w:rFonts w:ascii="Times New Roman" w:hAnsi="Times New Roman"/>
          <w:sz w:val="24"/>
        </w:rPr>
        <w:t>m</w:t>
      </w:r>
      <w:r w:rsidRPr="002428BF">
        <w:rPr>
          <w:rFonts w:ascii="Times New Roman" w:hAnsi="Times New Roman"/>
          <w:sz w:val="24"/>
        </w:rPr>
        <w:t>anufacturing were seven times higher (23 percent, n = 41 out of 177)</w:t>
      </w:r>
      <w:r w:rsidRPr="53C03742" w:rsidR="008A3C57">
        <w:rPr>
          <w:rFonts w:ascii="Times New Roman" w:hAnsi="Times New Roman"/>
        </w:rPr>
        <w:t xml:space="preserve"> </w:t>
      </w:r>
      <w:r w:rsidRPr="53C03742" w:rsidR="00557390">
        <w:rPr>
          <w:rFonts w:ascii="Times New Roman" w:hAnsi="Times New Roman"/>
        </w:rPr>
        <w:t>(87 FR 53578).</w:t>
      </w:r>
      <w:r>
        <w:rPr>
          <w:rStyle w:val="FootnoteReference"/>
          <w:rFonts w:ascii="Times New Roman" w:hAnsi="Times New Roman"/>
          <w:szCs w:val="22"/>
        </w:rPr>
        <w:footnoteReference w:id="93"/>
      </w:r>
      <w:r w:rsidRPr="53C03742" w:rsidR="00557390">
        <w:rPr>
          <w:rFonts w:ascii="Times New Roman" w:hAnsi="Times New Roman"/>
        </w:rPr>
        <w:t xml:space="preserve"> </w:t>
      </w:r>
      <w:r w:rsidRPr="53C03742" w:rsidR="000B2357">
        <w:rPr>
          <w:rFonts w:ascii="Times New Roman" w:hAnsi="Times New Roman"/>
        </w:rPr>
        <w:t xml:space="preserve"> </w:t>
      </w:r>
      <w:r w:rsidRPr="53C03742" w:rsidR="007943D3">
        <w:rPr>
          <w:rFonts w:ascii="Times New Roman" w:hAnsi="Times New Roman"/>
          <w:sz w:val="24"/>
          <w14:ligatures w14:val="standardContextual"/>
        </w:rPr>
        <w:t>HF is an extremely toxic</w:t>
      </w:r>
      <w:r w:rsidRPr="53C03742">
        <w:rPr>
          <w:rFonts w:ascii="Times New Roman" w:hAnsi="Times New Roman"/>
          <w:sz w:val="24"/>
          <w14:ligatures w14:val="standardContextual"/>
        </w:rPr>
        <w:t xml:space="preserve"> </w:t>
      </w:r>
      <w:r w:rsidRPr="53C03742" w:rsidR="007943D3">
        <w:rPr>
          <w:rFonts w:ascii="Times New Roman" w:hAnsi="Times New Roman"/>
          <w:sz w:val="24"/>
          <w14:ligatures w14:val="standardContextual"/>
        </w:rPr>
        <w:t>chemical used for alkylation at 27</w:t>
      </w:r>
      <w:r w:rsidRPr="53C03742">
        <w:rPr>
          <w:rFonts w:ascii="Times New Roman" w:hAnsi="Times New Roman"/>
          <w:sz w:val="24"/>
          <w14:ligatures w14:val="standardContextual"/>
        </w:rPr>
        <w:t xml:space="preserve"> </w:t>
      </w:r>
      <w:r w:rsidRPr="53C03742" w:rsidR="007943D3">
        <w:rPr>
          <w:rFonts w:ascii="Times New Roman" w:hAnsi="Times New Roman"/>
          <w:sz w:val="24"/>
          <w14:ligatures w14:val="standardContextual"/>
        </w:rPr>
        <w:t xml:space="preserve">percent of </w:t>
      </w:r>
      <w:r w:rsidRPr="002428BF" w:rsidR="00E52839">
        <w:rPr>
          <w:rFonts w:ascii="Times New Roman" w:hAnsi="Times New Roman"/>
          <w:sz w:val="24"/>
        </w:rPr>
        <w:t xml:space="preserve">petroleum </w:t>
      </w:r>
      <w:r w:rsidR="00D87950">
        <w:rPr>
          <w:rFonts w:ascii="Times New Roman" w:hAnsi="Times New Roman"/>
          <w:sz w:val="24"/>
        </w:rPr>
        <w:t>refining</w:t>
      </w:r>
      <w:r w:rsidR="00E52839">
        <w:rPr>
          <w:rFonts w:ascii="Times New Roman" w:hAnsi="Times New Roman"/>
          <w:sz w:val="24"/>
        </w:rPr>
        <w:t xml:space="preserve"> </w:t>
      </w:r>
      <w:r w:rsidRPr="53C03742" w:rsidR="007943D3">
        <w:rPr>
          <w:rFonts w:ascii="Times New Roman" w:hAnsi="Times New Roman"/>
          <w:sz w:val="24"/>
          <w14:ligatures w14:val="standardContextual"/>
        </w:rPr>
        <w:t>facilities (45 of</w:t>
      </w:r>
      <w:r w:rsidRPr="53C03742">
        <w:rPr>
          <w:rFonts w:ascii="Times New Roman" w:hAnsi="Times New Roman"/>
          <w:sz w:val="24"/>
          <w14:ligatures w14:val="standardContextual"/>
        </w:rPr>
        <w:t xml:space="preserve"> </w:t>
      </w:r>
      <w:r w:rsidRPr="53C03742" w:rsidR="007943D3">
        <w:rPr>
          <w:rFonts w:ascii="Times New Roman" w:hAnsi="Times New Roman"/>
          <w:sz w:val="24"/>
          <w14:ligatures w14:val="standardContextual"/>
        </w:rPr>
        <w:t>163).</w:t>
      </w:r>
      <w:r w:rsidRPr="53C03742">
        <w:rPr>
          <w:rFonts w:ascii="Times New Roman" w:hAnsi="Times New Roman"/>
          <w:sz w:val="24"/>
          <w14:ligatures w14:val="standardContextual"/>
        </w:rPr>
        <w:t xml:space="preserve"> </w:t>
      </w:r>
      <w:r w:rsidRPr="00500A7C" w:rsidR="003B12AF">
        <w:rPr>
          <w:rFonts w:ascii="Times New Roman" w:hAnsi="Times New Roman"/>
          <w:sz w:val="24"/>
        </w:rPr>
        <w:t xml:space="preserve">EPA believes that the final </w:t>
      </w:r>
      <w:r w:rsidR="003B12AF">
        <w:rPr>
          <w:rFonts w:ascii="Times New Roman" w:hAnsi="Times New Roman"/>
          <w:sz w:val="24"/>
        </w:rPr>
        <w:t>HF provisions</w:t>
      </w:r>
      <w:r w:rsidRPr="00500A7C" w:rsidR="003B12AF">
        <w:rPr>
          <w:rFonts w:ascii="Times New Roman" w:hAnsi="Times New Roman"/>
          <w:sz w:val="24"/>
        </w:rPr>
        <w:t xml:space="preserve"> makes significant improvements to </w:t>
      </w:r>
      <w:r w:rsidR="003B12AF">
        <w:rPr>
          <w:rFonts w:ascii="Times New Roman" w:hAnsi="Times New Roman"/>
          <w:sz w:val="24"/>
        </w:rPr>
        <w:t>protect</w:t>
      </w:r>
      <w:r w:rsidRPr="00500A7C" w:rsidR="003B12AF">
        <w:rPr>
          <w:rFonts w:ascii="Times New Roman" w:hAnsi="Times New Roman"/>
          <w:sz w:val="24"/>
        </w:rPr>
        <w:t xml:space="preserve"> </w:t>
      </w:r>
      <w:r w:rsidRPr="00500A7C" w:rsidR="00544127">
        <w:rPr>
          <w:rFonts w:ascii="Times New Roman" w:hAnsi="Times New Roman"/>
          <w:sz w:val="24"/>
        </w:rPr>
        <w:t xml:space="preserve">fenceline </w:t>
      </w:r>
      <w:r w:rsidRPr="002428BF" w:rsidR="00544127">
        <w:rPr>
          <w:rFonts w:ascii="Times New Roman" w:hAnsi="Times New Roman"/>
          <w:sz w:val="24"/>
        </w:rPr>
        <w:t>communities</w:t>
      </w:r>
      <w:r w:rsidRPr="00500A7C" w:rsidR="003B12AF">
        <w:rPr>
          <w:rFonts w:ascii="Times New Roman" w:hAnsi="Times New Roman"/>
          <w:sz w:val="24"/>
        </w:rPr>
        <w:t>.</w:t>
      </w:r>
      <w:r w:rsidRPr="002428BF" w:rsidR="00EB1C44">
        <w:rPr>
          <w:rFonts w:ascii="Times New Roman" w:hAnsi="Times New Roman"/>
          <w:sz w:val="24"/>
        </w:rPr>
        <w:t xml:space="preserve"> </w:t>
      </w:r>
    </w:p>
    <w:p w:rsidR="003B12AF" w:rsidP="004E3BA8" w14:paraId="3F37E4F6" w14:textId="77777777">
      <w:pPr>
        <w:pStyle w:val="Heading2"/>
        <w:spacing w:before="120"/>
        <w:rPr>
          <w:rFonts w:ascii="Times New Roman" w:hAnsi="Times New Roman" w:cs="Times New Roman"/>
          <w:b/>
          <w:bCs/>
          <w:color w:val="auto"/>
          <w:sz w:val="24"/>
          <w:szCs w:val="24"/>
        </w:rPr>
      </w:pPr>
      <w:bookmarkStart w:id="77" w:name="_Toc153373790"/>
      <w:r>
        <w:rPr>
          <w:rFonts w:ascii="Times New Roman" w:hAnsi="Times New Roman" w:cs="Times New Roman"/>
          <w:b/>
          <w:bCs/>
          <w:color w:val="auto"/>
          <w:sz w:val="24"/>
          <w:szCs w:val="24"/>
        </w:rPr>
        <w:t>STAA evaluation</w:t>
      </w:r>
      <w:bookmarkEnd w:id="77"/>
    </w:p>
    <w:p w:rsidR="003B12AF" w:rsidRPr="00C567C7" w:rsidP="003B12AF" w14:paraId="5E57868F" w14:textId="77777777">
      <w:pPr>
        <w:rPr>
          <w:rFonts w:ascii="Times New Roman" w:hAnsi="Times New Roman"/>
          <w:i/>
          <w:iCs/>
          <w:sz w:val="24"/>
        </w:rPr>
      </w:pPr>
      <w:r w:rsidRPr="00C567C7">
        <w:rPr>
          <w:rFonts w:ascii="Times New Roman" w:hAnsi="Times New Roman"/>
          <w:i/>
          <w:iCs/>
          <w:sz w:val="24"/>
        </w:rPr>
        <w:t xml:space="preserve">General recommendations for revisions to STAA evaluation requirements without reference to applicability </w:t>
      </w:r>
      <w:r>
        <w:rPr>
          <w:rFonts w:ascii="Times New Roman" w:hAnsi="Times New Roman"/>
          <w:i/>
          <w:iCs/>
          <w:sz w:val="24"/>
        </w:rPr>
        <w:t>or geography</w:t>
      </w:r>
    </w:p>
    <w:p w:rsidR="003B12AF" w:rsidP="003B12AF" w14:paraId="5ED209F1" w14:textId="77777777">
      <w:pPr>
        <w:rPr>
          <w:rFonts w:ascii="Times New Roman" w:hAnsi="Times New Roman"/>
          <w:sz w:val="24"/>
        </w:rPr>
      </w:pPr>
      <w:r>
        <w:rPr>
          <w:rFonts w:ascii="Times New Roman" w:hAnsi="Times New Roman"/>
          <w:b/>
          <w:bCs/>
          <w:sz w:val="24"/>
        </w:rPr>
        <w:t xml:space="preserve">Comment 6.3-01: </w:t>
      </w:r>
      <w:r w:rsidRPr="006F68E9">
        <w:rPr>
          <w:rFonts w:ascii="Times New Roman" w:hAnsi="Times New Roman"/>
          <w:sz w:val="24"/>
        </w:rPr>
        <w:t xml:space="preserve">One </w:t>
      </w:r>
      <w:r>
        <w:rPr>
          <w:rFonts w:ascii="Times New Roman" w:hAnsi="Times New Roman"/>
          <w:sz w:val="24"/>
        </w:rPr>
        <w:t>commenter</w:t>
      </w:r>
      <w:r w:rsidRPr="006F68E9">
        <w:rPr>
          <w:rFonts w:ascii="Times New Roman" w:hAnsi="Times New Roman"/>
          <w:sz w:val="24"/>
        </w:rPr>
        <w:t xml:space="preserve"> suggested requiring Program 2 and Program 3 process to consider STAA during the design and development of new RMP processes (0215</w:t>
      </w:r>
      <w:r w:rsidRPr="00946686">
        <w:rPr>
          <w:rFonts w:ascii="Times New Roman" w:hAnsi="Times New Roman"/>
          <w:sz w:val="24"/>
        </w:rPr>
        <w:t>). A couple of commenters stated that STAA should be completed in the design phase of a process and the reasons different technologies are not implemented after a facility is already built are complex – ranging from chemical production or storage capability to life expectancy of operating equipment, capital expenditures, and market demands (0201, 0233).</w:t>
      </w:r>
    </w:p>
    <w:p w:rsidR="003B12AF" w:rsidRPr="00300BFA" w:rsidP="003B12AF" w14:paraId="3AD45544" w14:textId="77777777">
      <w:pPr>
        <w:ind w:left="720"/>
        <w:rPr>
          <w:rFonts w:ascii="Times New Roman" w:hAnsi="Times New Roman"/>
          <w:sz w:val="24"/>
        </w:rPr>
      </w:pPr>
      <w:r w:rsidRPr="00300BFA">
        <w:rPr>
          <w:rFonts w:ascii="Times New Roman" w:hAnsi="Times New Roman"/>
          <w:b/>
          <w:bCs/>
          <w:sz w:val="24"/>
        </w:rPr>
        <w:t>EPA Response:</w:t>
      </w:r>
      <w:r>
        <w:rPr>
          <w:rFonts w:ascii="Times New Roman" w:hAnsi="Times New Roman"/>
          <w:sz w:val="24"/>
        </w:rPr>
        <w:t xml:space="preserve"> </w:t>
      </w:r>
      <w:r w:rsidRPr="002A313D">
        <w:rPr>
          <w:rFonts w:ascii="Times New Roman" w:hAnsi="Times New Roman"/>
          <w:sz w:val="24"/>
        </w:rPr>
        <w:t xml:space="preserve">In response to the comments that the STAA requirement should be limited to the design and development phases of new Program 2 and Program 3 processes, EPA disagrees. While the greatest potential opportunities for using IST may exist early in process design and development, many IST options may still be practicable after the initial design phase. Furthermore, STAA involves more than just IST. Safer technology alternatives also include passive measures, active measures, and procedural measures, and these measures can be modified and improved after the initial design of a facility. EPA notes that while many RMP-regulated facilities were originally constructed decades ago, major enhancements have been reported in some plants that have been operating for many years. </w:t>
      </w:r>
      <w:r w:rsidRPr="00C66858">
        <w:rPr>
          <w:rFonts w:ascii="Times New Roman" w:hAnsi="Times New Roman"/>
          <w:sz w:val="24"/>
        </w:rPr>
        <w:t>Moreover, to the extent that particular measures are cost-prohibitive, the rule allows for that to be a factor in assessing whether a measure is practicable.</w:t>
      </w:r>
    </w:p>
    <w:p w:rsidR="003B12AF" w:rsidRPr="006F68E9" w:rsidP="003B12AF" w14:paraId="7ED7EF0F" w14:textId="77777777">
      <w:pPr>
        <w:rPr>
          <w:rFonts w:ascii="Times New Roman" w:hAnsi="Times New Roman"/>
          <w:sz w:val="24"/>
        </w:rPr>
      </w:pPr>
      <w:r>
        <w:rPr>
          <w:rFonts w:ascii="Times New Roman" w:hAnsi="Times New Roman"/>
          <w:b/>
          <w:bCs/>
          <w:sz w:val="24"/>
        </w:rPr>
        <w:t xml:space="preserve">Comment 6.3-02: </w:t>
      </w:r>
      <w:r w:rsidRPr="006F68E9">
        <w:rPr>
          <w:rFonts w:ascii="Times New Roman" w:hAnsi="Times New Roman"/>
          <w:sz w:val="24"/>
        </w:rPr>
        <w:t xml:space="preserve">Another commenter suggested that processes governed by external specifications be exempt from the STAA requirement. These include those governed by government or contractual approvals or requirements. The commenter mentioned that pharmaceutical and pesticide manufacture are regulated by the FDA, EPA, and other regimes, where manufactures are contractually or regulatorily obligated to follow manufacturing specifications. The commenter </w:t>
      </w:r>
      <w:r>
        <w:rPr>
          <w:rFonts w:ascii="Times New Roman" w:hAnsi="Times New Roman"/>
          <w:sz w:val="24"/>
        </w:rPr>
        <w:t>stated</w:t>
      </w:r>
      <w:r w:rsidRPr="006F68E9">
        <w:rPr>
          <w:rFonts w:ascii="Times New Roman" w:hAnsi="Times New Roman"/>
          <w:sz w:val="24"/>
        </w:rPr>
        <w:t xml:space="preserve"> that conducting a STAA on these processes wastes resources and time as the processes are specified in these various regulations. Furthermore, the commenter stated other cases where STAA requirements are burdensome include toll and other contract manufacturers, as the customer specifies the manufacturing process. The commenter </w:t>
      </w:r>
      <w:r>
        <w:rPr>
          <w:rFonts w:ascii="Times New Roman" w:hAnsi="Times New Roman"/>
          <w:sz w:val="24"/>
        </w:rPr>
        <w:t>stated</w:t>
      </w:r>
      <w:r w:rsidRPr="006F68E9">
        <w:rPr>
          <w:rFonts w:ascii="Times New Roman" w:hAnsi="Times New Roman"/>
          <w:sz w:val="24"/>
        </w:rPr>
        <w:t xml:space="preserve"> that customers are FDA and EPA regulated, and any changes to these processes would violate the contract. The commenter expressed concern that manufacturers would need to attempt to convince their customers to use different processes, and in retaliation, customers would find other manufacturers who do not follow these standards or in other countries where standards are </w:t>
      </w:r>
      <w:r w:rsidRPr="006F68E9">
        <w:rPr>
          <w:rFonts w:ascii="Times New Roman" w:hAnsi="Times New Roman"/>
          <w:sz w:val="24"/>
        </w:rPr>
        <w:t>less stringent. Finally, the commenter expressed concern that STAA analysis would extend the lead time needed, particularly for short contracts, for manufacturers to start work (0275).</w:t>
      </w:r>
    </w:p>
    <w:p w:rsidR="00F91601" w:rsidRPr="00E13A69" w:rsidP="00E13A69" w14:paraId="35A784DB" w14:textId="7CA08D7C">
      <w:pPr>
        <w:ind w:left="720"/>
        <w:rPr>
          <w:rFonts w:ascii="Times New Roman" w:hAnsi="Times New Roman"/>
          <w:sz w:val="24"/>
        </w:rPr>
      </w:pPr>
      <w:r w:rsidRPr="00E13A69">
        <w:rPr>
          <w:rFonts w:ascii="Times New Roman" w:hAnsi="Times New Roman"/>
          <w:b/>
          <w:bCs/>
          <w:sz w:val="24"/>
        </w:rPr>
        <w:t>EPA Response:</w:t>
      </w:r>
      <w:r w:rsidRPr="00E13A69">
        <w:rPr>
          <w:rFonts w:ascii="Times New Roman" w:hAnsi="Times New Roman"/>
          <w:color w:val="000000"/>
          <w:sz w:val="24"/>
          <w:shd w:val="clear" w:color="auto" w:fill="FFFFFF"/>
        </w:rPr>
        <w:t xml:space="preserve"> </w:t>
      </w:r>
      <w:r w:rsidRPr="00E13A69">
        <w:rPr>
          <w:rFonts w:ascii="Times New Roman" w:hAnsi="Times New Roman"/>
          <w:sz w:val="24"/>
        </w:rPr>
        <w:t xml:space="preserve">EPA disagrees </w:t>
      </w:r>
      <w:r w:rsidRPr="006F68E9" w:rsidR="00E13A69">
        <w:rPr>
          <w:rFonts w:ascii="Times New Roman" w:hAnsi="Times New Roman"/>
          <w:sz w:val="24"/>
        </w:rPr>
        <w:t xml:space="preserve">that processes governed by external specifications </w:t>
      </w:r>
      <w:r w:rsidR="00AE47E0">
        <w:rPr>
          <w:rFonts w:ascii="Times New Roman" w:hAnsi="Times New Roman"/>
          <w:sz w:val="24"/>
        </w:rPr>
        <w:t xml:space="preserve">should </w:t>
      </w:r>
      <w:r w:rsidRPr="006F68E9" w:rsidR="00E13A69">
        <w:rPr>
          <w:rFonts w:ascii="Times New Roman" w:hAnsi="Times New Roman"/>
          <w:sz w:val="24"/>
        </w:rPr>
        <w:t>be exempt from the STAA requirement</w:t>
      </w:r>
      <w:r w:rsidRPr="00E13A69">
        <w:rPr>
          <w:rFonts w:ascii="Times New Roman" w:hAnsi="Times New Roman"/>
          <w:sz w:val="24"/>
        </w:rPr>
        <w:t xml:space="preserve">. </w:t>
      </w:r>
      <w:r w:rsidRPr="00E13A69" w:rsidR="00897BB3">
        <w:rPr>
          <w:rFonts w:ascii="Times New Roman" w:hAnsi="Times New Roman"/>
          <w:sz w:val="24"/>
        </w:rPr>
        <w:t>Regarding</w:t>
      </w:r>
      <w:r w:rsidRPr="00E13A69">
        <w:rPr>
          <w:rFonts w:ascii="Times New Roman" w:hAnsi="Times New Roman"/>
          <w:sz w:val="24"/>
        </w:rPr>
        <w:t xml:space="preserve"> STAA, safer technology alternatives include many options beyond chemical substitution. IST could involve minimization of stored raw material chemicals, making process changes that make it less likely to release the chemical (moderation), or reducing complexity in the process that could make accidents more likely (simplification). Therefore, even where a contractual relationship or regulation requires a regulated facility to use a particular regulated substance in specified quantities, owners and operators of facilities should still consider other potential IST measures besides chemical substitution. </w:t>
      </w:r>
      <w:r w:rsidR="005D19BD">
        <w:rPr>
          <w:rFonts w:ascii="Times New Roman" w:hAnsi="Times New Roman"/>
          <w:sz w:val="24"/>
        </w:rPr>
        <w:t>U</w:t>
      </w:r>
      <w:r w:rsidRPr="00E13A69">
        <w:rPr>
          <w:rFonts w:ascii="Times New Roman" w:hAnsi="Times New Roman"/>
          <w:sz w:val="24"/>
        </w:rPr>
        <w:t>se</w:t>
      </w:r>
      <w:r w:rsidR="005D19BD">
        <w:rPr>
          <w:rFonts w:ascii="Times New Roman" w:hAnsi="Times New Roman"/>
          <w:sz w:val="24"/>
        </w:rPr>
        <w:t xml:space="preserve"> of</w:t>
      </w:r>
      <w:r w:rsidRPr="00E13A69">
        <w:rPr>
          <w:rFonts w:ascii="Times New Roman" w:hAnsi="Times New Roman"/>
          <w:sz w:val="24"/>
        </w:rPr>
        <w:t xml:space="preserve"> RMP chemicals for purposes in addition to making a formulated product, such as for cleaning equipment, wastewater treatment or refrigeration, for which chemical substitution may not be prohibited by regulation or contractual relationship. </w:t>
      </w:r>
    </w:p>
    <w:p w:rsidR="003B12AF" w:rsidRPr="00221C78" w:rsidP="00221C78" w14:paraId="3CFB1F17" w14:textId="3F1CE52C">
      <w:pPr>
        <w:ind w:left="720"/>
        <w:rPr>
          <w:rStyle w:val="eop"/>
          <w:rFonts w:ascii="Times New Roman" w:hAnsi="Times New Roman"/>
          <w:sz w:val="24"/>
        </w:rPr>
      </w:pPr>
      <w:r w:rsidRPr="00E13A69">
        <w:rPr>
          <w:rFonts w:ascii="Times New Roman" w:hAnsi="Times New Roman"/>
          <w:sz w:val="24"/>
        </w:rPr>
        <w:t xml:space="preserve">Additionally, under the STAA requirements applicable facilities would still need to consider and implement, if practicable, other safeguards to reduce risks, including at least one passive measure, or an inherently safer technology or design, or a combination of active and procedural measures equivalent to or greater than the risk reduction of a passive measure. EPA believes that measures lower on the hierarchy of controls, passive, active and procedural measures, when implemented appropriately, can be used to help operate a hazardous chemical process safely and can also reduce hazard risks of that process. When compared with IST, these measures could also more likely be added, modified, and improved at variable chemical operations </w:t>
      </w:r>
      <w:r w:rsidRPr="006F68E9" w:rsidR="005D19BD">
        <w:rPr>
          <w:rFonts w:ascii="Times New Roman" w:hAnsi="Times New Roman"/>
          <w:sz w:val="24"/>
        </w:rPr>
        <w:t>governed by external specifications</w:t>
      </w:r>
      <w:r w:rsidRPr="00E13A69">
        <w:rPr>
          <w:rFonts w:ascii="Times New Roman" w:hAnsi="Times New Roman"/>
          <w:sz w:val="24"/>
        </w:rPr>
        <w:t>.</w:t>
      </w:r>
    </w:p>
    <w:p w:rsidR="3F90B18F" w:rsidP="0096506F" w14:paraId="298B2D67" w14:textId="28B6E44C">
      <w:pPr>
        <w:ind w:left="720"/>
        <w:rPr>
          <w:rFonts w:ascii="Times New Roman" w:eastAsia="Times New Roman" w:hAnsi="Times New Roman"/>
          <w:sz w:val="24"/>
        </w:rPr>
      </w:pPr>
      <w:r w:rsidRPr="52E46A68">
        <w:rPr>
          <w:rFonts w:ascii="Times New Roman" w:eastAsia="Times New Roman" w:hAnsi="Times New Roman"/>
          <w:sz w:val="24"/>
        </w:rPr>
        <w:t xml:space="preserve">The Agency retains substantial flexibility for owners and operators to select among passive measures they deem appropriate for their stationary sources. The final rule allows for consideration of factors highlighted in the 2017 amendments rule like chemical formula specifications for toll manufacturers, the potential for risk transfer, supply chain limitations, and the need to address security implications of any change when assessing whether to reject particular passive measures. See 82 FR 4635-36 (toll manufacturers), 4643 (risk transfer), 4648 (supply chain), and 4649 (security). </w:t>
      </w:r>
      <w:r w:rsidRPr="098676C4">
        <w:rPr>
          <w:rFonts w:ascii="Times New Roman" w:eastAsia="Times New Roman" w:hAnsi="Times New Roman"/>
          <w:sz w:val="24"/>
        </w:rPr>
        <w:t>To the extent that external specifications and regulations prohibit cer</w:t>
      </w:r>
      <w:r w:rsidRPr="098676C4" w:rsidR="0C77EBE9">
        <w:rPr>
          <w:rFonts w:ascii="Times New Roman" w:eastAsia="Times New Roman" w:hAnsi="Times New Roman"/>
          <w:sz w:val="24"/>
        </w:rPr>
        <w:t xml:space="preserve">tain </w:t>
      </w:r>
      <w:r w:rsidRPr="3F010235" w:rsidR="0C77EBE9">
        <w:rPr>
          <w:rFonts w:ascii="Times New Roman" w:eastAsia="Times New Roman" w:hAnsi="Times New Roman"/>
          <w:sz w:val="24"/>
        </w:rPr>
        <w:t>chemical substitutions and other</w:t>
      </w:r>
      <w:r w:rsidRPr="3F010235" w:rsidR="6F8D8F81">
        <w:rPr>
          <w:rFonts w:ascii="Times New Roman" w:eastAsia="Times New Roman" w:hAnsi="Times New Roman"/>
          <w:sz w:val="24"/>
        </w:rPr>
        <w:t xml:space="preserve"> technological changes, such requirements maybe</w:t>
      </w:r>
      <w:r w:rsidRPr="4C85679C" w:rsidR="6F8D8F81">
        <w:rPr>
          <w:rFonts w:ascii="Times New Roman" w:eastAsia="Times New Roman" w:hAnsi="Times New Roman"/>
          <w:sz w:val="24"/>
        </w:rPr>
        <w:t xml:space="preserve"> considered when assessing the practicability of ISTs, ISDs, and other </w:t>
      </w:r>
      <w:r w:rsidRPr="4C85679C" w:rsidR="59563C9D">
        <w:rPr>
          <w:rFonts w:ascii="Times New Roman" w:eastAsia="Times New Roman" w:hAnsi="Times New Roman"/>
          <w:sz w:val="24"/>
        </w:rPr>
        <w:t>changes</w:t>
      </w:r>
      <w:r w:rsidRPr="37970D52" w:rsidR="0CB52823">
        <w:rPr>
          <w:rFonts w:ascii="Times New Roman" w:eastAsia="Times New Roman" w:hAnsi="Times New Roman"/>
          <w:sz w:val="24"/>
        </w:rPr>
        <w:t xml:space="preserve"> or when rejecting otherwise practicable changes.</w:t>
      </w:r>
    </w:p>
    <w:p w:rsidR="003B12AF" w:rsidRPr="006F68E9" w:rsidP="003B12AF" w14:paraId="08E48CF3" w14:textId="77777777">
      <w:pPr>
        <w:rPr>
          <w:rFonts w:ascii="Times New Roman" w:hAnsi="Times New Roman"/>
          <w:sz w:val="24"/>
        </w:rPr>
      </w:pPr>
      <w:r>
        <w:rPr>
          <w:rFonts w:ascii="Times New Roman" w:hAnsi="Times New Roman"/>
          <w:b/>
          <w:bCs/>
          <w:sz w:val="24"/>
        </w:rPr>
        <w:t xml:space="preserve">Comment 6.3-03: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based on experience with IST reporting in New Jersey, EPA should clarify that IST/ISD does not include any technology or practice that is not itself integral to, inseparable from, and necessary for the operation of a process. The commenter </w:t>
      </w:r>
      <w:r>
        <w:rPr>
          <w:rFonts w:ascii="Times New Roman" w:hAnsi="Times New Roman"/>
          <w:sz w:val="24"/>
        </w:rPr>
        <w:t>said</w:t>
      </w:r>
      <w:r w:rsidRPr="006F68E9">
        <w:rPr>
          <w:rFonts w:ascii="Times New Roman" w:hAnsi="Times New Roman"/>
          <w:sz w:val="24"/>
        </w:rPr>
        <w:t xml:space="preserve"> that this will disqualify add-on controls, such as warning systems, from being reported as IST/ISD (0203).</w:t>
      </w:r>
    </w:p>
    <w:p w:rsidR="00534C6C" w:rsidRPr="00C14FD1" w:rsidP="00346ABA" w14:paraId="1ECF8287" w14:textId="43FA995A">
      <w:pPr>
        <w:ind w:left="720"/>
        <w:rPr>
          <w:rFonts w:ascii="Times New Roman" w:hAnsi="Times New Roman"/>
          <w:sz w:val="24"/>
        </w:rPr>
      </w:pPr>
      <w:r w:rsidRPr="00A31BB8">
        <w:rPr>
          <w:rFonts w:ascii="Times New Roman" w:hAnsi="Times New Roman"/>
          <w:b/>
          <w:bCs/>
          <w:sz w:val="24"/>
        </w:rPr>
        <w:t>EPA Response:</w:t>
      </w:r>
      <w:r w:rsidRPr="00AC5958" w:rsidR="00AC5958">
        <w:t xml:space="preserve"> </w:t>
      </w:r>
      <w:r w:rsidRPr="00C14FD1" w:rsidR="0080619E">
        <w:rPr>
          <w:rFonts w:ascii="Times New Roman" w:hAnsi="Times New Roman"/>
          <w:sz w:val="24"/>
        </w:rPr>
        <w:t xml:space="preserve">EPA believes that determining </w:t>
      </w:r>
      <w:r w:rsidRPr="00C14FD1" w:rsidR="00AC5958">
        <w:rPr>
          <w:rFonts w:ascii="Times New Roman" w:hAnsi="Times New Roman"/>
          <w:sz w:val="24"/>
        </w:rPr>
        <w:t xml:space="preserve">effective risk management strategies for a facility is a site-specific determination and EPA encourages any improvement that </w:t>
      </w:r>
      <w:r w:rsidRPr="00C14FD1" w:rsidR="00346ABA">
        <w:rPr>
          <w:rFonts w:ascii="Times New Roman" w:hAnsi="Times New Roman"/>
          <w:sz w:val="24"/>
        </w:rPr>
        <w:t>could</w:t>
      </w:r>
      <w:r w:rsidRPr="00C14FD1" w:rsidR="00AC5958">
        <w:rPr>
          <w:rFonts w:ascii="Times New Roman" w:hAnsi="Times New Roman"/>
          <w:sz w:val="24"/>
        </w:rPr>
        <w:t xml:space="preserve"> lead to inherently safer conditions. Therefore, EPA is finalizing the definition of IST/ISD as proposed</w:t>
      </w:r>
      <w:r w:rsidRPr="00C14FD1" w:rsidR="00346ABA">
        <w:rPr>
          <w:rFonts w:ascii="Times New Roman" w:hAnsi="Times New Roman"/>
          <w:sz w:val="24"/>
        </w:rPr>
        <w:t xml:space="preserve">, to </w:t>
      </w:r>
      <w:r w:rsidRPr="00C14FD1" w:rsidR="00276BCA">
        <w:rPr>
          <w:rFonts w:ascii="Times New Roman" w:hAnsi="Times New Roman"/>
          <w:sz w:val="24"/>
        </w:rPr>
        <w:t xml:space="preserve">mean </w:t>
      </w:r>
      <w:r w:rsidRPr="00C14FD1" w:rsidR="009862E8">
        <w:rPr>
          <w:rFonts w:ascii="Times New Roman" w:hAnsi="Times New Roman"/>
          <w:sz w:val="24"/>
        </w:rPr>
        <w:t xml:space="preserve">risk management measures that minimize the use of </w:t>
      </w:r>
      <w:r w:rsidRPr="00C14FD1" w:rsidR="009862E8">
        <w:rPr>
          <w:rFonts w:ascii="Times New Roman" w:hAnsi="Times New Roman"/>
          <w:sz w:val="24"/>
        </w:rPr>
        <w:t>regulated substances, substitute less hazardous substances, moderate the use of regulated substances, or simplify covered processes in order to make accidental releases less likely, or the impacts of such releases less severe.</w:t>
      </w:r>
      <w:r w:rsidRPr="00C14FD1" w:rsidR="00A2276F">
        <w:rPr>
          <w:rFonts w:ascii="Times New Roman" w:hAnsi="Times New Roman"/>
          <w:sz w:val="24"/>
        </w:rPr>
        <w:t xml:space="preserve"> </w:t>
      </w:r>
      <w:r w:rsidRPr="00C14FD1">
        <w:rPr>
          <w:rFonts w:ascii="Times New Roman" w:hAnsi="Times New Roman"/>
          <w:sz w:val="24"/>
        </w:rPr>
        <w:t xml:space="preserve">EPA based </w:t>
      </w:r>
      <w:r w:rsidRPr="00C14FD1" w:rsidR="00A2276F">
        <w:rPr>
          <w:rFonts w:ascii="Times New Roman" w:hAnsi="Times New Roman"/>
          <w:sz w:val="24"/>
        </w:rPr>
        <w:t>this</w:t>
      </w:r>
      <w:r w:rsidRPr="00C14FD1">
        <w:rPr>
          <w:rFonts w:ascii="Times New Roman" w:hAnsi="Times New Roman"/>
          <w:sz w:val="24"/>
        </w:rPr>
        <w:t xml:space="preserve"> definition of IST or ISD on the four inherently safer strategies as explained in the Inherently Safer Chemical Processes: A Life Cycle Approach by CCPS.</w:t>
      </w:r>
      <w:r>
        <w:rPr>
          <w:rStyle w:val="FootnoteReference"/>
          <w:rFonts w:ascii="Times New Roman" w:hAnsi="Times New Roman"/>
          <w:sz w:val="24"/>
        </w:rPr>
        <w:footnoteReference w:id="94"/>
      </w:r>
      <w:r w:rsidRPr="00C14FD1">
        <w:rPr>
          <w:rFonts w:ascii="Times New Roman" w:hAnsi="Times New Roman"/>
          <w:sz w:val="24"/>
        </w:rPr>
        <w:t xml:space="preserve"> These four types of strategies have been widely recognized by the industry and best encompass the concepts and principles of applying inherent safety, which focuses on eliminating or reducing the hazards associated with a set of conditions. </w:t>
      </w:r>
    </w:p>
    <w:p w:rsidR="00534C6C" w:rsidRPr="00C14FD1" w:rsidP="00534C6C" w14:paraId="19CF3C9A" w14:textId="79C5C5BE">
      <w:pPr>
        <w:ind w:left="720"/>
        <w:rPr>
          <w:rFonts w:ascii="Times New Roman" w:hAnsi="Times New Roman"/>
          <w:sz w:val="24"/>
        </w:rPr>
      </w:pPr>
      <w:r w:rsidRPr="00C14FD1">
        <w:rPr>
          <w:rFonts w:ascii="Times New Roman" w:hAnsi="Times New Roman"/>
          <w:sz w:val="24"/>
        </w:rPr>
        <w:t>As the 2010 CCPS Final Report: Definition for Inherently Safer Technology (IST) in Production, Transportation, Storage and Use</w:t>
      </w:r>
      <w:r>
        <w:rPr>
          <w:rStyle w:val="FootnoteReference"/>
          <w:rFonts w:ascii="Times New Roman" w:hAnsi="Times New Roman"/>
          <w:sz w:val="24"/>
        </w:rPr>
        <w:footnoteReference w:id="95"/>
      </w:r>
      <w:r w:rsidRPr="00C14FD1">
        <w:rPr>
          <w:rFonts w:ascii="Times New Roman" w:hAnsi="Times New Roman"/>
          <w:sz w:val="24"/>
        </w:rPr>
        <w:t xml:space="preserve"> states: </w:t>
      </w:r>
    </w:p>
    <w:p w:rsidR="00534C6C" w:rsidRPr="00C14FD1" w:rsidP="00C14FD1" w14:paraId="3E54A554" w14:textId="77777777">
      <w:pPr>
        <w:ind w:left="1440"/>
        <w:rPr>
          <w:rFonts w:ascii="Times New Roman" w:hAnsi="Times New Roman"/>
          <w:sz w:val="24"/>
        </w:rPr>
      </w:pPr>
      <w:r w:rsidRPr="00C14FD1">
        <w:rPr>
          <w:rFonts w:ascii="Times New Roman" w:hAnsi="Times New Roman"/>
          <w:sz w:val="24"/>
        </w:rPr>
        <w:t xml:space="preserve">“IST (Inherently Safer Technology), also known as Inherently Safer Design (ISD), permanently eliminates or reduces hazards to avoid or reduce the consequences of incidents. IST is a philosophy, applied to the design and operation life cycle, including manufacture, transport, storage, use, and disposal. IST is an iterative process that considers such options, including </w:t>
      </w:r>
      <w:r w:rsidRPr="0087009E">
        <w:rPr>
          <w:rFonts w:ascii="Times New Roman" w:hAnsi="Times New Roman"/>
          <w:sz w:val="24"/>
          <w:u w:val="single"/>
        </w:rPr>
        <w:t>eliminating a hazard, reducing a hazard, substituting a less hazardous material, using less hazardous process conditions, and designing a process to reduce the potential for, or consequences of, human error, equipment failure, or intentional harm.</w:t>
      </w:r>
      <w:r w:rsidRPr="00C14FD1">
        <w:rPr>
          <w:rFonts w:ascii="Times New Roman" w:hAnsi="Times New Roman"/>
          <w:sz w:val="24"/>
        </w:rPr>
        <w:t xml:space="preserve">” (emphasis added) </w:t>
      </w:r>
    </w:p>
    <w:p w:rsidR="00534C6C" w:rsidRPr="00C14FD1" w:rsidP="00534C6C" w14:paraId="27B8D29F" w14:textId="5E200791">
      <w:pPr>
        <w:ind w:left="720"/>
        <w:rPr>
          <w:rFonts w:ascii="Times New Roman" w:hAnsi="Times New Roman"/>
          <w:sz w:val="24"/>
        </w:rPr>
      </w:pPr>
      <w:r w:rsidRPr="00C14FD1">
        <w:rPr>
          <w:rFonts w:ascii="Times New Roman" w:hAnsi="Times New Roman"/>
          <w:sz w:val="24"/>
        </w:rPr>
        <w:t>The CCPS guidance is organized by these four strategies and provides many examples of each type of strategy. NJDEP also uses descriptions of the four strategies to identify available IST alternatives in their IST review requirements.</w:t>
      </w:r>
      <w:r>
        <w:rPr>
          <w:rStyle w:val="FootnoteReference"/>
          <w:rFonts w:ascii="Times New Roman" w:hAnsi="Times New Roman"/>
          <w:sz w:val="24"/>
        </w:rPr>
        <w:footnoteReference w:id="96"/>
      </w:r>
      <w:r w:rsidRPr="00C14FD1">
        <w:rPr>
          <w:rFonts w:ascii="Times New Roman" w:hAnsi="Times New Roman"/>
          <w:sz w:val="24"/>
        </w:rPr>
        <w:t xml:space="preserve"> Although some NJ facilities may have reported some controls that others might not strictly view as IST, EPA does not believe that IST should be limited only to chemical substitution and process changes. Changes involving transportation of chemicals and storage location are also cited in the checklist because inherent safety can involve reduction of </w:t>
      </w:r>
      <w:r w:rsidRPr="00C14FD1" w:rsidR="00C14FD1">
        <w:rPr>
          <w:rFonts w:ascii="Times New Roman" w:hAnsi="Times New Roman"/>
          <w:sz w:val="24"/>
        </w:rPr>
        <w:t>hazard and</w:t>
      </w:r>
      <w:r w:rsidRPr="00C14FD1">
        <w:rPr>
          <w:rFonts w:ascii="Times New Roman" w:hAnsi="Times New Roman"/>
          <w:sz w:val="24"/>
        </w:rPr>
        <w:t xml:space="preserve"> does not require complete elimination of a hazard.</w:t>
      </w:r>
    </w:p>
    <w:p w:rsidR="003B12AF" w:rsidP="003B12AF" w14:paraId="730E7C69" w14:textId="77777777">
      <w:pPr>
        <w:rPr>
          <w:rFonts w:ascii="Times New Roman" w:hAnsi="Times New Roman"/>
          <w:sz w:val="24"/>
        </w:rPr>
      </w:pPr>
      <w:r w:rsidRPr="00D67F9F">
        <w:rPr>
          <w:rFonts w:ascii="Times New Roman" w:hAnsi="Times New Roman"/>
          <w:b/>
          <w:bCs/>
          <w:sz w:val="24"/>
        </w:rPr>
        <w:t>Comment</w:t>
      </w:r>
      <w:r>
        <w:rPr>
          <w:rFonts w:ascii="Times New Roman" w:hAnsi="Times New Roman"/>
          <w:b/>
          <w:bCs/>
          <w:sz w:val="24"/>
        </w:rPr>
        <w:t xml:space="preserve"> 6.3-04</w:t>
      </w:r>
      <w:r w:rsidRPr="00D67F9F">
        <w:rPr>
          <w:rFonts w:ascii="Times New Roman" w:hAnsi="Times New Roman"/>
          <w:b/>
          <w:bCs/>
          <w:sz w:val="24"/>
        </w:rPr>
        <w:t>:</w:t>
      </w:r>
      <w:r>
        <w:rPr>
          <w:rFonts w:ascii="Times New Roman" w:hAnsi="Times New Roman"/>
          <w:sz w:val="24"/>
        </w:rPr>
        <w:t xml:space="preserve"> </w:t>
      </w:r>
      <w:r w:rsidRPr="006B47CC">
        <w:rPr>
          <w:rFonts w:ascii="Times New Roman" w:hAnsi="Times New Roman"/>
          <w:sz w:val="24"/>
        </w:rPr>
        <w:t xml:space="preserve">One of the commenters said that owners and operators do not have expertise in IST and have been dismissive of ISTs because of their high costs. The commenter recommended including IST vendors (e.g., Honeywell for ISOALKY ionic liquid alkylation) on the STAA team, along with owners and operators, to demonstrate the low cost and high performance of their technologies (0107). </w:t>
      </w:r>
    </w:p>
    <w:p w:rsidR="00996E9A" w:rsidRPr="00D85ECF" w:rsidP="00996E9A" w14:paraId="63847BBD" w14:textId="2C10CD77">
      <w:pPr>
        <w:ind w:left="720"/>
        <w:rPr>
          <w:rFonts w:ascii="Times New Roman" w:hAnsi="Times New Roman"/>
          <w:sz w:val="24"/>
          <w:vertAlign w:val="superscript"/>
        </w:rPr>
      </w:pPr>
      <w:r w:rsidRPr="00D85ECF">
        <w:rPr>
          <w:rFonts w:ascii="Times New Roman" w:hAnsi="Times New Roman"/>
          <w:b/>
          <w:bCs/>
          <w:sz w:val="24"/>
        </w:rPr>
        <w:t>EPA Response:</w:t>
      </w:r>
      <w:r w:rsidRPr="00996E9A">
        <w:rPr>
          <w:rFonts w:ascii="Times New Roman" w:eastAsia="MS Mincho" w:hAnsi="Times New Roman"/>
          <w:sz w:val="24"/>
        </w:rPr>
        <w:t xml:space="preserve"> </w:t>
      </w:r>
      <w:r w:rsidRPr="00D85ECF" w:rsidR="00453493">
        <w:rPr>
          <w:rFonts w:ascii="Times New Roman" w:hAnsi="Times New Roman"/>
          <w:sz w:val="24"/>
        </w:rPr>
        <w:t xml:space="preserve">The final rule will provide facility owners or operators the flexibility to use facility personnel with expertise and experience with facility processes and their industry to conduct STAAs and determine the practicability of IST/ISD considered. </w:t>
      </w:r>
      <w:r w:rsidRPr="00D85ECF" w:rsidR="000936CF">
        <w:rPr>
          <w:rFonts w:ascii="Times New Roman" w:hAnsi="Times New Roman"/>
          <w:sz w:val="24"/>
        </w:rPr>
        <w:t>EPA believe</w:t>
      </w:r>
      <w:r w:rsidRPr="00D85ECF" w:rsidR="000C412E">
        <w:rPr>
          <w:rFonts w:ascii="Times New Roman" w:hAnsi="Times New Roman"/>
          <w:sz w:val="24"/>
        </w:rPr>
        <w:t>s</w:t>
      </w:r>
      <w:r w:rsidRPr="00D85ECF" w:rsidR="000936CF">
        <w:rPr>
          <w:rFonts w:ascii="Times New Roman" w:hAnsi="Times New Roman"/>
          <w:sz w:val="24"/>
        </w:rPr>
        <w:t xml:space="preserve"> that </w:t>
      </w:r>
      <w:r w:rsidRPr="00D85ECF" w:rsidR="000C412E">
        <w:rPr>
          <w:rFonts w:ascii="Times New Roman" w:hAnsi="Times New Roman"/>
          <w:sz w:val="24"/>
        </w:rPr>
        <w:t>the</w:t>
      </w:r>
      <w:r w:rsidRPr="00D85ECF" w:rsidR="000936CF">
        <w:rPr>
          <w:rFonts w:ascii="Times New Roman" w:hAnsi="Times New Roman"/>
          <w:sz w:val="24"/>
        </w:rPr>
        <w:t xml:space="preserve"> facility has the expertise and resources to determine whether implementation of any IST or ISD should be undertaken, taking into </w:t>
      </w:r>
      <w:r w:rsidRPr="00D85ECF">
        <w:rPr>
          <w:rFonts w:ascii="Times New Roman" w:hAnsi="Times New Roman"/>
          <w:sz w:val="24"/>
        </w:rPr>
        <w:t>the five practicability factors (</w:t>
      </w:r>
      <w:r w:rsidRPr="00D85ECF">
        <w:rPr>
          <w:rFonts w:ascii="Times New Roman" w:hAnsi="Times New Roman"/>
          <w:i/>
          <w:iCs/>
          <w:sz w:val="24"/>
        </w:rPr>
        <w:t xml:space="preserve">i.e., </w:t>
      </w:r>
      <w:r w:rsidRPr="00D85ECF">
        <w:rPr>
          <w:rFonts w:ascii="Times New Roman" w:hAnsi="Times New Roman"/>
          <w:sz w:val="24"/>
        </w:rPr>
        <w:t xml:space="preserve">economic, environmental, legal, social and technological) for </w:t>
      </w:r>
      <w:r w:rsidRPr="00D85ECF">
        <w:rPr>
          <w:rFonts w:ascii="Times New Roman" w:hAnsi="Times New Roman"/>
          <w:sz w:val="24"/>
        </w:rPr>
        <w:t>evaluating the appropriateness of implementing for potential IST measures because some IST can involve significant costs or involve impacts that go beyond the facility. These factors are recognized and further discussed in in CCPS’ 2019, “Guidelines for Inherently Safer Chemical Processes, A Life Cycle Approach,” 3</w:t>
      </w:r>
      <w:r w:rsidRPr="00D85ECF">
        <w:rPr>
          <w:rFonts w:ascii="Times New Roman" w:hAnsi="Times New Roman"/>
          <w:sz w:val="24"/>
          <w:vertAlign w:val="superscript"/>
        </w:rPr>
        <w:t>rd</w:t>
      </w:r>
      <w:r w:rsidRPr="00D85ECF">
        <w:rPr>
          <w:rFonts w:ascii="Times New Roman" w:hAnsi="Times New Roman"/>
          <w:sz w:val="24"/>
        </w:rPr>
        <w:t xml:space="preserve"> edition, and NJDEP’s Guidance for Toxic Catastrophe Prevention Act (TCPA), “Inherently Safer Technology (IST) Review,” Attachment 1 “Feasibility guidance.”</w:t>
      </w:r>
      <w:r>
        <w:rPr>
          <w:rFonts w:ascii="Times New Roman" w:hAnsi="Times New Roman"/>
          <w:sz w:val="24"/>
          <w:vertAlign w:val="superscript"/>
        </w:rPr>
        <w:footnoteReference w:id="97"/>
      </w:r>
      <w:r w:rsidRPr="17F2A533" w:rsidR="6343A1EC">
        <w:rPr>
          <w:rFonts w:ascii="Times New Roman" w:hAnsi="Times New Roman"/>
          <w:sz w:val="24"/>
          <w:vertAlign w:val="superscript"/>
        </w:rPr>
        <w:t xml:space="preserve"> </w:t>
      </w:r>
    </w:p>
    <w:p w:rsidR="003B12AF" w:rsidRPr="0013105A" w:rsidP="003B12AF" w14:paraId="0DC7B17F" w14:textId="335B07D2">
      <w:pPr>
        <w:ind w:left="720"/>
        <w:rPr>
          <w:rFonts w:ascii="Times New Roman" w:hAnsi="Times New Roman"/>
          <w:sz w:val="24"/>
        </w:rPr>
      </w:pPr>
      <w:r w:rsidRPr="17F2A533">
        <w:rPr>
          <w:rFonts w:ascii="Times New Roman" w:hAnsi="Times New Roman"/>
          <w:sz w:val="24"/>
        </w:rPr>
        <w:t>EPA expects that</w:t>
      </w:r>
      <w:r w:rsidRPr="17F2A533" w:rsidR="1F751D54">
        <w:rPr>
          <w:rFonts w:ascii="Times New Roman" w:hAnsi="Times New Roman"/>
          <w:sz w:val="24"/>
        </w:rPr>
        <w:t>, as appropriate,</w:t>
      </w:r>
      <w:r w:rsidRPr="17F2A533">
        <w:rPr>
          <w:rFonts w:ascii="Times New Roman" w:hAnsi="Times New Roman"/>
          <w:sz w:val="24"/>
        </w:rPr>
        <w:t xml:space="preserve"> PHA teams will consult with vendors of widely</w:t>
      </w:r>
      <w:r w:rsidRPr="17F2A533" w:rsidR="716D4509">
        <w:rPr>
          <w:rFonts w:ascii="Times New Roman" w:hAnsi="Times New Roman"/>
          <w:sz w:val="24"/>
        </w:rPr>
        <w:t xml:space="preserve"> </w:t>
      </w:r>
      <w:r w:rsidRPr="17F2A533">
        <w:rPr>
          <w:rFonts w:ascii="Times New Roman" w:hAnsi="Times New Roman"/>
          <w:sz w:val="24"/>
        </w:rPr>
        <w:t xml:space="preserve">known alternative technologies when </w:t>
      </w:r>
      <w:r w:rsidRPr="17F2A533" w:rsidR="761D10F3">
        <w:rPr>
          <w:rFonts w:ascii="Times New Roman" w:hAnsi="Times New Roman"/>
          <w:sz w:val="24"/>
        </w:rPr>
        <w:t>assessing the practicability</w:t>
      </w:r>
      <w:r w:rsidRPr="17F2A533" w:rsidR="6C23C30B">
        <w:rPr>
          <w:rFonts w:ascii="Times New Roman" w:hAnsi="Times New Roman"/>
          <w:sz w:val="24"/>
        </w:rPr>
        <w:t xml:space="preserve"> of ISTs/ISDs.</w:t>
      </w:r>
    </w:p>
    <w:p w:rsidR="003B12AF" w:rsidRPr="00BD5694" w:rsidP="003B12AF" w14:paraId="40F11799" w14:textId="77777777">
      <w:pPr>
        <w:rPr>
          <w:rFonts w:ascii="Times New Roman" w:hAnsi="Times New Roman"/>
          <w:sz w:val="24"/>
        </w:rPr>
      </w:pPr>
      <w:r w:rsidRPr="00BD5694">
        <w:rPr>
          <w:rFonts w:ascii="Times New Roman" w:eastAsia="Times New Roman" w:hAnsi="Times New Roman"/>
          <w:b/>
          <w:sz w:val="24"/>
        </w:rPr>
        <w:t>Comment: 6</w:t>
      </w:r>
      <w:r>
        <w:rPr>
          <w:rFonts w:ascii="Times New Roman" w:eastAsia="Times New Roman" w:hAnsi="Times New Roman"/>
          <w:b/>
          <w:sz w:val="24"/>
        </w:rPr>
        <w:t>.3-05:</w:t>
      </w:r>
      <w:r w:rsidRPr="00BD5694">
        <w:rPr>
          <w:rFonts w:ascii="Times New Roman" w:eastAsia="Times New Roman" w:hAnsi="Times New Roman"/>
          <w:b/>
          <w:sz w:val="24"/>
        </w:rPr>
        <w:t xml:space="preserve"> </w:t>
      </w:r>
      <w:r w:rsidRPr="00BD5694">
        <w:rPr>
          <w:rFonts w:ascii="Times New Roman" w:eastAsia="Times New Roman" w:hAnsi="Times New Roman"/>
          <w:sz w:val="24"/>
        </w:rPr>
        <w:t xml:space="preserve">Several commenters suggested edits to the </w:t>
      </w:r>
      <w:r w:rsidRPr="00BD5694">
        <w:rPr>
          <w:rFonts w:ascii="Times New Roman" w:hAnsi="Times New Roman"/>
          <w:sz w:val="24"/>
        </w:rPr>
        <w:t>draft outline of STAA information collection found in the Technical Background Document, which include</w:t>
      </w:r>
      <w:r w:rsidRPr="00BD5694">
        <w:rPr>
          <w:rFonts w:ascii="Times New Roman" w:eastAsia="Times New Roman" w:hAnsi="Times New Roman"/>
          <w:sz w:val="24"/>
        </w:rPr>
        <w:t>:</w:t>
      </w:r>
    </w:p>
    <w:p w:rsidR="003B12AF" w:rsidRPr="00BD5694" w:rsidP="003B12AF" w14:paraId="7C2326D7" w14:textId="77777777">
      <w:pPr>
        <w:pStyle w:val="ListParagraph"/>
        <w:rPr>
          <w:rFonts w:ascii="Times New Roman" w:eastAsia="Times New Roman" w:hAnsi="Times New Roman"/>
          <w:sz w:val="24"/>
        </w:rPr>
      </w:pPr>
      <w:r w:rsidRPr="00BD5694">
        <w:rPr>
          <w:rFonts w:ascii="Times New Roman" w:eastAsia="Times New Roman" w:hAnsi="Times New Roman"/>
          <w:sz w:val="24"/>
        </w:rPr>
        <w:t>Strengthen definition of safer technologies to align with best practices, including CalPSM rules (0460)</w:t>
      </w:r>
    </w:p>
    <w:p w:rsidR="003B12AF" w:rsidRPr="00BD5694" w:rsidP="003B12AF" w14:paraId="6B95F346" w14:textId="77777777">
      <w:pPr>
        <w:pStyle w:val="ListParagraph"/>
        <w:rPr>
          <w:rFonts w:ascii="Times New Roman" w:eastAsia="Times New Roman" w:hAnsi="Times New Roman"/>
          <w:sz w:val="24"/>
        </w:rPr>
      </w:pPr>
      <w:r w:rsidRPr="00BD5694">
        <w:rPr>
          <w:rFonts w:ascii="Times New Roman" w:eastAsia="Times New Roman" w:hAnsi="Times New Roman"/>
          <w:sz w:val="24"/>
        </w:rPr>
        <w:t>Expand the “technology transfer” provision to include wastewater and water treatment plants (0460)</w:t>
      </w:r>
    </w:p>
    <w:p w:rsidR="003B12AF" w:rsidRPr="00BD5694" w:rsidP="003B12AF" w14:paraId="72A2B74B" w14:textId="77777777">
      <w:pPr>
        <w:pStyle w:val="ListParagraph"/>
        <w:rPr>
          <w:rFonts w:ascii="Times New Roman" w:eastAsia="Times New Roman" w:hAnsi="Times New Roman"/>
          <w:sz w:val="24"/>
        </w:rPr>
      </w:pPr>
      <w:r w:rsidRPr="00BD5694">
        <w:rPr>
          <w:rFonts w:ascii="Times New Roman" w:eastAsia="Times New Roman" w:hAnsi="Times New Roman"/>
          <w:sz w:val="24"/>
        </w:rPr>
        <w:t>Require all sections to be completed, some are currently marked “optional” (0460, 0220)</w:t>
      </w:r>
    </w:p>
    <w:p w:rsidR="003B12AF" w:rsidRPr="00BD5694" w:rsidP="003B12AF" w14:paraId="675EA39E" w14:textId="77777777">
      <w:pPr>
        <w:pStyle w:val="ListParagraph"/>
        <w:rPr>
          <w:rFonts w:ascii="Times New Roman" w:eastAsia="Times New Roman" w:hAnsi="Times New Roman"/>
          <w:sz w:val="24"/>
        </w:rPr>
      </w:pPr>
      <w:r w:rsidRPr="00BD5694">
        <w:rPr>
          <w:rFonts w:ascii="Times New Roman" w:eastAsia="Times New Roman" w:hAnsi="Times New Roman"/>
          <w:sz w:val="24"/>
        </w:rPr>
        <w:t>Ensure STAA clearinghouse data collected includes narrative text, additional data points, and no data suggested as “optional” (0460)</w:t>
      </w:r>
    </w:p>
    <w:p w:rsidR="003B12AF" w:rsidRPr="00BD5694" w:rsidP="003B12AF" w14:paraId="34B7C97A" w14:textId="77777777">
      <w:pPr>
        <w:pStyle w:val="ListParagraph"/>
        <w:rPr>
          <w:rFonts w:ascii="Times New Roman" w:eastAsia="Times New Roman" w:hAnsi="Times New Roman"/>
          <w:sz w:val="24"/>
        </w:rPr>
      </w:pPr>
      <w:r w:rsidRPr="00BD5694">
        <w:rPr>
          <w:rFonts w:ascii="Times New Roman" w:eastAsia="Times New Roman" w:hAnsi="Times New Roman"/>
          <w:sz w:val="24"/>
        </w:rPr>
        <w:t>Include open text description for elements 2.b.i through 2.b.iv to eliminate distortion of reporting if some include open text and some do not (0220)</w:t>
      </w:r>
    </w:p>
    <w:p w:rsidR="003B12AF" w:rsidRPr="00BD5694" w:rsidP="003B12AF" w14:paraId="09B92870" w14:textId="77777777">
      <w:pPr>
        <w:pStyle w:val="ListParagraph"/>
        <w:rPr>
          <w:rFonts w:ascii="Times New Roman" w:eastAsia="Times New Roman" w:hAnsi="Times New Roman"/>
          <w:sz w:val="24"/>
        </w:rPr>
      </w:pPr>
      <w:r w:rsidRPr="00BD5694">
        <w:rPr>
          <w:rFonts w:ascii="Times New Roman" w:hAnsi="Times New Roman"/>
          <w:sz w:val="24"/>
        </w:rPr>
        <w:t>Element 2.b.i. and 3.i. should include open text description of substitution (0220)</w:t>
      </w:r>
    </w:p>
    <w:p w:rsidR="003B12AF" w:rsidRPr="00BD5694" w:rsidP="003B12AF" w14:paraId="1F50FF5F" w14:textId="77777777">
      <w:pPr>
        <w:pStyle w:val="ListParagraph"/>
        <w:rPr>
          <w:rFonts w:ascii="Times New Roman" w:eastAsia="Times New Roman" w:hAnsi="Times New Roman"/>
          <w:sz w:val="24"/>
        </w:rPr>
      </w:pPr>
      <w:r w:rsidRPr="00BD5694">
        <w:rPr>
          <w:rFonts w:ascii="Times New Roman" w:hAnsi="Times New Roman"/>
          <w:sz w:val="24"/>
        </w:rPr>
        <w:t>Element 2.b.iii. and 3.iii should include open text description of minimization (0220)</w:t>
      </w:r>
    </w:p>
    <w:p w:rsidR="003B12AF" w:rsidRPr="00BD5694" w:rsidP="003B12AF" w14:paraId="01619936" w14:textId="77777777">
      <w:pPr>
        <w:pStyle w:val="ListParagraph"/>
        <w:rPr>
          <w:rFonts w:ascii="Times New Roman" w:eastAsia="Times New Roman" w:hAnsi="Times New Roman"/>
          <w:sz w:val="24"/>
        </w:rPr>
      </w:pPr>
      <w:r w:rsidRPr="00BD5694">
        <w:rPr>
          <w:rFonts w:ascii="Times New Roman" w:hAnsi="Times New Roman"/>
          <w:sz w:val="24"/>
        </w:rPr>
        <w:t>For internal consistency, elements 2.b.i through 2.b.iv and 3.i through 3.iv should refer to substitution, moderation, minimization, or simplification “…of substance or process…”. (0220)</w:t>
      </w:r>
    </w:p>
    <w:p w:rsidR="003B12AF" w:rsidRPr="00BD5694" w:rsidP="003B12AF" w14:paraId="183F5ADA" w14:textId="77777777">
      <w:pPr>
        <w:pStyle w:val="ListParagraph"/>
        <w:rPr>
          <w:rFonts w:ascii="Times New Roman" w:eastAsia="Times New Roman" w:hAnsi="Times New Roman"/>
          <w:sz w:val="24"/>
        </w:rPr>
      </w:pPr>
      <w:r w:rsidRPr="00BD5694">
        <w:rPr>
          <w:rFonts w:ascii="Times New Roman" w:hAnsi="Times New Roman"/>
          <w:sz w:val="24"/>
        </w:rPr>
        <w:t>For consistency with proposed regulatory text at 68.67(c)(9)(ii), consider adding to the elements under 2.d. “Methods used to determine practicability”. (0220)</w:t>
      </w:r>
    </w:p>
    <w:p w:rsidR="003B12AF" w:rsidRPr="00BD5694" w:rsidP="003B12AF" w14:paraId="518D1372" w14:textId="77777777">
      <w:pPr>
        <w:pStyle w:val="ListParagraph"/>
        <w:rPr>
          <w:rFonts w:ascii="Times New Roman" w:eastAsia="Times New Roman" w:hAnsi="Times New Roman"/>
          <w:sz w:val="24"/>
        </w:rPr>
      </w:pPr>
      <w:r w:rsidRPr="00BD5694">
        <w:rPr>
          <w:rFonts w:ascii="Times New Roman" w:hAnsi="Times New Roman"/>
          <w:sz w:val="24"/>
        </w:rPr>
        <w:t>To elicit greater depth of reporting: </w:t>
      </w:r>
    </w:p>
    <w:p w:rsidR="003B12AF" w:rsidRPr="00BD5694" w:rsidP="003B12AF" w14:paraId="2C2FCEE0" w14:textId="77777777">
      <w:pPr>
        <w:pStyle w:val="ListParagraph"/>
        <w:numPr>
          <w:ilvl w:val="1"/>
          <w:numId w:val="2"/>
        </w:numPr>
        <w:rPr>
          <w:rFonts w:ascii="Times New Roman" w:eastAsia="Times New Roman" w:hAnsi="Times New Roman"/>
          <w:sz w:val="24"/>
        </w:rPr>
      </w:pPr>
      <w:r w:rsidRPr="00BD5694">
        <w:rPr>
          <w:rFonts w:ascii="Times New Roman" w:hAnsi="Times New Roman"/>
          <w:sz w:val="24"/>
        </w:rPr>
        <w:t>Add “avoided costs” to element 3.vii. “Estimated cost savings and avoided costs from implementation” (0220)</w:t>
      </w:r>
    </w:p>
    <w:p w:rsidR="003B12AF" w:rsidRPr="00BD5694" w:rsidP="003B12AF" w14:paraId="41202A10" w14:textId="77777777">
      <w:pPr>
        <w:pStyle w:val="ListParagraph"/>
        <w:numPr>
          <w:ilvl w:val="1"/>
          <w:numId w:val="2"/>
        </w:numPr>
        <w:rPr>
          <w:rFonts w:ascii="Times New Roman" w:eastAsia="Times New Roman" w:hAnsi="Times New Roman"/>
          <w:sz w:val="24"/>
        </w:rPr>
      </w:pPr>
      <w:r w:rsidRPr="00BD5694">
        <w:rPr>
          <w:rFonts w:ascii="Times New Roman" w:hAnsi="Times New Roman"/>
          <w:sz w:val="24"/>
        </w:rPr>
        <w:t>Add “avoided costs” to 4.b. “Cost savings or avoided costs (Y/N)” (0220)</w:t>
      </w:r>
    </w:p>
    <w:p w:rsidR="003B12AF" w:rsidRPr="00BD5694" w:rsidP="003B12AF" w14:paraId="09FA749E" w14:textId="77777777">
      <w:pPr>
        <w:pStyle w:val="ListParagraph"/>
        <w:numPr>
          <w:ilvl w:val="1"/>
          <w:numId w:val="2"/>
        </w:numPr>
        <w:rPr>
          <w:rFonts w:ascii="Times New Roman" w:eastAsia="Times New Roman" w:hAnsi="Times New Roman"/>
          <w:sz w:val="24"/>
        </w:rPr>
      </w:pPr>
      <w:r w:rsidRPr="00BD5694">
        <w:rPr>
          <w:rFonts w:ascii="Times New Roman" w:hAnsi="Times New Roman"/>
          <w:sz w:val="24"/>
        </w:rPr>
        <w:t>Insert another element in section 4 “Community expectations (Y/N)” (0220)</w:t>
      </w:r>
    </w:p>
    <w:p w:rsidR="003B12AF" w:rsidRPr="00BD5694" w:rsidP="003B12AF" w14:paraId="2F161422" w14:textId="77777777">
      <w:pPr>
        <w:pStyle w:val="ListParagraph"/>
        <w:numPr>
          <w:ilvl w:val="1"/>
          <w:numId w:val="2"/>
        </w:numPr>
        <w:rPr>
          <w:rFonts w:ascii="Times New Roman" w:eastAsia="Times New Roman" w:hAnsi="Times New Roman"/>
          <w:sz w:val="24"/>
        </w:rPr>
      </w:pPr>
      <w:r w:rsidRPr="00BD5694">
        <w:rPr>
          <w:rFonts w:ascii="Times New Roman" w:hAnsi="Times New Roman"/>
          <w:sz w:val="24"/>
        </w:rPr>
        <w:t>Consider adding to section 4 “business opportunities,” “operational efficiencies,” and “security considerations” as causal factors for safer design. (0220)</w:t>
      </w:r>
    </w:p>
    <w:p w:rsidR="003B12AF" w:rsidRPr="0013105A" w:rsidP="003B12AF" w14:paraId="27F9AB05" w14:textId="3DE9029D">
      <w:pPr>
        <w:pStyle w:val="ListParagraph"/>
        <w:numPr>
          <w:ilvl w:val="1"/>
          <w:numId w:val="2"/>
        </w:numPr>
        <w:rPr>
          <w:rFonts w:ascii="Times New Roman" w:hAnsi="Times New Roman"/>
          <w:sz w:val="24"/>
        </w:rPr>
      </w:pPr>
      <w:r w:rsidRPr="00BD5694">
        <w:rPr>
          <w:rFonts w:ascii="Times New Roman" w:hAnsi="Times New Roman"/>
          <w:sz w:val="24"/>
        </w:rPr>
        <w:t>Element 3.vi. should refer to the safer design “implemented.” (0220)</w:t>
      </w:r>
    </w:p>
    <w:p w:rsidR="003B12AF" w:rsidRPr="00DF1442" w:rsidP="00383E70" w14:paraId="3022B895" w14:textId="717F0EB2">
      <w:pPr>
        <w:ind w:left="720"/>
        <w:rPr>
          <w:rFonts w:ascii="Times New Roman" w:hAnsi="Times New Roman"/>
          <w:bCs/>
          <w:sz w:val="24"/>
        </w:rPr>
      </w:pPr>
      <w:r w:rsidRPr="00383E70">
        <w:rPr>
          <w:rFonts w:ascii="Times New Roman" w:hAnsi="Times New Roman"/>
          <w:b/>
          <w:bCs/>
          <w:sz w:val="24"/>
        </w:rPr>
        <w:t>EPA Response:</w:t>
      </w:r>
      <w:r w:rsidRPr="00383E70" w:rsidR="00086282">
        <w:rPr>
          <w:rFonts w:ascii="Times New Roman" w:hAnsi="Times New Roman"/>
          <w:sz w:val="24"/>
        </w:rPr>
        <w:t xml:space="preserve"> </w:t>
      </w:r>
      <w:r w:rsidRPr="00DF1442" w:rsidR="00086282">
        <w:rPr>
          <w:rFonts w:ascii="Times New Roman" w:hAnsi="Times New Roman"/>
          <w:bCs/>
          <w:sz w:val="24"/>
        </w:rPr>
        <w:t xml:space="preserve">Regarding the STAA technology transfer EPA is requiring that basic information on IST, facility information, categories of safer design identified and implemented and causal factor for initiating safer design implementation be provided in </w:t>
      </w:r>
      <w:r w:rsidRPr="00DF1442" w:rsidR="00086282">
        <w:rPr>
          <w:rFonts w:ascii="Times New Roman" w:hAnsi="Times New Roman"/>
          <w:bCs/>
          <w:sz w:val="24"/>
        </w:rPr>
        <w:t xml:space="preserve">the RMP submission in accordance with 40 CFR 68.175(e)(7). Facilities must provide in their RMP any IST/ISD measures implemented since the last PHA, if any, and the technology category (substitution, minimization, simplification and/or moderation). These technology transfer provisions apply to all facilities required to conduct any component of STAA (evaluation or practicability) under the final rule. This reporting is also voluntary for all other facilities, including deregistered facilities, by which EPA expects to capture useful information about how some facilities, on their own accord, choose to make their processes safer. </w:t>
      </w:r>
      <w:r w:rsidRPr="00DF1442" w:rsidR="001E2CAF">
        <w:rPr>
          <w:rFonts w:ascii="Times New Roman" w:hAnsi="Times New Roman"/>
          <w:bCs/>
          <w:sz w:val="24"/>
        </w:rPr>
        <w:t>EP</w:t>
      </w:r>
      <w:r w:rsidRPr="00DF1442" w:rsidR="001F2623">
        <w:rPr>
          <w:rFonts w:ascii="Times New Roman" w:hAnsi="Times New Roman"/>
          <w:bCs/>
          <w:sz w:val="24"/>
        </w:rPr>
        <w:t>A</w:t>
      </w:r>
      <w:r w:rsidRPr="00DF1442" w:rsidR="001E2CAF">
        <w:rPr>
          <w:rFonts w:ascii="Times New Roman" w:hAnsi="Times New Roman"/>
          <w:bCs/>
          <w:sz w:val="24"/>
        </w:rPr>
        <w:t xml:space="preserve"> appreciates the suggest</w:t>
      </w:r>
      <w:r w:rsidRPr="00DF1442" w:rsidR="001F2623">
        <w:rPr>
          <w:rFonts w:ascii="Times New Roman" w:hAnsi="Times New Roman"/>
          <w:bCs/>
          <w:sz w:val="24"/>
        </w:rPr>
        <w:t>ions</w:t>
      </w:r>
      <w:r w:rsidRPr="00DF1442" w:rsidR="00A14B3E">
        <w:rPr>
          <w:rFonts w:ascii="Times New Roman" w:hAnsi="Times New Roman"/>
          <w:bCs/>
          <w:sz w:val="24"/>
        </w:rPr>
        <w:t xml:space="preserve"> and will consider </w:t>
      </w:r>
      <w:r w:rsidRPr="00DF1442" w:rsidR="00636A09">
        <w:rPr>
          <w:rFonts w:ascii="Times New Roman" w:hAnsi="Times New Roman"/>
          <w:bCs/>
          <w:sz w:val="24"/>
        </w:rPr>
        <w:t xml:space="preserve">them for when developing the </w:t>
      </w:r>
      <w:r w:rsidRPr="00DF1442" w:rsidR="00E005CD">
        <w:rPr>
          <w:rFonts w:ascii="Times New Roman" w:hAnsi="Times New Roman"/>
          <w:bCs/>
          <w:color w:val="1B1B1B"/>
          <w:kern w:val="36"/>
          <w:sz w:val="24"/>
        </w:rPr>
        <w:t xml:space="preserve">RMP*eSubmit </w:t>
      </w:r>
      <w:r w:rsidRPr="00DF1442" w:rsidR="002E612B">
        <w:rPr>
          <w:rFonts w:ascii="Times New Roman" w:hAnsi="Times New Roman"/>
          <w:bCs/>
          <w:color w:val="1B1B1B"/>
          <w:kern w:val="36"/>
          <w:sz w:val="24"/>
        </w:rPr>
        <w:t>User’s Manual</w:t>
      </w:r>
      <w:r>
        <w:rPr>
          <w:rStyle w:val="FootnoteReference"/>
          <w:rFonts w:ascii="Times New Roman" w:hAnsi="Times New Roman"/>
          <w:bCs/>
          <w:color w:val="1B1B1B"/>
          <w:kern w:val="36"/>
          <w:sz w:val="24"/>
        </w:rPr>
        <w:footnoteReference w:id="98"/>
      </w:r>
      <w:r w:rsidRPr="00DF1442" w:rsidR="00B76016">
        <w:rPr>
          <w:rFonts w:ascii="Times New Roman" w:hAnsi="Times New Roman"/>
          <w:bCs/>
          <w:color w:val="1B1B1B"/>
          <w:kern w:val="36"/>
          <w:sz w:val="24"/>
        </w:rPr>
        <w:t xml:space="preserve"> which will include how the </w:t>
      </w:r>
      <w:r w:rsidRPr="00DF1442" w:rsidR="0018713C">
        <w:rPr>
          <w:rFonts w:ascii="Times New Roman" w:hAnsi="Times New Roman"/>
          <w:bCs/>
          <w:color w:val="1B1B1B"/>
          <w:kern w:val="36"/>
          <w:sz w:val="24"/>
        </w:rPr>
        <w:t>fields</w:t>
      </w:r>
      <w:r w:rsidRPr="00DF1442" w:rsidR="00B76016">
        <w:rPr>
          <w:rFonts w:ascii="Times New Roman" w:hAnsi="Times New Roman"/>
          <w:bCs/>
          <w:color w:val="1B1B1B"/>
          <w:kern w:val="36"/>
          <w:sz w:val="24"/>
        </w:rPr>
        <w:t xml:space="preserve"> for the reporting will appear on the online system. </w:t>
      </w:r>
    </w:p>
    <w:p w:rsidR="003B12AF" w:rsidRPr="00487DBB" w:rsidP="00F2365B" w14:paraId="3F0FF6D5"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78" w:name="_Toc153373791"/>
      <w:r w:rsidRPr="00487DBB">
        <w:rPr>
          <w:rFonts w:ascii="Times New Roman" w:hAnsi="Times New Roman" w:eastAsiaTheme="minorEastAsia" w:cs="Times New Roman"/>
          <w:b/>
          <w:bCs/>
          <w:color w:val="auto"/>
        </w:rPr>
        <w:t>STAA applicability</w:t>
      </w:r>
      <w:bookmarkEnd w:id="78"/>
    </w:p>
    <w:p w:rsidR="003B12AF" w:rsidRPr="00396DFC" w:rsidP="003B12AF" w14:paraId="627D26E3" w14:textId="77777777">
      <w:pPr>
        <w:rPr>
          <w:rFonts w:ascii="Times New Roman" w:hAnsi="Times New Roman"/>
          <w:i/>
          <w:iCs/>
          <w:sz w:val="24"/>
        </w:rPr>
      </w:pPr>
      <w:r>
        <w:rPr>
          <w:rFonts w:ascii="Times New Roman" w:hAnsi="Times New Roman"/>
          <w:i/>
          <w:iCs/>
          <w:sz w:val="24"/>
        </w:rPr>
        <w:t>Comments suggesting expansion of STAA applicability</w:t>
      </w:r>
    </w:p>
    <w:p w:rsidR="003B12AF" w:rsidP="003B12AF" w14:paraId="7649C6AD" w14:textId="77777777">
      <w:pPr>
        <w:rPr>
          <w:rFonts w:ascii="Times New Roman" w:hAnsi="Times New Roman"/>
          <w:sz w:val="24"/>
        </w:rPr>
      </w:pPr>
      <w:r>
        <w:rPr>
          <w:rFonts w:ascii="Times New Roman" w:hAnsi="Times New Roman"/>
          <w:b/>
          <w:bCs/>
          <w:sz w:val="24"/>
        </w:rPr>
        <w:t xml:space="preserve">Comment 6.3.1-01: </w:t>
      </w:r>
      <w:r>
        <w:rPr>
          <w:rFonts w:ascii="Times New Roman" w:hAnsi="Times New Roman"/>
          <w:sz w:val="24"/>
        </w:rPr>
        <w:t>Numerous</w:t>
      </w:r>
      <w:r w:rsidRPr="006F68E9">
        <w:rPr>
          <w:rFonts w:ascii="Times New Roman" w:hAnsi="Times New Roman"/>
          <w:sz w:val="24"/>
        </w:rPr>
        <w:t xml:space="preserve"> commenters </w:t>
      </w:r>
      <w:r w:rsidRPr="003A789B">
        <w:rPr>
          <w:rFonts w:ascii="Times New Roman" w:hAnsi="Times New Roman"/>
          <w:sz w:val="24"/>
        </w:rPr>
        <w:t xml:space="preserve">expressed support for the broadening of the scope of industries and </w:t>
      </w:r>
      <w:r w:rsidRPr="006F68E9">
        <w:rPr>
          <w:rFonts w:ascii="Times New Roman" w:hAnsi="Times New Roman"/>
          <w:sz w:val="24"/>
        </w:rPr>
        <w:t xml:space="preserve">facilities </w:t>
      </w:r>
      <w:r w:rsidRPr="003A789B">
        <w:rPr>
          <w:rFonts w:ascii="Times New Roman" w:hAnsi="Times New Roman"/>
          <w:sz w:val="24"/>
        </w:rPr>
        <w:t xml:space="preserve">for which STAA should be required (0135, </w:t>
      </w:r>
      <w:r w:rsidRPr="006F68E9">
        <w:rPr>
          <w:rFonts w:ascii="Times New Roman" w:hAnsi="Times New Roman"/>
          <w:sz w:val="24"/>
        </w:rPr>
        <w:t xml:space="preserve">0139, 0158, 0160, </w:t>
      </w:r>
      <w:r w:rsidRPr="003A789B">
        <w:rPr>
          <w:rFonts w:ascii="Times New Roman" w:hAnsi="Times New Roman"/>
          <w:sz w:val="24"/>
        </w:rPr>
        <w:t xml:space="preserve">0173, </w:t>
      </w:r>
      <w:r>
        <w:rPr>
          <w:rFonts w:ascii="Times New Roman" w:hAnsi="Times New Roman"/>
          <w:sz w:val="24"/>
        </w:rPr>
        <w:t xml:space="preserve">0178, </w:t>
      </w:r>
      <w:r w:rsidRPr="006F68E9">
        <w:rPr>
          <w:rFonts w:ascii="Times New Roman" w:hAnsi="Times New Roman"/>
          <w:sz w:val="24"/>
        </w:rPr>
        <w:t xml:space="preserve">0183, </w:t>
      </w:r>
      <w:r w:rsidRPr="003A789B">
        <w:rPr>
          <w:rFonts w:ascii="Times New Roman" w:hAnsi="Times New Roman"/>
          <w:sz w:val="24"/>
        </w:rPr>
        <w:t xml:space="preserve">0185, </w:t>
      </w:r>
      <w:r w:rsidRPr="006F68E9">
        <w:rPr>
          <w:rFonts w:ascii="Times New Roman" w:hAnsi="Times New Roman"/>
          <w:sz w:val="24"/>
        </w:rPr>
        <w:t xml:space="preserve">0203, </w:t>
      </w:r>
      <w:r w:rsidRPr="003A789B">
        <w:rPr>
          <w:rFonts w:ascii="Times New Roman" w:hAnsi="Times New Roman"/>
          <w:sz w:val="24"/>
        </w:rPr>
        <w:t xml:space="preserve">0208, 0209, 0216, 0219, 0220, 0240, </w:t>
      </w:r>
      <w:r w:rsidRPr="006F68E9">
        <w:rPr>
          <w:rFonts w:ascii="Times New Roman" w:hAnsi="Times New Roman"/>
          <w:sz w:val="24"/>
        </w:rPr>
        <w:t xml:space="preserve">0250, 0252, </w:t>
      </w:r>
      <w:r w:rsidRPr="003A789B">
        <w:rPr>
          <w:rFonts w:ascii="Times New Roman" w:hAnsi="Times New Roman"/>
          <w:sz w:val="24"/>
        </w:rPr>
        <w:t>0255, 0264, 0269, 0270, 0274, 0366, 0383</w:t>
      </w:r>
      <w:r w:rsidRPr="006F68E9">
        <w:rPr>
          <w:rFonts w:ascii="Times New Roman" w:hAnsi="Times New Roman"/>
          <w:sz w:val="24"/>
        </w:rPr>
        <w:t xml:space="preserve">, 0409, </w:t>
      </w:r>
      <w:r w:rsidRPr="003A789B">
        <w:rPr>
          <w:rFonts w:ascii="Times New Roman" w:hAnsi="Times New Roman"/>
          <w:sz w:val="24"/>
        </w:rPr>
        <w:t xml:space="preserve">0413, 0444, </w:t>
      </w:r>
      <w:r w:rsidRPr="006F68E9">
        <w:rPr>
          <w:rFonts w:ascii="Times New Roman" w:hAnsi="Times New Roman"/>
          <w:sz w:val="24"/>
        </w:rPr>
        <w:t xml:space="preserve">0448, 0456, 0460). Some of the commenters highlighted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would only require approximately 5% </w:t>
      </w:r>
      <w:r w:rsidRPr="63266EB6">
        <w:rPr>
          <w:rFonts w:ascii="Times New Roman" w:hAnsi="Times New Roman"/>
          <w:sz w:val="24"/>
        </w:rPr>
        <w:t xml:space="preserve">of </w:t>
      </w:r>
      <w:r w:rsidRPr="006F68E9">
        <w:rPr>
          <w:rFonts w:ascii="Times New Roman" w:hAnsi="Times New Roman"/>
          <w:sz w:val="24"/>
        </w:rPr>
        <w:t>RMP facilities to conduct STAAs, which is a small subset of facilities (0160, 0203, 0250, 0252, 0264). Some of the commenters suggested EPA require all RMP facilities to develop a hierarchy of hazard controls in sequence and priority order to eliminate risks of catastrophic releases (0203, 0250, 0255, 0456)</w:t>
      </w:r>
      <w:r>
        <w:rPr>
          <w:rFonts w:ascii="Times New Roman" w:hAnsi="Times New Roman"/>
          <w:sz w:val="24"/>
        </w:rPr>
        <w:t>.</w:t>
      </w:r>
      <w:r w:rsidRPr="006F68E9">
        <w:rPr>
          <w:rFonts w:ascii="Times New Roman" w:hAnsi="Times New Roman"/>
          <w:sz w:val="24"/>
        </w:rPr>
        <w:t xml:space="preserve"> </w:t>
      </w:r>
    </w:p>
    <w:p w:rsidR="003B12AF" w:rsidP="003B12AF" w14:paraId="0757D07D" w14:textId="77777777">
      <w:pPr>
        <w:rPr>
          <w:rFonts w:ascii="Times New Roman" w:hAnsi="Times New Roman"/>
          <w:sz w:val="24"/>
        </w:rPr>
      </w:pPr>
      <w:r w:rsidRPr="008E1983">
        <w:rPr>
          <w:rFonts w:ascii="Times New Roman" w:hAnsi="Times New Roman"/>
          <w:sz w:val="24"/>
        </w:rPr>
        <w:t>Another commenter added performing the STAA and reporting results on this would be valuable across all the nearly 12,000 facilities and useful to both to provide information to facilities themselves and to workers inside advocating for safety, and to provide information to EPA and the public on what is currently available (0460).</w:t>
      </w:r>
    </w:p>
    <w:p w:rsidR="003C582B" w:rsidP="003C582B" w14:paraId="1A2D6940" w14:textId="77777777">
      <w:pPr>
        <w:rPr>
          <w:rFonts w:ascii="Times New Roman" w:hAnsi="Times New Roman"/>
          <w:sz w:val="24"/>
        </w:rPr>
      </w:pPr>
      <w:r w:rsidRPr="006F68E9">
        <w:rPr>
          <w:rFonts w:ascii="Times New Roman" w:hAnsi="Times New Roman"/>
          <w:sz w:val="24"/>
        </w:rPr>
        <w:t xml:space="preserve">One commenter suggested that EPA require Program 2 and 3 facilities to implement feasible safer alternatives with worker participation (0139). </w:t>
      </w:r>
    </w:p>
    <w:p w:rsidR="003B12AF" w:rsidRPr="008E1983" w:rsidP="003B12AF" w14:paraId="4EE605C7" w14:textId="77777777">
      <w:pPr>
        <w:rPr>
          <w:rFonts w:ascii="Times New Roman" w:hAnsi="Times New Roman"/>
          <w:sz w:val="24"/>
        </w:rPr>
      </w:pPr>
      <w:r w:rsidRPr="008E1983">
        <w:rPr>
          <w:rFonts w:ascii="Times New Roman" w:hAnsi="Times New Roman"/>
          <w:sz w:val="24"/>
        </w:rPr>
        <w:t xml:space="preserve">Many commenters also requested broadening the scope to require STAA for all RMP facilities (0139, 0178, 0183, 1085, 0219, 0240, 0252, 0255, 0269, 0270, </w:t>
      </w:r>
      <w:r>
        <w:rPr>
          <w:rFonts w:ascii="Times New Roman" w:hAnsi="Times New Roman"/>
          <w:sz w:val="24"/>
        </w:rPr>
        <w:t xml:space="preserve">0274, </w:t>
      </w:r>
      <w:r w:rsidRPr="008E1983">
        <w:rPr>
          <w:rFonts w:ascii="Times New Roman" w:hAnsi="Times New Roman"/>
          <w:sz w:val="24"/>
        </w:rPr>
        <w:t>0366).</w:t>
      </w:r>
      <w:r>
        <w:rPr>
          <w:rFonts w:ascii="Times New Roman" w:hAnsi="Times New Roman"/>
          <w:sz w:val="24"/>
        </w:rPr>
        <w:t xml:space="preserve"> </w:t>
      </w:r>
      <w:r w:rsidRPr="008E1983">
        <w:rPr>
          <w:rFonts w:ascii="Times New Roman" w:hAnsi="Times New Roman"/>
          <w:sz w:val="24"/>
        </w:rPr>
        <w:t xml:space="preserve">One commenter specified covering all RMP facilities is important because all RMP-regulated facilities by nature use or store extremely hazardous substances in quantities that can pose severe risks to workers, neighbors, and emergency responders (0183). </w:t>
      </w:r>
    </w:p>
    <w:p w:rsidR="003B12AF" w:rsidRPr="008E1983" w:rsidP="003B12AF" w14:paraId="6978903D" w14:textId="77777777">
      <w:pPr>
        <w:rPr>
          <w:rFonts w:ascii="Times New Roman" w:hAnsi="Times New Roman"/>
          <w:sz w:val="24"/>
        </w:rPr>
      </w:pPr>
      <w:r w:rsidRPr="008E1983">
        <w:rPr>
          <w:rFonts w:ascii="Times New Roman" w:hAnsi="Times New Roman"/>
          <w:sz w:val="24"/>
        </w:rPr>
        <w:t xml:space="preserve">Another commenter urged EPA to require STAA as part of the PHA for all Program 3 facilities, regardless of their proximity to other RMP-covered facilities (0216). </w:t>
      </w:r>
    </w:p>
    <w:p w:rsidR="003B12AF" w:rsidRPr="008E1983" w:rsidP="003B12AF" w14:paraId="5142520B" w14:textId="77777777">
      <w:pPr>
        <w:rPr>
          <w:rFonts w:ascii="Times New Roman" w:hAnsi="Times New Roman"/>
          <w:sz w:val="24"/>
        </w:rPr>
      </w:pPr>
      <w:r w:rsidRPr="008E1983">
        <w:rPr>
          <w:rFonts w:ascii="Times New Roman" w:hAnsi="Times New Roman"/>
          <w:sz w:val="24"/>
        </w:rPr>
        <w:t xml:space="preserve">A couple of commenters specified that thresholds to be covered by the RMP should be reduced, and more chemicals should be covered. In addition, the commenters requested that STAA requirements be extended to ensure that facilities only partially covered by the current RMP are entirely covered under the proposed rule (0255, 0409). </w:t>
      </w:r>
    </w:p>
    <w:p w:rsidR="003B12AF" w:rsidP="003B12AF" w14:paraId="785260AF" w14:textId="77777777">
      <w:pPr>
        <w:rPr>
          <w:rFonts w:ascii="Times New Roman" w:hAnsi="Times New Roman"/>
          <w:sz w:val="24"/>
        </w:rPr>
      </w:pPr>
      <w:r w:rsidRPr="008E1983">
        <w:rPr>
          <w:rFonts w:ascii="Times New Roman" w:hAnsi="Times New Roman"/>
          <w:sz w:val="24"/>
        </w:rPr>
        <w:t>A couple of commenters stated that in addition to broadening the scope of industries, there should also be requirements to repeat the STAA periodically to capture new technologies that may not have been available during the previous analysis (0185, 0274).</w:t>
      </w:r>
      <w:r w:rsidRPr="006F68E9">
        <w:rPr>
          <w:rFonts w:ascii="Times New Roman" w:hAnsi="Times New Roman"/>
          <w:sz w:val="24"/>
        </w:rPr>
        <w:t xml:space="preserve"> </w:t>
      </w:r>
    </w:p>
    <w:p w:rsidR="003B12AF" w:rsidP="003B12AF" w14:paraId="0B5420F9"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in New Jersey’s TCPA program targeting risk reduction, facilities are required to identify cost effective and technically feasible alternatives in IST analyses. The commenter added that facilities in the chemical, water and wastewater, refinery, food (refrigeration), power, and other industries have identified and implemented a significant number of IST measures, demonstrating its value across all regulated sectors and that the sectors should not be limited as proposed (0185).</w:t>
      </w:r>
    </w:p>
    <w:p w:rsidR="003B12AF" w:rsidRPr="006F68E9" w:rsidP="003B12AF" w14:paraId="3581ACA0" w14:textId="77777777">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said</w:t>
      </w:r>
      <w:r w:rsidRPr="006F68E9">
        <w:rPr>
          <w:rFonts w:ascii="Times New Roman" w:hAnsi="Times New Roman"/>
          <w:sz w:val="24"/>
        </w:rPr>
        <w:t xml:space="preserve"> an expanded scope would cover more facilities near communities facing severe cumulative impacts of pollution and that are in areas facing worsening storms and increasing vulnerability to the effects of climate change (0366, 0460). One of the commenters explained that an empty chemical storage tank recently exploded at one of the 37 RMP facilities in their area. The commenter added that under the current draft rule, the facility where this occurred would not need to complete a STAA, and that EPA must mandate STAA analysis and implementation at all facilities because the facilities will not do so voluntarily. The commenter further </w:t>
      </w:r>
      <w:r>
        <w:rPr>
          <w:rFonts w:ascii="Times New Roman" w:hAnsi="Times New Roman"/>
          <w:sz w:val="24"/>
        </w:rPr>
        <w:t>stated</w:t>
      </w:r>
      <w:r w:rsidRPr="006F68E9">
        <w:rPr>
          <w:rFonts w:ascii="Times New Roman" w:hAnsi="Times New Roman"/>
          <w:sz w:val="24"/>
        </w:rPr>
        <w:t xml:space="preserve"> EPA needs to reassure residents of all communities that the facilities are taking all actions possible for the safety of their workers, neighbors, and environment (0366).</w:t>
      </w:r>
    </w:p>
    <w:p w:rsidR="003B12AF" w:rsidRPr="006F68E9" w:rsidP="003B12AF" w14:paraId="4AC84A7E" w14:textId="77777777">
      <w:pPr>
        <w:rPr>
          <w:rFonts w:ascii="Times New Roman" w:hAnsi="Times New Roman"/>
          <w:sz w:val="24"/>
        </w:rPr>
      </w:pPr>
      <w:r w:rsidRPr="006F68E9">
        <w:rPr>
          <w:rFonts w:ascii="Times New Roman" w:hAnsi="Times New Roman"/>
          <w:sz w:val="24"/>
        </w:rPr>
        <w:t>One commenter was similarly concerned that other industries that have both catastrophic release potential and safer alternatives are not covered by the STAA requirement. The commenter recommended that EPA review literature on cost-effective safer processes adopted by facilities that are compiled in a series of reports by the Center for American Progress, starting with the 2006 report, Preventing Toxic Terrorism. The commenter claimed that Program 2 facilities pose hazards to millions and have cost-effective safer alternatives operating at hundreds of these facilities (0139).</w:t>
      </w:r>
    </w:p>
    <w:p w:rsidR="003B12AF" w:rsidP="003B12AF" w14:paraId="00DEB1D9" w14:textId="77777777">
      <w:pPr>
        <w:rPr>
          <w:rFonts w:ascii="Times New Roman" w:hAnsi="Times New Roman"/>
          <w:sz w:val="24"/>
        </w:rPr>
      </w:pPr>
      <w:r>
        <w:rPr>
          <w:rFonts w:ascii="Times New Roman" w:hAnsi="Times New Roman"/>
          <w:sz w:val="24"/>
        </w:rPr>
        <w:t>Several commenters stated</w:t>
      </w:r>
      <w:r w:rsidRPr="006F68E9">
        <w:rPr>
          <w:rFonts w:ascii="Times New Roman" w:hAnsi="Times New Roman"/>
          <w:sz w:val="24"/>
        </w:rPr>
        <w:t xml:space="preserve"> the proposal greatly narrows the scope of coverage to only 5% of RMP facilities</w:t>
      </w:r>
      <w:r>
        <w:rPr>
          <w:rFonts w:ascii="Times New Roman" w:hAnsi="Times New Roman"/>
          <w:sz w:val="24"/>
        </w:rPr>
        <w:t xml:space="preserve"> (</w:t>
      </w:r>
      <w:r w:rsidRPr="006F68E9">
        <w:rPr>
          <w:rFonts w:ascii="Times New Roman" w:hAnsi="Times New Roman"/>
          <w:sz w:val="24"/>
        </w:rPr>
        <w:t xml:space="preserve">0178, 0240, 0252, </w:t>
      </w:r>
      <w:r>
        <w:rPr>
          <w:rFonts w:ascii="Times New Roman" w:hAnsi="Times New Roman"/>
          <w:sz w:val="24"/>
        </w:rPr>
        <w:t xml:space="preserve">0255, </w:t>
      </w:r>
      <w:r w:rsidRPr="006F68E9">
        <w:rPr>
          <w:rFonts w:ascii="Times New Roman" w:hAnsi="Times New Roman"/>
          <w:sz w:val="24"/>
        </w:rPr>
        <w:t>0269</w:t>
      </w:r>
      <w:r>
        <w:rPr>
          <w:rFonts w:ascii="Times New Roman" w:hAnsi="Times New Roman"/>
          <w:sz w:val="24"/>
        </w:rPr>
        <w:t xml:space="preserve">, 0270). </w:t>
      </w:r>
      <w:r w:rsidRPr="006F68E9">
        <w:rPr>
          <w:rFonts w:ascii="Times New Roman" w:hAnsi="Times New Roman"/>
          <w:sz w:val="24"/>
        </w:rPr>
        <w:t xml:space="preserve">Several commenters discussed facility exemptions (0240, 0255, 0270). One commenter identified two case studies of RMP facilities with poor safety records that would be exempt from STAA and would continue to decline safer alternatives as viable options (0270). One commenter claimed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did not reflect the Agency’s own guidance because it would exempt roughly 95 percent of RMP facilities from conducting a STAA, including those facilities prone to releases. The commenter </w:t>
      </w:r>
      <w:r>
        <w:rPr>
          <w:rFonts w:ascii="Times New Roman" w:hAnsi="Times New Roman"/>
          <w:sz w:val="24"/>
        </w:rPr>
        <w:t>stated</w:t>
      </w:r>
      <w:r w:rsidRPr="006F68E9">
        <w:rPr>
          <w:rFonts w:ascii="Times New Roman" w:hAnsi="Times New Roman"/>
          <w:sz w:val="24"/>
        </w:rPr>
        <w:t xml:space="preserve"> that RMP-reportable accidents between 2004 and 2020 were at facilities that would not be required to complete a STAA under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w:t>
      </w:r>
      <w:r>
        <w:rPr>
          <w:rFonts w:ascii="Times New Roman" w:hAnsi="Times New Roman"/>
          <w:sz w:val="24"/>
        </w:rPr>
        <w:t xml:space="preserve"> (0240)</w:t>
      </w:r>
      <w:r w:rsidRPr="006F68E9">
        <w:rPr>
          <w:rFonts w:ascii="Times New Roman" w:hAnsi="Times New Roman"/>
          <w:sz w:val="24"/>
        </w:rPr>
        <w:t xml:space="preserve">. </w:t>
      </w:r>
    </w:p>
    <w:p w:rsidR="003B12AF" w:rsidRPr="00C37F70" w:rsidP="003B12AF" w14:paraId="7A597EC9" w14:textId="38E9C218">
      <w:pPr>
        <w:ind w:left="720"/>
        <w:rPr>
          <w:rFonts w:ascii="Times New Roman" w:hAnsi="Times New Roman"/>
          <w:sz w:val="24"/>
        </w:rPr>
      </w:pPr>
      <w:r>
        <w:rPr>
          <w:rFonts w:ascii="Times New Roman" w:hAnsi="Times New Roman"/>
          <w:b/>
          <w:bCs/>
          <w:sz w:val="24"/>
        </w:rPr>
        <w:t xml:space="preserve">EPA Response: </w:t>
      </w:r>
      <w:r w:rsidRPr="00C37F70">
        <w:rPr>
          <w:rFonts w:ascii="Times New Roman" w:hAnsi="Times New Roman"/>
          <w:sz w:val="24"/>
        </w:rPr>
        <w:t>EPA agrees in part with commenters requesting that the applicability of the STAA provision be expanded to apply to more facilities compared to the requirements included in the proposed rule. In this final rule, EPA is expanding the initial STAA evaluation to all Program 3 facilities with NAICS 324 and 325 processes. EPA believes that high RMP accident frequency among NAICS 324 and 325 processes</w:t>
      </w:r>
      <w:r w:rsidR="004E06A9">
        <w:rPr>
          <w:rFonts w:ascii="Times New Roman" w:hAnsi="Times New Roman"/>
          <w:sz w:val="24"/>
        </w:rPr>
        <w:t xml:space="preserve"> </w:t>
      </w:r>
      <w:r w:rsidR="004E06A9">
        <w:rPr>
          <w:rFonts w:ascii="Times New Roman" w:hAnsi="Times New Roman"/>
          <w:sz w:val="24"/>
        </w:rPr>
        <w:t>as shown by recent data</w:t>
      </w:r>
      <w:r>
        <w:rPr>
          <w:rStyle w:val="FootnoteReference"/>
          <w:rFonts w:ascii="Times New Roman" w:hAnsi="Times New Roman"/>
          <w:sz w:val="24"/>
        </w:rPr>
        <w:footnoteReference w:id="99"/>
      </w:r>
      <w:r w:rsidR="004E06A9">
        <w:rPr>
          <w:rFonts w:ascii="Times New Roman" w:hAnsi="Times New Roman"/>
          <w:sz w:val="24"/>
        </w:rPr>
        <w:t xml:space="preserve"> presented in the proposed rule,</w:t>
      </w:r>
      <w:r w:rsidRPr="00C37F70">
        <w:rPr>
          <w:rFonts w:ascii="Times New Roman" w:hAnsi="Times New Roman"/>
          <w:sz w:val="24"/>
        </w:rPr>
        <w:t xml:space="preserve"> is reasonable justification for requiring RMP owners and operators to evaluate safer technologies and alternatives to </w:t>
      </w:r>
      <w:r w:rsidRPr="00C37F70">
        <w:rPr>
          <w:rFonts w:ascii="Times New Roman" w:hAnsi="Times New Roman"/>
          <w:sz w:val="24"/>
        </w:rPr>
        <w:t xml:space="preserve">help prevent accidental releases. As noted in the proposed rule, </w:t>
      </w:r>
      <w:r w:rsidRPr="0059359B" w:rsidR="00F67DD6">
        <w:rPr>
          <w:rFonts w:ascii="Times New Roman" w:hAnsi="Times New Roman"/>
          <w:szCs w:val="22"/>
        </w:rPr>
        <w:t>between 2016 and 2020</w:t>
      </w:r>
      <w:r>
        <w:rPr>
          <w:rStyle w:val="FootnoteReference"/>
          <w:rFonts w:ascii="Times New Roman" w:hAnsi="Times New Roman"/>
          <w:szCs w:val="22"/>
        </w:rPr>
        <w:footnoteReference w:id="100"/>
      </w:r>
      <w:r w:rsidRPr="0059359B">
        <w:rPr>
          <w:rFonts w:ascii="Times New Roman" w:hAnsi="Times New Roman"/>
          <w:szCs w:val="22"/>
        </w:rPr>
        <w:t>, sector accident rates (unique facilities having accidents) for NAICS 324 and 325 were</w:t>
      </w:r>
      <w:r w:rsidRPr="0059359B" w:rsidR="00A80835">
        <w:rPr>
          <w:rFonts w:ascii="Times New Roman" w:hAnsi="Times New Roman"/>
          <w:szCs w:val="22"/>
        </w:rPr>
        <w:t>, respectively,</w:t>
      </w:r>
      <w:r w:rsidRPr="0059359B">
        <w:rPr>
          <w:rFonts w:ascii="Times New Roman" w:hAnsi="Times New Roman"/>
          <w:szCs w:val="22"/>
        </w:rPr>
        <w:t xml:space="preserve"> seven times </w:t>
      </w:r>
      <w:r w:rsidRPr="0059359B" w:rsidR="00B3068A">
        <w:rPr>
          <w:rFonts w:ascii="Times New Roman" w:hAnsi="Times New Roman"/>
          <w:szCs w:val="22"/>
        </w:rPr>
        <w:t xml:space="preserve">higher (23 percent, n = 41 out of 177) </w:t>
      </w:r>
      <w:r w:rsidRPr="0059359B">
        <w:rPr>
          <w:rFonts w:ascii="Times New Roman" w:hAnsi="Times New Roman"/>
          <w:szCs w:val="22"/>
        </w:rPr>
        <w:t xml:space="preserve">and two times higher </w:t>
      </w:r>
      <w:r w:rsidRPr="0059359B" w:rsidR="00E81983">
        <w:rPr>
          <w:rFonts w:ascii="Times New Roman" w:hAnsi="Times New Roman"/>
          <w:szCs w:val="22"/>
        </w:rPr>
        <w:t xml:space="preserve">(6 percent, n = 96 out of 1631) </w:t>
      </w:r>
      <w:r w:rsidRPr="0059359B">
        <w:rPr>
          <w:rFonts w:ascii="Times New Roman" w:hAnsi="Times New Roman"/>
          <w:szCs w:val="22"/>
        </w:rPr>
        <w:t>than the rate for all RMP-regulated facilities</w:t>
      </w:r>
      <w:r w:rsidRPr="0059359B" w:rsidR="00D96CDC">
        <w:rPr>
          <w:rFonts w:ascii="Times New Roman" w:hAnsi="Times New Roman"/>
          <w:szCs w:val="22"/>
        </w:rPr>
        <w:t xml:space="preserve"> (87 FR 53578)</w:t>
      </w:r>
      <w:r w:rsidRPr="0059359B">
        <w:rPr>
          <w:rFonts w:ascii="Times New Roman" w:hAnsi="Times New Roman"/>
          <w:szCs w:val="22"/>
        </w:rPr>
        <w:t>.</w:t>
      </w:r>
      <w:r>
        <w:rPr>
          <w:rStyle w:val="FootnoteReference"/>
          <w:rFonts w:ascii="Times New Roman" w:hAnsi="Times New Roman"/>
        </w:rPr>
        <w:footnoteReference w:id="101"/>
      </w:r>
      <w:r w:rsidRPr="00C37F70">
        <w:rPr>
          <w:rFonts w:ascii="Times New Roman" w:hAnsi="Times New Roman"/>
          <w:sz w:val="24"/>
        </w:rPr>
        <w:t xml:space="preserve"> By expanding applicability of the STAA evaluation to these additional NAICS 324 and 325 processes, EPA expects to also capture complex facilities in less facility-dense areas that nonetheless may cause significant harm to human health and the environment. </w:t>
      </w:r>
    </w:p>
    <w:p w:rsidR="003B12AF" w:rsidRPr="0031018F" w:rsidP="003B12AF" w14:paraId="5661E49F" w14:textId="37A288C3">
      <w:pPr>
        <w:ind w:left="720"/>
        <w:rPr>
          <w:rFonts w:ascii="Times New Roman" w:hAnsi="Times New Roman"/>
          <w:sz w:val="24"/>
        </w:rPr>
      </w:pPr>
      <w:r w:rsidRPr="0031018F">
        <w:rPr>
          <w:rFonts w:ascii="Times New Roman" w:hAnsi="Times New Roman"/>
          <w:sz w:val="24"/>
        </w:rPr>
        <w:t>In response to the comment stating that EPA has failed to justify excluding any hazardous facilities where safer technologies or alternatives are available, EPA notes that it has provided justification for applying the STAA requirement to facilities with NAICS 324 and 325 processes and does not believe that the final provisions have been limited arbitrarily, or that the Agency’s decision to limit applicability of the STAA provisions to the petroleum refining and chemical manufacturing sectors implies that other sectors do not have viable safer technology alternatives. EPA notes that sources involved in complex manufacturing operations have the greatest range of opportunities to identify and implement safer technologies, particularly in the area of inherent safety, because these sources generally produce, transform, and consume large quantities of regulated substances under sometimes extreme process conditions and using a wide range of complex technologies. Therefore, such sources can often consider the full range of inherent safety options, including minimization, substitution, moderation, and simplification, as well as passive, active, and procedural measures. Further, EPA notes that RMP facilities in the selected sectors have been responsible for a relatively large number of accidents, deaths, injuries, and property damage and have significantly higher accidents rates as compared to other sectors.</w:t>
      </w:r>
      <w:r w:rsidR="00A45A21">
        <w:rPr>
          <w:rFonts w:ascii="Times New Roman" w:hAnsi="Times New Roman"/>
          <w:sz w:val="24"/>
        </w:rPr>
        <w:t xml:space="preserve"> </w:t>
      </w:r>
      <w:r w:rsidRPr="00084D98" w:rsidR="00B8075F">
        <w:rPr>
          <w:rFonts w:ascii="Times New Roman" w:hAnsi="Times New Roman"/>
          <w:sz w:val="24"/>
        </w:rPr>
        <w:t>The 5 percent of sources mentioned by the commenter</w:t>
      </w:r>
      <w:r w:rsidRPr="00084D98" w:rsidR="47F967EE">
        <w:rPr>
          <w:rFonts w:ascii="Times New Roman" w:hAnsi="Times New Roman"/>
          <w:sz w:val="24"/>
        </w:rPr>
        <w:t>s</w:t>
      </w:r>
      <w:r w:rsidRPr="00084D98" w:rsidR="00B8075F">
        <w:rPr>
          <w:rFonts w:ascii="Times New Roman" w:hAnsi="Times New Roman"/>
          <w:sz w:val="24"/>
        </w:rPr>
        <w:t>, augmented by those refineries and chemical manufacturer sources that have had accidents in the past 5 years, are responsible for 42% of the total accidents from RMP-covered sources over the period from 2016-2020, and 83% of the accident damage</w:t>
      </w:r>
      <w:r w:rsidR="00AA2D49">
        <w:rPr>
          <w:rFonts w:ascii="Times New Roman" w:hAnsi="Times New Roman"/>
          <w:sz w:val="24"/>
        </w:rPr>
        <w:t>, which supports additional requirements beyond STAA (i.e., a practicability assessment and the implementation requirement)</w:t>
      </w:r>
      <w:r w:rsidRPr="00084D98" w:rsidR="00B8075F">
        <w:rPr>
          <w:rFonts w:ascii="Times New Roman" w:hAnsi="Times New Roman"/>
          <w:sz w:val="24"/>
        </w:rPr>
        <w:t>. Concentrating the most demanding requirements on this subset of sources recognizes the track record of heightened risk presented by these sources to their nearby communities.</w:t>
      </w:r>
    </w:p>
    <w:p w:rsidR="003B12AF" w:rsidRPr="0031018F" w:rsidP="003B12AF" w14:paraId="048C9A08" w14:textId="7F30FE33">
      <w:pPr>
        <w:ind w:left="720"/>
        <w:rPr>
          <w:rFonts w:ascii="Times New Roman" w:hAnsi="Times New Roman"/>
          <w:sz w:val="24"/>
        </w:rPr>
      </w:pPr>
      <w:r w:rsidRPr="0031018F">
        <w:rPr>
          <w:rFonts w:ascii="Times New Roman" w:hAnsi="Times New Roman"/>
          <w:sz w:val="24"/>
        </w:rPr>
        <w:t xml:space="preserve">While EPA is not requiring all Program 3 sources, or all sources in industry sectors where feasible safer technology alternatives have been identified to perform a STAA, the Agency encourages such sources to consider performing a STAA, and to determine </w:t>
      </w:r>
      <w:r w:rsidRPr="0031018F">
        <w:rPr>
          <w:rFonts w:ascii="Times New Roman" w:hAnsi="Times New Roman"/>
          <w:sz w:val="24"/>
        </w:rPr>
        <w:t xml:space="preserve">practicability of IST or ISD considered, even if they are not subject to the STAA provisions of the final rule. </w:t>
      </w:r>
      <w:r w:rsidR="00787DDA">
        <w:rPr>
          <w:rFonts w:ascii="Times New Roman" w:hAnsi="Times New Roman"/>
          <w:sz w:val="24"/>
        </w:rPr>
        <w:t xml:space="preserve">EPA expects guidance for this provision and the data resulting from the STAA Technology Transfer described in section </w:t>
      </w:r>
      <w:r w:rsidR="00C6428F">
        <w:rPr>
          <w:rFonts w:ascii="Times New Roman" w:hAnsi="Times New Roman"/>
          <w:sz w:val="24"/>
        </w:rPr>
        <w:t>V.</w:t>
      </w:r>
      <w:r w:rsidR="008B0E16">
        <w:rPr>
          <w:rFonts w:ascii="Times New Roman" w:hAnsi="Times New Roman"/>
          <w:sz w:val="24"/>
        </w:rPr>
        <w:t>B.</w:t>
      </w:r>
      <w:r w:rsidR="00787DDA">
        <w:rPr>
          <w:rFonts w:ascii="Times New Roman" w:hAnsi="Times New Roman"/>
          <w:sz w:val="24"/>
        </w:rPr>
        <w:t xml:space="preserve">e. of </w:t>
      </w:r>
      <w:r w:rsidR="008B0E16">
        <w:rPr>
          <w:rFonts w:ascii="Times New Roman" w:hAnsi="Times New Roman"/>
          <w:sz w:val="24"/>
        </w:rPr>
        <w:t>the final rule preamble</w:t>
      </w:r>
      <w:r w:rsidR="00787DDA">
        <w:rPr>
          <w:rFonts w:ascii="Times New Roman" w:hAnsi="Times New Roman"/>
          <w:sz w:val="24"/>
        </w:rPr>
        <w:t xml:space="preserve"> will be useful for all facilities to adopt to identify potential IST/ISD and safeguards. </w:t>
      </w:r>
      <w:r w:rsidRPr="0031018F">
        <w:rPr>
          <w:rFonts w:ascii="Times New Roman" w:hAnsi="Times New Roman"/>
          <w:sz w:val="24"/>
        </w:rPr>
        <w:t xml:space="preserve">As noted in the preamble of the 2016 proposed amendments rule, provisions in the existing rule provides several incentives to encourage the use of STAA and the adoption of safer technologies, including having applicability based on a chemical threshold, allowing a source to take credit for passive mitigation in calculating its worst-case scenario and both passive and active controls when calculating its alternative scenarios (81 FR 13663; Mar. 14, 2016). Consistent with EPA’s general approach to the RMP regulations, the Agency allows flexibility for owners and operators to adopt various methods to meet performance standards, with more specific, demanding standards for sources that pose a greater likelihood of an accidental release and have greater complexity, and for sources that pose a greater risk to nearby communities. </w:t>
      </w:r>
    </w:p>
    <w:p w:rsidR="003B12AF" w:rsidRPr="0031018F" w:rsidP="003B12AF" w14:paraId="20FDD876" w14:textId="6EC2CC95">
      <w:pPr>
        <w:ind w:left="720"/>
        <w:rPr>
          <w:rFonts w:ascii="Times New Roman" w:hAnsi="Times New Roman"/>
          <w:sz w:val="24"/>
        </w:rPr>
      </w:pPr>
      <w:r w:rsidRPr="00D81B79">
        <w:rPr>
          <w:rFonts w:ascii="Times New Roman" w:hAnsi="Times New Roman"/>
          <w:sz w:val="24"/>
        </w:rPr>
        <w:t xml:space="preserve">In the final rule, the definition of the 1-mile radius is relevant to the applicability of the </w:t>
      </w:r>
      <w:r w:rsidR="00C32CB0">
        <w:rPr>
          <w:rFonts w:ascii="Times New Roman" w:hAnsi="Times New Roman"/>
          <w:sz w:val="24"/>
        </w:rPr>
        <w:t>IST/ISD</w:t>
      </w:r>
      <w:r w:rsidRPr="00D81B79">
        <w:rPr>
          <w:rFonts w:ascii="Times New Roman" w:hAnsi="Times New Roman"/>
          <w:sz w:val="24"/>
        </w:rPr>
        <w:t xml:space="preserve"> practicability assessment and safeguard implementation only. Acknowledging that refineries and chemical manufacturers have sector accident rates that are higher than the general rates for RMP-covered facilities, close co-location of sources in NAICS codes 324 and 325 further increases the risk to the public that may be potentially exposed to a release from multiple sources. It is appropriate to increase the stringency and transparency of the requirement for so situated sources. </w:t>
      </w:r>
    </w:p>
    <w:p w:rsidR="003B12AF" w:rsidRPr="007867F3" w:rsidP="003B12AF" w14:paraId="4565D925" w14:textId="77777777">
      <w:pPr>
        <w:rPr>
          <w:rFonts w:ascii="Times New Roman" w:hAnsi="Times New Roman"/>
          <w:i/>
          <w:iCs/>
          <w:sz w:val="24"/>
        </w:rPr>
      </w:pPr>
      <w:r w:rsidRPr="007867F3">
        <w:rPr>
          <w:rFonts w:ascii="Times New Roman" w:hAnsi="Times New Roman"/>
          <w:i/>
          <w:iCs/>
          <w:sz w:val="24"/>
        </w:rPr>
        <w:t>Opposition or suggested revisions to STAA applicability provisions</w:t>
      </w:r>
    </w:p>
    <w:p w:rsidR="003B12AF" w:rsidP="003B12AF" w14:paraId="6F4835B5" w14:textId="77777777">
      <w:pPr>
        <w:rPr>
          <w:rFonts w:ascii="Times New Roman" w:hAnsi="Times New Roman"/>
          <w:sz w:val="24"/>
        </w:rPr>
      </w:pPr>
      <w:r>
        <w:rPr>
          <w:rFonts w:ascii="Times New Roman" w:hAnsi="Times New Roman"/>
          <w:b/>
          <w:bCs/>
          <w:sz w:val="24"/>
        </w:rPr>
        <w:t xml:space="preserve">Comment 6.3.1-02: </w:t>
      </w:r>
      <w:r w:rsidRPr="006F68E9">
        <w:rPr>
          <w:rFonts w:ascii="Times New Roman" w:hAnsi="Times New Roman"/>
          <w:sz w:val="24"/>
        </w:rPr>
        <w:t>Several commenters expressed support for not broadening the scope of the industries and facilities for which STAA should be required (0180, 0181, 0197, 0205, 0217, 0226, 0230, 0234, 0261, 0262, 0458). One of the commenters stated they support the approach to focus requirements on the industry sectors mentioned where implementation is anticipated to be effective (0230).</w:t>
      </w:r>
      <w:r>
        <w:rPr>
          <w:rFonts w:ascii="Times New Roman" w:hAnsi="Times New Roman"/>
          <w:sz w:val="24"/>
        </w:rPr>
        <w:t xml:space="preserve"> </w:t>
      </w:r>
      <w:r w:rsidRPr="006F68E9">
        <w:rPr>
          <w:rFonts w:ascii="Times New Roman" w:hAnsi="Times New Roman"/>
          <w:sz w:val="24"/>
        </w:rPr>
        <w:t xml:space="preserve">Many commenters urged EPA to not broaden the scope of STAA to additional facilities due to insufficient data linking lower incident rates with additional STAA (0180, 0205, 0217, 0226, 0230, 0234, 0262, 0458). One of the commenters added that with extremely low baseline incident rates, there is not much room for additional risk reduction to justify expending resources critical to other safety needs, and any changes will be so slight they may be unmeasurable (0197). </w:t>
      </w:r>
    </w:p>
    <w:p w:rsidR="003B12AF" w:rsidP="003B12AF" w14:paraId="404155B8" w14:textId="77777777">
      <w:pPr>
        <w:rPr>
          <w:rFonts w:ascii="Times New Roman" w:hAnsi="Times New Roman"/>
          <w:sz w:val="24"/>
        </w:rPr>
      </w:pPr>
      <w:r w:rsidRPr="006F68E9">
        <w:rPr>
          <w:rFonts w:ascii="Times New Roman" w:hAnsi="Times New Roman"/>
          <w:sz w:val="24"/>
        </w:rPr>
        <w:t>A few commenters agreed with EPA statement that STAA would likely not be effective at reducing accident rates and for this reason they do not believe it necessary to include other sectors (0181, 0230, 0262).</w:t>
      </w:r>
      <w:r>
        <w:rPr>
          <w:rFonts w:ascii="Times New Roman" w:hAnsi="Times New Roman"/>
          <w:sz w:val="24"/>
        </w:rPr>
        <w:t xml:space="preserve"> </w:t>
      </w:r>
      <w:r w:rsidRPr="006F68E9">
        <w:rPr>
          <w:rFonts w:ascii="Times New Roman" w:hAnsi="Times New Roman"/>
          <w:sz w:val="24"/>
        </w:rPr>
        <w:t>One commenter stated the additional mandate is unnecessary because much of the regulated community is already evaluating best practices under the existing regulatory framework and is implementing changes when and as appropriate (0230).</w:t>
      </w:r>
      <w:r>
        <w:rPr>
          <w:rFonts w:ascii="Times New Roman" w:hAnsi="Times New Roman"/>
          <w:sz w:val="24"/>
        </w:rPr>
        <w:t xml:space="preserve"> </w:t>
      </w:r>
      <w:r w:rsidRPr="006F68E9">
        <w:rPr>
          <w:rFonts w:ascii="Times New Roman" w:hAnsi="Times New Roman"/>
          <w:sz w:val="24"/>
        </w:rPr>
        <w:t>One commenter stated that STAA cannot be done just once at a 3PL warehouse facility due to the fluctuations in products and inventory stored (0231).</w:t>
      </w:r>
    </w:p>
    <w:p w:rsidR="003B12AF" w:rsidP="003B12AF" w14:paraId="25823C27" w14:textId="77777777">
      <w:pPr>
        <w:rPr>
          <w:rFonts w:ascii="Times New Roman" w:hAnsi="Times New Roman"/>
          <w:sz w:val="24"/>
          <w:shd w:val="clear" w:color="auto" w:fill="FFFFFF" w:themeFill="background1"/>
        </w:rPr>
      </w:pPr>
      <w:r w:rsidRPr="006F68E9">
        <w:rPr>
          <w:rFonts w:ascii="Times New Roman" w:hAnsi="Times New Roman"/>
          <w:sz w:val="24"/>
        </w:rPr>
        <w:t xml:space="preserve">One commenter expressed </w:t>
      </w:r>
      <w:r w:rsidRPr="006F68E9">
        <w:rPr>
          <w:rFonts w:ascii="Times New Roman" w:hAnsi="Times New Roman"/>
          <w:sz w:val="24"/>
          <w:shd w:val="clear" w:color="auto" w:fill="FFFFFF" w:themeFill="background1"/>
        </w:rPr>
        <w:t>disdain at the use of NAICS codes for federal regulation processes, citing they were created for the collection, tabulation, presentation, and analysis of statistical data that show the economic status of the United States (0227).</w:t>
      </w:r>
    </w:p>
    <w:p w:rsidR="008F6F35" w:rsidP="003B12AF" w14:paraId="19198607" w14:textId="1B63D59D">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stated</w:t>
      </w:r>
      <w:r w:rsidRPr="006F68E9">
        <w:rPr>
          <w:rFonts w:ascii="Times New Roman" w:hAnsi="Times New Roman"/>
          <w:sz w:val="24"/>
        </w:rPr>
        <w:t xml:space="preserve"> th</w:t>
      </w:r>
      <w:r>
        <w:rPr>
          <w:rFonts w:ascii="Times New Roman" w:hAnsi="Times New Roman"/>
          <w:sz w:val="24"/>
        </w:rPr>
        <w:t>at</w:t>
      </w:r>
      <w:r w:rsidRPr="006F68E9">
        <w:rPr>
          <w:rFonts w:ascii="Times New Roman" w:hAnsi="Times New Roman"/>
          <w:sz w:val="24"/>
        </w:rPr>
        <w:t xml:space="preserve"> STAA regulations are deeply flawed, and EPA should not expand their applicability (0207).</w:t>
      </w:r>
    </w:p>
    <w:p w:rsidR="003B12AF" w:rsidRPr="006F68E9" w:rsidP="003B12AF" w14:paraId="104A6283" w14:textId="7A2EA0EE">
      <w:pPr>
        <w:ind w:left="720"/>
        <w:rPr>
          <w:rFonts w:ascii="Times New Roman" w:hAnsi="Times New Roman"/>
          <w:sz w:val="24"/>
        </w:rPr>
      </w:pPr>
      <w:r w:rsidRPr="00814796">
        <w:rPr>
          <w:rFonts w:ascii="Times New Roman" w:hAnsi="Times New Roman"/>
          <w:b/>
          <w:bCs/>
          <w:sz w:val="24"/>
        </w:rPr>
        <w:t>EPA Response:</w:t>
      </w:r>
      <w:r>
        <w:rPr>
          <w:rFonts w:ascii="Times New Roman" w:hAnsi="Times New Roman"/>
          <w:sz w:val="24"/>
        </w:rPr>
        <w:t xml:space="preserve"> </w:t>
      </w:r>
      <w:r w:rsidRPr="0031018F">
        <w:rPr>
          <w:rFonts w:ascii="Times New Roman" w:hAnsi="Times New Roman"/>
          <w:sz w:val="24"/>
        </w:rPr>
        <w:t xml:space="preserve">While EPA is not requiring all Program 3 sources, or all sources in industry sectors where feasible safer technology alternatives have been identified to perform a STAA, the Agency encourages such sources to consider performing a STAA, and to determine practicability of IST or ISD considered, even if they are not subject to the STAA provisions of the final rule. </w:t>
      </w:r>
      <w:r w:rsidR="00D71D7B">
        <w:rPr>
          <w:rFonts w:ascii="Times New Roman" w:hAnsi="Times New Roman"/>
          <w:sz w:val="24"/>
        </w:rPr>
        <w:t xml:space="preserve">EPA expects guidance for this provision and the data resulting from the STAA Technology Transfer described in section </w:t>
      </w:r>
      <w:r w:rsidR="00BA1B60">
        <w:rPr>
          <w:rFonts w:ascii="Times New Roman" w:hAnsi="Times New Roman"/>
          <w:sz w:val="24"/>
        </w:rPr>
        <w:t>V.B.</w:t>
      </w:r>
      <w:r w:rsidR="00D71D7B">
        <w:rPr>
          <w:rFonts w:ascii="Times New Roman" w:hAnsi="Times New Roman"/>
          <w:sz w:val="24"/>
        </w:rPr>
        <w:t xml:space="preserve">e. of </w:t>
      </w:r>
      <w:r w:rsidR="00BA1B60">
        <w:rPr>
          <w:rFonts w:ascii="Times New Roman" w:hAnsi="Times New Roman"/>
          <w:sz w:val="24"/>
        </w:rPr>
        <w:t>the final rule preamble</w:t>
      </w:r>
      <w:r w:rsidR="00D71D7B">
        <w:rPr>
          <w:rFonts w:ascii="Times New Roman" w:hAnsi="Times New Roman"/>
          <w:sz w:val="24"/>
        </w:rPr>
        <w:t xml:space="preserve"> will be useful for all facilities to adopt to identify potential IST/ISD and safeguards. </w:t>
      </w:r>
      <w:r w:rsidRPr="0031018F">
        <w:rPr>
          <w:rFonts w:ascii="Times New Roman" w:hAnsi="Times New Roman"/>
          <w:sz w:val="24"/>
        </w:rPr>
        <w:t xml:space="preserve">As noted in the preamble of the 2016 proposed amendments rule, provisions in the existing rule provides several incentives to encourage the use of STAA and the adoption of safer technologies, including having applicability based on a chemical threshold, allowing a source to take credit for passive mitigation in calculating its worst-case scenario and both passive and active controls when calculating its alternative scenarios (81 FR 13663; Mar. 14, 2016). Consistent with EPA’s general approach to the RMP regulations, the Agency allows flexibility for owners and operators to adopt various methods to meet performance standards, with more specific, demanding standards for sources that pose a greater likelihood of an accidental release and have greater complexity, and for sources that pose a greater risk to nearby communities. </w:t>
      </w:r>
    </w:p>
    <w:p w:rsidR="00695CBC" w:rsidP="00695CBC" w14:paraId="0C4AF28A" w14:textId="6B87B20F">
      <w:pPr>
        <w:ind w:left="720"/>
        <w:rPr>
          <w:rFonts w:ascii="Times New Roman" w:hAnsi="Times New Roman"/>
          <w:sz w:val="24"/>
        </w:rPr>
      </w:pPr>
      <w:r>
        <w:rPr>
          <w:rFonts w:ascii="Times New Roman" w:hAnsi="Times New Roman"/>
          <w:sz w:val="24"/>
        </w:rPr>
        <w:t xml:space="preserve">Further, as stated in the proposal, </w:t>
      </w:r>
      <w:r w:rsidRPr="00695CBC">
        <w:rPr>
          <w:rFonts w:ascii="Times New Roman" w:hAnsi="Times New Roman"/>
          <w:sz w:val="24"/>
        </w:rPr>
        <w:t>EPA used accident history data to</w:t>
      </w:r>
      <w:r>
        <w:rPr>
          <w:rFonts w:ascii="Times New Roman" w:hAnsi="Times New Roman"/>
          <w:sz w:val="24"/>
        </w:rPr>
        <w:t xml:space="preserve"> </w:t>
      </w:r>
      <w:r w:rsidRPr="00695CBC">
        <w:rPr>
          <w:rFonts w:ascii="Times New Roman" w:hAnsi="Times New Roman"/>
          <w:sz w:val="24"/>
        </w:rPr>
        <w:t>provide insight into the probability with</w:t>
      </w:r>
      <w:r>
        <w:rPr>
          <w:rFonts w:ascii="Times New Roman" w:hAnsi="Times New Roman"/>
          <w:sz w:val="24"/>
        </w:rPr>
        <w:t xml:space="preserve"> </w:t>
      </w:r>
      <w:r w:rsidRPr="00695CBC">
        <w:rPr>
          <w:rFonts w:ascii="Times New Roman" w:hAnsi="Times New Roman"/>
          <w:sz w:val="24"/>
        </w:rPr>
        <w:t>which these accidents have actually</w:t>
      </w:r>
      <w:r>
        <w:rPr>
          <w:rFonts w:ascii="Times New Roman" w:hAnsi="Times New Roman"/>
          <w:sz w:val="24"/>
        </w:rPr>
        <w:t xml:space="preserve"> </w:t>
      </w:r>
      <w:r w:rsidRPr="00695CBC">
        <w:rPr>
          <w:rFonts w:ascii="Times New Roman" w:hAnsi="Times New Roman"/>
          <w:sz w:val="24"/>
        </w:rPr>
        <w:t>occurred to support requiring STAA</w:t>
      </w:r>
      <w:r>
        <w:rPr>
          <w:rFonts w:ascii="Times New Roman" w:hAnsi="Times New Roman"/>
          <w:sz w:val="24"/>
        </w:rPr>
        <w:t xml:space="preserve"> </w:t>
      </w:r>
      <w:r w:rsidRPr="00695CBC">
        <w:rPr>
          <w:rFonts w:ascii="Times New Roman" w:hAnsi="Times New Roman"/>
          <w:sz w:val="24"/>
        </w:rPr>
        <w:t>analysis for portions of particular</w:t>
      </w:r>
      <w:r>
        <w:rPr>
          <w:rFonts w:ascii="Times New Roman" w:hAnsi="Times New Roman"/>
          <w:sz w:val="24"/>
        </w:rPr>
        <w:t xml:space="preserve"> </w:t>
      </w:r>
      <w:r w:rsidRPr="00695CBC">
        <w:rPr>
          <w:rFonts w:ascii="Times New Roman" w:hAnsi="Times New Roman"/>
          <w:sz w:val="24"/>
        </w:rPr>
        <w:t>industries. However, EPA recognizes</w:t>
      </w:r>
      <w:r>
        <w:rPr>
          <w:rFonts w:ascii="Times New Roman" w:hAnsi="Times New Roman"/>
          <w:sz w:val="24"/>
        </w:rPr>
        <w:t xml:space="preserve"> </w:t>
      </w:r>
      <w:r w:rsidRPr="00695CBC">
        <w:rPr>
          <w:rFonts w:ascii="Times New Roman" w:hAnsi="Times New Roman"/>
          <w:sz w:val="24"/>
        </w:rPr>
        <w:t>that substance and process-specific</w:t>
      </w:r>
      <w:r>
        <w:rPr>
          <w:rFonts w:ascii="Times New Roman" w:hAnsi="Times New Roman"/>
          <w:sz w:val="24"/>
        </w:rPr>
        <w:t xml:space="preserve"> </w:t>
      </w:r>
      <w:r w:rsidRPr="00695CBC">
        <w:rPr>
          <w:rFonts w:ascii="Times New Roman" w:hAnsi="Times New Roman"/>
          <w:sz w:val="24"/>
        </w:rPr>
        <w:t>accident history may not always be an</w:t>
      </w:r>
      <w:r>
        <w:rPr>
          <w:rFonts w:ascii="Times New Roman" w:hAnsi="Times New Roman"/>
          <w:sz w:val="24"/>
        </w:rPr>
        <w:t xml:space="preserve"> </w:t>
      </w:r>
      <w:r w:rsidRPr="00695CBC">
        <w:rPr>
          <w:rFonts w:ascii="Times New Roman" w:hAnsi="Times New Roman"/>
          <w:sz w:val="24"/>
        </w:rPr>
        <w:t>appropriate metric for probability of an</w:t>
      </w:r>
      <w:r>
        <w:rPr>
          <w:rFonts w:ascii="Times New Roman" w:hAnsi="Times New Roman"/>
          <w:sz w:val="24"/>
        </w:rPr>
        <w:t xml:space="preserve"> </w:t>
      </w:r>
      <w:r w:rsidRPr="00695CBC">
        <w:rPr>
          <w:rFonts w:ascii="Times New Roman" w:hAnsi="Times New Roman"/>
          <w:sz w:val="24"/>
        </w:rPr>
        <w:t>accident or the risk communities face.</w:t>
      </w:r>
      <w:r w:rsidR="009E6D0F">
        <w:rPr>
          <w:rFonts w:ascii="Times New Roman" w:hAnsi="Times New Roman"/>
          <w:sz w:val="24"/>
        </w:rPr>
        <w:t xml:space="preserve"> </w:t>
      </w:r>
      <w:r w:rsidRPr="00695CBC">
        <w:rPr>
          <w:rFonts w:ascii="Times New Roman" w:hAnsi="Times New Roman"/>
          <w:sz w:val="24"/>
        </w:rPr>
        <w:t xml:space="preserve">For example, the </w:t>
      </w:r>
      <w:r w:rsidR="009E6D0F">
        <w:rPr>
          <w:rFonts w:ascii="Times New Roman" w:hAnsi="Times New Roman"/>
          <w:sz w:val="24"/>
        </w:rPr>
        <w:t>c</w:t>
      </w:r>
      <w:r w:rsidRPr="00695CBC">
        <w:rPr>
          <w:rFonts w:ascii="Times New Roman" w:hAnsi="Times New Roman"/>
          <w:sz w:val="24"/>
        </w:rPr>
        <w:t>onsequences of an HF</w:t>
      </w:r>
      <w:r>
        <w:rPr>
          <w:rFonts w:ascii="Times New Roman" w:hAnsi="Times New Roman"/>
          <w:sz w:val="24"/>
        </w:rPr>
        <w:t xml:space="preserve"> </w:t>
      </w:r>
      <w:r w:rsidRPr="00695CBC">
        <w:rPr>
          <w:rFonts w:ascii="Times New Roman" w:hAnsi="Times New Roman"/>
          <w:sz w:val="24"/>
        </w:rPr>
        <w:t>release are so potentially catastrophic,</w:t>
      </w:r>
      <w:r>
        <w:rPr>
          <w:rFonts w:ascii="Times New Roman" w:hAnsi="Times New Roman"/>
          <w:sz w:val="24"/>
        </w:rPr>
        <w:t xml:space="preserve"> </w:t>
      </w:r>
      <w:r w:rsidRPr="00695CBC">
        <w:rPr>
          <w:rFonts w:ascii="Times New Roman" w:hAnsi="Times New Roman"/>
          <w:sz w:val="24"/>
        </w:rPr>
        <w:t>and with known alternatives existing,</w:t>
      </w:r>
      <w:r>
        <w:rPr>
          <w:rFonts w:ascii="Times New Roman" w:hAnsi="Times New Roman"/>
          <w:sz w:val="24"/>
        </w:rPr>
        <w:t xml:space="preserve"> </w:t>
      </w:r>
      <w:r w:rsidRPr="00695CBC">
        <w:rPr>
          <w:rFonts w:ascii="Times New Roman" w:hAnsi="Times New Roman"/>
          <w:sz w:val="24"/>
        </w:rPr>
        <w:t xml:space="preserve">EPA </w:t>
      </w:r>
      <w:r w:rsidR="00C66F96">
        <w:rPr>
          <w:rFonts w:ascii="Times New Roman" w:hAnsi="Times New Roman"/>
          <w:sz w:val="24"/>
        </w:rPr>
        <w:t xml:space="preserve">is now requiring </w:t>
      </w:r>
      <w:r w:rsidRPr="00695CBC">
        <w:rPr>
          <w:rFonts w:ascii="Times New Roman" w:hAnsi="Times New Roman"/>
          <w:sz w:val="24"/>
        </w:rPr>
        <w:t>that facilities with</w:t>
      </w:r>
      <w:r>
        <w:rPr>
          <w:rFonts w:ascii="Times New Roman" w:hAnsi="Times New Roman"/>
          <w:sz w:val="24"/>
        </w:rPr>
        <w:t xml:space="preserve"> </w:t>
      </w:r>
      <w:r w:rsidRPr="00695CBC">
        <w:rPr>
          <w:rFonts w:ascii="Times New Roman" w:hAnsi="Times New Roman"/>
          <w:sz w:val="24"/>
        </w:rPr>
        <w:t>HF alkylation evaluate and document</w:t>
      </w:r>
      <w:r>
        <w:rPr>
          <w:rFonts w:ascii="Times New Roman" w:hAnsi="Times New Roman"/>
          <w:sz w:val="24"/>
        </w:rPr>
        <w:t xml:space="preserve"> </w:t>
      </w:r>
      <w:r w:rsidRPr="00695CBC">
        <w:rPr>
          <w:rFonts w:ascii="Times New Roman" w:hAnsi="Times New Roman"/>
          <w:sz w:val="24"/>
        </w:rPr>
        <w:t>STAA as part of their PHA. In this case,</w:t>
      </w:r>
      <w:r>
        <w:rPr>
          <w:rFonts w:ascii="Times New Roman" w:hAnsi="Times New Roman"/>
          <w:sz w:val="24"/>
        </w:rPr>
        <w:t xml:space="preserve"> </w:t>
      </w:r>
      <w:r w:rsidRPr="00695CBC">
        <w:rPr>
          <w:rFonts w:ascii="Times New Roman" w:hAnsi="Times New Roman"/>
          <w:sz w:val="24"/>
        </w:rPr>
        <w:t>EPA focused on numerous accidental</w:t>
      </w:r>
      <w:r>
        <w:rPr>
          <w:rFonts w:ascii="Times New Roman" w:hAnsi="Times New Roman"/>
          <w:sz w:val="24"/>
        </w:rPr>
        <w:t xml:space="preserve"> </w:t>
      </w:r>
      <w:r w:rsidRPr="00695CBC">
        <w:rPr>
          <w:rFonts w:ascii="Times New Roman" w:hAnsi="Times New Roman"/>
          <w:sz w:val="24"/>
        </w:rPr>
        <w:t>releases that had the potential to cause</w:t>
      </w:r>
      <w:r>
        <w:rPr>
          <w:rFonts w:ascii="Times New Roman" w:hAnsi="Times New Roman"/>
          <w:sz w:val="24"/>
        </w:rPr>
        <w:t xml:space="preserve"> </w:t>
      </w:r>
      <w:r w:rsidRPr="00695CBC">
        <w:rPr>
          <w:rFonts w:ascii="Times New Roman" w:hAnsi="Times New Roman"/>
          <w:sz w:val="24"/>
        </w:rPr>
        <w:t>a secondary release of HF from</w:t>
      </w:r>
      <w:r>
        <w:rPr>
          <w:rFonts w:ascii="Times New Roman" w:hAnsi="Times New Roman"/>
          <w:sz w:val="24"/>
        </w:rPr>
        <w:t xml:space="preserve"> </w:t>
      </w:r>
      <w:r w:rsidRPr="00695CBC">
        <w:rPr>
          <w:rFonts w:ascii="Times New Roman" w:hAnsi="Times New Roman"/>
          <w:sz w:val="24"/>
        </w:rPr>
        <w:t>alkylation units rather than actual HF</w:t>
      </w:r>
      <w:r>
        <w:rPr>
          <w:rFonts w:ascii="Times New Roman" w:hAnsi="Times New Roman"/>
          <w:sz w:val="24"/>
        </w:rPr>
        <w:t xml:space="preserve"> </w:t>
      </w:r>
      <w:r w:rsidRPr="00695CBC">
        <w:rPr>
          <w:rFonts w:ascii="Times New Roman" w:hAnsi="Times New Roman"/>
          <w:sz w:val="24"/>
        </w:rPr>
        <w:t>releases and their consequences.</w:t>
      </w:r>
    </w:p>
    <w:p w:rsidR="003B12AF" w:rsidP="003B12AF" w14:paraId="10B1F3DD" w14:textId="77777777">
      <w:pPr>
        <w:rPr>
          <w:rFonts w:ascii="Times New Roman" w:hAnsi="Times New Roman"/>
          <w:sz w:val="24"/>
        </w:rPr>
      </w:pPr>
      <w:r w:rsidRPr="001C1CF7">
        <w:rPr>
          <w:rFonts w:ascii="Times New Roman" w:hAnsi="Times New Roman"/>
          <w:b/>
          <w:bCs/>
          <w:sz w:val="24"/>
        </w:rPr>
        <w:t>Comment</w:t>
      </w:r>
      <w:r>
        <w:rPr>
          <w:rFonts w:ascii="Times New Roman" w:hAnsi="Times New Roman"/>
          <w:b/>
          <w:bCs/>
          <w:sz w:val="24"/>
        </w:rPr>
        <w:t xml:space="preserve"> 6.3.1-03</w:t>
      </w:r>
      <w:r w:rsidRPr="001C1CF7">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that EPA’s decision to narrow the scope of the STAA requirement to facilities with NAICS 324 and 325 processes within one mile of one another was arbitrary, relied on insufficient data, and was unnecessarily difficult to enforce. The commenter </w:t>
      </w:r>
      <w:r>
        <w:rPr>
          <w:rFonts w:ascii="Times New Roman" w:hAnsi="Times New Roman"/>
          <w:sz w:val="24"/>
        </w:rPr>
        <w:t>said</w:t>
      </w:r>
      <w:r w:rsidRPr="006F68E9">
        <w:rPr>
          <w:rFonts w:ascii="Times New Roman" w:hAnsi="Times New Roman"/>
          <w:sz w:val="24"/>
        </w:rPr>
        <w:t xml:space="preserve"> that evidence suggested that there was a five-year lag in RMP reporting and therefore that accident data between 2017 to 2020 was incomplete and should not be relied upon for establishing a threshold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(240). </w:t>
      </w:r>
    </w:p>
    <w:p w:rsidR="003B12AF" w:rsidP="003B12AF" w14:paraId="15E52893"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stated</w:t>
      </w:r>
      <w:r w:rsidRPr="006F68E9">
        <w:rPr>
          <w:rFonts w:ascii="Times New Roman" w:hAnsi="Times New Roman"/>
          <w:sz w:val="24"/>
        </w:rPr>
        <w:t xml:space="preserve"> that the calculation to support the claim that the accident rate for NAICS Code 325 is twice that for the industry is unclear. The commenter calculated that enhanced enforcement of RMP requirements on a small percentage of NAICS Code 325 facilities would greatly reduce the number of reported incidents without any changes to RMP regulations The commenter also provided detailed statistics disputing EPA’s claim that the accident rate for NAICS Code 325 is twice that for the industry (0215). One commenter </w:t>
      </w:r>
      <w:r>
        <w:rPr>
          <w:rFonts w:ascii="Times New Roman" w:hAnsi="Times New Roman"/>
          <w:sz w:val="24"/>
        </w:rPr>
        <w:t>stated</w:t>
      </w:r>
      <w:r w:rsidRPr="006F68E9">
        <w:rPr>
          <w:rFonts w:ascii="Times New Roman" w:hAnsi="Times New Roman"/>
          <w:sz w:val="24"/>
        </w:rPr>
        <w:t xml:space="preserve"> they have many member Program 3 facilities located within a mile of another NAICS Code 325 facility (0275). </w:t>
      </w:r>
    </w:p>
    <w:p w:rsidR="003B12AF" w:rsidP="003B12AF" w14:paraId="1352473A"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appreciated EPA’s approach to address the potential for densely co-located facilities in the given NAICS codes to cause a knock-on release and exacerbate the potential harm but recommended that STAA applicability should be a question of industry. The commenter claimed that, by limiting the applicability to petroleum refining and chemical </w:t>
      </w:r>
      <w:r w:rsidRPr="006F68E9">
        <w:rPr>
          <w:rFonts w:ascii="Times New Roman" w:hAnsi="Times New Roman"/>
          <w:sz w:val="24"/>
        </w:rPr>
        <w:t>manufacturing facilities by any distance, a double standard in safety would emerge in industries because of the location of where the process takes place (0179).</w:t>
      </w:r>
    </w:p>
    <w:p w:rsidR="003B12AF" w:rsidRPr="006F68E9" w:rsidP="003B12AF" w14:paraId="039E2A32" w14:textId="77777777">
      <w:pPr>
        <w:rPr>
          <w:rFonts w:ascii="Times New Roman" w:hAnsi="Times New Roman"/>
          <w:sz w:val="24"/>
        </w:rPr>
      </w:pPr>
      <w:r w:rsidRPr="006F68E9">
        <w:rPr>
          <w:rFonts w:ascii="Times New Roman" w:hAnsi="Times New Roman"/>
          <w:sz w:val="24"/>
        </w:rPr>
        <w:t xml:space="preserve">A couple of commenters indicated the proposal did not provide meaningful calculations, data, and analysis to support the proposed requirements (0215, 0268). One commenter </w:t>
      </w:r>
      <w:r>
        <w:rPr>
          <w:rFonts w:ascii="Times New Roman" w:hAnsi="Times New Roman"/>
          <w:sz w:val="24"/>
        </w:rPr>
        <w:t>stated</w:t>
      </w:r>
      <w:r w:rsidRPr="006F68E9">
        <w:rPr>
          <w:rFonts w:ascii="Times New Roman" w:hAnsi="Times New Roman"/>
          <w:sz w:val="24"/>
        </w:rPr>
        <w:t xml:space="preserve"> that an additional public comment period should be required for filling in the significant missing data and gaps of information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The commenter identified the following examples as the missing information (0268): </w:t>
      </w:r>
    </w:p>
    <w:p w:rsidR="003B12AF" w:rsidRPr="006F68E9" w:rsidP="003B12AF" w14:paraId="65C57DC1" w14:textId="77777777">
      <w:pPr>
        <w:pStyle w:val="ListParagraph"/>
        <w:rPr>
          <w:rFonts w:ascii="Times New Roman" w:hAnsi="Times New Roman"/>
          <w:sz w:val="24"/>
        </w:rPr>
      </w:pPr>
      <w:r w:rsidRPr="006F68E9">
        <w:rPr>
          <w:rFonts w:ascii="Times New Roman" w:eastAsia="Times New Roman" w:hAnsi="Times New Roman"/>
          <w:sz w:val="24"/>
        </w:rPr>
        <w:t xml:space="preserve">EPA failed to provide a list and its associated NAICS codes for the 12,855 unique facilities reporting between 2016 and 2020. </w:t>
      </w:r>
    </w:p>
    <w:p w:rsidR="003B12AF" w:rsidRPr="006F68E9" w:rsidP="003B12AF" w14:paraId="64763ACA" w14:textId="77777777">
      <w:pPr>
        <w:pStyle w:val="ListParagraph"/>
        <w:rPr>
          <w:rFonts w:ascii="Times New Roman" w:hAnsi="Times New Roman"/>
          <w:sz w:val="24"/>
        </w:rPr>
      </w:pPr>
      <w:r w:rsidRPr="006F68E9">
        <w:rPr>
          <w:rFonts w:ascii="Times New Roman" w:eastAsia="Times New Roman" w:hAnsi="Times New Roman"/>
          <w:sz w:val="24"/>
        </w:rPr>
        <w:t xml:space="preserve">Some accidents are duplicated in the list of “unique” accidents provided by EPA. </w:t>
      </w:r>
    </w:p>
    <w:p w:rsidR="003B12AF" w:rsidRPr="006F68E9" w:rsidP="003B12AF" w14:paraId="26BA43E1" w14:textId="77777777">
      <w:pPr>
        <w:pStyle w:val="ListParagraph"/>
        <w:rPr>
          <w:rFonts w:ascii="Times New Roman" w:hAnsi="Times New Roman"/>
          <w:sz w:val="24"/>
        </w:rPr>
      </w:pPr>
      <w:r w:rsidRPr="006F68E9">
        <w:rPr>
          <w:rFonts w:ascii="Times New Roman" w:eastAsia="Times New Roman" w:hAnsi="Times New Roman"/>
          <w:sz w:val="24"/>
        </w:rPr>
        <w:t xml:space="preserve">Some facilities in “facility-dense” areas are duplicated in the list of NAICS 324/325 facilities located within 1-mile of another NAICS 324/325 facility. </w:t>
      </w:r>
    </w:p>
    <w:p w:rsidR="003B12AF" w:rsidRPr="006F68E9" w:rsidP="003B12AF" w14:paraId="52CAE92D" w14:textId="77777777">
      <w:pPr>
        <w:pStyle w:val="ListParagraph"/>
        <w:rPr>
          <w:rFonts w:ascii="Times New Roman" w:hAnsi="Times New Roman"/>
          <w:sz w:val="24"/>
        </w:rPr>
      </w:pPr>
      <w:r w:rsidRPr="006F68E9">
        <w:rPr>
          <w:rFonts w:ascii="Times New Roman" w:eastAsia="Times New Roman" w:hAnsi="Times New Roman"/>
          <w:sz w:val="24"/>
        </w:rPr>
        <w:t>A single outlier event on November 27, 2019, has skewed the data such that EPA identified a trend of “considerably larger offsite impacts,” including “over 153 million dollars in offsite property damage” for facilities in “facility-dense” areas. This one incident accounts for</w:t>
      </w:r>
      <w:r w:rsidRPr="006F68E9">
        <w:rPr>
          <w:rStyle w:val="Emphasis"/>
          <w:i w:val="0"/>
          <w:iCs w:val="0"/>
        </w:rPr>
        <w:t xml:space="preserve"> all</w:t>
      </w:r>
      <w:r w:rsidRPr="006F68E9">
        <w:rPr>
          <w:rFonts w:ascii="Times New Roman" w:eastAsia="Times New Roman" w:hAnsi="Times New Roman"/>
          <w:sz w:val="24"/>
        </w:rPr>
        <w:t xml:space="preserve"> of the property damage, but EPA has not acknowledged this. A single event does not indicate a trend. </w:t>
      </w:r>
    </w:p>
    <w:p w:rsidR="003B12AF" w:rsidRPr="0085513B" w:rsidP="003B12AF" w14:paraId="4D604667" w14:textId="77777777">
      <w:pPr>
        <w:pStyle w:val="ListParagraph"/>
        <w:rPr>
          <w:rFonts w:ascii="Times New Roman" w:hAnsi="Times New Roman"/>
          <w:sz w:val="24"/>
        </w:rPr>
      </w:pPr>
      <w:r w:rsidRPr="006F68E9">
        <w:rPr>
          <w:rFonts w:ascii="Times New Roman" w:eastAsia="Times New Roman" w:hAnsi="Times New Roman"/>
          <w:sz w:val="24"/>
        </w:rPr>
        <w:t xml:space="preserve">EPA failed to present any data to support their claim that “densely co-located” facilities have an increased potential for a release at a second facility. In addition, they did not justify its claim that the alleged increased potential is applicable to facilities with one, two, or more adjacent facilities to warrant a “densely co-located” </w:t>
      </w:r>
      <w:r w:rsidRPr="0085513B">
        <w:rPr>
          <w:rFonts w:ascii="Times New Roman" w:eastAsia="Times New Roman" w:hAnsi="Times New Roman"/>
          <w:sz w:val="24"/>
        </w:rPr>
        <w:t>designation</w:t>
      </w:r>
      <w:r w:rsidRPr="0085513B">
        <w:rPr>
          <w:rFonts w:ascii="Times New Roman" w:hAnsi="Times New Roman"/>
          <w:sz w:val="24"/>
        </w:rPr>
        <w:t xml:space="preserve">. </w:t>
      </w:r>
    </w:p>
    <w:p w:rsidR="00D94A93" w:rsidRPr="00DD1805" w:rsidP="00D94A93" w14:paraId="7395B6AF" w14:textId="59F2D738">
      <w:pPr>
        <w:ind w:left="720"/>
        <w:rPr>
          <w:rFonts w:ascii="Times New Roman" w:hAnsi="Times New Roman"/>
          <w:sz w:val="24"/>
        </w:rPr>
      </w:pPr>
      <w:r w:rsidRPr="7029657D">
        <w:rPr>
          <w:rFonts w:ascii="Times New Roman" w:hAnsi="Times New Roman"/>
          <w:b/>
          <w:bCs/>
          <w:sz w:val="24"/>
        </w:rPr>
        <w:t>EPA Response</w:t>
      </w:r>
      <w:r w:rsidRPr="00AC2D9B">
        <w:rPr>
          <w:rFonts w:ascii="Times New Roman" w:hAnsi="Times New Roman"/>
          <w:sz w:val="24"/>
        </w:rPr>
        <w:t>:</w:t>
      </w:r>
      <w:r w:rsidRPr="7029657D">
        <w:rPr>
          <w:rFonts w:ascii="Times New Roman" w:hAnsi="Times New Roman"/>
          <w:sz w:val="24"/>
        </w:rPr>
        <w:t xml:space="preserve"> </w:t>
      </w:r>
      <w:r w:rsidRPr="002E3FC4" w:rsidR="08472FB8">
        <w:t xml:space="preserve"> </w:t>
      </w:r>
      <w:r w:rsidRPr="7029657D" w:rsidR="08472FB8">
        <w:rPr>
          <w:rFonts w:ascii="Times New Roman" w:hAnsi="Times New Roman"/>
          <w:sz w:val="24"/>
        </w:rPr>
        <w:t>As noted in the proposed rule</w:t>
      </w:r>
      <w:r w:rsidRPr="00514AD7" w:rsidR="08472FB8">
        <w:rPr>
          <w:rFonts w:ascii="Times New Roman" w:hAnsi="Times New Roman"/>
          <w:sz w:val="24"/>
        </w:rPr>
        <w:t xml:space="preserve">, </w:t>
      </w:r>
      <w:r w:rsidRPr="00514AD7" w:rsidR="1DE66FED">
        <w:rPr>
          <w:rFonts w:ascii="Times New Roman" w:hAnsi="Times New Roman"/>
          <w:sz w:val="24"/>
        </w:rPr>
        <w:t xml:space="preserve">between 2016 and 2020, </w:t>
      </w:r>
      <w:r w:rsidRPr="00514AD7" w:rsidR="08472FB8">
        <w:rPr>
          <w:rFonts w:ascii="Times New Roman" w:hAnsi="Times New Roman"/>
          <w:sz w:val="24"/>
        </w:rPr>
        <w:t>sector accident rates (unique facilities having accidents) for NAICS 324 and 325 were</w:t>
      </w:r>
      <w:r w:rsidRPr="00514AD7" w:rsidR="1DE66FED">
        <w:rPr>
          <w:rFonts w:ascii="Times New Roman" w:hAnsi="Times New Roman"/>
          <w:sz w:val="24"/>
        </w:rPr>
        <w:t>, respectively,</w:t>
      </w:r>
      <w:r w:rsidRPr="00514AD7" w:rsidR="08472FB8">
        <w:rPr>
          <w:rFonts w:ascii="Times New Roman" w:hAnsi="Times New Roman"/>
          <w:sz w:val="24"/>
        </w:rPr>
        <w:t xml:space="preserve"> seven times </w:t>
      </w:r>
      <w:r w:rsidRPr="00514AD7" w:rsidR="1DE66FED">
        <w:rPr>
          <w:rFonts w:ascii="Times New Roman" w:hAnsi="Times New Roman"/>
          <w:sz w:val="24"/>
        </w:rPr>
        <w:t xml:space="preserve">higher </w:t>
      </w:r>
      <w:r w:rsidRPr="00514AD7" w:rsidR="505B6F93">
        <w:rPr>
          <w:rFonts w:ascii="Times New Roman" w:hAnsi="Times New Roman"/>
          <w:sz w:val="24"/>
        </w:rPr>
        <w:t xml:space="preserve">(23 percent, n = 41 out of 177) </w:t>
      </w:r>
      <w:r w:rsidRPr="00514AD7" w:rsidR="08472FB8">
        <w:rPr>
          <w:rFonts w:ascii="Times New Roman" w:hAnsi="Times New Roman"/>
          <w:sz w:val="24"/>
        </w:rPr>
        <w:t xml:space="preserve">and two times higher </w:t>
      </w:r>
      <w:r w:rsidRPr="00514AD7" w:rsidR="5B9F9A57">
        <w:rPr>
          <w:rFonts w:ascii="Times New Roman" w:hAnsi="Times New Roman"/>
          <w:sz w:val="24"/>
        </w:rPr>
        <w:t xml:space="preserve">(6 percent, n = 96 out of 1631) </w:t>
      </w:r>
      <w:r w:rsidRPr="00514AD7" w:rsidR="08472FB8">
        <w:rPr>
          <w:rFonts w:ascii="Times New Roman" w:hAnsi="Times New Roman"/>
          <w:sz w:val="24"/>
        </w:rPr>
        <w:t>than the rate for all RMP-regulated facilities</w:t>
      </w:r>
      <w:r w:rsidRPr="00514AD7" w:rsidR="667D60EB">
        <w:rPr>
          <w:rFonts w:ascii="Times New Roman" w:hAnsi="Times New Roman"/>
          <w:sz w:val="24"/>
        </w:rPr>
        <w:t xml:space="preserve"> (87 FR 53578).</w:t>
      </w:r>
      <w:r>
        <w:rPr>
          <w:rStyle w:val="FootnoteReference"/>
          <w:rFonts w:ascii="Times New Roman" w:hAnsi="Times New Roman"/>
          <w:sz w:val="24"/>
        </w:rPr>
        <w:footnoteReference w:id="102"/>
      </w:r>
      <w:r w:rsidRPr="00514AD7" w:rsidR="667D60EB">
        <w:rPr>
          <w:rFonts w:ascii="Times New Roman" w:hAnsi="Times New Roman"/>
          <w:sz w:val="24"/>
        </w:rPr>
        <w:t xml:space="preserve"> </w:t>
      </w:r>
      <w:r w:rsidRPr="00514AD7" w:rsidR="08472FB8">
        <w:rPr>
          <w:rFonts w:ascii="Times New Roman" w:hAnsi="Times New Roman"/>
          <w:sz w:val="24"/>
        </w:rPr>
        <w:t xml:space="preserve"> </w:t>
      </w:r>
      <w:r w:rsidRPr="7029657D">
        <w:rPr>
          <w:rFonts w:ascii="Times New Roman" w:hAnsi="Times New Roman"/>
          <w:sz w:val="24"/>
        </w:rPr>
        <w:t>The docket provides instructions on how to receive the RMP Database data from August 1, 2021 which was the starting point of EPA’s analysis.</w:t>
      </w:r>
      <w:r>
        <w:rPr>
          <w:rStyle w:val="FootnoteReference"/>
          <w:rFonts w:ascii="Times New Roman" w:hAnsi="Times New Roman"/>
          <w:sz w:val="24"/>
        </w:rPr>
        <w:footnoteReference w:id="103"/>
      </w:r>
    </w:p>
    <w:p w:rsidR="00935E69" w:rsidP="7029657D" w14:paraId="58CAA094" w14:textId="1CA846C8">
      <w:pPr>
        <w:ind w:left="720"/>
        <w:rPr>
          <w:rFonts w:ascii="Times New Roman" w:eastAsia="Times New Roman" w:hAnsi="Times New Roman"/>
          <w:sz w:val="24"/>
        </w:rPr>
      </w:pPr>
      <w:r w:rsidRPr="00B338D6">
        <w:rPr>
          <w:rFonts w:ascii="Times New Roman" w:eastAsia="Times New Roman" w:hAnsi="Times New Roman"/>
          <w:sz w:val="24"/>
        </w:rPr>
        <w:t xml:space="preserve">We note the comment about the reliability of accident information for recent periods claims there is an undercount but does not claim the distribution among sectors changes as late reports come in. Moreover, the distribution of significant accidental releases seems consistent over time. </w:t>
      </w:r>
      <w:r w:rsidR="00DE61C4">
        <w:rPr>
          <w:rFonts w:ascii="Times New Roman" w:eastAsia="Times New Roman" w:hAnsi="Times New Roman"/>
          <w:sz w:val="24"/>
        </w:rPr>
        <w:t>We also no</w:t>
      </w:r>
      <w:r w:rsidR="00B138B0">
        <w:rPr>
          <w:rFonts w:ascii="Times New Roman" w:eastAsia="Times New Roman" w:hAnsi="Times New Roman"/>
          <w:sz w:val="24"/>
        </w:rPr>
        <w:t>te the comment disputing the accident rate for</w:t>
      </w:r>
      <w:r>
        <w:rPr>
          <w:rFonts w:ascii="Times New Roman" w:eastAsia="Times New Roman" w:hAnsi="Times New Roman"/>
          <w:sz w:val="24"/>
        </w:rPr>
        <w:t xml:space="preserve"> NAICS</w:t>
      </w:r>
      <w:r w:rsidR="00B138B0">
        <w:rPr>
          <w:rFonts w:ascii="Times New Roman" w:eastAsia="Times New Roman" w:hAnsi="Times New Roman"/>
          <w:sz w:val="24"/>
        </w:rPr>
        <w:t xml:space="preserve"> 325</w:t>
      </w:r>
      <w:r w:rsidR="0086794E">
        <w:rPr>
          <w:rFonts w:ascii="Times New Roman" w:eastAsia="Times New Roman" w:hAnsi="Times New Roman"/>
          <w:sz w:val="24"/>
        </w:rPr>
        <w:t xml:space="preserve"> counters with </w:t>
      </w:r>
      <w:r w:rsidR="009451CD">
        <w:rPr>
          <w:rFonts w:ascii="Times New Roman" w:eastAsia="Times New Roman" w:hAnsi="Times New Roman"/>
          <w:sz w:val="24"/>
        </w:rPr>
        <w:t xml:space="preserve">summary points on </w:t>
      </w:r>
      <w:r w:rsidR="00FA5ED3">
        <w:rPr>
          <w:rFonts w:ascii="Times New Roman" w:eastAsia="Times New Roman" w:hAnsi="Times New Roman"/>
          <w:sz w:val="24"/>
        </w:rPr>
        <w:t xml:space="preserve">an </w:t>
      </w:r>
      <w:r w:rsidR="0086794E">
        <w:rPr>
          <w:rFonts w:ascii="Times New Roman" w:eastAsia="Times New Roman" w:hAnsi="Times New Roman"/>
          <w:sz w:val="24"/>
        </w:rPr>
        <w:t>analysis o</w:t>
      </w:r>
      <w:r w:rsidR="00B338D6">
        <w:rPr>
          <w:rFonts w:ascii="Times New Roman" w:eastAsia="Times New Roman" w:hAnsi="Times New Roman"/>
          <w:sz w:val="24"/>
        </w:rPr>
        <w:t>f</w:t>
      </w:r>
      <w:r w:rsidR="0086794E">
        <w:rPr>
          <w:rFonts w:ascii="Times New Roman" w:eastAsia="Times New Roman" w:hAnsi="Times New Roman"/>
          <w:sz w:val="24"/>
        </w:rPr>
        <w:t xml:space="preserve"> </w:t>
      </w:r>
      <w:r w:rsidR="00B138B0">
        <w:rPr>
          <w:rFonts w:ascii="Times New Roman" w:eastAsia="Times New Roman" w:hAnsi="Times New Roman"/>
          <w:sz w:val="24"/>
        </w:rPr>
        <w:t>accidents since 2004</w:t>
      </w:r>
      <w:r>
        <w:rPr>
          <w:rFonts w:ascii="Times New Roman" w:eastAsia="Times New Roman" w:hAnsi="Times New Roman"/>
          <w:sz w:val="24"/>
        </w:rPr>
        <w:t xml:space="preserve"> rather than the most recent 5-year time frame EPA reviewed.</w:t>
      </w:r>
      <w:r w:rsidRPr="00935E69">
        <w:rPr>
          <w:rFonts w:ascii="Times New Roman" w:eastAsia="Times New Roman" w:hAnsi="Times New Roman"/>
          <w:sz w:val="24"/>
        </w:rPr>
        <w:t xml:space="preserve"> </w:t>
      </w:r>
      <w:r>
        <w:rPr>
          <w:rFonts w:ascii="Times New Roman" w:eastAsia="Times New Roman" w:hAnsi="Times New Roman"/>
          <w:sz w:val="24"/>
        </w:rPr>
        <w:t xml:space="preserve">EPA is unable to </w:t>
      </w:r>
      <w:r w:rsidR="001403D2">
        <w:rPr>
          <w:rFonts w:ascii="Times New Roman" w:eastAsia="Times New Roman" w:hAnsi="Times New Roman"/>
          <w:sz w:val="24"/>
        </w:rPr>
        <w:t xml:space="preserve">validate the points raised as </w:t>
      </w:r>
      <w:r w:rsidR="008E2513">
        <w:rPr>
          <w:rFonts w:ascii="Times New Roman" w:eastAsia="Times New Roman" w:hAnsi="Times New Roman"/>
          <w:sz w:val="24"/>
        </w:rPr>
        <w:t>detail</w:t>
      </w:r>
      <w:r>
        <w:rPr>
          <w:rFonts w:ascii="Times New Roman" w:eastAsia="Times New Roman" w:hAnsi="Times New Roman"/>
          <w:sz w:val="24"/>
        </w:rPr>
        <w:t xml:space="preserve"> supporting the </w:t>
      </w:r>
      <w:r w:rsidR="00BB5D77">
        <w:rPr>
          <w:rFonts w:ascii="Times New Roman" w:eastAsia="Times New Roman" w:hAnsi="Times New Roman"/>
          <w:sz w:val="24"/>
        </w:rPr>
        <w:t>summary analysis</w:t>
      </w:r>
      <w:r>
        <w:rPr>
          <w:rFonts w:ascii="Times New Roman" w:eastAsia="Times New Roman" w:hAnsi="Times New Roman"/>
          <w:sz w:val="24"/>
        </w:rPr>
        <w:t xml:space="preserve"> was not provided</w:t>
      </w:r>
      <w:r w:rsidR="008E2513">
        <w:rPr>
          <w:rFonts w:ascii="Times New Roman" w:eastAsia="Times New Roman" w:hAnsi="Times New Roman"/>
          <w:sz w:val="24"/>
        </w:rPr>
        <w:t xml:space="preserve"> to the level that EPA provided for the </w:t>
      </w:r>
      <w:r w:rsidR="00975DA0">
        <w:rPr>
          <w:rFonts w:ascii="Times New Roman" w:eastAsia="Times New Roman" w:hAnsi="Times New Roman"/>
          <w:sz w:val="24"/>
        </w:rPr>
        <w:t>five-year</w:t>
      </w:r>
      <w:r w:rsidR="008E2513">
        <w:rPr>
          <w:rFonts w:ascii="Times New Roman" w:eastAsia="Times New Roman" w:hAnsi="Times New Roman"/>
          <w:sz w:val="24"/>
        </w:rPr>
        <w:t xml:space="preserve"> period</w:t>
      </w:r>
      <w:r>
        <w:rPr>
          <w:rFonts w:ascii="Times New Roman" w:eastAsia="Times New Roman" w:hAnsi="Times New Roman"/>
          <w:sz w:val="24"/>
        </w:rPr>
        <w:t xml:space="preserve">. </w:t>
      </w:r>
    </w:p>
    <w:p w:rsidR="00015A71" w:rsidP="003B12AF" w14:paraId="1B602868" w14:textId="1418FBBA">
      <w:pPr>
        <w:ind w:left="720"/>
        <w:rPr>
          <w:rFonts w:ascii="Times New Roman" w:hAnsi="Times New Roman"/>
          <w:sz w:val="24"/>
        </w:rPr>
      </w:pPr>
      <w:r w:rsidRPr="00514AD7">
        <w:rPr>
          <w:rFonts w:ascii="Times New Roman" w:hAnsi="Times New Roman"/>
          <w:sz w:val="24"/>
        </w:rPr>
        <w:t xml:space="preserve">By expanding applicability of the STAA evaluation to </w:t>
      </w:r>
      <w:r w:rsidRPr="00514AD7" w:rsidR="5EDB8AC2">
        <w:rPr>
          <w:rFonts w:ascii="Times New Roman" w:hAnsi="Times New Roman"/>
          <w:sz w:val="24"/>
        </w:rPr>
        <w:t>all</w:t>
      </w:r>
      <w:r w:rsidRPr="00514AD7">
        <w:rPr>
          <w:rFonts w:ascii="Times New Roman" w:hAnsi="Times New Roman"/>
          <w:sz w:val="24"/>
        </w:rPr>
        <w:t xml:space="preserve"> NAICS 324 and 325 processes, EPA expects to also capture complex facilities in less facility-dense areas that</w:t>
      </w:r>
      <w:r w:rsidRPr="7029657D">
        <w:rPr>
          <w:rFonts w:ascii="Times New Roman" w:hAnsi="Times New Roman"/>
          <w:sz w:val="24"/>
        </w:rPr>
        <w:t xml:space="preserve"> nonetheless may cause significant harm to human health and the environment</w:t>
      </w:r>
      <w:r w:rsidR="00B338D6">
        <w:rPr>
          <w:rFonts w:ascii="Times New Roman" w:hAnsi="Times New Roman"/>
          <w:sz w:val="24"/>
        </w:rPr>
        <w:t xml:space="preserve"> </w:t>
      </w:r>
      <w:r w:rsidRPr="7029657D" w:rsidR="01229480">
        <w:rPr>
          <w:rFonts w:ascii="Times New Roman" w:hAnsi="Times New Roman"/>
          <w:sz w:val="24"/>
        </w:rPr>
        <w:t xml:space="preserve">In the final </w:t>
      </w:r>
      <w:r w:rsidRPr="7029657D" w:rsidR="01229480">
        <w:rPr>
          <w:rFonts w:ascii="Times New Roman" w:hAnsi="Times New Roman"/>
          <w:sz w:val="24"/>
        </w:rPr>
        <w:t xml:space="preserve">rule, we retain the 1-mile </w:t>
      </w:r>
      <w:r w:rsidRPr="7029657D" w:rsidR="6CBE01BE">
        <w:rPr>
          <w:rFonts w:ascii="Times New Roman" w:hAnsi="Times New Roman"/>
          <w:sz w:val="24"/>
        </w:rPr>
        <w:t xml:space="preserve">and the HF alkylation process </w:t>
      </w:r>
      <w:r w:rsidRPr="7029657D" w:rsidR="00FC5DF7">
        <w:rPr>
          <w:rFonts w:ascii="Times New Roman" w:hAnsi="Times New Roman"/>
          <w:sz w:val="24"/>
        </w:rPr>
        <w:t>focus and</w:t>
      </w:r>
      <w:r w:rsidRPr="7029657D" w:rsidR="6CBE01BE">
        <w:rPr>
          <w:rFonts w:ascii="Times New Roman" w:hAnsi="Times New Roman"/>
          <w:sz w:val="24"/>
        </w:rPr>
        <w:t xml:space="preserve"> include a source-specific criterion of </w:t>
      </w:r>
      <w:r w:rsidRPr="7029657D" w:rsidR="698399FF">
        <w:rPr>
          <w:rFonts w:ascii="Times New Roman" w:hAnsi="Times New Roman"/>
          <w:sz w:val="24"/>
        </w:rPr>
        <w:t xml:space="preserve">a petroleum refining or chemical manufacturing process having had a recent accident, for additional STAA </w:t>
      </w:r>
      <w:r w:rsidRPr="7029657D" w:rsidR="7C332B09">
        <w:rPr>
          <w:rFonts w:ascii="Times New Roman" w:hAnsi="Times New Roman"/>
          <w:sz w:val="24"/>
        </w:rPr>
        <w:t>requirements (a practicability assessment and safeguard implementation). The</w:t>
      </w:r>
      <w:r w:rsidRPr="7029657D" w:rsidR="66CD6462">
        <w:rPr>
          <w:rFonts w:ascii="Times New Roman" w:hAnsi="Times New Roman"/>
          <w:sz w:val="24"/>
        </w:rPr>
        <w:t xml:space="preserve"> sources covered by these criteria represent heightened risks </w:t>
      </w:r>
      <w:r w:rsidRPr="7029657D" w:rsidR="4C866D5F">
        <w:rPr>
          <w:rFonts w:ascii="Times New Roman" w:hAnsi="Times New Roman"/>
          <w:sz w:val="24"/>
        </w:rPr>
        <w:t xml:space="preserve">to surrounding communities </w:t>
      </w:r>
      <w:r w:rsidRPr="7029657D" w:rsidR="66CD6462">
        <w:rPr>
          <w:rFonts w:ascii="Times New Roman" w:hAnsi="Times New Roman"/>
          <w:sz w:val="24"/>
        </w:rPr>
        <w:t xml:space="preserve">due to accident history, </w:t>
      </w:r>
      <w:r w:rsidRPr="7029657D" w:rsidR="14481E92">
        <w:rPr>
          <w:rFonts w:ascii="Times New Roman" w:hAnsi="Times New Roman"/>
          <w:sz w:val="24"/>
        </w:rPr>
        <w:t xml:space="preserve">overlapping worst case zones, and recent severe accidents and near misses. </w:t>
      </w:r>
    </w:p>
    <w:p w:rsidR="003B12AF" w:rsidRPr="00213B53" w:rsidP="003B12AF" w14:paraId="3635E81D" w14:textId="77777777">
      <w:pPr>
        <w:rPr>
          <w:rFonts w:ascii="Times New Roman" w:hAnsi="Times New Roman"/>
          <w:sz w:val="24"/>
        </w:rPr>
      </w:pPr>
      <w:r w:rsidRPr="00213B53">
        <w:rPr>
          <w:rFonts w:ascii="Times New Roman" w:hAnsi="Times New Roman"/>
          <w:b/>
          <w:bCs/>
          <w:sz w:val="24"/>
        </w:rPr>
        <w:t>Comment:</w:t>
      </w:r>
      <w:r>
        <w:rPr>
          <w:rFonts w:ascii="Times New Roman" w:hAnsi="Times New Roman"/>
          <w:b/>
          <w:bCs/>
          <w:sz w:val="24"/>
        </w:rPr>
        <w:t xml:space="preserve"> 6.3.1-04</w:t>
      </w:r>
      <w:r w:rsidRPr="00213B53">
        <w:rPr>
          <w:rFonts w:ascii="Times New Roman" w:hAnsi="Times New Roman"/>
          <w:b/>
          <w:bCs/>
          <w:sz w:val="24"/>
        </w:rPr>
        <w:t xml:space="preserve"> </w:t>
      </w:r>
      <w:r w:rsidRPr="006F68E9">
        <w:rPr>
          <w:rFonts w:ascii="Times New Roman" w:hAnsi="Times New Roman"/>
          <w:sz w:val="24"/>
        </w:rPr>
        <w:t xml:space="preserve">A few commenters </w:t>
      </w:r>
      <w:r>
        <w:rPr>
          <w:rFonts w:ascii="Times New Roman" w:hAnsi="Times New Roman"/>
          <w:sz w:val="24"/>
        </w:rPr>
        <w:t>discussed</w:t>
      </w:r>
      <w:r w:rsidRPr="006F68E9">
        <w:rPr>
          <w:rFonts w:ascii="Times New Roman" w:hAnsi="Times New Roman"/>
          <w:sz w:val="24"/>
        </w:rPr>
        <w:t xml:space="preserve"> the reversal of this proposal from the RMP rule in 1996, in which EPA did not adopt an STAA requirement due to determin</w:t>
      </w:r>
      <w:r>
        <w:rPr>
          <w:rFonts w:ascii="Times New Roman" w:hAnsi="Times New Roman"/>
          <w:sz w:val="24"/>
        </w:rPr>
        <w:t>ing</w:t>
      </w:r>
      <w:r w:rsidRPr="006F68E9">
        <w:rPr>
          <w:rFonts w:ascii="Times New Roman" w:hAnsi="Times New Roman"/>
          <w:sz w:val="24"/>
        </w:rPr>
        <w:t xml:space="preserve"> it would not provide meaningful safety benefits in the water sector, and the 2019 </w:t>
      </w:r>
      <w:r>
        <w:rPr>
          <w:rFonts w:ascii="Times New Roman" w:hAnsi="Times New Roman"/>
          <w:sz w:val="24"/>
        </w:rPr>
        <w:t>final rule</w:t>
      </w:r>
      <w:r w:rsidRPr="006F68E9">
        <w:rPr>
          <w:rFonts w:ascii="Times New Roman" w:hAnsi="Times New Roman"/>
          <w:sz w:val="24"/>
        </w:rPr>
        <w:t xml:space="preserve"> where EPA removed the STAA requirement based on an analysis that accident rates were not lower in jurisdictions that adopted STAA-like programs (0188, 0239).</w:t>
      </w:r>
      <w:r>
        <w:rPr>
          <w:rFonts w:ascii="Times New Roman" w:hAnsi="Times New Roman"/>
          <w:sz w:val="24"/>
        </w:rPr>
        <w:t xml:space="preserve"> </w:t>
      </w:r>
      <w:r w:rsidRPr="00213B53">
        <w:rPr>
          <w:rFonts w:ascii="Times New Roman" w:hAnsi="Times New Roman"/>
          <w:sz w:val="24"/>
        </w:rPr>
        <w:t xml:space="preserve">A few commenters </w:t>
      </w:r>
      <w:r>
        <w:rPr>
          <w:rFonts w:ascii="Times New Roman" w:hAnsi="Times New Roman"/>
          <w:sz w:val="24"/>
        </w:rPr>
        <w:t>said</w:t>
      </w:r>
      <w:r w:rsidRPr="00213B53">
        <w:rPr>
          <w:rFonts w:ascii="Times New Roman" w:hAnsi="Times New Roman"/>
          <w:sz w:val="24"/>
        </w:rPr>
        <w:t xml:space="preserve"> EPA failed to justify a reversal of the 1996 decision that requiring analyses of alternative technologies is not beneficial and is inappropriate for existing processes (0229, 0232, 0238). One commenter pointed out that in 2019, EPA removed an STAA requirement based on its analysis that STAA regulations would likely not be effective at reducing accidents if applied on a national scale and this is the approach that EPA should continue to follow (0188).</w:t>
      </w:r>
    </w:p>
    <w:p w:rsidR="005B3F1D" w:rsidRPr="005B3F1D" w:rsidP="4910E793" w14:paraId="51619F2E" w14:textId="7E8D2488">
      <w:pPr>
        <w:tabs>
          <w:tab w:val="left" w:pos="720"/>
        </w:tabs>
        <w:ind w:left="720"/>
        <w:rPr>
          <w:rFonts w:ascii="Times New Roman" w:hAnsi="Times New Roman"/>
          <w:sz w:val="24"/>
        </w:rPr>
      </w:pPr>
      <w:r w:rsidRPr="4910E793">
        <w:rPr>
          <w:rFonts w:ascii="Times New Roman" w:hAnsi="Times New Roman"/>
          <w:b/>
          <w:bCs/>
          <w:sz w:val="24"/>
        </w:rPr>
        <w:t>EPA Response:</w:t>
      </w:r>
      <w:r w:rsidRPr="4910E793">
        <w:rPr>
          <w:rFonts w:ascii="Times New Roman" w:hAnsi="Times New Roman"/>
          <w:sz w:val="24"/>
        </w:rPr>
        <w:t xml:space="preserve"> </w:t>
      </w:r>
      <w:r w:rsidRPr="4910E793" w:rsidR="6F77E948">
        <w:rPr>
          <w:rFonts w:ascii="Times New Roman" w:hAnsi="Times New Roman"/>
          <w:sz w:val="24"/>
        </w:rPr>
        <w:t>EPA provided an explanation of its change of its position regarding the need for a rule requirement for STAA in the SCCA</w:t>
      </w:r>
      <w:r w:rsidRPr="4910E793" w:rsidR="6F7FF4B1">
        <w:rPr>
          <w:rFonts w:ascii="Times New Roman" w:hAnsi="Times New Roman"/>
          <w:sz w:val="24"/>
        </w:rPr>
        <w:t xml:space="preserve">P </w:t>
      </w:r>
      <w:r w:rsidRPr="4910E793" w:rsidR="6F77E948">
        <w:rPr>
          <w:rFonts w:ascii="Times New Roman" w:hAnsi="Times New Roman"/>
          <w:sz w:val="24"/>
        </w:rPr>
        <w:t>propos</w:t>
      </w:r>
      <w:r w:rsidRPr="4910E793" w:rsidR="375F3111">
        <w:rPr>
          <w:rFonts w:ascii="Times New Roman" w:hAnsi="Times New Roman"/>
          <w:sz w:val="24"/>
        </w:rPr>
        <w:t>ed rule</w:t>
      </w:r>
      <w:r w:rsidRPr="4910E793" w:rsidR="6F77E948">
        <w:rPr>
          <w:rFonts w:ascii="Times New Roman" w:hAnsi="Times New Roman"/>
          <w:sz w:val="24"/>
        </w:rPr>
        <w:t xml:space="preserve"> at </w:t>
      </w:r>
      <w:r w:rsidRPr="4910E793" w:rsidR="0F2C4E33">
        <w:rPr>
          <w:rFonts w:ascii="Times New Roman" w:hAnsi="Times New Roman"/>
          <w:sz w:val="24"/>
        </w:rPr>
        <w:t>87 F</w:t>
      </w:r>
      <w:r w:rsidRPr="4910E793" w:rsidR="000F4F93">
        <w:rPr>
          <w:rFonts w:ascii="Times New Roman" w:hAnsi="Times New Roman"/>
          <w:sz w:val="24"/>
        </w:rPr>
        <w:t>R</w:t>
      </w:r>
      <w:r w:rsidRPr="4910E793" w:rsidR="0F2C4E33">
        <w:rPr>
          <w:rFonts w:ascii="Times New Roman" w:hAnsi="Times New Roman"/>
          <w:sz w:val="24"/>
        </w:rPr>
        <w:t xml:space="preserve"> 53578-79 (Aug. 31, 2022). EPA recognizes it has reversed positions b</w:t>
      </w:r>
      <w:r w:rsidRPr="4910E793" w:rsidR="3D15D10C">
        <w:rPr>
          <w:rFonts w:ascii="Times New Roman" w:hAnsi="Times New Roman"/>
          <w:sz w:val="24"/>
        </w:rPr>
        <w:t>ut explained several faults with the decision in 2019 – small data sets in New Jersey and M</w:t>
      </w:r>
      <w:r w:rsidRPr="4910E793" w:rsidR="75541FD9">
        <w:rPr>
          <w:rFonts w:ascii="Times New Roman" w:hAnsi="Times New Roman"/>
          <w:sz w:val="24"/>
        </w:rPr>
        <w:t xml:space="preserve">assachusetts, inappropriate </w:t>
      </w:r>
      <w:r w:rsidRPr="4910E793" w:rsidR="02214CA2">
        <w:rPr>
          <w:rFonts w:ascii="Times New Roman" w:hAnsi="Times New Roman"/>
          <w:sz w:val="24"/>
        </w:rPr>
        <w:t xml:space="preserve">comparisons of rates for all types of sources to rates in NAICS 324 and 325, </w:t>
      </w:r>
      <w:r w:rsidR="00C60122">
        <w:rPr>
          <w:rFonts w:ascii="Times New Roman" w:hAnsi="Times New Roman"/>
          <w:sz w:val="24"/>
        </w:rPr>
        <w:t xml:space="preserve">and </w:t>
      </w:r>
      <w:r w:rsidRPr="4910E793" w:rsidR="40C631D3">
        <w:rPr>
          <w:rFonts w:ascii="Times New Roman" w:hAnsi="Times New Roman"/>
          <w:sz w:val="24"/>
        </w:rPr>
        <w:t>intra-year variability when dealing with very few accidents</w:t>
      </w:r>
      <w:r w:rsidRPr="4910E793" w:rsidR="0DED4584">
        <w:rPr>
          <w:rFonts w:ascii="Times New Roman" w:hAnsi="Times New Roman"/>
          <w:sz w:val="24"/>
        </w:rPr>
        <w:t xml:space="preserve">. The 2019 decision relied on the </w:t>
      </w:r>
      <w:r w:rsidRPr="4910E793" w:rsidR="0879A9EC">
        <w:rPr>
          <w:rFonts w:ascii="Times New Roman" w:hAnsi="Times New Roman"/>
          <w:sz w:val="24"/>
        </w:rPr>
        <w:t>data trends in New Jersey and Massachusetts, but we concluded that, due to the faults discussed in the notice, that that reliance was m</w:t>
      </w:r>
      <w:r w:rsidRPr="4910E793" w:rsidR="1F9BA2A8">
        <w:rPr>
          <w:rFonts w:ascii="Times New Roman" w:hAnsi="Times New Roman"/>
          <w:sz w:val="24"/>
        </w:rPr>
        <w:t xml:space="preserve">isplaced. In lieu of relying on statistical analysis of data sets with significant </w:t>
      </w:r>
      <w:r w:rsidRPr="4910E793" w:rsidR="372C640E">
        <w:rPr>
          <w:rFonts w:ascii="Times New Roman" w:hAnsi="Times New Roman"/>
          <w:sz w:val="24"/>
        </w:rPr>
        <w:t xml:space="preserve">shortcomings, we focused on the substantial body of expert opinion, including CSB </w:t>
      </w:r>
      <w:r w:rsidRPr="4910E793" w:rsidR="674F1AC0">
        <w:rPr>
          <w:rFonts w:ascii="Times New Roman" w:hAnsi="Times New Roman"/>
          <w:sz w:val="24"/>
        </w:rPr>
        <w:t xml:space="preserve">investigations and </w:t>
      </w:r>
      <w:r w:rsidRPr="4910E793" w:rsidR="372C640E">
        <w:rPr>
          <w:rFonts w:ascii="Times New Roman" w:hAnsi="Times New Roman"/>
          <w:sz w:val="24"/>
        </w:rPr>
        <w:t>recomme</w:t>
      </w:r>
      <w:r w:rsidRPr="4910E793" w:rsidR="22C7D14D">
        <w:rPr>
          <w:rFonts w:ascii="Times New Roman" w:hAnsi="Times New Roman"/>
          <w:sz w:val="24"/>
        </w:rPr>
        <w:t>ndations</w:t>
      </w:r>
      <w:r w:rsidRPr="4910E793" w:rsidR="13D05CE0">
        <w:rPr>
          <w:rFonts w:ascii="Times New Roman" w:hAnsi="Times New Roman"/>
          <w:sz w:val="24"/>
        </w:rPr>
        <w:t>, CCPS</w:t>
      </w:r>
      <w:r w:rsidRPr="4910E793" w:rsidR="0957F496">
        <w:rPr>
          <w:rFonts w:ascii="Times New Roman" w:hAnsi="Times New Roman"/>
          <w:sz w:val="24"/>
        </w:rPr>
        <w:t xml:space="preserve"> studies, and other material in the record. </w:t>
      </w:r>
      <w:r w:rsidRPr="4910E793" w:rsidR="000F4F93">
        <w:rPr>
          <w:rFonts w:ascii="Times New Roman" w:hAnsi="Times New Roman"/>
          <w:sz w:val="24"/>
        </w:rPr>
        <w:t xml:space="preserve">87 FR </w:t>
      </w:r>
      <w:r w:rsidRPr="4910E793" w:rsidR="00C9185D">
        <w:rPr>
          <w:rFonts w:ascii="Times New Roman" w:hAnsi="Times New Roman"/>
          <w:sz w:val="24"/>
        </w:rPr>
        <w:t>53575-79</w:t>
      </w:r>
      <w:r w:rsidR="00367384">
        <w:rPr>
          <w:rFonts w:ascii="Times New Roman" w:hAnsi="Times New Roman"/>
          <w:sz w:val="24"/>
        </w:rPr>
        <w:t>.</w:t>
      </w:r>
      <w:r w:rsidRPr="4910E793" w:rsidR="00D651B0">
        <w:rPr>
          <w:rFonts w:ascii="Times New Roman" w:hAnsi="Times New Roman"/>
          <w:sz w:val="24"/>
        </w:rPr>
        <w:t xml:space="preserve"> The proposal and these </w:t>
      </w:r>
      <w:r w:rsidRPr="4910E793" w:rsidR="005E2991">
        <w:rPr>
          <w:rFonts w:ascii="Times New Roman" w:hAnsi="Times New Roman"/>
          <w:sz w:val="24"/>
        </w:rPr>
        <w:t xml:space="preserve">materials address </w:t>
      </w:r>
      <w:r w:rsidRPr="4910E793" w:rsidR="005E6CD2">
        <w:rPr>
          <w:rFonts w:ascii="Times New Roman" w:hAnsi="Times New Roman"/>
          <w:sz w:val="24"/>
        </w:rPr>
        <w:t>issues</w:t>
      </w:r>
      <w:r w:rsidRPr="4910E793" w:rsidR="005E2991">
        <w:rPr>
          <w:rFonts w:ascii="Times New Roman" w:hAnsi="Times New Roman"/>
          <w:sz w:val="24"/>
        </w:rPr>
        <w:t xml:space="preserve"> </w:t>
      </w:r>
      <w:r w:rsidRPr="4910E793" w:rsidR="00D651B0">
        <w:rPr>
          <w:rFonts w:ascii="Times New Roman" w:hAnsi="Times New Roman"/>
          <w:sz w:val="24"/>
        </w:rPr>
        <w:t xml:space="preserve">the commentors </w:t>
      </w:r>
      <w:r w:rsidRPr="4910E793" w:rsidR="009A010B">
        <w:rPr>
          <w:rFonts w:ascii="Times New Roman" w:hAnsi="Times New Roman"/>
          <w:sz w:val="24"/>
        </w:rPr>
        <w:t>raise</w:t>
      </w:r>
      <w:r w:rsidRPr="4910E793" w:rsidR="00E03DC4">
        <w:rPr>
          <w:rFonts w:ascii="Times New Roman" w:hAnsi="Times New Roman"/>
          <w:sz w:val="24"/>
        </w:rPr>
        <w:t xml:space="preserve">, such as, </w:t>
      </w:r>
      <w:r w:rsidRPr="4910E793" w:rsidR="009A010B">
        <w:rPr>
          <w:rFonts w:ascii="Times New Roman" w:hAnsi="Times New Roman"/>
          <w:sz w:val="24"/>
        </w:rPr>
        <w:t>benefits of STAA being to reduce the risk of serious accidental releases by requiring facilities in these sectors to conduct a careful examination of potentially safer technology and designs</w:t>
      </w:r>
      <w:r w:rsidRPr="4910E793" w:rsidR="00E03DC4">
        <w:rPr>
          <w:rFonts w:ascii="Times New Roman" w:hAnsi="Times New Roman"/>
          <w:sz w:val="24"/>
        </w:rPr>
        <w:t>, and safeguards</w:t>
      </w:r>
      <w:r w:rsidRPr="4910E793" w:rsidR="009A010B">
        <w:rPr>
          <w:rFonts w:ascii="Times New Roman" w:hAnsi="Times New Roman"/>
          <w:sz w:val="24"/>
        </w:rPr>
        <w:t xml:space="preserve"> that they could </w:t>
      </w:r>
      <w:r w:rsidRPr="4910E793" w:rsidR="00E03DC4">
        <w:rPr>
          <w:rFonts w:ascii="Times New Roman" w:hAnsi="Times New Roman"/>
          <w:sz w:val="24"/>
        </w:rPr>
        <w:t xml:space="preserve">and in some cases, will need to </w:t>
      </w:r>
      <w:r w:rsidRPr="4910E793" w:rsidR="009A010B">
        <w:rPr>
          <w:rFonts w:ascii="Times New Roman" w:hAnsi="Times New Roman"/>
          <w:sz w:val="24"/>
        </w:rPr>
        <w:t>implement in lieu of, or</w:t>
      </w:r>
      <w:r w:rsidRPr="4910E793" w:rsidR="00E03DC4">
        <w:rPr>
          <w:rFonts w:ascii="Times New Roman" w:hAnsi="Times New Roman"/>
          <w:sz w:val="24"/>
        </w:rPr>
        <w:t xml:space="preserve"> </w:t>
      </w:r>
      <w:r w:rsidRPr="4910E793" w:rsidR="009A010B">
        <w:rPr>
          <w:rFonts w:ascii="Times New Roman" w:hAnsi="Times New Roman"/>
          <w:sz w:val="24"/>
        </w:rPr>
        <w:t>in addition to, their current</w:t>
      </w:r>
      <w:r w:rsidRPr="4910E793" w:rsidR="00E03DC4">
        <w:rPr>
          <w:rFonts w:ascii="Times New Roman" w:hAnsi="Times New Roman"/>
          <w:sz w:val="24"/>
        </w:rPr>
        <w:t xml:space="preserve"> t</w:t>
      </w:r>
      <w:r w:rsidRPr="4910E793" w:rsidR="009A010B">
        <w:rPr>
          <w:rFonts w:ascii="Times New Roman" w:hAnsi="Times New Roman"/>
          <w:sz w:val="24"/>
        </w:rPr>
        <w:t>echnologies</w:t>
      </w:r>
      <w:r w:rsidRPr="4910E793" w:rsidR="00E03DC4">
        <w:rPr>
          <w:rFonts w:ascii="Times New Roman" w:hAnsi="Times New Roman"/>
          <w:sz w:val="24"/>
        </w:rPr>
        <w:t xml:space="preserve">; </w:t>
      </w:r>
      <w:r w:rsidRPr="4910E793" w:rsidR="005E6CD2">
        <w:rPr>
          <w:rFonts w:ascii="Times New Roman" w:hAnsi="Times New Roman"/>
          <w:sz w:val="24"/>
        </w:rPr>
        <w:t xml:space="preserve">and </w:t>
      </w:r>
      <w:r w:rsidRPr="4910E793" w:rsidR="00E03DC4">
        <w:rPr>
          <w:rFonts w:ascii="Times New Roman" w:hAnsi="Times New Roman"/>
          <w:sz w:val="24"/>
        </w:rPr>
        <w:t xml:space="preserve">how STAA is applicable </w:t>
      </w:r>
      <w:r w:rsidRPr="4910E793" w:rsidR="005E6CD2">
        <w:rPr>
          <w:rFonts w:ascii="Times New Roman" w:hAnsi="Times New Roman"/>
          <w:sz w:val="24"/>
        </w:rPr>
        <w:t xml:space="preserve">to both new and existing processes. </w:t>
      </w:r>
      <w:r w:rsidRPr="4910E793" w:rsidR="6079659B">
        <w:rPr>
          <w:rFonts w:ascii="Times New Roman" w:hAnsi="Times New Roman"/>
          <w:sz w:val="24"/>
        </w:rPr>
        <w:t xml:space="preserve">We also discussed more generally our decision to move from the 2019 </w:t>
      </w:r>
      <w:r w:rsidR="004E0181">
        <w:rPr>
          <w:rFonts w:ascii="Times New Roman" w:hAnsi="Times New Roman"/>
          <w:sz w:val="24"/>
        </w:rPr>
        <w:t>r</w:t>
      </w:r>
      <w:r w:rsidRPr="4910E793" w:rsidR="00752778">
        <w:rPr>
          <w:rFonts w:ascii="Times New Roman" w:hAnsi="Times New Roman"/>
          <w:sz w:val="24"/>
        </w:rPr>
        <w:t>econsideration</w:t>
      </w:r>
      <w:r w:rsidRPr="4910E793" w:rsidR="6079659B">
        <w:rPr>
          <w:rFonts w:ascii="Times New Roman" w:hAnsi="Times New Roman"/>
          <w:sz w:val="24"/>
        </w:rPr>
        <w:t xml:space="preserve"> rule’s “compliance-driven” reliance on ove</w:t>
      </w:r>
      <w:r w:rsidRPr="4910E793" w:rsidR="0856C0B0">
        <w:rPr>
          <w:rFonts w:ascii="Times New Roman" w:hAnsi="Times New Roman"/>
          <w:sz w:val="24"/>
        </w:rPr>
        <w:t>rsight and enforcement to a rule-based approach. 87 F</w:t>
      </w:r>
      <w:r w:rsidR="001361BE">
        <w:rPr>
          <w:rFonts w:ascii="Times New Roman" w:hAnsi="Times New Roman"/>
          <w:sz w:val="24"/>
        </w:rPr>
        <w:t>R</w:t>
      </w:r>
      <w:r w:rsidRPr="4910E793" w:rsidR="0856C0B0">
        <w:rPr>
          <w:rFonts w:ascii="Times New Roman" w:hAnsi="Times New Roman"/>
          <w:sz w:val="24"/>
        </w:rPr>
        <w:t xml:space="preserve"> </w:t>
      </w:r>
      <w:r w:rsidRPr="4910E793" w:rsidR="38797762">
        <w:rPr>
          <w:rFonts w:ascii="Times New Roman" w:hAnsi="Times New Roman"/>
          <w:sz w:val="24"/>
        </w:rPr>
        <w:t xml:space="preserve">53565-66. </w:t>
      </w:r>
      <w:r w:rsidRPr="4910E793" w:rsidR="78FD21CD">
        <w:rPr>
          <w:rFonts w:ascii="Times New Roman" w:hAnsi="Times New Roman"/>
          <w:sz w:val="24"/>
        </w:rPr>
        <w:t>Therefore, having considered the basis for our 2019 de</w:t>
      </w:r>
      <w:r w:rsidRPr="4910E793" w:rsidR="019CEC0B">
        <w:rPr>
          <w:rFonts w:ascii="Times New Roman" w:hAnsi="Times New Roman"/>
          <w:sz w:val="24"/>
        </w:rPr>
        <w:t xml:space="preserve">cision, finding fault with it, and presenting the basis for going forward with amendments, </w:t>
      </w:r>
      <w:r w:rsidRPr="4910E793" w:rsidR="00745A0D">
        <w:rPr>
          <w:rFonts w:ascii="Times New Roman" w:hAnsi="Times New Roman"/>
          <w:sz w:val="24"/>
        </w:rPr>
        <w:t xml:space="preserve">we </w:t>
      </w:r>
      <w:r w:rsidRPr="4910E793" w:rsidR="00752778">
        <w:rPr>
          <w:rFonts w:ascii="Times New Roman" w:hAnsi="Times New Roman"/>
          <w:sz w:val="24"/>
        </w:rPr>
        <w:t>have addressed</w:t>
      </w:r>
      <w:r w:rsidRPr="4910E793" w:rsidR="2576A817">
        <w:rPr>
          <w:rFonts w:ascii="Times New Roman" w:hAnsi="Times New Roman"/>
          <w:sz w:val="24"/>
        </w:rPr>
        <w:t xml:space="preserve"> the basis for our change.</w:t>
      </w:r>
    </w:p>
    <w:p w:rsidR="00886B36" w:rsidRPr="00886B36" w:rsidP="00886B36" w14:paraId="02DCB986" w14:textId="0822DC81">
      <w:pPr>
        <w:tabs>
          <w:tab w:val="left" w:pos="720"/>
        </w:tabs>
        <w:ind w:left="720"/>
        <w:rPr>
          <w:rFonts w:ascii="Times New Roman" w:hAnsi="Times New Roman"/>
          <w:sz w:val="24"/>
        </w:rPr>
      </w:pPr>
      <w:r>
        <w:rPr>
          <w:rFonts w:ascii="Times New Roman" w:hAnsi="Times New Roman"/>
          <w:sz w:val="24"/>
        </w:rPr>
        <w:t xml:space="preserve">Furthermore, </w:t>
      </w:r>
      <w:r w:rsidR="00EC340C">
        <w:rPr>
          <w:rFonts w:ascii="Times New Roman" w:hAnsi="Times New Roman"/>
          <w:sz w:val="24"/>
        </w:rPr>
        <w:t xml:space="preserve">the CAA authorizes STAA. </w:t>
      </w:r>
      <w:r w:rsidRPr="00886B36">
        <w:rPr>
          <w:rFonts w:ascii="Times New Roman" w:hAnsi="Times New Roman"/>
          <w:sz w:val="24"/>
        </w:rPr>
        <w:t xml:space="preserve">Both paragraphs (A) and (B) of CAA section 112(r)(7) authorize STAA and IST in particular. EPA cited all of section 112(r)(7) as authority for “[e]ach of the portions of the Risk Management Program rule we propose to modify” (81 FR 13646; March 14, 2016). The authority section for 40 CFR part 68 references CAA section 112(r) and is not limited to particular paragraphs. The proposed rule also noted that paragraph 112(r)(7)(A) had been invoked in the rulemaking petition on IST. Therefore, EPA provided sufficient notice that the Agency contemplated action under any authority under CAA section 112(r)(7). Nevertheless, EPA also views its </w:t>
      </w:r>
      <w:r w:rsidRPr="00886B36">
        <w:rPr>
          <w:rFonts w:ascii="Times New Roman" w:hAnsi="Times New Roman"/>
          <w:sz w:val="24"/>
        </w:rPr>
        <w:t>authority to require STAA assessments or an IST review, or implementation of safeguards to reduce risk as being consistent with paragraph 112(r)(7)(B). Under paragraph (B), EPA has authority to develop “reasonable regulations . . . for the prevention of accidental releases.” The reduction in severity of conditions in a process plainly impacts the accidental release conditions and thus the modeling called for in section 112(r)(7)(B)(ii)(I). Moreover, section 112(r)(7)(B)(ii)(II) specifically mentions that prevention programs in risk management plans shall provide for “safety precautions;” STAA measures are a type of safety precaution. Finally, as noted above, the Conference Report for the 1990 CAAA and the Senate Report both demonstrate that Congress intended the regulations to prioritize STAA as a prevention measure.</w:t>
      </w:r>
    </w:p>
    <w:p w:rsidR="005B3F1D" w:rsidRPr="005B3F1D" w:rsidP="005B3F1D" w14:paraId="3C248A87" w14:textId="0B82924D">
      <w:pPr>
        <w:tabs>
          <w:tab w:val="left" w:pos="720"/>
        </w:tabs>
        <w:ind w:left="720"/>
        <w:rPr>
          <w:rFonts w:ascii="Times New Roman" w:hAnsi="Times New Roman"/>
          <w:sz w:val="24"/>
        </w:rPr>
      </w:pPr>
      <w:r w:rsidRPr="77FA846A">
        <w:rPr>
          <w:rFonts w:ascii="Times New Roman" w:hAnsi="Times New Roman"/>
          <w:sz w:val="24"/>
        </w:rPr>
        <w:t>W</w:t>
      </w:r>
      <w:r w:rsidRPr="77FA846A" w:rsidR="4869CF23">
        <w:rPr>
          <w:rFonts w:ascii="Times New Roman" w:hAnsi="Times New Roman"/>
          <w:sz w:val="24"/>
        </w:rPr>
        <w:t>e</w:t>
      </w:r>
      <w:r w:rsidRPr="7029657D" w:rsidR="433EB904">
        <w:rPr>
          <w:rFonts w:ascii="Times New Roman" w:hAnsi="Times New Roman"/>
          <w:sz w:val="24"/>
        </w:rPr>
        <w:t xml:space="preserve"> note that the STAA requirements adopted in this rule do not apply to water sector. We may re</w:t>
      </w:r>
      <w:r w:rsidRPr="7029657D" w:rsidR="33A88AFF">
        <w:rPr>
          <w:rFonts w:ascii="Times New Roman" w:hAnsi="Times New Roman"/>
          <w:sz w:val="24"/>
        </w:rPr>
        <w:t xml:space="preserve">visit that decision in the future based on addition study and data, as well as a reassessment of the data </w:t>
      </w:r>
      <w:r w:rsidRPr="7029657D" w:rsidR="1F43F83E">
        <w:rPr>
          <w:rFonts w:ascii="Times New Roman" w:hAnsi="Times New Roman"/>
          <w:sz w:val="24"/>
        </w:rPr>
        <w:t>currently before EPA</w:t>
      </w:r>
      <w:r w:rsidRPr="7029657D" w:rsidR="33A88AFF">
        <w:rPr>
          <w:rFonts w:ascii="Times New Roman" w:hAnsi="Times New Roman"/>
          <w:sz w:val="24"/>
        </w:rPr>
        <w:t>.</w:t>
      </w:r>
      <w:r w:rsidRPr="005B3F1D">
        <w:rPr>
          <w:rFonts w:ascii="Times New Roman" w:hAnsi="Times New Roman"/>
          <w:sz w:val="24"/>
        </w:rPr>
        <w:t xml:space="preserve"> </w:t>
      </w:r>
    </w:p>
    <w:p w:rsidR="003B12AF" w:rsidRPr="006F68E9" w:rsidP="003B12AF" w14:paraId="71CC18BC" w14:textId="1A78A3A7">
      <w:pPr>
        <w:rPr>
          <w:rFonts w:ascii="Times New Roman" w:hAnsi="Times New Roman"/>
          <w:sz w:val="24"/>
        </w:rPr>
      </w:pPr>
      <w:r>
        <w:rPr>
          <w:rFonts w:ascii="Times New Roman" w:hAnsi="Times New Roman"/>
          <w:b/>
          <w:bCs/>
          <w:sz w:val="24"/>
        </w:rPr>
        <w:t xml:space="preserve">Comment 6.3.1-05: </w:t>
      </w:r>
      <w:r w:rsidRPr="006F68E9">
        <w:rPr>
          <w:rFonts w:ascii="Times New Roman" w:hAnsi="Times New Roman"/>
          <w:sz w:val="24"/>
        </w:rPr>
        <w:t xml:space="preserve">One commenter requested EPA to clarify the language in preamble at 87 </w:t>
      </w:r>
      <w:r w:rsidR="00EA75C9">
        <w:rPr>
          <w:rFonts w:ascii="Times New Roman" w:hAnsi="Times New Roman"/>
          <w:sz w:val="24"/>
        </w:rPr>
        <w:t xml:space="preserve">FR </w:t>
      </w:r>
      <w:r w:rsidRPr="006F68E9">
        <w:rPr>
          <w:rFonts w:ascii="Times New Roman" w:hAnsi="Times New Roman"/>
          <w:sz w:val="24"/>
        </w:rPr>
        <w:t xml:space="preserve">53575 regarding “Program 3 processes covered under this provision.” The commenter expressed uncertainty about whether EPA is referring to the PHA generally or the proposed STAA (0211). </w:t>
      </w:r>
    </w:p>
    <w:p w:rsidR="003B12AF" w:rsidRPr="006F68E9" w:rsidP="003B12AF" w14:paraId="3DDDCC26" w14:textId="77777777">
      <w:pPr>
        <w:rPr>
          <w:rFonts w:ascii="Times New Roman" w:hAnsi="Times New Roman"/>
          <w:sz w:val="24"/>
        </w:rPr>
      </w:pPr>
      <w:r w:rsidRPr="006F68E9">
        <w:rPr>
          <w:rFonts w:ascii="Times New Roman" w:hAnsi="Times New Roman"/>
          <w:sz w:val="24"/>
        </w:rPr>
        <w:t>A couple of commenters questioned the specificity and intent of the proposed STAA applicability. The commenters suggested an edit in STAA applicability that a “process” at the adjacent source should specify a “covered process” to read as follows:</w:t>
      </w:r>
    </w:p>
    <w:p w:rsidR="003B12AF" w:rsidP="003B12AF" w14:paraId="00ED9E5B" w14:textId="77777777">
      <w:pPr>
        <w:ind w:left="408"/>
        <w:rPr>
          <w:rFonts w:ascii="Times New Roman" w:hAnsi="Times New Roman"/>
          <w:sz w:val="24"/>
        </w:rPr>
      </w:pPr>
      <w:r w:rsidRPr="006F68E9">
        <w:rPr>
          <w:rFonts w:ascii="Times New Roman" w:hAnsi="Times New Roman"/>
          <w:sz w:val="24"/>
        </w:rPr>
        <w:t xml:space="preserve">For a source (e.g., “source A”) with a covered process in NAICS code 324 or 325, the triggers are (1) another “stationary source [(e.g., “source B”)] having a </w:t>
      </w:r>
      <w:r w:rsidRPr="006F68E9">
        <w:rPr>
          <w:rFonts w:ascii="Times New Roman" w:hAnsi="Times New Roman"/>
          <w:i/>
          <w:iCs/>
          <w:sz w:val="24"/>
        </w:rPr>
        <w:t xml:space="preserve">covered </w:t>
      </w:r>
      <w:r w:rsidRPr="006F68E9">
        <w:rPr>
          <w:rFonts w:ascii="Times New Roman" w:hAnsi="Times New Roman"/>
          <w:sz w:val="24"/>
        </w:rPr>
        <w:t xml:space="preserve">process in NAICS code 324 or 325,” and (2) source A being located “within 1-mile” of source B (0229, 0232). </w:t>
      </w:r>
    </w:p>
    <w:p w:rsidR="003B12AF" w:rsidP="003B12AF" w14:paraId="36E0C6A7" w14:textId="5D98B535">
      <w:pPr>
        <w:ind w:left="720"/>
        <w:rPr>
          <w:rFonts w:ascii="Times New Roman" w:hAnsi="Times New Roman"/>
          <w:sz w:val="24"/>
        </w:rPr>
      </w:pPr>
      <w:r w:rsidRPr="00315B56">
        <w:rPr>
          <w:rFonts w:ascii="Times New Roman" w:hAnsi="Times New Roman"/>
          <w:b/>
          <w:bCs/>
          <w:sz w:val="24"/>
        </w:rPr>
        <w:t>EPA Response:</w:t>
      </w:r>
      <w:r w:rsidRPr="00315B56">
        <w:t xml:space="preserve"> </w:t>
      </w:r>
      <w:r w:rsidRPr="00315B56">
        <w:rPr>
          <w:rFonts w:ascii="Times New Roman" w:hAnsi="Times New Roman"/>
          <w:sz w:val="24"/>
        </w:rPr>
        <w:t>In the proposal, EPA proposed to define facility location based on distance to the facility fenceline but sought comment on other definitions of facility proximity. Recognizing that the distance from a process is a more accurate way to calculate a release scenario than the distance from a fenceline, EPA will nevertheless retain 1 mile from the fenceline as the applicability criterion, as opposed to 1 mile from process locations, both for simplicity in implementation and also in deference to restrictions on source-specific information on release scenarios. The Agency believes that regulated facilities, the public, and implementing agencies can more easily calculate and verify a fenceline-to-fenceline measurement than a process</w:t>
      </w:r>
      <w:r w:rsidRPr="00315B56">
        <w:rPr>
          <w:rFonts w:ascii="Times New Roman" w:hAnsi="Times New Roman"/>
          <w:sz w:val="24"/>
        </w:rPr>
        <w:noBreakHyphen/>
        <w:t>to</w:t>
      </w:r>
      <w:r w:rsidRPr="00315B56">
        <w:rPr>
          <w:rFonts w:ascii="Times New Roman" w:hAnsi="Times New Roman"/>
          <w:sz w:val="24"/>
        </w:rPr>
        <w:noBreakHyphen/>
        <w:t xml:space="preserve">process measurement because it does not require access to facility-specific process information. </w:t>
      </w:r>
    </w:p>
    <w:p w:rsidR="003B12AF" w:rsidRPr="00DA61EB" w:rsidP="003B12AF" w14:paraId="6831B3FB" w14:textId="77777777">
      <w:pPr>
        <w:rPr>
          <w:rFonts w:ascii="Times New Roman" w:hAnsi="Times New Roman"/>
          <w:i/>
          <w:iCs/>
          <w:sz w:val="24"/>
        </w:rPr>
      </w:pPr>
      <w:r>
        <w:rPr>
          <w:rFonts w:ascii="Times New Roman" w:hAnsi="Times New Roman"/>
          <w:i/>
          <w:iCs/>
          <w:sz w:val="24"/>
        </w:rPr>
        <w:t>Concerns about specific industries</w:t>
      </w:r>
    </w:p>
    <w:p w:rsidR="003B12AF" w:rsidP="003B12AF" w14:paraId="55D29C25" w14:textId="629CFDB0">
      <w:pPr>
        <w:rPr>
          <w:rFonts w:ascii="Times New Roman" w:hAnsi="Times New Roman"/>
          <w:sz w:val="24"/>
        </w:rPr>
      </w:pPr>
      <w:r>
        <w:rPr>
          <w:rFonts w:ascii="Times New Roman" w:hAnsi="Times New Roman"/>
          <w:b/>
          <w:bCs/>
          <w:sz w:val="24"/>
        </w:rPr>
        <w:t xml:space="preserve">Comment 6.3.1-06: </w:t>
      </w:r>
      <w:r w:rsidRPr="006F68E9">
        <w:rPr>
          <w:rFonts w:ascii="Times New Roman" w:hAnsi="Times New Roman"/>
          <w:sz w:val="24"/>
        </w:rPr>
        <w:t xml:space="preserve">A couple of commenters </w:t>
      </w:r>
      <w:r>
        <w:rPr>
          <w:rFonts w:ascii="Times New Roman" w:hAnsi="Times New Roman"/>
          <w:sz w:val="24"/>
        </w:rPr>
        <w:t>expressed</w:t>
      </w:r>
      <w:r w:rsidRPr="006F68E9">
        <w:rPr>
          <w:rFonts w:ascii="Times New Roman" w:hAnsi="Times New Roman"/>
          <w:sz w:val="24"/>
        </w:rPr>
        <w:t xml:space="preserve"> that the considerations of STAA would have little relevance among the diverse processes, formulations, and applications relevant to the fertilizer industry, specifically. The commenters added that forcing companies to incorporate this ill-fitting approach in their PHAs would lead to higher RMP-compliance costs that would be passed on to farmers and consumers (0229, 0232). One of the commenters further added these increased costs provide no benefit to the communities in </w:t>
      </w:r>
      <w:r w:rsidRPr="006F68E9">
        <w:rPr>
          <w:rFonts w:ascii="Times New Roman" w:hAnsi="Times New Roman"/>
          <w:sz w:val="24"/>
        </w:rPr>
        <w:t xml:space="preserve">which </w:t>
      </w:r>
      <w:r w:rsidR="00DA2A6D">
        <w:rPr>
          <w:rFonts w:ascii="Times New Roman" w:hAnsi="Times New Roman"/>
          <w:sz w:val="24"/>
        </w:rPr>
        <w:t>regulated</w:t>
      </w:r>
      <w:r w:rsidRPr="006F68E9" w:rsidR="00DA2A6D">
        <w:rPr>
          <w:rFonts w:ascii="Times New Roman" w:hAnsi="Times New Roman"/>
          <w:sz w:val="24"/>
        </w:rPr>
        <w:t xml:space="preserve"> </w:t>
      </w:r>
      <w:r w:rsidRPr="006F68E9">
        <w:rPr>
          <w:rFonts w:ascii="Times New Roman" w:hAnsi="Times New Roman"/>
          <w:sz w:val="24"/>
        </w:rPr>
        <w:t xml:space="preserve">facilities </w:t>
      </w:r>
      <w:r w:rsidR="00E607D1">
        <w:rPr>
          <w:rFonts w:ascii="Times New Roman" w:hAnsi="Times New Roman"/>
          <w:sz w:val="24"/>
        </w:rPr>
        <w:t>are located</w:t>
      </w:r>
      <w:r w:rsidRPr="006F68E9" w:rsidR="00E607D1">
        <w:rPr>
          <w:rFonts w:ascii="Times New Roman" w:hAnsi="Times New Roman"/>
          <w:sz w:val="24"/>
        </w:rPr>
        <w:t xml:space="preserve"> </w:t>
      </w:r>
      <w:r w:rsidRPr="006F68E9">
        <w:rPr>
          <w:rFonts w:ascii="Times New Roman" w:hAnsi="Times New Roman"/>
          <w:sz w:val="24"/>
        </w:rPr>
        <w:t xml:space="preserve">(0232). </w:t>
      </w:r>
    </w:p>
    <w:p w:rsidR="003B12AF" w:rsidRPr="00634BB6" w:rsidP="003B12AF" w14:paraId="0BBD09DE" w14:textId="77777777">
      <w:pPr>
        <w:ind w:left="720"/>
        <w:rPr>
          <w:rFonts w:ascii="Times New Roman" w:hAnsi="Times New Roman"/>
          <w:b/>
          <w:sz w:val="24"/>
        </w:rPr>
      </w:pPr>
      <w:r>
        <w:rPr>
          <w:rFonts w:ascii="Times New Roman" w:hAnsi="Times New Roman"/>
          <w:b/>
          <w:bCs/>
          <w:sz w:val="24"/>
        </w:rPr>
        <w:t xml:space="preserve">EPA Response: </w:t>
      </w:r>
      <w:r w:rsidRPr="00832BFD">
        <w:rPr>
          <w:rFonts w:ascii="Times New Roman" w:hAnsi="Times New Roman"/>
          <w:sz w:val="24"/>
        </w:rPr>
        <w:t xml:space="preserve">With regard to comments relating to STAA requirements for the fertilizer industry, EPA is not requiring agricultural fertilizer retail facilities to perform a </w:t>
      </w:r>
      <w:r w:rsidRPr="00832BFD">
        <w:rPr>
          <w:rFonts w:ascii="Times New Roman" w:hAnsi="Times New Roman"/>
          <w:sz w:val="24"/>
        </w:rPr>
        <w:t>STAA, and thus there should be no burden to this particular industry as a result of the STAA provision. The STAA requirement in the PHA will only apply to Program 3 facilities in chemical manufacturing (NAICS code 325) and petroleum and coal products manufacturing (NAICS code 324).</w:t>
      </w:r>
      <w:r>
        <w:rPr>
          <w:rStyle w:val="eop"/>
          <w:color w:val="000000"/>
          <w:shd w:val="clear" w:color="auto" w:fill="FFFFFF"/>
        </w:rPr>
        <w:t> </w:t>
      </w:r>
    </w:p>
    <w:p w:rsidR="003B12AF" w:rsidP="003B12AF" w14:paraId="6E3035A1" w14:textId="77777777">
      <w:pPr>
        <w:rPr>
          <w:rFonts w:ascii="Times New Roman" w:hAnsi="Times New Roman"/>
          <w:sz w:val="24"/>
        </w:rPr>
      </w:pPr>
      <w:r>
        <w:rPr>
          <w:rFonts w:ascii="Times New Roman" w:hAnsi="Times New Roman"/>
          <w:b/>
          <w:bCs/>
          <w:sz w:val="24"/>
        </w:rPr>
        <w:t xml:space="preserve">Comment 6.3.1-07: </w:t>
      </w:r>
      <w:r w:rsidRPr="006F68E9">
        <w:rPr>
          <w:rFonts w:ascii="Times New Roman" w:hAnsi="Times New Roman"/>
          <w:sz w:val="24"/>
        </w:rPr>
        <w:t>One commenter supported the conclusion that STAA is not needed for NAICS Code 322, paper manufacturing based on the past performance of the sector (0238).</w:t>
      </w:r>
    </w:p>
    <w:p w:rsidR="003B12AF" w:rsidRPr="008C028C" w:rsidP="00210F82" w14:paraId="1E33CE16" w14:textId="2F6769E7">
      <w:pPr>
        <w:autoSpaceDE w:val="0"/>
        <w:autoSpaceDN w:val="0"/>
        <w:adjustRightInd w:val="0"/>
        <w:ind w:left="720"/>
        <w:rPr>
          <w:rFonts w:ascii="Times New Roman" w:hAnsi="Times New Roman"/>
          <w:color w:val="000000"/>
          <w:sz w:val="24"/>
        </w:rPr>
      </w:pPr>
      <w:r w:rsidRPr="008C028C">
        <w:rPr>
          <w:rFonts w:ascii="Times New Roman" w:hAnsi="Times New Roman"/>
          <w:b/>
          <w:bCs/>
          <w:sz w:val="24"/>
        </w:rPr>
        <w:t xml:space="preserve">EPA Response: </w:t>
      </w:r>
      <w:r w:rsidRPr="008C028C" w:rsidR="00CB6E7E">
        <w:rPr>
          <w:rFonts w:ascii="Times New Roman" w:hAnsi="Times New Roman" w:eastAsiaTheme="minorHAnsi"/>
          <w:sz w:val="24"/>
          <w14:ligatures w14:val="standardContextual"/>
        </w:rPr>
        <w:t xml:space="preserve"> Although accident rates for the paper</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manufacturing sector (NAICS 322, 17</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percent, 20 accidents at 11 out of 65</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facilities between 2016 and 2020) were</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 xml:space="preserve">similar to NAICS 324, EPA </w:t>
      </w:r>
      <w:r w:rsidR="00E87DB8">
        <w:rPr>
          <w:rFonts w:ascii="Times New Roman" w:hAnsi="Times New Roman" w:eastAsiaTheme="minorHAnsi"/>
          <w:sz w:val="24"/>
          <w14:ligatures w14:val="standardContextual"/>
        </w:rPr>
        <w:t xml:space="preserve">did </w:t>
      </w:r>
      <w:r w:rsidRPr="008C028C" w:rsidR="00CB6E7E">
        <w:rPr>
          <w:rFonts w:ascii="Times New Roman" w:hAnsi="Times New Roman" w:eastAsiaTheme="minorHAnsi"/>
          <w:sz w:val="24"/>
          <w14:ligatures w14:val="standardContextual"/>
        </w:rPr>
        <w:t>not</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propose</w:t>
      </w:r>
      <w:r w:rsidR="00E87DB8">
        <w:rPr>
          <w:rFonts w:ascii="Times New Roman" w:hAnsi="Times New Roman" w:eastAsiaTheme="minorHAnsi"/>
          <w:sz w:val="24"/>
          <w14:ligatures w14:val="standardContextual"/>
        </w:rPr>
        <w:t xml:space="preserve"> and is not finalizing</w:t>
      </w:r>
      <w:r w:rsidRPr="008C028C" w:rsidR="00CB6E7E">
        <w:rPr>
          <w:rFonts w:ascii="Times New Roman" w:hAnsi="Times New Roman" w:eastAsiaTheme="minorHAnsi"/>
          <w:sz w:val="24"/>
          <w14:ligatures w14:val="standardContextual"/>
        </w:rPr>
        <w:t xml:space="preserve"> STAA requirements at</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facilities in NAICS 322 due to the low</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actual number of incidents and</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comparatively fewer accident</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consequences. While 30 workers were</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injured (non-fatally) as a result of these</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accidents, the accidents resulted in no</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other reported offsite consequences (</w:t>
      </w:r>
      <w:r w:rsidRPr="008C028C" w:rsidR="00CB6E7E">
        <w:rPr>
          <w:rFonts w:ascii="Times New Roman" w:hAnsi="Times New Roman" w:eastAsiaTheme="minorHAnsi"/>
          <w:i/>
          <w:iCs/>
          <w:sz w:val="24"/>
          <w14:ligatures w14:val="standardContextual"/>
        </w:rPr>
        <w:t>i.e.,</w:t>
      </w:r>
      <w:r w:rsidRPr="008C028C" w:rsidR="008C028C">
        <w:rPr>
          <w:rFonts w:ascii="Times New Roman" w:hAnsi="Times New Roman" w:eastAsiaTheme="minorHAnsi"/>
          <w:i/>
          <w:iCs/>
          <w:sz w:val="24"/>
          <w14:ligatures w14:val="standardContextual"/>
        </w:rPr>
        <w:t xml:space="preserve"> </w:t>
      </w:r>
      <w:r w:rsidRPr="008C028C" w:rsidR="00CB6E7E">
        <w:rPr>
          <w:rFonts w:ascii="Times New Roman" w:hAnsi="Times New Roman" w:eastAsiaTheme="minorHAnsi"/>
          <w:sz w:val="24"/>
          <w14:ligatures w14:val="standardContextual"/>
        </w:rPr>
        <w:t>sheltering in place, evacuation, or offsite</w:t>
      </w:r>
      <w:r w:rsidRPr="008C028C" w:rsidR="008C028C">
        <w:rPr>
          <w:rFonts w:ascii="Times New Roman" w:hAnsi="Times New Roman" w:eastAsiaTheme="minorHAnsi"/>
          <w:sz w:val="24"/>
          <w14:ligatures w14:val="standardContextual"/>
        </w:rPr>
        <w:t xml:space="preserve"> </w:t>
      </w:r>
      <w:r w:rsidRPr="008C028C" w:rsidR="00CB6E7E">
        <w:rPr>
          <w:rFonts w:ascii="Times New Roman" w:hAnsi="Times New Roman" w:eastAsiaTheme="minorHAnsi"/>
          <w:sz w:val="24"/>
          <w14:ligatures w14:val="standardContextual"/>
        </w:rPr>
        <w:t>property</w:t>
      </w:r>
      <w:r w:rsidRPr="008C028C" w:rsidR="008C028C">
        <w:rPr>
          <w:rFonts w:ascii="Times New Roman" w:hAnsi="Times New Roman" w:eastAsiaTheme="minorHAnsi"/>
          <w:sz w:val="24"/>
          <w14:ligatures w14:val="standardContextual"/>
        </w:rPr>
        <w:t xml:space="preserve"> d</w:t>
      </w:r>
      <w:r w:rsidRPr="008C028C" w:rsidR="00CB6E7E">
        <w:rPr>
          <w:rFonts w:ascii="Times New Roman" w:hAnsi="Times New Roman" w:eastAsiaTheme="minorHAnsi"/>
          <w:sz w:val="24"/>
          <w14:ligatures w14:val="standardContextual"/>
        </w:rPr>
        <w:t>amage).</w:t>
      </w:r>
      <w:r>
        <w:rPr>
          <w:rStyle w:val="FootnoteReference"/>
          <w:rFonts w:ascii="Times New Roman" w:hAnsi="Times New Roman" w:eastAsiaTheme="minorHAnsi"/>
          <w:sz w:val="24"/>
          <w14:ligatures w14:val="standardContextual"/>
        </w:rPr>
        <w:footnoteReference w:id="104"/>
      </w:r>
      <w:r w:rsidRPr="008C028C">
        <w:rPr>
          <w:rStyle w:val="normaltextrun"/>
          <w:rFonts w:ascii="Times New Roman" w:hAnsi="Times New Roman"/>
          <w:color w:val="000000"/>
          <w:sz w:val="24"/>
        </w:rPr>
        <w:t>  </w:t>
      </w:r>
      <w:r w:rsidRPr="008C028C">
        <w:rPr>
          <w:rStyle w:val="eop"/>
          <w:rFonts w:ascii="Times New Roman" w:hAnsi="Times New Roman"/>
          <w:color w:val="000000"/>
          <w:sz w:val="24"/>
        </w:rPr>
        <w:t> </w:t>
      </w:r>
    </w:p>
    <w:p w:rsidR="003B12AF" w:rsidP="003B12AF" w14:paraId="4475D8B1" w14:textId="77777777">
      <w:pPr>
        <w:rPr>
          <w:rFonts w:ascii="Times New Roman" w:hAnsi="Times New Roman"/>
          <w:sz w:val="24"/>
        </w:rPr>
      </w:pPr>
      <w:r>
        <w:rPr>
          <w:rFonts w:ascii="Times New Roman" w:hAnsi="Times New Roman"/>
          <w:b/>
          <w:bCs/>
          <w:sz w:val="24"/>
        </w:rPr>
        <w:t xml:space="preserve">Comment 6.3.1-08: </w:t>
      </w:r>
      <w:r w:rsidRPr="006F68E9">
        <w:rPr>
          <w:rFonts w:ascii="Times New Roman" w:hAnsi="Times New Roman"/>
          <w:sz w:val="24"/>
        </w:rPr>
        <w:t>Another commenter recommended instead focusing resources in identifying on a case-by-case basis the facilities that would benefit from STAA. The commenter suggested excluding processes already incorporating STAA-like analyses in their processes, such as batch toll manufacturers and those governed by specifications established by a government agency or by a customer through a short-term contractual relationship of less than five years. The commenter also urged flexibility for those already demonstrating compliance with an STAA-like analysis (0188).</w:t>
      </w:r>
    </w:p>
    <w:p w:rsidR="00256E87" w:rsidRPr="00E13A69" w:rsidP="00256E87" w14:paraId="511EB868" w14:textId="3663AA19">
      <w:pPr>
        <w:ind w:left="720"/>
        <w:rPr>
          <w:rFonts w:ascii="Times New Roman" w:hAnsi="Times New Roman"/>
          <w:sz w:val="24"/>
        </w:rPr>
      </w:pPr>
      <w:r>
        <w:rPr>
          <w:rFonts w:ascii="Times New Roman" w:hAnsi="Times New Roman"/>
          <w:b/>
          <w:bCs/>
          <w:sz w:val="24"/>
        </w:rPr>
        <w:t xml:space="preserve">EPA Response: </w:t>
      </w:r>
      <w:r w:rsidRPr="00C96062">
        <w:rPr>
          <w:rStyle w:val="normaltextrun"/>
          <w:rFonts w:ascii="Times New Roman" w:hAnsi="Times New Roman"/>
          <w:color w:val="000000"/>
          <w:sz w:val="24"/>
          <w:shd w:val="clear" w:color="auto" w:fill="FFFFFF"/>
        </w:rPr>
        <w:t xml:space="preserve">EPA disagrees with </w:t>
      </w:r>
      <w:r w:rsidR="00361375">
        <w:rPr>
          <w:rStyle w:val="normaltextrun"/>
          <w:rFonts w:ascii="Times New Roman" w:hAnsi="Times New Roman"/>
          <w:color w:val="000000"/>
          <w:sz w:val="24"/>
          <w:shd w:val="clear" w:color="auto" w:fill="FFFFFF"/>
        </w:rPr>
        <w:t>apply</w:t>
      </w:r>
      <w:r w:rsidR="00E9429C">
        <w:rPr>
          <w:rStyle w:val="normaltextrun"/>
          <w:rFonts w:ascii="Times New Roman" w:hAnsi="Times New Roman"/>
          <w:color w:val="000000"/>
          <w:sz w:val="24"/>
          <w:shd w:val="clear" w:color="auto" w:fill="FFFFFF"/>
        </w:rPr>
        <w:t>ing</w:t>
      </w:r>
      <w:r w:rsidR="00361375">
        <w:rPr>
          <w:rStyle w:val="normaltextrun"/>
          <w:rFonts w:ascii="Times New Roman" w:hAnsi="Times New Roman"/>
          <w:color w:val="000000"/>
          <w:sz w:val="24"/>
          <w:shd w:val="clear" w:color="auto" w:fill="FFFFFF"/>
        </w:rPr>
        <w:t xml:space="preserve"> STAA on a case-by-case basis. </w:t>
      </w:r>
      <w:r w:rsidR="00E9429C">
        <w:rPr>
          <w:rFonts w:ascii="Times New Roman" w:hAnsi="Times New Roman"/>
          <w:sz w:val="24"/>
        </w:rPr>
        <w:t>S</w:t>
      </w:r>
      <w:r w:rsidRPr="00E13A69">
        <w:rPr>
          <w:rFonts w:ascii="Times New Roman" w:hAnsi="Times New Roman"/>
          <w:sz w:val="24"/>
        </w:rPr>
        <w:t xml:space="preserve">afer technology alternatives include many options beyond chemical substitution. IST could involve minimization of stored raw material chemicals, making process changes that make it less likely to release the chemical (moderation), or reducing complexity in the process that could make accidents more likely (simplification). Therefore, even where a contractual relationship or regulation requires a regulated facility to use a particular regulated substance in specified quantities, owners and operators of facilities should still consider other potential IST measures besides chemical substitution. </w:t>
      </w:r>
      <w:r>
        <w:rPr>
          <w:rFonts w:ascii="Times New Roman" w:hAnsi="Times New Roman"/>
          <w:sz w:val="24"/>
        </w:rPr>
        <w:t>U</w:t>
      </w:r>
      <w:r w:rsidRPr="00E13A69">
        <w:rPr>
          <w:rFonts w:ascii="Times New Roman" w:hAnsi="Times New Roman"/>
          <w:sz w:val="24"/>
        </w:rPr>
        <w:t>se</w:t>
      </w:r>
      <w:r>
        <w:rPr>
          <w:rFonts w:ascii="Times New Roman" w:hAnsi="Times New Roman"/>
          <w:sz w:val="24"/>
        </w:rPr>
        <w:t xml:space="preserve"> of</w:t>
      </w:r>
      <w:r w:rsidRPr="00E13A69">
        <w:rPr>
          <w:rFonts w:ascii="Times New Roman" w:hAnsi="Times New Roman"/>
          <w:sz w:val="24"/>
        </w:rPr>
        <w:t xml:space="preserve"> RMP chemicals for purposes in addition to making a formulated product, such as for cleaning equipment, wastewater treatment or refrigeration, for which chemical substitution may not be prohibited by regulation or contractual relationship. </w:t>
      </w:r>
    </w:p>
    <w:p w:rsidR="003B12AF" w:rsidP="00256E87" w14:paraId="7806C8B4" w14:textId="22953C9C">
      <w:pPr>
        <w:ind w:left="720"/>
        <w:rPr>
          <w:rFonts w:ascii="Times New Roman" w:hAnsi="Times New Roman"/>
          <w:b/>
          <w:bCs/>
          <w:sz w:val="24"/>
        </w:rPr>
      </w:pPr>
      <w:r w:rsidRPr="00E13A69">
        <w:rPr>
          <w:rFonts w:ascii="Times New Roman" w:hAnsi="Times New Roman"/>
          <w:sz w:val="24"/>
        </w:rPr>
        <w:t xml:space="preserve">Additionally, under the STAA requirements applicable facilities would still need to consider and implement, if practicable, other safeguards to reduce risks, including at least one passive measure, or an inherently safer technology or design, or a combination of active and procedural measures equivalent to or greater than the risk reduction of a passive measure. EPA believes that measures lower on the hierarchy of controls, passive, active and procedural measures, when implemented appropriately, can be used to help operate a hazardous chemical process safely and can also reduce hazard risks of that process. When compared with IST, these measures could also more likely be added, modified, and improved at variable chemical operations </w:t>
      </w:r>
      <w:r w:rsidRPr="006F68E9">
        <w:rPr>
          <w:rFonts w:ascii="Times New Roman" w:hAnsi="Times New Roman"/>
          <w:sz w:val="24"/>
        </w:rPr>
        <w:t>governed by external specifications</w:t>
      </w:r>
      <w:r w:rsidRPr="00E13A69">
        <w:rPr>
          <w:rFonts w:ascii="Times New Roman" w:hAnsi="Times New Roman"/>
          <w:sz w:val="24"/>
        </w:rPr>
        <w:t>.</w:t>
      </w:r>
      <w:r w:rsidRPr="00C96062">
        <w:rPr>
          <w:rStyle w:val="eop"/>
          <w:rFonts w:ascii="Times New Roman" w:hAnsi="Times New Roman"/>
          <w:color w:val="000000"/>
          <w:sz w:val="24"/>
          <w:shd w:val="clear" w:color="auto" w:fill="FFFFFF"/>
        </w:rPr>
        <w:t> </w:t>
      </w:r>
    </w:p>
    <w:p w:rsidR="16BDB194" w:rsidP="7029657D" w14:paraId="3F175874" w14:textId="1AF74BB4">
      <w:pPr>
        <w:ind w:left="720"/>
        <w:rPr>
          <w:rStyle w:val="eop"/>
          <w:rFonts w:ascii="Times New Roman" w:hAnsi="Times New Roman"/>
          <w:color w:val="000000" w:themeColor="text1"/>
          <w:sz w:val="24"/>
        </w:rPr>
      </w:pPr>
      <w:r w:rsidRPr="7029657D">
        <w:rPr>
          <w:rStyle w:val="eop"/>
          <w:rFonts w:ascii="Times New Roman" w:hAnsi="Times New Roman"/>
          <w:color w:val="000000" w:themeColor="text1"/>
          <w:sz w:val="24"/>
        </w:rPr>
        <w:t xml:space="preserve">Finally, EPA believes that the final rule provides substantial flexibilities to sources such as toll manufacturers and </w:t>
      </w:r>
      <w:r w:rsidRPr="7029657D" w:rsidR="4035DE9E">
        <w:rPr>
          <w:rStyle w:val="eop"/>
          <w:rFonts w:ascii="Times New Roman" w:hAnsi="Times New Roman"/>
          <w:color w:val="000000" w:themeColor="text1"/>
          <w:sz w:val="24"/>
        </w:rPr>
        <w:t>processes subject to other regulatory regimes to identify those restrictions as part of the basis for</w:t>
      </w:r>
      <w:r w:rsidRPr="7029657D" w:rsidR="4FAB07E9">
        <w:rPr>
          <w:rStyle w:val="eop"/>
          <w:rFonts w:ascii="Times New Roman" w:hAnsi="Times New Roman"/>
          <w:color w:val="000000" w:themeColor="text1"/>
          <w:sz w:val="24"/>
        </w:rPr>
        <w:t xml:space="preserve"> not adopting alternative technologies, either because they are not practicable or not appropriate. </w:t>
      </w:r>
    </w:p>
    <w:p w:rsidR="003B12AF" w:rsidRPr="00487DBB" w:rsidP="00210F82" w14:paraId="374E8964"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79" w:name="_Toc153373792"/>
      <w:r w:rsidRPr="00487DBB">
        <w:rPr>
          <w:rFonts w:ascii="Times New Roman" w:hAnsi="Times New Roman" w:eastAsiaTheme="minorEastAsia" w:cs="Times New Roman"/>
          <w:b/>
          <w:bCs/>
          <w:color w:val="auto"/>
        </w:rPr>
        <w:t>2017 rule provisions requiring STAA for all NAICS 324 and 325 processes</w:t>
      </w:r>
      <w:bookmarkEnd w:id="79"/>
    </w:p>
    <w:p w:rsidR="003B12AF" w:rsidP="003B12AF" w14:paraId="5AF99FA9" w14:textId="77777777">
      <w:pPr>
        <w:rPr>
          <w:rFonts w:ascii="Times New Roman" w:hAnsi="Times New Roman"/>
          <w:sz w:val="24"/>
        </w:rPr>
      </w:pPr>
      <w:r>
        <w:rPr>
          <w:rFonts w:ascii="Times New Roman" w:hAnsi="Times New Roman"/>
          <w:b/>
          <w:bCs/>
          <w:sz w:val="24"/>
        </w:rPr>
        <w:t xml:space="preserve">Comment 6.3.2-01: </w:t>
      </w:r>
      <w:r w:rsidRPr="002C2392">
        <w:rPr>
          <w:rFonts w:ascii="Times New Roman" w:hAnsi="Times New Roman"/>
          <w:sz w:val="24"/>
        </w:rPr>
        <w:t>Several commenters supported requiring STAA for all NAICS 324 and 325 processes (0179, 0211, 0460, 0444).</w:t>
      </w:r>
    </w:p>
    <w:p w:rsidR="003B12AF" w:rsidRPr="002C2392" w:rsidP="003B12AF" w14:paraId="356F0A89" w14:textId="77777777">
      <w:pPr>
        <w:rPr>
          <w:rFonts w:ascii="Times New Roman" w:hAnsi="Times New Roman"/>
          <w:sz w:val="24"/>
        </w:rPr>
      </w:pPr>
      <w:r w:rsidRPr="002C2392">
        <w:rPr>
          <w:rFonts w:ascii="Times New Roman" w:hAnsi="Times New Roman"/>
          <w:sz w:val="24"/>
        </w:rPr>
        <w:t>One</w:t>
      </w:r>
      <w:r>
        <w:rPr>
          <w:rFonts w:ascii="Times New Roman" w:hAnsi="Times New Roman"/>
          <w:b/>
          <w:sz w:val="24"/>
        </w:rPr>
        <w:t xml:space="preserve"> </w:t>
      </w:r>
      <w:r w:rsidRPr="006F68E9">
        <w:rPr>
          <w:rFonts w:ascii="Times New Roman" w:hAnsi="Times New Roman"/>
          <w:sz w:val="24"/>
        </w:rPr>
        <w:t>commenter suggested that all fenceline communities located near NAICS 324 and 325 facilities benefit from the proposed STAA language to ensure that all communities receive the same protection from accidental releases. The commenter claimed that, by requiring all facilities to implement safer techniques, innovation and new safer processes would emerge faster because every facility would participate. The commenter claimed that this would discourage facilities not located in a dense NAICS facility area from keeping outdated and dangerous processes (0179).</w:t>
      </w:r>
      <w:r>
        <w:rPr>
          <w:rFonts w:ascii="Times New Roman" w:hAnsi="Times New Roman"/>
          <w:sz w:val="24"/>
        </w:rPr>
        <w:t xml:space="preserve"> </w:t>
      </w:r>
    </w:p>
    <w:p w:rsidR="003B12AF" w:rsidRPr="006F68E9" w:rsidP="003B12AF" w14:paraId="7FF3F212" w14:textId="77777777">
      <w:pPr>
        <w:rPr>
          <w:rFonts w:ascii="Times New Roman" w:hAnsi="Times New Roman"/>
          <w:sz w:val="24"/>
        </w:rPr>
      </w:pPr>
      <w:r w:rsidRPr="006F68E9">
        <w:rPr>
          <w:rFonts w:ascii="Times New Roman" w:hAnsi="Times New Roman"/>
          <w:sz w:val="24"/>
        </w:rPr>
        <w:t xml:space="preserve">One commenter supported the inclusion of the 590 NAICS code 324 and 325 facilities as the facilities that are most highly hazardous, </w:t>
      </w:r>
      <w:r>
        <w:rPr>
          <w:rFonts w:ascii="Times New Roman" w:hAnsi="Times New Roman"/>
          <w:sz w:val="24"/>
        </w:rPr>
        <w:t xml:space="preserve">have the </w:t>
      </w:r>
      <w:r w:rsidRPr="006F68E9">
        <w:rPr>
          <w:rFonts w:ascii="Times New Roman" w:hAnsi="Times New Roman"/>
          <w:sz w:val="24"/>
        </w:rPr>
        <w:t xml:space="preserve">worst incident rates, and </w:t>
      </w:r>
      <w:r>
        <w:rPr>
          <w:rFonts w:ascii="Times New Roman" w:hAnsi="Times New Roman"/>
          <w:sz w:val="24"/>
        </w:rPr>
        <w:t xml:space="preserve">are </w:t>
      </w:r>
      <w:r w:rsidRPr="006F68E9">
        <w:rPr>
          <w:rFonts w:ascii="Times New Roman" w:hAnsi="Times New Roman"/>
          <w:sz w:val="24"/>
        </w:rPr>
        <w:t xml:space="preserve">most threatening to the health and safety of workers and surrounding communities. The commenter </w:t>
      </w:r>
      <w:r>
        <w:rPr>
          <w:rFonts w:ascii="Times New Roman" w:hAnsi="Times New Roman"/>
          <w:sz w:val="24"/>
        </w:rPr>
        <w:t>stated</w:t>
      </w:r>
      <w:r w:rsidRPr="006F68E9">
        <w:rPr>
          <w:rFonts w:ascii="Times New Roman" w:hAnsi="Times New Roman"/>
          <w:sz w:val="24"/>
        </w:rPr>
        <w:t xml:space="preserve"> safer technologies are available and have been successfully implemented in these sectors. The commenter also </w:t>
      </w:r>
      <w:r>
        <w:rPr>
          <w:rFonts w:ascii="Times New Roman" w:hAnsi="Times New Roman"/>
          <w:sz w:val="24"/>
        </w:rPr>
        <w:t>stated</w:t>
      </w:r>
      <w:r w:rsidRPr="006F68E9">
        <w:rPr>
          <w:rFonts w:ascii="Times New Roman" w:hAnsi="Times New Roman"/>
          <w:sz w:val="24"/>
        </w:rPr>
        <w:t xml:space="preserve"> that this action is supported by similar action in several states and localities. The commenter explained state and local jurisdictions have implemented even stricter IST requirements than EPA 2017 RMP Amendments’ provisions. The commenter urged EPA to cite and rely on these, including Contra Costa County in 1998, Richmond, CA in 2013, New Jersey in 1988, California in its refinery rule Cal. ARP Program 4 in 2017, and Jefferson County KY Air Pollution Control District in 2021 (0460). </w:t>
      </w:r>
      <w:r w:rsidRPr="009E470E">
        <w:rPr>
          <w:rFonts w:ascii="Times New Roman" w:hAnsi="Times New Roman"/>
          <w:sz w:val="24"/>
        </w:rPr>
        <w:t xml:space="preserve"> </w:t>
      </w:r>
    </w:p>
    <w:p w:rsidR="003B12AF" w:rsidP="003B12AF" w14:paraId="4C9AA79B" w14:textId="77777777">
      <w:pPr>
        <w:rPr>
          <w:rFonts w:ascii="Times New Roman" w:hAnsi="Times New Roman"/>
          <w:sz w:val="24"/>
        </w:rPr>
      </w:pPr>
      <w:r w:rsidRPr="006F68E9">
        <w:rPr>
          <w:rFonts w:ascii="Times New Roman" w:eastAsia="Times New Roman" w:hAnsi="Times New Roman"/>
          <w:sz w:val="24"/>
        </w:rPr>
        <w:t>One</w:t>
      </w:r>
      <w:r w:rsidRPr="006F68E9">
        <w:rPr>
          <w:rFonts w:ascii="Times New Roman" w:hAnsi="Times New Roman"/>
          <w:sz w:val="24"/>
        </w:rPr>
        <w:t xml:space="preserve"> commenter claimed that, given the statute’s mandate that EPA provide for the prevention of accidental releases to the greatest extent practicable, EPA was required to show that it would be impracticable for facilities to comply with the 2017 Rule’s STAA provisions to narrow the scope of that obligation. The commenter claimed that EPA had not done so (0444). </w:t>
      </w:r>
      <w:r w:rsidRPr="009137FA">
        <w:rPr>
          <w:rFonts w:ascii="Times New Roman" w:hAnsi="Times New Roman"/>
          <w:sz w:val="24"/>
        </w:rPr>
        <w:t xml:space="preserve"> </w:t>
      </w:r>
      <w:r w:rsidRPr="006F68E9">
        <w:rPr>
          <w:rFonts w:ascii="Times New Roman" w:hAnsi="Times New Roman"/>
          <w:sz w:val="24"/>
        </w:rPr>
        <w:t xml:space="preserve">One of the commenters </w:t>
      </w:r>
      <w:r>
        <w:rPr>
          <w:rFonts w:ascii="Times New Roman" w:hAnsi="Times New Roman"/>
          <w:sz w:val="24"/>
        </w:rPr>
        <w:t>said</w:t>
      </w:r>
      <w:r w:rsidRPr="006F68E9">
        <w:rPr>
          <w:rFonts w:ascii="Times New Roman" w:hAnsi="Times New Roman"/>
          <w:sz w:val="24"/>
        </w:rPr>
        <w:t xml:space="preserve"> the narrowing of this rule to make STAA coverage even less expansive than the 2017 rule appears in part to be giving into industry’s contentions in a way that is unjustified in the record (0460). </w:t>
      </w:r>
    </w:p>
    <w:p w:rsidR="003B12AF" w:rsidRPr="008C6F72" w:rsidP="003B12AF" w14:paraId="641CC3F1" w14:textId="77777777">
      <w:pPr>
        <w:rPr>
          <w:rFonts w:ascii="Times New Roman" w:hAnsi="Times New Roman"/>
          <w:sz w:val="24"/>
        </w:rPr>
      </w:pPr>
      <w:r w:rsidRPr="006F68E9">
        <w:rPr>
          <w:rFonts w:ascii="Times New Roman" w:hAnsi="Times New Roman"/>
          <w:sz w:val="24"/>
        </w:rPr>
        <w:t xml:space="preserve">One commenter expressed support </w:t>
      </w:r>
      <w:r>
        <w:rPr>
          <w:rFonts w:ascii="Times New Roman" w:hAnsi="Times New Roman"/>
          <w:sz w:val="24"/>
        </w:rPr>
        <w:t>for 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ule’s decision to exclude the midstream industry from the STAA regulations (0207).</w:t>
      </w:r>
    </w:p>
    <w:p w:rsidR="008F6F35" w:rsidRPr="008C6F72" w:rsidP="003B12AF" w14:paraId="271B404F" w14:textId="42321C76">
      <w:pPr>
        <w:rPr>
          <w:rFonts w:ascii="Times New Roman" w:hAnsi="Times New Roman"/>
          <w:sz w:val="24"/>
        </w:rPr>
      </w:pPr>
      <w:r w:rsidRPr="006F68E9">
        <w:rPr>
          <w:rFonts w:ascii="Times New Roman" w:hAnsi="Times New Roman"/>
          <w:sz w:val="24"/>
        </w:rPr>
        <w:t xml:space="preserve">One commenter suggested applying the requirement to evaluate STAA and feasibility to all facilities with processes covered by NAICS codes 324 and 325 and to those same facilities within a given radius of other defined infrastructure (e.g., docks, harbors, major roadways, railroad depots, schools, hospitals) or to those facilities within 1-mile of any other RMP facility. The commenter stated that, because part of the rationale for this distance criterion was the potential knock-on effects of accidents, the commenter claimed that these could apply to non-NAICS 324 and 325 facilities or to non-regulated infrastructure as well. The commenter suggested that the </w:t>
      </w:r>
      <w:r>
        <w:rPr>
          <w:rFonts w:ascii="Times New Roman" w:hAnsi="Times New Roman"/>
          <w:sz w:val="24"/>
        </w:rPr>
        <w:t>r</w:t>
      </w:r>
      <w:r w:rsidRPr="006F68E9">
        <w:rPr>
          <w:rFonts w:ascii="Times New Roman" w:hAnsi="Times New Roman"/>
          <w:sz w:val="24"/>
        </w:rPr>
        <w:t xml:space="preserve">ule could require any regulated facility with processes covered by NAICS 324 or 325 within one mile of another RMP-regulated facility evaluate STAA without </w:t>
      </w:r>
      <w:r w:rsidRPr="00321B78">
        <w:rPr>
          <w:rFonts w:ascii="Times New Roman" w:hAnsi="Times New Roman"/>
          <w:sz w:val="24"/>
        </w:rPr>
        <w:t>requiring the other facility to do so unless it was also in a covered NAICS (0211).</w:t>
      </w:r>
    </w:p>
    <w:p w:rsidR="00210F82" w:rsidRPr="00AB0E99" w:rsidP="00AB0E99" w14:paraId="1E62FE71" w14:textId="3BBD3E0D">
      <w:pPr>
        <w:pStyle w:val="ListParagraph"/>
        <w:numPr>
          <w:ilvl w:val="0"/>
          <w:numId w:val="0"/>
        </w:numPr>
        <w:tabs>
          <w:tab w:val="left" w:pos="1080"/>
          <w:tab w:val="left" w:pos="1627"/>
          <w:tab w:val="left" w:pos="2160"/>
          <w:tab w:val="left" w:pos="2880"/>
        </w:tabs>
        <w:ind w:left="1080"/>
        <w:rPr>
          <w:rFonts w:ascii="Times New Roman" w:hAnsi="Times New Roman"/>
          <w:sz w:val="24"/>
        </w:rPr>
      </w:pPr>
      <w:r w:rsidRPr="0043108E">
        <w:rPr>
          <w:rFonts w:ascii="Times New Roman" w:hAnsi="Times New Roman"/>
          <w:b/>
          <w:bCs/>
          <w:sz w:val="24"/>
        </w:rPr>
        <w:t>EPA Response:</w:t>
      </w:r>
      <w:r>
        <w:rPr>
          <w:rFonts w:ascii="Times New Roman" w:hAnsi="Times New Roman"/>
          <w:b/>
          <w:bCs/>
          <w:sz w:val="24"/>
        </w:rPr>
        <w:t xml:space="preserve"> </w:t>
      </w:r>
      <w:r w:rsidRPr="00AD2824" w:rsidR="00AD2824">
        <w:t xml:space="preserve"> </w:t>
      </w:r>
      <w:r w:rsidRPr="000C6AB2" w:rsidR="000C6AB2">
        <w:rPr>
          <w:rFonts w:ascii="Times New Roman" w:hAnsi="Times New Roman"/>
          <w:sz w:val="24"/>
        </w:rPr>
        <w:t>In th</w:t>
      </w:r>
      <w:r w:rsidR="000E2F0D">
        <w:rPr>
          <w:rFonts w:ascii="Times New Roman" w:hAnsi="Times New Roman"/>
          <w:sz w:val="24"/>
        </w:rPr>
        <w:t>e</w:t>
      </w:r>
      <w:r w:rsidRPr="000C6AB2" w:rsidR="000C6AB2">
        <w:rPr>
          <w:rFonts w:ascii="Times New Roman" w:hAnsi="Times New Roman"/>
          <w:sz w:val="24"/>
        </w:rPr>
        <w:t xml:space="preserve"> final rule, EPA is expanding the initial STAA evaluation to all Program 3 facilities with NAICS 324 and 325 processes. EPA believes that high RMP accident frequency among NAICS 324 and 325 processes</w:t>
      </w:r>
      <w:r w:rsidRPr="000C6AB2" w:rsidR="000C6AB2">
        <w:rPr>
          <w:rFonts w:ascii="Times New Roman" w:hAnsi="Times New Roman"/>
          <w:sz w:val="24"/>
        </w:rPr>
        <w:t xml:space="preserve"> </w:t>
      </w:r>
      <w:r w:rsidR="0037477F">
        <w:rPr>
          <w:rFonts w:ascii="Times New Roman" w:hAnsi="Times New Roman"/>
          <w:sz w:val="24"/>
        </w:rPr>
        <w:t>as shown by recent data</w:t>
      </w:r>
      <w:r>
        <w:rPr>
          <w:rStyle w:val="FootnoteReference"/>
          <w:rFonts w:ascii="Times New Roman" w:hAnsi="Times New Roman"/>
          <w:sz w:val="24"/>
        </w:rPr>
        <w:footnoteReference w:id="105"/>
      </w:r>
      <w:r w:rsidR="0037477F">
        <w:rPr>
          <w:rFonts w:ascii="Times New Roman" w:hAnsi="Times New Roman"/>
          <w:sz w:val="24"/>
        </w:rPr>
        <w:t xml:space="preserve"> </w:t>
      </w:r>
      <w:r w:rsidR="001C0828">
        <w:rPr>
          <w:rFonts w:ascii="Times New Roman" w:hAnsi="Times New Roman"/>
          <w:sz w:val="24"/>
        </w:rPr>
        <w:t xml:space="preserve">presented in the proposed rule, </w:t>
      </w:r>
      <w:r w:rsidRPr="000C6AB2" w:rsidR="000C6AB2">
        <w:rPr>
          <w:rFonts w:ascii="Times New Roman" w:hAnsi="Times New Roman"/>
          <w:sz w:val="24"/>
        </w:rPr>
        <w:t xml:space="preserve">is reasonable justification for requiring RMP owners and operators to evaluate </w:t>
      </w:r>
      <w:r w:rsidRPr="000C6AB2" w:rsidR="000C6AB2">
        <w:rPr>
          <w:rFonts w:ascii="Times New Roman" w:hAnsi="Times New Roman"/>
          <w:sz w:val="24"/>
        </w:rPr>
        <w:t>safer technologies and alternatives to help prevent accidental releases. As noted in the proposed rule, between 2016 and 2020, sector accident rates (unique facilities having accidents) for NAICS 324 and 325 were, respectively, seven times higher (23 percent, n = 41 out of 177) and two times higher (6 percent, n = 96 out of 1631) than the rate for all RMP-regulated facilities (87 FR 53578). By expanding applicability of the STAA evaluation to these additional NAICS 324 and 325 processes, EPA expects to also capture complex facilities in less facility-dense areas that nonetheless may cause significant harm to human health and the environment.</w:t>
      </w:r>
    </w:p>
    <w:p w:rsidR="00F46820" w:rsidP="000F3891" w14:paraId="19AF463F" w14:textId="4FCDFE7A">
      <w:pPr>
        <w:tabs>
          <w:tab w:val="left" w:pos="1080"/>
          <w:tab w:val="left" w:pos="1627"/>
          <w:tab w:val="left" w:pos="2160"/>
          <w:tab w:val="left" w:pos="2880"/>
        </w:tabs>
        <w:ind w:left="1080" w:hanging="360"/>
        <w:rPr>
          <w:rFonts w:ascii="Times New Roman" w:hAnsi="Times New Roman"/>
          <w:sz w:val="24"/>
        </w:rPr>
      </w:pPr>
      <w:r>
        <w:rPr>
          <w:rFonts w:ascii="Times New Roman" w:hAnsi="Times New Roman"/>
          <w:sz w:val="24"/>
        </w:rPr>
        <w:tab/>
      </w:r>
      <w:r w:rsidRPr="00AD2824" w:rsidR="00AD2824">
        <w:rPr>
          <w:rFonts w:ascii="Times New Roman" w:hAnsi="Times New Roman"/>
          <w:sz w:val="24"/>
        </w:rPr>
        <w:t>In th</w:t>
      </w:r>
      <w:r w:rsidR="00AD2824">
        <w:rPr>
          <w:rFonts w:ascii="Times New Roman" w:hAnsi="Times New Roman"/>
          <w:sz w:val="24"/>
        </w:rPr>
        <w:t>e</w:t>
      </w:r>
      <w:r w:rsidRPr="00AD2824" w:rsidR="00AD2824">
        <w:rPr>
          <w:rFonts w:ascii="Times New Roman" w:hAnsi="Times New Roman"/>
          <w:sz w:val="24"/>
        </w:rPr>
        <w:t xml:space="preserve"> final rule, EPA is expanding the applicability of the IST/ISD practicability assessment to apply to more facilities compared to the requirements included in the proposed rule. The IST/ISD practicability assessment will also apply to the owner or operator of a facility with Program 3 processes in NAICS codes 324 and 325 that has had an accidental release that meets the accident history reporting requirements under 40 CFR 68.42 since the facility’s most recent PHA. As EPA noted in the 2019 reconsideration rule, a past accident is one of the best predictors of future accidents that could potentially threaten a facility’s nearby community. Additionally, as indicated in the proposal, of the 70 facilities experiencing 2 or more incidents between 2016 and 2020, 43 (60 percent) were in NAICS 324 and 325. The facilities required to conduct practicability assessments for IST/ISDs identified in the STAA accounted for 42% of all accidents and 83% of the cost of accidents among all RMP facilities during the period from 2016-2020.  A more in-depth look at implementation of </w:t>
      </w:r>
      <w:r w:rsidR="00BB070A">
        <w:rPr>
          <w:rFonts w:ascii="Times New Roman" w:hAnsi="Times New Roman"/>
          <w:sz w:val="24"/>
        </w:rPr>
        <w:t>IST</w:t>
      </w:r>
      <w:r w:rsidRPr="00AD2824" w:rsidR="00AD2824">
        <w:rPr>
          <w:rFonts w:ascii="Times New Roman" w:hAnsi="Times New Roman"/>
          <w:sz w:val="24"/>
        </w:rPr>
        <w:t xml:space="preserve">/ISD by: (1) these facilities with accidents; (2) those identified in the proposal at facilities with processes in NAICS 324 and 325 located within 1 mile of another NAICS 324 or 325 facility; (3) and facilities with hydrofluoric </w:t>
      </w:r>
      <w:r w:rsidRPr="00AD2824" w:rsidR="00AD2824">
        <w:rPr>
          <w:rFonts w:ascii="Times New Roman" w:hAnsi="Times New Roman"/>
          <w:sz w:val="24"/>
        </w:rPr>
        <w:t xml:space="preserve">alkylation, </w:t>
      </w:r>
      <w:r w:rsidR="00D9535B">
        <w:rPr>
          <w:rFonts w:ascii="Times New Roman" w:hAnsi="Times New Roman"/>
          <w:sz w:val="24"/>
        </w:rPr>
        <w:t xml:space="preserve">should lead to avoiding or reducing hazards at these facilities. </w:t>
      </w:r>
      <w:r w:rsidRPr="00AD2824" w:rsidR="00AD2824">
        <w:rPr>
          <w:rFonts w:ascii="Times New Roman" w:hAnsi="Times New Roman"/>
          <w:sz w:val="24"/>
        </w:rPr>
        <w:t xml:space="preserve">At this time, EPA believes it is best to further focus the practicability assessment of IST/ISD on this subset of facilities as they present an even more heightened risk to a </w:t>
      </w:r>
      <w:r w:rsidRPr="00AD2824" w:rsidR="00AD2824">
        <w:rPr>
          <w:rFonts w:ascii="Times New Roman" w:hAnsi="Times New Roman"/>
          <w:sz w:val="24"/>
        </w:rPr>
        <w:t>facility’s surrounding community than other facilities with NAICS 324 and 325 processes.</w:t>
      </w:r>
    </w:p>
    <w:p w:rsidR="00F46820" w:rsidRPr="009A7450" w:rsidP="009A7450" w14:paraId="653F5341" w14:textId="269255F4">
      <w:pPr>
        <w:pStyle w:val="ListParagraph"/>
        <w:numPr>
          <w:ilvl w:val="0"/>
          <w:numId w:val="0"/>
        </w:numPr>
        <w:tabs>
          <w:tab w:val="left" w:pos="1080"/>
          <w:tab w:val="left" w:pos="1627"/>
          <w:tab w:val="left" w:pos="2160"/>
          <w:tab w:val="left" w:pos="2880"/>
        </w:tabs>
        <w:ind w:left="1080"/>
        <w:rPr>
          <w:rFonts w:ascii="Times New Roman" w:hAnsi="Times New Roman"/>
          <w:sz w:val="24"/>
        </w:rPr>
      </w:pPr>
      <w:r w:rsidRPr="00321B78">
        <w:rPr>
          <w:rFonts w:ascii="Times New Roman" w:hAnsi="Times New Roman"/>
          <w:sz w:val="24"/>
        </w:rPr>
        <w:t xml:space="preserve">While EPA is not requiring all Program 3 sources, or all sources in industry sectors where feasible safer technology alternatives have been identified to perform a STAA, the Agency encourages such sources to consider performing a STAA, and to determine practicability of IST or ISD considered, even if they are not subject to the STAA provisions of the final rule. </w:t>
      </w:r>
      <w:r w:rsidR="0036424A">
        <w:rPr>
          <w:rFonts w:ascii="Times New Roman" w:hAnsi="Times New Roman"/>
          <w:sz w:val="24"/>
        </w:rPr>
        <w:t xml:space="preserve">EPA expects guidance for this provision and the data resulting from the STAA Technology Transfer described in section </w:t>
      </w:r>
      <w:r w:rsidR="00BA1B60">
        <w:rPr>
          <w:rFonts w:ascii="Times New Roman" w:hAnsi="Times New Roman"/>
          <w:sz w:val="24"/>
        </w:rPr>
        <w:t>V.B.</w:t>
      </w:r>
      <w:r w:rsidR="0036424A">
        <w:rPr>
          <w:rFonts w:ascii="Times New Roman" w:hAnsi="Times New Roman"/>
          <w:sz w:val="24"/>
        </w:rPr>
        <w:t>e. of th</w:t>
      </w:r>
      <w:r w:rsidR="00BA1B60">
        <w:rPr>
          <w:rFonts w:ascii="Times New Roman" w:hAnsi="Times New Roman"/>
          <w:sz w:val="24"/>
        </w:rPr>
        <w:t xml:space="preserve">e </w:t>
      </w:r>
      <w:r w:rsidR="00BA1B60">
        <w:rPr>
          <w:rFonts w:ascii="Times New Roman" w:hAnsi="Times New Roman"/>
          <w:sz w:val="24"/>
        </w:rPr>
        <w:t>final rule preamble</w:t>
      </w:r>
      <w:r w:rsidR="0036424A">
        <w:rPr>
          <w:rFonts w:ascii="Times New Roman" w:hAnsi="Times New Roman"/>
          <w:sz w:val="24"/>
        </w:rPr>
        <w:t xml:space="preserve"> will be useful for all facilities to adopt to identify potential IST/ISD and safeguards. </w:t>
      </w:r>
      <w:r w:rsidRPr="00321B78">
        <w:rPr>
          <w:rFonts w:ascii="Times New Roman" w:hAnsi="Times New Roman"/>
          <w:sz w:val="24"/>
        </w:rPr>
        <w:t>As noted in the preamble of the 2016 proposed amendments rule, provisions in the existing rule provides several incentives to encourage the use of STAA and the adoption of safer technologies, including having applicability based on a chemical threshold, allowing a source to take credit for passive mitigation in calculating its worst-case scenario and both passive and active controls when calculating its alternative scenarios (81 FR 13663; Mar. 14, 2016). Consistent with EPA’s general approach to the RMP regulations, the Agency allows flexibility for owners and operators to adopt various methods to meet performance standards, with more specific, demanding standards for sources</w:t>
      </w:r>
      <w:r w:rsidRPr="0031018F">
        <w:rPr>
          <w:rFonts w:ascii="Times New Roman" w:hAnsi="Times New Roman"/>
          <w:sz w:val="24"/>
        </w:rPr>
        <w:t xml:space="preserve"> that pose a greater likelihood of an accidental release and have greater complexity, and for sources that pose a greater risk to nearby communities. </w:t>
      </w:r>
    </w:p>
    <w:p w:rsidR="003B12AF" w:rsidRPr="009B5699" w:rsidP="003B12AF" w14:paraId="1CAA7E57" w14:textId="0C9BEA0A">
      <w:pPr>
        <w:rPr>
          <w:rFonts w:ascii="Times New Roman" w:hAnsi="Times New Roman"/>
          <w:sz w:val="24"/>
        </w:rPr>
      </w:pPr>
      <w:r>
        <w:rPr>
          <w:rFonts w:ascii="Times New Roman" w:hAnsi="Times New Roman"/>
          <w:b/>
          <w:bCs/>
          <w:sz w:val="24"/>
        </w:rPr>
        <w:t>Comment 6.3.2-0</w:t>
      </w:r>
      <w:r w:rsidR="001A4BB4">
        <w:rPr>
          <w:rFonts w:ascii="Times New Roman" w:hAnsi="Times New Roman"/>
          <w:b/>
          <w:bCs/>
          <w:sz w:val="24"/>
        </w:rPr>
        <w:t>2</w:t>
      </w:r>
      <w:r>
        <w:rPr>
          <w:rFonts w:ascii="Times New Roman" w:hAnsi="Times New Roman"/>
          <w:b/>
          <w:bCs/>
          <w:sz w:val="24"/>
        </w:rPr>
        <w:t xml:space="preserve">: </w:t>
      </w:r>
      <w:r w:rsidRPr="006F68E9">
        <w:rPr>
          <w:rFonts w:ascii="Times New Roman" w:hAnsi="Times New Roman"/>
          <w:sz w:val="24"/>
        </w:rPr>
        <w:t>One commenter suggested that if STAA is to be required, it should only be required at the design stage of new processes, at NAICS code 324 and 325 facilities with a reportable accident in the past five years, and exclude processes governed by external specifications</w:t>
      </w:r>
      <w:r>
        <w:rPr>
          <w:rFonts w:ascii="Times New Roman" w:hAnsi="Times New Roman"/>
          <w:sz w:val="24"/>
        </w:rPr>
        <w:t>.</w:t>
      </w:r>
      <w:r w:rsidRPr="006F68E9">
        <w:rPr>
          <w:rFonts w:ascii="Times New Roman" w:hAnsi="Times New Roman"/>
          <w:sz w:val="24"/>
        </w:rPr>
        <w:t xml:space="preserve"> The </w:t>
      </w:r>
      <w:r>
        <w:rPr>
          <w:rFonts w:ascii="Times New Roman" w:hAnsi="Times New Roman"/>
          <w:sz w:val="24"/>
        </w:rPr>
        <w:t>commenter provided proposed regulatory language (0275).</w:t>
      </w:r>
      <w:r w:rsidRPr="006F68E9">
        <w:rPr>
          <w:rFonts w:ascii="Times New Roman" w:hAnsi="Times New Roman"/>
          <w:sz w:val="24"/>
        </w:rPr>
        <w:t xml:space="preserve"> </w:t>
      </w:r>
    </w:p>
    <w:p w:rsidR="003B12AF" w:rsidRPr="00050B3E" w:rsidP="003B12AF" w14:paraId="53BD8D32" w14:textId="77777777">
      <w:pPr>
        <w:ind w:left="720"/>
        <w:rPr>
          <w:rFonts w:ascii="Times New Roman" w:hAnsi="Times New Roman"/>
          <w:sz w:val="24"/>
        </w:rPr>
      </w:pPr>
      <w:r w:rsidRPr="00050B3E">
        <w:rPr>
          <w:rFonts w:ascii="Times New Roman" w:hAnsi="Times New Roman"/>
          <w:b/>
          <w:bCs/>
          <w:sz w:val="24"/>
        </w:rPr>
        <w:t>EPA Response:</w:t>
      </w:r>
      <w:r w:rsidRPr="00050B3E">
        <w:rPr>
          <w:rFonts w:ascii="Times New Roman" w:hAnsi="Times New Roman"/>
          <w:sz w:val="24"/>
        </w:rPr>
        <w:t xml:space="preserve"> In response to the comments that the STAA requirement should be limited to the design and development phases of new Program 2 and Program 3 processes, EPA disagrees. While the greatest potential opportunities for using IST may exist early in process design and development, many IST options may still be practicable after the initial design phase. Furthermore, STAA involves more than just IST. Safer technology alternatives also include passive measures, active measures, and procedural measures, and these measures can be modified and improved after the initial design of a facility. EPA notes that while many RMP-regulated facilities were originally constructed decades ago, major enhancements have been reported in some plants that have been operating for many years. Moreover, to the extent that particular measures are cost-prohibitive, the rule allows for that to be a factor in assessing whether a measure is practicable.</w:t>
      </w:r>
    </w:p>
    <w:p w:rsidR="003B12AF" w:rsidRPr="00487DBB" w:rsidP="000F3891" w14:paraId="29DE9CD8"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80" w:name="_Toc153373793"/>
      <w:r w:rsidRPr="00487DBB">
        <w:rPr>
          <w:rFonts w:ascii="Times New Roman" w:hAnsi="Times New Roman" w:eastAsiaTheme="minorEastAsia" w:cs="Times New Roman"/>
          <w:b/>
          <w:bCs/>
          <w:color w:val="auto"/>
        </w:rPr>
        <w:t>Other industries for which STAA should be required</w:t>
      </w:r>
      <w:bookmarkEnd w:id="80"/>
    </w:p>
    <w:p w:rsidR="003B12AF" w:rsidP="003B12AF" w14:paraId="5C33D09A" w14:textId="77777777">
      <w:pPr>
        <w:rPr>
          <w:rFonts w:ascii="Times New Roman" w:hAnsi="Times New Roman"/>
          <w:i/>
          <w:iCs/>
          <w:sz w:val="24"/>
        </w:rPr>
      </w:pPr>
      <w:r w:rsidRPr="0057464E">
        <w:rPr>
          <w:rFonts w:ascii="Times New Roman" w:hAnsi="Times New Roman"/>
          <w:i/>
          <w:iCs/>
          <w:sz w:val="24"/>
        </w:rPr>
        <w:t xml:space="preserve">Comments addressing specific industries </w:t>
      </w:r>
    </w:p>
    <w:p w:rsidR="003B12AF" w:rsidRPr="00AF4116" w:rsidP="003B12AF" w14:paraId="4AD67E62" w14:textId="77777777">
      <w:pPr>
        <w:rPr>
          <w:rFonts w:ascii="Times New Roman" w:hAnsi="Times New Roman"/>
          <w:sz w:val="24"/>
        </w:rPr>
      </w:pPr>
      <w:r w:rsidRPr="00AF4116">
        <w:rPr>
          <w:rFonts w:ascii="Times New Roman" w:hAnsi="Times New Roman"/>
          <w:b/>
          <w:sz w:val="24"/>
        </w:rPr>
        <w:t>Comment</w:t>
      </w:r>
      <w:r>
        <w:rPr>
          <w:rFonts w:ascii="Times New Roman" w:hAnsi="Times New Roman"/>
          <w:b/>
          <w:sz w:val="24"/>
        </w:rPr>
        <w:t xml:space="preserve"> 6.3.3-01:</w:t>
      </w:r>
      <w:r w:rsidRPr="00AF4116">
        <w:rPr>
          <w:rFonts w:ascii="Times New Roman" w:hAnsi="Times New Roman"/>
          <w:b/>
          <w:sz w:val="24"/>
        </w:rPr>
        <w:t xml:space="preserve"> </w:t>
      </w:r>
      <w:r w:rsidRPr="00AF4116">
        <w:rPr>
          <w:rFonts w:ascii="Times New Roman" w:hAnsi="Times New Roman"/>
          <w:sz w:val="24"/>
        </w:rPr>
        <w:t xml:space="preserve">The following list are the industry suggestions several commenters made for which STAA should be required. Some of the commenters not only addressed all RMP facilities (or directly stated no limitation on STAA requirements), but also mentioned specific sectors/industries in the remainder of their comments. </w:t>
      </w:r>
    </w:p>
    <w:p w:rsidR="003B12AF" w:rsidRPr="00AF4116" w:rsidP="003B12AF" w14:paraId="21BB58A9" w14:textId="77777777">
      <w:pPr>
        <w:pStyle w:val="ListParagraph"/>
        <w:rPr>
          <w:rFonts w:ascii="Times New Roman" w:hAnsi="Times New Roman"/>
          <w:sz w:val="24"/>
        </w:rPr>
      </w:pPr>
      <w:r w:rsidRPr="00AF4116">
        <w:rPr>
          <w:rFonts w:ascii="Times New Roman" w:hAnsi="Times New Roman"/>
          <w:sz w:val="24"/>
        </w:rPr>
        <w:t>Water utilities and/or wastewater treatment facilities: 0139, 0179, 0185, 0203, 0208, 0209, 0220, 0252, 0264, 0269 0413, 0444, 0460</w:t>
      </w:r>
    </w:p>
    <w:p w:rsidR="003B12AF" w:rsidRPr="00AF4116" w:rsidP="003B12AF" w14:paraId="2B4503D1" w14:textId="77777777">
      <w:pPr>
        <w:pStyle w:val="ListParagraph"/>
        <w:rPr>
          <w:rFonts w:ascii="Times New Roman" w:hAnsi="Times New Roman"/>
          <w:sz w:val="24"/>
        </w:rPr>
      </w:pPr>
      <w:r w:rsidRPr="00AF4116">
        <w:rPr>
          <w:rFonts w:ascii="Times New Roman" w:hAnsi="Times New Roman"/>
          <w:sz w:val="24"/>
        </w:rPr>
        <w:t>All RMP facilities: 0139, 0183, 0185, 0219, 0240, 0255, 0270, 0366</w:t>
      </w:r>
    </w:p>
    <w:p w:rsidR="003B12AF" w:rsidRPr="00AF4116" w:rsidP="003B12AF" w14:paraId="11B03A27" w14:textId="77777777">
      <w:pPr>
        <w:pStyle w:val="ListParagraph"/>
        <w:rPr>
          <w:rFonts w:ascii="Times New Roman" w:hAnsi="Times New Roman"/>
          <w:sz w:val="24"/>
        </w:rPr>
      </w:pPr>
      <w:r w:rsidRPr="00AF4116">
        <w:rPr>
          <w:rFonts w:ascii="Times New Roman" w:hAnsi="Times New Roman"/>
          <w:sz w:val="24"/>
        </w:rPr>
        <w:t>Pulp/paper manufacturing: 0135, 0179, 0203, 0208, 0209, 0264, 0413, 0444, 0460</w:t>
      </w:r>
    </w:p>
    <w:p w:rsidR="003B12AF" w:rsidRPr="00AF4116" w:rsidP="003B12AF" w14:paraId="30B399C0" w14:textId="77777777">
      <w:pPr>
        <w:pStyle w:val="ListParagraph"/>
        <w:rPr>
          <w:rFonts w:ascii="Times New Roman" w:hAnsi="Times New Roman"/>
          <w:sz w:val="24"/>
        </w:rPr>
      </w:pPr>
      <w:r w:rsidRPr="00AF4116">
        <w:rPr>
          <w:rFonts w:ascii="Times New Roman" w:hAnsi="Times New Roman"/>
          <w:sz w:val="24"/>
        </w:rPr>
        <w:t>Petroleum refineries: 0179, 0203, 0208, 0209, 0252, 0264, 0269, 0413, 0444, 0460</w:t>
      </w:r>
    </w:p>
    <w:p w:rsidR="003B12AF" w:rsidRPr="00AF4116" w:rsidP="003B12AF" w14:paraId="751E1B56" w14:textId="77777777">
      <w:pPr>
        <w:pStyle w:val="ListParagraph"/>
        <w:rPr>
          <w:rFonts w:ascii="Times New Roman" w:hAnsi="Times New Roman"/>
          <w:sz w:val="24"/>
        </w:rPr>
      </w:pPr>
      <w:r w:rsidRPr="00AF4116">
        <w:rPr>
          <w:rFonts w:ascii="Times New Roman" w:hAnsi="Times New Roman"/>
          <w:sz w:val="24"/>
        </w:rPr>
        <w:t>Coal: 0179, 0209, 0264, 0444</w:t>
      </w:r>
    </w:p>
    <w:p w:rsidR="003B12AF" w:rsidRPr="00AF4116" w:rsidP="003B12AF" w14:paraId="1F0BA21D" w14:textId="77777777">
      <w:pPr>
        <w:pStyle w:val="ListParagraph"/>
        <w:rPr>
          <w:rFonts w:ascii="Times New Roman" w:hAnsi="Times New Roman"/>
          <w:sz w:val="24"/>
        </w:rPr>
      </w:pPr>
      <w:r w:rsidRPr="00AF4116">
        <w:rPr>
          <w:rFonts w:ascii="Times New Roman" w:hAnsi="Times New Roman"/>
          <w:sz w:val="24"/>
        </w:rPr>
        <w:t>Chemical manufacturers or distributors: 0135, 0179, 0203, 0208, 0209, 0252, 0264, 0269, 0413, 0444, 0460</w:t>
      </w:r>
    </w:p>
    <w:p w:rsidR="003B12AF" w:rsidRPr="00AF4116" w:rsidP="003B12AF" w14:paraId="1C56ED5B" w14:textId="77777777">
      <w:pPr>
        <w:pStyle w:val="ListParagraph"/>
        <w:rPr>
          <w:rFonts w:ascii="Times New Roman" w:hAnsi="Times New Roman"/>
          <w:sz w:val="24"/>
        </w:rPr>
      </w:pPr>
      <w:r w:rsidRPr="00AF4116">
        <w:rPr>
          <w:rFonts w:ascii="Times New Roman" w:hAnsi="Times New Roman"/>
          <w:sz w:val="24"/>
        </w:rPr>
        <w:t>Agriculture and/or fertilizer plants: 0179, 0209, 0208, 0252, 0264, 0269, 0413, 0444, 0460</w:t>
      </w:r>
    </w:p>
    <w:p w:rsidR="003B12AF" w:rsidRPr="00AF4116" w:rsidP="003B12AF" w14:paraId="4DDC8616" w14:textId="77777777">
      <w:pPr>
        <w:pStyle w:val="ListParagraph"/>
        <w:rPr>
          <w:rFonts w:ascii="Times New Roman" w:hAnsi="Times New Roman"/>
          <w:sz w:val="24"/>
        </w:rPr>
      </w:pPr>
      <w:r w:rsidRPr="00AF4116">
        <w:rPr>
          <w:rFonts w:ascii="Times New Roman" w:hAnsi="Times New Roman"/>
          <w:sz w:val="24"/>
        </w:rPr>
        <w:t>Bleach/chlorine producers and wholesalers: 0139, 0203, 0252, 0264, 0269</w:t>
      </w:r>
    </w:p>
    <w:p w:rsidR="003B12AF" w:rsidRPr="00AF4116" w:rsidP="003B12AF" w14:paraId="2010E584" w14:textId="77777777">
      <w:pPr>
        <w:pStyle w:val="ListParagraph"/>
        <w:rPr>
          <w:rFonts w:ascii="Times New Roman" w:hAnsi="Times New Roman"/>
          <w:sz w:val="24"/>
        </w:rPr>
      </w:pPr>
      <w:r w:rsidRPr="00AF4116">
        <w:rPr>
          <w:rFonts w:ascii="Times New Roman" w:hAnsi="Times New Roman"/>
          <w:sz w:val="24"/>
        </w:rPr>
        <w:t>Smelting: 0203</w:t>
      </w:r>
    </w:p>
    <w:p w:rsidR="003B12AF" w:rsidRPr="00AF4116" w:rsidP="003B12AF" w14:paraId="4341C588" w14:textId="77777777">
      <w:pPr>
        <w:pStyle w:val="ListParagraph"/>
        <w:rPr>
          <w:rFonts w:ascii="Times New Roman" w:hAnsi="Times New Roman"/>
          <w:sz w:val="24"/>
        </w:rPr>
      </w:pPr>
      <w:r w:rsidRPr="00AF4116">
        <w:rPr>
          <w:rFonts w:ascii="Times New Roman" w:hAnsi="Times New Roman"/>
          <w:sz w:val="24"/>
        </w:rPr>
        <w:t>Bulk storage terminals: 0203</w:t>
      </w:r>
    </w:p>
    <w:p w:rsidR="003B12AF" w:rsidRPr="00AF4116" w:rsidP="003B12AF" w14:paraId="4D43BE4F" w14:textId="77777777">
      <w:pPr>
        <w:pStyle w:val="ListParagraph"/>
        <w:rPr>
          <w:rFonts w:ascii="Times New Roman" w:hAnsi="Times New Roman"/>
          <w:sz w:val="24"/>
        </w:rPr>
      </w:pPr>
      <w:r w:rsidRPr="00AF4116">
        <w:rPr>
          <w:rFonts w:ascii="Times New Roman" w:hAnsi="Times New Roman"/>
          <w:sz w:val="24"/>
        </w:rPr>
        <w:t>Power plants: 0185, 0203</w:t>
      </w:r>
    </w:p>
    <w:p w:rsidR="003B12AF" w:rsidRPr="006F68E9" w:rsidP="003B12AF" w14:paraId="3AE8B69D" w14:textId="77777777">
      <w:pPr>
        <w:pStyle w:val="ListParagraph"/>
        <w:rPr>
          <w:rFonts w:ascii="Times New Roman" w:hAnsi="Times New Roman"/>
          <w:b/>
          <w:bCs/>
          <w:sz w:val="24"/>
        </w:rPr>
      </w:pPr>
      <w:r w:rsidRPr="006F68E9">
        <w:rPr>
          <w:rFonts w:ascii="Times New Roman" w:hAnsi="Times New Roman"/>
          <w:sz w:val="24"/>
        </w:rPr>
        <w:t>Hazardous waste treatment: 0203</w:t>
      </w:r>
    </w:p>
    <w:p w:rsidR="003B12AF" w:rsidRPr="00F20E9E" w:rsidP="003B12AF" w14:paraId="0CB27DAE" w14:textId="7F320FF0">
      <w:pPr>
        <w:ind w:left="720"/>
        <w:rPr>
          <w:rFonts w:ascii="Times New Roman" w:hAnsi="Times New Roman"/>
          <w:b/>
          <w:bCs/>
          <w:sz w:val="24"/>
        </w:rPr>
      </w:pPr>
      <w:r w:rsidRPr="00F20E9E">
        <w:rPr>
          <w:rFonts w:ascii="Times New Roman" w:hAnsi="Times New Roman"/>
          <w:b/>
          <w:bCs/>
          <w:sz w:val="24"/>
        </w:rPr>
        <w:t xml:space="preserve">EPA Response: </w:t>
      </w:r>
      <w:r w:rsidRPr="00F20E9E">
        <w:rPr>
          <w:rFonts w:ascii="Times New Roman" w:hAnsi="Times New Roman"/>
          <w:sz w:val="24"/>
        </w:rPr>
        <w:t>In</w:t>
      </w:r>
      <w:r w:rsidRPr="0031018F">
        <w:rPr>
          <w:rFonts w:ascii="Times New Roman" w:hAnsi="Times New Roman"/>
          <w:sz w:val="24"/>
        </w:rPr>
        <w:t xml:space="preserve"> response to the comment stating that EPA has failed to justify excluding any hazardous facilities where safer technologies or alternatives are available, EPA notes that it has provided justification for applying the STAA requirement to facilities with NAICS 324 and 325 processes and does not believe that the final provisions have been limited arbitrarily, or that the Agency’s decision to limit applicability of the STAA provisions to the petroleum refining and chemical manufacturing sectors implies that other sectors do not have viable safer technology alternatives. EPA notes that sources involved in complex manufacturing operations have the greatest range of opportunities to identify and implement safer technologies, particularly in the area of inherent safety, because these sources generally produce, transform, and consume large quantities of regulated substances under sometimes extreme process conditions and using a wide range of complex technologies. Therefore, such sources can often consider the full range of inherent safety options, including minimization, substitution, moderation, and simplification, as well as passive, active, and procedural measures. Further, EPA notes that RMP facilities in the selected sectors have been responsible fo</w:t>
      </w:r>
      <w:r w:rsidRPr="0031018F" w:rsidR="00E50D3C">
        <w:rPr>
          <w:rFonts w:ascii="Times New Roman" w:hAnsi="Times New Roman"/>
          <w:sz w:val="24"/>
        </w:rPr>
        <w:t>r</w:t>
      </w:r>
      <w:r w:rsidRPr="0031018F">
        <w:rPr>
          <w:rFonts w:ascii="Times New Roman" w:hAnsi="Times New Roman"/>
          <w:sz w:val="24"/>
        </w:rPr>
        <w:t xml:space="preserve"> a relatively large number of accidents, deaths, injuries, and property damage and have significantly higher accidents rates as compared to other sectors.</w:t>
      </w:r>
      <w:r w:rsidR="00B8075F">
        <w:rPr>
          <w:rFonts w:ascii="Times New Roman" w:hAnsi="Times New Roman"/>
          <w:sz w:val="24"/>
        </w:rPr>
        <w:t xml:space="preserve"> </w:t>
      </w:r>
      <w:r w:rsidR="00BE7794">
        <w:rPr>
          <w:rFonts w:ascii="Times New Roman" w:hAnsi="Times New Roman"/>
          <w:sz w:val="24"/>
        </w:rPr>
        <w:t>R</w:t>
      </w:r>
      <w:r w:rsidRPr="00437CB1" w:rsidR="00B8075F">
        <w:rPr>
          <w:rFonts w:ascii="Times New Roman" w:hAnsi="Times New Roman"/>
          <w:sz w:val="24"/>
        </w:rPr>
        <w:t>efineries and chemical manufacturer sources that have had accidents in the past 5 years, are responsible for 42% of the total accidents from RMP-covered sources over the period from 2016-2020, and 83% of the accident damage</w:t>
      </w:r>
      <w:r w:rsidR="00E50D3C">
        <w:rPr>
          <w:rFonts w:ascii="Times New Roman" w:hAnsi="Times New Roman"/>
          <w:sz w:val="24"/>
        </w:rPr>
        <w:t xml:space="preserve">, </w:t>
      </w:r>
      <w:r w:rsidR="00E50D3C">
        <w:rPr>
          <w:rFonts w:ascii="Times New Roman" w:hAnsi="Times New Roman"/>
          <w:sz w:val="24"/>
        </w:rPr>
        <w:t>which supports additional requirements beyond STAA (i.e., a practicability assessment and the implementation requirement)</w:t>
      </w:r>
      <w:r w:rsidRPr="00437CB1" w:rsidR="00B8075F">
        <w:rPr>
          <w:rFonts w:ascii="Times New Roman" w:hAnsi="Times New Roman"/>
          <w:sz w:val="24"/>
        </w:rPr>
        <w:t xml:space="preserve">. </w:t>
      </w:r>
      <w:r w:rsidRPr="00437CB1" w:rsidR="00B8075F">
        <w:rPr>
          <w:rFonts w:ascii="Times New Roman" w:hAnsi="Times New Roman"/>
          <w:sz w:val="24"/>
        </w:rPr>
        <w:t>Concentrating the most demanding requirements on this subset of sources recognizes the track record of heightened risk presented by these sources to their nearby communities.</w:t>
      </w:r>
    </w:p>
    <w:p w:rsidR="003B12AF" w:rsidRPr="00F20E9E" w:rsidP="003B12AF" w14:paraId="368C2B1E" w14:textId="65D48DBA">
      <w:pPr>
        <w:ind w:left="720"/>
        <w:rPr>
          <w:rFonts w:ascii="Times New Roman" w:hAnsi="Times New Roman"/>
          <w:sz w:val="24"/>
        </w:rPr>
      </w:pPr>
      <w:r w:rsidRPr="0031018F">
        <w:rPr>
          <w:rFonts w:ascii="Times New Roman" w:hAnsi="Times New Roman"/>
          <w:sz w:val="24"/>
        </w:rPr>
        <w:t xml:space="preserve">While EPA is not requiring all Program 3 sources, or all sources in industry sectors where feasible safer technology alternatives have been identified to perform a STAA, the Agency encourages such sources to consider performing a STAA, and to determine practicability of IST or ISD considered, even if they are not subject to the STAA provisions of the final rule. </w:t>
      </w:r>
      <w:r w:rsidR="0036424A">
        <w:rPr>
          <w:rFonts w:ascii="Times New Roman" w:hAnsi="Times New Roman"/>
          <w:sz w:val="24"/>
        </w:rPr>
        <w:t xml:space="preserve">EPA expects guidance for this provision and the data resulting from the STAA Technology Transfer described in section </w:t>
      </w:r>
      <w:r w:rsidR="00BA1B60">
        <w:rPr>
          <w:rFonts w:ascii="Times New Roman" w:hAnsi="Times New Roman"/>
          <w:sz w:val="24"/>
        </w:rPr>
        <w:t>V.B.</w:t>
      </w:r>
      <w:r w:rsidR="0036424A">
        <w:rPr>
          <w:rFonts w:ascii="Times New Roman" w:hAnsi="Times New Roman"/>
          <w:sz w:val="24"/>
        </w:rPr>
        <w:t xml:space="preserve">e. of </w:t>
      </w:r>
      <w:r w:rsidR="00BA1B60">
        <w:rPr>
          <w:rFonts w:ascii="Times New Roman" w:hAnsi="Times New Roman"/>
          <w:sz w:val="24"/>
        </w:rPr>
        <w:t>the final rule preamble</w:t>
      </w:r>
      <w:r w:rsidR="0036424A">
        <w:rPr>
          <w:rFonts w:ascii="Times New Roman" w:hAnsi="Times New Roman"/>
          <w:sz w:val="24"/>
        </w:rPr>
        <w:t xml:space="preserve"> will be useful for all facilities to adopt to identify potential IST/ISD and safeguards. </w:t>
      </w:r>
      <w:r w:rsidRPr="0031018F">
        <w:rPr>
          <w:rFonts w:ascii="Times New Roman" w:hAnsi="Times New Roman"/>
          <w:sz w:val="24"/>
        </w:rPr>
        <w:t xml:space="preserve">As noted in the preamble of the 2016 proposed amendments rule, provisions in the existing rule provides several incentives to encourage the use of STAA and the adoption of safer technologies, including having applicability based on a chemical threshold, allowing a source to take credit for passive mitigation in calculating its worst-case scenario and both passive and active controls when calculating its alternative scenarios (81 FR 13663; Mar. 14, 2016). Consistent with EPA’s general approach to the RMP regulations, the Agency allows flexibility for owners and operators to adopt various </w:t>
      </w:r>
      <w:r w:rsidRPr="0031018F">
        <w:rPr>
          <w:rFonts w:ascii="Times New Roman" w:hAnsi="Times New Roman"/>
          <w:sz w:val="24"/>
        </w:rPr>
        <w:t xml:space="preserve">methods to meet performance standards, with more specific, demanding standards for sources that pose a greater likelihood of an accidental release and have greater complexity, and for sources that pose a greater risk to nearby communities. </w:t>
      </w:r>
    </w:p>
    <w:p w:rsidR="003B12AF" w:rsidRPr="003F29F7" w:rsidP="003B12AF" w14:paraId="66A3B2BB" w14:textId="77777777">
      <w:pPr>
        <w:rPr>
          <w:rFonts w:ascii="Times New Roman" w:hAnsi="Times New Roman"/>
          <w:i/>
          <w:iCs/>
          <w:sz w:val="24"/>
        </w:rPr>
      </w:pPr>
      <w:r w:rsidRPr="003F29F7">
        <w:rPr>
          <w:rFonts w:ascii="Times New Roman" w:hAnsi="Times New Roman"/>
          <w:i/>
          <w:iCs/>
          <w:sz w:val="24"/>
        </w:rPr>
        <w:t xml:space="preserve">Specific comments on the water </w:t>
      </w:r>
      <w:r>
        <w:rPr>
          <w:rFonts w:ascii="Times New Roman" w:hAnsi="Times New Roman"/>
          <w:i/>
          <w:iCs/>
          <w:sz w:val="24"/>
        </w:rPr>
        <w:t>sector</w:t>
      </w:r>
    </w:p>
    <w:p w:rsidR="003B12AF" w:rsidP="003B12AF" w14:paraId="310C8DAC" w14:textId="77777777">
      <w:pPr>
        <w:rPr>
          <w:rFonts w:ascii="Times New Roman" w:hAnsi="Times New Roman"/>
          <w:sz w:val="24"/>
        </w:rPr>
      </w:pPr>
      <w:r w:rsidRPr="003F29F7">
        <w:rPr>
          <w:rFonts w:ascii="Times New Roman" w:hAnsi="Times New Roman"/>
          <w:b/>
          <w:bCs/>
          <w:sz w:val="24"/>
        </w:rPr>
        <w:t>Comment</w:t>
      </w:r>
      <w:r>
        <w:rPr>
          <w:rFonts w:ascii="Times New Roman" w:hAnsi="Times New Roman"/>
          <w:b/>
          <w:bCs/>
          <w:sz w:val="24"/>
        </w:rPr>
        <w:t xml:space="preserve"> 6.3.3-02</w:t>
      </w:r>
      <w:r w:rsidRPr="003F29F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that advocated for including water and wastewater facilities </w:t>
      </w:r>
      <w:r>
        <w:rPr>
          <w:rFonts w:ascii="Times New Roman" w:hAnsi="Times New Roman"/>
          <w:sz w:val="24"/>
        </w:rPr>
        <w:t>stated</w:t>
      </w:r>
      <w:r w:rsidRPr="006F68E9">
        <w:rPr>
          <w:rFonts w:ascii="Times New Roman" w:hAnsi="Times New Roman"/>
          <w:sz w:val="24"/>
        </w:rPr>
        <w:t xml:space="preserve"> that more than 550 of these facilities are known to have removed chemical hazards such that they are no longer covered by the RMP program. The commenter stated persistent environmental justice disparities remain in communities around RMP water and wastewater plants in terms of housing value, household income, race and ethnicity, education levels, and poverty. The commenter explained that the 86 chlorine bleach plants excluded from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together have over 60 million people living in their vulnerability zones, and over a dozen water treatment plants each have over one million people in their vulnerability zones. The commenter also </w:t>
      </w:r>
      <w:r>
        <w:rPr>
          <w:rFonts w:ascii="Times New Roman" w:hAnsi="Times New Roman"/>
          <w:sz w:val="24"/>
        </w:rPr>
        <w:t>said</w:t>
      </w:r>
      <w:r w:rsidRPr="006F68E9">
        <w:rPr>
          <w:rFonts w:ascii="Times New Roman" w:hAnsi="Times New Roman"/>
          <w:sz w:val="24"/>
        </w:rPr>
        <w:t xml:space="preserve"> all these facilities have many options for safer alternative operations (0139). </w:t>
      </w:r>
    </w:p>
    <w:p w:rsidR="003B12AF" w:rsidRPr="005744DA" w:rsidP="003B12AF" w14:paraId="49A3BBE0" w14:textId="77777777">
      <w:pPr>
        <w:rPr>
          <w:rFonts w:ascii="Times New Roman" w:eastAsia="Times New Roman" w:hAnsi="Times New Roman"/>
          <w:sz w:val="24"/>
        </w:rPr>
      </w:pPr>
      <w:r w:rsidRPr="006F68E9">
        <w:rPr>
          <w:rFonts w:ascii="Times New Roman" w:hAnsi="Times New Roman"/>
          <w:sz w:val="24"/>
        </w:rPr>
        <w:t xml:space="preserve">One commenter stated that EPA should require STAAs at water utilities since the purpose of requiring an STAA is to make sure that covered facilities have actionable information on conversion costs, savings, and avoided costs, information that facilities often lack. The commenter added that many water and wastewater facilities have deregistered from the RMP after converting from chlorine gas to sodium hypochlorite (or ultraviolet light at wastewater plants) or from anhydrous sulfur dioxide to sodium bisulfite. The commenter explained such conversions lead to savings and avoided costs such as the cost of complying with the RMP program requirements, the avoided costs of a worst-case scenario release, and many others </w:t>
      </w:r>
      <w:r w:rsidRPr="006F68E9">
        <w:rPr>
          <w:rFonts w:ascii="Times New Roman" w:eastAsia="Times New Roman" w:hAnsi="Times New Roman"/>
          <w:sz w:val="24"/>
        </w:rPr>
        <w:t>(0220). The commenter also stated that the consideration of ISD should not be restricted solely to new facilities as conversions at former RMP water facilities demonstrate that retrofitting existing facilities is widely feasible. The commenter cited a survey of drinking water and wastewater plants, that were previously covered by the RMP, that replaced extremely hazardous substances with safer and more secure chemicals or processes. The commenter stated that given the likelihood of realizing cost savings in converting additional facilities, EPA could further incentivize conversions by offering communities support from the Clean Water State Revolving Fund, especially for those facilities with significant populations living in vulnerability zones, which would also address the Agency’s concern about an unfunded mandate for publicly owned treatment works (POTWs) (0220).</w:t>
      </w:r>
    </w:p>
    <w:p w:rsidR="003B12AF" w:rsidRPr="00B012FD" w:rsidP="003B12AF" w14:paraId="296B69A7" w14:textId="77777777">
      <w:pPr>
        <w:rPr>
          <w:rFonts w:ascii="Times New Roman" w:hAnsi="Times New Roman"/>
          <w:sz w:val="24"/>
        </w:rPr>
      </w:pPr>
      <w:r>
        <w:rPr>
          <w:rFonts w:ascii="Times New Roman" w:hAnsi="Times New Roman"/>
          <w:sz w:val="24"/>
        </w:rPr>
        <w:t>Conversely, o</w:t>
      </w:r>
      <w:r w:rsidRPr="006F68E9">
        <w:rPr>
          <w:rFonts w:ascii="Times New Roman" w:hAnsi="Times New Roman"/>
          <w:sz w:val="24"/>
        </w:rPr>
        <w:t>ne commenter expressed support that the proposal did not apply STAA to the water sector as one of the least accident-prone sectors covered under the RMP, and that STAA does not appropriately the variety of contingencies water utilities must consider when choosing a treatment chemical (0239). A couple of commenters supported EPA’s proposal to not require water and wastewater facilities to carry out mandatory STAA activities (0197, 0261). One of the commenters specified these facilities are already governed by public health mandates that require great flexibility in the selection of treatment processes that minimize health risks (0197). Another commenter referred to EPA’s comment stating the probability of incident at water treatment facilities is low and added their facility’s feasibility study to remove chlorine and convert to sodium hypochlorite was far too expensive to undertake (0261).</w:t>
      </w:r>
    </w:p>
    <w:p w:rsidR="003B12AF" w:rsidRPr="004072A0" w:rsidP="003B12AF" w14:paraId="18C0E704" w14:textId="77777777">
      <w:pPr>
        <w:ind w:left="720"/>
        <w:rPr>
          <w:rFonts w:ascii="Times New Roman" w:hAnsi="Times New Roman"/>
          <w:b/>
          <w:bCs/>
          <w:sz w:val="24"/>
        </w:rPr>
      </w:pPr>
      <w:r>
        <w:rPr>
          <w:rFonts w:ascii="Times New Roman" w:hAnsi="Times New Roman"/>
          <w:b/>
          <w:bCs/>
          <w:sz w:val="24"/>
        </w:rPr>
        <w:t xml:space="preserve">EPA Response: </w:t>
      </w:r>
      <w:r w:rsidRPr="004072A0">
        <w:rPr>
          <w:rStyle w:val="normaltextrun"/>
          <w:rFonts w:ascii="Times New Roman" w:hAnsi="Times New Roman"/>
          <w:color w:val="000000"/>
          <w:sz w:val="24"/>
        </w:rPr>
        <w:t>EPA</w:t>
      </w:r>
      <w:r w:rsidRPr="004072A0">
        <w:rPr>
          <w:rStyle w:val="normaltextrun"/>
          <w:rFonts w:ascii="Times New Roman" w:hAnsi="Times New Roman"/>
          <w:color w:val="000000"/>
          <w:sz w:val="24"/>
          <w:shd w:val="clear" w:color="auto" w:fill="FFFFFF"/>
        </w:rPr>
        <w:t xml:space="preserve"> disagrees with commenters who suggest subjecting water and wastewater treatment facilities to </w:t>
      </w:r>
      <w:r w:rsidRPr="004072A0">
        <w:rPr>
          <w:rStyle w:val="findhit"/>
          <w:rFonts w:ascii="Times New Roman" w:hAnsi="Times New Roman"/>
          <w:color w:val="000000"/>
          <w:sz w:val="24"/>
        </w:rPr>
        <w:t>STAA requirements</w:t>
      </w:r>
      <w:r w:rsidRPr="004072A0">
        <w:rPr>
          <w:rStyle w:val="normaltextrun"/>
          <w:rFonts w:ascii="Times New Roman" w:hAnsi="Times New Roman"/>
          <w:color w:val="000000"/>
          <w:sz w:val="24"/>
          <w:shd w:val="clear" w:color="auto" w:fill="FFFFFF"/>
        </w:rPr>
        <w:t xml:space="preserve">. EPA’s approach to applying the STAA requirement was to identify industry sectors with the greatest accident frequency </w:t>
      </w:r>
      <w:r w:rsidRPr="004072A0">
        <w:rPr>
          <w:rStyle w:val="normaltextrun"/>
          <w:rFonts w:ascii="Times New Roman" w:hAnsi="Times New Roman"/>
          <w:color w:val="000000"/>
          <w:sz w:val="24"/>
          <w:shd w:val="clear" w:color="auto" w:fill="FFFFFF"/>
        </w:rPr>
        <w:t>at RMP-regulated facilities within the sector, and with the greatest opportunity to apply STAA risk management measures. While EPA agrees that water supply and wastewater treatment facilities often have feasible alternatives available, according to RMP accident history data, the sector is among the least accident-prone sectors covered under the RMP. Therefore, the final rule will not apply the STAA requirement to the water and wastewater treatment sector.</w:t>
      </w:r>
      <w:r>
        <w:rPr>
          <w:rStyle w:val="normaltextrun"/>
          <w:color w:val="000000"/>
          <w:szCs w:val="22"/>
          <w:shd w:val="clear" w:color="auto" w:fill="FFFFFF"/>
        </w:rPr>
        <w:t> </w:t>
      </w:r>
    </w:p>
    <w:p w:rsidR="003B12AF" w:rsidRPr="00487DBB" w:rsidP="000F3891" w14:paraId="3B6B3289"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81" w:name="_Toc153373794"/>
      <w:r w:rsidRPr="00487DBB">
        <w:rPr>
          <w:rFonts w:ascii="Times New Roman" w:hAnsi="Times New Roman" w:eastAsiaTheme="minorEastAsia" w:cs="Times New Roman"/>
          <w:b/>
          <w:bCs/>
          <w:color w:val="auto"/>
        </w:rPr>
        <w:t>1-mile radius</w:t>
      </w:r>
      <w:bookmarkEnd w:id="81"/>
    </w:p>
    <w:p w:rsidR="003B12AF" w:rsidP="003B12AF" w14:paraId="1A7E8072" w14:textId="77777777">
      <w:pPr>
        <w:rPr>
          <w:rFonts w:ascii="Times New Roman" w:hAnsi="Times New Roman"/>
          <w:i/>
          <w:iCs/>
          <w:sz w:val="24"/>
        </w:rPr>
      </w:pPr>
      <w:r>
        <w:rPr>
          <w:rFonts w:ascii="Times New Roman" w:hAnsi="Times New Roman"/>
          <w:i/>
          <w:iCs/>
          <w:sz w:val="24"/>
        </w:rPr>
        <w:t xml:space="preserve">Opposition to the 1-mile radius </w:t>
      </w:r>
    </w:p>
    <w:p w:rsidR="003B12AF" w:rsidRPr="00D82066" w:rsidP="003B12AF" w14:paraId="0212649E" w14:textId="77777777">
      <w:pPr>
        <w:rPr>
          <w:rFonts w:ascii="Times New Roman" w:hAnsi="Times New Roman"/>
          <w:sz w:val="24"/>
        </w:rPr>
      </w:pPr>
      <w:r>
        <w:rPr>
          <w:rFonts w:ascii="Times New Roman" w:hAnsi="Times New Roman"/>
          <w:b/>
          <w:bCs/>
          <w:sz w:val="24"/>
        </w:rPr>
        <w:t xml:space="preserve">Comment 6.3.4-01: </w:t>
      </w:r>
      <w:r>
        <w:rPr>
          <w:rFonts w:ascii="Times New Roman" w:hAnsi="Times New Roman"/>
          <w:sz w:val="24"/>
        </w:rPr>
        <w:t xml:space="preserve">Several commenters expressed concerns about underlying data to support the proposed 1-mile radius provision. </w:t>
      </w:r>
    </w:p>
    <w:p w:rsidR="003B12AF" w:rsidP="003B12AF" w14:paraId="16AAB4A7" w14:textId="77777777">
      <w:pPr>
        <w:rPr>
          <w:rFonts w:ascii="Times New Roman" w:hAnsi="Times New Roman"/>
          <w:b/>
          <w:bCs/>
          <w:sz w:val="24"/>
        </w:rPr>
      </w:pPr>
      <w:r w:rsidRPr="006F68E9">
        <w:rPr>
          <w:rFonts w:ascii="Times New Roman" w:hAnsi="Times New Roman"/>
          <w:sz w:val="24"/>
        </w:rPr>
        <w:t xml:space="preserve">One commenter opposed the claim that proximity to other facilities is a major factor that impacts risk to the extent that it warrants using proximity as a reason for requiring the burden and costs of an STAA. The commenter </w:t>
      </w:r>
      <w:r>
        <w:rPr>
          <w:rFonts w:ascii="Times New Roman" w:hAnsi="Times New Roman"/>
          <w:sz w:val="24"/>
        </w:rPr>
        <w:t>stated</w:t>
      </w:r>
      <w:r w:rsidRPr="006F68E9">
        <w:rPr>
          <w:rFonts w:ascii="Times New Roman" w:hAnsi="Times New Roman"/>
          <w:sz w:val="24"/>
        </w:rPr>
        <w:t xml:space="preserve"> that EPA’s RMP accident database for NAICS Code 325 demonstrates no link between colocation of facilities and reported incidents. The commenter stated that based on EPA’s dataset, 72% of facilities within the 1-mile proximity have had no accident history over two decades, which is comparable with 76% of the total chemical facilities. Furthermore, the commenter added that in the RMP dataset there are no reported simultaneous or synchronous incidents at separate companies within a mile of each other between 2015 and 2022, and EPA provides no example of a “knock-on” release example in the STAA discussion in the preamble. The commenter concluded that proximity is an arbitrary and capricious criterion and should not be included in the proposal (0215).</w:t>
      </w:r>
    </w:p>
    <w:p w:rsidR="003B12AF" w:rsidP="003B12AF" w14:paraId="2DE12770"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claimed that their analysis of EPA’s data demonstrated that if one large event was excluded from the analysis as an outlier, </w:t>
      </w:r>
      <w:r w:rsidRPr="006F68E9">
        <w:rPr>
          <w:rStyle w:val="Emphasis"/>
          <w:i w:val="0"/>
          <w:iCs w:val="0"/>
        </w:rPr>
        <w:t>none</w:t>
      </w:r>
      <w:r w:rsidRPr="006F68E9">
        <w:rPr>
          <w:rFonts w:ascii="Times New Roman" w:hAnsi="Times New Roman"/>
          <w:i/>
          <w:iCs/>
          <w:sz w:val="24"/>
        </w:rPr>
        <w:t xml:space="preserve"> </w:t>
      </w:r>
      <w:r w:rsidRPr="006F68E9">
        <w:rPr>
          <w:rFonts w:ascii="Times New Roman" w:hAnsi="Times New Roman"/>
          <w:sz w:val="24"/>
        </w:rPr>
        <w:t xml:space="preserve">of the other incidents between 2016 and 2020, which involved predominantly facilities in facility dense areas, caused any offsite property damage. </w:t>
      </w:r>
    </w:p>
    <w:p w:rsidR="003B12AF" w:rsidP="003B12AF" w14:paraId="31B2CA15" w14:textId="77777777">
      <w:pPr>
        <w:rPr>
          <w:rFonts w:ascii="Times New Roman" w:hAnsi="Times New Roman"/>
          <w:sz w:val="24"/>
        </w:rPr>
      </w:pPr>
      <w:r w:rsidRPr="006F68E9">
        <w:rPr>
          <w:rFonts w:ascii="Times New Roman" w:hAnsi="Times New Roman"/>
          <w:sz w:val="24"/>
        </w:rPr>
        <w:t xml:space="preserve">The commenter also claimed that EPA inappropriately applied a sector-wide assumption on NAICS 324 and 325 facilities without normalizing the data. The commenter </w:t>
      </w:r>
      <w:r>
        <w:rPr>
          <w:rFonts w:ascii="Times New Roman" w:hAnsi="Times New Roman"/>
          <w:sz w:val="24"/>
        </w:rPr>
        <w:t>said</w:t>
      </w:r>
      <w:r w:rsidRPr="006F68E9">
        <w:rPr>
          <w:rFonts w:ascii="Times New Roman" w:hAnsi="Times New Roman"/>
          <w:sz w:val="24"/>
        </w:rPr>
        <w:t xml:space="preserve"> EPA’s assertion that facilities with NAICS 324 and 325 codes experienced more frequent accidental releases and that the Agency did not normalize accident rate data using criteria other than a per facility basis because EPA claimed that the number of processes at large facilities were arbitrary. The commenter stated that, when normalized on a per process basis, the accident rates for NAICS 324 and 325 facilities were more aligned with the rate for all regulated facilities. The commenter claimed that EPA’s failure to present this normalized data was arbitrary (0268). </w:t>
      </w:r>
      <w:r w:rsidRPr="00CD796D">
        <w:rPr>
          <w:rFonts w:ascii="Times New Roman" w:hAnsi="Times New Roman"/>
          <w:sz w:val="24"/>
        </w:rPr>
        <w:t xml:space="preserve"> </w:t>
      </w:r>
    </w:p>
    <w:p w:rsidR="003B12AF" w:rsidP="003B12AF" w14:paraId="32FF4BAA" w14:textId="77777777">
      <w:pPr>
        <w:rPr>
          <w:rFonts w:ascii="Times New Roman" w:hAnsi="Times New Roman"/>
          <w:sz w:val="24"/>
        </w:rPr>
      </w:pPr>
      <w:r w:rsidRPr="006F68E9">
        <w:rPr>
          <w:rFonts w:ascii="Times New Roman" w:hAnsi="Times New Roman"/>
          <w:sz w:val="24"/>
        </w:rPr>
        <w:t xml:space="preserve">One commenter stated that the </w:t>
      </w:r>
      <w:r>
        <w:rPr>
          <w:rFonts w:ascii="Times New Roman" w:hAnsi="Times New Roman"/>
          <w:sz w:val="24"/>
        </w:rPr>
        <w:t>p</w:t>
      </w:r>
      <w:r w:rsidRPr="006F68E9">
        <w:rPr>
          <w:rFonts w:ascii="Times New Roman" w:hAnsi="Times New Roman"/>
          <w:sz w:val="24"/>
        </w:rPr>
        <w:t>roposed</w:t>
      </w:r>
      <w:r>
        <w:rPr>
          <w:rFonts w:ascii="Times New Roman" w:hAnsi="Times New Roman"/>
          <w:sz w:val="24"/>
        </w:rPr>
        <w:t xml:space="preserve"> r</w:t>
      </w:r>
      <w:r w:rsidRPr="006F68E9">
        <w:rPr>
          <w:rFonts w:ascii="Times New Roman" w:hAnsi="Times New Roman"/>
          <w:sz w:val="24"/>
        </w:rPr>
        <w:t xml:space="preserve">ule suggests that EPA failed to look holistically at RMP data and to demonstrate a clear nexus between facilities within a certain radius. The commenter </w:t>
      </w:r>
      <w:r>
        <w:rPr>
          <w:rFonts w:ascii="Times New Roman" w:hAnsi="Times New Roman"/>
          <w:sz w:val="24"/>
        </w:rPr>
        <w:t>stated</w:t>
      </w:r>
      <w:r w:rsidRPr="006F68E9">
        <w:rPr>
          <w:rFonts w:ascii="Times New Roman" w:hAnsi="Times New Roman"/>
          <w:sz w:val="24"/>
        </w:rPr>
        <w:t xml:space="preserve"> that after excluding an outlier event from 2019, none of the incidents involving the targeted industries in the last five-year reporting period resulted in offsite property damage and EPA should abandon the proposed STAA provision (0272). </w:t>
      </w:r>
    </w:p>
    <w:p w:rsidR="003B12AF" w:rsidP="003B12AF" w14:paraId="07068FE7" w14:textId="77777777">
      <w:pPr>
        <w:rPr>
          <w:rFonts w:ascii="Times New Roman" w:hAnsi="Times New Roman"/>
          <w:sz w:val="24"/>
        </w:rPr>
      </w:pPr>
      <w:r>
        <w:rPr>
          <w:rFonts w:ascii="Times New Roman" w:hAnsi="Times New Roman"/>
          <w:sz w:val="24"/>
        </w:rPr>
        <w:t xml:space="preserve">One </w:t>
      </w:r>
      <w:r w:rsidRPr="00F75213">
        <w:rPr>
          <w:rFonts w:ascii="Times New Roman" w:hAnsi="Times New Roman"/>
          <w:sz w:val="24"/>
        </w:rPr>
        <w:t xml:space="preserve">commenter claimed that the 1-mile radius restriction was unworkable as well as unjustifiable and that it was unclear how to determine the distance restriction. The commenter stated that the record did not show how EPA created the list and that the longitude and latitude data did not show any radius information that the public could replicate. The commenter claimed that EPA’s attempt at applying the test likely fell short and missed facilities. The commenter did </w:t>
      </w:r>
      <w:r w:rsidRPr="00F75213">
        <w:rPr>
          <w:rFonts w:ascii="Times New Roman" w:hAnsi="Times New Roman"/>
          <w:sz w:val="24"/>
        </w:rPr>
        <w:t>not understand why some facilities were listed for coverage using the geographic restriction and some were not. The commenter claimed that EPA’s provision of only the longitude and latitude for STAA-covered facilities, without other facilities that were nearby, made the list not replicable and not reliable for communities attempting to evaluate the list and comment on it. The commenter also claimed that EPA had not placed all the underlying data into the record, which undermined the ability to understand and comment on this (0460).</w:t>
      </w:r>
      <w:r>
        <w:rPr>
          <w:rFonts w:ascii="Times New Roman" w:hAnsi="Times New Roman"/>
          <w:sz w:val="24"/>
        </w:rPr>
        <w:br/>
      </w:r>
      <w:r w:rsidRPr="006F68E9">
        <w:rPr>
          <w:rFonts w:ascii="Times New Roman" w:hAnsi="Times New Roman"/>
          <w:sz w:val="24"/>
        </w:rPr>
        <w:t xml:space="preserve">Several commenters stated that the justification that EPA used to apply a distance radius of one mile is flawed as the statistics referenced rely on small samples that can easily be manipulated by outliers. The commenters urged EPA to reexamine this data using the median measures when comparing the impacts of these two groups to better determine if there is a difference in their impact (0180, 0205, 0217, 0226, 0234, 0458). </w:t>
      </w:r>
    </w:p>
    <w:p w:rsidR="003B12AF" w:rsidP="003B12AF" w14:paraId="21CB4DE9" w14:textId="77777777">
      <w:pPr>
        <w:rPr>
          <w:rFonts w:ascii="Times New Roman" w:hAnsi="Times New Roman"/>
          <w:sz w:val="24"/>
        </w:rPr>
      </w:pPr>
      <w:r w:rsidRPr="006F68E9">
        <w:rPr>
          <w:rStyle w:val="Strong"/>
          <w:rFonts w:ascii="Times New Roman" w:hAnsi="Times New Roman"/>
          <w:b w:val="0"/>
          <w:bCs w:val="0"/>
          <w:sz w:val="24"/>
        </w:rPr>
        <w:t xml:space="preserve">One commenter stated that the </w:t>
      </w:r>
      <w:r>
        <w:rPr>
          <w:rStyle w:val="Strong"/>
          <w:rFonts w:ascii="Times New Roman" w:hAnsi="Times New Roman"/>
          <w:b w:val="0"/>
          <w:bCs w:val="0"/>
          <w:sz w:val="24"/>
        </w:rPr>
        <w:t>p</w:t>
      </w:r>
      <w:r w:rsidRPr="006F68E9">
        <w:rPr>
          <w:rStyle w:val="Strong"/>
          <w:rFonts w:ascii="Times New Roman" w:hAnsi="Times New Roman"/>
          <w:b w:val="0"/>
          <w:bCs w:val="0"/>
          <w:sz w:val="24"/>
        </w:rPr>
        <w:t xml:space="preserve">roposed </w:t>
      </w:r>
      <w:r>
        <w:rPr>
          <w:rStyle w:val="Strong"/>
          <w:rFonts w:ascii="Times New Roman" w:hAnsi="Times New Roman"/>
          <w:b w:val="0"/>
          <w:bCs w:val="0"/>
          <w:sz w:val="24"/>
        </w:rPr>
        <w:t>r</w:t>
      </w:r>
      <w:r w:rsidRPr="006F68E9">
        <w:rPr>
          <w:rStyle w:val="Strong"/>
          <w:rFonts w:ascii="Times New Roman" w:hAnsi="Times New Roman"/>
          <w:b w:val="0"/>
          <w:bCs w:val="0"/>
          <w:sz w:val="24"/>
        </w:rPr>
        <w:t xml:space="preserve">ule’s requirement to conduct STAA for facilities within a 1-mile radius was based on flawed and incomplete data as </w:t>
      </w:r>
      <w:r w:rsidRPr="006F68E9">
        <w:rPr>
          <w:rFonts w:ascii="Times New Roman" w:hAnsi="Times New Roman"/>
          <w:sz w:val="24"/>
        </w:rPr>
        <w:t xml:space="preserve">EPA included duplicate facilities in its analysis of the raw number of accidents that have occurred at refineries and chemical plants because several chemical plant and refinery facilities reported in facility-dense areas had the same latitude and longitude. The commenter claimed that this exaggerated the number of facilities in “facility-dense” areas. The commenter </w:t>
      </w:r>
      <w:r>
        <w:rPr>
          <w:rFonts w:ascii="Times New Roman" w:hAnsi="Times New Roman"/>
          <w:sz w:val="24"/>
        </w:rPr>
        <w:t>stated</w:t>
      </w:r>
      <w:r w:rsidRPr="006F68E9">
        <w:rPr>
          <w:rFonts w:ascii="Times New Roman" w:hAnsi="Times New Roman"/>
          <w:sz w:val="24"/>
        </w:rPr>
        <w:t xml:space="preserve"> that EPA’s analysis included duplicate facilities that had slightly different latitudes and longitudes from each other. The commenter recommended that EPA reassess its analysis by ensuring only unique facilities are counted. The commenter stated that EPA did not consider whether proximate facilities were in rural or urban population centers or located near public or residential communities (0268).</w:t>
      </w:r>
    </w:p>
    <w:p w:rsidR="003B12AF" w:rsidRPr="009C7481" w:rsidP="003B12AF" w14:paraId="0F78B7F1" w14:textId="77777777">
      <w:pPr>
        <w:rPr>
          <w:rFonts w:ascii="Times New Roman" w:hAnsi="Times New Roman"/>
          <w:b/>
          <w:bCs/>
          <w:sz w:val="24"/>
        </w:rPr>
      </w:pPr>
      <w:r>
        <w:rPr>
          <w:rFonts w:ascii="Times New Roman" w:hAnsi="Times New Roman"/>
          <w:sz w:val="24"/>
        </w:rPr>
        <w:t xml:space="preserve">One </w:t>
      </w:r>
      <w:r w:rsidRPr="006F68E9">
        <w:rPr>
          <w:rFonts w:ascii="Times New Roman" w:hAnsi="Times New Roman"/>
          <w:sz w:val="24"/>
        </w:rPr>
        <w:t xml:space="preserve">commenter recommended that EPA reconsider the definition of facility-dense areas. The commenter </w:t>
      </w:r>
      <w:r>
        <w:rPr>
          <w:rFonts w:ascii="Times New Roman" w:hAnsi="Times New Roman"/>
          <w:sz w:val="24"/>
        </w:rPr>
        <w:t>said</w:t>
      </w:r>
      <w:r w:rsidRPr="006F68E9">
        <w:rPr>
          <w:rFonts w:ascii="Times New Roman" w:hAnsi="Times New Roman"/>
          <w:sz w:val="24"/>
        </w:rPr>
        <w:t xml:space="preserve"> that approximately 40% of the facilities EPA identified as being located within a facility-dense area had only one other NAICS 324 or 325 facility located within 1-mile, with a second facility located on average, approximately 40 miles away. The commenter stated that EPA did not reference data to justify EPA’s claim that such proximity increased the likelihood of a secondary knock-on release by compromising nearby processes (0268).</w:t>
      </w:r>
    </w:p>
    <w:p w:rsidR="003B12AF" w:rsidRPr="006F68E9" w:rsidP="003B12AF" w14:paraId="2535594A" w14:textId="77777777">
      <w:pPr>
        <w:rPr>
          <w:rFonts w:ascii="Times New Roman" w:hAnsi="Times New Roman"/>
          <w:sz w:val="24"/>
        </w:rPr>
      </w:pPr>
      <w:r w:rsidRPr="006F68E9">
        <w:rPr>
          <w:rFonts w:ascii="Times New Roman" w:hAnsi="Times New Roman"/>
          <w:sz w:val="24"/>
        </w:rPr>
        <w:t xml:space="preserve">The commenter </w:t>
      </w:r>
      <w:r>
        <w:rPr>
          <w:rFonts w:ascii="Times New Roman" w:hAnsi="Times New Roman"/>
          <w:sz w:val="24"/>
        </w:rPr>
        <w:t>said</w:t>
      </w:r>
      <w:r w:rsidRPr="006F68E9">
        <w:rPr>
          <w:rFonts w:ascii="Times New Roman" w:hAnsi="Times New Roman"/>
          <w:sz w:val="24"/>
        </w:rPr>
        <w:t xml:space="preserve"> that, while EPA stated 1-mile as the median distance of facilities with NAICS 324 and 325 processes that had accidents from 2016 to 2020 and the nearest adjacent NAICS 324 or 325 facility, this was irrelevant without comparing reportable incident data of the adjacent NAICS 324 or 325 facilities. The commenter claimed that EPA did not provide sufficient data to support EPA’s claim that communities in areas with NAICS 324 and 325 facilities face overlapping vulnerability zones and a heightened risk of being impacted by an accidental release as compared to other NAICS facilities (0268).</w:t>
      </w:r>
    </w:p>
    <w:p w:rsidR="003B12AF" w:rsidP="003B12AF" w14:paraId="0AAF4354"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discussed</w:t>
      </w:r>
      <w:r w:rsidRPr="006F68E9">
        <w:rPr>
          <w:rFonts w:ascii="Times New Roman" w:hAnsi="Times New Roman"/>
          <w:sz w:val="24"/>
        </w:rPr>
        <w:t xml:space="preserve"> the definition of “densely co-located” in which the required RMP facilities are within 1-mile of another RMP facilities should consider topographical barriers and other mitigations between facilities. The commenter stated the single metric is insufficient and multiple factors should be included. Furthermore, the commenter added there is not data provided to support the claim that “densely co-located” facilities have an increased potential for release at a second facility (0263).</w:t>
      </w:r>
    </w:p>
    <w:p w:rsidR="003B12AF" w:rsidRPr="00421201" w:rsidP="003039D6" w14:paraId="00B6A006" w14:textId="5D5D2E8D">
      <w:pPr>
        <w:pStyle w:val="pf0"/>
        <w:ind w:left="720"/>
      </w:pPr>
      <w:r w:rsidRPr="00E33F59">
        <w:rPr>
          <w:b/>
          <w:bCs/>
        </w:rPr>
        <w:t xml:space="preserve">EPA Response: </w:t>
      </w:r>
      <w:r w:rsidRPr="00B12FB6">
        <w:t xml:space="preserve">In the final rule, the definition of the 1-mile radius is relevant to the applicability of the </w:t>
      </w:r>
      <w:r w:rsidR="00C32CB0">
        <w:t>IST/</w:t>
      </w:r>
      <w:r w:rsidR="4708FA5D">
        <w:t>ISD</w:t>
      </w:r>
      <w:r w:rsidRPr="00B12FB6">
        <w:t xml:space="preserve"> assessment </w:t>
      </w:r>
      <w:r w:rsidRPr="00E801E0">
        <w:t xml:space="preserve">and safeguard implementation </w:t>
      </w:r>
      <w:r w:rsidRPr="00B12FB6">
        <w:t>only. Acknowledging that refineries and chemical manufacturers have sector accident rates that are higher than the general rates for RMP</w:t>
      </w:r>
      <w:r>
        <w:noBreakHyphen/>
      </w:r>
      <w:r w:rsidRPr="00B12FB6">
        <w:t xml:space="preserve">covered facilities, close co-location of sources </w:t>
      </w:r>
      <w:r w:rsidRPr="00B12FB6">
        <w:t xml:space="preserve">in NAICS codes 324 and 325 further increases the risk to the public that may be potentially exposed to a release from multiple sources. </w:t>
      </w:r>
      <w:r>
        <w:t>In these sectors, the worst-case scenarios of 80 percent</w:t>
      </w:r>
      <w:r w:rsidRPr="00B12FB6">
        <w:t xml:space="preserve"> </w:t>
      </w:r>
      <w:r>
        <w:t>of sources extend at least 1 mile, therefore the communities surrounding</w:t>
      </w:r>
      <w:r>
        <w:t xml:space="preserve"> </w:t>
      </w:r>
      <w:r>
        <w:t>these sources will typically face multiple threats</w:t>
      </w:r>
      <w:r w:rsidR="66B99192">
        <w:t xml:space="preserve"> (that is, be within the worst-case scenario of more than one facility)</w:t>
      </w:r>
      <w:r w:rsidR="6BB2B8B7">
        <w:t xml:space="preserve">. </w:t>
      </w:r>
      <w:r w:rsidR="04FE08E5">
        <w:t xml:space="preserve">Also, </w:t>
      </w:r>
      <w:r w:rsidR="4FB9B41F">
        <w:t>in the SC</w:t>
      </w:r>
      <w:r w:rsidR="1ADE7785">
        <w:t>C</w:t>
      </w:r>
      <w:r w:rsidR="4FB9B41F">
        <w:t xml:space="preserve">AP proposed rule </w:t>
      </w:r>
      <w:r w:rsidR="7BF4D62F">
        <w:t xml:space="preserve">(87 </w:t>
      </w:r>
      <w:r w:rsidR="5124E45A">
        <w:t xml:space="preserve">FR 53578) </w:t>
      </w:r>
      <w:r w:rsidR="4FB9B41F">
        <w:t xml:space="preserve">EPA </w:t>
      </w:r>
      <w:r w:rsidR="32CB7C71">
        <w:t>pointed to</w:t>
      </w:r>
      <w:r w:rsidR="7FCFBAB0">
        <w:t xml:space="preserve"> data</w:t>
      </w:r>
      <w:r>
        <w:rPr>
          <w:rStyle w:val="FootnoteReference"/>
        </w:rPr>
        <w:footnoteReference w:id="106"/>
      </w:r>
      <w:r w:rsidR="0279DD5A">
        <w:t xml:space="preserve"> </w:t>
      </w:r>
      <w:r w:rsidR="7FCFBAB0">
        <w:t xml:space="preserve">that shows </w:t>
      </w:r>
      <w:r w:rsidR="32CB7C71">
        <w:t xml:space="preserve">the </w:t>
      </w:r>
      <w:r w:rsidR="62CE319B">
        <w:t>consequences of accidents for these co-located sources</w:t>
      </w:r>
      <w:r w:rsidR="7CC7922A">
        <w:t xml:space="preserve"> </w:t>
      </w:r>
      <w:r w:rsidRPr="00EC7EA9" w:rsidR="346773FD">
        <w:t>have resulted in considerably larger offsite impacts</w:t>
      </w:r>
      <w:r w:rsidR="47638C38">
        <w:t>, including over 47,000 people sheltering in place, 56,800 people evacuating, and over 153 million dollars in offsite property damage.</w:t>
      </w:r>
      <w:r>
        <w:t xml:space="preserve"> It is appropriate to increase the stringency and transparency of the requirement for so situated sources.</w:t>
      </w:r>
    </w:p>
    <w:p w:rsidR="00EC3EFE" w:rsidRPr="00EC3EFE" w:rsidP="000F3891" w14:paraId="1564C592" w14:textId="6A5D509E">
      <w:pPr>
        <w:pStyle w:val="pf0"/>
        <w:spacing w:before="120" w:beforeAutospacing="0" w:after="120" w:afterAutospacing="0"/>
        <w:ind w:left="720"/>
      </w:pPr>
      <w:bookmarkStart w:id="82" w:name="_Hlk152659173"/>
      <w:r>
        <w:t>Further, EPA notes that k</w:t>
      </w:r>
      <w:r w:rsidRPr="00EC3EFE">
        <w:t xml:space="preserve">nock-on effects are a well-recognized </w:t>
      </w:r>
      <w:r w:rsidR="0037114C">
        <w:t xml:space="preserve">industry </w:t>
      </w:r>
      <w:r w:rsidRPr="00EC3EFE">
        <w:t xml:space="preserve">release scenario. </w:t>
      </w:r>
      <w:r>
        <w:rPr>
          <w:vertAlign w:val="superscript"/>
        </w:rPr>
        <w:footnoteReference w:id="107"/>
      </w:r>
      <w:r w:rsidR="007F6AC4">
        <w:t xml:space="preserve"> While not many </w:t>
      </w:r>
      <w:r w:rsidR="00EB4D43">
        <w:t>catastrophic</w:t>
      </w:r>
      <w:r w:rsidR="007F6AC4">
        <w:t xml:space="preserve"> accidents may have occurred</w:t>
      </w:r>
      <w:r w:rsidR="007F2816">
        <w:t xml:space="preserve"> under this scenario</w:t>
      </w:r>
      <w:r w:rsidR="005A5DC1">
        <w:t>,</w:t>
      </w:r>
      <w:r w:rsidR="007F6AC4">
        <w:t xml:space="preserve"> </w:t>
      </w:r>
      <w:r w:rsidR="00EB4D43">
        <w:t xml:space="preserve">research indicates that </w:t>
      </w:r>
      <w:r w:rsidRPr="00180563" w:rsidR="00EB4D43">
        <w:rPr>
          <w:color w:val="1F1F1F"/>
        </w:rPr>
        <w:t>chemical industries are evolving towards clusters handling increasing amounts of substances, the emphasis is eve</w:t>
      </w:r>
      <w:r w:rsidRPr="00180563" w:rsidR="00180563">
        <w:rPr>
          <w:color w:val="1F1F1F"/>
        </w:rPr>
        <w:t>n</w:t>
      </w:r>
      <w:r w:rsidRPr="00180563" w:rsidR="00EB4D43">
        <w:rPr>
          <w:color w:val="1F1F1F"/>
        </w:rPr>
        <w:t xml:space="preserve"> more</w:t>
      </w:r>
      <w:r w:rsidRPr="00180563" w:rsidR="00180563">
        <w:rPr>
          <w:color w:val="1F1F1F"/>
        </w:rPr>
        <w:t xml:space="preserve"> so</w:t>
      </w:r>
      <w:r w:rsidRPr="00180563" w:rsidR="00EB4D43">
        <w:rPr>
          <w:color w:val="1F1F1F"/>
        </w:rPr>
        <w:t xml:space="preserve"> on major chemical risks and on domino events which can eventually lead to catastrophic knock-on accidents.</w:t>
      </w:r>
      <w:r>
        <w:rPr>
          <w:rStyle w:val="FootnoteReference"/>
          <w:color w:val="1F1F1F"/>
        </w:rPr>
        <w:footnoteReference w:id="108"/>
      </w:r>
      <w:r w:rsidRPr="00180563" w:rsidR="00EB4D43">
        <w:rPr>
          <w:color w:val="1F1F1F"/>
        </w:rPr>
        <w:t> </w:t>
      </w:r>
      <w:r w:rsidRPr="00180563" w:rsidR="00DF13EE">
        <w:rPr>
          <w:color w:val="1F1F1F"/>
        </w:rPr>
        <w:t xml:space="preserve"> </w:t>
      </w:r>
    </w:p>
    <w:bookmarkEnd w:id="82"/>
    <w:p w:rsidR="00012289" w:rsidRPr="00421201" w:rsidP="000F3891" w14:paraId="6FB7C607" w14:textId="37818C64">
      <w:pPr>
        <w:pStyle w:val="pf0"/>
        <w:spacing w:before="120" w:beforeAutospacing="0" w:after="120" w:afterAutospacing="0"/>
        <w:ind w:left="720"/>
      </w:pPr>
      <w:r>
        <w:t>Further, r</w:t>
      </w:r>
      <w:r>
        <w:t xml:space="preserve">ecognizing that the distance from a process is a more accurate way to calculate a release scenario than the distance from a fenceline, EPA will nevertheless retain 1 mile from the fenceline as the applicability criterion, as opposed to 1 mile from process locations, both for simplicity in implementation and also in deference to restrictions on source-specific information on release scenarios. </w:t>
      </w:r>
      <w:r w:rsidR="0EAA8A9D">
        <w:t xml:space="preserve">At this time, EPA is </w:t>
      </w:r>
      <w:r w:rsidR="719B211A">
        <w:t xml:space="preserve">also </w:t>
      </w:r>
      <w:r w:rsidR="0EAA8A9D">
        <w:t xml:space="preserve">not </w:t>
      </w:r>
      <w:r w:rsidR="719B211A">
        <w:t>requiring facilities</w:t>
      </w:r>
      <w:r w:rsidR="0EAA8A9D">
        <w:t xml:space="preserve"> to apply topographic barriers and mitigations </w:t>
      </w:r>
      <w:r w:rsidR="48DEA8BA">
        <w:t xml:space="preserve">factors also for simplicity in implementation. </w:t>
      </w:r>
      <w:r>
        <w:t>The Agency believes that regulated facilities, the public, and implementing agencies can more easily calculate and verify a fenceline-to-fenceline measurement than a process</w:t>
      </w:r>
      <w:r w:rsidR="7B446B51">
        <w:t>-</w:t>
      </w:r>
      <w:r>
        <w:t>to</w:t>
      </w:r>
      <w:r w:rsidR="6001A43D">
        <w:t>-</w:t>
      </w:r>
      <w:r>
        <w:t>process measurement because it does not require access to facility-specific process information.</w:t>
      </w:r>
    </w:p>
    <w:p w:rsidR="407E50D6" w:rsidP="00EC36E7" w14:paraId="1176CB5D" w14:textId="27DCC0B4">
      <w:pPr>
        <w:pStyle w:val="pf0"/>
        <w:ind w:left="720"/>
      </w:pPr>
      <w:r>
        <w:t xml:space="preserve">With respect to the list of facilities within 1-mile of another </w:t>
      </w:r>
      <w:r w:rsidR="4F6F47FF">
        <w:t xml:space="preserve">NAICS 324 or 325 facility that we </w:t>
      </w:r>
      <w:r>
        <w:t xml:space="preserve">provided in the </w:t>
      </w:r>
      <w:r w:rsidRPr="00EC36E7">
        <w:t>Technical Background Document Appendix</w:t>
      </w:r>
      <w:r w:rsidRPr="00EC36E7" w:rsidR="64580CE2">
        <w:t xml:space="preserve"> </w:t>
      </w:r>
      <w:r w:rsidRPr="00EC36E7" w:rsidR="00DB5A09">
        <w:t>A</w:t>
      </w:r>
      <w:r w:rsidRPr="00EC36E7" w:rsidR="64580CE2">
        <w:t>,</w:t>
      </w:r>
      <w:r w:rsidR="64580CE2">
        <w:t xml:space="preserve"> that list was an initial estimate provided </w:t>
      </w:r>
      <w:r w:rsidR="1C965BB0">
        <w:t>to commenters to facilitate consideration of the proposed applicability method. We did not claim at the time that it was a definitive list</w:t>
      </w:r>
      <w:r w:rsidR="00F941CC">
        <w:t xml:space="preserve">. </w:t>
      </w:r>
      <w:r w:rsidR="4EF2463B">
        <w:t xml:space="preserve">Rather, we provided it as initial assistance. </w:t>
      </w:r>
      <w:r w:rsidR="00EC36E7">
        <w:t xml:space="preserve">EPA stated in the proposal, “Using RMP data from 2016 to 2020, EPA estimates the proposed approach impacts approximately 563 unique, active facilities. EPA is making available in the Technical Background Document, a list of sources it believes would be required to conduct STAA based on the location information currently provided in facility risk management plans.” </w:t>
      </w:r>
      <w:r w:rsidR="4EF2463B">
        <w:t xml:space="preserve">Ultimately, the owner or operator of </w:t>
      </w:r>
      <w:r w:rsidR="04F76130">
        <w:t>each potentially affected source is responsible for compliance with the criteria in the rule itself. We would expect source</w:t>
      </w:r>
      <w:r w:rsidR="2697E963">
        <w:t>s</w:t>
      </w:r>
      <w:r w:rsidR="04F76130">
        <w:t xml:space="preserve"> to be able to determine close calls as to whether they </w:t>
      </w:r>
      <w:r w:rsidR="2E462D7B">
        <w:t xml:space="preserve">are subject to the relevant provisions of the rule through more individualized investigation. </w:t>
      </w:r>
    </w:p>
    <w:p w:rsidR="003B12AF" w:rsidRPr="004C5851" w:rsidP="003B12AF" w14:paraId="7925A3A0" w14:textId="77777777">
      <w:pPr>
        <w:rPr>
          <w:rFonts w:ascii="Times New Roman" w:hAnsi="Times New Roman"/>
          <w:i/>
          <w:iCs/>
          <w:sz w:val="24"/>
        </w:rPr>
      </w:pPr>
      <w:r>
        <w:rPr>
          <w:rFonts w:ascii="Times New Roman" w:hAnsi="Times New Roman"/>
          <w:i/>
          <w:iCs/>
          <w:sz w:val="24"/>
        </w:rPr>
        <w:t>Comments suggestion revisions to the 1-mile radius</w:t>
      </w:r>
    </w:p>
    <w:p w:rsidR="003B12AF" w:rsidRPr="00F75213" w:rsidP="003B12AF" w14:paraId="340319BA" w14:textId="77777777">
      <w:pPr>
        <w:rPr>
          <w:rFonts w:ascii="Times New Roman" w:hAnsi="Times New Roman"/>
          <w:sz w:val="24"/>
        </w:rPr>
      </w:pPr>
      <w:r w:rsidRPr="00F75213">
        <w:rPr>
          <w:rFonts w:ascii="Times New Roman" w:hAnsi="Times New Roman"/>
          <w:b/>
          <w:bCs/>
          <w:sz w:val="24"/>
        </w:rPr>
        <w:t>Comment</w:t>
      </w:r>
      <w:r>
        <w:rPr>
          <w:rFonts w:ascii="Times New Roman" w:hAnsi="Times New Roman"/>
          <w:b/>
          <w:bCs/>
          <w:sz w:val="24"/>
        </w:rPr>
        <w:t xml:space="preserve"> 6.3.4-02</w:t>
      </w:r>
      <w:r w:rsidRPr="00F75213">
        <w:rPr>
          <w:rFonts w:ascii="Times New Roman" w:hAnsi="Times New Roman"/>
          <w:b/>
          <w:bCs/>
          <w:sz w:val="24"/>
        </w:rPr>
        <w:t xml:space="preserve">: </w:t>
      </w:r>
      <w:r w:rsidRPr="00F75213">
        <w:rPr>
          <w:rFonts w:ascii="Times New Roman" w:hAnsi="Times New Roman"/>
          <w:sz w:val="24"/>
        </w:rPr>
        <w:t xml:space="preserve">One commenter claimed that there was no valid justification not to require a refinery or chemical manufacturer to assess IST and consider ways to operate more safely simply because it was not within 1-mile of another refinery or chemical plant. The commenter recommended that if EPA uses any mileage justification, it should use at least a 10-mile radius to capture more facilities. The commenter </w:t>
      </w:r>
      <w:r>
        <w:rPr>
          <w:rFonts w:ascii="Times New Roman" w:hAnsi="Times New Roman"/>
          <w:sz w:val="24"/>
        </w:rPr>
        <w:t>stated</w:t>
      </w:r>
      <w:r w:rsidRPr="00F75213">
        <w:rPr>
          <w:rFonts w:ascii="Times New Roman" w:hAnsi="Times New Roman"/>
          <w:sz w:val="24"/>
        </w:rPr>
        <w:t xml:space="preserve"> the evacuation zone at a recent incident had a 10-mile radius and EPA’s recognition that the worst-case scenario zones for at least 10% of facilities are greater than 6 miles and at least 5% are as high as 10 miles. The commenter claimed that EPA failed to ensure that any facility that could have a 10-mile or larger worst-case scenario impact was included in STAA coverage (0460).</w:t>
      </w:r>
    </w:p>
    <w:p w:rsidR="003B12AF" w:rsidP="003B12AF" w14:paraId="75FEC976" w14:textId="77777777">
      <w:pPr>
        <w:rPr>
          <w:rFonts w:ascii="Times New Roman" w:hAnsi="Times New Roman"/>
          <w:sz w:val="24"/>
        </w:rPr>
      </w:pPr>
      <w:r w:rsidRPr="00F75213">
        <w:rPr>
          <w:rFonts w:ascii="Times New Roman" w:hAnsi="Times New Roman"/>
          <w:sz w:val="24"/>
        </w:rPr>
        <w:t xml:space="preserve">The commenter stated that a 1-mile radius restricted the likely impact area for severe hazards and releases from refineries and chemical plants especially for communities where there are many facilities within a 1-to-10-mile radius that can impact health, the ability of communities to evacuate, and the ability of first responders to assist. The commenter additionally </w:t>
      </w:r>
      <w:r>
        <w:rPr>
          <w:rFonts w:ascii="Times New Roman" w:hAnsi="Times New Roman"/>
          <w:sz w:val="24"/>
        </w:rPr>
        <w:t>said</w:t>
      </w:r>
      <w:r w:rsidRPr="00F75213">
        <w:rPr>
          <w:rFonts w:ascii="Times New Roman" w:hAnsi="Times New Roman"/>
          <w:sz w:val="24"/>
        </w:rPr>
        <w:t xml:space="preserve"> that a hurricane, flooding, wildfire, or earthquake tended to have impacts greater than a 1-mile radius (0460).</w:t>
      </w:r>
    </w:p>
    <w:p w:rsidR="003B12AF" w:rsidP="003B12AF" w14:paraId="4A83AC5A" w14:textId="1990F8F4">
      <w:pPr>
        <w:ind w:left="720"/>
        <w:rPr>
          <w:rFonts w:ascii="Times New Roman" w:hAnsi="Times New Roman"/>
          <w:sz w:val="24"/>
        </w:rPr>
      </w:pPr>
      <w:r w:rsidRPr="00683C36">
        <w:rPr>
          <w:rFonts w:ascii="Times New Roman" w:hAnsi="Times New Roman"/>
          <w:b/>
          <w:bCs/>
          <w:sz w:val="24"/>
        </w:rPr>
        <w:t>EPA Response:</w:t>
      </w:r>
      <w:r w:rsidRPr="00683C36" w:rsidR="00101BE2">
        <w:rPr>
          <w:rFonts w:ascii="Times New Roman" w:hAnsi="Times New Roman"/>
          <w:sz w:val="24"/>
        </w:rPr>
        <w:t xml:space="preserve"> </w:t>
      </w:r>
      <w:r w:rsidRPr="00683C36" w:rsidR="005E6767">
        <w:rPr>
          <w:rFonts w:ascii="Times New Roman" w:hAnsi="Times New Roman"/>
          <w:sz w:val="24"/>
        </w:rPr>
        <w:t xml:space="preserve">In response to </w:t>
      </w:r>
      <w:r w:rsidRPr="00683C36" w:rsidR="00AE212D">
        <w:rPr>
          <w:rFonts w:ascii="Times New Roman" w:hAnsi="Times New Roman"/>
          <w:sz w:val="24"/>
        </w:rPr>
        <w:t>there was no valid justification not to req</w:t>
      </w:r>
      <w:r w:rsidRPr="00683C36" w:rsidR="00683C36">
        <w:rPr>
          <w:rFonts w:ascii="Times New Roman" w:hAnsi="Times New Roman"/>
          <w:sz w:val="24"/>
        </w:rPr>
        <w:t xml:space="preserve">uire a refinery or chemical manufacture to assess IST, EPA disagrees. </w:t>
      </w:r>
      <w:r w:rsidRPr="003F001D" w:rsidR="003F001D">
        <w:rPr>
          <w:rFonts w:ascii="Times New Roman" w:hAnsi="Times New Roman"/>
          <w:sz w:val="24"/>
        </w:rPr>
        <w:t>Acknowledging that refineries and chemical manufacturers have sector accident rates that are higher than the general rates for RMP</w:t>
      </w:r>
      <w:r w:rsidRPr="7029657D" w:rsidR="03CAF3DF">
        <w:rPr>
          <w:rFonts w:ascii="Times New Roman" w:hAnsi="Times New Roman"/>
          <w:sz w:val="24"/>
        </w:rPr>
        <w:t xml:space="preserve"> </w:t>
      </w:r>
      <w:r w:rsidRPr="003F001D" w:rsidR="003F001D">
        <w:rPr>
          <w:rFonts w:ascii="Times New Roman" w:hAnsi="Times New Roman"/>
          <w:sz w:val="24"/>
        </w:rPr>
        <w:t>covered facilities, close co-location of sources in NAICS codes 324 and 325 further increases the risk to the public that may be potentially exposed to a release from multiple sources. In these sectors, the worst-case scenarios of 80 percent of sources extend at least 1 mile, therefore the communities surrounding these sources will typically face multiple threats. It is appropriate to increase the stringency and transparency of the requirement for so situated source</w:t>
      </w:r>
      <w:r w:rsidR="00863C17">
        <w:rPr>
          <w:rFonts w:ascii="Times New Roman" w:hAnsi="Times New Roman"/>
          <w:sz w:val="24"/>
        </w:rPr>
        <w:t xml:space="preserve">s </w:t>
      </w:r>
      <w:r w:rsidR="003D3ADB">
        <w:rPr>
          <w:rFonts w:ascii="Times New Roman" w:hAnsi="Times New Roman"/>
          <w:sz w:val="24"/>
        </w:rPr>
        <w:t>applicable to this criteria</w:t>
      </w:r>
      <w:r w:rsidR="008F3C83">
        <w:rPr>
          <w:rFonts w:ascii="Times New Roman" w:hAnsi="Times New Roman"/>
          <w:sz w:val="24"/>
        </w:rPr>
        <w:t xml:space="preserve">. </w:t>
      </w:r>
      <w:r w:rsidRPr="7029657D" w:rsidR="64904B9B">
        <w:rPr>
          <w:rFonts w:ascii="Times New Roman" w:hAnsi="Times New Roman"/>
          <w:sz w:val="24"/>
        </w:rPr>
        <w:t>In contrast, while the commenter identified that 5% of facilities have worst-case scenar</w:t>
      </w:r>
      <w:r w:rsidRPr="7029657D" w:rsidR="5EADE759">
        <w:rPr>
          <w:rFonts w:ascii="Times New Roman" w:hAnsi="Times New Roman"/>
          <w:sz w:val="24"/>
        </w:rPr>
        <w:t>ios of 10 miles or more, the likelihood of a community being</w:t>
      </w:r>
      <w:r w:rsidRPr="7029657D" w:rsidR="0287A366">
        <w:rPr>
          <w:rFonts w:ascii="Times New Roman" w:hAnsi="Times New Roman"/>
          <w:sz w:val="24"/>
        </w:rPr>
        <w:t xml:space="preserve"> within the worst-case scenario of two such sources is substantially lower than when two NAICS 324 or 325 facilities</w:t>
      </w:r>
      <w:r w:rsidRPr="7029657D" w:rsidR="30025D95">
        <w:rPr>
          <w:rFonts w:ascii="Times New Roman" w:hAnsi="Times New Roman"/>
          <w:sz w:val="24"/>
        </w:rPr>
        <w:t xml:space="preserve"> are 1-mile apart. </w:t>
      </w:r>
    </w:p>
    <w:p w:rsidR="00BF1470" w:rsidRPr="006871EF" w:rsidP="003B12AF" w14:paraId="791C0BFD" w14:textId="047B4E02">
      <w:pPr>
        <w:ind w:left="720"/>
        <w:rPr>
          <w:rFonts w:ascii="Times New Roman" w:hAnsi="Times New Roman"/>
          <w:sz w:val="24"/>
        </w:rPr>
      </w:pPr>
      <w:r w:rsidRPr="006871EF">
        <w:rPr>
          <w:rFonts w:ascii="Times New Roman" w:hAnsi="Times New Roman"/>
          <w:sz w:val="24"/>
        </w:rPr>
        <w:t>EPA notes that w</w:t>
      </w:r>
      <w:r w:rsidRPr="006871EF">
        <w:rPr>
          <w:rFonts w:ascii="Times New Roman" w:hAnsi="Times New Roman"/>
          <w:sz w:val="24"/>
        </w:rPr>
        <w:t xml:space="preserve">hile the 1-mile </w:t>
      </w:r>
      <w:r w:rsidRPr="006871EF" w:rsidR="00525FFD">
        <w:rPr>
          <w:rFonts w:ascii="Times New Roman" w:hAnsi="Times New Roman"/>
          <w:sz w:val="24"/>
        </w:rPr>
        <w:t>radius</w:t>
      </w:r>
      <w:r w:rsidRPr="006871EF">
        <w:rPr>
          <w:rFonts w:ascii="Times New Roman" w:hAnsi="Times New Roman"/>
          <w:sz w:val="24"/>
        </w:rPr>
        <w:t xml:space="preserve"> for NAICS 324 and 325 facilities</w:t>
      </w:r>
      <w:r w:rsidRPr="006871EF" w:rsidR="0008305F">
        <w:rPr>
          <w:rFonts w:ascii="Times New Roman" w:hAnsi="Times New Roman"/>
          <w:sz w:val="24"/>
        </w:rPr>
        <w:t xml:space="preserve"> i</w:t>
      </w:r>
      <w:r w:rsidRPr="006871EF" w:rsidR="00525FFD">
        <w:rPr>
          <w:rFonts w:ascii="Times New Roman" w:hAnsi="Times New Roman"/>
          <w:sz w:val="24"/>
        </w:rPr>
        <w:t>s applicable to STAA</w:t>
      </w:r>
      <w:r w:rsidRPr="006871EF" w:rsidR="0008305F">
        <w:rPr>
          <w:rFonts w:ascii="Times New Roman" w:hAnsi="Times New Roman"/>
          <w:sz w:val="24"/>
        </w:rPr>
        <w:t>,</w:t>
      </w:r>
      <w:r w:rsidR="00E63968">
        <w:rPr>
          <w:rFonts w:ascii="Times New Roman" w:hAnsi="Times New Roman"/>
          <w:sz w:val="24"/>
        </w:rPr>
        <w:t xml:space="preserve"> all Program 2 and Program 3</w:t>
      </w:r>
      <w:r w:rsidRPr="006871EF" w:rsidR="0008305F">
        <w:rPr>
          <w:rFonts w:ascii="Times New Roman" w:hAnsi="Times New Roman"/>
          <w:sz w:val="24"/>
        </w:rPr>
        <w:t xml:space="preserve"> facilities are require</w:t>
      </w:r>
      <w:r w:rsidRPr="006871EF" w:rsidR="005C34F7">
        <w:rPr>
          <w:rFonts w:ascii="Times New Roman" w:hAnsi="Times New Roman"/>
          <w:sz w:val="24"/>
        </w:rPr>
        <w:t>d</w:t>
      </w:r>
      <w:r w:rsidRPr="006871EF" w:rsidR="00776246">
        <w:rPr>
          <w:rFonts w:ascii="Times New Roman" w:hAnsi="Times New Roman"/>
          <w:sz w:val="24"/>
        </w:rPr>
        <w:t xml:space="preserve"> to evaluate natural hazards in their hazard evaluation</w:t>
      </w:r>
      <w:r w:rsidR="00B27539">
        <w:rPr>
          <w:rFonts w:ascii="Times New Roman" w:hAnsi="Times New Roman"/>
          <w:sz w:val="24"/>
        </w:rPr>
        <w:t>, as emphasized in the SCCAP final rule</w:t>
      </w:r>
      <w:r w:rsidRPr="006871EF" w:rsidR="00776246">
        <w:rPr>
          <w:rFonts w:ascii="Times New Roman" w:hAnsi="Times New Roman"/>
          <w:sz w:val="24"/>
        </w:rPr>
        <w:t xml:space="preserve">. </w:t>
      </w:r>
      <w:r w:rsidRPr="006871EF" w:rsidR="001C0CB2">
        <w:rPr>
          <w:rFonts w:ascii="Times New Roman" w:hAnsi="Times New Roman"/>
          <w:sz w:val="24"/>
        </w:rPr>
        <w:t>The evaluation of natural hazards</w:t>
      </w:r>
      <w:r w:rsidRPr="006871EF" w:rsidR="00576781">
        <w:rPr>
          <w:rFonts w:ascii="Times New Roman" w:hAnsi="Times New Roman"/>
          <w:sz w:val="24"/>
        </w:rPr>
        <w:t xml:space="preserve"> </w:t>
      </w:r>
      <w:r w:rsidRPr="006871EF" w:rsidR="003B772D">
        <w:rPr>
          <w:rFonts w:ascii="Times New Roman" w:hAnsi="Times New Roman"/>
          <w:sz w:val="24"/>
        </w:rPr>
        <w:t>on facility processes</w:t>
      </w:r>
      <w:r w:rsidRPr="006871EF" w:rsidR="00CE5B1F">
        <w:rPr>
          <w:rFonts w:ascii="Times New Roman" w:hAnsi="Times New Roman"/>
          <w:sz w:val="24"/>
        </w:rPr>
        <w:t xml:space="preserve">, </w:t>
      </w:r>
      <w:r w:rsidRPr="006871EF" w:rsidR="00B60756">
        <w:rPr>
          <w:rFonts w:ascii="Times New Roman" w:hAnsi="Times New Roman"/>
          <w:sz w:val="24"/>
        </w:rPr>
        <w:t xml:space="preserve">potential release of regulated substances and consequences to the community are not limited to a specific radius. </w:t>
      </w:r>
      <w:r w:rsidR="00BA6F8A">
        <w:rPr>
          <w:rFonts w:ascii="Times New Roman" w:hAnsi="Times New Roman"/>
          <w:sz w:val="24"/>
        </w:rPr>
        <w:t xml:space="preserve">Therefore, </w:t>
      </w:r>
      <w:r w:rsidRPr="006871EF" w:rsidR="00B60756">
        <w:rPr>
          <w:rFonts w:ascii="Times New Roman" w:hAnsi="Times New Roman"/>
          <w:sz w:val="24"/>
        </w:rPr>
        <w:t xml:space="preserve">EPA expect facilities to </w:t>
      </w:r>
      <w:r w:rsidRPr="006871EF" w:rsidR="006913C7">
        <w:rPr>
          <w:rFonts w:ascii="Times New Roman" w:hAnsi="Times New Roman"/>
          <w:sz w:val="24"/>
        </w:rPr>
        <w:t xml:space="preserve">make appropriate </w:t>
      </w:r>
      <w:r w:rsidRPr="00C6209E" w:rsidR="00C6209E">
        <w:rPr>
          <w:rFonts w:ascii="Times New Roman" w:hAnsi="Times New Roman"/>
          <w:sz w:val="24"/>
        </w:rPr>
        <w:t>de</w:t>
      </w:r>
      <w:r w:rsidR="00C6209E">
        <w:rPr>
          <w:rFonts w:ascii="Times New Roman" w:hAnsi="Times New Roman"/>
          <w:sz w:val="24"/>
        </w:rPr>
        <w:t>cisions</w:t>
      </w:r>
      <w:r w:rsidR="001275FC">
        <w:rPr>
          <w:rFonts w:ascii="Times New Roman" w:hAnsi="Times New Roman"/>
          <w:sz w:val="24"/>
        </w:rPr>
        <w:t xml:space="preserve"> to ensure </w:t>
      </w:r>
      <w:r w:rsidR="00203ECC">
        <w:rPr>
          <w:rFonts w:ascii="Times New Roman" w:hAnsi="Times New Roman"/>
          <w:sz w:val="24"/>
        </w:rPr>
        <w:t>natural hazards that could</w:t>
      </w:r>
      <w:r w:rsidR="00286451">
        <w:rPr>
          <w:rFonts w:ascii="Times New Roman" w:hAnsi="Times New Roman"/>
          <w:sz w:val="24"/>
        </w:rPr>
        <w:t xml:space="preserve"> potentially</w:t>
      </w:r>
      <w:r w:rsidR="00203ECC">
        <w:rPr>
          <w:rFonts w:ascii="Times New Roman" w:hAnsi="Times New Roman"/>
          <w:sz w:val="24"/>
        </w:rPr>
        <w:t xml:space="preserve"> affect their processes</w:t>
      </w:r>
      <w:r w:rsidR="0020707B">
        <w:rPr>
          <w:rFonts w:ascii="Times New Roman" w:hAnsi="Times New Roman"/>
          <w:sz w:val="24"/>
        </w:rPr>
        <w:t xml:space="preserve"> and </w:t>
      </w:r>
      <w:r w:rsidR="00286451">
        <w:rPr>
          <w:rFonts w:ascii="Times New Roman" w:hAnsi="Times New Roman"/>
          <w:sz w:val="24"/>
        </w:rPr>
        <w:t>subsequently har</w:t>
      </w:r>
      <w:r w:rsidR="00E2329A">
        <w:rPr>
          <w:rFonts w:ascii="Times New Roman" w:hAnsi="Times New Roman"/>
          <w:sz w:val="24"/>
        </w:rPr>
        <w:t xml:space="preserve">m </w:t>
      </w:r>
      <w:r w:rsidR="006F731C">
        <w:rPr>
          <w:rFonts w:ascii="Times New Roman" w:hAnsi="Times New Roman"/>
          <w:sz w:val="24"/>
        </w:rPr>
        <w:t xml:space="preserve">nearby communities and the environment are </w:t>
      </w:r>
      <w:r w:rsidR="00B70E7B">
        <w:rPr>
          <w:rFonts w:ascii="Times New Roman" w:hAnsi="Times New Roman"/>
          <w:sz w:val="24"/>
        </w:rPr>
        <w:t xml:space="preserve">identified </w:t>
      </w:r>
      <w:r w:rsidR="006F731C">
        <w:rPr>
          <w:rFonts w:ascii="Times New Roman" w:hAnsi="Times New Roman"/>
          <w:sz w:val="24"/>
        </w:rPr>
        <w:t xml:space="preserve">and </w:t>
      </w:r>
      <w:r w:rsidR="008B4658">
        <w:rPr>
          <w:rFonts w:ascii="Times New Roman" w:hAnsi="Times New Roman"/>
          <w:sz w:val="24"/>
        </w:rPr>
        <w:t xml:space="preserve">addressed </w:t>
      </w:r>
      <w:r w:rsidR="00C6209E">
        <w:rPr>
          <w:rFonts w:ascii="Times New Roman" w:hAnsi="Times New Roman"/>
          <w:sz w:val="24"/>
        </w:rPr>
        <w:t>appropriately</w:t>
      </w:r>
      <w:r w:rsidR="008B4658">
        <w:rPr>
          <w:rFonts w:ascii="Times New Roman" w:hAnsi="Times New Roman"/>
          <w:sz w:val="24"/>
        </w:rPr>
        <w:t xml:space="preserve">. </w:t>
      </w:r>
      <w:r w:rsidRPr="006871EF" w:rsidR="004A6393">
        <w:rPr>
          <w:rFonts w:ascii="Times New Roman" w:hAnsi="Times New Roman"/>
          <w:sz w:val="24"/>
        </w:rPr>
        <w:t xml:space="preserve"> </w:t>
      </w:r>
    </w:p>
    <w:p w:rsidR="003B12AF" w:rsidP="003B12AF" w14:paraId="3877D588" w14:textId="77777777">
      <w:pPr>
        <w:rPr>
          <w:rFonts w:ascii="Times New Roman" w:hAnsi="Times New Roman"/>
          <w:b/>
          <w:bCs/>
          <w:sz w:val="24"/>
        </w:rPr>
      </w:pPr>
      <w:r w:rsidRPr="00B37093">
        <w:rPr>
          <w:rFonts w:ascii="Times New Roman" w:hAnsi="Times New Roman"/>
          <w:b/>
          <w:bCs/>
          <w:sz w:val="24"/>
        </w:rPr>
        <w:t>Comment</w:t>
      </w:r>
      <w:r>
        <w:rPr>
          <w:rFonts w:ascii="Times New Roman" w:hAnsi="Times New Roman"/>
          <w:b/>
          <w:bCs/>
          <w:sz w:val="24"/>
        </w:rPr>
        <w:t xml:space="preserve"> 6.3.4-03</w:t>
      </w:r>
      <w:r w:rsidRPr="00B37093">
        <w:rPr>
          <w:rFonts w:ascii="Times New Roman" w:hAnsi="Times New Roman"/>
          <w:b/>
          <w:bCs/>
          <w:sz w:val="24"/>
        </w:rPr>
        <w:t>:</w:t>
      </w:r>
      <w:r>
        <w:rPr>
          <w:rFonts w:ascii="Times New Roman" w:hAnsi="Times New Roman"/>
          <w:b/>
          <w:sz w:val="24"/>
        </w:rPr>
        <w:t xml:space="preserve"> </w:t>
      </w:r>
      <w:r w:rsidRPr="00B43252">
        <w:rPr>
          <w:rFonts w:ascii="Times New Roman" w:hAnsi="Times New Roman"/>
          <w:sz w:val="24"/>
        </w:rPr>
        <w:t xml:space="preserve">Many commenters requested clarifications </w:t>
      </w:r>
      <w:r>
        <w:rPr>
          <w:rFonts w:ascii="Times New Roman" w:hAnsi="Times New Roman"/>
          <w:sz w:val="24"/>
        </w:rPr>
        <w:t xml:space="preserve">or proposed revisions </w:t>
      </w:r>
      <w:r w:rsidRPr="00B43252">
        <w:rPr>
          <w:rFonts w:ascii="Times New Roman" w:hAnsi="Times New Roman"/>
          <w:sz w:val="24"/>
        </w:rPr>
        <w:t>regarding how to determine the 1-mile distance.</w:t>
      </w:r>
    </w:p>
    <w:p w:rsidR="003B12AF" w:rsidP="003B12AF" w14:paraId="68479E44" w14:textId="77777777">
      <w:pPr>
        <w:rPr>
          <w:rFonts w:ascii="Times New Roman" w:hAnsi="Times New Roman"/>
          <w:sz w:val="24"/>
        </w:rPr>
      </w:pPr>
      <w:r w:rsidRPr="00841EFA">
        <w:rPr>
          <w:rFonts w:ascii="Times New Roman" w:hAnsi="Times New Roman"/>
          <w:sz w:val="24"/>
        </w:rPr>
        <w:t xml:space="preserve">Several commenters stated that the use of the 1-mile distance from fencelines instead of process location is unreasonable as there are facilities that have processes hundreds of yards from their fenceline. The commenters suggested that this additional distance should be accounted for in this </w:t>
      </w:r>
      <w:r w:rsidRPr="00841EFA">
        <w:rPr>
          <w:rFonts w:ascii="Times New Roman" w:hAnsi="Times New Roman"/>
          <w:sz w:val="24"/>
        </w:rPr>
        <w:t>provision and requested that EPA use distances between the covered processes at the adjacent stationary source as opposed to fencelines (0180, 0205, 0217, 0226, 0229, 0232, 0234, 0267, 0458).</w:t>
      </w:r>
      <w:r w:rsidRPr="006F68E9">
        <w:rPr>
          <w:rFonts w:ascii="Times New Roman" w:hAnsi="Times New Roman"/>
          <w:sz w:val="24"/>
        </w:rPr>
        <w:t xml:space="preserve"> </w:t>
      </w:r>
    </w:p>
    <w:p w:rsidR="003B12AF" w:rsidRPr="006F68E9" w:rsidP="003B12AF" w14:paraId="1E8F8B12" w14:textId="77777777">
      <w:pPr>
        <w:rPr>
          <w:rFonts w:ascii="Times New Roman" w:hAnsi="Times New Roman"/>
          <w:sz w:val="24"/>
        </w:rPr>
      </w:pPr>
      <w:r w:rsidRPr="006F68E9">
        <w:rPr>
          <w:rFonts w:ascii="Times New Roman" w:hAnsi="Times New Roman"/>
          <w:sz w:val="24"/>
        </w:rPr>
        <w:t>A couple of commenters suggested clarification in proposed language that adjacent facilities need to be both RMP regulated to require STAA under the proposed proximity requirement. The commenters suggested to clarify processes from adjacent facilities as “covered processes” as follows</w:t>
      </w:r>
      <w:r w:rsidRPr="006F68E9">
        <w:rPr>
          <w:rFonts w:ascii="Times New Roman" w:hAnsi="Times New Roman"/>
          <w:sz w:val="24"/>
          <w:shd w:val="clear" w:color="auto" w:fill="FFFFFF" w:themeFill="background1"/>
        </w:rPr>
        <w:t>:</w:t>
      </w:r>
    </w:p>
    <w:p w:rsidR="003B12AF" w:rsidP="003B12AF" w14:paraId="03D6E864" w14:textId="457D4CBA">
      <w:pPr>
        <w:ind w:left="720"/>
        <w:rPr>
          <w:rFonts w:ascii="Times New Roman" w:hAnsi="Times New Roman"/>
          <w:sz w:val="24"/>
          <w:shd w:val="clear" w:color="auto" w:fill="FFFFFF" w:themeFill="background1"/>
        </w:rPr>
      </w:pPr>
      <w:r w:rsidRPr="006F68E9">
        <w:rPr>
          <w:rFonts w:ascii="Times New Roman" w:hAnsi="Times New Roman"/>
          <w:sz w:val="24"/>
        </w:rPr>
        <w:t>The applicable element regarding the adjacent source’s NAICS code should be whether the source has a “covered process” in NAICS code 324 or 325, not whether the source has a NAICS code 324 or 325 “process.</w:t>
      </w:r>
      <w:r w:rsidRPr="006F68E9">
        <w:rPr>
          <w:rFonts w:ascii="Times New Roman" w:hAnsi="Times New Roman"/>
          <w:sz w:val="24"/>
          <w:shd w:val="clear" w:color="auto" w:fill="FFFFFF" w:themeFill="background1"/>
        </w:rPr>
        <w:t xml:space="preserve">” In the proposed provisions, EPA refers to “another RMP-regulated 324 or 325 facility.” However, a stationary source is only subject to the RMP if it has a “covered process.” If the </w:t>
      </w:r>
      <w:r>
        <w:rPr>
          <w:rFonts w:ascii="Times New Roman" w:hAnsi="Times New Roman"/>
          <w:sz w:val="24"/>
          <w:shd w:val="clear" w:color="auto" w:fill="FFFFFF" w:themeFill="background1"/>
        </w:rPr>
        <w:t>final rule</w:t>
      </w:r>
      <w:r w:rsidRPr="006F68E9">
        <w:rPr>
          <w:rFonts w:ascii="Times New Roman" w:hAnsi="Times New Roman"/>
          <w:sz w:val="24"/>
          <w:shd w:val="clear" w:color="auto" w:fill="FFFFFF" w:themeFill="background1"/>
        </w:rPr>
        <w:t xml:space="preserve"> contains the same STAA requirements as proposed, EPA should revise § 68.67(c)(9) to make explicit that the adjacent source must have a “covered process” in NAICS code 324 or 325 (0229, 0232).</w:t>
      </w:r>
    </w:p>
    <w:p w:rsidR="003B12AF" w:rsidP="003B12AF" w14:paraId="669DF64E" w14:textId="77777777">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stated</w:t>
      </w:r>
      <w:r w:rsidRPr="006F68E9">
        <w:rPr>
          <w:rFonts w:ascii="Times New Roman" w:hAnsi="Times New Roman"/>
          <w:sz w:val="24"/>
        </w:rPr>
        <w:t xml:space="preserve"> that while EPA attempts to provide specificity regarding the end point for the 1-mile radius determination, they fail to identify the starting point. The commenters requested EPA clarify if it is from (1) the fence-line of the source evaluating applicability of the STAA requirements, (2) that source’s NAICS code 324 or 325 Program 3 covered process, or (3) the “center” of that source. The commenters stated that they urge EPA to make certain that the starting point is the source’s NAICS code 324 or 325 covered process (0229, 0232). One commenter claimed it was unclear how facilities would determine whether they are within one mile of one another, specifically if this would be based on the facility address or the end of the property. The commenter recommended that EPA prioritize the facilities that pose the most significant hazards to workers and communities (0240).</w:t>
      </w:r>
    </w:p>
    <w:p w:rsidR="003B12AF" w:rsidP="003B12AF" w14:paraId="54FEEE18" w14:textId="77777777">
      <w:pPr>
        <w:rPr>
          <w:rFonts w:ascii="Times New Roman" w:hAnsi="Times New Roman"/>
          <w:sz w:val="24"/>
        </w:rPr>
      </w:pPr>
      <w:r w:rsidRPr="006F68E9">
        <w:rPr>
          <w:rFonts w:ascii="Times New Roman" w:hAnsi="Times New Roman"/>
          <w:sz w:val="24"/>
        </w:rPr>
        <w:t xml:space="preserve">A couple of </w:t>
      </w:r>
      <w:r w:rsidRPr="006F68E9">
        <w:rPr>
          <w:rFonts w:ascii="Times New Roman" w:hAnsi="Times New Roman"/>
          <w:sz w:val="24"/>
          <w:shd w:val="clear" w:color="auto" w:fill="FFFFFF" w:themeFill="background1"/>
        </w:rPr>
        <w:t>commenters requested guidance for sources to determine if the STAA triggers set forth in proposed § 68.67(c)(9) are met to make it easy for facilities. The commenters pointed out that one area of confusion is whether the facility is within the one-mile radius of a covered facility and whether EPA or the facility will be responsible for determining applicability (0229, 0232).</w:t>
      </w:r>
      <w:r w:rsidRPr="006F68E9">
        <w:rPr>
          <w:rFonts w:ascii="Times New Roman" w:hAnsi="Times New Roman"/>
          <w:sz w:val="24"/>
        </w:rPr>
        <w:t> </w:t>
      </w:r>
    </w:p>
    <w:p w:rsidR="003B12AF" w:rsidP="003B12AF" w14:paraId="5300EDCD" w14:textId="77777777">
      <w:pPr>
        <w:rPr>
          <w:rFonts w:ascii="Times New Roman" w:hAnsi="Times New Roman"/>
          <w:sz w:val="24"/>
        </w:rPr>
      </w:pPr>
      <w:r w:rsidRPr="006F68E9">
        <w:rPr>
          <w:rFonts w:ascii="Times New Roman" w:hAnsi="Times New Roman"/>
          <w:sz w:val="24"/>
        </w:rPr>
        <w:t xml:space="preserve">One commenter stated that the actual source site longitude and latitude, which is already required for EPCRA Tier I and Tier II reporting under 40 CFR Part 370, is recommended instead of the facility address as the process coordinates increase the accuracy for responders to model an actual release. The commenter </w:t>
      </w:r>
      <w:r>
        <w:rPr>
          <w:rFonts w:ascii="Times New Roman" w:hAnsi="Times New Roman"/>
          <w:sz w:val="24"/>
        </w:rPr>
        <w:t>stated</w:t>
      </w:r>
      <w:r w:rsidRPr="006F68E9">
        <w:rPr>
          <w:rFonts w:ascii="Times New Roman" w:hAnsi="Times New Roman"/>
          <w:sz w:val="24"/>
        </w:rPr>
        <w:t xml:space="preserve"> that facilities can be acres in size and the sources can be hundreds of feet from the facility gate negatively impacting the accuracy of evacuation estimates (0165).</w:t>
      </w:r>
    </w:p>
    <w:p w:rsidR="003B12AF" w:rsidP="003B12AF" w14:paraId="65AFBE91" w14:textId="77777777">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voiced</w:t>
      </w:r>
      <w:r w:rsidRPr="006F68E9">
        <w:rPr>
          <w:rFonts w:ascii="Times New Roman" w:hAnsi="Times New Roman"/>
          <w:sz w:val="24"/>
        </w:rPr>
        <w:t xml:space="preserve"> appreciation for the spreadsheet detailing facilities thought to fall within the one-mile threshold, but urged EPA to develop a more user-friendly, current, and accessible method of determining applicability of this provision (0217, 0234).</w:t>
      </w:r>
    </w:p>
    <w:p w:rsidR="003B12AF" w:rsidP="003B12AF" w14:paraId="222EAC80" w14:textId="77777777">
      <w:pPr>
        <w:rPr>
          <w:rFonts w:ascii="Times New Roman" w:hAnsi="Times New Roman"/>
          <w:sz w:val="24"/>
        </w:rPr>
      </w:pPr>
      <w:r w:rsidRPr="006F68E9">
        <w:rPr>
          <w:rFonts w:ascii="Times New Roman" w:hAnsi="Times New Roman"/>
          <w:sz w:val="24"/>
        </w:rPr>
        <w:t>A couple of commenters urged EPA to develop a more user-friendly, up to date, and accessible method of determining if an owner/operator's facility lies within one mile of another facility with a 324 or 325 NAICS code, which would allow owners/operators of these facilities to establish how this provision applies to their facility (0158, 0205).</w:t>
      </w:r>
      <w:r>
        <w:rPr>
          <w:rFonts w:ascii="Times New Roman" w:hAnsi="Times New Roman"/>
          <w:sz w:val="24"/>
        </w:rPr>
        <w:t xml:space="preserve"> </w:t>
      </w:r>
      <w:r w:rsidRPr="006F68E9">
        <w:rPr>
          <w:rFonts w:ascii="Times New Roman" w:hAnsi="Times New Roman"/>
          <w:sz w:val="24"/>
        </w:rPr>
        <w:t xml:space="preserve">A few commenters opposed EPA’s STAA requirements for facilities with a 324 or 325 NAICS code that are within one mile of </w:t>
      </w:r>
      <w:r w:rsidRPr="006F68E9">
        <w:rPr>
          <w:rFonts w:ascii="Times New Roman" w:hAnsi="Times New Roman"/>
          <w:sz w:val="24"/>
        </w:rPr>
        <w:t>another facility with the same NAICS code, or facilities that utilize hydrofluoric acid (HF). The commenters urged EPA to develop a more user-friendly and accessible method for determining applicability to undertake STAA (0180, 0226, 0458).</w:t>
      </w:r>
    </w:p>
    <w:p w:rsidR="003B12AF" w:rsidP="003B12AF" w14:paraId="739C6C95" w14:textId="77777777">
      <w:pPr>
        <w:rPr>
          <w:rFonts w:ascii="Times New Roman" w:hAnsi="Times New Roman"/>
          <w:sz w:val="24"/>
        </w:rPr>
      </w:pPr>
      <w:r w:rsidRPr="006F68E9">
        <w:rPr>
          <w:rFonts w:ascii="Times New Roman" w:hAnsi="Times New Roman"/>
          <w:sz w:val="24"/>
        </w:rPr>
        <w:t>One commenter suggested EPA offer training or guidance to facilities whose hazard reviews or PHAs are unsatisfactory or shortening the interval to three years to better identify and assist facilities that are not satisfying requirements (0261).</w:t>
      </w:r>
    </w:p>
    <w:p w:rsidR="003B12AF" w:rsidP="003B12AF" w14:paraId="2BE0376E" w14:textId="59F47A6A">
      <w:pPr>
        <w:tabs>
          <w:tab w:val="left" w:pos="720"/>
        </w:tabs>
        <w:ind w:left="720"/>
        <w:rPr>
          <w:rFonts w:ascii="Times New Roman" w:hAnsi="Times New Roman"/>
          <w:sz w:val="24"/>
        </w:rPr>
      </w:pPr>
      <w:r w:rsidRPr="00C118CE">
        <w:rPr>
          <w:rFonts w:ascii="Times New Roman" w:hAnsi="Times New Roman"/>
          <w:b/>
          <w:bCs/>
          <w:sz w:val="24"/>
        </w:rPr>
        <w:t>EPA Response:</w:t>
      </w:r>
      <w:r>
        <w:rPr>
          <w:rFonts w:ascii="Times New Roman" w:hAnsi="Times New Roman"/>
          <w:b/>
          <w:bCs/>
          <w:sz w:val="24"/>
        </w:rPr>
        <w:t xml:space="preserve"> </w:t>
      </w:r>
      <w:r w:rsidRPr="00F84411">
        <w:rPr>
          <w:rFonts w:ascii="Times New Roman" w:hAnsi="Times New Roman"/>
          <w:sz w:val="24"/>
        </w:rPr>
        <w:t>In the proposal, EPA proposed to define facility location based on distance to the facility fenceline but sought comment on other definitions of facility proximity. Recognizing that the distance from a process is a more accurate way to calculate a release scenario than the distance from a fenceline, EPA will nevertheless retain 1 mile from the fenceline as the applicability criterion, as opposed to 1 mile from process locations, both for simplicity in implementation and also in deference to restrictions on source-specific information on release scenarios. The Agency believes that regulated facilities, the public, and implementing agencies can more easily calculate and verify a fenceline-to-fenceline measurement than a process</w:t>
      </w:r>
      <w:r w:rsidRPr="7029657D" w:rsidR="5C3D1A22">
        <w:rPr>
          <w:rFonts w:ascii="Times New Roman" w:hAnsi="Times New Roman"/>
          <w:sz w:val="24"/>
        </w:rPr>
        <w:t>-</w:t>
      </w:r>
      <w:r w:rsidRPr="7029657D" w:rsidR="6BB2B8B7">
        <w:rPr>
          <w:rFonts w:ascii="Times New Roman" w:hAnsi="Times New Roman"/>
          <w:sz w:val="24"/>
        </w:rPr>
        <w:t>to</w:t>
      </w:r>
      <w:r w:rsidRPr="7029657D" w:rsidR="0CC7D559">
        <w:rPr>
          <w:rFonts w:ascii="Times New Roman" w:hAnsi="Times New Roman"/>
          <w:sz w:val="24"/>
        </w:rPr>
        <w:t>-</w:t>
      </w:r>
      <w:r w:rsidRPr="7029657D" w:rsidR="6BB2B8B7">
        <w:rPr>
          <w:rFonts w:ascii="Times New Roman" w:hAnsi="Times New Roman"/>
          <w:sz w:val="24"/>
        </w:rPr>
        <w:t>process measurement because it does not require access to facility-specific process information.</w:t>
      </w:r>
      <w:r w:rsidRPr="7029657D" w:rsidR="565AB5E0">
        <w:rPr>
          <w:rFonts w:ascii="Times New Roman" w:hAnsi="Times New Roman"/>
          <w:sz w:val="24"/>
        </w:rPr>
        <w:t xml:space="preserve"> </w:t>
      </w:r>
    </w:p>
    <w:p w:rsidR="00751C08" w:rsidRPr="00431362" w:rsidP="003B12AF" w14:paraId="735DA7F6" w14:textId="3389879F">
      <w:pPr>
        <w:tabs>
          <w:tab w:val="left" w:pos="720"/>
        </w:tabs>
        <w:ind w:left="720"/>
        <w:rPr>
          <w:rFonts w:ascii="Times New Roman" w:hAnsi="Times New Roman"/>
          <w:sz w:val="24"/>
        </w:rPr>
      </w:pPr>
      <w:r w:rsidRPr="00431362">
        <w:rPr>
          <w:rFonts w:ascii="Times New Roman" w:hAnsi="Times New Roman"/>
          <w:sz w:val="24"/>
        </w:rPr>
        <w:t>A</w:t>
      </w:r>
      <w:r w:rsidRPr="00431362">
        <w:rPr>
          <w:rFonts w:ascii="Times New Roman" w:hAnsi="Times New Roman"/>
          <w:sz w:val="24"/>
        </w:rPr>
        <w:t>s a point of further clarification</w:t>
      </w:r>
      <w:r w:rsidRPr="00431362">
        <w:rPr>
          <w:rStyle w:val="Heading1Char"/>
          <w:rFonts w:eastAsiaTheme="majorEastAsia"/>
          <w:b w:val="0"/>
          <w:bCs/>
        </w:rPr>
        <w:t>, the</w:t>
      </w:r>
      <w:r w:rsidR="00215E24">
        <w:rPr>
          <w:rStyle w:val="Heading1Char"/>
          <w:rFonts w:eastAsiaTheme="majorEastAsia"/>
          <w:b w:val="0"/>
          <w:bCs/>
        </w:rPr>
        <w:t xml:space="preserve"> NAICS  324 and 325 process</w:t>
      </w:r>
      <w:r w:rsidR="00431362">
        <w:rPr>
          <w:rStyle w:val="Heading1Char"/>
          <w:rFonts w:eastAsiaTheme="majorEastAsia"/>
          <w:b w:val="0"/>
          <w:bCs/>
        </w:rPr>
        <w:t>es</w:t>
      </w:r>
      <w:r w:rsidR="00215E24">
        <w:rPr>
          <w:rStyle w:val="Heading1Char"/>
          <w:rFonts w:eastAsiaTheme="majorEastAsia"/>
          <w:b w:val="0"/>
          <w:bCs/>
        </w:rPr>
        <w:t xml:space="preserve"> applicable to the</w:t>
      </w:r>
      <w:r w:rsidRPr="00431362">
        <w:rPr>
          <w:rStyle w:val="Heading1Char"/>
          <w:rFonts w:eastAsiaTheme="majorEastAsia"/>
          <w:b w:val="0"/>
          <w:bCs/>
        </w:rPr>
        <w:t xml:space="preserve"> 1-mile radius </w:t>
      </w:r>
      <w:r w:rsidR="00431362">
        <w:rPr>
          <w:rStyle w:val="Heading1Char"/>
          <w:rFonts w:eastAsiaTheme="majorEastAsia"/>
          <w:b w:val="0"/>
          <w:bCs/>
        </w:rPr>
        <w:t xml:space="preserve">criteria </w:t>
      </w:r>
      <w:r w:rsidRPr="00431362" w:rsidR="00F87352">
        <w:rPr>
          <w:rStyle w:val="Heading1Char"/>
          <w:rFonts w:eastAsiaTheme="majorEastAsia"/>
          <w:b w:val="0"/>
          <w:bCs/>
        </w:rPr>
        <w:t xml:space="preserve">for </w:t>
      </w:r>
      <w:r w:rsidR="00431362">
        <w:rPr>
          <w:rStyle w:val="Heading1Char"/>
          <w:rFonts w:eastAsiaTheme="majorEastAsia"/>
          <w:b w:val="0"/>
          <w:bCs/>
        </w:rPr>
        <w:t xml:space="preserve">the </w:t>
      </w:r>
      <w:r w:rsidR="00215E24">
        <w:rPr>
          <w:rStyle w:val="Heading1Char"/>
          <w:rFonts w:eastAsiaTheme="majorEastAsia"/>
          <w:b w:val="0"/>
          <w:bCs/>
        </w:rPr>
        <w:t xml:space="preserve">STAA practicability and safeguard implementation provision </w:t>
      </w:r>
      <w:r w:rsidR="00431362">
        <w:rPr>
          <w:rStyle w:val="Heading1Char"/>
          <w:rFonts w:eastAsiaTheme="majorEastAsia"/>
          <w:b w:val="0"/>
          <w:bCs/>
        </w:rPr>
        <w:t>are those t</w:t>
      </w:r>
      <w:r w:rsidRPr="00431362" w:rsidR="00F87352">
        <w:rPr>
          <w:rStyle w:val="Heading1Char"/>
          <w:rFonts w:eastAsiaTheme="majorEastAsia"/>
          <w:b w:val="0"/>
          <w:bCs/>
        </w:rPr>
        <w:t xml:space="preserve">hat are </w:t>
      </w:r>
      <w:r w:rsidRPr="00431362" w:rsidR="00DE6B24">
        <w:rPr>
          <w:rStyle w:val="Heading1Char"/>
          <w:rFonts w:eastAsiaTheme="majorEastAsia"/>
          <w:b w:val="0"/>
          <w:bCs/>
        </w:rPr>
        <w:t xml:space="preserve">defined as </w:t>
      </w:r>
      <w:r w:rsidRPr="00B72F42" w:rsidR="00BB4F1D">
        <w:rPr>
          <w:rStyle w:val="Heading1Char"/>
          <w:rFonts w:eastAsiaTheme="majorEastAsia"/>
          <w:b w:val="0"/>
          <w:bCs/>
        </w:rPr>
        <w:t xml:space="preserve">RMP </w:t>
      </w:r>
      <w:r w:rsidRPr="00431362" w:rsidR="00F87352">
        <w:rPr>
          <w:rStyle w:val="Heading1Char"/>
          <w:rFonts w:eastAsiaTheme="majorEastAsia"/>
          <w:b w:val="0"/>
          <w:bCs/>
        </w:rPr>
        <w:t xml:space="preserve">covered processes </w:t>
      </w:r>
      <w:r w:rsidRPr="00431362" w:rsidR="00DE6B24">
        <w:rPr>
          <w:rStyle w:val="Heading1Char"/>
          <w:rFonts w:eastAsiaTheme="majorEastAsia"/>
          <w:b w:val="0"/>
          <w:bCs/>
        </w:rPr>
        <w:t>(40 CFR Part 68.3)</w:t>
      </w:r>
      <w:r w:rsidRPr="00431362" w:rsidR="00BB4F1D">
        <w:rPr>
          <w:rStyle w:val="Heading1Char"/>
          <w:rFonts w:eastAsiaTheme="majorEastAsia"/>
          <w:b w:val="0"/>
          <w:bCs/>
        </w:rPr>
        <w:t>.</w:t>
      </w:r>
      <w:r w:rsidRPr="00B72F42" w:rsidR="00BB4F1D">
        <w:rPr>
          <w:rStyle w:val="Heading1Char"/>
          <w:rFonts w:eastAsiaTheme="majorEastAsia"/>
        </w:rPr>
        <w:t xml:space="preserve"> </w:t>
      </w:r>
      <w:r w:rsidRPr="00431362">
        <w:rPr>
          <w:rFonts w:ascii="Times New Roman" w:hAnsi="Times New Roman"/>
          <w:sz w:val="24"/>
        </w:rPr>
        <w:t>EPA’s final rule regulatory text reflects this clarification</w:t>
      </w:r>
      <w:r w:rsidRPr="00B72F42" w:rsidR="00192527">
        <w:rPr>
          <w:rFonts w:ascii="Times New Roman" w:hAnsi="Times New Roman"/>
          <w:sz w:val="24"/>
        </w:rPr>
        <w:t>, “for covered processes</w:t>
      </w:r>
      <w:r w:rsidRPr="00B72F42" w:rsidR="00B72F42">
        <w:rPr>
          <w:rFonts w:ascii="Times New Roman" w:hAnsi="Times New Roman"/>
          <w:sz w:val="24"/>
        </w:rPr>
        <w:t xml:space="preserve"> </w:t>
      </w:r>
      <w:r w:rsidRPr="00431362" w:rsidR="00B72F42">
        <w:rPr>
          <w:rFonts w:ascii="Times New Roman" w:eastAsia="Times New Roman" w:hAnsi="Times New Roman"/>
          <w:sz w:val="24"/>
        </w:rPr>
        <w:t>in NAICS codes 324 and 325, located within 1 mile of another stationary source having a covered process in NAICS codes 324 or 325.”</w:t>
      </w:r>
    </w:p>
    <w:p w:rsidR="00607EE7" w:rsidP="003B12AF" w14:paraId="0CBB5025" w14:textId="77777777">
      <w:pPr>
        <w:tabs>
          <w:tab w:val="left" w:pos="720"/>
        </w:tabs>
        <w:ind w:left="720"/>
        <w:rPr>
          <w:rFonts w:ascii="Times New Roman" w:hAnsi="Times New Roman"/>
          <w:sz w:val="24"/>
        </w:rPr>
      </w:pPr>
      <w:r w:rsidRPr="7029657D">
        <w:rPr>
          <w:rFonts w:ascii="Times New Roman" w:hAnsi="Times New Roman"/>
          <w:sz w:val="24"/>
        </w:rPr>
        <w:t>EPA intends to provide assistance to stationary sources to help determine whether they are subject to the 1-mile criterion. Such assistance may be in t</w:t>
      </w:r>
      <w:r w:rsidRPr="7029657D" w:rsidR="067D6C93">
        <w:rPr>
          <w:rFonts w:ascii="Times New Roman" w:hAnsi="Times New Roman"/>
          <w:sz w:val="24"/>
        </w:rPr>
        <w:t xml:space="preserve">he form of lists. However, such lists should not be considered definitive. Owners and operators are responsible for </w:t>
      </w:r>
      <w:r w:rsidRPr="7029657D" w:rsidR="192CFD9D">
        <w:rPr>
          <w:rFonts w:ascii="Times New Roman" w:hAnsi="Times New Roman"/>
          <w:sz w:val="24"/>
        </w:rPr>
        <w:t>making a determination under the applicability provisions as written in the RMP rule.</w:t>
      </w:r>
      <w:r w:rsidRPr="7029657D" w:rsidR="6BB2B8B7">
        <w:rPr>
          <w:rFonts w:ascii="Times New Roman" w:hAnsi="Times New Roman"/>
          <w:sz w:val="24"/>
        </w:rPr>
        <w:t xml:space="preserve"> </w:t>
      </w:r>
    </w:p>
    <w:p w:rsidR="003B12AF" w:rsidRPr="00F84411" w:rsidP="003B12AF" w14:paraId="52FE9846" w14:textId="70CC6D4A">
      <w:pPr>
        <w:tabs>
          <w:tab w:val="left" w:pos="720"/>
        </w:tabs>
        <w:ind w:left="720"/>
      </w:pPr>
    </w:p>
    <w:p w:rsidR="003B12AF" w:rsidRPr="006F68E9" w:rsidP="000F3891" w14:paraId="0C2490EC" w14:textId="77777777">
      <w:pPr>
        <w:pStyle w:val="Heading2"/>
        <w:spacing w:before="120"/>
        <w:rPr>
          <w:rFonts w:ascii="Times New Roman" w:hAnsi="Times New Roman" w:cs="Times New Roman"/>
          <w:b/>
          <w:bCs/>
          <w:color w:val="auto"/>
          <w:sz w:val="24"/>
          <w:szCs w:val="24"/>
        </w:rPr>
      </w:pPr>
      <w:bookmarkStart w:id="84" w:name="_Toc153373795"/>
      <w:r w:rsidRPr="6D3F9CC5">
        <w:rPr>
          <w:rFonts w:ascii="Times New Roman" w:hAnsi="Times New Roman" w:cs="Times New Roman"/>
          <w:b/>
          <w:bCs/>
          <w:color w:val="auto"/>
          <w:sz w:val="24"/>
          <w:szCs w:val="24"/>
        </w:rPr>
        <w:t xml:space="preserve">Practicability </w:t>
      </w:r>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ssessment</w:t>
      </w:r>
      <w:bookmarkEnd w:id="84"/>
    </w:p>
    <w:p w:rsidR="003B12AF" w:rsidRPr="00487DBB" w:rsidP="000F3891" w14:paraId="71D858E4" w14:textId="4259D9C2">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85" w:name="_Toc153373796"/>
      <w:r w:rsidRPr="00487DBB">
        <w:rPr>
          <w:rFonts w:ascii="Times New Roman" w:hAnsi="Times New Roman" w:eastAsiaTheme="minorEastAsia" w:cs="Times New Roman"/>
          <w:b/>
          <w:bCs/>
          <w:color w:val="auto"/>
        </w:rPr>
        <w:t>General comments on the practicability assessment</w:t>
      </w:r>
      <w:bookmarkEnd w:id="85"/>
    </w:p>
    <w:p w:rsidR="003B12AF" w:rsidP="003B12AF" w14:paraId="13D714A6" w14:textId="77777777">
      <w:r w:rsidRPr="00B312D6">
        <w:rPr>
          <w:rFonts w:ascii="Times New Roman" w:hAnsi="Times New Roman"/>
          <w:i/>
          <w:iCs/>
          <w:sz w:val="24"/>
        </w:rPr>
        <w:t>Support for the practicability assessment</w:t>
      </w:r>
    </w:p>
    <w:p w:rsidR="003B12AF" w:rsidP="003B12AF" w14:paraId="3D3FD47C" w14:textId="77777777">
      <w:pPr>
        <w:rPr>
          <w:rFonts w:ascii="Times New Roman" w:hAnsi="Times New Roman"/>
          <w:sz w:val="24"/>
        </w:rPr>
      </w:pPr>
      <w:r w:rsidRPr="00BC0383">
        <w:rPr>
          <w:rFonts w:ascii="Times New Roman" w:hAnsi="Times New Roman"/>
          <w:b/>
          <w:sz w:val="24"/>
        </w:rPr>
        <w:t>Comment</w:t>
      </w:r>
      <w:r>
        <w:rPr>
          <w:rFonts w:ascii="Times New Roman" w:hAnsi="Times New Roman"/>
          <w:b/>
          <w:sz w:val="24"/>
        </w:rPr>
        <w:t xml:space="preserve"> 6.4.1-01</w:t>
      </w:r>
      <w:r w:rsidRPr="00BC0383">
        <w:rPr>
          <w:rFonts w:ascii="Times New Roman" w:hAnsi="Times New Roman"/>
          <w:b/>
          <w:sz w:val="24"/>
        </w:rPr>
        <w:t xml:space="preserve">: </w:t>
      </w:r>
      <w:r>
        <w:rPr>
          <w:rFonts w:ascii="Times New Roman" w:hAnsi="Times New Roman"/>
          <w:sz w:val="24"/>
        </w:rPr>
        <w:t>A few</w:t>
      </w:r>
      <w:r w:rsidRPr="00BC0383">
        <w:rPr>
          <w:rFonts w:ascii="Times New Roman" w:hAnsi="Times New Roman"/>
          <w:sz w:val="24"/>
        </w:rPr>
        <w:t xml:space="preserve"> commenter</w:t>
      </w:r>
      <w:r>
        <w:rPr>
          <w:rFonts w:ascii="Times New Roman" w:hAnsi="Times New Roman"/>
          <w:sz w:val="24"/>
        </w:rPr>
        <w:t>s</w:t>
      </w:r>
      <w:r w:rsidRPr="00BC0383">
        <w:rPr>
          <w:rFonts w:ascii="Times New Roman" w:hAnsi="Times New Roman"/>
          <w:sz w:val="24"/>
        </w:rPr>
        <w:t xml:space="preserve"> expressed support for EPA’s proposal to require owners and operators to identify, evaluate, and document the practicability of implementing inherent safety measures, including documenting the practicability of publicly available safer alternatives (</w:t>
      </w:r>
      <w:r>
        <w:rPr>
          <w:rFonts w:ascii="Times New Roman" w:hAnsi="Times New Roman"/>
          <w:sz w:val="24"/>
        </w:rPr>
        <w:t xml:space="preserve">0139, </w:t>
      </w:r>
      <w:r w:rsidRPr="00BC0383">
        <w:rPr>
          <w:rFonts w:ascii="Times New Roman" w:hAnsi="Times New Roman"/>
          <w:sz w:val="24"/>
        </w:rPr>
        <w:t>0183). Another commenter stated that EPA should include the STAA practicability assessment as part of the PHA because such an assessment will provide additional context to the public, local officials, and emergency managers regarding a facility’s consideration of risk management. The commenter added that the assessment should be used internally by the facility to plan future process and technology improvements to increase safety (0241).</w:t>
      </w:r>
    </w:p>
    <w:p w:rsidR="003B12AF" w:rsidP="003B12AF" w14:paraId="54C76B04" w14:textId="77777777">
      <w:pPr>
        <w:ind w:left="720"/>
        <w:rPr>
          <w:rStyle w:val="eop"/>
          <w:color w:val="000000"/>
          <w:shd w:val="clear" w:color="auto" w:fill="FFFFFF"/>
        </w:rPr>
      </w:pPr>
      <w:r>
        <w:rPr>
          <w:rFonts w:ascii="Times New Roman" w:hAnsi="Times New Roman"/>
          <w:b/>
          <w:bCs/>
          <w:sz w:val="24"/>
        </w:rPr>
        <w:t xml:space="preserve">EPA Response: </w:t>
      </w:r>
      <w:r w:rsidRPr="005E20CF">
        <w:rPr>
          <w:rFonts w:ascii="Times New Roman" w:hAnsi="Times New Roman"/>
          <w:sz w:val="24"/>
        </w:rPr>
        <w:t xml:space="preserve">EPA agrees that the practicability assessment will provide the public and local emergency managers with important context regarding a facility’s consideration of safer technologies and alternatives. In response to the comment that the practicability assessment should be used by facilities to increase safety, EPA believes that the final rule </w:t>
      </w:r>
      <w:r w:rsidRPr="005E20CF">
        <w:rPr>
          <w:rFonts w:ascii="Times New Roman" w:hAnsi="Times New Roman"/>
          <w:sz w:val="24"/>
        </w:rPr>
        <w:t>will allow the owner or operator to consider the potential for risk reduction, risk transfers, and tradeoffs when determining whether it is practicable to implement ISTs or ISDs considered. IST is a relative concept dependent on the hazard, the technology, and the facility. Therefore, EPA is requiring facilities to only consider IST as a possibility for addressing hazards rather than requiring ISTs be implemented. The final rule will give the facility owner or operator the flexibility to assess and to determine the practicability of any measures considered based on various factors for IST (including those involving risk transference).</w:t>
      </w:r>
      <w:r>
        <w:rPr>
          <w:rStyle w:val="eop"/>
          <w:color w:val="000000"/>
          <w:shd w:val="clear" w:color="auto" w:fill="FFFFFF"/>
        </w:rPr>
        <w:t> </w:t>
      </w:r>
    </w:p>
    <w:p w:rsidR="003B12AF" w:rsidRPr="00F14051" w:rsidP="003B12AF" w14:paraId="4A9FECBE" w14:textId="77777777">
      <w:pPr>
        <w:rPr>
          <w:rFonts w:ascii="Times New Roman" w:hAnsi="Times New Roman"/>
          <w:i/>
          <w:iCs/>
          <w:sz w:val="24"/>
        </w:rPr>
      </w:pPr>
      <w:r w:rsidRPr="00F14051">
        <w:rPr>
          <w:rFonts w:ascii="Times New Roman" w:hAnsi="Times New Roman"/>
          <w:i/>
          <w:iCs/>
          <w:sz w:val="24"/>
        </w:rPr>
        <w:t xml:space="preserve">Suggested revisions to the practicability assessment </w:t>
      </w:r>
    </w:p>
    <w:p w:rsidR="003B12AF" w:rsidP="003B12AF" w14:paraId="744A24C7" w14:textId="77777777">
      <w:pPr>
        <w:rPr>
          <w:rFonts w:ascii="Times New Roman" w:hAnsi="Times New Roman"/>
          <w:sz w:val="24"/>
        </w:rPr>
      </w:pPr>
      <w:r>
        <w:rPr>
          <w:rFonts w:ascii="Times New Roman" w:hAnsi="Times New Roman"/>
          <w:b/>
          <w:bCs/>
          <w:sz w:val="24"/>
        </w:rPr>
        <w:t xml:space="preserve">Comment 6.4.1-02: </w:t>
      </w:r>
      <w:r w:rsidRPr="006F68E9">
        <w:rPr>
          <w:rFonts w:ascii="Times New Roman" w:hAnsi="Times New Roman"/>
          <w:sz w:val="24"/>
        </w:rPr>
        <w:t xml:space="preserve">One commenter suggested that EPA not give the power to the facility to make the determination of whether a safer alternative is feasible, and instead have a third-party make the assessment with input from the facility and from vendors and experts (0248). </w:t>
      </w:r>
    </w:p>
    <w:p w:rsidR="0003715C" w:rsidRPr="0003715C" w:rsidP="008F1342" w14:paraId="30CD99CE" w14:textId="5F495FF7">
      <w:pPr>
        <w:ind w:left="720"/>
        <w:rPr>
          <w:rFonts w:ascii="Times New Roman" w:hAnsi="Times New Roman"/>
          <w:b/>
          <w:bCs/>
          <w:sz w:val="24"/>
        </w:rPr>
      </w:pPr>
      <w:r w:rsidRPr="008F1342">
        <w:rPr>
          <w:rFonts w:ascii="Times New Roman" w:hAnsi="Times New Roman"/>
          <w:b/>
          <w:bCs/>
          <w:sz w:val="24"/>
        </w:rPr>
        <w:t>EPA Response:</w:t>
      </w:r>
      <w:r>
        <w:rPr>
          <w:rFonts w:ascii="Times New Roman" w:hAnsi="Times New Roman"/>
          <w:b/>
          <w:bCs/>
          <w:sz w:val="24"/>
        </w:rPr>
        <w:t xml:space="preserve"> </w:t>
      </w:r>
      <w:r w:rsidRPr="008F1342">
        <w:rPr>
          <w:rFonts w:ascii="Times New Roman" w:hAnsi="Times New Roman"/>
          <w:sz w:val="24"/>
        </w:rPr>
        <w:t>EPA believes the practicability of potentially safer alternatives is situation-specific, and owners and operators are usually in the best position to make these determinations.</w:t>
      </w:r>
      <w:r w:rsidRPr="0003715C">
        <w:rPr>
          <w:rFonts w:ascii="Times New Roman" w:hAnsi="Times New Roman"/>
          <w:b/>
          <w:bCs/>
          <w:sz w:val="24"/>
        </w:rPr>
        <w:t xml:space="preserve"> </w:t>
      </w:r>
    </w:p>
    <w:p w:rsidR="003B12AF" w:rsidP="003B12AF" w14:paraId="3848EE7A" w14:textId="77777777">
      <w:pPr>
        <w:rPr>
          <w:rFonts w:ascii="Times New Roman" w:hAnsi="Times New Roman"/>
          <w:sz w:val="24"/>
        </w:rPr>
      </w:pPr>
      <w:r w:rsidRPr="001C7BB8">
        <w:rPr>
          <w:rFonts w:ascii="Times New Roman" w:hAnsi="Times New Roman"/>
          <w:b/>
          <w:sz w:val="24"/>
        </w:rPr>
        <w:t>Comment</w:t>
      </w:r>
      <w:r>
        <w:rPr>
          <w:rFonts w:ascii="Times New Roman" w:hAnsi="Times New Roman"/>
          <w:b/>
          <w:sz w:val="24"/>
        </w:rPr>
        <w:t xml:space="preserve"> 6.4.1-03</w:t>
      </w:r>
      <w:r w:rsidRPr="001C7BB8">
        <w:rPr>
          <w:rFonts w:ascii="Times New Roman" w:hAnsi="Times New Roman"/>
          <w:b/>
          <w:sz w:val="24"/>
        </w:rPr>
        <w:t xml:space="preserve">: </w:t>
      </w:r>
      <w:r w:rsidRPr="001C7BB8">
        <w:rPr>
          <w:rFonts w:ascii="Times New Roman" w:hAnsi="Times New Roman"/>
          <w:sz w:val="24"/>
        </w:rPr>
        <w:t xml:space="preserve">A couple of commenters questioned how EPA, focused on process safety, would be able to assess social and economic factors as part of the PHA STAA component. The commenters </w:t>
      </w:r>
      <w:r>
        <w:rPr>
          <w:rFonts w:ascii="Times New Roman" w:hAnsi="Times New Roman"/>
          <w:sz w:val="24"/>
        </w:rPr>
        <w:t>stated</w:t>
      </w:r>
      <w:r w:rsidRPr="001C7BB8">
        <w:rPr>
          <w:rFonts w:ascii="Times New Roman" w:hAnsi="Times New Roman"/>
          <w:sz w:val="24"/>
        </w:rPr>
        <w:t xml:space="preserve"> that the consideration of “social” factors extend far beyond the traditional, performance-oriented “process safety” scope of a PHA, presenting a conflict with the scope of the PHA required by OSHA’s PSM Standard. The commenters also </w:t>
      </w:r>
      <w:r>
        <w:rPr>
          <w:rFonts w:ascii="Times New Roman" w:hAnsi="Times New Roman"/>
          <w:sz w:val="24"/>
        </w:rPr>
        <w:t>said</w:t>
      </w:r>
      <w:r w:rsidRPr="001C7BB8">
        <w:rPr>
          <w:rFonts w:ascii="Times New Roman" w:hAnsi="Times New Roman"/>
          <w:sz w:val="24"/>
        </w:rPr>
        <w:t xml:space="preserve"> that EPA’s “practicability” definition and evaluation does not distinguish between technologies or practices that have been proffered in research papers or demonstrated in pilot plants versus at the large-scale facilities subject to the RMP and required to perform a STAA. The commenters emphasized that “real-world” technologies should be the focus of the STAA, not theoretical or possible technologies that have not been tested or tried at RMP-regulated sources (0229, 0232).</w:t>
      </w:r>
    </w:p>
    <w:p w:rsidR="003B12AF" w:rsidRPr="00A96342" w:rsidP="003B12AF" w14:paraId="60F19C47" w14:textId="36602332">
      <w:pPr>
        <w:ind w:left="720"/>
        <w:rPr>
          <w:rFonts w:ascii="Times New Roman" w:hAnsi="Times New Roman"/>
          <w:sz w:val="24"/>
        </w:rPr>
      </w:pPr>
      <w:r>
        <w:rPr>
          <w:rFonts w:ascii="Times New Roman" w:hAnsi="Times New Roman"/>
          <w:b/>
          <w:bCs/>
          <w:sz w:val="24"/>
        </w:rPr>
        <w:t xml:space="preserve">EPA Response: </w:t>
      </w:r>
      <w:r w:rsidRPr="00A96342">
        <w:rPr>
          <w:rFonts w:ascii="Times New Roman" w:hAnsi="Times New Roman"/>
          <w:sz w:val="24"/>
        </w:rPr>
        <w:t>In response to the comment that the consideration of “social” factors extends far beyond the traditional, performance-oriented “process safety” scope of a PHA, EPA disagrees. While the PHA identifies the hazards, the RMP PHA requires the facility to identify the risk management measures applicable to eliminating or reducing the risks from the process hazards. EPA believes that it is appropriate for a facility to consider the five practicability factors (i.e., economic, environmental, legal, social and technological) for evaluating the appropriateness of implementing for potential IST measures because some IST can involve significant costs or involve impacts that go beyond the facility. These factors are recognized and further discussed in in CCPS’ 2019, “Guidelines for Inherently Safer Chemical Processes, A Life Cycle Approach,” 3rd edition, and NJDEP’s Guidance for Toxic Catastrophe Prevention Act (TCPA), “Inherently Safer Technology (IST) Review,” Attachment 1 “Feasibility guidance.”</w:t>
      </w:r>
      <w:r>
        <w:rPr>
          <w:rStyle w:val="FootnoteReference"/>
          <w:rFonts w:ascii="Times New Roman" w:hAnsi="Times New Roman"/>
          <w:sz w:val="24"/>
        </w:rPr>
        <w:footnoteReference w:id="109"/>
      </w:r>
      <w:r w:rsidRPr="00A96342">
        <w:rPr>
          <w:rFonts w:ascii="Times New Roman" w:hAnsi="Times New Roman"/>
          <w:sz w:val="24"/>
        </w:rPr>
        <w:t> </w:t>
      </w:r>
    </w:p>
    <w:p w:rsidR="003B12AF" w:rsidRPr="00A96342" w:rsidP="003B12AF" w14:paraId="30054774" w14:textId="2CA878CB">
      <w:pPr>
        <w:ind w:left="720"/>
        <w:rPr>
          <w:rFonts w:ascii="Times New Roman" w:hAnsi="Times New Roman"/>
          <w:sz w:val="24"/>
        </w:rPr>
      </w:pPr>
      <w:r w:rsidRPr="00A96342">
        <w:rPr>
          <w:rFonts w:ascii="Times New Roman" w:hAnsi="Times New Roman"/>
          <w:sz w:val="24"/>
        </w:rPr>
        <w:t xml:space="preserve">In response to comments stating that “real-world” technologies should be the focus of the STAA, not theoretical or possible technologies that have not been tested or tried at </w:t>
      </w:r>
      <w:r w:rsidRPr="00A96342" w:rsidR="00752DFF">
        <w:rPr>
          <w:rFonts w:ascii="Times New Roman" w:hAnsi="Times New Roman"/>
          <w:sz w:val="24"/>
        </w:rPr>
        <w:t>RMP regulated</w:t>
      </w:r>
      <w:r w:rsidRPr="00A96342">
        <w:rPr>
          <w:rFonts w:ascii="Times New Roman" w:hAnsi="Times New Roman"/>
          <w:sz w:val="24"/>
        </w:rPr>
        <w:t xml:space="preserve"> sources, EPA expects that facilities will only evaluate chemical substitutes that have already been shown to be commercially viable and does not expect facility owners </w:t>
      </w:r>
      <w:r w:rsidRPr="00A96342">
        <w:rPr>
          <w:rFonts w:ascii="Times New Roman" w:hAnsi="Times New Roman"/>
          <w:sz w:val="24"/>
        </w:rPr>
        <w:t>or operators to expend a major effort on hypothetical or untested chemical substitutes or uses. </w:t>
      </w:r>
      <w:r w:rsidRPr="009B6664" w:rsidR="009B6664">
        <w:rPr>
          <w:rFonts w:ascii="Times New Roman" w:hAnsi="Times New Roman"/>
          <w:sz w:val="24"/>
        </w:rPr>
        <w:t>This approach is consistent with EPA’s authority to require reasonable regulations that prevent accidental releases to the greatest extent practicable</w:t>
      </w:r>
      <w:r w:rsidRPr="009B6664" w:rsidR="009B6664">
        <w:rPr>
          <w:rFonts w:ascii="Times New Roman" w:hAnsi="Times New Roman"/>
          <w:sz w:val="24"/>
        </w:rPr>
        <w:t>.</w:t>
      </w:r>
    </w:p>
    <w:p w:rsidR="003B12AF" w:rsidP="003B12AF" w14:paraId="55930A0D" w14:textId="77777777">
      <w:pPr>
        <w:rPr>
          <w:rFonts w:ascii="Times New Roman" w:hAnsi="Times New Roman"/>
          <w:sz w:val="24"/>
        </w:rPr>
      </w:pPr>
      <w:r>
        <w:rPr>
          <w:rFonts w:ascii="Times New Roman" w:hAnsi="Times New Roman"/>
          <w:b/>
          <w:bCs/>
          <w:sz w:val="24"/>
        </w:rPr>
        <w:t>Comment 6.4.1-04:</w:t>
      </w:r>
      <w:r>
        <w:rPr>
          <w:rFonts w:ascii="Times New Roman" w:hAnsi="Times New Roman"/>
          <w:sz w:val="24"/>
        </w:rPr>
        <w:t xml:space="preserve"> </w:t>
      </w:r>
      <w:r w:rsidRPr="006F68E9">
        <w:rPr>
          <w:rFonts w:ascii="Times New Roman" w:hAnsi="Times New Roman"/>
          <w:sz w:val="24"/>
        </w:rPr>
        <w:t xml:space="preserve">One commenter stated that while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ule’s definition of “practicability” already allows facilities to consider economic factors, the Agency should include additional regulatory text or separate guidance that fleshes out under what circumstances costs may make implementation of a STAA measure impracticable (0444).</w:t>
      </w:r>
    </w:p>
    <w:p w:rsidR="003B12AF" w:rsidRPr="001F2B87" w:rsidP="00D77D79" w14:paraId="04F5778F" w14:textId="6A0F1375">
      <w:pPr>
        <w:ind w:left="720"/>
        <w:rPr>
          <w:rFonts w:ascii="Times New Roman" w:hAnsi="Times New Roman"/>
          <w:b/>
          <w:sz w:val="24"/>
        </w:rPr>
      </w:pPr>
      <w:r w:rsidRPr="00D77D79">
        <w:rPr>
          <w:rFonts w:ascii="Times New Roman" w:hAnsi="Times New Roman"/>
          <w:b/>
          <w:bCs/>
          <w:sz w:val="24"/>
        </w:rPr>
        <w:t>EPA Response:</w:t>
      </w:r>
      <w:r w:rsidRPr="00AF2E6D" w:rsidR="00AF2E6D">
        <w:t xml:space="preserve"> </w:t>
      </w:r>
      <w:r w:rsidRPr="00D77D79" w:rsidR="00AF2E6D">
        <w:rPr>
          <w:rFonts w:ascii="Times New Roman" w:hAnsi="Times New Roman"/>
          <w:sz w:val="24"/>
        </w:rPr>
        <w:t>EPA intends to publish guidance for STAA</w:t>
      </w:r>
      <w:r w:rsidR="005D1CDC">
        <w:rPr>
          <w:rFonts w:ascii="Times New Roman" w:hAnsi="Times New Roman"/>
          <w:sz w:val="24"/>
        </w:rPr>
        <w:t xml:space="preserve"> including </w:t>
      </w:r>
      <w:r w:rsidR="007A34F2">
        <w:rPr>
          <w:rFonts w:ascii="Times New Roman" w:hAnsi="Times New Roman"/>
          <w:sz w:val="24"/>
        </w:rPr>
        <w:t>the practicability assessment. Once these m</w:t>
      </w:r>
      <w:r w:rsidRPr="00D77D79" w:rsidR="00AF2E6D">
        <w:rPr>
          <w:rFonts w:ascii="Times New Roman" w:hAnsi="Times New Roman"/>
          <w:sz w:val="24"/>
        </w:rPr>
        <w:t>aterials are complete, owners and operators can have time to familiarize themselves with the new materials if needing assistance in applying the provisions to improve process safety</w:t>
      </w:r>
      <w:r w:rsidRPr="00D77D79" w:rsidR="00AF2E6D">
        <w:rPr>
          <w:rFonts w:ascii="Times New Roman" w:hAnsi="Times New Roman"/>
          <w:sz w:val="24"/>
        </w:rPr>
        <w:t xml:space="preserve">. </w:t>
      </w:r>
      <w:r w:rsidRPr="00CB7F20" w:rsidR="00CB7F20">
        <w:rPr>
          <w:rFonts w:ascii="Times New Roman" w:hAnsi="Times New Roman"/>
          <w:sz w:val="24"/>
        </w:rPr>
        <w:t xml:space="preserve">EPA expects to develop and release this information approximately one year after this final rule. </w:t>
      </w:r>
      <w:r w:rsidRPr="00D77D79" w:rsidR="00AF2E6D">
        <w:rPr>
          <w:rFonts w:ascii="Times New Roman" w:hAnsi="Times New Roman"/>
          <w:sz w:val="24"/>
        </w:rPr>
        <w:t xml:space="preserve">However, </w:t>
      </w:r>
      <w:r w:rsidR="00D77D79">
        <w:rPr>
          <w:rFonts w:ascii="Times New Roman" w:hAnsi="Times New Roman"/>
          <w:sz w:val="24"/>
        </w:rPr>
        <w:t>the</w:t>
      </w:r>
      <w:r w:rsidRPr="00D77D79" w:rsidR="00AF2E6D">
        <w:rPr>
          <w:rFonts w:ascii="Times New Roman" w:hAnsi="Times New Roman"/>
          <w:sz w:val="24"/>
        </w:rPr>
        <w:t xml:space="preserve"> provisions for a source are a site-specific determination, so EPA expects all regulated RMP facilities to be successful in beginning to address the provisions immediately</w:t>
      </w:r>
      <w:r w:rsidRPr="7029657D" w:rsidR="3758E328">
        <w:rPr>
          <w:rFonts w:ascii="Times New Roman" w:hAnsi="Times New Roman"/>
          <w:sz w:val="24"/>
        </w:rPr>
        <w:t>, exercising reasonable judgment</w:t>
      </w:r>
      <w:r w:rsidRPr="7029657D" w:rsidR="1561F365">
        <w:rPr>
          <w:rFonts w:ascii="Times New Roman" w:hAnsi="Times New Roman"/>
          <w:sz w:val="24"/>
        </w:rPr>
        <w:t>.</w:t>
      </w:r>
    </w:p>
    <w:p w:rsidR="003B12AF" w:rsidRPr="008553EB" w:rsidP="003B12AF" w14:paraId="57F84C77" w14:textId="77777777">
      <w:pPr>
        <w:rPr>
          <w:rFonts w:ascii="Times New Roman" w:hAnsi="Times New Roman"/>
          <w:i/>
          <w:iCs/>
          <w:sz w:val="24"/>
        </w:rPr>
      </w:pPr>
      <w:r w:rsidRPr="008553EB">
        <w:rPr>
          <w:rFonts w:ascii="Times New Roman" w:hAnsi="Times New Roman"/>
          <w:i/>
          <w:iCs/>
          <w:sz w:val="24"/>
        </w:rPr>
        <w:t xml:space="preserve">Opposition to practicability assessment </w:t>
      </w:r>
    </w:p>
    <w:p w:rsidR="003B12AF" w:rsidP="003B12AF" w14:paraId="6B9A4ED0" w14:textId="77777777">
      <w:pPr>
        <w:rPr>
          <w:rFonts w:ascii="Times New Roman" w:hAnsi="Times New Roman"/>
          <w:sz w:val="24"/>
        </w:rPr>
      </w:pPr>
      <w:r w:rsidRPr="00734A32">
        <w:rPr>
          <w:rFonts w:ascii="Times New Roman" w:hAnsi="Times New Roman"/>
          <w:b/>
          <w:sz w:val="24"/>
        </w:rPr>
        <w:t>Comment</w:t>
      </w:r>
      <w:r>
        <w:rPr>
          <w:rFonts w:ascii="Times New Roman" w:hAnsi="Times New Roman"/>
          <w:b/>
          <w:sz w:val="24"/>
        </w:rPr>
        <w:t xml:space="preserve"> 6.4.1-05</w:t>
      </w:r>
      <w:r w:rsidRPr="00734A32">
        <w:rPr>
          <w:rFonts w:ascii="Times New Roman" w:hAnsi="Times New Roman"/>
          <w:b/>
          <w:sz w:val="24"/>
        </w:rPr>
        <w:t xml:space="preserve">: </w:t>
      </w:r>
      <w:r w:rsidRPr="00734A32">
        <w:rPr>
          <w:rFonts w:ascii="Times New Roman" w:hAnsi="Times New Roman"/>
          <w:sz w:val="24"/>
        </w:rPr>
        <w:t>One commenter opposed the proposed new 40 CFR 68.67(c)(9)(ii) and 68.175(e)(7) and stated that EPA should not adopt the proposed practicability assessment requirement. The commenter stated that they oppose any requirement to consider IST in existing processes at covered stationary sources.</w:t>
      </w:r>
      <w:r w:rsidRPr="006F68E9">
        <w:rPr>
          <w:rFonts w:ascii="Times New Roman" w:hAnsi="Times New Roman"/>
          <w:sz w:val="24"/>
        </w:rPr>
        <w:t xml:space="preserve"> The commenter also stated that the proposal for the owner or operator to notify EPA of any IST adopted is unnecessary because the current RMP provisions already requires the owner or operator to notify EPA and other RMP recipients every five years of process controls in place, mitigation systems in use, monitoring and detection systems in use, and changes since the last PHA. The commenter stated that this is sufficient because this information will reflect any changes made because of STAA. The commenter added that EPA does not explain why this longstanding provision is no longer sufficient nor does the proposed requirement add any benefit and only adds additional burden for covered facilities</w:t>
      </w:r>
      <w:r>
        <w:rPr>
          <w:rFonts w:ascii="Times New Roman" w:hAnsi="Times New Roman"/>
          <w:sz w:val="24"/>
        </w:rPr>
        <w:t xml:space="preserve"> </w:t>
      </w:r>
      <w:r w:rsidRPr="006F68E9">
        <w:rPr>
          <w:rFonts w:ascii="Times New Roman" w:hAnsi="Times New Roman"/>
          <w:sz w:val="24"/>
        </w:rPr>
        <w:t xml:space="preserve">(0215). </w:t>
      </w:r>
    </w:p>
    <w:p w:rsidR="003B12AF" w:rsidRPr="008E69B3" w:rsidP="003B12AF" w14:paraId="19CE7CBF" w14:textId="2320A64B">
      <w:pPr>
        <w:ind w:left="720"/>
        <w:rPr>
          <w:rFonts w:ascii="Times New Roman" w:hAnsi="Times New Roman"/>
          <w:sz w:val="24"/>
        </w:rPr>
      </w:pPr>
      <w:r>
        <w:rPr>
          <w:rFonts w:ascii="Times New Roman" w:hAnsi="Times New Roman"/>
          <w:b/>
          <w:bCs/>
          <w:sz w:val="24"/>
        </w:rPr>
        <w:t xml:space="preserve">EPA Response: </w:t>
      </w:r>
      <w:r w:rsidRPr="008E69B3">
        <w:rPr>
          <w:rFonts w:ascii="Times New Roman" w:hAnsi="Times New Roman"/>
          <w:sz w:val="24"/>
        </w:rPr>
        <w:t>The Agency is not requiring formal practicability assessments (as is now required for IST) for passive, active, or procedural measures. Since evaluation of passive, active and procedural measures have been a part of the RMP rule, leading to implementation of some, it is expected that the determination of their practicability already occurs. The Agency believes the requirement to determine what actions are to be taken in 40 CFR 68.67(e) suffices as a practicability determination for the less extensive upgrades or changes to the process as compared to IST. However, to ensure the assessment determining a measure is not practicable complies with the final rule definition, sources will be required to document this conclusion to the implementing agency’s satisfaction; this requirement will help ensure costs alone are not the sole factor in determining practicability. </w:t>
      </w:r>
      <w:r w:rsidRPr="7029657D" w:rsidR="4BCACC30">
        <w:rPr>
          <w:rFonts w:ascii="Times New Roman" w:hAnsi="Times New Roman"/>
          <w:sz w:val="24"/>
        </w:rPr>
        <w:t>The final rule establishes specific ways to report on IST/ISD considered or adopted, which should simplify reporting for sources</w:t>
      </w:r>
      <w:r w:rsidRPr="7029657D" w:rsidR="0A6FB162">
        <w:rPr>
          <w:rFonts w:ascii="Times New Roman" w:hAnsi="Times New Roman"/>
          <w:sz w:val="24"/>
        </w:rPr>
        <w:t xml:space="preserve">, in </w:t>
      </w:r>
      <w:r w:rsidRPr="7029657D" w:rsidR="009F19B9">
        <w:rPr>
          <w:rFonts w:ascii="Times New Roman" w:hAnsi="Times New Roman"/>
          <w:sz w:val="24"/>
        </w:rPr>
        <w:t>contrast</w:t>
      </w:r>
      <w:r w:rsidRPr="7029657D" w:rsidR="0A6FB162">
        <w:rPr>
          <w:rFonts w:ascii="Times New Roman" w:hAnsi="Times New Roman"/>
          <w:sz w:val="24"/>
        </w:rPr>
        <w:t xml:space="preserve"> to more open-ended narratives about changes at the source.</w:t>
      </w:r>
      <w:r w:rsidRPr="7029657D" w:rsidR="6BB2B8B7">
        <w:rPr>
          <w:rFonts w:ascii="Times New Roman" w:hAnsi="Times New Roman"/>
          <w:sz w:val="24"/>
        </w:rPr>
        <w:t>   </w:t>
      </w:r>
    </w:p>
    <w:p w:rsidR="003B12AF" w:rsidP="003B12AF" w14:paraId="57946D17" w14:textId="77777777">
      <w:pPr>
        <w:rPr>
          <w:rFonts w:ascii="Times New Roman" w:hAnsi="Times New Roman"/>
          <w:sz w:val="24"/>
        </w:rPr>
      </w:pPr>
      <w:r w:rsidRPr="00B312D6">
        <w:rPr>
          <w:rFonts w:ascii="Times New Roman" w:hAnsi="Times New Roman"/>
          <w:b/>
          <w:bCs/>
          <w:sz w:val="24"/>
        </w:rPr>
        <w:t>Comment</w:t>
      </w:r>
      <w:r>
        <w:rPr>
          <w:rFonts w:ascii="Times New Roman" w:hAnsi="Times New Roman"/>
          <w:b/>
          <w:bCs/>
          <w:sz w:val="24"/>
        </w:rPr>
        <w:t xml:space="preserve"> 6.4.1-06</w:t>
      </w:r>
      <w:r w:rsidRPr="00B312D6">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w:t>
      </w:r>
      <w:r>
        <w:rPr>
          <w:rFonts w:ascii="Times New Roman" w:hAnsi="Times New Roman"/>
          <w:sz w:val="24"/>
        </w:rPr>
        <w:t>discussed</w:t>
      </w:r>
      <w:r w:rsidRPr="006F68E9">
        <w:rPr>
          <w:rFonts w:ascii="Times New Roman" w:hAnsi="Times New Roman"/>
          <w:sz w:val="24"/>
        </w:rPr>
        <w:t xml:space="preserve"> the EPA notification requirement and the RMP IST </w:t>
      </w:r>
      <w:r w:rsidRPr="00DD166C">
        <w:rPr>
          <w:rFonts w:ascii="Times New Roman" w:hAnsi="Times New Roman"/>
          <w:sz w:val="24"/>
        </w:rPr>
        <w:t xml:space="preserve">requirement would tend to involve EPA and the public in the key decision-making of the </w:t>
      </w:r>
      <w:r w:rsidRPr="00DD166C">
        <w:rPr>
          <w:rFonts w:ascii="Times New Roman" w:hAnsi="Times New Roman"/>
          <w:sz w:val="24"/>
        </w:rPr>
        <w:t xml:space="preserve">owner or operator on how best to operate its stationary source. The commenter stated that this exceeds EPA’s </w:t>
      </w:r>
      <w:r w:rsidRPr="00B97598">
        <w:rPr>
          <w:rFonts w:ascii="Times New Roman" w:hAnsi="Times New Roman"/>
          <w:sz w:val="24"/>
        </w:rPr>
        <w:t>duty under § 112(r), which does not include allowing space for EPA or the public to influence decision-making or potential improvements to affected facilities that already meet RMP requirements (0215).</w:t>
      </w:r>
    </w:p>
    <w:p w:rsidR="003B12AF" w:rsidRPr="001B21B9" w:rsidP="003B12AF" w14:paraId="7429E6D7" w14:textId="603AD69E">
      <w:pPr>
        <w:ind w:left="720"/>
        <w:rPr>
          <w:rFonts w:ascii="Times New Roman" w:hAnsi="Times New Roman"/>
        </w:rPr>
      </w:pPr>
      <w:r w:rsidRPr="001B21B9">
        <w:rPr>
          <w:rFonts w:ascii="Times New Roman" w:hAnsi="Times New Roman"/>
          <w:b/>
          <w:bCs/>
          <w:sz w:val="24"/>
        </w:rPr>
        <w:t>EPA Response:</w:t>
      </w:r>
      <w:r w:rsidRPr="001B21B9" w:rsidR="00CC0257">
        <w:t xml:space="preserve"> </w:t>
      </w:r>
      <w:r w:rsidRPr="001B21B9" w:rsidR="00CC0257">
        <w:rPr>
          <w:rFonts w:ascii="Times New Roman" w:hAnsi="Times New Roman"/>
          <w:sz w:val="24"/>
        </w:rPr>
        <w:t xml:space="preserve">In response to the comments that the </w:t>
      </w:r>
      <w:r w:rsidRPr="001B21B9" w:rsidR="00F45B1E">
        <w:rPr>
          <w:rFonts w:ascii="Times New Roman" w:hAnsi="Times New Roman"/>
          <w:sz w:val="24"/>
        </w:rPr>
        <w:t>notification requirement and the RMP IST requirement would tend to involve EPA and the public in the key decision-making of the owner or operator on how best to operate its stationary source</w:t>
      </w:r>
      <w:r w:rsidRPr="001B21B9" w:rsidR="00CC0257">
        <w:rPr>
          <w:rFonts w:ascii="Times New Roman" w:hAnsi="Times New Roman"/>
          <w:sz w:val="24"/>
        </w:rPr>
        <w:t>,</w:t>
      </w:r>
      <w:r w:rsidRPr="001B21B9" w:rsidR="001F29D3">
        <w:rPr>
          <w:rFonts w:ascii="Times New Roman" w:hAnsi="Times New Roman"/>
          <w:sz w:val="24"/>
        </w:rPr>
        <w:t xml:space="preserve"> EPA disagrees.</w:t>
      </w:r>
      <w:r w:rsidRPr="001B21B9" w:rsidR="00CC0257">
        <w:rPr>
          <w:rFonts w:ascii="Times New Roman" w:hAnsi="Times New Roman"/>
          <w:sz w:val="24"/>
        </w:rPr>
        <w:t xml:space="preserve"> EPA notes that the hazard evaluation requirements for Program 2 (40 CFR 68.50) and Program 3 (40 CFR 68.67) processes remain unchanged – </w:t>
      </w:r>
      <w:r w:rsidRPr="001B21B9" w:rsidR="001B21B9">
        <w:rPr>
          <w:rFonts w:ascii="Times New Roman" w:hAnsi="Times New Roman"/>
          <w:sz w:val="24"/>
        </w:rPr>
        <w:t xml:space="preserve">for the owner or operator </w:t>
      </w:r>
      <w:r w:rsidRPr="001B21B9" w:rsidR="00CC0257">
        <w:rPr>
          <w:rFonts w:ascii="Times New Roman" w:hAnsi="Times New Roman"/>
          <w:sz w:val="24"/>
        </w:rPr>
        <w:t xml:space="preserve">to identify, evaluate, and control hazards involved in the process, assuring the recommendations are resolved in a timely manner. When facilities fail to conduct these activities, they will not be in compliance with the hazard evaluation provisions. EPA believes the flexibility permitted in hazards evaluations, that is, allowing facility owners and operators to choose which recommendations will be implemented, is the best approach for exercising reasonable judgement to determine what risk reduction measures work best for their particular chemical use, process, or facility. However, EPA views choosing to leave hazards unaddressed out of fear of public scrutiny as not exercising reasonable judgement, particularly when it may leave the process more vulnerable to accidental releases. </w:t>
      </w:r>
      <w:r w:rsidRPr="7029657D" w:rsidR="467B50E3">
        <w:rPr>
          <w:rFonts w:ascii="Times New Roman" w:hAnsi="Times New Roman"/>
          <w:sz w:val="24"/>
        </w:rPr>
        <w:t>EPA has oversight authority and responsibilities under CAA section 112(r)(7) and the RMP rule</w:t>
      </w:r>
      <w:r w:rsidRPr="7029657D" w:rsidR="5B6415C6">
        <w:rPr>
          <w:rFonts w:ascii="Times New Roman" w:hAnsi="Times New Roman"/>
          <w:sz w:val="24"/>
        </w:rPr>
        <w:t>. With this authority, we may require explanations of safety decisions in order to assure that the flexibilities for so</w:t>
      </w:r>
      <w:r w:rsidRPr="7029657D" w:rsidR="5829AE07">
        <w:rPr>
          <w:rFonts w:ascii="Times New Roman" w:hAnsi="Times New Roman"/>
          <w:sz w:val="24"/>
        </w:rPr>
        <w:t xml:space="preserve">urces </w:t>
      </w:r>
      <w:r w:rsidRPr="7029657D" w:rsidR="5B6415C6">
        <w:rPr>
          <w:rFonts w:ascii="Times New Roman" w:hAnsi="Times New Roman"/>
          <w:sz w:val="24"/>
        </w:rPr>
        <w:t>allowed in the RMP rule</w:t>
      </w:r>
      <w:r w:rsidRPr="7029657D" w:rsidR="5FD1539B">
        <w:rPr>
          <w:rFonts w:ascii="Times New Roman" w:hAnsi="Times New Roman"/>
          <w:sz w:val="24"/>
        </w:rPr>
        <w:t xml:space="preserve"> are being exercised reasonably, in compliance with the RMP rule.</w:t>
      </w:r>
    </w:p>
    <w:p w:rsidR="003B12AF" w:rsidRPr="00487DBB" w:rsidP="00E17C94" w14:paraId="0689BDFF" w14:textId="77777777">
      <w:pPr>
        <w:pStyle w:val="Heading3"/>
        <w:keepNext w:val="0"/>
        <w:keepLines w:val="0"/>
        <w:numPr>
          <w:ilvl w:val="2"/>
          <w:numId w:val="1"/>
        </w:numPr>
        <w:spacing w:before="120" w:after="120"/>
        <w:rPr>
          <w:rFonts w:ascii="Times New Roman" w:hAnsi="Times New Roman" w:eastAsiaTheme="minorEastAsia" w:cs="Times New Roman"/>
          <w:b/>
          <w:bCs/>
          <w:color w:val="auto"/>
        </w:rPr>
      </w:pPr>
      <w:bookmarkStart w:id="86" w:name="_Toc153373797"/>
      <w:r w:rsidRPr="00487DBB">
        <w:rPr>
          <w:rFonts w:ascii="Times New Roman" w:hAnsi="Times New Roman" w:eastAsiaTheme="minorEastAsia" w:cs="Times New Roman"/>
          <w:b/>
          <w:bCs/>
          <w:color w:val="auto"/>
        </w:rPr>
        <w:t>Implementation of technically practicable IST/ISD and STAAs</w:t>
      </w:r>
      <w:bookmarkEnd w:id="86"/>
    </w:p>
    <w:p w:rsidR="003B12AF" w:rsidRPr="008244E6" w:rsidP="003B12AF" w14:paraId="6D4A84B9" w14:textId="77777777">
      <w:pPr>
        <w:rPr>
          <w:rFonts w:ascii="Times New Roman" w:hAnsi="Times New Roman"/>
          <w:i/>
          <w:iCs/>
          <w:sz w:val="24"/>
        </w:rPr>
      </w:pPr>
      <w:r>
        <w:rPr>
          <w:rFonts w:ascii="Times New Roman" w:hAnsi="Times New Roman"/>
          <w:i/>
          <w:iCs/>
          <w:sz w:val="24"/>
        </w:rPr>
        <w:t>Support for</w:t>
      </w:r>
      <w:r w:rsidRPr="008244E6">
        <w:rPr>
          <w:rFonts w:ascii="Times New Roman" w:hAnsi="Times New Roman"/>
          <w:i/>
          <w:iCs/>
          <w:sz w:val="24"/>
        </w:rPr>
        <w:t xml:space="preserve"> requiring implementation of technically practicable IST/ISD and STAAs</w:t>
      </w:r>
    </w:p>
    <w:p w:rsidR="003B12AF" w:rsidP="003B12AF" w14:paraId="5ED2AA09" w14:textId="77777777">
      <w:pPr>
        <w:rPr>
          <w:rFonts w:ascii="Times New Roman" w:hAnsi="Times New Roman"/>
          <w:sz w:val="24"/>
        </w:rPr>
      </w:pPr>
      <w:r>
        <w:rPr>
          <w:rFonts w:ascii="Times New Roman" w:hAnsi="Times New Roman"/>
          <w:b/>
          <w:bCs/>
          <w:sz w:val="24"/>
        </w:rPr>
        <w:t xml:space="preserve">Comment 6.4.2-01: </w:t>
      </w:r>
      <w:r w:rsidRPr="0064170C">
        <w:rPr>
          <w:rFonts w:ascii="Times New Roman" w:hAnsi="Times New Roman"/>
          <w:sz w:val="24"/>
        </w:rPr>
        <w:t>Many commenters requested that EPA require implementation of IST/ISD and STAAs (</w:t>
      </w:r>
      <w:r>
        <w:rPr>
          <w:rFonts w:ascii="Times New Roman" w:hAnsi="Times New Roman"/>
          <w:sz w:val="24"/>
        </w:rPr>
        <w:t xml:space="preserve">0135, 0139, </w:t>
      </w:r>
      <w:r w:rsidRPr="0064170C">
        <w:rPr>
          <w:rFonts w:ascii="Times New Roman" w:hAnsi="Times New Roman"/>
          <w:sz w:val="24"/>
        </w:rPr>
        <w:t xml:space="preserve">0157, 0160, 0178, 0204, </w:t>
      </w:r>
      <w:r>
        <w:rPr>
          <w:rFonts w:ascii="Times New Roman" w:hAnsi="Times New Roman"/>
          <w:sz w:val="24"/>
        </w:rPr>
        <w:t xml:space="preserve">0208, 0219, </w:t>
      </w:r>
      <w:r w:rsidRPr="0064170C">
        <w:rPr>
          <w:rFonts w:ascii="Times New Roman" w:hAnsi="Times New Roman"/>
          <w:sz w:val="24"/>
        </w:rPr>
        <w:t xml:space="preserve">0240, 0248, 0252, 0264, 0269, 0270, </w:t>
      </w:r>
      <w:r>
        <w:rPr>
          <w:rFonts w:ascii="Times New Roman" w:hAnsi="Times New Roman"/>
          <w:sz w:val="24"/>
        </w:rPr>
        <w:t xml:space="preserve">0366, 0383, </w:t>
      </w:r>
      <w:r w:rsidRPr="0064170C">
        <w:rPr>
          <w:rFonts w:ascii="Times New Roman" w:hAnsi="Times New Roman"/>
          <w:sz w:val="24"/>
        </w:rPr>
        <w:t>0392, 0407, 0409,</w:t>
      </w:r>
      <w:r>
        <w:rPr>
          <w:rFonts w:ascii="Times New Roman" w:hAnsi="Times New Roman"/>
          <w:b/>
          <w:bCs/>
          <w:sz w:val="24"/>
        </w:rPr>
        <w:t xml:space="preserve"> </w:t>
      </w:r>
      <w:r w:rsidRPr="00876759">
        <w:rPr>
          <w:rFonts w:ascii="Times New Roman" w:hAnsi="Times New Roman"/>
          <w:sz w:val="24"/>
        </w:rPr>
        <w:t xml:space="preserve">0447, </w:t>
      </w:r>
      <w:r>
        <w:rPr>
          <w:rFonts w:ascii="Times New Roman" w:hAnsi="Times New Roman"/>
          <w:sz w:val="24"/>
        </w:rPr>
        <w:t xml:space="preserve">0449, </w:t>
      </w:r>
      <w:r w:rsidRPr="00876759">
        <w:rPr>
          <w:rFonts w:ascii="Times New Roman" w:hAnsi="Times New Roman"/>
          <w:sz w:val="24"/>
        </w:rPr>
        <w:t>0460</w:t>
      </w:r>
      <w:r>
        <w:rPr>
          <w:rFonts w:ascii="Times New Roman" w:hAnsi="Times New Roman"/>
          <w:sz w:val="24"/>
        </w:rPr>
        <w:t xml:space="preserve">). </w:t>
      </w:r>
      <w:r w:rsidRPr="006F68E9">
        <w:rPr>
          <w:rFonts w:ascii="Times New Roman" w:hAnsi="Times New Roman"/>
          <w:sz w:val="24"/>
        </w:rPr>
        <w:t xml:space="preserve">One of the commenters </w:t>
      </w:r>
      <w:r>
        <w:rPr>
          <w:rFonts w:ascii="Times New Roman" w:hAnsi="Times New Roman"/>
          <w:sz w:val="24"/>
        </w:rPr>
        <w:t>urged EPA to require</w:t>
      </w:r>
      <w:r w:rsidRPr="006F68E9">
        <w:rPr>
          <w:rFonts w:ascii="Times New Roman" w:hAnsi="Times New Roman"/>
          <w:sz w:val="24"/>
        </w:rPr>
        <w:t xml:space="preserve"> implementation at all Program 2 and Program 3 facilities (0139).</w:t>
      </w:r>
    </w:p>
    <w:p w:rsidR="003B12AF" w:rsidRPr="00B97598" w:rsidP="003B12AF" w14:paraId="52D20CC9" w14:textId="7E2F88FF">
      <w:pPr>
        <w:tabs>
          <w:tab w:val="left" w:pos="720"/>
        </w:tabs>
        <w:ind w:left="720"/>
        <w:rPr>
          <w:rFonts w:ascii="Times New Roman" w:hAnsi="Times New Roman"/>
          <w:sz w:val="24"/>
        </w:rPr>
      </w:pPr>
      <w:r w:rsidRPr="00B97598">
        <w:rPr>
          <w:rFonts w:ascii="Times New Roman" w:hAnsi="Times New Roman"/>
          <w:b/>
          <w:bCs/>
          <w:sz w:val="24"/>
        </w:rPr>
        <w:t>EPA Response:</w:t>
      </w:r>
      <w:r w:rsidRPr="00B97598">
        <w:rPr>
          <w:rFonts w:ascii="Times New Roman" w:hAnsi="Times New Roman"/>
          <w:sz w:val="24"/>
        </w:rPr>
        <w:t xml:space="preserve"> Taking an important step to reinforce these crucial factors, today’s</w:t>
      </w:r>
      <w:r w:rsidRPr="00B97598">
        <w:rPr>
          <w:rFonts w:ascii="Times New Roman" w:hAnsi="Times New Roman"/>
          <w:sz w:val="24"/>
        </w:rPr>
        <w:t xml:space="preserve"> </w:t>
      </w:r>
      <w:r w:rsidRPr="00B97598">
        <w:rPr>
          <w:rFonts w:ascii="Times New Roman" w:hAnsi="Times New Roman"/>
          <w:sz w:val="24"/>
        </w:rPr>
        <w:t xml:space="preserve">final rule is requiring processes subject to the IST practicability assessment to also implement at least one practicable passive measure resulting from the STAA evaluation. For this provision, practicable active and procedural measures or their combination can be implemented as a substitute to practicable passive measures if no practicable passive measures are identified or if they achieve layers of protection equivalent to or greater than the risk reduction of passive measures. </w:t>
      </w:r>
      <w:bookmarkStart w:id="87" w:name="_Hlk141973404"/>
      <w:r w:rsidRPr="00B97598">
        <w:rPr>
          <w:rFonts w:ascii="Times New Roman" w:hAnsi="Times New Roman"/>
          <w:sz w:val="24"/>
        </w:rPr>
        <w:t>This provision is intended to reduce the risks of the accidental releases by requiring processes that EPA has identified to present a heightened risk to a community to implement reliable safeguards necessary to help prevent or mitigate chemical releases and their consequences</w:t>
      </w:r>
      <w:bookmarkEnd w:id="87"/>
      <w:r w:rsidRPr="00B97598">
        <w:rPr>
          <w:rFonts w:ascii="Times New Roman" w:hAnsi="Times New Roman"/>
          <w:sz w:val="24"/>
        </w:rPr>
        <w:t xml:space="preserve">; in particular, the provision requires RMP-regulated facilities with P3 processes: (1) in NAICS codes 324 and 325 located within 1 mile of another NAICS 324 or 325 facility; (2) in NAICS codes 324 and 325 that has had an accidental release that meets the accident history reporting requirements under 40 CFR 68.42 since the facility’s most recent PHA; and (3) in NAICS 324 with hydrofluoric alkylation processes—to implement practicable safeguards that help prevent or mitigate chemical releases and their consequences. </w:t>
      </w:r>
    </w:p>
    <w:p w:rsidR="003B12AF" w:rsidRPr="00B97598" w:rsidP="003B12AF" w14:paraId="5F415BFA" w14:textId="5F9B6DCA">
      <w:pPr>
        <w:tabs>
          <w:tab w:val="left" w:pos="720"/>
        </w:tabs>
        <w:ind w:left="720"/>
        <w:rPr>
          <w:rFonts w:ascii="Times New Roman" w:hAnsi="Times New Roman"/>
          <w:sz w:val="24"/>
        </w:rPr>
      </w:pPr>
      <w:r w:rsidRPr="00B97598">
        <w:rPr>
          <w:rFonts w:ascii="Times New Roman" w:hAnsi="Times New Roman"/>
          <w:sz w:val="24"/>
        </w:rPr>
        <w:t>The PHA requirements at 40 CFR 68.67 have always required sources to “identify, evaluate and control the hazards involved in the process.” Currently the provision does not prescribe exactly which type or what measures must be implemented to control the hazards. In guidance, the Agency discusses how sources can resolve hazard evaluation recommendations after identifying and evaluating solutions to control hazards, stating that, “EPA does not require that you implement every recommendation. It is up to you to make reasonable decisions about which recommendations are necessary and feasible. You may decide that other steps are as effective as the recommended actions or that the risk is too low to merit the expense. You must, however, document your decision on each recommendation.”</w:t>
      </w:r>
      <w:r>
        <w:rPr>
          <w:rFonts w:ascii="Times New Roman" w:hAnsi="Times New Roman"/>
          <w:sz w:val="24"/>
        </w:rPr>
        <w:footnoteReference w:id="110"/>
      </w:r>
      <w:r w:rsidRPr="00B97598">
        <w:rPr>
          <w:rFonts w:ascii="Times New Roman" w:hAnsi="Times New Roman"/>
          <w:sz w:val="24"/>
        </w:rPr>
        <w:t xml:space="preserve"> Guidance further indicates, “You may not always agree with your PHA team's recommendations and may wish to reject a recommendation. OSHA's compliance directive CPL 2-2.45A(revised) states that you may decline a team recommendation if you can document one of the following: (1) the analysis upon which the recommendation is based contains relevant factual errors; (2) the recommendation is not necessary to protect the health of employees or contractors; (3) an alternative measure would provide a sufficient level of protection; or (4) the recommendation is infeasible. For part 68, you may also decline a recommendation if you can show that it is not necessary to protect public health and the environment.”</w:t>
      </w:r>
      <w:r>
        <w:rPr>
          <w:rFonts w:ascii="Times New Roman" w:hAnsi="Times New Roman"/>
          <w:sz w:val="24"/>
        </w:rPr>
        <w:footnoteReference w:id="111"/>
      </w:r>
      <w:r w:rsidRPr="00B97598">
        <w:rPr>
          <w:rFonts w:ascii="Times New Roman" w:hAnsi="Times New Roman"/>
          <w:sz w:val="24"/>
        </w:rPr>
        <w:t xml:space="preserve">  While EPA continues to believe that the source has the primary expertise and resources to weigh decisions on process design, process safety and accident prevention, EPA is concerned that controlling hazards and adopting reasonable safety measures and layers of protection necessary to keep </w:t>
      </w:r>
      <w:r w:rsidRPr="00B97598">
        <w:rPr>
          <w:rFonts w:ascii="Times New Roman" w:hAnsi="Times New Roman"/>
          <w:sz w:val="24"/>
        </w:rPr>
        <w:t>the public and environment safe from chemical releases based on reasoned, documented decision-making do not always occur.</w:t>
      </w:r>
    </w:p>
    <w:p w:rsidR="003B12AF" w:rsidRPr="00B97598" w:rsidP="003B12AF" w14:paraId="6972614E" w14:textId="77777777">
      <w:pPr>
        <w:tabs>
          <w:tab w:val="left" w:pos="720"/>
        </w:tabs>
        <w:ind w:left="720"/>
        <w:rPr>
          <w:rFonts w:ascii="Times New Roman" w:hAnsi="Times New Roman"/>
          <w:sz w:val="24"/>
        </w:rPr>
      </w:pPr>
      <w:r w:rsidRPr="00B97598">
        <w:rPr>
          <w:rFonts w:ascii="Times New Roman" w:hAnsi="Times New Roman"/>
          <w:sz w:val="24"/>
        </w:rPr>
        <w:t>In two recent CSB accident reports, “FCC Unit Explosion and Asphalt Fire at Husky Superior Refinery,”</w:t>
      </w:r>
      <w:r>
        <w:rPr>
          <w:rFonts w:ascii="Times New Roman" w:hAnsi="Times New Roman"/>
          <w:sz w:val="24"/>
        </w:rPr>
        <w:footnoteReference w:id="112"/>
      </w:r>
      <w:r w:rsidRPr="00B97598">
        <w:rPr>
          <w:rFonts w:ascii="Times New Roman" w:hAnsi="Times New Roman"/>
          <w:sz w:val="24"/>
        </w:rPr>
        <w:t xml:space="preserve"> and, “Fire and Explosions at Philadelphia Energy Solutions Refinery Hydrofluoric Acid Alkylation Unit,”</w:t>
      </w:r>
      <w:r>
        <w:rPr>
          <w:rFonts w:ascii="Times New Roman" w:hAnsi="Times New Roman"/>
          <w:sz w:val="24"/>
        </w:rPr>
        <w:footnoteReference w:id="113"/>
      </w:r>
      <w:r w:rsidRPr="00B97598">
        <w:rPr>
          <w:rFonts w:ascii="Times New Roman" w:hAnsi="Times New Roman"/>
          <w:sz w:val="24"/>
        </w:rPr>
        <w:t xml:space="preserve"> the CSB addresses safeguards that should have been in place to prevent or mitigate major accidents at refineries. These cases highlight the consequences to workers and the surrounding community when sources do not take the necessary steps to implement safeguards to control known hazards.</w:t>
      </w:r>
    </w:p>
    <w:p w:rsidR="003B12AF" w:rsidRPr="00B97598" w:rsidP="003B12AF" w14:paraId="640BE538" w14:textId="77777777">
      <w:pPr>
        <w:tabs>
          <w:tab w:val="left" w:pos="720"/>
        </w:tabs>
        <w:ind w:left="720"/>
        <w:rPr>
          <w:rFonts w:ascii="Times New Roman" w:hAnsi="Times New Roman"/>
          <w:sz w:val="24"/>
        </w:rPr>
      </w:pPr>
      <w:r w:rsidRPr="00B97598">
        <w:rPr>
          <w:rFonts w:ascii="Times New Roman" w:hAnsi="Times New Roman"/>
          <w:sz w:val="24"/>
        </w:rPr>
        <w:t xml:space="preserve">On April 26, 2018, an explosion and subsequent fire occurred at Husky Energy’s Superior Refining Company LLC refinery in Superior, Wisconsin (Husky). The incident occurred during a planned maintenance event when flammable hydrocarbons inadvertently mixed with air. As a result of the explosion and fire, 36 refinery and contract workers were injured and sought medical attention. The CSB found that Husky failed to properly implement safeguards that could have prevented the inadvertent mixing of air and hydrocarbons during the shutdown. The safeguards CSB identified, a steam barrier, gas purge, and slide valves, are typically vital to this type of process and are generally known and broadly applied within the refining industry. Not applying these </w:t>
      </w:r>
      <w:r w:rsidRPr="00B97598">
        <w:rPr>
          <w:rFonts w:ascii="Times New Roman" w:hAnsi="Times New Roman"/>
          <w:sz w:val="24"/>
        </w:rPr>
        <w:t xml:space="preserve">safeguards allowed oxygen to enter and accumulate in process equipment containing flammable material, which ignited and exploded. </w:t>
      </w:r>
    </w:p>
    <w:p w:rsidR="003B12AF" w:rsidRPr="00B97598" w:rsidP="003B12AF" w14:paraId="37658729" w14:textId="77777777">
      <w:pPr>
        <w:tabs>
          <w:tab w:val="left" w:pos="720"/>
        </w:tabs>
        <w:ind w:left="720"/>
        <w:rPr>
          <w:rFonts w:ascii="Times New Roman" w:hAnsi="Times New Roman"/>
          <w:sz w:val="24"/>
        </w:rPr>
      </w:pPr>
      <w:r w:rsidRPr="00B97598">
        <w:rPr>
          <w:rFonts w:ascii="Times New Roman" w:hAnsi="Times New Roman"/>
          <w:sz w:val="24"/>
        </w:rPr>
        <w:t>On Friday June 21, 2019, Philadelphia Energy Solutions refinery in Philadelphia, Pennsylvania (PES) had a release of propane and toxic hydrofluoric acid vapor from a ruptured pipe in the PES refinery alkylation unit. The vapor found an ignition source, causing a fire and multiple explosions. Five workers and a firefighter experienced minor injuries during the incident and response. The incident also resulted in estimated property damage of $750 million. The CSB determined the cause of rupture was from a piping component that corroded. CSB indicated that the absence of safeguards, remotely operated emergency isolation valves, and passive safeguards to prevent incident-induced damage to the water mitigation system, contributed to the severity of the incident.</w:t>
      </w:r>
    </w:p>
    <w:p w:rsidR="003B12AF" w:rsidP="003B12AF" w14:paraId="4CFF065C" w14:textId="77777777">
      <w:pPr>
        <w:rPr>
          <w:rFonts w:ascii="Times New Roman" w:hAnsi="Times New Roman"/>
          <w:sz w:val="24"/>
        </w:rPr>
      </w:pPr>
      <w:r w:rsidRPr="00876759">
        <w:rPr>
          <w:rFonts w:ascii="Times New Roman" w:hAnsi="Times New Roman"/>
          <w:b/>
          <w:sz w:val="24"/>
        </w:rPr>
        <w:t>Comment</w:t>
      </w:r>
      <w:r>
        <w:rPr>
          <w:rFonts w:ascii="Times New Roman" w:hAnsi="Times New Roman"/>
          <w:b/>
          <w:sz w:val="24"/>
        </w:rPr>
        <w:t xml:space="preserve"> 6.4.1-02</w:t>
      </w:r>
      <w:r w:rsidRPr="00876759">
        <w:rPr>
          <w:rFonts w:ascii="Times New Roman" w:hAnsi="Times New Roman"/>
          <w:b/>
          <w:sz w:val="24"/>
        </w:rPr>
        <w:t xml:space="preserve">: </w:t>
      </w:r>
      <w:r w:rsidRPr="00922E47">
        <w:rPr>
          <w:rFonts w:ascii="Times New Roman" w:hAnsi="Times New Roman"/>
          <w:sz w:val="24"/>
        </w:rPr>
        <w:t xml:space="preserve">One of the commenters stated that relying on voluntary measures alone does not satisfy the requirement of the Act to for EPA to assure prevention “to the greatest extent practicable”. Moreover, the commenter requested EPA to not consider costs, including cost uncertainty, to facilities as a justification for not requiring STAA implementation. The commenter added that many of the most hazardous facilities, including petroleum refineries, chemical manufacturers, pulp/paper mills, fertilizer plants, and water treatment plants, have well-documented availability of inherently safer technologies. The commenter </w:t>
      </w:r>
      <w:r>
        <w:rPr>
          <w:rFonts w:ascii="Times New Roman" w:hAnsi="Times New Roman"/>
          <w:sz w:val="24"/>
        </w:rPr>
        <w:t>stated</w:t>
      </w:r>
      <w:r w:rsidRPr="00922E47">
        <w:rPr>
          <w:rFonts w:ascii="Times New Roman" w:hAnsi="Times New Roman"/>
          <w:sz w:val="24"/>
        </w:rPr>
        <w:t xml:space="preserve"> the proposal is inconsistent with the CSB recommendation requiring both assessment and implementation of IST. The commenter also stated that the record does not support any decision that would not implement prevention activities (0460).</w:t>
      </w:r>
      <w:r w:rsidRPr="006F68E9">
        <w:rPr>
          <w:rFonts w:ascii="Times New Roman" w:hAnsi="Times New Roman"/>
          <w:sz w:val="24"/>
        </w:rPr>
        <w:t xml:space="preserve"> </w:t>
      </w:r>
    </w:p>
    <w:p w:rsidR="003B12AF" w:rsidP="003B12AF" w14:paraId="6EA3E8C9" w14:textId="77777777">
      <w:pPr>
        <w:rPr>
          <w:rFonts w:ascii="Times New Roman" w:hAnsi="Times New Roman"/>
          <w:sz w:val="24"/>
        </w:rPr>
      </w:pPr>
      <w:r>
        <w:rPr>
          <w:rFonts w:ascii="Times New Roman" w:hAnsi="Times New Roman"/>
          <w:sz w:val="24"/>
        </w:rPr>
        <w:t>The</w:t>
      </w:r>
      <w:r w:rsidRPr="00922E47">
        <w:rPr>
          <w:rFonts w:ascii="Times New Roman" w:hAnsi="Times New Roman"/>
          <w:sz w:val="24"/>
        </w:rPr>
        <w:t xml:space="preserve"> commenter claimed that relying on voluntary implementation alone is insufficient to protect fenceline communities who have seen facilities repeatedly refuse to implement safer ways to operate, no matter how inexpensive or easy they may be. The commenter stated that voluntary measures cannot be relied upon given that market failure has delayed and prevented common-sense solutions. The commenter stated that, while the STAA, practicability assessment and justification report are all valuable and should be expanded and finalized, the rule should require the implementation of practicable IST through careful consultation with workers and worker representatives and community members. The commenter </w:t>
      </w:r>
      <w:r>
        <w:rPr>
          <w:rFonts w:ascii="Times New Roman" w:hAnsi="Times New Roman"/>
          <w:sz w:val="24"/>
        </w:rPr>
        <w:t>said</w:t>
      </w:r>
      <w:r w:rsidRPr="00922E47">
        <w:rPr>
          <w:rFonts w:ascii="Times New Roman" w:hAnsi="Times New Roman"/>
          <w:sz w:val="24"/>
        </w:rPr>
        <w:t xml:space="preserve"> the importance of assuring a just transition for changes to any work conditions or employment (0460).</w:t>
      </w:r>
    </w:p>
    <w:p w:rsidR="003B12AF" w:rsidP="003B12AF" w14:paraId="21266068" w14:textId="08D49B17">
      <w:pPr>
        <w:ind w:left="720"/>
        <w:rPr>
          <w:rFonts w:ascii="Times New Roman" w:hAnsi="Times New Roman"/>
          <w:sz w:val="24"/>
        </w:rPr>
      </w:pPr>
      <w:r w:rsidRPr="00B97598">
        <w:rPr>
          <w:rFonts w:ascii="Times New Roman" w:hAnsi="Times New Roman"/>
          <w:b/>
          <w:bCs/>
          <w:sz w:val="24"/>
        </w:rPr>
        <w:t>EPA Response:</w:t>
      </w:r>
      <w:r w:rsidRPr="00B97598">
        <w:rPr>
          <w:rFonts w:ascii="Times New Roman" w:hAnsi="Times New Roman"/>
          <w:sz w:val="24"/>
        </w:rPr>
        <w:t xml:space="preserve"> As discussed in previous rulemakings, the hierarchy of control methods in an STAA analysis—IST/ISD, passive, active, procedural—systematically provides for the identification of practicable control methods. The Agency expects the STAA analyses to lead to new hazard control approaches at sources where management finds such approaches to be reasonable and practicable. The Agency acknowledges</w:t>
      </w:r>
      <w:r w:rsidR="009E35C2">
        <w:rPr>
          <w:rFonts w:ascii="Times New Roman" w:hAnsi="Times New Roman"/>
          <w:sz w:val="24"/>
        </w:rPr>
        <w:t xml:space="preserve"> </w:t>
      </w:r>
      <w:r w:rsidRPr="00B97598">
        <w:rPr>
          <w:rFonts w:ascii="Times New Roman" w:hAnsi="Times New Roman"/>
          <w:sz w:val="24"/>
        </w:rPr>
        <w:t xml:space="preserve">requiring facilities to implement IST can involve extensive </w:t>
      </w:r>
      <w:r w:rsidRPr="00B97598">
        <w:rPr>
          <w:rFonts w:ascii="Times New Roman" w:hAnsi="Times New Roman"/>
          <w:sz w:val="24"/>
        </w:rPr>
        <w:t xml:space="preserve">changes </w:t>
      </w:r>
      <w:r w:rsidRPr="00B97598">
        <w:rPr>
          <w:rFonts w:ascii="Times New Roman" w:hAnsi="Times New Roman"/>
          <w:sz w:val="24"/>
        </w:rPr>
        <w:t xml:space="preserve">to a facility’s process, depending on the IST, especially if it involves substitution of alternative chemicals and/or major process redesign to existing processes. EPA believes that measures lower on the hierarchy of controls, passive, active and procedural measures, when implemented appropriately, can be used to help operate a hazardous chemical process safely and can also reduce hazard risks of that process. When compared with IST, these measures could also more likely be added, modified, and improved after the initial design or operation of a facility. </w:t>
      </w:r>
    </w:p>
    <w:p w:rsidR="00FD7D60" w:rsidRPr="00B97598" w:rsidP="003B12AF" w14:paraId="786023B0" w14:textId="01967B1F">
      <w:pPr>
        <w:ind w:left="720"/>
        <w:rPr>
          <w:rFonts w:ascii="Times New Roman" w:hAnsi="Times New Roman"/>
          <w:sz w:val="24"/>
        </w:rPr>
      </w:pPr>
      <w:r w:rsidRPr="00FD7D60">
        <w:rPr>
          <w:rFonts w:ascii="Times New Roman" w:hAnsi="Times New Roman"/>
          <w:sz w:val="24"/>
        </w:rPr>
        <w:t xml:space="preserve">Nothing in </w:t>
      </w:r>
      <w:r w:rsidR="001B6814">
        <w:rPr>
          <w:rFonts w:ascii="Times New Roman" w:hAnsi="Times New Roman"/>
          <w:sz w:val="24"/>
        </w:rPr>
        <w:t xml:space="preserve">the </w:t>
      </w:r>
      <w:r w:rsidR="00DB723E">
        <w:rPr>
          <w:rFonts w:ascii="Times New Roman" w:hAnsi="Times New Roman"/>
          <w:sz w:val="24"/>
        </w:rPr>
        <w:t>Fi</w:t>
      </w:r>
      <w:r w:rsidR="001B6814">
        <w:rPr>
          <w:rFonts w:ascii="Times New Roman" w:hAnsi="Times New Roman"/>
          <w:sz w:val="24"/>
        </w:rPr>
        <w:t>nal</w:t>
      </w:r>
      <w:r w:rsidRPr="00FD7D60">
        <w:rPr>
          <w:rFonts w:ascii="Times New Roman" w:hAnsi="Times New Roman"/>
          <w:sz w:val="24"/>
        </w:rPr>
        <w:t xml:space="preserve"> </w:t>
      </w:r>
      <w:r w:rsidR="00DB723E">
        <w:rPr>
          <w:rFonts w:ascii="Times New Roman" w:hAnsi="Times New Roman"/>
          <w:sz w:val="24"/>
        </w:rPr>
        <w:t>R</w:t>
      </w:r>
      <w:r w:rsidRPr="00FD7D60">
        <w:rPr>
          <w:rFonts w:ascii="Times New Roman" w:hAnsi="Times New Roman"/>
          <w:sz w:val="24"/>
        </w:rPr>
        <w:t xml:space="preserve">ule forces the adoption or abandonment of any technology or design. The mandate </w:t>
      </w:r>
      <w:r w:rsidR="001B6814">
        <w:rPr>
          <w:rFonts w:ascii="Times New Roman" w:hAnsi="Times New Roman"/>
          <w:sz w:val="24"/>
        </w:rPr>
        <w:t>EPA</w:t>
      </w:r>
      <w:r w:rsidRPr="00FD7D60">
        <w:rPr>
          <w:rFonts w:ascii="Times New Roman" w:hAnsi="Times New Roman"/>
          <w:sz w:val="24"/>
        </w:rPr>
        <w:t xml:space="preserve"> adopt</w:t>
      </w:r>
      <w:r w:rsidR="001B6814">
        <w:rPr>
          <w:rFonts w:ascii="Times New Roman" w:hAnsi="Times New Roman"/>
          <w:sz w:val="24"/>
        </w:rPr>
        <w:t>s</w:t>
      </w:r>
      <w:r w:rsidRPr="00FD7D60">
        <w:rPr>
          <w:rFonts w:ascii="Times New Roman" w:hAnsi="Times New Roman"/>
          <w:sz w:val="24"/>
        </w:rPr>
        <w:t xml:space="preserve"> is limited to selecting additional mitigation periodically for specific processes so long as the risk of an impact release persists,</w:t>
      </w:r>
      <w:r>
        <w:rPr>
          <w:rFonts w:ascii="Times New Roman" w:hAnsi="Times New Roman"/>
          <w:sz w:val="24"/>
          <w:vertAlign w:val="superscript"/>
        </w:rPr>
        <w:footnoteReference w:id="114"/>
      </w:r>
      <w:r w:rsidRPr="00FD7D60">
        <w:rPr>
          <w:rFonts w:ascii="Times New Roman" w:hAnsi="Times New Roman"/>
          <w:sz w:val="24"/>
          <w:vertAlign w:val="superscript"/>
        </w:rPr>
        <w:t xml:space="preserve"> </w:t>
      </w:r>
      <w:r w:rsidRPr="00FD7D60">
        <w:rPr>
          <w:rFonts w:ascii="Times New Roman" w:hAnsi="Times New Roman"/>
          <w:sz w:val="24"/>
        </w:rPr>
        <w:t>with a preference consistent with the well-understood hierarchy of controls.</w:t>
      </w:r>
    </w:p>
    <w:p w:rsidR="003B12AF" w:rsidRPr="00B97598" w:rsidP="003B12AF" w14:paraId="584D3325" w14:textId="77777777">
      <w:pPr>
        <w:ind w:left="720"/>
        <w:rPr>
          <w:rFonts w:ascii="Times New Roman" w:hAnsi="Times New Roman"/>
          <w:sz w:val="24"/>
        </w:rPr>
      </w:pPr>
      <w:r w:rsidRPr="00B97598">
        <w:rPr>
          <w:rFonts w:ascii="Times New Roman" w:hAnsi="Times New Roman"/>
          <w:sz w:val="24"/>
        </w:rPr>
        <w:t xml:space="preserve">EPA is requiring implementation of passive measures as a priority rather than active and procedural because it is the next highest level below IST on the hierarchy of controls and the most reliable in comparison to active and procedural safeguards, as they reduce risks without human, mechanical, or other energy input. As discussed in CSB’s PES report, active safeguards that require a person or technology to trigger their activation have the potential to fail in major incidents involving fire or explosions, which was the case in the PES accident and could be a likely release scenario for flammable substances, which are regulated substances often present at refineries and chemical manufacturers. </w:t>
      </w:r>
    </w:p>
    <w:p w:rsidR="003B12AF" w:rsidRPr="00B97598" w:rsidP="003B12AF" w14:paraId="24B00994" w14:textId="642ED28E">
      <w:pPr>
        <w:ind w:left="720"/>
        <w:rPr>
          <w:rFonts w:ascii="Times New Roman" w:hAnsi="Times New Roman"/>
          <w:sz w:val="24"/>
        </w:rPr>
      </w:pPr>
      <w:r w:rsidRPr="00B97598">
        <w:rPr>
          <w:rFonts w:ascii="Times New Roman" w:hAnsi="Times New Roman"/>
          <w:sz w:val="24"/>
        </w:rPr>
        <w:t xml:space="preserve">EPA recognizes that passive safeguards may not exist or may not be practicable for a variety of reasons and other safeguards are needed to cover gaps in process safety risk reduction. EPA also recognizes that a passive measure may be even more effective when applied appropriately with other measures. This concept of layers of protection acknowledges that individual safeguards are not completely reliable or effective, and thus multiple safeguards (“layers”) may be needed to minimize the chances of an initial fault propagating to a full-blown incident with potential for harm. This is often illustrated using the “Swiss Cheese” model for incidents. In this model, each safeguard layer has the potential to fail, with highly reliable safeguards (e.g., “inherent” ones) having relatively few “holes”, and less reliable safeguards (e.g., “procedural”) having more. While no single layer can adequately control the hazard, having enough adequately reliable safeguards can greatly reduce the chance of all of the “holes” lining up so that an incident actually occurs. This final rule will give the facility owner or operator the flexibility to assess and potentially implement IST, implement passive measures, or implement a combination of active and procedural measures to reduce risk associated with a process. </w:t>
      </w:r>
      <w:r w:rsidRPr="00A31618" w:rsidR="00A31618">
        <w:rPr>
          <w:rFonts w:ascii="Times New Roman" w:hAnsi="Times New Roman"/>
          <w:sz w:val="24"/>
        </w:rPr>
        <w:t xml:space="preserve">The approach adopted </w:t>
      </w:r>
      <w:r w:rsidR="00A31618">
        <w:rPr>
          <w:rFonts w:ascii="Times New Roman" w:hAnsi="Times New Roman"/>
          <w:sz w:val="24"/>
        </w:rPr>
        <w:t xml:space="preserve">in the </w:t>
      </w:r>
      <w:r w:rsidR="00DB723E">
        <w:rPr>
          <w:rFonts w:ascii="Times New Roman" w:hAnsi="Times New Roman"/>
          <w:sz w:val="24"/>
        </w:rPr>
        <w:t>F</w:t>
      </w:r>
      <w:r w:rsidR="00A31618">
        <w:rPr>
          <w:rFonts w:ascii="Times New Roman" w:hAnsi="Times New Roman"/>
          <w:sz w:val="24"/>
        </w:rPr>
        <w:t xml:space="preserve">inal </w:t>
      </w:r>
      <w:r w:rsidR="00DB723E">
        <w:rPr>
          <w:rFonts w:ascii="Times New Roman" w:hAnsi="Times New Roman"/>
          <w:sz w:val="24"/>
        </w:rPr>
        <w:t>R</w:t>
      </w:r>
      <w:r w:rsidR="00A31618">
        <w:rPr>
          <w:rFonts w:ascii="Times New Roman" w:hAnsi="Times New Roman"/>
          <w:sz w:val="24"/>
        </w:rPr>
        <w:t>ule</w:t>
      </w:r>
      <w:r w:rsidRPr="00A31618" w:rsidR="00A31618">
        <w:rPr>
          <w:rFonts w:ascii="Times New Roman" w:hAnsi="Times New Roman"/>
          <w:sz w:val="24"/>
        </w:rPr>
        <w:t xml:space="preserve"> does not require a facility to implement a hazard reduction approach beyond what is </w:t>
      </w:r>
      <w:r w:rsidR="00FF71FE">
        <w:rPr>
          <w:rFonts w:ascii="Times New Roman" w:hAnsi="Times New Roman"/>
          <w:sz w:val="24"/>
        </w:rPr>
        <w:t xml:space="preserve">to the greatest extent </w:t>
      </w:r>
      <w:r w:rsidRPr="00A31618" w:rsidR="00A31618">
        <w:rPr>
          <w:rFonts w:ascii="Times New Roman" w:hAnsi="Times New Roman"/>
          <w:sz w:val="24"/>
        </w:rPr>
        <w:t>practicable</w:t>
      </w:r>
      <w:r w:rsidR="0009177D">
        <w:rPr>
          <w:rFonts w:ascii="Times New Roman" w:hAnsi="Times New Roman"/>
          <w:sz w:val="24"/>
        </w:rPr>
        <w:t xml:space="preserve"> among the reasonable options</w:t>
      </w:r>
      <w:r w:rsidRPr="00A31618" w:rsidR="00A31618">
        <w:rPr>
          <w:rFonts w:ascii="Times New Roman" w:hAnsi="Times New Roman"/>
          <w:sz w:val="24"/>
        </w:rPr>
        <w:t>.</w:t>
      </w:r>
    </w:p>
    <w:p w:rsidR="52349DA2" w:rsidP="7029657D" w14:paraId="62B7603E" w14:textId="78833EC5">
      <w:pPr>
        <w:ind w:left="720"/>
        <w:rPr>
          <w:rFonts w:ascii="Times New Roman" w:hAnsi="Times New Roman"/>
          <w:sz w:val="24"/>
        </w:rPr>
      </w:pPr>
      <w:r w:rsidRPr="7029657D">
        <w:rPr>
          <w:rFonts w:ascii="Times New Roman" w:hAnsi="Times New Roman"/>
          <w:sz w:val="24"/>
        </w:rPr>
        <w:t xml:space="preserve">For a discussion of CAA 112(r)(7)(A) and (B), including the how </w:t>
      </w:r>
      <w:r w:rsidRPr="7029657D" w:rsidR="010C10A4">
        <w:rPr>
          <w:rFonts w:ascii="Times New Roman" w:hAnsi="Times New Roman"/>
          <w:sz w:val="24"/>
        </w:rPr>
        <w:t xml:space="preserve">EPA may consider cost under </w:t>
      </w:r>
      <w:r w:rsidRPr="7029657D">
        <w:rPr>
          <w:rFonts w:ascii="Times New Roman" w:hAnsi="Times New Roman"/>
          <w:sz w:val="24"/>
        </w:rPr>
        <w:t xml:space="preserve">the </w:t>
      </w:r>
      <w:r w:rsidRPr="7029657D" w:rsidR="18AB0B24">
        <w:rPr>
          <w:rFonts w:ascii="Times New Roman" w:hAnsi="Times New Roman"/>
          <w:sz w:val="24"/>
        </w:rPr>
        <w:t>requirement to establish “reasonable regulations” that “provide, to the greatest extent practicable” for the prevention of accidents, please refer t</w:t>
      </w:r>
      <w:r w:rsidRPr="7029657D" w:rsidR="7E641420">
        <w:rPr>
          <w:rFonts w:ascii="Times New Roman" w:hAnsi="Times New Roman"/>
          <w:sz w:val="24"/>
        </w:rPr>
        <w:t>o [cross-ref to the RTC legal section].</w:t>
      </w:r>
    </w:p>
    <w:p w:rsidR="003B12AF" w:rsidRPr="008244E6" w:rsidP="003B12AF" w14:paraId="106C4544" w14:textId="77777777">
      <w:pPr>
        <w:rPr>
          <w:rFonts w:ascii="Times New Roman" w:hAnsi="Times New Roman"/>
          <w:i/>
          <w:iCs/>
          <w:sz w:val="24"/>
        </w:rPr>
      </w:pPr>
      <w:r w:rsidRPr="008244E6">
        <w:rPr>
          <w:rFonts w:ascii="Times New Roman" w:hAnsi="Times New Roman"/>
          <w:i/>
          <w:iCs/>
          <w:sz w:val="24"/>
        </w:rPr>
        <w:t>Opposition to requiring implementation of technically practicable IST/ISD and STAAs</w:t>
      </w:r>
    </w:p>
    <w:p w:rsidR="003B12AF" w:rsidRPr="006F68E9" w:rsidP="003B12AF" w14:paraId="24A9F4A8" w14:textId="77777777">
      <w:pPr>
        <w:rPr>
          <w:rFonts w:ascii="Times New Roman" w:hAnsi="Times New Roman"/>
          <w:sz w:val="24"/>
        </w:rPr>
      </w:pPr>
      <w:r w:rsidRPr="001F2B3A">
        <w:rPr>
          <w:rFonts w:ascii="Times New Roman" w:hAnsi="Times New Roman"/>
          <w:b/>
          <w:bCs/>
          <w:sz w:val="24"/>
        </w:rPr>
        <w:t>Comment</w:t>
      </w:r>
      <w:r>
        <w:rPr>
          <w:rFonts w:ascii="Times New Roman" w:hAnsi="Times New Roman"/>
          <w:b/>
          <w:bCs/>
          <w:sz w:val="24"/>
        </w:rPr>
        <w:t xml:space="preserve"> 6.4.1-03</w:t>
      </w:r>
      <w:r w:rsidRPr="001F2B3A">
        <w:rPr>
          <w:rFonts w:ascii="Times New Roman" w:hAnsi="Times New Roman"/>
          <w:b/>
          <w:bCs/>
          <w:sz w:val="24"/>
        </w:rPr>
        <w:t>:</w:t>
      </w:r>
      <w:r>
        <w:rPr>
          <w:rFonts w:ascii="Times New Roman" w:hAnsi="Times New Roman"/>
          <w:sz w:val="24"/>
        </w:rPr>
        <w:t xml:space="preserve"> </w:t>
      </w:r>
      <w:r w:rsidRPr="00922E47">
        <w:rPr>
          <w:rFonts w:ascii="Times New Roman" w:hAnsi="Times New Roman"/>
          <w:sz w:val="24"/>
        </w:rPr>
        <w:t>Several commenters urged EPA to allow facilities to decide what is best on a case-by-case basis due to instances where adopting an inherently safer process may not actually make a process safer when put into practice (0180, 0217, 0226, 0234, 0458).</w:t>
      </w:r>
      <w:r w:rsidRPr="006F68E9">
        <w:rPr>
          <w:rFonts w:ascii="Times New Roman" w:hAnsi="Times New Roman"/>
          <w:sz w:val="24"/>
        </w:rPr>
        <w:t xml:space="preserve"> </w:t>
      </w:r>
    </w:p>
    <w:p w:rsidR="003B12AF" w:rsidP="003B12AF" w14:paraId="271B984A" w14:textId="77777777">
      <w:pPr>
        <w:rPr>
          <w:rFonts w:ascii="Times New Roman" w:hAnsi="Times New Roman"/>
          <w:sz w:val="24"/>
        </w:rPr>
      </w:pPr>
      <w:r w:rsidRPr="00922E47">
        <w:rPr>
          <w:rFonts w:ascii="Times New Roman" w:hAnsi="Times New Roman"/>
          <w:sz w:val="24"/>
        </w:rPr>
        <w:t>One commenter added there are cases where there are no safer alternatives and conducting an STAA is not necessary, does little to improve safety, and creates extra complexity for employers to present a case to regulators for their processes. The commenter also said that regulations should be straight forward and easy to understand so a vague requirement to require facility owners to present a case that their processes are safe will create confusion and not improve safety (0227).</w:t>
      </w:r>
    </w:p>
    <w:p w:rsidR="003B12AF" w:rsidP="003B12AF" w14:paraId="68AE1EC1" w14:textId="77777777">
      <w:pPr>
        <w:rPr>
          <w:rFonts w:ascii="Times New Roman" w:hAnsi="Times New Roman"/>
          <w:sz w:val="24"/>
        </w:rPr>
      </w:pPr>
      <w:r w:rsidRPr="00922E47">
        <w:rPr>
          <w:rFonts w:ascii="Times New Roman" w:hAnsi="Times New Roman"/>
          <w:sz w:val="24"/>
        </w:rPr>
        <w:t xml:space="preserve">Several commenters </w:t>
      </w:r>
      <w:r>
        <w:rPr>
          <w:rFonts w:ascii="Times New Roman" w:hAnsi="Times New Roman"/>
          <w:sz w:val="24"/>
        </w:rPr>
        <w:t>stated</w:t>
      </w:r>
      <w:r w:rsidRPr="00922E47">
        <w:rPr>
          <w:rFonts w:ascii="Times New Roman" w:hAnsi="Times New Roman"/>
          <w:sz w:val="24"/>
        </w:rPr>
        <w:t xml:space="preserve"> IST and ISD are in the best interest of facilities to implement where they are practical and effective, therefore there is no reason to require it. The commenters also expressed concern over excessive costs to implement unnecessary technologies if required to implement inherently safer technologies (0180, 0217, 0226, 0234, 0458).</w:t>
      </w:r>
      <w:r w:rsidRPr="006F68E9">
        <w:rPr>
          <w:rFonts w:ascii="Times New Roman" w:hAnsi="Times New Roman"/>
          <w:sz w:val="24"/>
        </w:rPr>
        <w:t xml:space="preserve"> </w:t>
      </w:r>
    </w:p>
    <w:p w:rsidR="003B12AF" w:rsidP="003B12AF" w14:paraId="7ADEC413" w14:textId="77777777">
      <w:pPr>
        <w:rPr>
          <w:rFonts w:ascii="Times New Roman" w:hAnsi="Times New Roman"/>
          <w:sz w:val="24"/>
        </w:rPr>
      </w:pPr>
      <w:r w:rsidRPr="00EC1DC0">
        <w:rPr>
          <w:rFonts w:ascii="Times New Roman" w:hAnsi="Times New Roman"/>
          <w:sz w:val="24"/>
        </w:rPr>
        <w:t xml:space="preserve">A few commenters expressed concern that requiring </w:t>
      </w:r>
      <w:r>
        <w:rPr>
          <w:rFonts w:ascii="Times New Roman" w:hAnsi="Times New Roman"/>
          <w:sz w:val="24"/>
        </w:rPr>
        <w:t xml:space="preserve">implementation of technologies </w:t>
      </w:r>
      <w:r w:rsidRPr="00EC1DC0">
        <w:rPr>
          <w:rFonts w:ascii="Times New Roman" w:hAnsi="Times New Roman"/>
          <w:sz w:val="24"/>
        </w:rPr>
        <w:t>may force facilities to adopt unnecessary and costly measures that do not actually make a process safer (0205, 0215, 0271).</w:t>
      </w:r>
    </w:p>
    <w:p w:rsidR="003B12AF" w:rsidP="003B12AF" w14:paraId="4F1517AB" w14:textId="77777777">
      <w:pPr>
        <w:ind w:left="720"/>
        <w:rPr>
          <w:rStyle w:val="normaltextrun"/>
          <w:color w:val="000000"/>
        </w:rPr>
      </w:pPr>
      <w:r>
        <w:rPr>
          <w:rFonts w:ascii="Times New Roman" w:hAnsi="Times New Roman"/>
          <w:b/>
          <w:bCs/>
          <w:sz w:val="24"/>
        </w:rPr>
        <w:t xml:space="preserve">EPA Response: </w:t>
      </w:r>
      <w:r w:rsidRPr="00241D10">
        <w:rPr>
          <w:rStyle w:val="normaltextrun"/>
          <w:rFonts w:ascii="Times New Roman" w:hAnsi="Times New Roman"/>
          <w:color w:val="000000"/>
          <w:sz w:val="24"/>
        </w:rPr>
        <w:t>In response to comments concerning costs for implementing STAA measures, EPA believes there is an overemphasis on initial costs leading to less consideration of safer, reliable methods to reduce process risks. CCPS’ 2019, “Guidelines for Inherently Safer Chemical Processes, A Life Cycle Approach,” discusses the tradeoff of initial and operating costs of implementing different STAA measures. CCPS indicates that while inherently safer and passive measures do tend to have higher initial capital costs, operating costs are usually lower than those for the other measures. For active measures as compared to inherently safer and passive measures, reliability is typically lower, and complexity is greater. Operating costs are also actually likely to be the greatest for active solutions. While procedural measures are most often tempting solutions due to their initial very low capital cost and typically lower complexity, they are often also the least reliable and should be considered only after other solutions have been explored. Similarly, EPA believes passive measures (or active/procedural equivalent) measures that reduce risk and are practicable should be implemented.</w:t>
      </w:r>
      <w:r>
        <w:rPr>
          <w:rStyle w:val="normaltextrun"/>
          <w:color w:val="000000"/>
        </w:rPr>
        <w:t> </w:t>
      </w:r>
    </w:p>
    <w:p w:rsidR="003B12AF" w:rsidRPr="005C0709" w:rsidP="003B12AF" w14:paraId="7739E43E" w14:textId="77777777">
      <w:pPr>
        <w:ind w:left="720"/>
        <w:rPr>
          <w:rFonts w:ascii="Times New Roman" w:hAnsi="Times New Roman"/>
          <w:sz w:val="24"/>
        </w:rPr>
      </w:pPr>
      <w:r w:rsidRPr="005C0709">
        <w:rPr>
          <w:rFonts w:ascii="Times New Roman" w:hAnsi="Times New Roman"/>
          <w:sz w:val="24"/>
        </w:rPr>
        <w:t>The Agency recognizes that requiring any implementation of STAA measures is a departure from both the 2017 amendments rule (82 FR 4648-49; Jan. 13, 2017) and the 2022 proposed rule and that the Agency identified reasons for not requiring implementation of any STAA in the 2022 proposed rule (87 FR 53580; Aug. 31, 2022).</w:t>
      </w:r>
      <w:r>
        <w:rPr>
          <w:rFonts w:ascii="Times New Roman" w:hAnsi="Times New Roman"/>
          <w:sz w:val="24"/>
        </w:rPr>
        <w:footnoteReference w:id="115"/>
      </w:r>
      <w:r w:rsidRPr="005C0709">
        <w:rPr>
          <w:rFonts w:ascii="Times New Roman" w:hAnsi="Times New Roman"/>
          <w:sz w:val="24"/>
        </w:rPr>
        <w:t xml:space="preserve"> However, the 2017 amendments rule and the 2022 proposed rule primarily focused discussion on the reasonableness of mandating adoption of IST/ISD rather than passive, active, or procedural measures. For example, in 2017, EPA explained that one reason the Agency did not require implementation of IST/ISD is that a source may reasonably decide to employ more than one method of hazard reduction to address a hazard or that a given type of safer technology may not exist for a particular hazard point (82 FR 4649; Jan. 13, 2017); consistent with these observations, this rule allows a source to adopt layering active and procedural measures to achieve the equivalent risk reduction a passive measure would achieve and does not adopt a requirement for an IST/ISD at </w:t>
      </w:r>
      <w:r w:rsidRPr="005C0709">
        <w:rPr>
          <w:rFonts w:ascii="Times New Roman" w:hAnsi="Times New Roman"/>
          <w:sz w:val="24"/>
        </w:rPr>
        <w:t xml:space="preserve">each hazard point. The Agency retains substantial flexibility for owners and operators to select among passive measures they deem appropriate for their stationary sources. The final rule allows for consideration of factors highlighted in the 2017 amendments rule like chemical formula specifications for toll manufacturers, the potential for risk transfer, supply chain limitations, and the need to address security implications of any change when assessing whether to reject particular passive measures. See 82 FR 4635-36 (toll manufacturers), 4643 (risk transfer), 4648 (supply chain), and 4649 (security). </w:t>
      </w:r>
    </w:p>
    <w:p w:rsidR="003B12AF" w:rsidRPr="009731EC" w:rsidP="003B12AF" w14:paraId="02F618A9" w14:textId="623A5310">
      <w:pPr>
        <w:ind w:left="720"/>
        <w:rPr>
          <w:rFonts w:ascii="Times New Roman" w:hAnsi="Times New Roman"/>
          <w:sz w:val="24"/>
        </w:rPr>
      </w:pPr>
      <w:bookmarkStart w:id="88" w:name="_Hlk137712760"/>
      <w:r w:rsidRPr="005C0709">
        <w:rPr>
          <w:rFonts w:ascii="Times New Roman" w:hAnsi="Times New Roman"/>
          <w:sz w:val="24"/>
        </w:rPr>
        <w:t xml:space="preserve">The 2022 proposed rule contended that a requirement for implementation of IST/ISD or any measure was unnecessary </w:t>
      </w:r>
      <w:r w:rsidRPr="005C0709">
        <w:rPr>
          <w:rFonts w:ascii="Times New Roman" w:hAnsi="Times New Roman"/>
          <w:sz w:val="24"/>
        </w:rPr>
        <w:t>because</w:t>
      </w:r>
      <w:r w:rsidRPr="005C0709">
        <w:rPr>
          <w:rFonts w:ascii="Times New Roman" w:hAnsi="Times New Roman"/>
          <w:sz w:val="24"/>
        </w:rPr>
        <w:t xml:space="preserve"> sources were likely to implement practicable measures when economically and technically reasonable and risk reduction would be significant. EPA partially based this contention on the observation that most of the economic savings from reducing accidents would accrue to the source itself (87 FR 53580; Aug. 31, 2022). However, not all damages accrue to the source responsible for the accident. For example, offsite impacts such as injuries, sheltering in place events, evacuations, environmental damage, and so on are experienced by people other than the regulated facility. Because these costs are external to the facility, there is a market failure, and firms do not have an appropriate level of incentive to prevent them. This market failure has been noted by commenters with respect to catastrophic events, the prevention of which is a primary purpose of enacting CAA section 112</w:t>
      </w:r>
      <w:r w:rsidRPr="005C0709">
        <w:rPr>
          <w:rFonts w:ascii="Times New Roman" w:hAnsi="Times New Roman"/>
          <w:sz w:val="24"/>
        </w:rPr>
        <w:t>(r</w:t>
      </w:r>
      <w:r w:rsidRPr="005C0709">
        <w:rPr>
          <w:rFonts w:ascii="Times New Roman" w:hAnsi="Times New Roman"/>
          <w:sz w:val="24"/>
        </w:rPr>
        <w:t xml:space="preserve">). Catastrophic events impose extensive burdens on people external to the source responsible for the accident. Moreover, these incidents are low probability, high consequence events that are difficult for owners and operators to assess; therefore, it may be unreasonable to rely primarily on sources to make the ultimate decision on whether to adopt any measures at all. The standard adopted in this final rule for sources presenting elevated risks to communities, wherein EPA mandates adoption of at least one passive measure </w:t>
      </w:r>
      <w:r w:rsidR="002D60F8">
        <w:rPr>
          <w:rFonts w:ascii="Times New Roman" w:hAnsi="Times New Roman"/>
          <w:sz w:val="24"/>
        </w:rPr>
        <w:t>at the facility, or an inherently safer technology or design, or a combination of active and procedural</w:t>
      </w:r>
      <w:r w:rsidRPr="005C0709">
        <w:rPr>
          <w:rFonts w:ascii="Times New Roman" w:hAnsi="Times New Roman"/>
          <w:sz w:val="24"/>
        </w:rPr>
        <w:t xml:space="preserve"> measures</w:t>
      </w:r>
      <w:r w:rsidR="002D60F8">
        <w:rPr>
          <w:rFonts w:ascii="Times New Roman" w:hAnsi="Times New Roman"/>
          <w:sz w:val="24"/>
        </w:rPr>
        <w:t xml:space="preserve"> equivalent to or greater than the risk reduction of a passive measure</w:t>
      </w:r>
      <w:r w:rsidRPr="005C0709">
        <w:rPr>
          <w:rFonts w:ascii="Times New Roman" w:hAnsi="Times New Roman"/>
          <w:sz w:val="24"/>
        </w:rPr>
        <w:t>, reasonably addresses the potential market failure that would lead to less implementation than would be necessary for risk reduction.</w:t>
      </w:r>
      <w:bookmarkEnd w:id="88"/>
    </w:p>
    <w:p w:rsidR="003B12AF" w:rsidRPr="006F68E9" w:rsidP="00C20A8D" w14:paraId="361CC1DE" w14:textId="4B609FC4">
      <w:pPr>
        <w:pStyle w:val="Heading2"/>
        <w:tabs>
          <w:tab w:val="clear" w:pos="8684"/>
        </w:tabs>
        <w:spacing w:before="120"/>
        <w:rPr>
          <w:rFonts w:ascii="Times New Roman" w:hAnsi="Times New Roman" w:cs="Times New Roman"/>
          <w:b/>
          <w:bCs/>
          <w:color w:val="auto"/>
          <w:sz w:val="24"/>
          <w:szCs w:val="24"/>
        </w:rPr>
      </w:pPr>
      <w:bookmarkStart w:id="89" w:name="_Toc153373798"/>
      <w:r w:rsidRPr="6D3F9CC5">
        <w:rPr>
          <w:rFonts w:ascii="Times New Roman" w:hAnsi="Times New Roman" w:cs="Times New Roman"/>
          <w:b/>
          <w:bCs/>
          <w:color w:val="auto"/>
          <w:sz w:val="24"/>
          <w:szCs w:val="24"/>
        </w:rPr>
        <w:t xml:space="preserve">STAA </w:t>
      </w:r>
      <w:r>
        <w:rPr>
          <w:rFonts w:ascii="Times New Roman" w:hAnsi="Times New Roman" w:cs="Times New Roman"/>
          <w:b/>
          <w:bCs/>
          <w:color w:val="auto"/>
          <w:sz w:val="24"/>
          <w:szCs w:val="24"/>
        </w:rPr>
        <w:t>t</w:t>
      </w:r>
      <w:r w:rsidRPr="6D3F9CC5">
        <w:rPr>
          <w:rFonts w:ascii="Times New Roman" w:hAnsi="Times New Roman" w:cs="Times New Roman"/>
          <w:b/>
          <w:bCs/>
          <w:color w:val="auto"/>
          <w:sz w:val="24"/>
          <w:szCs w:val="24"/>
        </w:rPr>
        <w:t xml:space="preserve">echnology </w:t>
      </w:r>
      <w:r>
        <w:rPr>
          <w:rFonts w:ascii="Times New Roman" w:hAnsi="Times New Roman" w:cs="Times New Roman"/>
          <w:b/>
          <w:bCs/>
          <w:color w:val="auto"/>
          <w:sz w:val="24"/>
          <w:szCs w:val="24"/>
        </w:rPr>
        <w:t>t</w:t>
      </w:r>
      <w:r w:rsidRPr="6D3F9CC5">
        <w:rPr>
          <w:rFonts w:ascii="Times New Roman" w:hAnsi="Times New Roman" w:cs="Times New Roman"/>
          <w:b/>
          <w:bCs/>
          <w:color w:val="auto"/>
          <w:sz w:val="24"/>
          <w:szCs w:val="24"/>
        </w:rPr>
        <w:t>ransfer</w:t>
      </w:r>
      <w:bookmarkEnd w:id="89"/>
    </w:p>
    <w:p w:rsidR="003B12AF" w:rsidP="003B12AF" w14:paraId="08463D84" w14:textId="77777777">
      <w:pPr>
        <w:rPr>
          <w:rFonts w:ascii="Times New Roman" w:hAnsi="Times New Roman"/>
          <w:sz w:val="24"/>
        </w:rPr>
      </w:pPr>
      <w:r>
        <w:rPr>
          <w:rFonts w:ascii="Times New Roman" w:hAnsi="Times New Roman"/>
          <w:b/>
          <w:bCs/>
          <w:sz w:val="24"/>
        </w:rPr>
        <w:t xml:space="preserve">Comment 6.5-01: </w:t>
      </w:r>
      <w:r w:rsidRPr="006F68E9">
        <w:rPr>
          <w:rFonts w:ascii="Times New Roman" w:hAnsi="Times New Roman"/>
          <w:sz w:val="24"/>
        </w:rPr>
        <w:t>Several commenters supported EPA’s proposed technology transfer provisions (0139, 0203, 0216, 0220, 0270, 0460). A few commenters stated that EPA should require every RMP facility to routinely report the safer technologies/designs evaluated, implemented, or planned because, as proposed, 95% of RMP facilities will not report any solutions data (0203, 0216, 0270). One of the commenters stated this will allow EPA to better assess the impacts of its own activities for promoting prevention of catastrophic releases (0203). </w:t>
      </w:r>
    </w:p>
    <w:p w:rsidR="00117B91" w:rsidP="003B12AF" w14:paraId="69673923" w14:textId="6C6DBF30">
      <w:pPr>
        <w:rPr>
          <w:rFonts w:ascii="Times New Roman" w:eastAsia="Times New Roman" w:hAnsi="Times New Roman"/>
          <w:sz w:val="24"/>
        </w:rPr>
      </w:pPr>
      <w:r w:rsidRPr="006F68E9">
        <w:rPr>
          <w:rFonts w:ascii="Times New Roman" w:hAnsi="Times New Roman"/>
          <w:sz w:val="24"/>
        </w:rPr>
        <w:t xml:space="preserve">Another commenter suggested that this reporting occur as a regular part of semi-annual CAA compliance reports, and at a minimum, as a regular part of RMP reporting to EPA (0270). One commenter stated that EPA should require the STAA-exempt 95% of RMP facilities to report whether they have evaluated IST/ISD and, if so, identify the major options evaluated, implemented, or planned. The commenter stated that this approach would be low cost, fill a major information gap, and yield invaluable insights (0220). Another commenter supported expanding the technology transfer provision to cover more facilities and gather additional valuable information, including on wastewater and water treatment plants (0460). One of the commenters wanted to strengthen the provision by including narrative text all key data points </w:t>
      </w:r>
      <w:r w:rsidRPr="006F68E9">
        <w:rPr>
          <w:rFonts w:ascii="Times New Roman" w:hAnsi="Times New Roman"/>
          <w:sz w:val="24"/>
        </w:rPr>
        <w:t>and that no data be optional (0460).</w:t>
      </w:r>
      <w:r>
        <w:rPr>
          <w:rFonts w:ascii="Times New Roman" w:hAnsi="Times New Roman"/>
          <w:sz w:val="24"/>
        </w:rPr>
        <w:t xml:space="preserve"> </w:t>
      </w:r>
      <w:r w:rsidRPr="006F68E9">
        <w:rPr>
          <w:rFonts w:ascii="Times New Roman" w:hAnsi="Times New Roman"/>
          <w:sz w:val="24"/>
        </w:rPr>
        <w:t>One commenter suggested that EPA make t</w:t>
      </w:r>
      <w:r w:rsidRPr="006F68E9">
        <w:rPr>
          <w:rFonts w:ascii="Times New Roman" w:eastAsia="Times New Roman" w:hAnsi="Times New Roman"/>
          <w:sz w:val="24"/>
        </w:rPr>
        <w:t>echnology transfer a resource of solutions data from converted and deregistered facilities (0139). </w:t>
      </w:r>
    </w:p>
    <w:p w:rsidR="003B12AF" w:rsidP="003B12AF" w14:paraId="31350FF6" w14:textId="6EB0AF8D">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any submitted STAA findings would probably not consider the nuance of the real practicality of switching between technologies</w:t>
      </w:r>
      <w:r>
        <w:rPr>
          <w:rFonts w:ascii="Times New Roman" w:hAnsi="Times New Roman"/>
          <w:sz w:val="24"/>
        </w:rPr>
        <w:t>,</w:t>
      </w:r>
      <w:r w:rsidRPr="006F68E9">
        <w:rPr>
          <w:rFonts w:ascii="Times New Roman" w:hAnsi="Times New Roman"/>
          <w:sz w:val="24"/>
        </w:rPr>
        <w:t xml:space="preserve"> and if facilities are not required to switch to alternate technologies, it is unclear how EPA intends to effectively use these data (0201).</w:t>
      </w:r>
      <w:r>
        <w:rPr>
          <w:rFonts w:ascii="Times New Roman" w:hAnsi="Times New Roman"/>
          <w:sz w:val="24"/>
        </w:rPr>
        <w:t xml:space="preserve"> </w:t>
      </w:r>
      <w:r w:rsidRPr="006F68E9">
        <w:rPr>
          <w:rFonts w:ascii="Times New Roman" w:hAnsi="Times New Roman"/>
          <w:sz w:val="24"/>
        </w:rPr>
        <w:t xml:space="preserve">Another commenter stated that EPA should not require reporting of STAA measures implemented in facilities’ risk management plans because this requirement would create significant potential for third parties to insert themselves into what is a highly technical and site-specific analysis. The commenter added that EPA does not provide a clear basis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for its assumption that reporting and public availability of information on IST/ISD measures implemented will improve facility safety or mitigate the potential for accidental releases in any measurable way</w:t>
      </w:r>
      <w:r>
        <w:rPr>
          <w:rFonts w:ascii="Times New Roman" w:hAnsi="Times New Roman"/>
          <w:sz w:val="24"/>
        </w:rPr>
        <w:t>;</w:t>
      </w:r>
      <w:r w:rsidRPr="006F68E9">
        <w:rPr>
          <w:rFonts w:ascii="Times New Roman" w:hAnsi="Times New Roman"/>
          <w:sz w:val="24"/>
        </w:rPr>
        <w:t xml:space="preserve"> therefore</w:t>
      </w:r>
      <w:r>
        <w:rPr>
          <w:rFonts w:ascii="Times New Roman" w:hAnsi="Times New Roman"/>
          <w:sz w:val="24"/>
        </w:rPr>
        <w:t>,</w:t>
      </w:r>
      <w:r w:rsidRPr="006F68E9">
        <w:rPr>
          <w:rFonts w:ascii="Times New Roman" w:hAnsi="Times New Roman"/>
          <w:sz w:val="24"/>
        </w:rPr>
        <w:t xml:space="preserve"> determining that reporting this information in the RMP is simply not justified. The commenter also stated that alternatives analysis should be required only during the design phase of a facility, if at all (0233).</w:t>
      </w:r>
    </w:p>
    <w:p w:rsidR="003B12AF" w:rsidP="003B12AF" w14:paraId="5BB2287B" w14:textId="77777777">
      <w:pPr>
        <w:rPr>
          <w:rFonts w:ascii="Times New Roman" w:hAnsi="Times New Roman"/>
          <w:sz w:val="24"/>
        </w:rPr>
      </w:pPr>
      <w:r>
        <w:rPr>
          <w:rFonts w:ascii="Times New Roman" w:hAnsi="Times New Roman"/>
          <w:sz w:val="24"/>
        </w:rPr>
        <w:t>Another commenter stated</w:t>
      </w:r>
      <w:r w:rsidRPr="006F68E9">
        <w:rPr>
          <w:rFonts w:ascii="Times New Roman" w:hAnsi="Times New Roman"/>
          <w:sz w:val="24"/>
        </w:rPr>
        <w:t xml:space="preserve"> that the proposed requirement for facilities to report on IST/ISD measures implemented, including the technology category, coupled with the public disclosure requirements, was improper and unjustified. The commenter claimed that, because members of the public do not have the expertise on HF alkylation units and potential substitutes or full knowledge of a facility’s business operations, provided information would be inappropriately used by the public to compare and pressure facilities to change course on complex engineering decisions (0268).</w:t>
      </w:r>
    </w:p>
    <w:bookmarkEnd w:id="69"/>
    <w:p w:rsidR="003B12AF" w:rsidP="003B12AF" w14:paraId="6C70BD8E" w14:textId="0B4BB2C8">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said</w:t>
      </w:r>
      <w:r w:rsidRPr="006F68E9">
        <w:rPr>
          <w:rFonts w:ascii="Times New Roman" w:hAnsi="Times New Roman"/>
          <w:sz w:val="24"/>
        </w:rPr>
        <w:t xml:space="preserve"> the proposed STAA data collection will provide valuable information (0220, 0460). One of the commenters stated that STAA data collection would increase the likelihood and speed of implementing inherently safer methods of operating (0460). </w:t>
      </w:r>
    </w:p>
    <w:p w:rsidR="003B12AF" w:rsidP="003B12AF" w14:paraId="3C24D118" w14:textId="77777777">
      <w:pPr>
        <w:rPr>
          <w:rFonts w:ascii="Times New Roman" w:hAnsi="Times New Roman"/>
          <w:sz w:val="24"/>
        </w:rPr>
      </w:pPr>
      <w:r w:rsidRPr="006F68E9">
        <w:rPr>
          <w:rFonts w:ascii="Times New Roman" w:hAnsi="Times New Roman"/>
          <w:sz w:val="24"/>
        </w:rPr>
        <w:t xml:space="preserve">A few commenters expressed concern that safer technologies and alternatives vary widely as they are distinct to each facility and process. The commenters </w:t>
      </w:r>
      <w:r>
        <w:rPr>
          <w:rFonts w:ascii="Times New Roman" w:hAnsi="Times New Roman"/>
          <w:sz w:val="24"/>
        </w:rPr>
        <w:t>stated</w:t>
      </w:r>
      <w:r w:rsidRPr="006F68E9">
        <w:rPr>
          <w:rFonts w:ascii="Times New Roman" w:hAnsi="Times New Roman"/>
          <w:sz w:val="24"/>
        </w:rPr>
        <w:t xml:space="preserve"> that collecting and presenting safer alternatives removes these alternatives from the contexts in which they were determined to be “safer.” The commenters believed the STAA in the clearinghouse would be perceived as better and implement or replace existing controls simply because they are in the database (0173, 0201, 0215).</w:t>
      </w:r>
    </w:p>
    <w:p w:rsidR="003B12AF" w:rsidP="003B12AF" w14:paraId="6B765DC2" w14:textId="77777777">
      <w:pPr>
        <w:rPr>
          <w:rFonts w:ascii="Times New Roman" w:hAnsi="Times New Roman"/>
          <w:sz w:val="24"/>
        </w:rPr>
      </w:pPr>
      <w:r w:rsidRPr="006F68E9">
        <w:rPr>
          <w:rFonts w:ascii="Times New Roman" w:hAnsi="Times New Roman"/>
          <w:sz w:val="24"/>
        </w:rPr>
        <w:t xml:space="preserve">One commenter recommended this type of database be left to standard-setting organizations such as AIChE and API (0215). Another commenter </w:t>
      </w:r>
      <w:r>
        <w:rPr>
          <w:rFonts w:ascii="Times New Roman" w:hAnsi="Times New Roman"/>
          <w:sz w:val="24"/>
        </w:rPr>
        <w:t>said</w:t>
      </w:r>
      <w:r w:rsidRPr="006F68E9">
        <w:rPr>
          <w:rFonts w:ascii="Times New Roman" w:hAnsi="Times New Roman"/>
          <w:sz w:val="24"/>
        </w:rPr>
        <w:t xml:space="preserve"> The Chlorine Institute’s publications, newsletter, forums, conferences, and technology symposium already provides professionals a means to discuss and learn about various safter technologies and alternatives (0201). One commenter expressed that expending resources to create this database is not necessary, as interested parties can already find solutions in the U.S. Patent and Trademark Office database of patented technologies (0233).</w:t>
      </w:r>
    </w:p>
    <w:p w:rsidR="003B12AF" w:rsidP="003B12AF" w14:paraId="36F7C5BA" w14:textId="77777777">
      <w:pPr>
        <w:rPr>
          <w:rFonts w:ascii="Times New Roman" w:hAnsi="Times New Roman"/>
          <w:sz w:val="24"/>
        </w:rPr>
      </w:pPr>
      <w:r w:rsidRPr="006F68E9">
        <w:rPr>
          <w:rFonts w:ascii="Times New Roman" w:hAnsi="Times New Roman"/>
          <w:sz w:val="24"/>
        </w:rPr>
        <w:t>A few commenters were concerned with privacy (0173, 0201, 0233). A couple of the commenters conveyed concern about the potential requirement to disclose sensitive information or trade secrets (0201, 0233). Another commenter believed that due to accessibility by regulators, businesses will not be forthcoming with information (0173).</w:t>
      </w:r>
    </w:p>
    <w:p w:rsidR="003B12AF" w:rsidP="003B12AF" w14:paraId="5A6939EC" w14:textId="77777777">
      <w:pPr>
        <w:rPr>
          <w:rFonts w:ascii="Times New Roman" w:hAnsi="Times New Roman"/>
          <w:sz w:val="24"/>
        </w:rPr>
      </w:pPr>
      <w:r w:rsidRPr="006F68E9">
        <w:rPr>
          <w:rFonts w:ascii="Times New Roman" w:hAnsi="Times New Roman"/>
          <w:sz w:val="24"/>
        </w:rPr>
        <w:t xml:space="preserve">One commenter suggested EPA should integrate STAA information into routine RMP reporting using RMP*eSubmit. The commenter </w:t>
      </w:r>
      <w:r>
        <w:rPr>
          <w:rFonts w:ascii="Times New Roman" w:hAnsi="Times New Roman"/>
          <w:sz w:val="24"/>
        </w:rPr>
        <w:t>stated</w:t>
      </w:r>
      <w:r w:rsidRPr="006F68E9">
        <w:rPr>
          <w:rFonts w:ascii="Times New Roman" w:hAnsi="Times New Roman"/>
          <w:sz w:val="24"/>
        </w:rPr>
        <w:t xml:space="preserve"> that the STAA clearinghouse and other data users </w:t>
      </w:r>
      <w:r w:rsidRPr="006F68E9">
        <w:rPr>
          <w:rFonts w:ascii="Times New Roman" w:hAnsi="Times New Roman"/>
          <w:sz w:val="24"/>
        </w:rPr>
        <w:t>should then be able to pull solutions data from EPA’s RMP database. The commenter also suggested adding to the RMP deregistration form the menu items needed to report IST or ISD, and the methods used, as a reason for deregistration (0220).</w:t>
      </w:r>
    </w:p>
    <w:p w:rsidR="003B12AF" w:rsidP="003B12AF" w14:paraId="11E00C45"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the lack of detail provided about the STAA clearinghouse does not satisfy the Administrative Procedure Act (APA) to provide meaningful opportunity for interested persons to participate in the regulatory process. The commenter elaborated that the STAA clearinghouse also appears to be subject to the Paperwork Reduction Act (PRA) due to its information collection on regulated entities. The commenter stated EPA has not shown that it satisfies the PRA requirement of soliciting public comment to evaluate that the proposed collection is the least burdensome, not duplicative of information otherwise accessible, necessary to the functions of the Agency, and has practical utility (0233).</w:t>
      </w:r>
    </w:p>
    <w:p w:rsidR="00B96D08" w:rsidP="00B96D08" w14:paraId="75EC6D1A" w14:textId="50369203">
      <w:pPr>
        <w:ind w:left="720"/>
        <w:rPr>
          <w:rFonts w:ascii="Times New Roman" w:hAnsi="Times New Roman"/>
          <w:sz w:val="24"/>
        </w:rPr>
      </w:pPr>
      <w:r w:rsidRPr="00100EC1">
        <w:rPr>
          <w:rFonts w:ascii="Times New Roman" w:hAnsi="Times New Roman"/>
          <w:b/>
          <w:bCs/>
          <w:sz w:val="24"/>
        </w:rPr>
        <w:t>EPA Response:</w:t>
      </w:r>
      <w:r w:rsidRPr="00100EC1">
        <w:t xml:space="preserve"> </w:t>
      </w:r>
      <w:r w:rsidRPr="00B96D08">
        <w:t xml:space="preserve"> </w:t>
      </w:r>
      <w:r w:rsidRPr="00B96D08">
        <w:rPr>
          <w:rFonts w:ascii="Times New Roman" w:hAnsi="Times New Roman"/>
          <w:sz w:val="24"/>
        </w:rPr>
        <w:t xml:space="preserve">EPA is requiring that basic information on IST, facility information, categories of safer design identified and implemented and causal factor for initiating safer design implementation be provided in the RMP submission in accordance with 40 CFR 68.175(e)(7). Facilities must provide in their RMP any IST/ISD measures implemented since the last PHA, if any, and the technology category (substitution, minimization, simplification and/or moderation). These technology transfer provisions apply to all facilities required to conduct any component of STAA (evaluation or practicability) under the final rule. This reporting is also voluntary for all other facilities, including deregistered facilities, by which EPA expects to capture useful information about how some facilities, on their own accord, choose to make their processes safer. EPA intends for this not to be a cumbersome exercise, but rather, one that is based on information facilities likely already have. The intended fields of check boxes, dates, and numbers that summarize STAA activities for this provision will help facilitate data analysis for EPA to compile and make available for other industries to identify safer alternatives. </w:t>
      </w:r>
    </w:p>
    <w:p w:rsidR="003B12AF" w:rsidRPr="003D20AF" w:rsidP="003B12AF" w14:paraId="5B437E5E" w14:textId="2E6310BB">
      <w:pPr>
        <w:ind w:left="720"/>
        <w:rPr>
          <w:rFonts w:ascii="Times New Roman" w:hAnsi="Times New Roman"/>
          <w:sz w:val="24"/>
        </w:rPr>
      </w:pPr>
      <w:r w:rsidRPr="00B96D08">
        <w:rPr>
          <w:rFonts w:ascii="Times New Roman" w:hAnsi="Times New Roman"/>
          <w:sz w:val="24"/>
        </w:rPr>
        <w:t xml:space="preserve">EPA believes that primary utility of STAA information for the public is to identify whether facilities are implementing IST and the nature of that change. In addition to information exchanged through an information request under 40 CFR 68.210, EPA encourages facilities to provide information about any IST or other safer technology alternatives that the facility is using or could be using at the public meeting forum under 40 CFR 68.210 or any other community outreach opportunity. Facilities should expect that a community wants to discuss hazards and risks associated with their chemical processes. Effective communication with the public can be an opportunity to develop robust relationships with communities, and trust is gained when considering the needs and challenges facing those potentially affected by accidents. Additionally, as will be discussed further in the Information Availability section (VII) of </w:t>
      </w:r>
      <w:r w:rsidR="00975736">
        <w:rPr>
          <w:rFonts w:ascii="Times New Roman" w:hAnsi="Times New Roman"/>
          <w:sz w:val="24"/>
        </w:rPr>
        <w:t>the</w:t>
      </w:r>
      <w:r w:rsidRPr="00B96D08" w:rsidR="00975736">
        <w:rPr>
          <w:rFonts w:ascii="Times New Roman" w:hAnsi="Times New Roman"/>
          <w:sz w:val="24"/>
        </w:rPr>
        <w:t xml:space="preserve"> </w:t>
      </w:r>
      <w:r w:rsidRPr="00B96D08">
        <w:rPr>
          <w:rFonts w:ascii="Times New Roman" w:hAnsi="Times New Roman"/>
          <w:sz w:val="24"/>
        </w:rPr>
        <w:t>preamble, having information available to the public builds upon the planning approach of Emergency Planning and Community Right-to-Know Act (EPCRA) and Agency studies of the value of right-to-know in emergencies, and promotes accident prevention by facilitating public participation at the local level. The Agency expects a more informed and involved public to have less fear of the unknown.</w:t>
      </w:r>
    </w:p>
    <w:p w:rsidR="00416451" w:rsidRPr="003D20AF" w:rsidP="00B96D08" w14:paraId="611F3875" w14:textId="0776FB88">
      <w:pPr>
        <w:ind w:left="720"/>
        <w:rPr>
          <w:rFonts w:ascii="Times New Roman" w:hAnsi="Times New Roman"/>
          <w:sz w:val="24"/>
        </w:rPr>
      </w:pPr>
      <w:r>
        <w:rPr>
          <w:rFonts w:ascii="Times New Roman" w:hAnsi="Times New Roman"/>
          <w:sz w:val="24"/>
        </w:rPr>
        <w:t>Further, t</w:t>
      </w:r>
      <w:r w:rsidRPr="00416451">
        <w:rPr>
          <w:rFonts w:ascii="Times New Roman" w:hAnsi="Times New Roman"/>
          <w:sz w:val="24"/>
        </w:rPr>
        <w:t xml:space="preserve">he information collection activities in this rule will be submitted for approval to OMB under the PRA. The Information Collection Request (ICR) document that EPA prepared has been assigned EPA ICR number 2725.02. You can find a copy of the ICR in </w:t>
      </w:r>
      <w:r w:rsidRPr="00416451">
        <w:rPr>
          <w:rFonts w:ascii="Times New Roman" w:hAnsi="Times New Roman"/>
          <w:sz w:val="24"/>
        </w:rPr>
        <w:t>the docket for this rule. The information collection requirements are not enforceable until OMB approves them.</w:t>
      </w:r>
    </w:p>
    <w:p w:rsidR="00C20A8D" w:rsidRPr="003D20AF" w:rsidP="00C20A8D" w14:paraId="5706A87E" w14:textId="77777777">
      <w:pPr>
        <w:rPr>
          <w:rFonts w:ascii="Times New Roman" w:hAnsi="Times New Roman"/>
          <w:sz w:val="24"/>
        </w:rPr>
      </w:pPr>
    </w:p>
    <w:p w:rsidR="00F41FFB" w:rsidRPr="006F68E9" w:rsidP="00130A87" w14:paraId="2FEEC7F7" w14:textId="006216C2">
      <w:pPr>
        <w:pStyle w:val="Heading1"/>
      </w:pPr>
      <w:bookmarkStart w:id="90" w:name="_Toc153373799"/>
      <w:r w:rsidRPr="6D3F9CC5">
        <w:t>Root Cause Analysis</w:t>
      </w:r>
      <w:bookmarkEnd w:id="63"/>
      <w:bookmarkEnd w:id="90"/>
    </w:p>
    <w:p w:rsidR="00F41FFB" w:rsidRPr="006F68E9" w:rsidP="00C20A8D" w14:paraId="767A09FF" w14:textId="77777777">
      <w:pPr>
        <w:pStyle w:val="Heading2"/>
        <w:numPr>
          <w:ilvl w:val="0"/>
          <w:numId w:val="0"/>
        </w:numPr>
        <w:spacing w:before="120"/>
        <w:ind w:left="408" w:hanging="408"/>
        <w:rPr>
          <w:rFonts w:ascii="Times New Roman" w:hAnsi="Times New Roman" w:cs="Times New Roman"/>
          <w:b/>
          <w:bCs/>
          <w:color w:val="auto"/>
          <w:sz w:val="24"/>
          <w:szCs w:val="24"/>
        </w:rPr>
      </w:pPr>
      <w:bookmarkStart w:id="91" w:name="_Toc146880012"/>
      <w:bookmarkStart w:id="92" w:name="_Toc153373800"/>
      <w:r>
        <w:rPr>
          <w:rFonts w:ascii="Times New Roman" w:hAnsi="Times New Roman" w:cs="Times New Roman"/>
          <w:b/>
          <w:bCs/>
          <w:color w:val="auto"/>
          <w:sz w:val="24"/>
          <w:szCs w:val="24"/>
        </w:rPr>
        <w:t>7.1</w:t>
      </w:r>
      <w:r>
        <w:rPr>
          <w:rFonts w:ascii="Times New Roman" w:hAnsi="Times New Roman" w:cs="Times New Roman"/>
          <w:b/>
          <w:bCs/>
          <w:color w:val="auto"/>
          <w:sz w:val="24"/>
          <w:szCs w:val="24"/>
        </w:rPr>
        <w:tab/>
      </w:r>
      <w:r w:rsidRPr="006F68E9">
        <w:rPr>
          <w:rFonts w:ascii="Times New Roman" w:hAnsi="Times New Roman" w:cs="Times New Roman"/>
          <w:b/>
          <w:bCs/>
          <w:color w:val="auto"/>
          <w:sz w:val="24"/>
          <w:szCs w:val="24"/>
        </w:rPr>
        <w:t xml:space="preserve">Proposed </w:t>
      </w:r>
      <w:r>
        <w:rPr>
          <w:rFonts w:ascii="Times New Roman" w:hAnsi="Times New Roman" w:cs="Times New Roman"/>
          <w:b/>
          <w:bCs/>
          <w:color w:val="auto"/>
          <w:sz w:val="24"/>
          <w:szCs w:val="24"/>
        </w:rPr>
        <w:t>a</w:t>
      </w:r>
      <w:r w:rsidRPr="006F68E9">
        <w:rPr>
          <w:rFonts w:ascii="Times New Roman" w:hAnsi="Times New Roman" w:cs="Times New Roman"/>
          <w:b/>
          <w:bCs/>
          <w:color w:val="auto"/>
          <w:sz w:val="24"/>
          <w:szCs w:val="24"/>
        </w:rPr>
        <w:t>pproach</w:t>
      </w:r>
      <w:bookmarkEnd w:id="91"/>
      <w:bookmarkEnd w:id="92"/>
      <w:r w:rsidRPr="006F68E9">
        <w:rPr>
          <w:rFonts w:ascii="Times New Roman" w:hAnsi="Times New Roman" w:cs="Times New Roman"/>
          <w:b/>
          <w:bCs/>
          <w:color w:val="auto"/>
          <w:sz w:val="24"/>
          <w:szCs w:val="24"/>
        </w:rPr>
        <w:t xml:space="preserve"> </w:t>
      </w:r>
    </w:p>
    <w:p w:rsidR="00F41FFB" w:rsidP="00F41FFB" w14:paraId="42DE6F7A" w14:textId="77777777">
      <w:pPr>
        <w:rPr>
          <w:rFonts w:ascii="Times New Roman" w:hAnsi="Times New Roman"/>
          <w:i/>
          <w:iCs/>
          <w:sz w:val="24"/>
        </w:rPr>
      </w:pPr>
      <w:r>
        <w:rPr>
          <w:rFonts w:ascii="Times New Roman" w:hAnsi="Times New Roman"/>
          <w:i/>
          <w:iCs/>
          <w:sz w:val="24"/>
        </w:rPr>
        <w:t>General comments related to root cause analysis</w:t>
      </w:r>
    </w:p>
    <w:p w:rsidR="00F41FFB" w:rsidP="00F41FFB" w14:paraId="6A676E43" w14:textId="77777777">
      <w:pPr>
        <w:rPr>
          <w:rFonts w:ascii="Times New Roman" w:hAnsi="Times New Roman"/>
          <w:sz w:val="24"/>
        </w:rPr>
      </w:pPr>
      <w:r>
        <w:rPr>
          <w:rFonts w:ascii="Times New Roman" w:hAnsi="Times New Roman"/>
          <w:b/>
          <w:bCs/>
          <w:sz w:val="24"/>
        </w:rPr>
        <w:t xml:space="preserve">Comment 7.1-01: </w:t>
      </w:r>
      <w:r w:rsidRPr="006F68E9">
        <w:rPr>
          <w:rFonts w:ascii="Times New Roman" w:hAnsi="Times New Roman"/>
          <w:sz w:val="24"/>
        </w:rPr>
        <w:t xml:space="preserve">Several commenters supported the proposed approach to require facilities to conduct root cause analyses after </w:t>
      </w:r>
      <w:r w:rsidRPr="003D6544">
        <w:rPr>
          <w:rFonts w:ascii="Times New Roman" w:hAnsi="Times New Roman"/>
          <w:sz w:val="24"/>
        </w:rPr>
        <w:t xml:space="preserve">an incident (0108, 0139, 0141, 0143, 0177, 0180, 0181,0203, 0204, 0205, 0211, 0215, 0217, 0219, 0228, 0234, 0240, 0241, 0245, 0255, 0257, 0266, 0268, 0270, 0273, 0409, 0444, 0456, 0458, 0460). One of the commenters suggested that the </w:t>
      </w:r>
      <w:r w:rsidRPr="000A0ECB">
        <w:rPr>
          <w:rFonts w:ascii="Times New Roman" w:hAnsi="Times New Roman"/>
          <w:sz w:val="24"/>
        </w:rPr>
        <w:t>proposed requirements would likely prevent harm from repeated incidents (0460). Another commenter noted that root cause analyses provide an additional opportunity to better understand the processes, procedures, and culture that may contribute to accidents (0241).</w:t>
      </w:r>
      <w:r w:rsidRPr="004501C4">
        <w:rPr>
          <w:rFonts w:ascii="Times New Roman" w:hAnsi="Times New Roman"/>
        </w:rPr>
        <w:t xml:space="preserve"> </w:t>
      </w:r>
      <w:r w:rsidRPr="006F68E9">
        <w:rPr>
          <w:rFonts w:ascii="Times New Roman" w:hAnsi="Times New Roman"/>
          <w:sz w:val="24"/>
        </w:rPr>
        <w:t xml:space="preserve">Another commenter noted that root cause analyses provide an additional opportunity to better understand the processes, procedures, and culture that may contribute to accidents (0241). </w:t>
      </w:r>
    </w:p>
    <w:p w:rsidR="00F41FFB" w:rsidP="00F41FFB" w14:paraId="1CFE0378" w14:textId="3C91B7B5">
      <w:pPr>
        <w:rPr>
          <w:rFonts w:ascii="Times New Roman" w:hAnsi="Times New Roman"/>
          <w:sz w:val="24"/>
        </w:rPr>
      </w:pPr>
      <w:r w:rsidRPr="00555533">
        <w:rPr>
          <w:rFonts w:ascii="Times New Roman" w:hAnsi="Times New Roman"/>
          <w:sz w:val="24"/>
        </w:rPr>
        <w:t>One commenter noted that root cause analyses can address environmental justice and provided an example of a Tyson foods accident in Arkansas that occurred in part because safety labels were not accessible to workers with limited English proficiency (0444).</w:t>
      </w:r>
      <w:r w:rsidRPr="006F68E9">
        <w:rPr>
          <w:rFonts w:ascii="Times New Roman" w:hAnsi="Times New Roman"/>
          <w:sz w:val="24"/>
        </w:rPr>
        <w:t xml:space="preserve"> </w:t>
      </w:r>
    </w:p>
    <w:p w:rsidR="00F41FFB" w:rsidP="00F41FFB" w14:paraId="57D7C120" w14:textId="3D416BC0">
      <w:pPr>
        <w:rPr>
          <w:rFonts w:ascii="Times New Roman" w:hAnsi="Times New Roman"/>
          <w:sz w:val="24"/>
        </w:rPr>
      </w:pPr>
      <w:r w:rsidRPr="006F68E9">
        <w:rPr>
          <w:rFonts w:ascii="Times New Roman" w:hAnsi="Times New Roman"/>
          <w:sz w:val="24"/>
        </w:rPr>
        <w:t>Another commenter suggested that the financial burden associated with the increased investigation requirements would be limited since many facilities already conduct investigations consistent with the proposal (0273).</w:t>
      </w:r>
    </w:p>
    <w:p w:rsidR="00F41FFB" w:rsidP="009B5556" w14:paraId="0B18BAC0" w14:textId="6273345E">
      <w:pPr>
        <w:ind w:left="720"/>
        <w:rPr>
          <w:rFonts w:ascii="Times New Roman" w:eastAsia="Times New Roman" w:hAnsi="Times New Roman"/>
          <w:color w:val="000000" w:themeColor="text1"/>
          <w:sz w:val="24"/>
        </w:rPr>
      </w:pPr>
      <w:r w:rsidRPr="000A0ECB">
        <w:rPr>
          <w:rFonts w:ascii="Times New Roman" w:hAnsi="Times New Roman"/>
          <w:b/>
          <w:sz w:val="24"/>
        </w:rPr>
        <w:t xml:space="preserve">EPA Response: </w:t>
      </w:r>
      <w:r w:rsidRPr="00DA63B6">
        <w:rPr>
          <w:rFonts w:ascii="Times New Roman" w:eastAsia="Times New Roman" w:hAnsi="Times New Roman"/>
          <w:color w:val="000000" w:themeColor="text1"/>
          <w:sz w:val="24"/>
        </w:rPr>
        <w:t>EPA is finalizing the requirements as proposed. EPA agrees with those comments supporting the proposed provision and believes that requiring root cause analyses after RMP</w:t>
      </w:r>
      <w:r w:rsidRPr="00DD5582">
        <w:rPr>
          <w:rFonts w:ascii="Times New Roman" w:eastAsia="Times New Roman" w:hAnsi="Times New Roman"/>
          <w:sz w:val="24"/>
        </w:rPr>
        <w:t>-</w:t>
      </w:r>
      <w:r w:rsidRPr="00DA63B6">
        <w:rPr>
          <w:rFonts w:ascii="Times New Roman" w:eastAsia="Times New Roman" w:hAnsi="Times New Roman"/>
          <w:color w:val="000000" w:themeColor="text1"/>
          <w:sz w:val="24"/>
        </w:rPr>
        <w:t xml:space="preserve">reportable accidents, and including root cause information in incident investigation reports, is vital for understanding the nature of these events and how they may occur. </w:t>
      </w:r>
      <w:r w:rsidRPr="009B5556" w:rsidR="009B5556">
        <w:rPr>
          <w:rFonts w:ascii="Times New Roman" w:eastAsia="Times New Roman" w:hAnsi="Times New Roman"/>
          <w:color w:val="000000" w:themeColor="text1"/>
          <w:sz w:val="24"/>
        </w:rPr>
        <w:t>EPA believes multiple accidents result,</w:t>
      </w:r>
      <w:r w:rsidR="009B5556">
        <w:rPr>
          <w:rFonts w:ascii="Times New Roman" w:eastAsia="Times New Roman" w:hAnsi="Times New Roman"/>
          <w:color w:val="000000" w:themeColor="text1"/>
          <w:sz w:val="24"/>
        </w:rPr>
        <w:t xml:space="preserve"> </w:t>
      </w:r>
      <w:r w:rsidRPr="009B5556" w:rsidR="009B5556">
        <w:rPr>
          <w:rFonts w:ascii="Times New Roman" w:eastAsia="Times New Roman" w:hAnsi="Times New Roman"/>
          <w:color w:val="000000" w:themeColor="text1"/>
          <w:sz w:val="24"/>
        </w:rPr>
        <w:t>in part, from a failure to thoroughly</w:t>
      </w:r>
      <w:r w:rsidR="009B5556">
        <w:rPr>
          <w:rFonts w:ascii="Times New Roman" w:eastAsia="Times New Roman" w:hAnsi="Times New Roman"/>
          <w:color w:val="000000" w:themeColor="text1"/>
          <w:sz w:val="24"/>
        </w:rPr>
        <w:t xml:space="preserve"> </w:t>
      </w:r>
      <w:r w:rsidRPr="009B5556" w:rsidR="009B5556">
        <w:rPr>
          <w:rFonts w:ascii="Times New Roman" w:eastAsia="Times New Roman" w:hAnsi="Times New Roman"/>
          <w:color w:val="000000" w:themeColor="text1"/>
          <w:sz w:val="24"/>
        </w:rPr>
        <w:t>investigate and learn from prior</w:t>
      </w:r>
      <w:r w:rsidR="009B5556">
        <w:rPr>
          <w:rFonts w:ascii="Times New Roman" w:eastAsia="Times New Roman" w:hAnsi="Times New Roman"/>
          <w:color w:val="000000" w:themeColor="text1"/>
          <w:sz w:val="24"/>
        </w:rPr>
        <w:t xml:space="preserve"> </w:t>
      </w:r>
      <w:r w:rsidRPr="009B5556" w:rsidR="009B5556">
        <w:rPr>
          <w:rFonts w:ascii="Times New Roman" w:eastAsia="Times New Roman" w:hAnsi="Times New Roman"/>
          <w:color w:val="000000" w:themeColor="text1"/>
          <w:sz w:val="24"/>
        </w:rPr>
        <w:t xml:space="preserve">accidents. </w:t>
      </w:r>
      <w:r w:rsidR="003D66DA">
        <w:rPr>
          <w:rFonts w:ascii="Times New Roman" w:eastAsia="Times New Roman" w:hAnsi="Times New Roman"/>
          <w:color w:val="000000" w:themeColor="text1"/>
          <w:sz w:val="24"/>
        </w:rPr>
        <w:t>EPA</w:t>
      </w:r>
      <w:r w:rsidR="003D66DA">
        <w:rPr>
          <w:rFonts w:ascii="Times New Roman" w:eastAsia="Times New Roman" w:hAnsi="Times New Roman"/>
          <w:color w:val="000000" w:themeColor="text1"/>
          <w:sz w:val="24"/>
        </w:rPr>
        <w:t xml:space="preserve"> </w:t>
      </w:r>
      <w:r w:rsidR="003D66DA">
        <w:rPr>
          <w:rFonts w:ascii="Times New Roman" w:eastAsia="Times New Roman" w:hAnsi="Times New Roman"/>
          <w:color w:val="000000" w:themeColor="text1"/>
          <w:sz w:val="24"/>
        </w:rPr>
        <w:t xml:space="preserve">agrees with the commenter that the burden of the finalized root cause analysis requirements </w:t>
      </w:r>
      <w:r w:rsidR="005717B2">
        <w:rPr>
          <w:rFonts w:ascii="Times New Roman" w:eastAsia="Times New Roman" w:hAnsi="Times New Roman"/>
          <w:color w:val="000000" w:themeColor="text1"/>
          <w:sz w:val="24"/>
        </w:rPr>
        <w:t>is</w:t>
      </w:r>
      <w:r w:rsidR="003D66DA">
        <w:rPr>
          <w:rFonts w:ascii="Times New Roman" w:eastAsia="Times New Roman" w:hAnsi="Times New Roman"/>
          <w:color w:val="000000" w:themeColor="text1"/>
          <w:sz w:val="24"/>
        </w:rPr>
        <w:t xml:space="preserve"> relatively small due to many sources already performing root cause analyses in a manner consistent with industry or company protocols. </w:t>
      </w:r>
    </w:p>
    <w:p w:rsidR="008E0D5A" w:rsidRPr="006110DD" w:rsidP="00C20A8D" w14:paraId="2C809447" w14:textId="546460FB">
      <w:pPr>
        <w:autoSpaceDE w:val="0"/>
        <w:autoSpaceDN w:val="0"/>
        <w:adjustRightInd w:val="0"/>
        <w:ind w:left="720"/>
        <w:rPr>
          <w:rFonts w:ascii="Times New Roman" w:hAnsi="Times New Roman" w:eastAsiaTheme="minorHAnsi"/>
          <w:color w:val="000000"/>
          <w:sz w:val="24"/>
          <w14:ligatures w14:val="standardContextual"/>
        </w:rPr>
      </w:pPr>
      <w:r w:rsidRPr="006110DD">
        <w:rPr>
          <w:rFonts w:ascii="Times New Roman" w:hAnsi="Times New Roman"/>
          <w:sz w:val="24"/>
        </w:rPr>
        <w:t xml:space="preserve">Further, </w:t>
      </w:r>
      <w:r w:rsidRPr="006110DD">
        <w:rPr>
          <w:rFonts w:ascii="Times New Roman" w:hAnsi="Times New Roman" w:eastAsiaTheme="minorHAnsi"/>
          <w:color w:val="000000"/>
          <w:sz w:val="24"/>
          <w14:ligatures w14:val="standardContextual"/>
        </w:rPr>
        <w:t>EPA recognizes that accidental releases of regulated chemicals from facilities regulated by</w:t>
      </w:r>
      <w:r w:rsidR="00FE46B0">
        <w:rPr>
          <w:rFonts w:ascii="Times New Roman" w:hAnsi="Times New Roman" w:eastAsiaTheme="minorHAnsi"/>
          <w:color w:val="000000"/>
          <w:sz w:val="24"/>
          <w14:ligatures w14:val="standardContextual"/>
        </w:rPr>
        <w:t xml:space="preserve"> the</w:t>
      </w:r>
      <w:r w:rsidRPr="006110DD">
        <w:rPr>
          <w:rFonts w:ascii="Times New Roman" w:hAnsi="Times New Roman" w:eastAsiaTheme="minorHAnsi"/>
          <w:color w:val="000000"/>
          <w:sz w:val="24"/>
          <w14:ligatures w14:val="standardContextual"/>
        </w:rPr>
        <w:t xml:space="preserve"> </w:t>
      </w:r>
      <w:r w:rsidR="00CB3F22">
        <w:rPr>
          <w:rFonts w:ascii="Times New Roman" w:hAnsi="Times New Roman" w:eastAsiaTheme="minorHAnsi"/>
          <w:color w:val="000000"/>
          <w:sz w:val="24"/>
          <w14:ligatures w14:val="standardContextual"/>
        </w:rPr>
        <w:t>rule</w:t>
      </w:r>
      <w:r w:rsidRPr="006110DD">
        <w:rPr>
          <w:rFonts w:ascii="Times New Roman" w:hAnsi="Times New Roman" w:eastAsiaTheme="minorHAnsi"/>
          <w:color w:val="000000"/>
          <w:sz w:val="24"/>
          <w14:ligatures w14:val="standardContextual"/>
        </w:rPr>
        <w:t xml:space="preserve"> would likely</w:t>
      </w:r>
      <w:r>
        <w:rPr>
          <w:rFonts w:ascii="Times New Roman" w:hAnsi="Times New Roman" w:eastAsiaTheme="minorHAnsi"/>
          <w:color w:val="000000"/>
          <w:sz w:val="24"/>
          <w14:ligatures w14:val="standardContextual"/>
        </w:rPr>
        <w:t xml:space="preserve"> </w:t>
      </w:r>
      <w:r w:rsidRPr="006110DD">
        <w:rPr>
          <w:rFonts w:ascii="Times New Roman" w:hAnsi="Times New Roman" w:eastAsiaTheme="minorHAnsi"/>
          <w:color w:val="000000"/>
          <w:sz w:val="24"/>
          <w14:ligatures w14:val="standardContextual"/>
        </w:rPr>
        <w:t>pose disproportionate risks to</w:t>
      </w:r>
      <w:r>
        <w:rPr>
          <w:rFonts w:ascii="Times New Roman" w:hAnsi="Times New Roman" w:eastAsiaTheme="minorHAnsi"/>
          <w:color w:val="000000"/>
          <w:sz w:val="24"/>
          <w14:ligatures w14:val="standardContextual"/>
        </w:rPr>
        <w:t xml:space="preserve"> </w:t>
      </w:r>
      <w:r w:rsidRPr="006110DD">
        <w:rPr>
          <w:rFonts w:ascii="Times New Roman" w:hAnsi="Times New Roman" w:eastAsiaTheme="minorHAnsi"/>
          <w:color w:val="000000"/>
          <w:sz w:val="24"/>
          <w14:ligatures w14:val="standardContextual"/>
        </w:rPr>
        <w:t>historically marginalized communities.</w:t>
      </w:r>
      <w:r>
        <w:rPr>
          <w:rFonts w:ascii="Times New Roman" w:hAnsi="Times New Roman" w:eastAsiaTheme="minorHAnsi"/>
          <w:color w:val="000000"/>
          <w:sz w:val="24"/>
          <w14:ligatures w14:val="standardContextual"/>
        </w:rPr>
        <w:t xml:space="preserve"> </w:t>
      </w:r>
      <w:r w:rsidRPr="006110DD">
        <w:rPr>
          <w:rFonts w:ascii="Times New Roman" w:hAnsi="Times New Roman" w:eastAsiaTheme="minorHAnsi"/>
          <w:color w:val="000000"/>
          <w:sz w:val="24"/>
          <w14:ligatures w14:val="standardContextual"/>
        </w:rPr>
        <w:t>However, EPA has concluded that the</w:t>
      </w:r>
      <w:r w:rsidR="00FE46B0">
        <w:rPr>
          <w:rFonts w:ascii="Times New Roman" w:hAnsi="Times New Roman" w:eastAsiaTheme="minorHAnsi"/>
          <w:color w:val="000000"/>
          <w:sz w:val="24"/>
          <w14:ligatures w14:val="standardContextual"/>
        </w:rPr>
        <w:t>se</w:t>
      </w:r>
      <w:r>
        <w:rPr>
          <w:rFonts w:ascii="Times New Roman" w:hAnsi="Times New Roman" w:eastAsiaTheme="minorHAnsi"/>
          <w:color w:val="000000"/>
          <w:sz w:val="24"/>
          <w14:ligatures w14:val="standardContextual"/>
        </w:rPr>
        <w:t xml:space="preserve"> </w:t>
      </w:r>
      <w:r w:rsidRPr="006110DD">
        <w:rPr>
          <w:rFonts w:ascii="Times New Roman" w:hAnsi="Times New Roman" w:eastAsiaTheme="minorHAnsi"/>
          <w:color w:val="000000"/>
          <w:sz w:val="24"/>
          <w14:ligatures w14:val="standardContextual"/>
        </w:rPr>
        <w:t>regulatory requirements will advance</w:t>
      </w:r>
      <w:r w:rsidR="002D79FC">
        <w:rPr>
          <w:rFonts w:ascii="Times New Roman" w:hAnsi="Times New Roman" w:eastAsiaTheme="minorHAnsi"/>
          <w:color w:val="000000"/>
          <w:sz w:val="24"/>
          <w14:ligatures w14:val="standardContextual"/>
        </w:rPr>
        <w:t xml:space="preserve"> </w:t>
      </w:r>
      <w:r w:rsidR="00C71BD2">
        <w:rPr>
          <w:rFonts w:ascii="Times New Roman" w:hAnsi="Times New Roman" w:eastAsiaTheme="minorHAnsi"/>
          <w:color w:val="000000"/>
          <w:sz w:val="24"/>
          <w14:ligatures w14:val="standardContextual"/>
        </w:rPr>
        <w:t>just</w:t>
      </w:r>
      <w:r w:rsidRPr="002D79FC" w:rsidR="002D79FC">
        <w:rPr>
          <w:rFonts w:ascii="Times New Roman" w:hAnsi="Times New Roman" w:eastAsiaTheme="minorHAnsi"/>
          <w:color w:val="000000"/>
          <w:sz w:val="24"/>
          <w14:ligatures w14:val="standardContextual"/>
        </w:rPr>
        <w:t xml:space="preserve"> </w:t>
      </w:r>
      <w:r w:rsidRPr="002D79FC" w:rsidR="002D79FC">
        <w:rPr>
          <w:rFonts w:ascii="Times New Roman" w:hAnsi="Times New Roman" w:eastAsiaTheme="minorHAnsi"/>
          <w:color w:val="000000"/>
          <w:sz w:val="24"/>
          <w14:ligatures w14:val="standardContextual"/>
        </w:rPr>
        <w:t>treatment of those populations by</w:t>
      </w:r>
      <w:r w:rsidR="002D79FC">
        <w:rPr>
          <w:rFonts w:ascii="Times New Roman" w:hAnsi="Times New Roman" w:eastAsiaTheme="minorHAnsi"/>
          <w:color w:val="000000"/>
          <w:sz w:val="24"/>
          <w14:ligatures w14:val="standardContextual"/>
        </w:rPr>
        <w:t xml:space="preserve"> </w:t>
      </w:r>
      <w:r w:rsidRPr="002D79FC" w:rsidR="002D79FC">
        <w:rPr>
          <w:rFonts w:ascii="Times New Roman" w:hAnsi="Times New Roman" w:eastAsiaTheme="minorHAnsi"/>
          <w:color w:val="000000"/>
          <w:sz w:val="24"/>
          <w14:ligatures w14:val="standardContextual"/>
        </w:rPr>
        <w:t>reducing the disproportionate damages</w:t>
      </w:r>
      <w:r w:rsidR="002D79FC">
        <w:rPr>
          <w:rFonts w:ascii="Times New Roman" w:hAnsi="Times New Roman" w:eastAsiaTheme="minorHAnsi"/>
          <w:color w:val="000000"/>
          <w:sz w:val="24"/>
          <w14:ligatures w14:val="standardContextual"/>
        </w:rPr>
        <w:t xml:space="preserve"> </w:t>
      </w:r>
      <w:r w:rsidRPr="002D79FC" w:rsidR="002D79FC">
        <w:rPr>
          <w:rFonts w:ascii="Times New Roman" w:hAnsi="Times New Roman" w:eastAsiaTheme="minorHAnsi"/>
          <w:color w:val="000000"/>
          <w:sz w:val="24"/>
          <w14:ligatures w14:val="standardContextual"/>
        </w:rPr>
        <w:t xml:space="preserve">from accidental releases </w:t>
      </w:r>
      <w:r w:rsidR="00871E3B">
        <w:rPr>
          <w:rFonts w:ascii="Times New Roman" w:hAnsi="Times New Roman" w:eastAsiaTheme="minorHAnsi"/>
          <w:color w:val="000000"/>
          <w:sz w:val="24"/>
          <w14:ligatures w14:val="standardContextual"/>
        </w:rPr>
        <w:t>that</w:t>
      </w:r>
      <w:r w:rsidRPr="002D79FC" w:rsidR="002D79FC">
        <w:rPr>
          <w:rFonts w:ascii="Times New Roman" w:hAnsi="Times New Roman" w:eastAsiaTheme="minorHAnsi"/>
          <w:color w:val="000000"/>
          <w:sz w:val="24"/>
          <w14:ligatures w14:val="standardContextual"/>
        </w:rPr>
        <w:t xml:space="preserve"> </w:t>
      </w:r>
      <w:r w:rsidRPr="002D79FC" w:rsidR="00871E3B">
        <w:rPr>
          <w:rFonts w:ascii="Times New Roman" w:hAnsi="Times New Roman" w:eastAsiaTheme="minorHAnsi"/>
          <w:color w:val="000000"/>
          <w:sz w:val="24"/>
          <w14:ligatures w14:val="standardContextual"/>
        </w:rPr>
        <w:t>RMP regulated</w:t>
      </w:r>
      <w:r w:rsidR="002D79FC">
        <w:rPr>
          <w:rFonts w:ascii="Times New Roman" w:hAnsi="Times New Roman" w:eastAsiaTheme="minorHAnsi"/>
          <w:color w:val="000000"/>
          <w:sz w:val="24"/>
          <w14:ligatures w14:val="standardContextual"/>
        </w:rPr>
        <w:t xml:space="preserve"> </w:t>
      </w:r>
      <w:r w:rsidRPr="002D79FC" w:rsidR="002D79FC">
        <w:rPr>
          <w:rFonts w:ascii="Times New Roman" w:hAnsi="Times New Roman" w:eastAsiaTheme="minorHAnsi"/>
          <w:color w:val="000000"/>
          <w:sz w:val="24"/>
          <w14:ligatures w14:val="standardContextual"/>
        </w:rPr>
        <w:t>facilities might otherwise</w:t>
      </w:r>
      <w:r w:rsidR="002D79FC">
        <w:rPr>
          <w:rFonts w:ascii="Times New Roman" w:hAnsi="Times New Roman" w:eastAsiaTheme="minorHAnsi"/>
          <w:color w:val="000000"/>
          <w:sz w:val="24"/>
          <w14:ligatures w14:val="standardContextual"/>
        </w:rPr>
        <w:t xml:space="preserve"> </w:t>
      </w:r>
      <w:r w:rsidRPr="002D79FC" w:rsidR="002D79FC">
        <w:rPr>
          <w:rFonts w:ascii="Times New Roman" w:hAnsi="Times New Roman" w:eastAsiaTheme="minorHAnsi"/>
          <w:color w:val="000000"/>
          <w:sz w:val="24"/>
          <w14:ligatures w14:val="standardContextual"/>
        </w:rPr>
        <w:t>inflict on those populations.</w:t>
      </w:r>
    </w:p>
    <w:p w:rsidR="00F41FFB" w:rsidP="00F41FFB" w14:paraId="4EC10E39" w14:textId="72A4E4B7">
      <w:pPr>
        <w:rPr>
          <w:rFonts w:ascii="Times New Roman" w:hAnsi="Times New Roman"/>
          <w:sz w:val="24"/>
        </w:rPr>
      </w:pPr>
      <w:r>
        <w:rPr>
          <w:rFonts w:ascii="Times New Roman" w:hAnsi="Times New Roman"/>
          <w:b/>
          <w:bCs/>
          <w:sz w:val="24"/>
        </w:rPr>
        <w:t xml:space="preserve">Comment 7.1-02: </w:t>
      </w:r>
      <w:r w:rsidRPr="2FE08C5B">
        <w:rPr>
          <w:rFonts w:ascii="Times New Roman" w:hAnsi="Times New Roman"/>
          <w:sz w:val="24"/>
        </w:rPr>
        <w:t>A commenter stated that the concept of “root cause” can be misleading, as there is not always a singular reason for why an incident occurred. The commenter said EPA should recognize that a root cause analysis is not always the most appropriate post-incident investigation method (0229).</w:t>
      </w:r>
    </w:p>
    <w:p w:rsidR="004013E9" w:rsidP="00F41FFB" w14:paraId="5028CFBC" w14:textId="2D67DA5A">
      <w:pPr>
        <w:ind w:left="720"/>
        <w:rPr>
          <w:rFonts w:ascii="Times New Roman" w:eastAsia="Times New Roman" w:hAnsi="Times New Roman"/>
          <w:sz w:val="24"/>
        </w:rPr>
      </w:pPr>
      <w:r w:rsidRPr="1765C04F">
        <w:rPr>
          <w:rFonts w:ascii="Times New Roman" w:hAnsi="Times New Roman"/>
          <w:b/>
          <w:bCs/>
          <w:sz w:val="24"/>
        </w:rPr>
        <w:t>EPA Response</w:t>
      </w:r>
      <w:r>
        <w:rPr>
          <w:rFonts w:ascii="Times New Roman" w:hAnsi="Times New Roman"/>
          <w:b/>
          <w:bCs/>
          <w:sz w:val="24"/>
        </w:rPr>
        <w:t xml:space="preserve">: </w:t>
      </w:r>
      <w:r w:rsidRPr="00B63F0B" w:rsidR="00B63F0B">
        <w:rPr>
          <w:rFonts w:ascii="Times New Roman" w:eastAsia="Times New Roman" w:hAnsi="Times New Roman"/>
          <w:sz w:val="24"/>
        </w:rPr>
        <w:t xml:space="preserve"> </w:t>
      </w:r>
      <w:r>
        <w:rPr>
          <w:rFonts w:ascii="Times New Roman" w:eastAsia="Times New Roman" w:hAnsi="Times New Roman"/>
          <w:sz w:val="24"/>
        </w:rPr>
        <w:t xml:space="preserve">With regard to comments that the concept of “root cause” may be misleading, </w:t>
      </w:r>
      <w:r w:rsidR="00B63F0B">
        <w:rPr>
          <w:rFonts w:ascii="Times New Roman" w:eastAsia="Times New Roman" w:hAnsi="Times New Roman"/>
          <w:sz w:val="24"/>
        </w:rPr>
        <w:t>EPA agrees that an incident may have more than one root cause, which is why in the final rule EPA modified the definition of “root cause” to include that the root cause must identify a correctable failure, or failures, in</w:t>
      </w:r>
      <w:r w:rsidR="003936DD">
        <w:rPr>
          <w:rFonts w:ascii="Times New Roman" w:eastAsia="Times New Roman" w:hAnsi="Times New Roman"/>
          <w:sz w:val="24"/>
        </w:rPr>
        <w:t xml:space="preserve"> </w:t>
      </w:r>
      <w:r w:rsidR="00B63F0B">
        <w:rPr>
          <w:rFonts w:ascii="Times New Roman" w:eastAsia="Times New Roman" w:hAnsi="Times New Roman"/>
          <w:sz w:val="24"/>
        </w:rPr>
        <w:t>management system</w:t>
      </w:r>
      <w:r w:rsidR="00603ECA">
        <w:rPr>
          <w:rFonts w:ascii="Times New Roman" w:eastAsia="Times New Roman" w:hAnsi="Times New Roman"/>
          <w:sz w:val="24"/>
        </w:rPr>
        <w:t>s</w:t>
      </w:r>
      <w:r w:rsidR="00B63F0B">
        <w:rPr>
          <w:rFonts w:ascii="Times New Roman" w:eastAsia="Times New Roman" w:hAnsi="Times New Roman"/>
          <w:sz w:val="24"/>
        </w:rPr>
        <w:t xml:space="preserve"> </w:t>
      </w:r>
      <w:r w:rsidRPr="002049AD" w:rsidR="00B63F0B">
        <w:rPr>
          <w:rFonts w:ascii="Times New Roman" w:eastAsia="Times New Roman" w:hAnsi="Times New Roman"/>
          <w:i/>
          <w:iCs/>
          <w:sz w:val="24"/>
        </w:rPr>
        <w:t>and</w:t>
      </w:r>
      <w:r w:rsidR="00B63F0B">
        <w:rPr>
          <w:rFonts w:ascii="Times New Roman" w:eastAsia="Times New Roman" w:hAnsi="Times New Roman"/>
          <w:sz w:val="24"/>
        </w:rPr>
        <w:t xml:space="preserve">, if applicable, in process design. </w:t>
      </w:r>
      <w:r w:rsidRPr="006110DD" w:rsidR="00FF015E">
        <w:rPr>
          <w:rFonts w:ascii="Times New Roman" w:eastAsia="Times New Roman" w:hAnsi="Times New Roman"/>
          <w:i/>
          <w:iCs/>
          <w:sz w:val="24"/>
        </w:rPr>
        <w:t>See</w:t>
      </w:r>
      <w:r w:rsidR="00FF015E">
        <w:rPr>
          <w:rFonts w:ascii="Times New Roman" w:eastAsia="Times New Roman" w:hAnsi="Times New Roman"/>
          <w:sz w:val="24"/>
        </w:rPr>
        <w:t xml:space="preserve"> EPA response to Comment 7.1-03</w:t>
      </w:r>
    </w:p>
    <w:p w:rsidR="004D597B" w:rsidP="00F41FFB" w14:paraId="156D2462" w14:textId="0802028F">
      <w:pPr>
        <w:ind w:left="720"/>
        <w:rPr>
          <w:rFonts w:ascii="Times New Roman" w:eastAsia="Times New Roman" w:hAnsi="Times New Roman"/>
          <w:sz w:val="24"/>
        </w:rPr>
      </w:pPr>
      <w:r w:rsidRPr="1765C04F">
        <w:rPr>
          <w:rFonts w:ascii="Times New Roman" w:eastAsia="Times New Roman" w:hAnsi="Times New Roman"/>
          <w:color w:val="000000" w:themeColor="text1"/>
          <w:sz w:val="24"/>
        </w:rPr>
        <w:t>With regard to comments about the appropriateness of a root cause analysis as a post</w:t>
      </w:r>
      <w:r w:rsidRPr="004516F0">
        <w:rPr>
          <w:rFonts w:ascii="Times New Roman" w:eastAsia="Times New Roman" w:hAnsi="Times New Roman"/>
          <w:color w:val="000000" w:themeColor="text1"/>
          <w:sz w:val="24"/>
        </w:rPr>
        <w:t>-</w:t>
      </w:r>
      <w:r w:rsidRPr="1765C04F">
        <w:rPr>
          <w:rFonts w:ascii="Times New Roman" w:eastAsia="Times New Roman" w:hAnsi="Times New Roman"/>
          <w:color w:val="000000" w:themeColor="text1"/>
          <w:sz w:val="24"/>
        </w:rPr>
        <w:t xml:space="preserve">incident investigation method, EPA has provided detailed background information on the usefulness of root cause </w:t>
      </w:r>
      <w:r w:rsidRPr="000F159A">
        <w:rPr>
          <w:rFonts w:ascii="Times New Roman" w:eastAsia="Times New Roman" w:hAnsi="Times New Roman"/>
          <w:sz w:val="24"/>
        </w:rPr>
        <w:t xml:space="preserve">analysis in both the 2016 amendments proposed rule (81 FR 13638) and the 2022 SCCAP proposed rule (87 FR 53556). </w:t>
      </w:r>
    </w:p>
    <w:p w:rsidR="00F41FFB" w:rsidP="00F41FFB" w14:paraId="5F4B7C91" w14:textId="25D06F8D">
      <w:pPr>
        <w:ind w:left="720"/>
        <w:rPr>
          <w:rFonts w:ascii="Times New Roman" w:eastAsia="Times New Roman" w:hAnsi="Times New Roman"/>
          <w:color w:val="000000" w:themeColor="text1"/>
          <w:sz w:val="24"/>
        </w:rPr>
      </w:pPr>
      <w:r w:rsidRPr="000F159A">
        <w:rPr>
          <w:rFonts w:ascii="Times New Roman" w:eastAsia="Times New Roman" w:hAnsi="Times New Roman"/>
          <w:sz w:val="24"/>
        </w:rPr>
        <w:t>EPA also notes that the final rule does not require facilities to use a specific root cause analysis method</w:t>
      </w:r>
      <w:r w:rsidRPr="1765C04F">
        <w:rPr>
          <w:rFonts w:ascii="Times New Roman" w:eastAsia="Times New Roman" w:hAnsi="Times New Roman"/>
          <w:color w:val="000000" w:themeColor="text1"/>
          <w:sz w:val="24"/>
        </w:rPr>
        <w:t>, select from a predetermined list of root causes, or force-fit investigation findings into an inappropriate category.</w:t>
      </w:r>
    </w:p>
    <w:p w:rsidR="00F41FFB" w:rsidP="00F41FFB" w14:paraId="6DF6BB09" w14:textId="77777777">
      <w:pPr>
        <w:rPr>
          <w:rFonts w:ascii="Times New Roman" w:hAnsi="Times New Roman"/>
          <w:i/>
          <w:iCs/>
          <w:sz w:val="24"/>
        </w:rPr>
      </w:pPr>
      <w:r w:rsidRPr="00D20D0A">
        <w:rPr>
          <w:rFonts w:ascii="Times New Roman" w:hAnsi="Times New Roman"/>
          <w:i/>
          <w:iCs/>
          <w:sz w:val="24"/>
        </w:rPr>
        <w:t xml:space="preserve">Comments addressing the definition for root cause </w:t>
      </w:r>
    </w:p>
    <w:p w:rsidR="00F41FFB" w:rsidP="00F41FFB" w14:paraId="2D724BD8" w14:textId="77777777">
      <w:pPr>
        <w:rPr>
          <w:rFonts w:ascii="Times New Roman" w:hAnsi="Times New Roman"/>
          <w:sz w:val="24"/>
        </w:rPr>
      </w:pPr>
      <w:r>
        <w:rPr>
          <w:rFonts w:ascii="Times New Roman" w:hAnsi="Times New Roman"/>
          <w:b/>
          <w:bCs/>
          <w:sz w:val="24"/>
        </w:rPr>
        <w:t xml:space="preserve">Comment 7.1-03: </w:t>
      </w:r>
      <w:r w:rsidRPr="6D3F9CC5">
        <w:rPr>
          <w:rFonts w:ascii="Times New Roman" w:hAnsi="Times New Roman"/>
          <w:sz w:val="24"/>
        </w:rPr>
        <w:t xml:space="preserve">A couple of commenters expressed support for the proposed definition of “root cause” (0228, 0273). </w:t>
      </w:r>
    </w:p>
    <w:p w:rsidR="00F41FFB" w:rsidP="00F41FFB" w14:paraId="14D475D0" w14:textId="4F3CCD3D">
      <w:pPr>
        <w:rPr>
          <w:rFonts w:ascii="Times New Roman" w:hAnsi="Times New Roman"/>
          <w:sz w:val="24"/>
        </w:rPr>
      </w:pPr>
      <w:r>
        <w:rPr>
          <w:rFonts w:ascii="Times New Roman" w:hAnsi="Times New Roman"/>
          <w:sz w:val="24"/>
        </w:rPr>
        <w:t>One</w:t>
      </w:r>
      <w:r w:rsidRPr="377F9F17">
        <w:rPr>
          <w:rFonts w:ascii="Times New Roman" w:hAnsi="Times New Roman"/>
          <w:sz w:val="24"/>
        </w:rPr>
        <w:t xml:space="preserve"> commenter requested that if EPA determines that all incident investigations require a root cause analysis, EPA update the definition for “root cause” to remove the “system-related” and “in management systems” language. The commenter suggested that by focusing on system-related releases, EPA ignores that humans or environmental causes could be the cause of an incident (0237). </w:t>
      </w:r>
    </w:p>
    <w:p w:rsidR="00F41FFB" w:rsidRPr="006F68E9" w:rsidP="00F41FFB" w14:paraId="35B865F5" w14:textId="77777777">
      <w:pPr>
        <w:rPr>
          <w:rFonts w:ascii="Times New Roman" w:hAnsi="Times New Roman"/>
          <w:sz w:val="24"/>
        </w:rPr>
      </w:pPr>
      <w:r>
        <w:rPr>
          <w:rFonts w:ascii="Times New Roman" w:hAnsi="Times New Roman"/>
          <w:sz w:val="24"/>
        </w:rPr>
        <w:t>Another</w:t>
      </w:r>
      <w:r w:rsidRPr="6D3F9CC5">
        <w:rPr>
          <w:rFonts w:ascii="Times New Roman" w:hAnsi="Times New Roman"/>
          <w:sz w:val="24"/>
        </w:rPr>
        <w:t xml:space="preserve"> commenter suggested EPA revise the provided definition to state (0203): </w:t>
      </w:r>
    </w:p>
    <w:p w:rsidR="00F41FFB" w:rsidRPr="006F68E9" w:rsidP="00F41FFB" w14:paraId="7E2C4716" w14:textId="77777777">
      <w:pPr>
        <w:ind w:left="720"/>
        <w:rPr>
          <w:rFonts w:ascii="Times New Roman" w:hAnsi="Times New Roman"/>
          <w:sz w:val="24"/>
        </w:rPr>
      </w:pPr>
      <w:r w:rsidRPr="6D3F9CC5">
        <w:rPr>
          <w:rFonts w:ascii="Times New Roman" w:hAnsi="Times New Roman"/>
          <w:sz w:val="24"/>
        </w:rPr>
        <w:t>“Root cause means a fundamental, underlying, system-related reason why an incident occurred that identifies a correctable failure(s) in process design and/or management systems.”</w:t>
      </w:r>
    </w:p>
    <w:p w:rsidR="007726A2" w:rsidRPr="00B601A9" w:rsidP="00F41FFB" w14:paraId="5C467103" w14:textId="2D3B24C1">
      <w:pPr>
        <w:ind w:left="720"/>
        <w:rPr>
          <w:rFonts w:ascii="Times New Roman" w:eastAsia="Times New Roman" w:hAnsi="Times New Roman"/>
          <w:color w:val="000000" w:themeColor="text1"/>
          <w:sz w:val="24"/>
        </w:rPr>
      </w:pPr>
      <w:r w:rsidRPr="6D3F9CC5">
        <w:rPr>
          <w:rFonts w:ascii="Times New Roman" w:hAnsi="Times New Roman"/>
          <w:b/>
          <w:bCs/>
          <w:sz w:val="24"/>
        </w:rPr>
        <w:t>EPA Response</w:t>
      </w:r>
      <w:r>
        <w:rPr>
          <w:rFonts w:ascii="Times New Roman" w:hAnsi="Times New Roman"/>
          <w:b/>
          <w:bCs/>
          <w:sz w:val="24"/>
        </w:rPr>
        <w:t xml:space="preserve">: </w:t>
      </w:r>
      <w:r w:rsidRPr="6D3F9CC5">
        <w:rPr>
          <w:rFonts w:ascii="Times New Roman" w:eastAsia="Times New Roman" w:hAnsi="Times New Roman"/>
          <w:color w:val="000000" w:themeColor="text1"/>
          <w:sz w:val="24"/>
        </w:rPr>
        <w:t>EPA is finalizing the proposed definition of “root cause” with modifications to include that the root cause must identify a correctable failure(s) in management systems, and if applicable, in process design. In finalizing this definition, EPA recognizes that an incident may have more than one root cause. EPA acknowledged in the proposal that the CCPS root cause definition identified that a root cause includes a correctable failure in management systems. EPA intended to use CCPS’ definition in its entirety due to its wide use among the process safety industry. As such, EPA</w:t>
      </w:r>
      <w:r w:rsidRPr="6D3F9CC5">
        <w:rPr>
          <w:rFonts w:ascii="Times New Roman" w:eastAsia="Times New Roman" w:hAnsi="Times New Roman"/>
          <w:color w:val="000000" w:themeColor="text1"/>
          <w:sz w:val="24"/>
        </w:rPr>
        <w:t xml:space="preserve"> </w:t>
      </w:r>
      <w:r w:rsidR="00173906">
        <w:rPr>
          <w:rFonts w:ascii="Times New Roman" w:eastAsia="Times New Roman" w:hAnsi="Times New Roman"/>
          <w:color w:val="000000" w:themeColor="text1"/>
          <w:sz w:val="24"/>
        </w:rPr>
        <w:t xml:space="preserve">agrees that the definition of “root cause” should </w:t>
      </w:r>
      <w:r w:rsidRPr="6D3F9CC5">
        <w:rPr>
          <w:rFonts w:ascii="Times New Roman" w:eastAsia="Times New Roman" w:hAnsi="Times New Roman"/>
          <w:color w:val="000000" w:themeColor="text1"/>
          <w:sz w:val="24"/>
        </w:rPr>
        <w:t>include management systems as a correctable failure that must be identified when determining root causes for incident investigations. EPA also</w:t>
      </w:r>
      <w:r w:rsidRPr="6D3F9CC5">
        <w:rPr>
          <w:rFonts w:ascii="Times New Roman" w:eastAsia="Times New Roman" w:hAnsi="Times New Roman"/>
          <w:color w:val="000000" w:themeColor="text1"/>
          <w:sz w:val="24"/>
        </w:rPr>
        <w:t xml:space="preserve"> </w:t>
      </w:r>
      <w:r w:rsidR="00173906">
        <w:rPr>
          <w:rFonts w:ascii="Times New Roman" w:eastAsia="Times New Roman" w:hAnsi="Times New Roman"/>
          <w:color w:val="000000" w:themeColor="text1"/>
          <w:sz w:val="24"/>
        </w:rPr>
        <w:t xml:space="preserve">agrees that </w:t>
      </w:r>
      <w:r w:rsidRPr="6D3F9CC5">
        <w:rPr>
          <w:rFonts w:ascii="Times New Roman" w:eastAsia="Times New Roman" w:hAnsi="Times New Roman"/>
          <w:color w:val="000000" w:themeColor="text1"/>
          <w:sz w:val="24"/>
        </w:rPr>
        <w:t>adding process design to the definition of root cause is useful as process design points to a specific management system failure that may offer facilities an opportunity to design their process more safely.</w:t>
      </w:r>
    </w:p>
    <w:p w:rsidR="007F706D" w:rsidRPr="008768C6" w:rsidP="00F41FFB" w14:paraId="24DE7821" w14:textId="624F2206">
      <w:pPr>
        <w:ind w:left="720"/>
        <w:rPr>
          <w:rFonts w:ascii="Times New Roman" w:eastAsia="Times New Roman" w:hAnsi="Times New Roman"/>
          <w:color w:val="000000" w:themeColor="text1"/>
          <w:sz w:val="24"/>
        </w:rPr>
      </w:pPr>
      <w:r w:rsidRPr="00970294">
        <w:rPr>
          <w:rFonts w:ascii="Times New Roman" w:hAnsi="Times New Roman"/>
          <w:sz w:val="24"/>
        </w:rPr>
        <w:t>Further</w:t>
      </w:r>
      <w:r w:rsidRPr="00970294" w:rsidR="00243AC4">
        <w:rPr>
          <w:rFonts w:ascii="Times New Roman" w:hAnsi="Times New Roman"/>
          <w:sz w:val="24"/>
        </w:rPr>
        <w:t>, EPA disagrees tha</w:t>
      </w:r>
      <w:r w:rsidR="007D2DD5">
        <w:rPr>
          <w:rFonts w:ascii="Times New Roman" w:hAnsi="Times New Roman"/>
          <w:sz w:val="24"/>
        </w:rPr>
        <w:t>t by focusing on system-related releases</w:t>
      </w:r>
      <w:r w:rsidRPr="00970294" w:rsidR="00243AC4">
        <w:rPr>
          <w:rFonts w:ascii="Times New Roman" w:hAnsi="Times New Roman"/>
          <w:sz w:val="24"/>
        </w:rPr>
        <w:t xml:space="preserve"> EPA </w:t>
      </w:r>
      <w:r w:rsidRPr="00970294" w:rsidR="00483B4B">
        <w:rPr>
          <w:rFonts w:ascii="Times New Roman" w:hAnsi="Times New Roman"/>
          <w:sz w:val="24"/>
        </w:rPr>
        <w:t xml:space="preserve">ignores human or environmental causes. CCPS’ Guidelines for Investigating Process Safety Incidents, 3rd Edition (2019), Chapter 2, addresses that human error is not a root cause but an important aspect of the incident to further learn which opportunity allowed human error to occur. </w:t>
      </w:r>
      <w:r w:rsidR="00DB7957">
        <w:rPr>
          <w:rFonts w:ascii="Times New Roman" w:hAnsi="Times New Roman"/>
          <w:sz w:val="24"/>
        </w:rPr>
        <w:t xml:space="preserve">The guidance also identifies </w:t>
      </w:r>
      <w:r w:rsidR="00016951">
        <w:rPr>
          <w:rFonts w:ascii="Times New Roman" w:hAnsi="Times New Roman"/>
          <w:sz w:val="24"/>
        </w:rPr>
        <w:t xml:space="preserve">environmental circumstances </w:t>
      </w:r>
      <w:r w:rsidR="00514F0B">
        <w:rPr>
          <w:rFonts w:ascii="Times New Roman" w:hAnsi="Times New Roman"/>
          <w:sz w:val="24"/>
        </w:rPr>
        <w:t xml:space="preserve">as </w:t>
      </w:r>
      <w:r w:rsidR="00CE5A46">
        <w:rPr>
          <w:rFonts w:ascii="Times New Roman" w:hAnsi="Times New Roman"/>
          <w:sz w:val="24"/>
        </w:rPr>
        <w:t xml:space="preserve">part of a </w:t>
      </w:r>
      <w:r w:rsidR="00110670">
        <w:rPr>
          <w:rFonts w:ascii="Times New Roman" w:hAnsi="Times New Roman"/>
          <w:sz w:val="24"/>
        </w:rPr>
        <w:t xml:space="preserve">complex </w:t>
      </w:r>
      <w:r w:rsidR="00035D21">
        <w:rPr>
          <w:rFonts w:ascii="Times New Roman" w:hAnsi="Times New Roman"/>
          <w:sz w:val="24"/>
        </w:rPr>
        <w:t xml:space="preserve">sequence of occurrences and conditions </w:t>
      </w:r>
      <w:r w:rsidR="00970294">
        <w:rPr>
          <w:rFonts w:ascii="Times New Roman" w:hAnsi="Times New Roman"/>
          <w:sz w:val="24"/>
        </w:rPr>
        <w:t>of a major</w:t>
      </w:r>
      <w:r w:rsidR="001E4A86">
        <w:rPr>
          <w:rFonts w:ascii="Times New Roman" w:hAnsi="Times New Roman"/>
          <w:sz w:val="24"/>
        </w:rPr>
        <w:t xml:space="preserve"> incident. </w:t>
      </w:r>
      <w:r w:rsidRPr="00970294" w:rsidR="00483B4B">
        <w:rPr>
          <w:rFonts w:ascii="Times New Roman" w:hAnsi="Times New Roman"/>
          <w:sz w:val="24"/>
        </w:rPr>
        <w:t xml:space="preserve">EPA expects owners and </w:t>
      </w:r>
      <w:r w:rsidRPr="00970294" w:rsidR="00483B4B">
        <w:rPr>
          <w:rFonts w:ascii="Times New Roman" w:hAnsi="Times New Roman"/>
          <w:sz w:val="24"/>
        </w:rPr>
        <w:t>operators to reference and use appropriate recognized industry guidance such as CCPS’ when conducting root cause analyses.</w:t>
      </w:r>
    </w:p>
    <w:p w:rsidR="00F41FFB" w:rsidP="00F41FFB" w14:paraId="1299ABD1" w14:textId="77777777">
      <w:pPr>
        <w:rPr>
          <w:rFonts w:ascii="Times New Roman" w:hAnsi="Times New Roman"/>
          <w:sz w:val="24"/>
        </w:rPr>
      </w:pPr>
      <w:r>
        <w:rPr>
          <w:rFonts w:ascii="Times New Roman" w:hAnsi="Times New Roman"/>
          <w:b/>
          <w:bCs/>
          <w:sz w:val="24"/>
        </w:rPr>
        <w:t xml:space="preserve">Comment 7.1-04: </w:t>
      </w:r>
      <w:r w:rsidRPr="377F9F17">
        <w:rPr>
          <w:rFonts w:ascii="Times New Roman" w:hAnsi="Times New Roman"/>
          <w:sz w:val="24"/>
        </w:rPr>
        <w:t>One commenter recommended that EPA specify that a root cause is not “human error” but the factors that made the human error more likely (0108).</w:t>
      </w:r>
    </w:p>
    <w:p w:rsidR="00F41FFB" w:rsidRPr="00ED1339" w:rsidP="00171D3D" w14:paraId="2C613304" w14:textId="1CBF36D0">
      <w:pPr>
        <w:ind w:left="720"/>
        <w:rPr>
          <w:rFonts w:ascii="Times New Roman" w:hAnsi="Times New Roman"/>
          <w:sz w:val="24"/>
        </w:rPr>
      </w:pPr>
      <w:r>
        <w:rPr>
          <w:rFonts w:ascii="Times New Roman" w:hAnsi="Times New Roman"/>
          <w:b/>
          <w:sz w:val="24"/>
        </w:rPr>
        <w:t xml:space="preserve">EPA Response: </w:t>
      </w:r>
      <w:r w:rsidRPr="0045105F" w:rsidR="0045105F">
        <w:t xml:space="preserve"> </w:t>
      </w:r>
      <w:r w:rsidRPr="00921B5F" w:rsidR="00921B5F">
        <w:rPr>
          <w:rFonts w:ascii="Times New Roman" w:hAnsi="Times New Roman"/>
          <w:sz w:val="24"/>
        </w:rPr>
        <w:t xml:space="preserve">EPA is finalizing the definition of “root cause” </w:t>
      </w:r>
      <w:r w:rsidR="00643930">
        <w:rPr>
          <w:rFonts w:ascii="Times New Roman" w:hAnsi="Times New Roman"/>
          <w:sz w:val="24"/>
        </w:rPr>
        <w:t xml:space="preserve">to mean </w:t>
      </w:r>
      <w:r w:rsidRPr="00643930" w:rsidR="00643930">
        <w:rPr>
          <w:rFonts w:ascii="Times New Roman" w:hAnsi="Times New Roman"/>
          <w:sz w:val="24"/>
        </w:rPr>
        <w:t xml:space="preserve">a fundamental, underlying, system-related reason why an incident occurred that identifies a correctable failure(s) in management systems, and if applicable, in process design. </w:t>
      </w:r>
      <w:r w:rsidRPr="00921B5F" w:rsidR="00921B5F">
        <w:rPr>
          <w:rFonts w:ascii="Times New Roman" w:hAnsi="Times New Roman"/>
          <w:sz w:val="24"/>
        </w:rPr>
        <w:t>EPA use</w:t>
      </w:r>
      <w:r w:rsidR="00171D3D">
        <w:rPr>
          <w:rFonts w:ascii="Times New Roman" w:hAnsi="Times New Roman"/>
          <w:sz w:val="24"/>
        </w:rPr>
        <w:t>s</w:t>
      </w:r>
      <w:r w:rsidRPr="00921B5F" w:rsidR="00921B5F">
        <w:rPr>
          <w:rFonts w:ascii="Times New Roman" w:hAnsi="Times New Roman"/>
          <w:sz w:val="24"/>
        </w:rPr>
        <w:t xml:space="preserve"> CCPS’ definition in its entirety due to its wide use among the process safety industry. </w:t>
      </w:r>
      <w:bookmarkStart w:id="93" w:name="_Hlk152163746"/>
      <w:r w:rsidRPr="0045105F" w:rsidR="0045105F">
        <w:rPr>
          <w:rFonts w:ascii="Times New Roman" w:hAnsi="Times New Roman"/>
          <w:bCs/>
          <w:sz w:val="24"/>
        </w:rPr>
        <w:t>CCPS</w:t>
      </w:r>
      <w:r w:rsidR="00153ACE">
        <w:rPr>
          <w:rFonts w:ascii="Times New Roman" w:hAnsi="Times New Roman"/>
          <w:bCs/>
          <w:sz w:val="24"/>
        </w:rPr>
        <w:t>’</w:t>
      </w:r>
      <w:r w:rsidRPr="0045105F" w:rsidR="0045105F">
        <w:rPr>
          <w:rFonts w:ascii="Times New Roman" w:hAnsi="Times New Roman"/>
          <w:bCs/>
          <w:sz w:val="24"/>
        </w:rPr>
        <w:t xml:space="preserve"> </w:t>
      </w:r>
      <w:r w:rsidRPr="00153ACE" w:rsidR="0045105F">
        <w:rPr>
          <w:rFonts w:ascii="Times New Roman" w:hAnsi="Times New Roman"/>
          <w:bCs/>
          <w:i/>
          <w:iCs/>
          <w:sz w:val="24"/>
        </w:rPr>
        <w:t>Guidelines for Investigating Process Safety Incidents, 3rd Edition (2019</w:t>
      </w:r>
      <w:r w:rsidRPr="00153ACE" w:rsidR="000207C5">
        <w:rPr>
          <w:rFonts w:ascii="Times New Roman" w:hAnsi="Times New Roman"/>
          <w:bCs/>
          <w:i/>
          <w:iCs/>
          <w:sz w:val="24"/>
        </w:rPr>
        <w:t>)</w:t>
      </w:r>
      <w:r w:rsidR="00153ACE">
        <w:rPr>
          <w:rFonts w:ascii="Times New Roman" w:hAnsi="Times New Roman"/>
          <w:bCs/>
          <w:i/>
          <w:iCs/>
          <w:sz w:val="24"/>
        </w:rPr>
        <w:t>,</w:t>
      </w:r>
      <w:r w:rsidR="000207C5">
        <w:rPr>
          <w:rFonts w:ascii="Times New Roman" w:hAnsi="Times New Roman"/>
          <w:bCs/>
          <w:sz w:val="24"/>
        </w:rPr>
        <w:t xml:space="preserve"> </w:t>
      </w:r>
      <w:r w:rsidR="00027C70">
        <w:rPr>
          <w:rFonts w:ascii="Times New Roman" w:hAnsi="Times New Roman"/>
          <w:bCs/>
          <w:sz w:val="24"/>
        </w:rPr>
        <w:t xml:space="preserve">Chapter 2, </w:t>
      </w:r>
      <w:r w:rsidR="000207C5">
        <w:rPr>
          <w:rFonts w:ascii="Times New Roman" w:hAnsi="Times New Roman"/>
          <w:bCs/>
          <w:sz w:val="24"/>
        </w:rPr>
        <w:t>addresses</w:t>
      </w:r>
      <w:r w:rsidR="0045105F">
        <w:rPr>
          <w:rFonts w:ascii="Times New Roman" w:hAnsi="Times New Roman"/>
          <w:bCs/>
          <w:sz w:val="24"/>
        </w:rPr>
        <w:t xml:space="preserve"> that human error is not a root cause but</w:t>
      </w:r>
      <w:r w:rsidR="00CA4C23">
        <w:rPr>
          <w:rFonts w:ascii="Times New Roman" w:hAnsi="Times New Roman"/>
          <w:bCs/>
          <w:sz w:val="24"/>
        </w:rPr>
        <w:t xml:space="preserve"> an </w:t>
      </w:r>
      <w:r w:rsidR="00440229">
        <w:rPr>
          <w:rFonts w:ascii="Times New Roman" w:hAnsi="Times New Roman"/>
          <w:bCs/>
          <w:sz w:val="24"/>
        </w:rPr>
        <w:t>important aspect of the incident to</w:t>
      </w:r>
      <w:r w:rsidR="006814FA">
        <w:rPr>
          <w:rFonts w:ascii="Times New Roman" w:hAnsi="Times New Roman"/>
          <w:bCs/>
          <w:sz w:val="24"/>
        </w:rPr>
        <w:t xml:space="preserve"> further</w:t>
      </w:r>
      <w:r w:rsidR="00EB1891">
        <w:rPr>
          <w:rFonts w:ascii="Times New Roman" w:hAnsi="Times New Roman"/>
          <w:bCs/>
          <w:sz w:val="24"/>
        </w:rPr>
        <w:t xml:space="preserve"> </w:t>
      </w:r>
      <w:r w:rsidR="003D119C">
        <w:rPr>
          <w:rFonts w:ascii="Times New Roman" w:hAnsi="Times New Roman"/>
          <w:bCs/>
          <w:sz w:val="24"/>
        </w:rPr>
        <w:t xml:space="preserve">learn </w:t>
      </w:r>
      <w:r w:rsidR="006814FA">
        <w:rPr>
          <w:rFonts w:ascii="Times New Roman" w:hAnsi="Times New Roman"/>
          <w:bCs/>
          <w:sz w:val="24"/>
        </w:rPr>
        <w:t>which</w:t>
      </w:r>
      <w:r w:rsidR="003D119C">
        <w:rPr>
          <w:rFonts w:ascii="Times New Roman" w:hAnsi="Times New Roman"/>
          <w:bCs/>
          <w:sz w:val="24"/>
        </w:rPr>
        <w:t xml:space="preserve"> </w:t>
      </w:r>
      <w:r w:rsidR="009426FF">
        <w:rPr>
          <w:rFonts w:ascii="Times New Roman" w:hAnsi="Times New Roman"/>
          <w:bCs/>
          <w:sz w:val="24"/>
        </w:rPr>
        <w:t xml:space="preserve">opportunity </w:t>
      </w:r>
      <w:r w:rsidR="006814FA">
        <w:rPr>
          <w:rFonts w:ascii="Times New Roman" w:hAnsi="Times New Roman"/>
          <w:bCs/>
          <w:sz w:val="24"/>
        </w:rPr>
        <w:t>allowed human error to occur</w:t>
      </w:r>
      <w:r w:rsidR="00745066">
        <w:rPr>
          <w:rFonts w:ascii="Times New Roman" w:hAnsi="Times New Roman"/>
          <w:bCs/>
          <w:sz w:val="24"/>
        </w:rPr>
        <w:t xml:space="preserve">. </w:t>
      </w:r>
      <w:r w:rsidR="00843140">
        <w:rPr>
          <w:rFonts w:ascii="Times New Roman" w:hAnsi="Times New Roman"/>
          <w:bCs/>
          <w:sz w:val="24"/>
        </w:rPr>
        <w:t xml:space="preserve">EPA </w:t>
      </w:r>
      <w:r w:rsidR="00921137">
        <w:rPr>
          <w:rFonts w:ascii="Times New Roman" w:hAnsi="Times New Roman"/>
          <w:bCs/>
          <w:sz w:val="24"/>
        </w:rPr>
        <w:t xml:space="preserve">expects </w:t>
      </w:r>
      <w:r w:rsidR="00843140">
        <w:rPr>
          <w:rFonts w:ascii="Times New Roman" w:hAnsi="Times New Roman"/>
          <w:bCs/>
          <w:sz w:val="24"/>
        </w:rPr>
        <w:t xml:space="preserve">owners and operators to </w:t>
      </w:r>
      <w:r w:rsidR="00921137">
        <w:rPr>
          <w:rFonts w:ascii="Times New Roman" w:hAnsi="Times New Roman"/>
          <w:bCs/>
          <w:sz w:val="24"/>
        </w:rPr>
        <w:t xml:space="preserve">reference </w:t>
      </w:r>
      <w:r w:rsidR="00A2251A">
        <w:rPr>
          <w:rFonts w:ascii="Times New Roman" w:hAnsi="Times New Roman"/>
          <w:bCs/>
          <w:sz w:val="24"/>
        </w:rPr>
        <w:t xml:space="preserve">and use </w:t>
      </w:r>
      <w:r w:rsidR="00921137">
        <w:rPr>
          <w:rFonts w:ascii="Times New Roman" w:hAnsi="Times New Roman"/>
          <w:bCs/>
          <w:sz w:val="24"/>
        </w:rPr>
        <w:t xml:space="preserve">appropriate recognized industry guidance </w:t>
      </w:r>
      <w:r w:rsidR="00745066">
        <w:rPr>
          <w:rFonts w:ascii="Times New Roman" w:hAnsi="Times New Roman"/>
          <w:bCs/>
          <w:sz w:val="24"/>
        </w:rPr>
        <w:t>such as CCPS</w:t>
      </w:r>
      <w:r w:rsidR="00A2251A">
        <w:rPr>
          <w:rFonts w:ascii="Times New Roman" w:hAnsi="Times New Roman"/>
          <w:bCs/>
          <w:sz w:val="24"/>
        </w:rPr>
        <w:t>’</w:t>
      </w:r>
      <w:r w:rsidR="00745066">
        <w:rPr>
          <w:rFonts w:ascii="Times New Roman" w:hAnsi="Times New Roman"/>
          <w:bCs/>
          <w:sz w:val="24"/>
        </w:rPr>
        <w:t xml:space="preserve"> </w:t>
      </w:r>
      <w:r w:rsidR="00090DC9">
        <w:rPr>
          <w:rFonts w:ascii="Times New Roman" w:hAnsi="Times New Roman"/>
          <w:bCs/>
          <w:sz w:val="24"/>
        </w:rPr>
        <w:t xml:space="preserve">when </w:t>
      </w:r>
      <w:r w:rsidR="00D3380B">
        <w:rPr>
          <w:rFonts w:ascii="Times New Roman" w:hAnsi="Times New Roman"/>
          <w:bCs/>
          <w:sz w:val="24"/>
        </w:rPr>
        <w:t xml:space="preserve">conducting </w:t>
      </w:r>
      <w:r w:rsidR="00171366">
        <w:rPr>
          <w:rFonts w:ascii="Times New Roman" w:hAnsi="Times New Roman"/>
          <w:bCs/>
          <w:sz w:val="24"/>
        </w:rPr>
        <w:t xml:space="preserve">root cause </w:t>
      </w:r>
      <w:r w:rsidR="00090DC9">
        <w:rPr>
          <w:rFonts w:ascii="Times New Roman" w:hAnsi="Times New Roman"/>
          <w:bCs/>
          <w:sz w:val="24"/>
        </w:rPr>
        <w:t>analyses.</w:t>
      </w:r>
    </w:p>
    <w:bookmarkEnd w:id="93"/>
    <w:p w:rsidR="00F41FFB" w:rsidRPr="007E5DD1" w:rsidP="00F41FFB" w14:paraId="27EEDBE0" w14:textId="77777777">
      <w:pPr>
        <w:rPr>
          <w:rFonts w:ascii="Times New Roman" w:hAnsi="Times New Roman"/>
          <w:i/>
          <w:iCs/>
          <w:sz w:val="24"/>
        </w:rPr>
      </w:pPr>
      <w:r>
        <w:rPr>
          <w:rFonts w:ascii="Times New Roman" w:hAnsi="Times New Roman"/>
          <w:i/>
          <w:iCs/>
          <w:sz w:val="24"/>
        </w:rPr>
        <w:t>Opposition for root cause analysis requirements for Program 2 and 3 processes</w:t>
      </w:r>
    </w:p>
    <w:p w:rsidR="00F41FFB" w:rsidRPr="009864E3" w:rsidP="00F41FFB" w14:paraId="1175D56D" w14:textId="77777777">
      <w:pPr>
        <w:rPr>
          <w:rFonts w:ascii="Times New Roman" w:hAnsi="Times New Roman"/>
          <w:sz w:val="24"/>
        </w:rPr>
      </w:pPr>
      <w:r>
        <w:rPr>
          <w:rFonts w:ascii="Times New Roman" w:hAnsi="Times New Roman"/>
          <w:b/>
          <w:bCs/>
          <w:sz w:val="24"/>
        </w:rPr>
        <w:t xml:space="preserve">Comment 7.1-05: </w:t>
      </w:r>
      <w:r w:rsidRPr="2FE08C5B">
        <w:rPr>
          <w:rFonts w:ascii="Times New Roman" w:hAnsi="Times New Roman"/>
          <w:sz w:val="24"/>
        </w:rPr>
        <w:t>Several commenters did not support the revision of the incident investigation provision</w:t>
      </w:r>
      <w:r>
        <w:rPr>
          <w:rFonts w:ascii="Times New Roman" w:hAnsi="Times New Roman"/>
          <w:sz w:val="24"/>
        </w:rPr>
        <w:t>s for Program 2 and 3 processes</w:t>
      </w:r>
      <w:r w:rsidRPr="2FE08C5B">
        <w:rPr>
          <w:rFonts w:ascii="Times New Roman" w:hAnsi="Times New Roman"/>
          <w:sz w:val="24"/>
        </w:rPr>
        <w:t xml:space="preserve"> to include root cause analysis requirements (0197, 0202, 0207, 0229, 0230, 0232, 0233, 0238, 0239, 0242, 0243, 0245, 0253, 0261, 0263). </w:t>
      </w:r>
      <w:r w:rsidRPr="00F21B76">
        <w:rPr>
          <w:rFonts w:ascii="Times New Roman" w:hAnsi="Times New Roman"/>
          <w:sz w:val="24"/>
        </w:rPr>
        <w:t>Several commenters suggested that EPA has not justified the additional regulation, shown that the current rules are ineffective, or proven that root cause analysis is effective at reducing accidents</w:t>
      </w:r>
      <w:r w:rsidRPr="2FE08C5B">
        <w:rPr>
          <w:rFonts w:ascii="Times New Roman" w:hAnsi="Times New Roman"/>
          <w:sz w:val="24"/>
        </w:rPr>
        <w:t xml:space="preserve"> (0229, 0230, 0232, 0233, 0237, 0256, 0261). </w:t>
      </w:r>
      <w:r w:rsidRPr="00F21B76">
        <w:rPr>
          <w:rFonts w:ascii="Times New Roman" w:hAnsi="Times New Roman"/>
          <w:sz w:val="24"/>
        </w:rPr>
        <w:t>Another commenter suggested that the determination during the 2019 rulemaking to consider root cause analysis in individual enforcement actions is still appropriate (0233).</w:t>
      </w:r>
    </w:p>
    <w:p w:rsidR="00F41FFB" w:rsidP="00F41FFB" w14:paraId="70898126" w14:textId="77777777">
      <w:pPr>
        <w:rPr>
          <w:rFonts w:ascii="Times New Roman" w:hAnsi="Times New Roman"/>
          <w:sz w:val="24"/>
        </w:rPr>
      </w:pPr>
      <w:r w:rsidRPr="00B53339">
        <w:rPr>
          <w:rFonts w:ascii="Times New Roman" w:hAnsi="Times New Roman"/>
          <w:sz w:val="24"/>
        </w:rPr>
        <w:t>One commenter pointed to the effectiveness of current regulations and continuous improvement by facilities, as shown by the 70% reduction in annual reported accidents between 2004 and 2020, and that only 3% of RMP facilities reported an accident in the most recent reporting period. The commenter stated that RMP is not a zero-risk program, but a program to reduce risks of releases to a practicable level (0232).</w:t>
      </w:r>
      <w:r>
        <w:rPr>
          <w:rFonts w:ascii="Times New Roman" w:hAnsi="Times New Roman"/>
          <w:sz w:val="24"/>
        </w:rPr>
        <w:t xml:space="preserve"> </w:t>
      </w:r>
    </w:p>
    <w:p w:rsidR="00F41FFB" w:rsidP="00F41FFB" w14:paraId="662C84BD" w14:textId="77777777">
      <w:pPr>
        <w:rPr>
          <w:rFonts w:ascii="Times New Roman" w:hAnsi="Times New Roman"/>
          <w:sz w:val="24"/>
        </w:rPr>
      </w:pPr>
      <w:r w:rsidRPr="00573C16">
        <w:rPr>
          <w:rFonts w:ascii="Times New Roman" w:hAnsi="Times New Roman"/>
          <w:sz w:val="24"/>
        </w:rPr>
        <w:t>A couple of commenters stated that EPA does not provide data to show that repeat accidents are partially or fully caused by a facility’s failure to conduct a root cause analysis (0237, 0261).</w:t>
      </w:r>
      <w:r w:rsidRPr="2FE08C5B">
        <w:rPr>
          <w:rFonts w:ascii="Times New Roman" w:hAnsi="Times New Roman"/>
          <w:sz w:val="24"/>
        </w:rPr>
        <w:t xml:space="preserve"> </w:t>
      </w:r>
      <w:r w:rsidRPr="006F68E9">
        <w:rPr>
          <w:rFonts w:ascii="Times New Roman" w:hAnsi="Times New Roman"/>
          <w:sz w:val="24"/>
        </w:rPr>
        <w:t>One commenter suggested that EPA focus resources on enforcing existing regulations instead of adding new regulations, if there are concerns about the quality of investigations being conducted (0233).</w:t>
      </w:r>
    </w:p>
    <w:p w:rsidR="00F41FFB" w:rsidP="00F41FFB" w14:paraId="54ED4344"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stated that the industry takes accidents seriously, and routinely investigates processes and prior incidents to ensure that facilities are run in a safe manner. The commenter explained </w:t>
      </w:r>
      <w:r w:rsidRPr="00B53339">
        <w:rPr>
          <w:rFonts w:ascii="Times New Roman" w:hAnsi="Times New Roman"/>
          <w:sz w:val="24"/>
        </w:rPr>
        <w:t>that facilities would do this regardless of the presence of Federal or State requirements, therefore more stringent regulatory requirements are not needed</w:t>
      </w:r>
      <w:r w:rsidRPr="006F68E9">
        <w:rPr>
          <w:rFonts w:ascii="Times New Roman" w:hAnsi="Times New Roman"/>
          <w:sz w:val="24"/>
        </w:rPr>
        <w:t xml:space="preserve"> (0256).</w:t>
      </w:r>
    </w:p>
    <w:p w:rsidR="008F1879" w:rsidP="00F41FFB" w14:paraId="07920E0B" w14:textId="6B1B3BCB">
      <w:pPr>
        <w:rPr>
          <w:rFonts w:ascii="Times New Roman" w:hAnsi="Times New Roman"/>
          <w:sz w:val="24"/>
        </w:rPr>
      </w:pPr>
      <w:r w:rsidRPr="009303E6">
        <w:rPr>
          <w:rFonts w:ascii="Times New Roman" w:hAnsi="Times New Roman"/>
          <w:sz w:val="24"/>
        </w:rPr>
        <w:t>A couple commenters suggested that facility staff be allowed to determine when a root cause analysis is necessary during an investigation,</w:t>
      </w:r>
      <w:r w:rsidRPr="006F68E9">
        <w:rPr>
          <w:rFonts w:ascii="Times New Roman" w:hAnsi="Times New Roman"/>
          <w:sz w:val="24"/>
        </w:rPr>
        <w:t xml:space="preserve"> as facility staff conducting the investigation will likely be able to identify the cause without completing a full root cause analysis (0242, 0253).</w:t>
      </w:r>
    </w:p>
    <w:p w:rsidR="00063FC6" w:rsidP="00C20A8D" w14:paraId="06BCA745" w14:textId="56FDE710">
      <w:pPr>
        <w:ind w:left="720"/>
        <w:rPr>
          <w:rFonts w:ascii="Times New Roman" w:eastAsia="Times New Roman" w:hAnsi="Times New Roman"/>
          <w:color w:val="000000" w:themeColor="text1"/>
          <w:sz w:val="24"/>
        </w:rPr>
      </w:pPr>
      <w:r w:rsidRPr="53242A12">
        <w:rPr>
          <w:rFonts w:ascii="Times New Roman" w:hAnsi="Times New Roman"/>
          <w:b/>
          <w:bCs/>
          <w:sz w:val="24"/>
        </w:rPr>
        <w:t>EPA Response</w:t>
      </w:r>
      <w:r>
        <w:rPr>
          <w:rFonts w:ascii="Times New Roman" w:hAnsi="Times New Roman"/>
          <w:b/>
          <w:bCs/>
          <w:sz w:val="24"/>
        </w:rPr>
        <w:t xml:space="preserve">: </w:t>
      </w:r>
      <w:r w:rsidRPr="00573C16">
        <w:rPr>
          <w:rFonts w:ascii="Times New Roman" w:eastAsia="Times New Roman" w:hAnsi="Times New Roman"/>
          <w:color w:val="000000" w:themeColor="text1"/>
          <w:sz w:val="24"/>
        </w:rPr>
        <w:t xml:space="preserve">In response to comments asserting that EPA has not justified the root cause analysis requirement or provided data to show that repeat accidents are partially or fully caused by a facility’s failure to conduct a root cause analysis, EPA acknowledges that such data has not been provided to show causation, but notes that EPA has not </w:t>
      </w:r>
      <w:r w:rsidRPr="00573C16">
        <w:rPr>
          <w:rFonts w:ascii="Times New Roman" w:eastAsia="Times New Roman" w:hAnsi="Times New Roman"/>
          <w:color w:val="000000" w:themeColor="text1"/>
          <w:sz w:val="24"/>
        </w:rPr>
        <w:t>previously required a root cause analysis for incident investigations, and therefore, does not have data available to compare the frequency of repeat accidents at facilities conducting (or failing to conduct) root cause analyses.</w:t>
      </w:r>
      <w:r w:rsidRPr="53242A12">
        <w:rPr>
          <w:rFonts w:ascii="Times New Roman" w:eastAsia="Times New Roman" w:hAnsi="Times New Roman"/>
          <w:color w:val="000000" w:themeColor="text1"/>
          <w:sz w:val="24"/>
        </w:rPr>
        <w:t xml:space="preserve"> However, EPA did perform an analysis of EPA’s RMP accident reporting data and identified repeat accidents at facilities within the same process.</w:t>
      </w:r>
      <w:r>
        <w:rPr>
          <w:rStyle w:val="FootnoteReference"/>
          <w:rFonts w:ascii="Times New Roman" w:eastAsia="Times New Roman" w:hAnsi="Times New Roman"/>
          <w:color w:val="000000" w:themeColor="text1"/>
          <w:sz w:val="24"/>
        </w:rPr>
        <w:footnoteReference w:id="116"/>
      </w:r>
      <w:r w:rsidRPr="53242A12">
        <w:rPr>
          <w:rFonts w:ascii="Times New Roman" w:eastAsia="Times New Roman" w:hAnsi="Times New Roman"/>
          <w:color w:val="000000" w:themeColor="text1"/>
          <w:sz w:val="24"/>
        </w:rPr>
        <w:t xml:space="preserve"> The result of this analysis demonstrates that, among facilities reporting accidents, facilities that reported one accident often have a history of multiple accidents, thus indicating a failure to properly address circumstances leading to subsequent accidents. </w:t>
      </w:r>
      <w:r w:rsidR="00A62916">
        <w:rPr>
          <w:rFonts w:ascii="Times New Roman" w:eastAsia="Times New Roman" w:hAnsi="Times New Roman"/>
          <w:sz w:val="24"/>
        </w:rPr>
        <w:t xml:space="preserve">Therefore, while it may be true that some facilities would undertake these investigations regardless of Federal or State requirements, some facilities </w:t>
      </w:r>
      <w:r w:rsidR="00920D41">
        <w:rPr>
          <w:rFonts w:ascii="Times New Roman" w:eastAsia="Times New Roman" w:hAnsi="Times New Roman"/>
          <w:sz w:val="24"/>
        </w:rPr>
        <w:t>may</w:t>
      </w:r>
      <w:r w:rsidR="00FF4D1B">
        <w:rPr>
          <w:rFonts w:ascii="Times New Roman" w:eastAsia="Times New Roman" w:hAnsi="Times New Roman"/>
          <w:sz w:val="24"/>
        </w:rPr>
        <w:t xml:space="preserve"> not be</w:t>
      </w:r>
      <w:r w:rsidR="00B53339">
        <w:rPr>
          <w:rFonts w:ascii="Times New Roman" w:eastAsia="Times New Roman" w:hAnsi="Times New Roman"/>
          <w:sz w:val="24"/>
        </w:rPr>
        <w:t xml:space="preserve"> doing so.</w:t>
      </w:r>
      <w:r w:rsidR="00A62916">
        <w:rPr>
          <w:rFonts w:ascii="Times New Roman" w:eastAsia="Times New Roman" w:hAnsi="Times New Roman"/>
          <w:sz w:val="24"/>
        </w:rPr>
        <w:t xml:space="preserve"> </w:t>
      </w:r>
      <w:r w:rsidRPr="53242A12">
        <w:rPr>
          <w:rFonts w:ascii="Times New Roman" w:eastAsia="Times New Roman" w:hAnsi="Times New Roman"/>
          <w:color w:val="000000" w:themeColor="text1"/>
          <w:sz w:val="24"/>
        </w:rPr>
        <w:t>These accidents may have been preventable if root cause analyses had been required. EPA believes multiple accidents result, in part, from a failure to thoroughly investigate and learn from prior accidents.</w:t>
      </w:r>
      <w:r>
        <w:rPr>
          <w:rFonts w:ascii="Times New Roman" w:eastAsia="Times New Roman" w:hAnsi="Times New Roman"/>
          <w:color w:val="000000" w:themeColor="text1"/>
          <w:sz w:val="24"/>
        </w:rPr>
        <w:t xml:space="preserve"> </w:t>
      </w:r>
      <w:r w:rsidRPr="008B2692" w:rsidR="008B2692">
        <w:t xml:space="preserve"> </w:t>
      </w:r>
      <w:r w:rsidRPr="008B2692" w:rsidR="008B2692">
        <w:rPr>
          <w:rFonts w:ascii="Times New Roman" w:eastAsia="Times New Roman" w:hAnsi="Times New Roman"/>
          <w:color w:val="000000" w:themeColor="text1"/>
          <w:sz w:val="24"/>
        </w:rPr>
        <w:t xml:space="preserve">Therefore, </w:t>
      </w:r>
      <w:r w:rsidRPr="008B2692" w:rsidR="008B2692">
        <w:rPr>
          <w:rFonts w:ascii="Times New Roman" w:eastAsia="Times New Roman" w:hAnsi="Times New Roman"/>
          <w:color w:val="000000" w:themeColor="text1"/>
          <w:sz w:val="24"/>
        </w:rPr>
        <w:t xml:space="preserve">when major </w:t>
      </w:r>
      <w:r w:rsidR="00403CA5">
        <w:rPr>
          <w:rFonts w:ascii="Times New Roman" w:eastAsia="Times New Roman" w:hAnsi="Times New Roman"/>
          <w:color w:val="000000" w:themeColor="text1"/>
          <w:sz w:val="24"/>
        </w:rPr>
        <w:t xml:space="preserve">concerning </w:t>
      </w:r>
      <w:r w:rsidRPr="008B2692" w:rsidR="008B2692">
        <w:rPr>
          <w:rFonts w:ascii="Times New Roman" w:eastAsia="Times New Roman" w:hAnsi="Times New Roman"/>
          <w:color w:val="000000" w:themeColor="text1"/>
          <w:sz w:val="24"/>
        </w:rPr>
        <w:t>RMP accidents</w:t>
      </w:r>
      <w:r w:rsidR="00403CA5">
        <w:rPr>
          <w:rFonts w:ascii="Times New Roman" w:eastAsia="Times New Roman" w:hAnsi="Times New Roman"/>
          <w:color w:val="000000" w:themeColor="text1"/>
          <w:sz w:val="24"/>
        </w:rPr>
        <w:t>, including major accidents,</w:t>
      </w:r>
      <w:r w:rsidRPr="008B2692" w:rsidR="008B2692">
        <w:rPr>
          <w:rFonts w:ascii="Times New Roman" w:eastAsia="Times New Roman" w:hAnsi="Times New Roman"/>
          <w:color w:val="000000" w:themeColor="text1"/>
          <w:sz w:val="24"/>
        </w:rPr>
        <w:t xml:space="preserve"> </w:t>
      </w:r>
      <w:r w:rsidRPr="008B2692" w:rsidR="008B2692">
        <w:rPr>
          <w:rFonts w:ascii="Times New Roman" w:eastAsia="Times New Roman" w:hAnsi="Times New Roman"/>
          <w:color w:val="000000" w:themeColor="text1"/>
          <w:sz w:val="24"/>
        </w:rPr>
        <w:t>continue to occur as they have, it is EPA’s responsibility to further protect human health and the environment, if there are reasonable opportunities to do so.</w:t>
      </w:r>
      <w:r w:rsidR="000A0CC2">
        <w:rPr>
          <w:rFonts w:ascii="Times New Roman" w:eastAsia="Times New Roman" w:hAnsi="Times New Roman"/>
          <w:color w:val="000000" w:themeColor="text1"/>
          <w:sz w:val="24"/>
        </w:rPr>
        <w:t xml:space="preserve"> EPA </w:t>
      </w:r>
      <w:r>
        <w:rPr>
          <w:rFonts w:ascii="Times New Roman" w:eastAsia="Times New Roman" w:hAnsi="Times New Roman"/>
          <w:color w:val="000000" w:themeColor="text1"/>
          <w:sz w:val="24"/>
        </w:rPr>
        <w:t>believes</w:t>
      </w:r>
      <w:r w:rsidR="000A0CC2">
        <w:rPr>
          <w:rFonts w:ascii="Times New Roman" w:eastAsia="Times New Roman" w:hAnsi="Times New Roman"/>
          <w:color w:val="000000" w:themeColor="text1"/>
          <w:sz w:val="24"/>
        </w:rPr>
        <w:t xml:space="preserve"> this </w:t>
      </w:r>
      <w:r w:rsidR="0011093C">
        <w:rPr>
          <w:rFonts w:ascii="Times New Roman" w:eastAsia="Times New Roman" w:hAnsi="Times New Roman"/>
          <w:color w:val="000000" w:themeColor="text1"/>
          <w:sz w:val="24"/>
        </w:rPr>
        <w:t xml:space="preserve">root cause analysis provides </w:t>
      </w:r>
      <w:r w:rsidR="0070529F">
        <w:rPr>
          <w:rFonts w:ascii="Times New Roman" w:eastAsia="Times New Roman" w:hAnsi="Times New Roman"/>
          <w:color w:val="000000" w:themeColor="text1"/>
          <w:sz w:val="24"/>
        </w:rPr>
        <w:t xml:space="preserve">that reasonable opportunity to </w:t>
      </w:r>
      <w:r>
        <w:rPr>
          <w:rFonts w:ascii="Times New Roman" w:eastAsia="Times New Roman" w:hAnsi="Times New Roman"/>
          <w:color w:val="000000" w:themeColor="text1"/>
          <w:sz w:val="24"/>
        </w:rPr>
        <w:t>reduce accidents.</w:t>
      </w:r>
    </w:p>
    <w:p w:rsidR="00A62916" w:rsidP="00C20A8D" w14:paraId="737CB493" w14:textId="260F2C05">
      <w:pPr>
        <w:ind w:left="720"/>
        <w:rPr>
          <w:rFonts w:ascii="Times New Roman" w:eastAsia="Times New Roman" w:hAnsi="Times New Roman"/>
          <w:sz w:val="24"/>
        </w:rPr>
      </w:pPr>
      <w:r>
        <w:rPr>
          <w:rFonts w:ascii="Times New Roman" w:eastAsia="Times New Roman" w:hAnsi="Times New Roman"/>
          <w:sz w:val="24"/>
        </w:rPr>
        <w:t xml:space="preserve">Further, </w:t>
      </w:r>
      <w:r w:rsidRPr="00E80863" w:rsidR="00F41FFB">
        <w:rPr>
          <w:rFonts w:ascii="Times New Roman" w:eastAsia="Times New Roman" w:hAnsi="Times New Roman"/>
          <w:sz w:val="24"/>
        </w:rPr>
        <w:t>EPA</w:t>
      </w:r>
      <w:r>
        <w:rPr>
          <w:rFonts w:ascii="Times New Roman" w:eastAsia="Times New Roman" w:hAnsi="Times New Roman"/>
          <w:sz w:val="24"/>
        </w:rPr>
        <w:t xml:space="preserve"> does not believe </w:t>
      </w:r>
      <w:r w:rsidRPr="00E80863" w:rsidR="00F41FFB">
        <w:rPr>
          <w:rFonts w:ascii="Times New Roman" w:eastAsia="Times New Roman" w:hAnsi="Times New Roman"/>
          <w:sz w:val="24"/>
        </w:rPr>
        <w:t xml:space="preserve">the current incident investigation requirements are sufficient to ensure that incident investigations determine root causes. </w:t>
      </w:r>
      <w:r w:rsidR="003175E5">
        <w:rPr>
          <w:rFonts w:ascii="Times New Roman" w:eastAsia="Times New Roman" w:hAnsi="Times New Roman"/>
          <w:sz w:val="24"/>
        </w:rPr>
        <w:t xml:space="preserve">Since the 2019 rulemaking, </w:t>
      </w:r>
      <w:r w:rsidRPr="00E80863" w:rsidR="00F41FFB">
        <w:rPr>
          <w:rFonts w:ascii="Times New Roman" w:eastAsia="Times New Roman" w:hAnsi="Times New Roman"/>
          <w:sz w:val="24"/>
        </w:rPr>
        <w:t xml:space="preserve">serious accidents </w:t>
      </w:r>
      <w:r w:rsidR="003175E5">
        <w:rPr>
          <w:rFonts w:ascii="Times New Roman" w:eastAsia="Times New Roman" w:hAnsi="Times New Roman"/>
          <w:sz w:val="24"/>
        </w:rPr>
        <w:t xml:space="preserve">continue to occur, some of which </w:t>
      </w:r>
      <w:r w:rsidRPr="00E80863" w:rsidR="00F41FFB">
        <w:rPr>
          <w:rFonts w:ascii="Times New Roman" w:eastAsia="Times New Roman" w:hAnsi="Times New Roman"/>
          <w:sz w:val="24"/>
        </w:rPr>
        <w:t xml:space="preserve">have resulted because investigations of prior incidents at the same facility did not determine root causes. </w:t>
      </w:r>
      <w:r w:rsidRPr="00E80863" w:rsidR="00F21B76">
        <w:rPr>
          <w:rFonts w:ascii="Times New Roman" w:eastAsia="Times New Roman" w:hAnsi="Times New Roman"/>
          <w:sz w:val="24"/>
        </w:rPr>
        <w:t xml:space="preserve">EPA </w:t>
      </w:r>
      <w:r w:rsidR="00F21B76">
        <w:rPr>
          <w:rFonts w:ascii="Times New Roman" w:eastAsia="Times New Roman" w:hAnsi="Times New Roman"/>
          <w:sz w:val="24"/>
        </w:rPr>
        <w:t xml:space="preserve">thus continues to have the authority to promulgate reasonable regulations to provide to the greatest extent practicable for the prevention and detection of accidental releases. This continues to be true even when the number of reportable accidents continue to decline. </w:t>
      </w:r>
    </w:p>
    <w:p w:rsidR="00F21B76" w:rsidP="00C20A8D" w14:paraId="2DBA1522" w14:textId="2D8DB141">
      <w:pPr>
        <w:ind w:left="720"/>
        <w:rPr>
          <w:rFonts w:ascii="Times New Roman" w:eastAsia="Times New Roman" w:hAnsi="Times New Roman"/>
          <w:sz w:val="24"/>
        </w:rPr>
      </w:pPr>
      <w:r>
        <w:rPr>
          <w:rFonts w:ascii="Times New Roman" w:eastAsia="Times New Roman" w:hAnsi="Times New Roman"/>
          <w:sz w:val="24"/>
        </w:rPr>
        <w:t xml:space="preserve">In some instances, </w:t>
      </w:r>
      <w:r w:rsidRPr="00E80863" w:rsidR="00F41FFB">
        <w:rPr>
          <w:rFonts w:ascii="Times New Roman" w:eastAsia="Times New Roman" w:hAnsi="Times New Roman"/>
          <w:sz w:val="24"/>
        </w:rPr>
        <w:t>“</w:t>
      </w:r>
      <w:r>
        <w:rPr>
          <w:rFonts w:ascii="Times New Roman" w:eastAsia="Times New Roman" w:hAnsi="Times New Roman"/>
          <w:sz w:val="24"/>
        </w:rPr>
        <w:t>f</w:t>
      </w:r>
      <w:r w:rsidRPr="00E80863" w:rsidR="00F41FFB">
        <w:rPr>
          <w:rFonts w:ascii="Times New Roman" w:eastAsia="Times New Roman" w:hAnsi="Times New Roman"/>
          <w:sz w:val="24"/>
        </w:rPr>
        <w:t>actors that contributed to the incident”</w:t>
      </w:r>
      <w:r w:rsidR="00DA4F47">
        <w:rPr>
          <w:rFonts w:ascii="Times New Roman" w:eastAsia="Times New Roman" w:hAnsi="Times New Roman"/>
          <w:sz w:val="24"/>
        </w:rPr>
        <w:t>, as identified in the</w:t>
      </w:r>
      <w:r w:rsidR="00515F9A">
        <w:rPr>
          <w:rFonts w:ascii="Times New Roman" w:eastAsia="Times New Roman" w:hAnsi="Times New Roman"/>
          <w:sz w:val="24"/>
        </w:rPr>
        <w:t xml:space="preserve"> previously existing</w:t>
      </w:r>
      <w:r w:rsidR="00167013">
        <w:rPr>
          <w:rFonts w:ascii="Times New Roman" w:eastAsia="Times New Roman" w:hAnsi="Times New Roman"/>
          <w:sz w:val="24"/>
        </w:rPr>
        <w:t xml:space="preserve"> incident investigation provisions of </w:t>
      </w:r>
      <w:r w:rsidR="00C66963">
        <w:rPr>
          <w:rFonts w:ascii="Times New Roman" w:eastAsia="Times New Roman" w:hAnsi="Times New Roman"/>
          <w:sz w:val="24"/>
        </w:rPr>
        <w:t>68.60</w:t>
      </w:r>
      <w:r w:rsidR="006F2D2A">
        <w:rPr>
          <w:rFonts w:ascii="Times New Roman" w:eastAsia="Times New Roman" w:hAnsi="Times New Roman"/>
          <w:sz w:val="24"/>
        </w:rPr>
        <w:t xml:space="preserve">(d)(4) and </w:t>
      </w:r>
      <w:r w:rsidR="00515F9A">
        <w:rPr>
          <w:rFonts w:ascii="Times New Roman" w:eastAsia="Times New Roman" w:hAnsi="Times New Roman"/>
          <w:sz w:val="24"/>
        </w:rPr>
        <w:t>68.81(d)(4)</w:t>
      </w:r>
      <w:r w:rsidR="00370C00">
        <w:rPr>
          <w:rFonts w:ascii="Times New Roman" w:eastAsia="Times New Roman" w:hAnsi="Times New Roman"/>
          <w:sz w:val="24"/>
        </w:rPr>
        <w:t>,</w:t>
      </w:r>
      <w:r w:rsidRPr="00E80863" w:rsidR="00F41FFB">
        <w:rPr>
          <w:rFonts w:ascii="Times New Roman" w:eastAsia="Times New Roman" w:hAnsi="Times New Roman"/>
          <w:sz w:val="24"/>
        </w:rPr>
        <w:t xml:space="preserve"> may or may not be root causes. For example, a poor emergency response may be a factor contributing to the severity of an </w:t>
      </w:r>
      <w:r w:rsidRPr="00E80863" w:rsidR="002D55E8">
        <w:rPr>
          <w:rFonts w:ascii="Times New Roman" w:eastAsia="Times New Roman" w:hAnsi="Times New Roman"/>
          <w:sz w:val="24"/>
        </w:rPr>
        <w:t>incident but</w:t>
      </w:r>
      <w:r w:rsidRPr="00E80863" w:rsidR="00F41FFB">
        <w:rPr>
          <w:rFonts w:ascii="Times New Roman" w:eastAsia="Times New Roman" w:hAnsi="Times New Roman"/>
          <w:sz w:val="24"/>
        </w:rPr>
        <w:t xml:space="preserve"> would not be a fundamental cause of the incident. EPA believes such contributing factors should be identified during an incident investigation, and ultimately resolved, but not without also identifying and resolving the fundamental reason or reasons why the incident occurred.</w:t>
      </w:r>
    </w:p>
    <w:p w:rsidR="00F41FFB" w:rsidP="00F41FFB" w14:paraId="04043C30" w14:textId="6A9A81C9">
      <w:pPr>
        <w:rPr>
          <w:rFonts w:ascii="Times New Roman" w:hAnsi="Times New Roman"/>
          <w:sz w:val="24"/>
        </w:rPr>
      </w:pPr>
      <w:r>
        <w:rPr>
          <w:rFonts w:ascii="Times New Roman" w:hAnsi="Times New Roman"/>
          <w:b/>
          <w:bCs/>
          <w:sz w:val="24"/>
        </w:rPr>
        <w:t xml:space="preserve">Comment 7.1-06: </w:t>
      </w:r>
      <w:r w:rsidRPr="2462FB5A">
        <w:rPr>
          <w:rFonts w:ascii="Times New Roman" w:hAnsi="Times New Roman"/>
          <w:sz w:val="24"/>
        </w:rPr>
        <w:t>Several commenters</w:t>
      </w:r>
      <w:r>
        <w:rPr>
          <w:rFonts w:ascii="Times New Roman" w:hAnsi="Times New Roman"/>
          <w:sz w:val="24"/>
        </w:rPr>
        <w:t xml:space="preserve"> stated</w:t>
      </w:r>
      <w:r w:rsidRPr="2462FB5A">
        <w:rPr>
          <w:rFonts w:ascii="Times New Roman" w:hAnsi="Times New Roman"/>
          <w:sz w:val="24"/>
        </w:rPr>
        <w:t xml:space="preserve"> that the inclusion of the root cause analysis requirements is </w:t>
      </w:r>
      <w:r w:rsidRPr="001F2971">
        <w:rPr>
          <w:rFonts w:ascii="Times New Roman" w:hAnsi="Times New Roman"/>
          <w:sz w:val="24"/>
        </w:rPr>
        <w:t>duplicative of existing regulations or common industry practices, is unnecessary, and thus will not result in meaningful benefits</w:t>
      </w:r>
      <w:r w:rsidRPr="2462FB5A">
        <w:rPr>
          <w:rFonts w:ascii="Times New Roman" w:hAnsi="Times New Roman"/>
          <w:sz w:val="24"/>
        </w:rPr>
        <w:t xml:space="preserve"> (0184, 0202, 0223, 0237, 0261, 0263, 0262, 0267, 0275). </w:t>
      </w:r>
      <w:r w:rsidRPr="001F2971">
        <w:rPr>
          <w:rFonts w:ascii="Times New Roman" w:hAnsi="Times New Roman"/>
          <w:sz w:val="24"/>
        </w:rPr>
        <w:t>A couple of the commenters stated that these requirements are covered in the IIAR industry guidelines (0184, 0237). Several commenters stated that OSHA PSM programs already include root cause analysis as a part of incident investigations (0202, 0223, 0262).</w:t>
      </w:r>
      <w:r w:rsidRPr="2462FB5A">
        <w:rPr>
          <w:rFonts w:ascii="Times New Roman" w:hAnsi="Times New Roman"/>
          <w:sz w:val="24"/>
        </w:rPr>
        <w:t xml:space="preserve"> </w:t>
      </w:r>
    </w:p>
    <w:p w:rsidR="00F41FFB" w:rsidRPr="006F68E9" w:rsidP="00F41FFB" w14:paraId="3185B26A" w14:textId="77777777">
      <w:pPr>
        <w:rPr>
          <w:rFonts w:ascii="Times New Roman" w:hAnsi="Times New Roman"/>
          <w:sz w:val="24"/>
        </w:rPr>
      </w:pPr>
      <w:r w:rsidRPr="001F2971">
        <w:rPr>
          <w:rFonts w:ascii="Times New Roman" w:hAnsi="Times New Roman"/>
          <w:sz w:val="24"/>
        </w:rPr>
        <w:t xml:space="preserve">A couple </w:t>
      </w:r>
      <w:r w:rsidRPr="001F2971">
        <w:rPr>
          <w:rFonts w:ascii="Times New Roman" w:hAnsi="Times New Roman"/>
          <w:sz w:val="24"/>
        </w:rPr>
        <w:t xml:space="preserve">of </w:t>
      </w:r>
      <w:r w:rsidRPr="001F2971">
        <w:rPr>
          <w:rFonts w:ascii="Times New Roman" w:hAnsi="Times New Roman"/>
          <w:sz w:val="24"/>
        </w:rPr>
        <w:t>commenters suggested that EPA not expand incident investigation thresholds without coordination with OSHA’s anticipated updates to the PSM standard (0229, 0232). One commenter stated that OSHA has primary jurisdiction on this issue, therefore EPA should ensure consistency with current and future changes to the PSM (0202).</w:t>
      </w:r>
      <w:r w:rsidRPr="000E63CA">
        <w:rPr>
          <w:rFonts w:ascii="Times New Roman" w:hAnsi="Times New Roman"/>
          <w:sz w:val="24"/>
        </w:rPr>
        <w:t xml:space="preserve"> </w:t>
      </w:r>
    </w:p>
    <w:p w:rsidR="00F41FFB" w:rsidRPr="006F68E9" w:rsidP="00F41FFB" w14:paraId="711A5017" w14:textId="77777777">
      <w:pPr>
        <w:rPr>
          <w:rFonts w:ascii="Times New Roman" w:hAnsi="Times New Roman"/>
          <w:sz w:val="24"/>
        </w:rPr>
      </w:pPr>
      <w:r w:rsidRPr="001F2971">
        <w:rPr>
          <w:rFonts w:ascii="Times New Roman" w:hAnsi="Times New Roman"/>
          <w:sz w:val="24"/>
        </w:rPr>
        <w:t>Another commenter provided several examples of States that already require investigations to include root cause analyses as a part of air permitting, including Illinois’s Environmental Protection Agency, Florida’s Department of Environmental Protection, and Nebraska’s Department of Environmental Quality (0262).</w:t>
      </w:r>
    </w:p>
    <w:p w:rsidR="000A506D" w:rsidP="00F41FFB" w14:paraId="69E313E3" w14:textId="36CD9D08">
      <w:pPr>
        <w:ind w:left="720"/>
        <w:rPr>
          <w:rFonts w:ascii="Times New Roman" w:eastAsia="Times New Roman" w:hAnsi="Times New Roman"/>
          <w:color w:val="000000" w:themeColor="text1"/>
          <w:sz w:val="24"/>
        </w:rPr>
      </w:pPr>
      <w:r w:rsidRPr="6C564625">
        <w:rPr>
          <w:rFonts w:ascii="Times New Roman" w:hAnsi="Times New Roman"/>
          <w:b/>
          <w:bCs/>
          <w:sz w:val="24"/>
        </w:rPr>
        <w:t>EPA Response</w:t>
      </w:r>
      <w:r>
        <w:rPr>
          <w:rFonts w:ascii="Times New Roman" w:hAnsi="Times New Roman"/>
          <w:b/>
          <w:bCs/>
          <w:sz w:val="24"/>
        </w:rPr>
        <w:t xml:space="preserve">: </w:t>
      </w:r>
      <w:r w:rsidRPr="6C564625">
        <w:rPr>
          <w:rFonts w:ascii="Times New Roman" w:eastAsia="Times New Roman" w:hAnsi="Times New Roman"/>
          <w:color w:val="000000" w:themeColor="text1"/>
          <w:sz w:val="24"/>
        </w:rPr>
        <w:t xml:space="preserve">With regard to comments that noted potential overlap with existing </w:t>
      </w:r>
      <w:r w:rsidR="00233505">
        <w:rPr>
          <w:rFonts w:ascii="Times New Roman" w:eastAsia="Times New Roman" w:hAnsi="Times New Roman"/>
          <w:color w:val="000000" w:themeColor="text1"/>
          <w:sz w:val="24"/>
        </w:rPr>
        <w:t>federal or state</w:t>
      </w:r>
      <w:r w:rsidRPr="6C564625">
        <w:rPr>
          <w:rFonts w:ascii="Times New Roman" w:eastAsia="Times New Roman" w:hAnsi="Times New Roman"/>
          <w:color w:val="000000" w:themeColor="text1"/>
          <w:sz w:val="24"/>
        </w:rPr>
        <w:t xml:space="preserve"> regulations</w:t>
      </w:r>
      <w:r w:rsidR="00233505">
        <w:rPr>
          <w:rFonts w:ascii="Times New Roman" w:eastAsia="Times New Roman" w:hAnsi="Times New Roman"/>
          <w:color w:val="000000" w:themeColor="text1"/>
          <w:sz w:val="24"/>
        </w:rPr>
        <w:t>,</w:t>
      </w:r>
      <w:r w:rsidR="002F2E2D">
        <w:rPr>
          <w:rFonts w:ascii="Times New Roman" w:eastAsia="Times New Roman" w:hAnsi="Times New Roman"/>
          <w:color w:val="000000" w:themeColor="text1"/>
          <w:sz w:val="24"/>
        </w:rPr>
        <w:t xml:space="preserve"> or industry standards</w:t>
      </w:r>
      <w:r w:rsidR="00233505">
        <w:rPr>
          <w:rFonts w:ascii="Times New Roman" w:eastAsia="Times New Roman" w:hAnsi="Times New Roman"/>
          <w:color w:val="000000" w:themeColor="text1"/>
          <w:sz w:val="24"/>
        </w:rPr>
        <w:t xml:space="preserve"> such as IIAR</w:t>
      </w:r>
      <w:r w:rsidRPr="6C564625">
        <w:rPr>
          <w:rFonts w:ascii="Times New Roman" w:eastAsia="Times New Roman" w:hAnsi="Times New Roman"/>
          <w:color w:val="000000" w:themeColor="text1"/>
          <w:sz w:val="24"/>
        </w:rPr>
        <w:t xml:space="preserve">, EPA notes that a regulated source already subject to another requirement that duplicates the RMP root cause analysis requirement may use its compliance with the other requirement to demonstrate compliance with the equivalent RMP root cause analysis requirement. </w:t>
      </w:r>
    </w:p>
    <w:p w:rsidR="00362806" w:rsidP="00C20A8D" w14:paraId="0569558F" w14:textId="5EC558A3">
      <w:pPr>
        <w:ind w:left="720"/>
        <w:rPr>
          <w:rFonts w:ascii="Times New Roman" w:eastAsia="Times New Roman" w:hAnsi="Times New Roman"/>
          <w:color w:val="000000" w:themeColor="text1"/>
          <w:sz w:val="24"/>
        </w:rPr>
      </w:pPr>
      <w:r>
        <w:rPr>
          <w:rFonts w:ascii="Times New Roman" w:eastAsia="Times New Roman" w:hAnsi="Times New Roman"/>
          <w:color w:val="000000" w:themeColor="text1"/>
          <w:sz w:val="24"/>
        </w:rPr>
        <w:t>F</w:t>
      </w:r>
      <w:r w:rsidRPr="00282A85">
        <w:rPr>
          <w:rFonts w:ascii="Times New Roman" w:eastAsia="Times New Roman" w:hAnsi="Times New Roman"/>
          <w:color w:val="000000" w:themeColor="text1"/>
          <w:sz w:val="24"/>
        </w:rPr>
        <w:t>or many years, 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Appendix A to this document), staff from the agencies discussed the development of the RMP SCCAP Rule and potential issues to be addressed by EPA</w:t>
      </w:r>
      <w:r>
        <w:rPr>
          <w:rFonts w:ascii="Times New Roman" w:eastAsia="Times New Roman" w:hAnsi="Times New Roman"/>
          <w:color w:val="000000" w:themeColor="text1"/>
          <w:sz w:val="24"/>
        </w:rPr>
        <w:t>,</w:t>
      </w:r>
      <w:r w:rsidR="0026552F">
        <w:rPr>
          <w:rFonts w:ascii="Times New Roman" w:eastAsia="Times New Roman" w:hAnsi="Times New Roman"/>
          <w:color w:val="000000" w:themeColor="text1"/>
          <w:sz w:val="24"/>
        </w:rPr>
        <w:t xml:space="preserve"> including </w:t>
      </w:r>
      <w:r>
        <w:rPr>
          <w:rFonts w:ascii="Times New Roman" w:eastAsia="Times New Roman" w:hAnsi="Times New Roman"/>
          <w:color w:val="000000" w:themeColor="text1"/>
          <w:sz w:val="24"/>
        </w:rPr>
        <w:t xml:space="preserve">coordinating with </w:t>
      </w:r>
      <w:r w:rsidRPr="00362806">
        <w:rPr>
          <w:rFonts w:ascii="Times New Roman" w:eastAsia="Times New Roman" w:hAnsi="Times New Roman"/>
          <w:color w:val="000000" w:themeColor="text1"/>
          <w:sz w:val="24"/>
        </w:rPr>
        <w:t>OSHA to ensure that any incident investigation root cause analysis provisions do not contradict OSHA PSM requirements.</w:t>
      </w:r>
    </w:p>
    <w:p w:rsidR="00F41FFB" w:rsidRPr="006F68E9" w:rsidP="00C20A8D" w14:paraId="4AD4C44D" w14:textId="77777777">
      <w:pPr>
        <w:rPr>
          <w:rFonts w:ascii="Times New Roman" w:hAnsi="Times New Roman"/>
          <w:sz w:val="24"/>
        </w:rPr>
      </w:pPr>
      <w:bookmarkStart w:id="94" w:name="_Hlk151739475"/>
      <w:r>
        <w:rPr>
          <w:rFonts w:ascii="Times New Roman" w:hAnsi="Times New Roman"/>
          <w:b/>
          <w:bCs/>
          <w:sz w:val="24"/>
        </w:rPr>
        <w:t xml:space="preserve">Comment 7.1-07: </w:t>
      </w:r>
      <w:bookmarkEnd w:id="94"/>
      <w:r w:rsidRPr="006B04F9">
        <w:rPr>
          <w:rFonts w:ascii="Times New Roman" w:hAnsi="Times New Roman"/>
          <w:sz w:val="24"/>
        </w:rPr>
        <w:t xml:space="preserve">A couple </w:t>
      </w:r>
      <w:r w:rsidRPr="006B04F9">
        <w:rPr>
          <w:rFonts w:ascii="Times New Roman" w:hAnsi="Times New Roman"/>
          <w:sz w:val="24"/>
        </w:rPr>
        <w:t xml:space="preserve">of </w:t>
      </w:r>
      <w:r w:rsidRPr="006B04F9">
        <w:rPr>
          <w:rFonts w:ascii="Times New Roman" w:hAnsi="Times New Roman"/>
          <w:sz w:val="24"/>
        </w:rPr>
        <w:t>commenters opposed the requirements of a root cause analysis for more minor incidents due to what the commenters asserted would be a complex and resource-intensive assessment (0238, 0245). One commenter stated that root cause analyses are costly and labor intensive, and the costs of the analyses would be passed onto ratepayers (0230).</w:t>
      </w:r>
      <w:r w:rsidRPr="006F68E9">
        <w:rPr>
          <w:rFonts w:ascii="Times New Roman" w:hAnsi="Times New Roman"/>
          <w:sz w:val="24"/>
        </w:rPr>
        <w:t xml:space="preserve"> </w:t>
      </w:r>
    </w:p>
    <w:p w:rsidR="00F41FFB" w:rsidRPr="006F68E9" w:rsidP="00F41FFB" w14:paraId="5F7B96FC" w14:textId="77777777">
      <w:pPr>
        <w:rPr>
          <w:rFonts w:ascii="Times New Roman" w:hAnsi="Times New Roman"/>
          <w:sz w:val="24"/>
        </w:rPr>
      </w:pPr>
      <w:r w:rsidRPr="006B04F9">
        <w:rPr>
          <w:rFonts w:ascii="Times New Roman" w:hAnsi="Times New Roman"/>
          <w:sz w:val="24"/>
        </w:rPr>
        <w:t>One commenter suggested that requiring a root cause analysis for all near misses will discourage employees and contractors from reporting near misses because of the resulting regulatory burden</w:t>
      </w:r>
      <w:r w:rsidRPr="006F68E9">
        <w:rPr>
          <w:rFonts w:ascii="Times New Roman" w:hAnsi="Times New Roman"/>
          <w:sz w:val="24"/>
        </w:rPr>
        <w:t xml:space="preserve"> (0207).</w:t>
      </w:r>
    </w:p>
    <w:p w:rsidR="00856413" w:rsidRPr="00C20A8D" w:rsidP="00C20A8D" w14:paraId="7A70BC1A" w14:textId="036765AD">
      <w:pPr>
        <w:autoSpaceDE w:val="0"/>
        <w:autoSpaceDN w:val="0"/>
        <w:adjustRightInd w:val="0"/>
        <w:ind w:left="720"/>
        <w:rPr>
          <w:rFonts w:ascii="Times New Roman" w:hAnsi="Times New Roman" w:eastAsiaTheme="minorHAnsi"/>
          <w:sz w:val="24"/>
          <w14:ligatures w14:val="standardContextual"/>
        </w:rPr>
      </w:pPr>
      <w:r>
        <w:rPr>
          <w:rFonts w:ascii="Times New Roman" w:hAnsi="Times New Roman"/>
          <w:b/>
          <w:bCs/>
          <w:sz w:val="24"/>
        </w:rPr>
        <w:t xml:space="preserve">EPA Response: </w:t>
      </w:r>
      <w:r w:rsidRPr="0000608E" w:rsidR="0000608E">
        <w:t xml:space="preserve"> </w:t>
      </w:r>
      <w:r w:rsidRPr="007565B4" w:rsidR="0000608E">
        <w:rPr>
          <w:rFonts w:ascii="Times New Roman" w:hAnsi="Times New Roman"/>
          <w:sz w:val="24"/>
        </w:rPr>
        <w:t>EPA is finalizing the applicability of the root cause analysis provision, as proposed</w:t>
      </w:r>
      <w:r w:rsidRPr="007565B4" w:rsidR="00235569">
        <w:rPr>
          <w:rFonts w:ascii="Times New Roman" w:hAnsi="Times New Roman"/>
          <w:sz w:val="24"/>
        </w:rPr>
        <w:t xml:space="preserve"> </w:t>
      </w:r>
      <w:r w:rsidRPr="007565B4" w:rsidR="004455AA">
        <w:rPr>
          <w:rFonts w:ascii="Times New Roman" w:hAnsi="Times New Roman"/>
          <w:sz w:val="24"/>
        </w:rPr>
        <w:t>–</w:t>
      </w:r>
      <w:r w:rsidRPr="007565B4" w:rsidR="00235569">
        <w:rPr>
          <w:rFonts w:ascii="Times New Roman" w:hAnsi="Times New Roman"/>
          <w:sz w:val="24"/>
        </w:rPr>
        <w:t xml:space="preserve"> </w:t>
      </w:r>
      <w:r w:rsidRPr="007565B4" w:rsidR="004455AA">
        <w:rPr>
          <w:rFonts w:ascii="Times New Roman" w:hAnsi="Times New Roman" w:eastAsiaTheme="minorHAnsi"/>
          <w:sz w:val="24"/>
          <w14:ligatures w14:val="standardContextual"/>
        </w:rPr>
        <w:t xml:space="preserve">to conduct a </w:t>
      </w:r>
      <w:r w:rsidRPr="007565B4" w:rsidR="00C2777A">
        <w:rPr>
          <w:rFonts w:ascii="Times New Roman" w:hAnsi="Times New Roman" w:eastAsiaTheme="minorHAnsi"/>
          <w:sz w:val="24"/>
          <w14:ligatures w14:val="standardContextual"/>
        </w:rPr>
        <w:t xml:space="preserve">root cause analysis when </w:t>
      </w:r>
      <w:r w:rsidRPr="007565B4" w:rsidR="00235569">
        <w:rPr>
          <w:rFonts w:ascii="Times New Roman" w:hAnsi="Times New Roman" w:eastAsiaTheme="minorHAnsi"/>
          <w:sz w:val="24"/>
          <w14:ligatures w14:val="standardContextual"/>
        </w:rPr>
        <w:t>the</w:t>
      </w:r>
      <w:r w:rsidRPr="007565B4" w:rsidR="00C2777A">
        <w:rPr>
          <w:rFonts w:ascii="Times New Roman" w:hAnsi="Times New Roman" w:eastAsiaTheme="minorHAnsi"/>
          <w:sz w:val="24"/>
          <w14:ligatures w14:val="standardContextual"/>
        </w:rPr>
        <w:t xml:space="preserve"> </w:t>
      </w:r>
      <w:r w:rsidRPr="007565B4" w:rsidR="00235569">
        <w:rPr>
          <w:rFonts w:ascii="Times New Roman" w:hAnsi="Times New Roman" w:eastAsiaTheme="minorHAnsi"/>
          <w:sz w:val="24"/>
          <w14:ligatures w14:val="standardContextual"/>
        </w:rPr>
        <w:t>incident meets the accident</w:t>
      </w:r>
      <w:r w:rsidRPr="007565B4" w:rsidR="00C2777A">
        <w:rPr>
          <w:rFonts w:ascii="Times New Roman" w:hAnsi="Times New Roman" w:eastAsiaTheme="minorHAnsi"/>
          <w:sz w:val="24"/>
          <w14:ligatures w14:val="standardContextual"/>
        </w:rPr>
        <w:t xml:space="preserve"> </w:t>
      </w:r>
      <w:r w:rsidRPr="007565B4" w:rsidR="00235569">
        <w:rPr>
          <w:rFonts w:ascii="Times New Roman" w:hAnsi="Times New Roman" w:eastAsiaTheme="minorHAnsi"/>
          <w:sz w:val="24"/>
          <w14:ligatures w14:val="standardContextual"/>
        </w:rPr>
        <w:t>history reporting requirements under</w:t>
      </w:r>
      <w:r w:rsidRPr="007565B4" w:rsidR="00C2777A">
        <w:rPr>
          <w:rFonts w:ascii="Times New Roman" w:hAnsi="Times New Roman" w:eastAsiaTheme="minorHAnsi"/>
          <w:sz w:val="24"/>
          <w14:ligatures w14:val="standardContextual"/>
        </w:rPr>
        <w:t xml:space="preserve"> </w:t>
      </w:r>
      <w:r w:rsidRPr="007565B4" w:rsidR="00235569">
        <w:rPr>
          <w:rFonts w:ascii="Times New Roman" w:hAnsi="Times New Roman" w:eastAsiaTheme="minorHAnsi"/>
          <w:sz w:val="24"/>
          <w14:ligatures w14:val="standardContextual"/>
        </w:rPr>
        <w:t>§ 68.42</w:t>
      </w:r>
      <w:r w:rsidR="007565B4">
        <w:rPr>
          <w:rFonts w:ascii="Times New Roman" w:hAnsi="Times New Roman" w:eastAsiaTheme="minorHAnsi"/>
          <w:sz w:val="24"/>
          <w14:ligatures w14:val="standardContextual"/>
        </w:rPr>
        <w:t>.</w:t>
      </w:r>
      <w:r w:rsidRPr="007565B4" w:rsidR="00C2777A">
        <w:rPr>
          <w:rFonts w:ascii="Times New Roman" w:hAnsi="Times New Roman" w:eastAsiaTheme="minorHAnsi"/>
          <w:sz w:val="24"/>
          <w14:ligatures w14:val="standardContextual"/>
        </w:rPr>
        <w:t xml:space="preserve"> </w:t>
      </w:r>
      <w:r w:rsidR="00024A29">
        <w:rPr>
          <w:rFonts w:ascii="Times New Roman" w:hAnsi="Times New Roman" w:eastAsiaTheme="minorHAnsi"/>
          <w:sz w:val="24"/>
          <w14:ligatures w14:val="standardContextual"/>
        </w:rPr>
        <w:t xml:space="preserve">If </w:t>
      </w:r>
      <w:r w:rsidR="00793624">
        <w:rPr>
          <w:rFonts w:ascii="Times New Roman" w:hAnsi="Times New Roman" w:eastAsiaTheme="minorHAnsi"/>
          <w:sz w:val="24"/>
          <w14:ligatures w14:val="standardContextual"/>
        </w:rPr>
        <w:t>an</w:t>
      </w:r>
      <w:r w:rsidR="00827EB9">
        <w:rPr>
          <w:rFonts w:ascii="Times New Roman" w:hAnsi="Times New Roman" w:eastAsiaTheme="minorHAnsi"/>
          <w:sz w:val="24"/>
          <w14:ligatures w14:val="standardContextual"/>
        </w:rPr>
        <w:t xml:space="preserve"> accident or</w:t>
      </w:r>
      <w:r w:rsidR="00793624">
        <w:rPr>
          <w:rFonts w:ascii="Times New Roman" w:hAnsi="Times New Roman" w:eastAsiaTheme="minorHAnsi"/>
          <w:sz w:val="24"/>
          <w14:ligatures w14:val="standardContextual"/>
        </w:rPr>
        <w:t xml:space="preserve"> incident at a facility </w:t>
      </w:r>
      <w:r w:rsidR="00D85FE3">
        <w:rPr>
          <w:rFonts w:ascii="Times New Roman" w:hAnsi="Times New Roman" w:eastAsiaTheme="minorHAnsi"/>
          <w:sz w:val="24"/>
          <w14:ligatures w14:val="standardContextual"/>
        </w:rPr>
        <w:t xml:space="preserve">meets that reporting </w:t>
      </w:r>
      <w:r w:rsidR="00D671BF">
        <w:rPr>
          <w:rFonts w:ascii="Times New Roman" w:hAnsi="Times New Roman" w:eastAsiaTheme="minorHAnsi"/>
          <w:sz w:val="24"/>
          <w14:ligatures w14:val="standardContextual"/>
        </w:rPr>
        <w:t>criteria</w:t>
      </w:r>
      <w:r w:rsidR="00691C7D">
        <w:rPr>
          <w:rFonts w:ascii="Times New Roman" w:hAnsi="Times New Roman" w:eastAsiaTheme="minorHAnsi"/>
          <w:sz w:val="24"/>
          <w14:ligatures w14:val="standardContextual"/>
        </w:rPr>
        <w:t xml:space="preserve"> (</w:t>
      </w:r>
      <w:r w:rsidRPr="007565B4" w:rsidR="00691C7D">
        <w:rPr>
          <w:rFonts w:ascii="Times New Roman" w:hAnsi="Times New Roman" w:eastAsiaTheme="minorHAnsi"/>
          <w:sz w:val="24"/>
          <w14:ligatures w14:val="standardContextual"/>
        </w:rPr>
        <w:t>under § 68.42</w:t>
      </w:r>
      <w:r w:rsidR="00691C7D">
        <w:rPr>
          <w:rFonts w:ascii="Times New Roman" w:hAnsi="Times New Roman" w:eastAsiaTheme="minorHAnsi"/>
          <w:sz w:val="24"/>
          <w14:ligatures w14:val="standardContextual"/>
        </w:rPr>
        <w:t>)</w:t>
      </w:r>
      <w:r w:rsidR="00D671BF">
        <w:rPr>
          <w:rFonts w:ascii="Times New Roman" w:hAnsi="Times New Roman" w:eastAsiaTheme="minorHAnsi"/>
          <w:sz w:val="24"/>
          <w14:ligatures w14:val="standardContextual"/>
        </w:rPr>
        <w:t xml:space="preserve">, regardless of how the facility characterizes the incident, a </w:t>
      </w:r>
      <w:r w:rsidR="00565191">
        <w:rPr>
          <w:rFonts w:ascii="Times New Roman" w:hAnsi="Times New Roman" w:eastAsiaTheme="minorHAnsi"/>
          <w:sz w:val="24"/>
          <w14:ligatures w14:val="standardContextual"/>
        </w:rPr>
        <w:t>r</w:t>
      </w:r>
      <w:r w:rsidR="00E06168">
        <w:rPr>
          <w:rFonts w:ascii="Times New Roman" w:hAnsi="Times New Roman" w:eastAsiaTheme="minorHAnsi"/>
          <w:sz w:val="24"/>
          <w14:ligatures w14:val="standardContextual"/>
        </w:rPr>
        <w:t xml:space="preserve">oot cause analysis is required. </w:t>
      </w:r>
    </w:p>
    <w:p w:rsidR="00F41FFB" w:rsidRPr="00A06845" w:rsidP="00C20A8D" w14:paraId="235C39A9" w14:textId="3EC72F5C">
      <w:pPr>
        <w:autoSpaceDE w:val="0"/>
        <w:autoSpaceDN w:val="0"/>
        <w:adjustRightInd w:val="0"/>
        <w:ind w:left="720"/>
      </w:pPr>
      <w:r w:rsidRPr="009669D6">
        <w:rPr>
          <w:rFonts w:ascii="Times New Roman" w:hAnsi="Times New Roman"/>
          <w:sz w:val="24"/>
        </w:rPr>
        <w:t xml:space="preserve">With regard to those commenters that recommended narrowing the applicability of the root cause analysis requirement because of the burden associated with the requirement, EPA notes that the burden of the proposed root cause analysis is relatively small. Few sources will have to conduct a root cause analysis because accidents occur at only a small number of sources, and many sources already perform root cause analyses in a manner consistent with industry or company protocols. Therefore, EPA does not believe that the anticipated burden of this requirement is a rationale for revising the applicability of the requirements.  </w:t>
      </w:r>
    </w:p>
    <w:p w:rsidR="00F41FFB" w:rsidRPr="006F68E9" w:rsidP="00F41FFB" w14:paraId="241CC264" w14:textId="3BB8632C">
      <w:pPr>
        <w:rPr>
          <w:rFonts w:ascii="Times New Roman" w:hAnsi="Times New Roman"/>
          <w:sz w:val="24"/>
        </w:rPr>
      </w:pPr>
      <w:r>
        <w:rPr>
          <w:rFonts w:ascii="Times New Roman" w:hAnsi="Times New Roman"/>
          <w:b/>
          <w:bCs/>
          <w:sz w:val="24"/>
        </w:rPr>
        <w:t xml:space="preserve">Comment 7.1-08: </w:t>
      </w:r>
      <w:r w:rsidRPr="009303E6">
        <w:rPr>
          <w:rFonts w:ascii="Times New Roman" w:hAnsi="Times New Roman"/>
          <w:sz w:val="24"/>
        </w:rPr>
        <w:t>A couple</w:t>
      </w:r>
      <w:r w:rsidRPr="009303E6">
        <w:rPr>
          <w:rFonts w:ascii="Times New Roman" w:hAnsi="Times New Roman"/>
          <w:sz w:val="24"/>
        </w:rPr>
        <w:t xml:space="preserve"> </w:t>
      </w:r>
      <w:r w:rsidRPr="009303E6">
        <w:rPr>
          <w:rFonts w:ascii="Times New Roman" w:hAnsi="Times New Roman"/>
          <w:sz w:val="24"/>
        </w:rPr>
        <w:t>commenters suggested that EPA did not consider the level of expertise and training that would be required by staff to conduct a root cause analysis</w:t>
      </w:r>
      <w:r w:rsidRPr="006F68E9">
        <w:rPr>
          <w:rFonts w:ascii="Times New Roman" w:hAnsi="Times New Roman"/>
          <w:sz w:val="24"/>
        </w:rPr>
        <w:t xml:space="preserve"> (0229, 0232). </w:t>
      </w:r>
    </w:p>
    <w:p w:rsidR="002C0F1D" w:rsidRPr="00D31D7B" w:rsidP="00F41FFB" w14:paraId="65FBD133" w14:textId="77777777">
      <w:pPr>
        <w:rPr>
          <w:rFonts w:ascii="Times New Roman" w:hAnsi="Times New Roman"/>
          <w:sz w:val="24"/>
        </w:rPr>
      </w:pPr>
      <w:r>
        <w:rPr>
          <w:rFonts w:ascii="Times New Roman" w:hAnsi="Times New Roman"/>
          <w:b/>
          <w:bCs/>
          <w:sz w:val="24"/>
        </w:rPr>
        <w:t xml:space="preserve">EPA Response: </w:t>
      </w:r>
      <w:r w:rsidRPr="009303E6" w:rsidR="009303E6">
        <w:rPr>
          <w:rFonts w:ascii="Times New Roman" w:hAnsi="Times New Roman"/>
          <w:sz w:val="24"/>
        </w:rPr>
        <w:t xml:space="preserve">EPA disagrees that it did not consider the level of expertise and training that would be required by staff to conduct a root cause analysis. </w:t>
      </w:r>
      <w:r w:rsidRPr="00D31D7B">
        <w:rPr>
          <w:rFonts w:ascii="Times New Roman" w:hAnsi="Times New Roman"/>
          <w:sz w:val="24"/>
        </w:rPr>
        <w:t xml:space="preserve">The final rule will allow the owner or operator to determine root causes using a “recognized method” that is appropriate for their </w:t>
      </w:r>
      <w:r w:rsidRPr="00D31D7B">
        <w:rPr>
          <w:rFonts w:ascii="Times New Roman" w:hAnsi="Times New Roman"/>
          <w:sz w:val="24"/>
        </w:rPr>
        <w:t>facility and circumstance. EPA recommends that owners and operators consult available literature on root cause investigation methodologies to select those appropriate for their facility and processes. For example, CCPS has published, “Guidelines for Investigating Process Safety Incidents,” which provides extensive guidance on incident investigations, near miss identification, root cause analysis, and other related topics.</w:t>
      </w:r>
      <w:r>
        <w:rPr>
          <w:rStyle w:val="FootnoteReference"/>
          <w:rFonts w:ascii="Times New Roman" w:hAnsi="Times New Roman"/>
          <w:sz w:val="24"/>
        </w:rPr>
        <w:footnoteReference w:id="117"/>
      </w:r>
      <w:r w:rsidRPr="00D31D7B">
        <w:rPr>
          <w:rFonts w:ascii="Times New Roman" w:hAnsi="Times New Roman"/>
          <w:sz w:val="24"/>
        </w:rPr>
        <w:t xml:space="preserve"> EPA believes this is already required under 40 CFR 68.60(c) and 68.81(c), where the incident investigation team is required to consist of “persons with appropriate knowledge and experience to thoroughly investigate and analyze the incident.” EPA intends this phrase to include a person knowledgeable in selection and use of root cause analysis techniques.</w:t>
      </w:r>
    </w:p>
    <w:p w:rsidR="00F41FFB" w:rsidRPr="006F68E9" w:rsidP="00F41FFB" w14:paraId="6766AE73" w14:textId="55C79DC1">
      <w:pPr>
        <w:rPr>
          <w:rFonts w:ascii="Times New Roman" w:hAnsi="Times New Roman"/>
          <w:sz w:val="24"/>
        </w:rPr>
      </w:pPr>
      <w:r>
        <w:rPr>
          <w:rFonts w:ascii="Times New Roman" w:hAnsi="Times New Roman"/>
          <w:b/>
          <w:bCs/>
          <w:sz w:val="24"/>
        </w:rPr>
        <w:t xml:space="preserve">Comment 7.1-09: </w:t>
      </w:r>
      <w:r w:rsidRPr="006F68E9">
        <w:rPr>
          <w:rFonts w:ascii="Times New Roman" w:hAnsi="Times New Roman"/>
          <w:sz w:val="24"/>
        </w:rPr>
        <w:t xml:space="preserve">One commenter suggested that EPA could perform analysis on external data sets from jurisdictions that have imposed root cause analysis requirements, including the American Chemistry Council’s Responsible Care Program, New Jersey’s Toxic Catastrophe Prevention Act, CalPSM, CalARP, and the Contra Costa County Health Services and City of Richmond, California’s Industrial Safety Ordinances (0233). </w:t>
      </w:r>
    </w:p>
    <w:p w:rsidR="00F41FFB" w:rsidRPr="005815CB" w:rsidP="00F41FFB" w14:paraId="693F6098" w14:textId="3FDD6126">
      <w:pPr>
        <w:ind w:left="720"/>
        <w:rPr>
          <w:rFonts w:ascii="Times New Roman" w:hAnsi="Times New Roman"/>
          <w:sz w:val="24"/>
        </w:rPr>
      </w:pPr>
      <w:r w:rsidRPr="001F4977">
        <w:rPr>
          <w:rFonts w:ascii="Times New Roman" w:hAnsi="Times New Roman"/>
          <w:b/>
          <w:bCs/>
          <w:sz w:val="24"/>
        </w:rPr>
        <w:t>EPA Response:</w:t>
      </w:r>
      <w:r>
        <w:rPr>
          <w:rFonts w:ascii="Times New Roman" w:hAnsi="Times New Roman"/>
          <w:b/>
          <w:bCs/>
          <w:sz w:val="24"/>
        </w:rPr>
        <w:t xml:space="preserve"> </w:t>
      </w:r>
      <w:r w:rsidRPr="00443035" w:rsidR="0090294E">
        <w:rPr>
          <w:rFonts w:ascii="Times New Roman" w:hAnsi="Times New Roman"/>
          <w:sz w:val="24"/>
        </w:rPr>
        <w:t xml:space="preserve">EPA </w:t>
      </w:r>
      <w:r w:rsidRPr="00443035" w:rsidR="00F65B60">
        <w:rPr>
          <w:rFonts w:ascii="Times New Roman" w:hAnsi="Times New Roman"/>
          <w:sz w:val="24"/>
        </w:rPr>
        <w:t>acknowledges</w:t>
      </w:r>
      <w:r w:rsidRPr="00443035" w:rsidR="0090294E">
        <w:rPr>
          <w:rFonts w:ascii="Times New Roman" w:hAnsi="Times New Roman"/>
          <w:sz w:val="24"/>
        </w:rPr>
        <w:t xml:space="preserve"> the </w:t>
      </w:r>
      <w:r w:rsidRPr="00443035" w:rsidR="00C21979">
        <w:rPr>
          <w:rFonts w:ascii="Times New Roman" w:hAnsi="Times New Roman"/>
          <w:sz w:val="24"/>
        </w:rPr>
        <w:t>suggestion</w:t>
      </w:r>
      <w:r w:rsidRPr="00443035" w:rsidR="000718F8">
        <w:rPr>
          <w:rFonts w:ascii="Times New Roman" w:hAnsi="Times New Roman"/>
          <w:sz w:val="24"/>
        </w:rPr>
        <w:t>. H</w:t>
      </w:r>
      <w:r w:rsidRPr="00443035" w:rsidR="00B02F3E">
        <w:rPr>
          <w:rFonts w:ascii="Times New Roman" w:hAnsi="Times New Roman"/>
          <w:sz w:val="24"/>
        </w:rPr>
        <w:t xml:space="preserve">owever, EPA did perform an analysis of EPA’s </w:t>
      </w:r>
      <w:r w:rsidR="004661AC">
        <w:rPr>
          <w:rFonts w:ascii="Times New Roman" w:hAnsi="Times New Roman"/>
          <w:sz w:val="24"/>
        </w:rPr>
        <w:t xml:space="preserve">own </w:t>
      </w:r>
      <w:r w:rsidRPr="00443035" w:rsidR="00B02F3E">
        <w:rPr>
          <w:rFonts w:ascii="Times New Roman" w:hAnsi="Times New Roman"/>
          <w:sz w:val="24"/>
        </w:rPr>
        <w:t xml:space="preserve">RMP accident reporting data and identified repeat accidents at facilities within the same process. The result of this analysis </w:t>
      </w:r>
      <w:r w:rsidRPr="00443035" w:rsidR="001D1D16">
        <w:rPr>
          <w:rFonts w:ascii="Times New Roman" w:hAnsi="Times New Roman"/>
          <w:sz w:val="24"/>
        </w:rPr>
        <w:t xml:space="preserve">of RMP facilities across the country </w:t>
      </w:r>
      <w:r w:rsidRPr="00443035" w:rsidR="00B02F3E">
        <w:rPr>
          <w:rFonts w:ascii="Times New Roman" w:hAnsi="Times New Roman"/>
          <w:sz w:val="24"/>
        </w:rPr>
        <w:t xml:space="preserve">demonstrates that, among facilities reporting accidents, </w:t>
      </w:r>
      <w:r w:rsidRPr="00443035" w:rsidR="00443035">
        <w:rPr>
          <w:rFonts w:ascii="Times New Roman" w:hAnsi="Times New Roman"/>
          <w:sz w:val="24"/>
        </w:rPr>
        <w:t>those</w:t>
      </w:r>
      <w:r w:rsidRPr="00443035" w:rsidR="00B02F3E">
        <w:rPr>
          <w:rFonts w:ascii="Times New Roman" w:hAnsi="Times New Roman"/>
          <w:sz w:val="24"/>
        </w:rPr>
        <w:t xml:space="preserve"> that reported one accident often have a history of multiple accidents, thus indicating a failure to properly address circumstances leading to subsequent accidents. These accidents may have been preventable if root cause analyses had been required. EPA believes multiple accidents result, in part, from a failure to thoroughly investigate and learn from prior accidents.</w:t>
      </w:r>
    </w:p>
    <w:p w:rsidR="00F41FFB" w:rsidP="00F41FFB" w14:paraId="3F6999DC" w14:textId="77777777">
      <w:pPr>
        <w:rPr>
          <w:rFonts w:ascii="Times New Roman" w:hAnsi="Times New Roman"/>
          <w:i/>
          <w:iCs/>
          <w:sz w:val="24"/>
        </w:rPr>
      </w:pPr>
      <w:r w:rsidRPr="00C66C41">
        <w:rPr>
          <w:rFonts w:ascii="Times New Roman" w:hAnsi="Times New Roman"/>
          <w:i/>
          <w:iCs/>
          <w:sz w:val="24"/>
        </w:rPr>
        <w:t xml:space="preserve">Applicability of root cause analysis requirements </w:t>
      </w:r>
    </w:p>
    <w:p w:rsidR="00F41FFB" w:rsidP="00F41FFB" w14:paraId="51406350" w14:textId="77777777">
      <w:pPr>
        <w:rPr>
          <w:rFonts w:ascii="Times New Roman" w:hAnsi="Times New Roman"/>
          <w:sz w:val="24"/>
        </w:rPr>
      </w:pPr>
      <w:r>
        <w:rPr>
          <w:rFonts w:ascii="Times New Roman" w:hAnsi="Times New Roman"/>
          <w:b/>
          <w:bCs/>
          <w:sz w:val="24"/>
        </w:rPr>
        <w:t xml:space="preserve">Comment 7.1-10: </w:t>
      </w:r>
      <w:r>
        <w:rPr>
          <w:rFonts w:ascii="Times New Roman" w:hAnsi="Times New Roman"/>
          <w:sz w:val="24"/>
        </w:rPr>
        <w:t>One</w:t>
      </w:r>
      <w:r w:rsidRPr="00091356">
        <w:rPr>
          <w:rFonts w:ascii="Times New Roman" w:hAnsi="Times New Roman"/>
          <w:sz w:val="24"/>
        </w:rPr>
        <w:t xml:space="preserve"> commenter expressed support for EPA’s proposal to limit the root cause analysis requirements for Program 2 and Program 3 processes (0275). </w:t>
      </w:r>
    </w:p>
    <w:p w:rsidR="00F41FFB" w:rsidP="00F41FFB" w14:paraId="2E2EDE76" w14:textId="77777777">
      <w:pPr>
        <w:rPr>
          <w:rFonts w:ascii="Times New Roman" w:hAnsi="Times New Roman"/>
          <w:sz w:val="24"/>
        </w:rPr>
      </w:pPr>
      <w:r w:rsidRPr="0AEDE096">
        <w:rPr>
          <w:rFonts w:ascii="Times New Roman" w:hAnsi="Times New Roman"/>
          <w:sz w:val="24"/>
        </w:rPr>
        <w:t xml:space="preserve">A couple of commenters recommended that EPA expand coverage of this requirement to apply </w:t>
      </w:r>
      <w:r w:rsidRPr="002B7241">
        <w:rPr>
          <w:rFonts w:ascii="Times New Roman" w:hAnsi="Times New Roman"/>
          <w:sz w:val="24"/>
        </w:rPr>
        <w:t>to all RMP facilities</w:t>
      </w:r>
      <w:r w:rsidRPr="0AEDE096">
        <w:rPr>
          <w:rFonts w:ascii="Times New Roman" w:hAnsi="Times New Roman"/>
          <w:sz w:val="24"/>
        </w:rPr>
        <w:t xml:space="preserve"> (0270, 0203). </w:t>
      </w:r>
    </w:p>
    <w:p w:rsidR="00F41FFB" w:rsidP="00F41FFB" w14:paraId="57192C02" w14:textId="77777777">
      <w:pPr>
        <w:rPr>
          <w:rFonts w:ascii="Times New Roman" w:hAnsi="Times New Roman"/>
          <w:sz w:val="24"/>
        </w:rPr>
      </w:pPr>
      <w:r w:rsidRPr="6D3F9CC5">
        <w:rPr>
          <w:rFonts w:ascii="Times New Roman" w:hAnsi="Times New Roman"/>
          <w:sz w:val="24"/>
        </w:rPr>
        <w:t xml:space="preserve">A couple of commenters proposed that EPA further limit facilities subject </w:t>
      </w:r>
      <w:r w:rsidRPr="0029538B">
        <w:rPr>
          <w:rFonts w:ascii="Times New Roman" w:hAnsi="Times New Roman"/>
          <w:sz w:val="24"/>
        </w:rPr>
        <w:t>to</w:t>
      </w:r>
      <w:r w:rsidRPr="6D3F9CC5">
        <w:rPr>
          <w:rFonts w:ascii="Times New Roman" w:hAnsi="Times New Roman"/>
          <w:sz w:val="24"/>
        </w:rPr>
        <w:t xml:space="preserve"> the root cause analysis requirements (0239, 0243). </w:t>
      </w:r>
      <w:r w:rsidRPr="002B7241">
        <w:rPr>
          <w:rFonts w:ascii="Times New Roman" w:hAnsi="Times New Roman"/>
          <w:sz w:val="24"/>
        </w:rPr>
        <w:t>One commenter recommended that the root cause analysis requirement should only be mandated for Program 3 facilities,</w:t>
      </w:r>
      <w:r w:rsidRPr="6D3F9CC5">
        <w:rPr>
          <w:rFonts w:ascii="Times New Roman" w:hAnsi="Times New Roman"/>
          <w:sz w:val="24"/>
        </w:rPr>
        <w:t xml:space="preserve"> since they have the most complex processes, which is where root cause analyses are most useful. The commenter suggested that conducting root cause analyses is resource intensive and costly, and imposing the requirements on other non-Program 3 facilities will be </w:t>
      </w:r>
      <w:r w:rsidRPr="00BC1CE3">
        <w:rPr>
          <w:rFonts w:ascii="Times New Roman" w:hAnsi="Times New Roman"/>
          <w:sz w:val="24"/>
        </w:rPr>
        <w:t>overly burdensome</w:t>
      </w:r>
      <w:r w:rsidRPr="6D3F9CC5">
        <w:rPr>
          <w:rFonts w:ascii="Times New Roman" w:hAnsi="Times New Roman"/>
          <w:sz w:val="24"/>
        </w:rPr>
        <w:t xml:space="preserve"> without commensurate benefits (0239). </w:t>
      </w:r>
    </w:p>
    <w:p w:rsidR="00F41FFB" w:rsidRPr="00217E05" w:rsidP="00F41FFB" w14:paraId="7BBA2C14" w14:textId="77777777">
      <w:pPr>
        <w:rPr>
          <w:rFonts w:ascii="Times New Roman" w:hAnsi="Times New Roman"/>
          <w:sz w:val="24"/>
        </w:rPr>
      </w:pPr>
      <w:r w:rsidRPr="6D3F9CC5">
        <w:rPr>
          <w:rFonts w:ascii="Times New Roman" w:hAnsi="Times New Roman"/>
          <w:sz w:val="24"/>
        </w:rPr>
        <w:t xml:space="preserve">A commenter recommended that EPA </w:t>
      </w:r>
      <w:r w:rsidRPr="00BC1CE3">
        <w:rPr>
          <w:rFonts w:ascii="Times New Roman" w:hAnsi="Times New Roman"/>
          <w:sz w:val="24"/>
        </w:rPr>
        <w:t>only require root cause analyses for larger, more complex water systems, as the root cause analysis process is resource intensive and burdensome</w:t>
      </w:r>
      <w:r w:rsidRPr="6D3F9CC5">
        <w:rPr>
          <w:rFonts w:ascii="Times New Roman" w:hAnsi="Times New Roman"/>
          <w:sz w:val="24"/>
        </w:rPr>
        <w:t xml:space="preserve"> (0243).</w:t>
      </w:r>
    </w:p>
    <w:p w:rsidR="00F41FFB" w:rsidP="00C20A8D" w14:paraId="3039F5ED" w14:textId="5C51EA29">
      <w:pPr>
        <w:tabs>
          <w:tab w:val="left" w:pos="720"/>
          <w:tab w:val="left" w:pos="1627"/>
          <w:tab w:val="left" w:pos="2160"/>
          <w:tab w:val="left" w:pos="2880"/>
        </w:tabs>
        <w:ind w:left="720"/>
        <w:rPr>
          <w:rFonts w:ascii="Times New Roman" w:eastAsia="Times New Roman" w:hAnsi="Times New Roman"/>
          <w:sz w:val="24"/>
        </w:rPr>
      </w:pPr>
      <w:r w:rsidRPr="007F7055">
        <w:rPr>
          <w:rFonts w:ascii="Times New Roman" w:hAnsi="Times New Roman"/>
          <w:b/>
          <w:sz w:val="24"/>
          <w:szCs w:val="28"/>
        </w:rPr>
        <w:t>E</w:t>
      </w:r>
      <w:r w:rsidRPr="00FE3A07">
        <w:rPr>
          <w:rFonts w:ascii="Times New Roman" w:eastAsia="Times New Roman" w:hAnsi="Times New Roman"/>
          <w:b/>
          <w:color w:val="000000" w:themeColor="text1"/>
          <w:sz w:val="24"/>
        </w:rPr>
        <w:t xml:space="preserve">PA Response: </w:t>
      </w:r>
      <w:r w:rsidRPr="00FE3A07">
        <w:rPr>
          <w:rFonts w:ascii="Times New Roman" w:eastAsia="Times New Roman" w:hAnsi="Times New Roman"/>
          <w:color w:val="000000" w:themeColor="text1"/>
          <w:sz w:val="24"/>
        </w:rPr>
        <w:t xml:space="preserve">EPA believes this provision is most appropriate for Program 2 and 3 processes because </w:t>
      </w:r>
      <w:r w:rsidRPr="0029538B">
        <w:rPr>
          <w:rFonts w:ascii="Times New Roman" w:eastAsia="Times New Roman" w:hAnsi="Times New Roman"/>
          <w:sz w:val="24"/>
        </w:rPr>
        <w:t xml:space="preserve">facilities with these processes have RMP-reportable accidents more often (Program 2 = 15 percent, Program 3 = 83 percent of total accidents from 2004-2020) and pose a greater risk to the public because their worst-case scenario distance </w:t>
      </w:r>
      <w:r w:rsidRPr="0029538B">
        <w:rPr>
          <w:rFonts w:ascii="Times New Roman" w:eastAsia="Times New Roman" w:hAnsi="Times New Roman"/>
          <w:sz w:val="24"/>
        </w:rPr>
        <w:t xml:space="preserve">would affect public receptors. </w:t>
      </w:r>
      <w:r w:rsidR="002B7241">
        <w:rPr>
          <w:rFonts w:ascii="Times New Roman" w:eastAsia="Times New Roman" w:hAnsi="Times New Roman"/>
          <w:sz w:val="24"/>
        </w:rPr>
        <w:t xml:space="preserve">EPA did not expand the coverage of this requirement to apply to all RMP facilities because </w:t>
      </w:r>
      <w:r w:rsidRPr="0029538B">
        <w:rPr>
          <w:rFonts w:ascii="Times New Roman" w:eastAsia="Times New Roman" w:hAnsi="Times New Roman"/>
          <w:sz w:val="24"/>
        </w:rPr>
        <w:t>Program 1 processes only account for few of the total RMP-reportable accidents (3 percent of total accidents from 2004-2020), do not have recent accident history with specific offsite consequences, and have no public receptors within the worst-case release scenario distance.</w:t>
      </w:r>
      <w:r>
        <w:rPr>
          <w:rStyle w:val="FootnoteReference"/>
          <w:rFonts w:ascii="Times New Roman" w:eastAsia="Times New Roman" w:hAnsi="Times New Roman"/>
          <w:sz w:val="24"/>
        </w:rPr>
        <w:footnoteReference w:id="118"/>
      </w:r>
      <w:r w:rsidR="002B7241">
        <w:rPr>
          <w:rFonts w:ascii="Times New Roman" w:eastAsia="Times New Roman" w:hAnsi="Times New Roman"/>
          <w:sz w:val="24"/>
        </w:rPr>
        <w:t xml:space="preserve"> </w:t>
      </w:r>
    </w:p>
    <w:p w:rsidR="00BC1CE3" w:rsidRPr="00BC1CE3" w:rsidP="00C20A8D" w14:paraId="0AB39EF0" w14:textId="524A2DE2">
      <w:pPr>
        <w:tabs>
          <w:tab w:val="left" w:pos="720"/>
          <w:tab w:val="left" w:pos="1627"/>
          <w:tab w:val="left" w:pos="2160"/>
          <w:tab w:val="left" w:pos="2880"/>
        </w:tabs>
        <w:ind w:left="720"/>
        <w:rPr>
          <w:rFonts w:ascii="Times New Roman" w:hAnsi="Times New Roman"/>
          <w:bCs/>
          <w:sz w:val="24"/>
          <w:szCs w:val="28"/>
        </w:rPr>
      </w:pPr>
      <w:r w:rsidRPr="00BC1CE3">
        <w:rPr>
          <w:rFonts w:ascii="Times New Roman" w:hAnsi="Times New Roman"/>
          <w:bCs/>
          <w:sz w:val="24"/>
          <w:szCs w:val="28"/>
        </w:rPr>
        <w:t xml:space="preserve">EPA’s response to this provision being overly burdensome on facilities can be found in </w:t>
      </w:r>
      <w:r w:rsidRPr="00BC1CE3" w:rsidR="007160F0">
        <w:rPr>
          <w:rFonts w:ascii="Times New Roman" w:hAnsi="Times New Roman"/>
          <w:bCs/>
          <w:sz w:val="24"/>
          <w:szCs w:val="28"/>
        </w:rPr>
        <w:t>its</w:t>
      </w:r>
      <w:r w:rsidRPr="00BC1CE3">
        <w:rPr>
          <w:rFonts w:ascii="Times New Roman" w:hAnsi="Times New Roman"/>
          <w:bCs/>
          <w:sz w:val="24"/>
          <w:szCs w:val="28"/>
        </w:rPr>
        <w:t xml:space="preserve"> response to Comment 7.1-07.</w:t>
      </w:r>
    </w:p>
    <w:p w:rsidR="00F41FFB" w:rsidRPr="00B22862" w:rsidP="00C20A8D" w14:paraId="3A9C45E9" w14:textId="29E95620">
      <w:pPr>
        <w:tabs>
          <w:tab w:val="left" w:pos="720"/>
          <w:tab w:val="left" w:pos="1627"/>
          <w:tab w:val="left" w:pos="2160"/>
          <w:tab w:val="left" w:pos="2880"/>
        </w:tabs>
        <w:ind w:left="720"/>
        <w:rPr>
          <w:rFonts w:ascii="Times New Roman" w:eastAsia="Times New Roman" w:hAnsi="Times New Roman"/>
          <w:sz w:val="24"/>
        </w:rPr>
      </w:pPr>
      <w:r w:rsidRPr="00B22862">
        <w:rPr>
          <w:rFonts w:ascii="Times New Roman" w:eastAsia="Times New Roman" w:hAnsi="Times New Roman"/>
          <w:sz w:val="24"/>
        </w:rPr>
        <w:t>While it is true that most RMP-reportable accidents occur at Program 3 processes, EPA decided that there was little justification for limiting the root cause requirements to only Program 3 processes, because serious accidents also occur at Program 2 processes (87 FR 53593). Also, the Agency notes that some of the accidents at Program 2 processes occur at publicly-owned water and wastewater treatment facilities that are not in Program 3 only because they are not located in a State with an OSHA-approved State Plan.</w:t>
      </w:r>
      <w:r>
        <w:rPr>
          <w:rFonts w:ascii="Times New Roman" w:eastAsia="Times New Roman" w:hAnsi="Times New Roman"/>
          <w:sz w:val="24"/>
          <w:vertAlign w:val="superscript"/>
        </w:rPr>
        <w:footnoteReference w:id="119"/>
      </w:r>
      <w:r w:rsidRPr="00D94AD4">
        <w:rPr>
          <w:rFonts w:ascii="Times New Roman" w:eastAsia="Times New Roman" w:hAnsi="Times New Roman"/>
          <w:sz w:val="24"/>
          <w:vertAlign w:val="superscript"/>
        </w:rPr>
        <w:t xml:space="preserve"> </w:t>
      </w:r>
      <w:r w:rsidRPr="00B22862">
        <w:rPr>
          <w:rFonts w:ascii="Times New Roman" w:eastAsia="Times New Roman" w:hAnsi="Times New Roman"/>
          <w:sz w:val="24"/>
        </w:rPr>
        <w:t xml:space="preserve"> </w:t>
      </w:r>
      <w:r w:rsidR="00A7267D">
        <w:rPr>
          <w:rFonts w:ascii="Times New Roman" w:eastAsia="Times New Roman" w:hAnsi="Times New Roman"/>
          <w:sz w:val="24"/>
        </w:rPr>
        <w:t xml:space="preserve">While </w:t>
      </w:r>
      <w:r w:rsidRPr="00B22862">
        <w:rPr>
          <w:rFonts w:ascii="Times New Roman" w:eastAsia="Times New Roman" w:hAnsi="Times New Roman"/>
          <w:sz w:val="24"/>
        </w:rPr>
        <w:t>State and local government employees at facilities in States with OSHA-approved State Plans</w:t>
      </w:r>
      <w:r w:rsidR="002764F0">
        <w:rPr>
          <w:rFonts w:ascii="Times New Roman" w:eastAsia="Times New Roman" w:hAnsi="Times New Roman"/>
          <w:sz w:val="24"/>
        </w:rPr>
        <w:t xml:space="preserve"> must comply with State Plan requirements that are at least as effective as the Federal OSHA PSM standard</w:t>
      </w:r>
      <w:r w:rsidRPr="00B22862">
        <w:rPr>
          <w:rFonts w:ascii="Times New Roman" w:eastAsia="Times New Roman" w:hAnsi="Times New Roman"/>
          <w:sz w:val="24"/>
        </w:rPr>
        <w:t>, State and local government employees at facilities in States under Federal OSHA authority are not covered by the OSHA PSM standard</w:t>
      </w:r>
      <w:r w:rsidR="002764F0">
        <w:rPr>
          <w:rFonts w:ascii="Times New Roman" w:eastAsia="Times New Roman" w:hAnsi="Times New Roman"/>
          <w:sz w:val="24"/>
        </w:rPr>
        <w:t xml:space="preserve"> or any equivalent measures</w:t>
      </w:r>
      <w:r w:rsidRPr="00B22862">
        <w:rPr>
          <w:rFonts w:ascii="Times New Roman" w:eastAsia="Times New Roman" w:hAnsi="Times New Roman"/>
          <w:sz w:val="24"/>
        </w:rPr>
        <w:t>. This results in regulated processes at these sources being placed in Program 2, even though the processes generally pose the same risk as similar processes at publicly owned water or wastewater treatment processes that are located at sources in States with an OSHA State Plan.</w:t>
      </w:r>
    </w:p>
    <w:p w:rsidR="00F41FFB" w:rsidP="00F41FFB" w14:paraId="1832DA0F" w14:textId="77777777">
      <w:pPr>
        <w:rPr>
          <w:rFonts w:ascii="Times New Roman" w:hAnsi="Times New Roman"/>
          <w:b/>
          <w:bCs/>
          <w:sz w:val="24"/>
        </w:rPr>
      </w:pPr>
      <w:r>
        <w:rPr>
          <w:rFonts w:ascii="Times New Roman" w:hAnsi="Times New Roman"/>
          <w:b/>
          <w:bCs/>
          <w:sz w:val="24"/>
        </w:rPr>
        <w:t xml:space="preserve">Comment 7.1-11: </w:t>
      </w:r>
      <w:r w:rsidRPr="00606B8A">
        <w:rPr>
          <w:rFonts w:ascii="Times New Roman" w:hAnsi="Times New Roman"/>
          <w:sz w:val="24"/>
        </w:rPr>
        <w:t>Many commenters provided suggestions regarding the applicability of incident investigation requirement</w:t>
      </w:r>
      <w:r>
        <w:rPr>
          <w:rFonts w:ascii="Times New Roman" w:hAnsi="Times New Roman"/>
          <w:sz w:val="24"/>
        </w:rPr>
        <w:t>s to specific incidents, as described below</w:t>
      </w:r>
      <w:r w:rsidRPr="00606B8A">
        <w:rPr>
          <w:rFonts w:ascii="Times New Roman" w:hAnsi="Times New Roman"/>
          <w:sz w:val="24"/>
        </w:rPr>
        <w:t>.</w:t>
      </w:r>
      <w:r>
        <w:rPr>
          <w:rFonts w:ascii="Times New Roman" w:hAnsi="Times New Roman"/>
          <w:b/>
          <w:bCs/>
          <w:sz w:val="24"/>
        </w:rPr>
        <w:t xml:space="preserve"> </w:t>
      </w:r>
    </w:p>
    <w:p w:rsidR="00F41FFB" w:rsidP="00F41FFB" w14:paraId="71E41FD4" w14:textId="77777777">
      <w:pPr>
        <w:rPr>
          <w:rFonts w:ascii="Times New Roman" w:hAnsi="Times New Roman"/>
          <w:sz w:val="24"/>
        </w:rPr>
      </w:pPr>
      <w:r w:rsidRPr="006F68E9">
        <w:rPr>
          <w:rFonts w:ascii="Times New Roman" w:hAnsi="Times New Roman"/>
          <w:sz w:val="24"/>
        </w:rPr>
        <w:t xml:space="preserve">Several commenters suggested that the current requirements for when investigations are conducted are overly limited (0173, 0191, 0203, 0216, 0248, 0456, 0460). </w:t>
      </w:r>
      <w:r w:rsidRPr="00440A13">
        <w:rPr>
          <w:rFonts w:ascii="Times New Roman" w:hAnsi="Times New Roman"/>
          <w:sz w:val="24"/>
        </w:rPr>
        <w:t>A couple of the commenters recommended that incident investigations be required after all near misses instead of after two incidents (0248, 0460).</w:t>
      </w:r>
      <w:r w:rsidRPr="006F68E9">
        <w:rPr>
          <w:rFonts w:ascii="Times New Roman" w:hAnsi="Times New Roman"/>
          <w:sz w:val="24"/>
        </w:rPr>
        <w:t xml:space="preserve"> </w:t>
      </w:r>
      <w:r w:rsidRPr="00440A13">
        <w:rPr>
          <w:rFonts w:ascii="Times New Roman" w:hAnsi="Times New Roman"/>
          <w:sz w:val="24"/>
        </w:rPr>
        <w:t>Another commenter suggested that root cause analyses should not be required for every incident or near miss, but they should be conducted for more incidents than just catastrophic releases. The commenter provided the example of Contra Costa County in California that investigate less severe incidents and use various investigative techniques that depend on the complexity or severity of the incident (0173).</w:t>
      </w:r>
      <w:r w:rsidRPr="006F68E9">
        <w:rPr>
          <w:rFonts w:ascii="Times New Roman" w:hAnsi="Times New Roman"/>
          <w:sz w:val="24"/>
        </w:rPr>
        <w:t xml:space="preserve"> </w:t>
      </w:r>
    </w:p>
    <w:p w:rsidR="00F41FFB" w:rsidRPr="006F68E9" w:rsidP="00F41FFB" w14:paraId="57A5F290" w14:textId="77777777">
      <w:pPr>
        <w:rPr>
          <w:rFonts w:ascii="Times New Roman" w:hAnsi="Times New Roman"/>
          <w:sz w:val="24"/>
        </w:rPr>
      </w:pPr>
      <w:r w:rsidRPr="00440A13">
        <w:rPr>
          <w:rFonts w:ascii="Times New Roman" w:hAnsi="Times New Roman"/>
          <w:sz w:val="24"/>
        </w:rPr>
        <w:t>Several commenters noted that root cause analysis should only be required for catastrophic or potentially catastrophic consequences</w:t>
      </w:r>
      <w:r w:rsidRPr="006F68E9">
        <w:rPr>
          <w:rFonts w:ascii="Times New Roman" w:hAnsi="Times New Roman"/>
          <w:sz w:val="24"/>
        </w:rPr>
        <w:t xml:space="preserve"> (0233, 0238, 0239, 0243, 0245). </w:t>
      </w:r>
      <w:r w:rsidRPr="00440A13">
        <w:rPr>
          <w:rFonts w:ascii="Times New Roman" w:hAnsi="Times New Roman"/>
          <w:sz w:val="24"/>
        </w:rPr>
        <w:t>One commenter stated that the quality of the safety reviews would be diluted if they were required for high-frequency, low consequence incidents, and will provide little relevancy to potential catastrophes</w:t>
      </w:r>
      <w:r w:rsidRPr="006F68E9">
        <w:rPr>
          <w:rFonts w:ascii="Times New Roman" w:hAnsi="Times New Roman"/>
          <w:sz w:val="24"/>
        </w:rPr>
        <w:t xml:space="preserve"> (0202). </w:t>
      </w:r>
    </w:p>
    <w:p w:rsidR="00F41FFB" w:rsidRPr="006F68E9" w:rsidP="00F41FFB" w14:paraId="1457638B" w14:textId="77777777">
      <w:pPr>
        <w:rPr>
          <w:rFonts w:ascii="Times New Roman" w:hAnsi="Times New Roman"/>
          <w:sz w:val="24"/>
        </w:rPr>
      </w:pPr>
      <w:r w:rsidRPr="00440A13">
        <w:rPr>
          <w:rFonts w:ascii="Times New Roman" w:hAnsi="Times New Roman"/>
          <w:sz w:val="24"/>
        </w:rPr>
        <w:t>Several commenters supported requiring incident investigations for “near miss” events (0177, 0203, 0219, 0255, 0228, 0240, 0409, 0456, 0460). One of the commenters indicated that adding the requirement would increase engagement at facilities to ensure compliance was met (0177).</w:t>
      </w:r>
      <w:r w:rsidRPr="006F68E9">
        <w:rPr>
          <w:rFonts w:ascii="Times New Roman" w:hAnsi="Times New Roman"/>
          <w:sz w:val="24"/>
        </w:rPr>
        <w:t xml:space="preserve"> </w:t>
      </w:r>
      <w:r w:rsidRPr="00440A13">
        <w:rPr>
          <w:rFonts w:ascii="Times New Roman" w:hAnsi="Times New Roman"/>
          <w:sz w:val="24"/>
        </w:rPr>
        <w:t>One commenter suggested that EPA not require a root cause analysis if a near miss may have triggered only minor on-site injury with no threat to public health or the environment (0263).</w:t>
      </w:r>
    </w:p>
    <w:p w:rsidR="00F41FFB" w:rsidRPr="00553AE9" w:rsidP="00F41FFB" w14:paraId="77928E2E" w14:textId="432F5EB1">
      <w:pPr>
        <w:ind w:left="720"/>
      </w:pPr>
      <w:r w:rsidRPr="0029538B">
        <w:rPr>
          <w:rFonts w:ascii="Times New Roman" w:hAnsi="Times New Roman"/>
          <w:b/>
          <w:bCs/>
          <w:sz w:val="24"/>
        </w:rPr>
        <w:t xml:space="preserve">EPA </w:t>
      </w:r>
      <w:r w:rsidRPr="00553AE9">
        <w:rPr>
          <w:rFonts w:ascii="Times New Roman" w:hAnsi="Times New Roman"/>
          <w:b/>
          <w:bCs/>
          <w:sz w:val="24"/>
        </w:rPr>
        <w:t xml:space="preserve">Response: </w:t>
      </w:r>
      <w:r w:rsidRPr="00A303ED" w:rsidR="00A303ED">
        <w:t xml:space="preserve"> </w:t>
      </w:r>
      <w:r w:rsidRPr="00A303ED" w:rsidR="00A303ED">
        <w:rPr>
          <w:rFonts w:ascii="Times New Roman" w:hAnsi="Times New Roman"/>
          <w:sz w:val="24"/>
        </w:rPr>
        <w:t xml:space="preserve">EPA is finalizing the applicability of the root cause analysis provision, as proposed – to conduct a root cause analysis when the incident meets the accident history reporting requirements under § 68.42. If an accident or incident at a facility meets that reporting criteria (under § 68.42), regardless of how the facility characterizes the incident, a root cause analysis is required. </w:t>
      </w:r>
      <w:r w:rsidRPr="00553AE9">
        <w:rPr>
          <w:rFonts w:ascii="Times New Roman" w:hAnsi="Times New Roman"/>
          <w:sz w:val="24"/>
        </w:rPr>
        <w:t xml:space="preserve">EPA agrees with those comments supporting the proposed provision and </w:t>
      </w:r>
      <w:r w:rsidRPr="0029538B">
        <w:rPr>
          <w:rFonts w:ascii="Times New Roman" w:hAnsi="Times New Roman"/>
          <w:sz w:val="24"/>
        </w:rPr>
        <w:t xml:space="preserve">believes that requiring root cause analyses </w:t>
      </w:r>
      <w:r w:rsidRPr="00553AE9">
        <w:rPr>
          <w:rFonts w:ascii="Times New Roman" w:hAnsi="Times New Roman"/>
          <w:sz w:val="24"/>
        </w:rPr>
        <w:t>after RMP</w:t>
      </w:r>
      <w:r w:rsidRPr="00553AE9">
        <w:rPr>
          <w:rFonts w:ascii="Times New Roman" w:hAnsi="Times New Roman"/>
          <w:sz w:val="24"/>
        </w:rPr>
        <w:noBreakHyphen/>
        <w:t>reportable accidents</w:t>
      </w:r>
      <w:r w:rsidRPr="0029538B">
        <w:rPr>
          <w:rFonts w:ascii="Times New Roman" w:hAnsi="Times New Roman"/>
          <w:sz w:val="24"/>
        </w:rPr>
        <w:t>, and including root cause information in incident investigation reports</w:t>
      </w:r>
      <w:r w:rsidRPr="00553AE9">
        <w:rPr>
          <w:rFonts w:ascii="Times New Roman" w:hAnsi="Times New Roman"/>
          <w:sz w:val="24"/>
        </w:rPr>
        <w:t>, is</w:t>
      </w:r>
      <w:r w:rsidRPr="0029538B">
        <w:rPr>
          <w:rFonts w:ascii="Times New Roman" w:hAnsi="Times New Roman"/>
          <w:sz w:val="24"/>
        </w:rPr>
        <w:t xml:space="preserve"> vital for understanding the nature of these events</w:t>
      </w:r>
      <w:r w:rsidRPr="00553AE9">
        <w:rPr>
          <w:rFonts w:ascii="Times New Roman" w:hAnsi="Times New Roman"/>
          <w:sz w:val="24"/>
        </w:rPr>
        <w:t xml:space="preserve"> and how they may occur.</w:t>
      </w:r>
      <w:r w:rsidRPr="00821C4D">
        <w:t xml:space="preserve">  </w:t>
      </w:r>
    </w:p>
    <w:p w:rsidR="00C87C23" w:rsidRPr="00A30DAF" w:rsidP="00F41FFB" w14:paraId="16177097" w14:textId="715223F6">
      <w:pPr>
        <w:ind w:left="720"/>
        <w:rPr>
          <w:rFonts w:ascii="Times New Roman" w:hAnsi="Times New Roman"/>
          <w:sz w:val="24"/>
        </w:rPr>
      </w:pPr>
      <w:r w:rsidRPr="00A30DAF">
        <w:rPr>
          <w:rFonts w:ascii="Times New Roman" w:hAnsi="Times New Roman"/>
          <w:sz w:val="24"/>
        </w:rPr>
        <w:t xml:space="preserve">EPA disagrees that root cause analysis should be required for </w:t>
      </w:r>
      <w:r w:rsidRPr="00A30DAF" w:rsidR="005E5B67">
        <w:rPr>
          <w:rFonts w:ascii="Times New Roman" w:hAnsi="Times New Roman"/>
          <w:sz w:val="24"/>
        </w:rPr>
        <w:t>every incident</w:t>
      </w:r>
      <w:r w:rsidRPr="00A30DAF" w:rsidR="00B501D9">
        <w:rPr>
          <w:rFonts w:ascii="Times New Roman" w:hAnsi="Times New Roman"/>
          <w:sz w:val="24"/>
        </w:rPr>
        <w:t xml:space="preserve"> or for </w:t>
      </w:r>
      <w:r w:rsidRPr="00A30DAF">
        <w:rPr>
          <w:rFonts w:ascii="Times New Roman" w:hAnsi="Times New Roman"/>
          <w:sz w:val="24"/>
        </w:rPr>
        <w:t>catastrophic</w:t>
      </w:r>
      <w:r w:rsidRPr="00A30DAF" w:rsidR="00BF7ADC">
        <w:rPr>
          <w:rFonts w:ascii="Times New Roman" w:hAnsi="Times New Roman"/>
          <w:sz w:val="24"/>
        </w:rPr>
        <w:t xml:space="preserve">, </w:t>
      </w:r>
      <w:r w:rsidRPr="00A30DAF">
        <w:rPr>
          <w:rFonts w:ascii="Times New Roman" w:hAnsi="Times New Roman"/>
          <w:sz w:val="24"/>
        </w:rPr>
        <w:t xml:space="preserve">potentially catastrophic </w:t>
      </w:r>
      <w:r w:rsidRPr="00A30DAF" w:rsidR="00BF7ADC">
        <w:rPr>
          <w:rFonts w:ascii="Times New Roman" w:hAnsi="Times New Roman"/>
          <w:sz w:val="24"/>
        </w:rPr>
        <w:t xml:space="preserve">or near miss </w:t>
      </w:r>
      <w:r w:rsidRPr="00A30DAF">
        <w:rPr>
          <w:rFonts w:ascii="Times New Roman" w:hAnsi="Times New Roman"/>
          <w:sz w:val="24"/>
        </w:rPr>
        <w:t>releases</w:t>
      </w:r>
      <w:r w:rsidRPr="00A30DAF" w:rsidR="00A466CB">
        <w:rPr>
          <w:rFonts w:ascii="Times New Roman" w:hAnsi="Times New Roman"/>
          <w:sz w:val="24"/>
        </w:rPr>
        <w:t xml:space="preserve">. </w:t>
      </w:r>
      <w:r w:rsidRPr="00A30DAF" w:rsidR="00FE6443">
        <w:rPr>
          <w:rFonts w:ascii="Times New Roman" w:hAnsi="Times New Roman"/>
          <w:sz w:val="24"/>
        </w:rPr>
        <w:t xml:space="preserve">EPA believes that providing a consistent trigger for accident investigations and reportable accidents under the accident history requirements of § 68.42 would simplify compliance for the regulated community. </w:t>
      </w:r>
      <w:r w:rsidR="00D37FAC">
        <w:rPr>
          <w:rFonts w:ascii="Times New Roman" w:hAnsi="Times New Roman"/>
          <w:sz w:val="24"/>
        </w:rPr>
        <w:t>For example,</w:t>
      </w:r>
      <w:r w:rsidR="00D3785D">
        <w:rPr>
          <w:rFonts w:ascii="Times New Roman" w:hAnsi="Times New Roman"/>
          <w:sz w:val="24"/>
        </w:rPr>
        <w:t xml:space="preserve"> s</w:t>
      </w:r>
      <w:r w:rsidRPr="00A30DAF" w:rsidR="0015167F">
        <w:rPr>
          <w:rFonts w:ascii="Times New Roman" w:hAnsi="Times New Roman"/>
          <w:sz w:val="24"/>
        </w:rPr>
        <w:t>ome reportable incidents under the accident history provision may not pose an imminent and substantial threat to public health and the environment (see 40 CFR 68.3 (Catastrophic release))</w:t>
      </w:r>
      <w:r w:rsidRPr="00A30DAF" w:rsidR="003D6BA8">
        <w:rPr>
          <w:rFonts w:ascii="Times New Roman" w:hAnsi="Times New Roman"/>
          <w:sz w:val="24"/>
        </w:rPr>
        <w:t xml:space="preserve">, but as </w:t>
      </w:r>
      <w:r w:rsidRPr="00A30DAF" w:rsidR="00AE5938">
        <w:rPr>
          <w:rFonts w:ascii="Times New Roman" w:hAnsi="Times New Roman"/>
          <w:sz w:val="24"/>
        </w:rPr>
        <w:t xml:space="preserve">EPA explained in the Response to Comment document for the original RMP rule and in the </w:t>
      </w:r>
      <w:r w:rsidR="005D3644">
        <w:rPr>
          <w:rFonts w:ascii="Times New Roman" w:hAnsi="Times New Roman"/>
          <w:sz w:val="24"/>
        </w:rPr>
        <w:t>2017 a</w:t>
      </w:r>
      <w:r w:rsidRPr="00A30DAF" w:rsidR="00AE5938">
        <w:rPr>
          <w:rFonts w:ascii="Times New Roman" w:hAnsi="Times New Roman"/>
          <w:sz w:val="24"/>
        </w:rPr>
        <w:t xml:space="preserve">mendments rule, certain on-site accident impacts are relevant because they “may reflect safety practices at the source” and because “accidental releases from covered processes which resulted in deaths, injuries, or significant property damage on-site, involve failures of sufficient magnitude that they have the potential to affect offsite areas.” </w:t>
      </w:r>
      <w:r w:rsidRPr="00A30DAF" w:rsidR="003D6BA8">
        <w:rPr>
          <w:rFonts w:ascii="Times New Roman" w:hAnsi="Times New Roman"/>
          <w:sz w:val="24"/>
        </w:rPr>
        <w:t xml:space="preserve">Further, </w:t>
      </w:r>
      <w:r w:rsidRPr="00A30DAF" w:rsidR="00BF7ADC">
        <w:rPr>
          <w:rFonts w:ascii="Times New Roman" w:hAnsi="Times New Roman"/>
          <w:sz w:val="24"/>
        </w:rPr>
        <w:t>EPA did not propose a definition of near miss in the proposal</w:t>
      </w:r>
      <w:r w:rsidR="00D3785D">
        <w:rPr>
          <w:rFonts w:ascii="Times New Roman" w:hAnsi="Times New Roman"/>
          <w:sz w:val="24"/>
        </w:rPr>
        <w:t>,</w:t>
      </w:r>
      <w:r w:rsidR="00A83C6D">
        <w:rPr>
          <w:rFonts w:ascii="Times New Roman" w:hAnsi="Times New Roman"/>
          <w:sz w:val="24"/>
        </w:rPr>
        <w:t xml:space="preserve"> </w:t>
      </w:r>
      <w:r w:rsidRPr="00A30DAF" w:rsidR="00A83C6D">
        <w:rPr>
          <w:rFonts w:ascii="Times New Roman" w:hAnsi="Times New Roman"/>
          <w:sz w:val="24"/>
        </w:rPr>
        <w:t>is not finalizing one for the final rule</w:t>
      </w:r>
      <w:r w:rsidRPr="00A30DAF" w:rsidR="003D6BA8">
        <w:rPr>
          <w:rFonts w:ascii="Times New Roman" w:hAnsi="Times New Roman"/>
          <w:sz w:val="24"/>
        </w:rPr>
        <w:t xml:space="preserve"> and therefore a universal definition within the program does not exist. </w:t>
      </w:r>
    </w:p>
    <w:p w:rsidR="00F41FFB" w:rsidRPr="006F68E9" w:rsidP="00F41FFB" w14:paraId="4C656DE0" w14:textId="77777777">
      <w:pPr>
        <w:rPr>
          <w:rFonts w:ascii="Times New Roman" w:hAnsi="Times New Roman"/>
          <w:sz w:val="24"/>
        </w:rPr>
      </w:pPr>
      <w:r>
        <w:rPr>
          <w:rFonts w:ascii="Times New Roman" w:hAnsi="Times New Roman"/>
          <w:b/>
          <w:bCs/>
          <w:sz w:val="24"/>
        </w:rPr>
        <w:t xml:space="preserve">Comment 7.1-12: </w:t>
      </w:r>
      <w:r w:rsidRPr="006F68E9">
        <w:rPr>
          <w:rFonts w:ascii="Times New Roman" w:hAnsi="Times New Roman"/>
          <w:sz w:val="24"/>
        </w:rPr>
        <w:t>A couple of the commenters suggested that EPA require investigation of incidents that lead to decommissioning or destruction of a process, as this will likely provide important information for the industry and public to learn from (0203, 0460).</w:t>
      </w:r>
      <w:r>
        <w:rPr>
          <w:rFonts w:ascii="Times New Roman" w:hAnsi="Times New Roman"/>
          <w:sz w:val="24"/>
        </w:rPr>
        <w:t xml:space="preserve"> </w:t>
      </w:r>
      <w:r w:rsidRPr="007D0570">
        <w:rPr>
          <w:rFonts w:ascii="Times New Roman" w:hAnsi="Times New Roman"/>
          <w:sz w:val="24"/>
        </w:rPr>
        <w:t>Commenters asked EPA to clarify that root cause analysis is still required where a process is decommissioned or destroyed (0460, 0203).</w:t>
      </w:r>
    </w:p>
    <w:p w:rsidR="00F41FFB" w:rsidRPr="00DB05D6" w:rsidP="00F41FFB" w14:paraId="6A350B41" w14:textId="77777777">
      <w:pPr>
        <w:ind w:left="720"/>
        <w:rPr>
          <w:rFonts w:ascii="Times New Roman" w:hAnsi="Times New Roman"/>
          <w:sz w:val="24"/>
        </w:rPr>
      </w:pPr>
      <w:r w:rsidRPr="00DB05D6">
        <w:rPr>
          <w:rFonts w:ascii="Times New Roman" w:hAnsi="Times New Roman"/>
          <w:b/>
          <w:bCs/>
          <w:sz w:val="24"/>
        </w:rPr>
        <w:t>EPA Response:</w:t>
      </w:r>
      <w:r w:rsidRPr="00DB05D6">
        <w:rPr>
          <w:rFonts w:ascii="Times New Roman" w:hAnsi="Times New Roman"/>
          <w:sz w:val="24"/>
        </w:rPr>
        <w:t xml:space="preserve"> </w:t>
      </w:r>
      <w:r w:rsidRPr="00C30C24">
        <w:rPr>
          <w:rFonts w:ascii="Times New Roman" w:hAnsi="Times New Roman"/>
          <w:sz w:val="24"/>
        </w:rPr>
        <w:t>With regards to clarity on applicability of decommissioned or destroyed processes to the root cause analysis provision, the Agency did not propose, and therefore will not require, decommissioned or destroyed processes, as long as they remain in that decommissioned or destroyed state, to comply with this provision. As discussed in the previous rulemakings, commenters have not identified a significant number of release incidents at RMP facilities that had resulted in a destroyed or decommissioned process without any RMP accident report. The absence of a substantial number of examples leads the Agency to conclude that the gap is not significant enough to address at this time.</w:t>
      </w:r>
    </w:p>
    <w:p w:rsidR="00F41FFB" w:rsidRPr="00666633" w:rsidP="00F41FFB" w14:paraId="0FFDB780" w14:textId="77777777">
      <w:pPr>
        <w:rPr>
          <w:rFonts w:ascii="Times New Roman" w:hAnsi="Times New Roman"/>
          <w:i/>
          <w:iCs/>
          <w:sz w:val="24"/>
        </w:rPr>
      </w:pPr>
      <w:r>
        <w:rPr>
          <w:rFonts w:ascii="Times New Roman" w:hAnsi="Times New Roman"/>
          <w:i/>
          <w:iCs/>
          <w:sz w:val="24"/>
        </w:rPr>
        <w:t>Other recommendations related to root cause analysis</w:t>
      </w:r>
    </w:p>
    <w:p w:rsidR="00F41FFB" w:rsidRPr="006F68E9" w:rsidP="00F41FFB" w14:paraId="137558C8" w14:textId="77777777">
      <w:pPr>
        <w:rPr>
          <w:rFonts w:ascii="Times New Roman" w:hAnsi="Times New Roman"/>
          <w:sz w:val="24"/>
        </w:rPr>
      </w:pPr>
      <w:r>
        <w:rPr>
          <w:rFonts w:ascii="Times New Roman" w:hAnsi="Times New Roman"/>
          <w:b/>
          <w:bCs/>
          <w:sz w:val="24"/>
        </w:rPr>
        <w:t xml:space="preserve">Comment 7.1-13: </w:t>
      </w:r>
      <w:r w:rsidRPr="006F68E9">
        <w:rPr>
          <w:rFonts w:ascii="Times New Roman" w:hAnsi="Times New Roman"/>
          <w:sz w:val="24"/>
        </w:rPr>
        <w:t xml:space="preserve">One commenter recommended that EPA implement the CSB’s recommendation for facilities </w:t>
      </w:r>
      <w:r w:rsidRPr="009A4FA3">
        <w:rPr>
          <w:rFonts w:ascii="Times New Roman" w:hAnsi="Times New Roman"/>
          <w:sz w:val="24"/>
        </w:rPr>
        <w:t>to work with unions, contractors, and communities to build an effective program related to incident investigations.</w:t>
      </w:r>
      <w:r w:rsidRPr="006F68E9">
        <w:rPr>
          <w:rFonts w:ascii="Times New Roman" w:hAnsi="Times New Roman"/>
          <w:sz w:val="24"/>
        </w:rPr>
        <w:t xml:space="preserve"> The commenter also suggested that </w:t>
      </w:r>
      <w:r w:rsidRPr="000A5288">
        <w:rPr>
          <w:rFonts w:ascii="Times New Roman" w:hAnsi="Times New Roman"/>
          <w:sz w:val="24"/>
        </w:rPr>
        <w:t>EPA require facilities to track recommendations to completion and share lessons learned</w:t>
      </w:r>
      <w:r w:rsidRPr="006F68E9">
        <w:rPr>
          <w:rFonts w:ascii="Times New Roman" w:hAnsi="Times New Roman"/>
          <w:sz w:val="24"/>
        </w:rPr>
        <w:t xml:space="preserve"> with the workforce (0255). </w:t>
      </w:r>
    </w:p>
    <w:p w:rsidR="00F41FFB" w:rsidP="00F41FFB" w14:paraId="17DBBBBD" w14:textId="77777777">
      <w:pPr>
        <w:rPr>
          <w:rFonts w:ascii="Times New Roman" w:hAnsi="Times New Roman"/>
          <w:sz w:val="24"/>
        </w:rPr>
      </w:pPr>
      <w:r w:rsidRPr="006F68E9">
        <w:rPr>
          <w:rFonts w:ascii="Times New Roman" w:hAnsi="Times New Roman"/>
          <w:sz w:val="24"/>
        </w:rPr>
        <w:t xml:space="preserve">Another commenter recommended that facilities include workers and their representatives in the investigation process, and </w:t>
      </w:r>
      <w:r w:rsidRPr="009A4FA3">
        <w:rPr>
          <w:rFonts w:ascii="Times New Roman" w:hAnsi="Times New Roman"/>
          <w:sz w:val="24"/>
        </w:rPr>
        <w:t>that facilities share all information and documentation with them.</w:t>
      </w:r>
      <w:r w:rsidRPr="006F68E9">
        <w:rPr>
          <w:rFonts w:ascii="Times New Roman" w:hAnsi="Times New Roman"/>
          <w:sz w:val="24"/>
        </w:rPr>
        <w:t xml:space="preserve"> The </w:t>
      </w:r>
      <w:r w:rsidRPr="006F68E9">
        <w:rPr>
          <w:rFonts w:ascii="Times New Roman" w:hAnsi="Times New Roman"/>
          <w:sz w:val="24"/>
        </w:rPr>
        <w:t xml:space="preserve">commenter also recommended </w:t>
      </w:r>
      <w:r w:rsidRPr="000A5288">
        <w:rPr>
          <w:rFonts w:ascii="Times New Roman" w:hAnsi="Times New Roman"/>
          <w:sz w:val="24"/>
        </w:rPr>
        <w:t>that incident reports must include all written comments provided to the auditor and the facility operator’s response to the analysis and recommendations</w:t>
      </w:r>
      <w:r w:rsidRPr="006F68E9">
        <w:rPr>
          <w:rFonts w:ascii="Times New Roman" w:hAnsi="Times New Roman"/>
          <w:sz w:val="24"/>
        </w:rPr>
        <w:t xml:space="preserve"> (0203). </w:t>
      </w:r>
    </w:p>
    <w:p w:rsidR="00F41FFB" w:rsidP="00F41FFB" w14:paraId="63BDF549" w14:textId="77777777">
      <w:pPr>
        <w:rPr>
          <w:rFonts w:ascii="Times New Roman" w:hAnsi="Times New Roman"/>
          <w:sz w:val="24"/>
        </w:rPr>
      </w:pPr>
      <w:r>
        <w:rPr>
          <w:rFonts w:ascii="Times New Roman" w:hAnsi="Times New Roman"/>
          <w:sz w:val="24"/>
        </w:rPr>
        <w:t>A</w:t>
      </w:r>
      <w:r w:rsidRPr="006F68E9">
        <w:rPr>
          <w:rFonts w:ascii="Times New Roman" w:hAnsi="Times New Roman"/>
          <w:sz w:val="24"/>
        </w:rPr>
        <w:t xml:space="preserve"> commenter suggested that EPA require that incident investigations </w:t>
      </w:r>
      <w:r w:rsidRPr="009A4FA3">
        <w:rPr>
          <w:rFonts w:ascii="Times New Roman" w:hAnsi="Times New Roman"/>
          <w:sz w:val="24"/>
        </w:rPr>
        <w:t>include staff with expertise</w:t>
      </w:r>
      <w:r w:rsidRPr="006F68E9">
        <w:rPr>
          <w:rFonts w:ascii="Times New Roman" w:hAnsi="Times New Roman"/>
          <w:sz w:val="24"/>
        </w:rPr>
        <w:t xml:space="preserve"> in the process involved, the facility’s root cause analysis method, and overseeing incident investigation analysis (0203). </w:t>
      </w:r>
    </w:p>
    <w:p w:rsidR="008F1879" w:rsidP="00F41FFB" w14:paraId="021ADA5D" w14:textId="109586EF">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suggested that third-party root cause analysis would prevent future accidents (0191).</w:t>
      </w:r>
    </w:p>
    <w:p w:rsidR="00F41FFB" w:rsidRPr="00580105" w:rsidP="00F41FFB" w14:paraId="549EB022" w14:textId="03037ADD">
      <w:pPr>
        <w:ind w:left="720"/>
        <w:rPr>
          <w:rFonts w:ascii="Times New Roman" w:hAnsi="Times New Roman"/>
          <w:b/>
          <w:sz w:val="24"/>
        </w:rPr>
      </w:pPr>
      <w:r w:rsidRPr="00580105">
        <w:rPr>
          <w:rFonts w:ascii="Times New Roman" w:hAnsi="Times New Roman"/>
          <w:b/>
          <w:bCs/>
          <w:sz w:val="24"/>
        </w:rPr>
        <w:t>EPA Response:</w:t>
      </w:r>
      <w:r>
        <w:rPr>
          <w:rFonts w:ascii="Times New Roman" w:hAnsi="Times New Roman"/>
          <w:b/>
          <w:bCs/>
          <w:sz w:val="24"/>
        </w:rPr>
        <w:t xml:space="preserve"> </w:t>
      </w:r>
      <w:r w:rsidRPr="00D15D40">
        <w:rPr>
          <w:rFonts w:ascii="Times New Roman" w:hAnsi="Times New Roman"/>
          <w:sz w:val="24"/>
        </w:rPr>
        <w:t xml:space="preserve">EPA </w:t>
      </w:r>
      <w:r w:rsidRPr="00D15D40" w:rsidR="00B859C2">
        <w:rPr>
          <w:rFonts w:ascii="Times New Roman" w:hAnsi="Times New Roman"/>
          <w:sz w:val="24"/>
        </w:rPr>
        <w:t>requires</w:t>
      </w:r>
      <w:r w:rsidR="003D444E">
        <w:rPr>
          <w:rFonts w:ascii="Times New Roman" w:hAnsi="Times New Roman"/>
          <w:sz w:val="24"/>
        </w:rPr>
        <w:t>, even prior to this SCCAP rulemaking</w:t>
      </w:r>
      <w:r w:rsidR="00074694">
        <w:rPr>
          <w:rFonts w:ascii="Times New Roman" w:hAnsi="Times New Roman"/>
          <w:sz w:val="24"/>
        </w:rPr>
        <w:t>,</w:t>
      </w:r>
      <w:r w:rsidRPr="00D15D40" w:rsidR="00B859C2">
        <w:rPr>
          <w:rFonts w:ascii="Times New Roman" w:hAnsi="Times New Roman"/>
          <w:sz w:val="24"/>
        </w:rPr>
        <w:t xml:space="preserve"> </w:t>
      </w:r>
      <w:r w:rsidRPr="00D15D40">
        <w:rPr>
          <w:rFonts w:ascii="Times New Roman" w:hAnsi="Times New Roman"/>
          <w:sz w:val="24"/>
        </w:rPr>
        <w:t>that all investigations be conducted by a team</w:t>
      </w:r>
      <w:r w:rsidR="00E80B34">
        <w:rPr>
          <w:rFonts w:ascii="Times New Roman" w:hAnsi="Times New Roman"/>
          <w:sz w:val="24"/>
        </w:rPr>
        <w:t xml:space="preserve"> (40 CFR 68.60(c),</w:t>
      </w:r>
      <w:r w:rsidR="004B1C62">
        <w:rPr>
          <w:rFonts w:ascii="Times New Roman" w:hAnsi="Times New Roman"/>
          <w:sz w:val="24"/>
        </w:rPr>
        <w:t xml:space="preserve"> 68.8</w:t>
      </w:r>
      <w:r w:rsidR="00B774A5">
        <w:rPr>
          <w:rFonts w:ascii="Times New Roman" w:hAnsi="Times New Roman"/>
          <w:sz w:val="24"/>
        </w:rPr>
        <w:t>1</w:t>
      </w:r>
      <w:r w:rsidR="004B1C62">
        <w:rPr>
          <w:rFonts w:ascii="Times New Roman" w:hAnsi="Times New Roman"/>
          <w:sz w:val="24"/>
        </w:rPr>
        <w:t>(c)</w:t>
      </w:r>
      <w:r w:rsidRPr="00D15D40" w:rsidR="00C73BEC">
        <w:rPr>
          <w:rFonts w:ascii="Times New Roman" w:hAnsi="Times New Roman"/>
          <w:sz w:val="24"/>
        </w:rPr>
        <w:t xml:space="preserve">, </w:t>
      </w:r>
      <w:r w:rsidRPr="00D15D40" w:rsidR="006F028C">
        <w:rPr>
          <w:rFonts w:ascii="Times New Roman" w:hAnsi="Times New Roman"/>
          <w:sz w:val="24"/>
        </w:rPr>
        <w:t>investigation findings and recommendations</w:t>
      </w:r>
      <w:r w:rsidRPr="00D15D40" w:rsidR="00AC372B">
        <w:rPr>
          <w:rFonts w:ascii="Times New Roman" w:hAnsi="Times New Roman"/>
          <w:sz w:val="24"/>
        </w:rPr>
        <w:t xml:space="preserve"> </w:t>
      </w:r>
      <w:r w:rsidRPr="00D15D40" w:rsidR="003E3054">
        <w:rPr>
          <w:rFonts w:ascii="Times New Roman" w:hAnsi="Times New Roman"/>
          <w:sz w:val="24"/>
        </w:rPr>
        <w:t xml:space="preserve">be </w:t>
      </w:r>
      <w:r w:rsidRPr="00D15D40" w:rsidR="00AC372B">
        <w:rPr>
          <w:rFonts w:ascii="Times New Roman" w:hAnsi="Times New Roman"/>
          <w:sz w:val="24"/>
        </w:rPr>
        <w:t>prompt</w:t>
      </w:r>
      <w:r w:rsidRPr="00D15D40" w:rsidR="002B5BDA">
        <w:rPr>
          <w:rFonts w:ascii="Times New Roman" w:hAnsi="Times New Roman"/>
          <w:sz w:val="24"/>
        </w:rPr>
        <w:t>l</w:t>
      </w:r>
      <w:r w:rsidRPr="00D15D40" w:rsidR="003E3054">
        <w:rPr>
          <w:rFonts w:ascii="Times New Roman" w:hAnsi="Times New Roman"/>
          <w:sz w:val="24"/>
        </w:rPr>
        <w:t>y</w:t>
      </w:r>
      <w:r w:rsidRPr="00D15D40" w:rsidR="00AC372B">
        <w:rPr>
          <w:rFonts w:ascii="Times New Roman" w:hAnsi="Times New Roman"/>
          <w:sz w:val="24"/>
        </w:rPr>
        <w:t xml:space="preserve"> address</w:t>
      </w:r>
      <w:r w:rsidRPr="00D15D40" w:rsidR="003E3054">
        <w:rPr>
          <w:rFonts w:ascii="Times New Roman" w:hAnsi="Times New Roman"/>
          <w:sz w:val="24"/>
        </w:rPr>
        <w:t>ed</w:t>
      </w:r>
      <w:r w:rsidRPr="00D15D40" w:rsidR="00AC372B">
        <w:rPr>
          <w:rFonts w:ascii="Times New Roman" w:hAnsi="Times New Roman"/>
          <w:sz w:val="24"/>
        </w:rPr>
        <w:t xml:space="preserve"> and resolve</w:t>
      </w:r>
      <w:r w:rsidRPr="00D15D40" w:rsidR="003E3054">
        <w:rPr>
          <w:rFonts w:ascii="Times New Roman" w:hAnsi="Times New Roman"/>
          <w:sz w:val="24"/>
        </w:rPr>
        <w:t>d</w:t>
      </w:r>
      <w:r w:rsidR="0094472A">
        <w:rPr>
          <w:rFonts w:ascii="Times New Roman" w:hAnsi="Times New Roman"/>
          <w:sz w:val="24"/>
        </w:rPr>
        <w:t xml:space="preserve">, and that </w:t>
      </w:r>
      <w:r w:rsidRPr="00D15D40" w:rsidR="008B5D10">
        <w:rPr>
          <w:rFonts w:ascii="Times New Roman" w:hAnsi="Times New Roman"/>
          <w:sz w:val="24"/>
        </w:rPr>
        <w:t>r</w:t>
      </w:r>
      <w:r w:rsidRPr="00D15D40" w:rsidR="006F028C">
        <w:rPr>
          <w:rFonts w:ascii="Times New Roman" w:hAnsi="Times New Roman"/>
          <w:sz w:val="24"/>
        </w:rPr>
        <w:t>esolutions and corrective actions documented</w:t>
      </w:r>
      <w:r w:rsidR="00285C10">
        <w:rPr>
          <w:rFonts w:ascii="Times New Roman" w:hAnsi="Times New Roman"/>
          <w:sz w:val="24"/>
        </w:rPr>
        <w:t xml:space="preserve"> </w:t>
      </w:r>
      <w:r w:rsidR="0094472A">
        <w:rPr>
          <w:rFonts w:ascii="Times New Roman" w:hAnsi="Times New Roman"/>
          <w:sz w:val="24"/>
        </w:rPr>
        <w:t>(</w:t>
      </w:r>
      <w:r w:rsidR="00A34376">
        <w:rPr>
          <w:rFonts w:ascii="Times New Roman" w:hAnsi="Times New Roman"/>
          <w:sz w:val="24"/>
        </w:rPr>
        <w:t>40 CFR 68.60(e), 68.81(e)</w:t>
      </w:r>
      <w:r w:rsidRPr="00D15D40" w:rsidR="00E366BF">
        <w:rPr>
          <w:rFonts w:ascii="Times New Roman" w:hAnsi="Times New Roman"/>
          <w:sz w:val="24"/>
        </w:rPr>
        <w:t xml:space="preserve">, and that </w:t>
      </w:r>
      <w:r w:rsidRPr="00D15D40" w:rsidR="00384A2B">
        <w:rPr>
          <w:rFonts w:ascii="Times New Roman" w:hAnsi="Times New Roman"/>
          <w:sz w:val="24"/>
        </w:rPr>
        <w:t>findings be reviewed with all affected personnel whose job tasks are affected by the findings</w:t>
      </w:r>
      <w:r w:rsidR="00151D13">
        <w:rPr>
          <w:rFonts w:ascii="Times New Roman" w:hAnsi="Times New Roman"/>
          <w:sz w:val="24"/>
        </w:rPr>
        <w:t xml:space="preserve"> (40 CFR 68.60(f)</w:t>
      </w:r>
      <w:r w:rsidR="00D4179B">
        <w:rPr>
          <w:rFonts w:ascii="Times New Roman" w:hAnsi="Times New Roman"/>
          <w:sz w:val="24"/>
        </w:rPr>
        <w:t>, 68.81(f)</w:t>
      </w:r>
      <w:r w:rsidR="000A5288">
        <w:rPr>
          <w:rFonts w:ascii="Times New Roman" w:hAnsi="Times New Roman"/>
          <w:sz w:val="24"/>
        </w:rPr>
        <w:t>)</w:t>
      </w:r>
      <w:r w:rsidRPr="00D15D40">
        <w:rPr>
          <w:rFonts w:ascii="Times New Roman" w:hAnsi="Times New Roman"/>
          <w:sz w:val="24"/>
        </w:rPr>
        <w:t>.</w:t>
      </w:r>
      <w:r w:rsidRPr="00580105">
        <w:rPr>
          <w:rFonts w:ascii="Times New Roman" w:hAnsi="Times New Roman"/>
          <w:sz w:val="24"/>
        </w:rPr>
        <w:t xml:space="preserve"> EPA believes that all incident investigations, whether conducted on Program 2 or Program 3 processes, should involve a team of at least two people, particularly given the requirement under the final rule for investigations to include analysis of root causes. However, beyond the requirements specified in the final rule (i.e., to establish an investigation team consisting of at least one person knowledgeable in the process involved and other persons with appropriate knowledge and experience to thoroughly investigate and analyze the incident), the Agency does not believe it is necessary to specify additional qualification criteria for incident investigation team members. The requirement for the investigation team to include “other persons with appropriate knowledge and experience to thoroughly investigate and analyze the incident” should ensure that the team includes someone with expertise in root cause analysis. While EPA encourages sources to involve</w:t>
      </w:r>
      <w:r w:rsidRPr="00580105">
        <w:rPr>
          <w:rFonts w:ascii="Times New Roman" w:hAnsi="Times New Roman"/>
          <w:sz w:val="24"/>
        </w:rPr>
        <w:t xml:space="preserve"> </w:t>
      </w:r>
      <w:r w:rsidR="009A4FA3">
        <w:rPr>
          <w:rFonts w:ascii="Times New Roman" w:hAnsi="Times New Roman"/>
          <w:sz w:val="24"/>
        </w:rPr>
        <w:t>whoever they consider to be knowledgeable</w:t>
      </w:r>
      <w:r w:rsidRPr="00580105" w:rsidR="009A4FA3">
        <w:rPr>
          <w:rFonts w:ascii="Times New Roman" w:hAnsi="Times New Roman"/>
          <w:sz w:val="24"/>
        </w:rPr>
        <w:t xml:space="preserve"> </w:t>
      </w:r>
      <w:r w:rsidRPr="00580105">
        <w:rPr>
          <w:rFonts w:ascii="Times New Roman" w:hAnsi="Times New Roman"/>
          <w:sz w:val="24"/>
        </w:rPr>
        <w:t>in incident investigations,</w:t>
      </w:r>
      <w:r w:rsidR="009A4FA3">
        <w:rPr>
          <w:rFonts w:ascii="Times New Roman" w:hAnsi="Times New Roman"/>
          <w:sz w:val="24"/>
        </w:rPr>
        <w:t xml:space="preserve"> especially workers,</w:t>
      </w:r>
      <w:r w:rsidRPr="00580105">
        <w:rPr>
          <w:rFonts w:ascii="Times New Roman" w:hAnsi="Times New Roman"/>
          <w:sz w:val="24"/>
        </w:rPr>
        <w:t xml:space="preserve"> the Agency is not </w:t>
      </w:r>
      <w:r w:rsidR="009A4FA3">
        <w:rPr>
          <w:rFonts w:ascii="Times New Roman" w:hAnsi="Times New Roman"/>
          <w:sz w:val="24"/>
        </w:rPr>
        <w:t xml:space="preserve">outlining specifications of who must make up an incident investigation team </w:t>
      </w:r>
      <w:r w:rsidRPr="00580105">
        <w:rPr>
          <w:rFonts w:ascii="Times New Roman" w:hAnsi="Times New Roman"/>
          <w:sz w:val="24"/>
        </w:rPr>
        <w:t xml:space="preserve">because some sources may need to obtain outside experts to investigate incidents. EPA expects that such outside experts will consult with workers and managers at the source as appropriate during the investigation. </w:t>
      </w:r>
    </w:p>
    <w:p w:rsidR="00F41FFB" w:rsidRPr="0015756C" w:rsidP="00852DB1" w14:paraId="66D7FDB0" w14:textId="1B0BBEED">
      <w:pPr>
        <w:ind w:left="720"/>
        <w:rPr>
          <w:rFonts w:ascii="Times New Roman" w:hAnsi="Times New Roman"/>
          <w:i/>
          <w:iCs/>
          <w:sz w:val="24"/>
        </w:rPr>
      </w:pPr>
      <w:r w:rsidRPr="0015756C">
        <w:rPr>
          <w:rFonts w:ascii="Times New Roman" w:eastAsia="Times New Roman" w:hAnsi="Times New Roman"/>
          <w:color w:val="000000" w:themeColor="text1"/>
          <w:sz w:val="24"/>
        </w:rPr>
        <w:t>Further, EPA is finalizing th</w:t>
      </w:r>
      <w:r w:rsidRPr="0015756C" w:rsidR="00955B8B">
        <w:rPr>
          <w:rFonts w:ascii="Times New Roman" w:eastAsia="Times New Roman" w:hAnsi="Times New Roman"/>
          <w:color w:val="000000" w:themeColor="text1"/>
          <w:sz w:val="24"/>
        </w:rPr>
        <w:t xml:space="preserve">e employee </w:t>
      </w:r>
      <w:r w:rsidRPr="0015756C" w:rsidR="0015756C">
        <w:rPr>
          <w:rFonts w:ascii="Times New Roman" w:eastAsia="Times New Roman" w:hAnsi="Times New Roman"/>
          <w:color w:val="000000" w:themeColor="text1"/>
          <w:sz w:val="24"/>
        </w:rPr>
        <w:t>participation</w:t>
      </w:r>
      <w:r w:rsidRPr="0015756C" w:rsidR="00955B8B">
        <w:rPr>
          <w:rFonts w:ascii="Times New Roman" w:eastAsia="Times New Roman" w:hAnsi="Times New Roman"/>
          <w:color w:val="000000" w:themeColor="text1"/>
          <w:sz w:val="24"/>
        </w:rPr>
        <w:t xml:space="preserve"> requirement at 40 CFR 68.</w:t>
      </w:r>
      <w:r w:rsidRPr="0015756C" w:rsidR="00AD1DDD">
        <w:rPr>
          <w:rFonts w:ascii="Times New Roman" w:eastAsia="Times New Roman" w:hAnsi="Times New Roman"/>
          <w:color w:val="000000" w:themeColor="text1"/>
          <w:sz w:val="24"/>
        </w:rPr>
        <w:t>83</w:t>
      </w:r>
      <w:r w:rsidRPr="0015756C" w:rsidR="004B1E5B">
        <w:rPr>
          <w:rFonts w:ascii="Times New Roman" w:eastAsia="Times New Roman" w:hAnsi="Times New Roman"/>
          <w:color w:val="000000" w:themeColor="text1"/>
          <w:sz w:val="24"/>
        </w:rPr>
        <w:t xml:space="preserve">, </w:t>
      </w:r>
      <w:r w:rsidRPr="0015756C" w:rsidR="00AE442E">
        <w:rPr>
          <w:rFonts w:ascii="Times New Roman" w:eastAsia="Times New Roman" w:hAnsi="Times New Roman"/>
          <w:color w:val="000000" w:themeColor="text1"/>
          <w:sz w:val="24"/>
        </w:rPr>
        <w:t>which is applicable to Program 3 processes</w:t>
      </w:r>
      <w:r w:rsidRPr="0015756C" w:rsidR="0015756C">
        <w:rPr>
          <w:rFonts w:ascii="Times New Roman" w:eastAsia="Times New Roman" w:hAnsi="Times New Roman"/>
          <w:color w:val="000000" w:themeColor="text1"/>
          <w:sz w:val="24"/>
        </w:rPr>
        <w:t xml:space="preserve">, to </w:t>
      </w:r>
      <w:r w:rsidRPr="0015756C" w:rsidR="0015756C">
        <w:rPr>
          <w:rFonts w:ascii="Times New Roman" w:hAnsi="Times New Roman"/>
          <w:sz w:val="24"/>
        </w:rPr>
        <w:t>require the owner or operator to consult with employees and their representatives on addressing, correcting, resolving, documenting, and implementing recommendations and findings of PHAs, compliance audits, and incident investigations.</w:t>
      </w:r>
      <w:r w:rsidRPr="0015756C" w:rsidR="00AE442E">
        <w:rPr>
          <w:rFonts w:ascii="Times New Roman" w:eastAsia="Times New Roman" w:hAnsi="Times New Roman"/>
          <w:color w:val="000000" w:themeColor="text1"/>
          <w:sz w:val="24"/>
        </w:rPr>
        <w:t xml:space="preserve"> </w:t>
      </w:r>
      <w:r w:rsidRPr="0015756C" w:rsidR="00852DB1">
        <w:rPr>
          <w:rFonts w:ascii="Times New Roman" w:eastAsia="Times New Roman" w:hAnsi="Times New Roman"/>
          <w:color w:val="000000" w:themeColor="text1"/>
          <w:sz w:val="24"/>
        </w:rPr>
        <w:t xml:space="preserve">EPA realizes that practicable recommendations from hazard evaluations, incident investigations, and compliance audits that may reduce hazards at RMP facilities are not always implemented, for various reasons. The Agency believes that involving directly affected employees in these discussions and decisions will help ensure that the most effective recommendations for reducing hazards and mitigating risks to employees and the public are given the proper consideration. </w:t>
      </w:r>
    </w:p>
    <w:p w:rsidR="00F41FFB" w:rsidRPr="00447A97" w:rsidP="00F41FFB" w14:paraId="072C3404" w14:textId="77777777">
      <w:pPr>
        <w:rPr>
          <w:rFonts w:ascii="Times New Roman" w:hAnsi="Times New Roman"/>
          <w:sz w:val="24"/>
        </w:rPr>
      </w:pPr>
      <w:r>
        <w:rPr>
          <w:rFonts w:ascii="Times New Roman" w:hAnsi="Times New Roman"/>
          <w:b/>
          <w:bCs/>
          <w:sz w:val="24"/>
        </w:rPr>
        <w:t xml:space="preserve">Comment 7.1-14: </w:t>
      </w:r>
      <w:r w:rsidRPr="006F68E9">
        <w:rPr>
          <w:rFonts w:ascii="Times New Roman" w:hAnsi="Times New Roman"/>
          <w:sz w:val="24"/>
        </w:rPr>
        <w:t xml:space="preserve">Several commenters provided recommendations for guidance related to root cause analysis (0197, 0202, 0204, 0275). One of the commenters suggested that it is </w:t>
      </w:r>
      <w:r w:rsidRPr="00447A97">
        <w:rPr>
          <w:rFonts w:ascii="Times New Roman" w:hAnsi="Times New Roman"/>
          <w:sz w:val="24"/>
        </w:rPr>
        <w:t>not clear how a facility would conduct a root cause analysis, especially small facilities that do not retain safety and regulatory consultants on staff (0202).</w:t>
      </w:r>
      <w:r w:rsidRPr="006F68E9">
        <w:rPr>
          <w:rFonts w:ascii="Times New Roman" w:hAnsi="Times New Roman"/>
          <w:sz w:val="24"/>
        </w:rPr>
        <w:t xml:space="preserve"> Another commenter recommended </w:t>
      </w:r>
      <w:r w:rsidRPr="00447A97">
        <w:rPr>
          <w:rFonts w:ascii="Times New Roman" w:hAnsi="Times New Roman"/>
          <w:sz w:val="24"/>
        </w:rPr>
        <w:t>that instead of additional regulatory requirements, EPA could provide guidance and tools to assist facilities with investigations (0197).</w:t>
      </w:r>
    </w:p>
    <w:p w:rsidR="00F41FFB" w:rsidRPr="006F68E9" w:rsidP="00F41FFB" w14:paraId="45D42038" w14:textId="11EC361B">
      <w:pPr>
        <w:rPr>
          <w:rFonts w:ascii="Times New Roman" w:hAnsi="Times New Roman"/>
          <w:sz w:val="24"/>
        </w:rPr>
      </w:pPr>
      <w:r w:rsidRPr="00447A97">
        <w:rPr>
          <w:rFonts w:ascii="Times New Roman" w:hAnsi="Times New Roman"/>
          <w:sz w:val="24"/>
        </w:rPr>
        <w:t>One commenter recommended that EPA update guidance documents to encourage the analysis of NBS in hazard evaluations.</w:t>
      </w:r>
      <w:r w:rsidRPr="006F68E9">
        <w:rPr>
          <w:rFonts w:ascii="Times New Roman" w:hAnsi="Times New Roman"/>
          <w:sz w:val="24"/>
        </w:rPr>
        <w:t xml:space="preserve"> The commenter suggested that the new root cause analysis rules could create case study opportunities for NBS researchers (0204). Another commenter recommended that EPA develop guidance to address if facilities cannot determine a root cause because relevant evidence was destroyed. The commenter suggested that EPA issue guidance before the effective date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(0275).</w:t>
      </w:r>
    </w:p>
    <w:p w:rsidR="003821F4" w:rsidP="00F41FFB" w14:paraId="48CC73E0" w14:textId="19C90B0C">
      <w:pPr>
        <w:ind w:left="720"/>
        <w:rPr>
          <w:rFonts w:ascii="Times New Roman" w:hAnsi="Times New Roman"/>
          <w:b/>
          <w:bCs/>
          <w:sz w:val="24"/>
        </w:rPr>
      </w:pPr>
      <w:r w:rsidRPr="00934253">
        <w:rPr>
          <w:rFonts w:ascii="Times New Roman" w:hAnsi="Times New Roman"/>
          <w:b/>
          <w:bCs/>
          <w:sz w:val="24"/>
        </w:rPr>
        <w:t>EPA Response:</w:t>
      </w:r>
      <w:r>
        <w:rPr>
          <w:rFonts w:ascii="Times New Roman" w:hAnsi="Times New Roman"/>
          <w:b/>
          <w:bCs/>
          <w:sz w:val="24"/>
        </w:rPr>
        <w:t xml:space="preserve"> </w:t>
      </w:r>
      <w:r w:rsidRPr="00BB5A89" w:rsidR="00B2101E">
        <w:rPr>
          <w:rFonts w:ascii="Times New Roman" w:hAnsi="Times New Roman"/>
          <w:sz w:val="24"/>
        </w:rPr>
        <w:t>EPA believes that requiring root cause analyses</w:t>
      </w:r>
      <w:r w:rsidR="00F85153">
        <w:rPr>
          <w:rFonts w:ascii="Times New Roman" w:hAnsi="Times New Roman"/>
          <w:sz w:val="24"/>
        </w:rPr>
        <w:t xml:space="preserve">, rather than </w:t>
      </w:r>
      <w:r w:rsidR="003A1095">
        <w:rPr>
          <w:rFonts w:ascii="Times New Roman" w:hAnsi="Times New Roman"/>
          <w:sz w:val="24"/>
        </w:rPr>
        <w:t>only</w:t>
      </w:r>
      <w:r w:rsidR="00F85153">
        <w:rPr>
          <w:rFonts w:ascii="Times New Roman" w:hAnsi="Times New Roman"/>
          <w:sz w:val="24"/>
        </w:rPr>
        <w:t xml:space="preserve"> issuing guidance,</w:t>
      </w:r>
      <w:r w:rsidRPr="00BB5A89" w:rsidR="00B2101E">
        <w:rPr>
          <w:rFonts w:ascii="Times New Roman" w:hAnsi="Times New Roman"/>
          <w:sz w:val="24"/>
        </w:rPr>
        <w:t xml:space="preserve"> after RMP reportable accidents, and including root cause information in incident investigation reports, is vital for understanding the nature of these events and how they may occur.</w:t>
      </w:r>
      <w:r w:rsidRPr="00B2101E" w:rsidR="00B2101E">
        <w:rPr>
          <w:rFonts w:ascii="Times New Roman" w:hAnsi="Times New Roman"/>
          <w:b/>
          <w:bCs/>
          <w:sz w:val="24"/>
        </w:rPr>
        <w:t xml:space="preserve"> </w:t>
      </w:r>
      <w:r w:rsidRPr="00BB5A89" w:rsidR="007E0FCC">
        <w:rPr>
          <w:rFonts w:ascii="Times New Roman" w:hAnsi="Times New Roman"/>
          <w:sz w:val="24"/>
        </w:rPr>
        <w:t>EPA performed an analysis of EPA’s RMP accident reporting data and identified repeat accidents at facilities within the same process.</w:t>
      </w:r>
      <w:r>
        <w:rPr>
          <w:rFonts w:ascii="Times New Roman" w:hAnsi="Times New Roman"/>
          <w:sz w:val="24"/>
          <w:vertAlign w:val="superscript"/>
        </w:rPr>
        <w:footnoteReference w:id="120"/>
      </w:r>
      <w:r w:rsidRPr="00BB5A89" w:rsidR="007E0FCC">
        <w:rPr>
          <w:rFonts w:ascii="Times New Roman" w:hAnsi="Times New Roman"/>
          <w:sz w:val="24"/>
        </w:rPr>
        <w:t xml:space="preserve"> The result of this analysis demonstrates that, among facilities reporting accidents, facilities that reported one accident often have a history of multiple accidents, thus indicating a failure to properly address circumstances leading to subsequent accidents. These accidents may have been preventable if root cause analyses had been required. EPA believes multiple accidents result, in part, from a failure to thoroughly investigate and learn from prior accidents.</w:t>
      </w:r>
      <w:r w:rsidRPr="007E0FCC" w:rsidR="007E0FCC">
        <w:rPr>
          <w:rFonts w:ascii="Times New Roman" w:hAnsi="Times New Roman"/>
          <w:b/>
          <w:bCs/>
          <w:sz w:val="24"/>
        </w:rPr>
        <w:t xml:space="preserve"> </w:t>
      </w:r>
    </w:p>
    <w:p w:rsidR="00F41FFB" w:rsidP="00F41FFB" w14:paraId="75E4E8F8" w14:textId="6398F89E">
      <w:pPr>
        <w:ind w:left="720"/>
        <w:rPr>
          <w:rFonts w:ascii="Times New Roman" w:hAnsi="Times New Roman"/>
          <w:b/>
          <w:bCs/>
          <w:sz w:val="24"/>
        </w:rPr>
      </w:pPr>
      <w:r>
        <w:rPr>
          <w:rFonts w:ascii="Times New Roman" w:hAnsi="Times New Roman"/>
          <w:sz w:val="24"/>
        </w:rPr>
        <w:t xml:space="preserve">For implementation, </w:t>
      </w:r>
      <w:r w:rsidRPr="00D618DC" w:rsidR="005C15D7">
        <w:rPr>
          <w:rFonts w:ascii="Times New Roman" w:hAnsi="Times New Roman"/>
          <w:sz w:val="24"/>
        </w:rPr>
        <w:t>EPA recommends that owners and operators consult available literature on root cause investigation methodologies to select those appropriate for their facility and processes. For example, CCPS has published, “Guidelines for Investigating Process Safety Incidents,” which provides extensive guidance on incident investigations, near miss identification, root cause analysis, and other related topics.</w:t>
      </w:r>
      <w:r w:rsidRPr="00D618DC" w:rsidR="00655DE3">
        <w:rPr>
          <w:rFonts w:ascii="Times New Roman" w:hAnsi="Times New Roman"/>
          <w:sz w:val="24"/>
        </w:rPr>
        <w:t xml:space="preserve"> </w:t>
      </w:r>
      <w:r w:rsidRPr="00D618DC" w:rsidR="00732DAB">
        <w:rPr>
          <w:rFonts w:ascii="Times New Roman" w:hAnsi="Times New Roman"/>
          <w:sz w:val="24"/>
        </w:rPr>
        <w:t>Additionally, EPA intends to publish guidance for certain provisions, such</w:t>
      </w:r>
      <w:r w:rsidR="00AE7B11">
        <w:rPr>
          <w:rFonts w:ascii="Times New Roman" w:hAnsi="Times New Roman"/>
          <w:sz w:val="24"/>
        </w:rPr>
        <w:t xml:space="preserve"> as</w:t>
      </w:r>
      <w:r w:rsidRPr="00D618DC" w:rsidR="00732DAB">
        <w:rPr>
          <w:rFonts w:ascii="Times New Roman" w:hAnsi="Times New Roman"/>
          <w:sz w:val="24"/>
        </w:rPr>
        <w:t xml:space="preserve"> root cause analysis.</w:t>
      </w:r>
      <w:r w:rsidR="00F87BB9">
        <w:rPr>
          <w:rFonts w:ascii="Times New Roman" w:hAnsi="Times New Roman"/>
          <w:sz w:val="24"/>
        </w:rPr>
        <w:t xml:space="preserve"> EPA will consider </w:t>
      </w:r>
      <w:r w:rsidR="00CE2D01">
        <w:rPr>
          <w:rFonts w:ascii="Times New Roman" w:hAnsi="Times New Roman"/>
          <w:sz w:val="24"/>
        </w:rPr>
        <w:t xml:space="preserve">the </w:t>
      </w:r>
      <w:r w:rsidR="00F87BB9">
        <w:rPr>
          <w:rFonts w:ascii="Times New Roman" w:hAnsi="Times New Roman"/>
          <w:sz w:val="24"/>
        </w:rPr>
        <w:t>suggestions</w:t>
      </w:r>
      <w:r w:rsidR="00CE2D01">
        <w:rPr>
          <w:rFonts w:ascii="Times New Roman" w:hAnsi="Times New Roman"/>
          <w:sz w:val="24"/>
        </w:rPr>
        <w:t xml:space="preserve"> offered, such as </w:t>
      </w:r>
      <w:r w:rsidR="00C93148">
        <w:rPr>
          <w:rFonts w:ascii="Times New Roman" w:hAnsi="Times New Roman"/>
          <w:sz w:val="24"/>
        </w:rPr>
        <w:t>nature-based</w:t>
      </w:r>
      <w:r w:rsidR="00CE2D01">
        <w:rPr>
          <w:rFonts w:ascii="Times New Roman" w:hAnsi="Times New Roman"/>
          <w:sz w:val="24"/>
        </w:rPr>
        <w:t xml:space="preserve"> solutions, to be included in the guidance. </w:t>
      </w:r>
      <w:r w:rsidR="00886CE4">
        <w:rPr>
          <w:rFonts w:ascii="Times New Roman" w:hAnsi="Times New Roman"/>
          <w:sz w:val="24"/>
        </w:rPr>
        <w:t xml:space="preserve"> </w:t>
      </w:r>
      <w:r w:rsidRPr="00D618DC" w:rsidR="00732DAB">
        <w:rPr>
          <w:rFonts w:ascii="Times New Roman" w:hAnsi="Times New Roman"/>
          <w:sz w:val="24"/>
        </w:rPr>
        <w:t xml:space="preserve">Once these materials are complete, owners and operators can have time to familiarize themselves with the new materials if needing assistance in applying the provisions to improve process safety. </w:t>
      </w:r>
      <w:r w:rsidR="00122F3E">
        <w:rPr>
          <w:rFonts w:ascii="Times New Roman" w:hAnsi="Times New Roman"/>
          <w:sz w:val="24"/>
        </w:rPr>
        <w:t xml:space="preserve">EPA expects to develop and release this information approximately one year after this final rule. </w:t>
      </w:r>
      <w:r w:rsidRPr="00D618DC" w:rsidR="00732DAB">
        <w:rPr>
          <w:rFonts w:ascii="Times New Roman" w:hAnsi="Times New Roman"/>
          <w:sz w:val="24"/>
        </w:rPr>
        <w:t>However, most provisions for a source are a site-specific determination, so EPA expects all regulated RMP facilities to be successful in beginning to address the provisions immediately.</w:t>
      </w:r>
    </w:p>
    <w:p w:rsidR="00F41FFB" w:rsidRPr="00681E30" w:rsidP="00F41FFB" w14:paraId="20EA2776" w14:textId="77777777">
      <w:pPr>
        <w:rPr>
          <w:rFonts w:ascii="Times New Roman" w:hAnsi="Times New Roman"/>
          <w:i/>
          <w:sz w:val="24"/>
        </w:rPr>
      </w:pPr>
      <w:r w:rsidRPr="00681E30">
        <w:rPr>
          <w:rFonts w:ascii="Times New Roman" w:hAnsi="Times New Roman"/>
          <w:i/>
          <w:iCs/>
          <w:sz w:val="24"/>
        </w:rPr>
        <w:t xml:space="preserve">Use of a </w:t>
      </w:r>
      <w:r>
        <w:rPr>
          <w:rFonts w:ascii="Times New Roman" w:hAnsi="Times New Roman"/>
          <w:i/>
          <w:iCs/>
          <w:sz w:val="24"/>
        </w:rPr>
        <w:t>recognized investigation method</w:t>
      </w:r>
      <w:r w:rsidRPr="00681E30">
        <w:rPr>
          <w:rFonts w:ascii="Times New Roman" w:hAnsi="Times New Roman"/>
          <w:i/>
          <w:iCs/>
          <w:sz w:val="24"/>
        </w:rPr>
        <w:t xml:space="preserve"> </w:t>
      </w:r>
    </w:p>
    <w:p w:rsidR="00F41FFB" w:rsidP="00F41FFB" w14:paraId="51F894FC" w14:textId="77777777">
      <w:pPr>
        <w:rPr>
          <w:rFonts w:ascii="Times New Roman" w:hAnsi="Times New Roman"/>
          <w:sz w:val="24"/>
        </w:rPr>
      </w:pPr>
      <w:r>
        <w:rPr>
          <w:rFonts w:ascii="Times New Roman" w:hAnsi="Times New Roman"/>
          <w:b/>
          <w:bCs/>
          <w:sz w:val="24"/>
        </w:rPr>
        <w:t xml:space="preserve">Comment 7.1-16: </w:t>
      </w:r>
      <w:r w:rsidRPr="006F68E9">
        <w:rPr>
          <w:rFonts w:ascii="Times New Roman" w:hAnsi="Times New Roman"/>
          <w:sz w:val="24"/>
        </w:rPr>
        <w:t xml:space="preserve">Several commenters </w:t>
      </w:r>
      <w:r>
        <w:rPr>
          <w:rFonts w:ascii="Times New Roman" w:hAnsi="Times New Roman"/>
          <w:sz w:val="24"/>
        </w:rPr>
        <w:t xml:space="preserve">asserted </w:t>
      </w:r>
      <w:r w:rsidRPr="006F68E9">
        <w:rPr>
          <w:rFonts w:ascii="Times New Roman" w:hAnsi="Times New Roman"/>
          <w:sz w:val="24"/>
        </w:rPr>
        <w:t xml:space="preserve">that EPA should not mandate the use of a recognized method for the analysis, as there are many ways to conduct the analysis (0109, 0184, 0237, 0256, 0268, 0275). One of the </w:t>
      </w:r>
      <w:r w:rsidRPr="00217E05">
        <w:rPr>
          <w:rFonts w:ascii="Times New Roman" w:hAnsi="Times New Roman"/>
          <w:sz w:val="24"/>
        </w:rPr>
        <w:t xml:space="preserve">commenters indicated that prescribing a method may interfere with a facility’s engineering judgement and use of investigative practices that are tailored to their unique facilities (0256). Another commenter said EPA should ensure that owners and operators have flexibility to modify recognized investigation methods to reflect the </w:t>
      </w:r>
      <w:r w:rsidRPr="001063F5">
        <w:rPr>
          <w:rFonts w:ascii="Times New Roman" w:hAnsi="Times New Roman"/>
          <w:sz w:val="24"/>
        </w:rPr>
        <w:t>context, which may involve very complex or relatively simple processes or incidents (0215)</w:t>
      </w:r>
      <w:r w:rsidRPr="00217E05">
        <w:rPr>
          <w:rFonts w:ascii="Times New Roman" w:hAnsi="Times New Roman"/>
          <w:sz w:val="24"/>
        </w:rPr>
        <w:t xml:space="preserve">. </w:t>
      </w:r>
    </w:p>
    <w:p w:rsidR="00F41FFB" w:rsidP="00F41FFB" w14:paraId="48786D73" w14:textId="77777777">
      <w:pPr>
        <w:rPr>
          <w:rFonts w:ascii="Times New Roman" w:hAnsi="Times New Roman"/>
          <w:sz w:val="24"/>
        </w:rPr>
      </w:pPr>
      <w:r w:rsidRPr="00544B5B">
        <w:rPr>
          <w:rFonts w:ascii="Times New Roman" w:hAnsi="Times New Roman"/>
          <w:sz w:val="24"/>
        </w:rPr>
        <w:t>A couple of commenters requested that EPA define “recognized investigation method” to clarify what entity is approving a methodology (0184, 0237).</w:t>
      </w:r>
      <w:r w:rsidRPr="6D3F9CC5">
        <w:rPr>
          <w:rFonts w:ascii="Times New Roman" w:hAnsi="Times New Roman"/>
          <w:sz w:val="24"/>
        </w:rPr>
        <w:t xml:space="preserve"> </w:t>
      </w:r>
      <w:r w:rsidRPr="00544B5B">
        <w:rPr>
          <w:rFonts w:ascii="Times New Roman" w:hAnsi="Times New Roman"/>
          <w:sz w:val="24"/>
        </w:rPr>
        <w:t xml:space="preserve">One commenter recommended revising </w:t>
      </w:r>
      <w:r w:rsidRPr="00544B5B">
        <w:rPr>
          <w:rFonts w:ascii="Times New Roman" w:hAnsi="Times New Roman"/>
          <w:sz w:val="24"/>
        </w:rPr>
        <w:t>the language to read “investigation method recognized by applicable industry code writing or RAGAGEP establishing body” (0184).</w:t>
      </w:r>
      <w:r w:rsidRPr="6D3F9CC5">
        <w:rPr>
          <w:rFonts w:ascii="Times New Roman" w:hAnsi="Times New Roman"/>
          <w:sz w:val="24"/>
        </w:rPr>
        <w:t xml:space="preserve"> </w:t>
      </w:r>
    </w:p>
    <w:p w:rsidR="00F41FFB" w:rsidP="00F41FFB" w14:paraId="4F0BAFD1" w14:textId="77777777">
      <w:pPr>
        <w:rPr>
          <w:rFonts w:ascii="Times New Roman" w:hAnsi="Times New Roman"/>
          <w:sz w:val="24"/>
        </w:rPr>
      </w:pPr>
      <w:r w:rsidRPr="00544B5B">
        <w:rPr>
          <w:rFonts w:ascii="Times New Roman" w:hAnsi="Times New Roman"/>
          <w:sz w:val="24"/>
        </w:rPr>
        <w:t>One commenter recommended that EPA include a candidate list of methods for root cause analysis that parallels the specification of methodologies for conducting a PHA. The commenter also recommended that EPA include language to allow facilities to use “an appropriate equivalent method” that may not be included in the list (0193).</w:t>
      </w:r>
    </w:p>
    <w:p w:rsidR="00F41FFB" w:rsidP="00F41FFB" w14:paraId="0E64B301" w14:textId="5D3F2947">
      <w:pPr>
        <w:ind w:left="720"/>
        <w:rPr>
          <w:rFonts w:ascii="Times New Roman" w:eastAsia="Times New Roman" w:hAnsi="Times New Roman"/>
          <w:sz w:val="24"/>
        </w:rPr>
      </w:pPr>
      <w:r w:rsidRPr="5B439DFC">
        <w:rPr>
          <w:rFonts w:ascii="Times New Roman" w:hAnsi="Times New Roman"/>
          <w:b/>
          <w:bCs/>
          <w:sz w:val="24"/>
        </w:rPr>
        <w:t>EPA Response</w:t>
      </w:r>
      <w:r>
        <w:rPr>
          <w:rFonts w:ascii="Times New Roman" w:hAnsi="Times New Roman"/>
          <w:b/>
          <w:bCs/>
          <w:sz w:val="24"/>
        </w:rPr>
        <w:t>:</w:t>
      </w:r>
      <w:r w:rsidR="00544B5B">
        <w:rPr>
          <w:rFonts w:ascii="Times New Roman" w:hAnsi="Times New Roman"/>
          <w:b/>
          <w:bCs/>
          <w:sz w:val="24"/>
        </w:rPr>
        <w:t xml:space="preserve"> </w:t>
      </w:r>
      <w:r w:rsidRPr="00544B5B" w:rsidR="00F557A9">
        <w:rPr>
          <w:rFonts w:ascii="Times New Roman" w:hAnsi="Times New Roman"/>
          <w:sz w:val="24"/>
        </w:rPr>
        <w:t xml:space="preserve">EPA agrees that there are many ways to conduct a </w:t>
      </w:r>
      <w:r w:rsidRPr="00544B5B" w:rsidR="00544B5B">
        <w:rPr>
          <w:rFonts w:ascii="Times New Roman" w:hAnsi="Times New Roman"/>
          <w:sz w:val="24"/>
        </w:rPr>
        <w:t>root cause analysis.</w:t>
      </w:r>
      <w:r w:rsidRPr="00544B5B">
        <w:rPr>
          <w:rFonts w:ascii="Times New Roman" w:hAnsi="Times New Roman"/>
          <w:sz w:val="24"/>
        </w:rPr>
        <w:t xml:space="preserve"> </w:t>
      </w:r>
      <w:r w:rsidRPr="5B439DFC">
        <w:rPr>
          <w:rFonts w:ascii="Times New Roman" w:eastAsia="Times New Roman" w:hAnsi="Times New Roman"/>
          <w:color w:val="000000" w:themeColor="text1"/>
          <w:sz w:val="24"/>
        </w:rPr>
        <w:t xml:space="preserve">EPA is finalizing, as proposed, the requirements that root causes must be determined through the use of a recognized method. The final rule will </w:t>
      </w:r>
      <w:r w:rsidR="00544B5B">
        <w:rPr>
          <w:rFonts w:ascii="Times New Roman" w:eastAsia="Times New Roman" w:hAnsi="Times New Roman"/>
          <w:color w:val="000000" w:themeColor="text1"/>
          <w:sz w:val="24"/>
        </w:rPr>
        <w:t xml:space="preserve">therefore </w:t>
      </w:r>
      <w:r w:rsidRPr="5B439DFC">
        <w:rPr>
          <w:rFonts w:ascii="Times New Roman" w:eastAsia="Times New Roman" w:hAnsi="Times New Roman"/>
          <w:color w:val="000000" w:themeColor="text1"/>
          <w:sz w:val="24"/>
        </w:rPr>
        <w:t xml:space="preserve">allow the owner or operator to determine root causes </w:t>
      </w:r>
      <w:r w:rsidRPr="00AE6611">
        <w:rPr>
          <w:rFonts w:ascii="Times New Roman" w:eastAsia="Times New Roman" w:hAnsi="Times New Roman"/>
          <w:sz w:val="24"/>
        </w:rPr>
        <w:t xml:space="preserve">using a “recognized method” that is appropriate for their facility and circumstance. EPA disagrees that the Agency should </w:t>
      </w:r>
      <w:r w:rsidR="00544B5B">
        <w:rPr>
          <w:rFonts w:ascii="Times New Roman" w:eastAsia="Times New Roman" w:hAnsi="Times New Roman"/>
          <w:sz w:val="24"/>
        </w:rPr>
        <w:t>define</w:t>
      </w:r>
      <w:r w:rsidRPr="00AE6611" w:rsidR="00544B5B">
        <w:rPr>
          <w:rFonts w:ascii="Times New Roman" w:eastAsia="Times New Roman" w:hAnsi="Times New Roman"/>
          <w:sz w:val="24"/>
        </w:rPr>
        <w:t xml:space="preserve"> </w:t>
      </w:r>
      <w:r w:rsidRPr="00AE6611">
        <w:rPr>
          <w:rFonts w:ascii="Times New Roman" w:eastAsia="Times New Roman" w:hAnsi="Times New Roman"/>
          <w:sz w:val="24"/>
        </w:rPr>
        <w:t>recognized investigation methods or point to specific entities for such methods</w:t>
      </w:r>
      <w:r w:rsidRPr="5B439DFC">
        <w:rPr>
          <w:rFonts w:ascii="Times New Roman" w:eastAsia="Times New Roman" w:hAnsi="Times New Roman"/>
          <w:color w:val="000000" w:themeColor="text1"/>
          <w:sz w:val="24"/>
        </w:rPr>
        <w:t>. Investigation methods evolve over time, and new methods may be developed. Therefore, any list promulgated by EPA in this rule may soon be obsolete. The Agency took a similar approach in the PHA requirements for the existing rule, where it listed several potential methods, but also included the option to use an appropriate equivalent methodology. EPA recommends that owners and operators consult available literature on root cause investigation methodologies to select those appropriate for their facility and processes. For example, CCPS has published</w:t>
      </w:r>
      <w:r>
        <w:rPr>
          <w:rFonts w:ascii="Times New Roman" w:eastAsia="Times New Roman" w:hAnsi="Times New Roman"/>
          <w:color w:val="000000" w:themeColor="text1"/>
          <w:sz w:val="24"/>
        </w:rPr>
        <w:t>,</w:t>
      </w:r>
      <w:r w:rsidRPr="5B439DFC">
        <w:rPr>
          <w:rFonts w:ascii="Times New Roman" w:eastAsia="Times New Roman" w:hAnsi="Times New Roman"/>
          <w:color w:val="000000" w:themeColor="text1"/>
          <w:sz w:val="24"/>
        </w:rPr>
        <w:t xml:space="preserve"> </w:t>
      </w:r>
      <w:r>
        <w:rPr>
          <w:rFonts w:ascii="Times New Roman" w:eastAsia="Times New Roman" w:hAnsi="Times New Roman"/>
          <w:color w:val="000000" w:themeColor="text1"/>
          <w:sz w:val="24"/>
        </w:rPr>
        <w:t>“</w:t>
      </w:r>
      <w:r w:rsidRPr="5B439DFC">
        <w:rPr>
          <w:rFonts w:ascii="Times New Roman" w:eastAsia="Times New Roman" w:hAnsi="Times New Roman"/>
          <w:color w:val="000000" w:themeColor="text1"/>
          <w:sz w:val="24"/>
        </w:rPr>
        <w:t>Guidelines for Investigating Process Safety Incidents,</w:t>
      </w:r>
      <w:r>
        <w:rPr>
          <w:rFonts w:ascii="Times New Roman" w:eastAsia="Times New Roman" w:hAnsi="Times New Roman"/>
          <w:color w:val="000000" w:themeColor="text1"/>
          <w:sz w:val="24"/>
        </w:rPr>
        <w:t>”</w:t>
      </w:r>
      <w:r w:rsidRPr="5B439DFC">
        <w:rPr>
          <w:rFonts w:ascii="Times New Roman" w:eastAsia="Times New Roman" w:hAnsi="Times New Roman"/>
          <w:color w:val="000000" w:themeColor="text1"/>
          <w:sz w:val="24"/>
        </w:rPr>
        <w:t xml:space="preserve"> which provides extensive guidance on incident investigations, near miss identification, root cause analysis, and other related topics.</w:t>
      </w:r>
      <w:r>
        <w:rPr>
          <w:rStyle w:val="FootnoteReference"/>
          <w:rFonts w:ascii="Times New Roman" w:eastAsia="Times New Roman" w:hAnsi="Times New Roman"/>
          <w:color w:val="000000" w:themeColor="text1"/>
          <w:sz w:val="24"/>
        </w:rPr>
        <w:footnoteReference w:id="121"/>
      </w:r>
    </w:p>
    <w:p w:rsidR="00F41FFB" w:rsidP="00F41FFB" w14:paraId="4833EB2E" w14:textId="77777777">
      <w:pPr>
        <w:rPr>
          <w:rFonts w:ascii="Times New Roman" w:hAnsi="Times New Roman"/>
          <w:sz w:val="24"/>
        </w:rPr>
      </w:pPr>
      <w:r w:rsidRPr="001848B0">
        <w:rPr>
          <w:rFonts w:ascii="Times New Roman" w:hAnsi="Times New Roman"/>
          <w:b/>
          <w:bCs/>
          <w:sz w:val="24"/>
        </w:rPr>
        <w:t>Comment</w:t>
      </w:r>
      <w:r>
        <w:rPr>
          <w:rFonts w:ascii="Times New Roman" w:hAnsi="Times New Roman"/>
          <w:b/>
          <w:bCs/>
          <w:sz w:val="24"/>
        </w:rPr>
        <w:t xml:space="preserve"> 7.1-17</w:t>
      </w:r>
      <w:r w:rsidRPr="001848B0">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Several commenters provided feedback on the investigation methods and analysis elements described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(0108, 0173, 0184, 0193, 0204, 0215, 0230, 0237, 0256, 0268, 0275).</w:t>
      </w:r>
    </w:p>
    <w:p w:rsidR="00F41FFB" w:rsidRPr="00B17888" w:rsidP="00F41FFB" w14:paraId="0AD217EF" w14:textId="77777777">
      <w:pPr>
        <w:rPr>
          <w:rFonts w:ascii="Times New Roman" w:hAnsi="Times New Roman"/>
          <w:sz w:val="24"/>
        </w:rPr>
      </w:pPr>
      <w:r w:rsidRPr="00B17888">
        <w:rPr>
          <w:rFonts w:ascii="Times New Roman" w:hAnsi="Times New Roman"/>
          <w:sz w:val="24"/>
        </w:rPr>
        <w:t xml:space="preserve">One commenter stated that requiring the use of a recognized method for root cause analysis will not assure adequate results, asserting that several methods that were included in the CCPS should not be considered recognized methods (e.g., the “5-Whys” method). The commenter noted that several industry committees determined that it was not a robust technique (0108). </w:t>
      </w:r>
    </w:p>
    <w:p w:rsidR="00F41FFB" w:rsidRPr="006F68E9" w:rsidP="00F41FFB" w14:paraId="38ECE598" w14:textId="2DE4666D">
      <w:pPr>
        <w:rPr>
          <w:rFonts w:ascii="Times New Roman" w:hAnsi="Times New Roman"/>
          <w:sz w:val="24"/>
        </w:rPr>
      </w:pPr>
      <w:r w:rsidRPr="00B17888">
        <w:rPr>
          <w:rFonts w:ascii="Times New Roman" w:hAnsi="Times New Roman"/>
          <w:sz w:val="24"/>
        </w:rPr>
        <w:t>One commenter noted that that the CCPS condoned the use of predefined logic trees and checklists to steer investigations (0204).</w:t>
      </w:r>
      <w:r w:rsidRPr="006F68E9">
        <w:rPr>
          <w:rFonts w:ascii="Times New Roman" w:hAnsi="Times New Roman"/>
          <w:sz w:val="24"/>
        </w:rPr>
        <w:t xml:space="preserve"> </w:t>
      </w:r>
    </w:p>
    <w:p w:rsidR="00F41FFB" w:rsidRPr="006F68E9" w:rsidP="00F41FFB" w14:paraId="7330D3C7" w14:textId="77777777">
      <w:pPr>
        <w:rPr>
          <w:rFonts w:ascii="Times New Roman" w:hAnsi="Times New Roman"/>
          <w:sz w:val="24"/>
        </w:rPr>
      </w:pPr>
      <w:r w:rsidRPr="006F68E9">
        <w:rPr>
          <w:rFonts w:ascii="Times New Roman" w:hAnsi="Times New Roman"/>
          <w:sz w:val="24"/>
        </w:rPr>
        <w:t>One commenter pro</w:t>
      </w:r>
      <w:r>
        <w:rPr>
          <w:rFonts w:ascii="Times New Roman" w:hAnsi="Times New Roman"/>
          <w:sz w:val="24"/>
        </w:rPr>
        <w:t>posed</w:t>
      </w:r>
      <w:r w:rsidRPr="006F68E9">
        <w:rPr>
          <w:rFonts w:ascii="Times New Roman" w:hAnsi="Times New Roman"/>
          <w:sz w:val="24"/>
        </w:rPr>
        <w:t xml:space="preserve"> the following revision to the regulatory language (0193): </w:t>
      </w:r>
    </w:p>
    <w:p w:rsidR="00F41FFB" w:rsidP="00F41FFB" w14:paraId="33397826" w14:textId="77777777">
      <w:pPr>
        <w:ind w:left="720"/>
        <w:rPr>
          <w:rFonts w:ascii="Times New Roman" w:hAnsi="Times New Roman"/>
          <w:sz w:val="24"/>
        </w:rPr>
      </w:pPr>
      <w:r>
        <w:rPr>
          <w:rFonts w:ascii="Times New Roman" w:hAnsi="Times New Roman"/>
          <w:sz w:val="24"/>
        </w:rPr>
        <w:t>Section</w:t>
      </w:r>
      <w:r w:rsidRPr="006F68E9">
        <w:rPr>
          <w:rFonts w:ascii="Times New Roman" w:hAnsi="Times New Roman"/>
          <w:sz w:val="24"/>
        </w:rPr>
        <w:t xml:space="preserve"> 68.81 Incident Investigation</w:t>
      </w:r>
      <w:r w:rsidRPr="006F68E9">
        <w:rPr>
          <w:rFonts w:ascii="Times New Roman" w:hAnsi="Times New Roman"/>
          <w:sz w:val="24"/>
        </w:rPr>
        <w:br/>
        <w:t>(h) The owner or operator shall …</w:t>
      </w:r>
      <w:r w:rsidRPr="006F68E9">
        <w:rPr>
          <w:rFonts w:ascii="Times New Roman" w:hAnsi="Times New Roman"/>
          <w:sz w:val="24"/>
        </w:rPr>
        <w:br/>
        <w:t xml:space="preserve">(2) The report in paragraph (d) of this section shall include factors that contributed to the incident including the initiating event, direct and indirect contributing factors, and root causes. </w:t>
      </w:r>
      <w:r w:rsidRPr="006F68E9">
        <w:rPr>
          <w:rFonts w:ascii="Times New Roman" w:hAnsi="Times New Roman"/>
          <w:strike/>
          <w:sz w:val="24"/>
        </w:rPr>
        <w:t>Root causes shall be determined by conducting an analysis for each incident using a recognized method.</w:t>
      </w:r>
      <w:r w:rsidRPr="006F68E9">
        <w:rPr>
          <w:rFonts w:ascii="Times New Roman" w:hAnsi="Times New Roman"/>
          <w:sz w:val="24"/>
        </w:rPr>
        <w:br/>
        <w:t>(3) Root causes shall be determined by conducting an analysis using</w:t>
      </w:r>
      <w:r w:rsidRPr="006F68E9">
        <w:rPr>
          <w:rFonts w:ascii="Times New Roman" w:hAnsi="Times New Roman"/>
          <w:sz w:val="24"/>
        </w:rPr>
        <w:br/>
        <w:t>(i) Why-why</w:t>
      </w:r>
      <w:r w:rsidRPr="006F68E9">
        <w:rPr>
          <w:rFonts w:ascii="Times New Roman" w:hAnsi="Times New Roman"/>
          <w:sz w:val="24"/>
        </w:rPr>
        <w:br/>
        <w:t>(ii) FMEA</w:t>
      </w:r>
      <w:r w:rsidRPr="006F68E9">
        <w:rPr>
          <w:rFonts w:ascii="Times New Roman" w:hAnsi="Times New Roman"/>
          <w:sz w:val="24"/>
        </w:rPr>
        <w:br/>
        <w:t>(iii) Fishbone diagram</w:t>
      </w:r>
      <w:r w:rsidRPr="006F68E9">
        <w:rPr>
          <w:rFonts w:ascii="Times New Roman" w:hAnsi="Times New Roman"/>
          <w:sz w:val="24"/>
        </w:rPr>
        <w:br/>
      </w:r>
      <w:r w:rsidRPr="006F68E9">
        <w:rPr>
          <w:rFonts w:ascii="Times New Roman" w:hAnsi="Times New Roman"/>
          <w:sz w:val="24"/>
        </w:rPr>
        <w:t>(iv) Scatter diagram, or</w:t>
      </w:r>
      <w:r w:rsidRPr="006F68E9">
        <w:rPr>
          <w:rFonts w:ascii="Times New Roman" w:hAnsi="Times New Roman"/>
          <w:sz w:val="24"/>
        </w:rPr>
        <w:br/>
        <w:t>(v) An appropriate equivalent method</w:t>
      </w:r>
    </w:p>
    <w:p w:rsidR="00F41FFB" w:rsidRPr="0065395B" w:rsidP="00F41FFB" w14:paraId="3EC31136" w14:textId="2A8159CC">
      <w:pPr>
        <w:ind w:left="720"/>
        <w:rPr>
          <w:rFonts w:ascii="Times New Roman" w:hAnsi="Times New Roman"/>
          <w:b/>
          <w:bCs/>
          <w:sz w:val="24"/>
        </w:rPr>
      </w:pPr>
      <w:r w:rsidRPr="009909B4">
        <w:rPr>
          <w:rFonts w:ascii="Times New Roman" w:hAnsi="Times New Roman"/>
          <w:b/>
          <w:bCs/>
          <w:sz w:val="24"/>
        </w:rPr>
        <w:t xml:space="preserve">EPA Response: </w:t>
      </w:r>
      <w:r w:rsidRPr="00AE6611">
        <w:rPr>
          <w:rFonts w:ascii="Times New Roman" w:eastAsia="Times New Roman" w:hAnsi="Times New Roman"/>
          <w:sz w:val="24"/>
        </w:rPr>
        <w:t>EPA disagrees that the Agency should specify recognized investigation methods or point to specific entities for such methods</w:t>
      </w:r>
      <w:r w:rsidRPr="5B439DFC">
        <w:rPr>
          <w:rFonts w:ascii="Times New Roman" w:eastAsia="Times New Roman" w:hAnsi="Times New Roman"/>
          <w:color w:val="000000" w:themeColor="text1"/>
          <w:sz w:val="24"/>
        </w:rPr>
        <w:t>. Investigation methods evolve over time, and new methods may be developed</w:t>
      </w:r>
      <w:r w:rsidR="00DA5727">
        <w:rPr>
          <w:rFonts w:ascii="Times New Roman" w:eastAsia="Times New Roman" w:hAnsi="Times New Roman"/>
          <w:color w:val="000000" w:themeColor="text1"/>
          <w:sz w:val="24"/>
        </w:rPr>
        <w:t xml:space="preserve"> in the future</w:t>
      </w:r>
      <w:r w:rsidRPr="5B439DFC">
        <w:rPr>
          <w:rFonts w:ascii="Times New Roman" w:eastAsia="Times New Roman" w:hAnsi="Times New Roman"/>
          <w:color w:val="000000" w:themeColor="text1"/>
          <w:sz w:val="24"/>
        </w:rPr>
        <w:t xml:space="preserve">. Therefore, any list promulgated by EPA in this rule may </w:t>
      </w:r>
      <w:r w:rsidR="0090666F">
        <w:rPr>
          <w:rFonts w:ascii="Times New Roman" w:eastAsia="Times New Roman" w:hAnsi="Times New Roman"/>
          <w:color w:val="000000" w:themeColor="text1"/>
          <w:sz w:val="24"/>
        </w:rPr>
        <w:t>later become</w:t>
      </w:r>
      <w:r w:rsidRPr="5B439DFC">
        <w:rPr>
          <w:rFonts w:ascii="Times New Roman" w:eastAsia="Times New Roman" w:hAnsi="Times New Roman"/>
          <w:color w:val="000000" w:themeColor="text1"/>
          <w:sz w:val="24"/>
        </w:rPr>
        <w:t xml:space="preserve"> obsolete</w:t>
      </w:r>
      <w:r>
        <w:rPr>
          <w:rFonts w:ascii="Times New Roman" w:eastAsia="Times New Roman" w:hAnsi="Times New Roman"/>
          <w:color w:val="000000" w:themeColor="text1"/>
          <w:sz w:val="24"/>
        </w:rPr>
        <w:t>.</w:t>
      </w:r>
      <w:r w:rsidR="00191B66">
        <w:rPr>
          <w:rFonts w:ascii="Times New Roman" w:eastAsia="Times New Roman" w:hAnsi="Times New Roman"/>
          <w:color w:val="000000" w:themeColor="text1"/>
          <w:sz w:val="24"/>
        </w:rPr>
        <w:t xml:space="preserve"> </w:t>
      </w:r>
      <w:r w:rsidR="00672B58">
        <w:rPr>
          <w:rFonts w:ascii="Times New Roman" w:eastAsia="Times New Roman" w:hAnsi="Times New Roman"/>
          <w:color w:val="000000" w:themeColor="text1"/>
          <w:sz w:val="24"/>
        </w:rPr>
        <w:t>Further</w:t>
      </w:r>
      <w:r w:rsidR="001E47E9">
        <w:rPr>
          <w:rFonts w:ascii="Times New Roman" w:eastAsia="Times New Roman" w:hAnsi="Times New Roman"/>
          <w:color w:val="000000" w:themeColor="text1"/>
          <w:sz w:val="24"/>
        </w:rPr>
        <w:t>,</w:t>
      </w:r>
      <w:r w:rsidR="00672B58">
        <w:rPr>
          <w:rFonts w:ascii="Times New Roman" w:eastAsia="Times New Roman" w:hAnsi="Times New Roman"/>
          <w:color w:val="000000" w:themeColor="text1"/>
          <w:sz w:val="24"/>
        </w:rPr>
        <w:t xml:space="preserve"> </w:t>
      </w:r>
      <w:r w:rsidR="00D16897">
        <w:rPr>
          <w:rFonts w:ascii="Times New Roman" w:eastAsia="Times New Roman" w:hAnsi="Times New Roman"/>
          <w:color w:val="000000" w:themeColor="text1"/>
          <w:sz w:val="24"/>
        </w:rPr>
        <w:t>t</w:t>
      </w:r>
      <w:r w:rsidR="005114AD">
        <w:rPr>
          <w:rFonts w:ascii="Times New Roman" w:eastAsia="Times New Roman" w:hAnsi="Times New Roman"/>
          <w:color w:val="000000" w:themeColor="text1"/>
          <w:sz w:val="24"/>
        </w:rPr>
        <w:t xml:space="preserve">he </w:t>
      </w:r>
      <w:r w:rsidRPr="00191B66" w:rsidR="00191B66">
        <w:rPr>
          <w:rFonts w:ascii="Times New Roman" w:eastAsia="Times New Roman" w:hAnsi="Times New Roman"/>
          <w:color w:val="000000" w:themeColor="text1"/>
          <w:sz w:val="24"/>
        </w:rPr>
        <w:t xml:space="preserve">final rule will allow the owner or operator to determine root causes using </w:t>
      </w:r>
      <w:r w:rsidR="008F626D">
        <w:rPr>
          <w:rFonts w:ascii="Times New Roman" w:eastAsia="Times New Roman" w:hAnsi="Times New Roman"/>
          <w:color w:val="000000" w:themeColor="text1"/>
          <w:sz w:val="24"/>
        </w:rPr>
        <w:t xml:space="preserve">a </w:t>
      </w:r>
      <w:r w:rsidRPr="00191B66" w:rsidR="00191B66">
        <w:rPr>
          <w:rFonts w:ascii="Times New Roman" w:eastAsia="Times New Roman" w:hAnsi="Times New Roman"/>
          <w:color w:val="000000" w:themeColor="text1"/>
          <w:sz w:val="24"/>
        </w:rPr>
        <w:t xml:space="preserve">“recognized method” </w:t>
      </w:r>
      <w:r w:rsidR="00885356">
        <w:rPr>
          <w:rFonts w:ascii="Times New Roman" w:eastAsia="Times New Roman" w:hAnsi="Times New Roman"/>
          <w:color w:val="000000" w:themeColor="text1"/>
          <w:sz w:val="24"/>
        </w:rPr>
        <w:t xml:space="preserve">of the </w:t>
      </w:r>
      <w:r w:rsidR="005C7715">
        <w:rPr>
          <w:rFonts w:ascii="Times New Roman" w:eastAsia="Times New Roman" w:hAnsi="Times New Roman"/>
          <w:color w:val="000000" w:themeColor="text1"/>
          <w:sz w:val="24"/>
        </w:rPr>
        <w:t>facility’s</w:t>
      </w:r>
      <w:r w:rsidR="00885356">
        <w:rPr>
          <w:rFonts w:ascii="Times New Roman" w:eastAsia="Times New Roman" w:hAnsi="Times New Roman"/>
          <w:color w:val="000000" w:themeColor="text1"/>
          <w:sz w:val="24"/>
        </w:rPr>
        <w:t xml:space="preserve"> choosing </w:t>
      </w:r>
      <w:r w:rsidRPr="00191B66" w:rsidR="00191B66">
        <w:rPr>
          <w:rFonts w:ascii="Times New Roman" w:eastAsia="Times New Roman" w:hAnsi="Times New Roman"/>
          <w:color w:val="000000" w:themeColor="text1"/>
          <w:sz w:val="24"/>
        </w:rPr>
        <w:t xml:space="preserve">that is appropriate for their facility and </w:t>
      </w:r>
      <w:r w:rsidR="00662234">
        <w:rPr>
          <w:rFonts w:ascii="Times New Roman" w:eastAsia="Times New Roman" w:hAnsi="Times New Roman"/>
          <w:color w:val="000000" w:themeColor="text1"/>
          <w:sz w:val="24"/>
        </w:rPr>
        <w:t>circumstance</w:t>
      </w:r>
      <w:r w:rsidR="0075053A">
        <w:rPr>
          <w:rFonts w:ascii="Times New Roman" w:eastAsia="Times New Roman" w:hAnsi="Times New Roman"/>
          <w:color w:val="000000" w:themeColor="text1"/>
          <w:sz w:val="24"/>
        </w:rPr>
        <w:t xml:space="preserve">. </w:t>
      </w:r>
      <w:r w:rsidR="00913DF2">
        <w:rPr>
          <w:rFonts w:ascii="Times New Roman" w:eastAsia="Times New Roman" w:hAnsi="Times New Roman"/>
          <w:color w:val="000000" w:themeColor="text1"/>
          <w:sz w:val="24"/>
        </w:rPr>
        <w:t>Therefore,</w:t>
      </w:r>
      <w:r w:rsidR="00662234">
        <w:rPr>
          <w:rFonts w:ascii="Times New Roman" w:eastAsia="Times New Roman" w:hAnsi="Times New Roman"/>
          <w:color w:val="000000" w:themeColor="text1"/>
          <w:sz w:val="24"/>
        </w:rPr>
        <w:t xml:space="preserve"> </w:t>
      </w:r>
      <w:r w:rsidR="00A8415E">
        <w:rPr>
          <w:rFonts w:ascii="Times New Roman" w:eastAsia="Times New Roman" w:hAnsi="Times New Roman"/>
          <w:color w:val="000000" w:themeColor="text1"/>
          <w:sz w:val="24"/>
        </w:rPr>
        <w:t xml:space="preserve">EPA </w:t>
      </w:r>
      <w:r w:rsidR="0075053A">
        <w:rPr>
          <w:rFonts w:ascii="Times New Roman" w:eastAsia="Times New Roman" w:hAnsi="Times New Roman"/>
          <w:color w:val="000000" w:themeColor="text1"/>
          <w:sz w:val="24"/>
        </w:rPr>
        <w:t xml:space="preserve">believes </w:t>
      </w:r>
      <w:r w:rsidR="004727B6">
        <w:rPr>
          <w:rFonts w:ascii="Times New Roman" w:eastAsia="Times New Roman" w:hAnsi="Times New Roman"/>
          <w:color w:val="000000" w:themeColor="text1"/>
          <w:sz w:val="24"/>
        </w:rPr>
        <w:t xml:space="preserve">owner and operators </w:t>
      </w:r>
      <w:r w:rsidR="0075053A">
        <w:rPr>
          <w:rFonts w:ascii="Times New Roman" w:eastAsia="Times New Roman" w:hAnsi="Times New Roman"/>
          <w:color w:val="000000" w:themeColor="text1"/>
          <w:sz w:val="24"/>
        </w:rPr>
        <w:t xml:space="preserve">will </w:t>
      </w:r>
      <w:r w:rsidR="004727B6">
        <w:rPr>
          <w:rFonts w:ascii="Times New Roman" w:eastAsia="Times New Roman" w:hAnsi="Times New Roman"/>
          <w:color w:val="000000" w:themeColor="text1"/>
          <w:sz w:val="24"/>
        </w:rPr>
        <w:t>make appropriate decisions</w:t>
      </w:r>
      <w:r w:rsidR="0093232A">
        <w:rPr>
          <w:rFonts w:ascii="Times New Roman" w:eastAsia="Times New Roman" w:hAnsi="Times New Roman"/>
          <w:color w:val="000000" w:themeColor="text1"/>
          <w:sz w:val="24"/>
        </w:rPr>
        <w:t xml:space="preserve"> based on industry research</w:t>
      </w:r>
      <w:r w:rsidR="00913DF2">
        <w:rPr>
          <w:rFonts w:ascii="Times New Roman" w:eastAsia="Times New Roman" w:hAnsi="Times New Roman"/>
          <w:color w:val="000000" w:themeColor="text1"/>
          <w:sz w:val="24"/>
        </w:rPr>
        <w:t xml:space="preserve"> to</w:t>
      </w:r>
      <w:r w:rsidR="00665179">
        <w:rPr>
          <w:rFonts w:ascii="Times New Roman" w:eastAsia="Times New Roman" w:hAnsi="Times New Roman"/>
          <w:color w:val="000000" w:themeColor="text1"/>
          <w:sz w:val="24"/>
        </w:rPr>
        <w:t xml:space="preserve"> ensure their analysis is useful</w:t>
      </w:r>
      <w:r w:rsidR="00A161AD">
        <w:rPr>
          <w:rFonts w:ascii="Times New Roman" w:eastAsia="Times New Roman" w:hAnsi="Times New Roman"/>
          <w:color w:val="000000" w:themeColor="text1"/>
          <w:sz w:val="24"/>
        </w:rPr>
        <w:t xml:space="preserve">. </w:t>
      </w:r>
    </w:p>
    <w:p w:rsidR="00F41FFB" w:rsidP="00F41FFB" w14:paraId="5C78226D" w14:textId="77777777">
      <w:pPr>
        <w:rPr>
          <w:rFonts w:ascii="Times New Roman" w:hAnsi="Times New Roman"/>
          <w:sz w:val="24"/>
        </w:rPr>
      </w:pPr>
      <w:r>
        <w:rPr>
          <w:rFonts w:ascii="Times New Roman" w:hAnsi="Times New Roman"/>
          <w:b/>
          <w:bCs/>
          <w:sz w:val="24"/>
        </w:rPr>
        <w:t xml:space="preserve">Comment 7.1-18: </w:t>
      </w:r>
      <w:r w:rsidRPr="006F68E9">
        <w:rPr>
          <w:rFonts w:ascii="Times New Roman" w:hAnsi="Times New Roman"/>
          <w:sz w:val="24"/>
        </w:rPr>
        <w:t xml:space="preserve">One commenter suggested that EPA has underestimated the cost and time needed for facilities to change current investigation processes to root cause investigations using a recognized method, which may include new software, training, and staffing (0230). </w:t>
      </w:r>
    </w:p>
    <w:p w:rsidR="00B30D43" w:rsidRPr="00EE6FEC" w:rsidP="00EE6FEC" w14:paraId="1F59A1E9" w14:textId="673ADB09">
      <w:pPr>
        <w:ind w:left="720"/>
        <w:rPr>
          <w:rFonts w:ascii="Times New Roman" w:hAnsi="Times New Roman"/>
          <w:sz w:val="24"/>
        </w:rPr>
      </w:pPr>
      <w:r w:rsidRPr="00B30D43">
        <w:rPr>
          <w:rFonts w:ascii="Times New Roman" w:hAnsi="Times New Roman"/>
          <w:b/>
          <w:bCs/>
          <w:sz w:val="24"/>
        </w:rPr>
        <w:t>EPA Response:</w:t>
      </w:r>
      <w:r w:rsidRPr="00724C87">
        <w:rPr>
          <w:rFonts w:ascii="Times New Roman" w:hAnsi="Times New Roman"/>
          <w:sz w:val="24"/>
        </w:rPr>
        <w:t xml:space="preserve"> </w:t>
      </w:r>
      <w:r w:rsidRPr="00B30D43" w:rsidR="00472679">
        <w:rPr>
          <w:rFonts w:ascii="Times New Roman" w:hAnsi="Times New Roman"/>
          <w:sz w:val="24"/>
        </w:rPr>
        <w:t>EPA recognizes that the time required</w:t>
      </w:r>
      <w:r w:rsidRPr="00B30D43" w:rsidR="00F767A4">
        <w:rPr>
          <w:rFonts w:ascii="Times New Roman" w:hAnsi="Times New Roman"/>
          <w:sz w:val="24"/>
        </w:rPr>
        <w:t xml:space="preserve"> for root cause analyses</w:t>
      </w:r>
      <w:r w:rsidRPr="00B30D43" w:rsidR="00472679">
        <w:rPr>
          <w:rFonts w:ascii="Times New Roman" w:hAnsi="Times New Roman"/>
          <w:sz w:val="24"/>
        </w:rPr>
        <w:t xml:space="preserve"> may vary considerably based on the complexity of the processes involved</w:t>
      </w:r>
      <w:r w:rsidR="00187524">
        <w:rPr>
          <w:rFonts w:ascii="Times New Roman" w:hAnsi="Times New Roman"/>
          <w:sz w:val="24"/>
        </w:rPr>
        <w:t>,</w:t>
      </w:r>
      <w:r w:rsidR="00F70C4B">
        <w:rPr>
          <w:rFonts w:ascii="Times New Roman" w:hAnsi="Times New Roman"/>
          <w:sz w:val="24"/>
        </w:rPr>
        <w:t xml:space="preserve"> and</w:t>
      </w:r>
      <w:r w:rsidR="00486862">
        <w:rPr>
          <w:rFonts w:ascii="Times New Roman" w:hAnsi="Times New Roman"/>
          <w:sz w:val="24"/>
        </w:rPr>
        <w:t xml:space="preserve"> therefore</w:t>
      </w:r>
      <w:r w:rsidR="00F7268B">
        <w:rPr>
          <w:rFonts w:ascii="Times New Roman" w:hAnsi="Times New Roman"/>
          <w:sz w:val="24"/>
        </w:rPr>
        <w:t>,</w:t>
      </w:r>
      <w:r w:rsidR="00F70C4B">
        <w:rPr>
          <w:rFonts w:ascii="Times New Roman" w:hAnsi="Times New Roman"/>
          <w:sz w:val="24"/>
        </w:rPr>
        <w:t xml:space="preserve"> </w:t>
      </w:r>
      <w:r w:rsidR="00187524">
        <w:rPr>
          <w:rFonts w:ascii="Times New Roman" w:hAnsi="Times New Roman"/>
          <w:sz w:val="24"/>
        </w:rPr>
        <w:t xml:space="preserve">the agency </w:t>
      </w:r>
      <w:r w:rsidR="00F7268B">
        <w:rPr>
          <w:rFonts w:ascii="Times New Roman" w:hAnsi="Times New Roman"/>
          <w:sz w:val="24"/>
        </w:rPr>
        <w:t>considered a wide range of factors in developing burden</w:t>
      </w:r>
      <w:r w:rsidR="00CD0843">
        <w:rPr>
          <w:rFonts w:ascii="Times New Roman" w:hAnsi="Times New Roman"/>
          <w:sz w:val="24"/>
        </w:rPr>
        <w:t xml:space="preserve"> </w:t>
      </w:r>
      <w:r w:rsidR="00CC7150">
        <w:rPr>
          <w:rFonts w:ascii="Times New Roman" w:hAnsi="Times New Roman"/>
          <w:sz w:val="24"/>
        </w:rPr>
        <w:t>estimates.</w:t>
      </w:r>
      <w:r w:rsidRPr="00B30D43" w:rsidR="00472679">
        <w:rPr>
          <w:rFonts w:ascii="Times New Roman" w:hAnsi="Times New Roman"/>
          <w:sz w:val="24"/>
        </w:rPr>
        <w:t xml:space="preserve"> In the baseline, facilities are required to conduct incident investigations; however, EPA expects additional time will be required for the more rigorous root cause analysis. Management time is expected to be devoted primarily to decisions concerning resolution of corrective actions arising from the investigation. For simple facilities, EPA assumed that root cause analyses will require management </w:t>
      </w:r>
      <w:r w:rsidR="00BF2212">
        <w:rPr>
          <w:rFonts w:ascii="Times New Roman" w:hAnsi="Times New Roman"/>
          <w:sz w:val="24"/>
        </w:rPr>
        <w:t>hours</w:t>
      </w:r>
      <w:r w:rsidRPr="00B30D43" w:rsidR="00472679">
        <w:rPr>
          <w:rFonts w:ascii="Times New Roman" w:hAnsi="Times New Roman"/>
          <w:sz w:val="24"/>
        </w:rPr>
        <w:t xml:space="preserve"> and additional </w:t>
      </w:r>
      <w:r w:rsidR="00BF2212">
        <w:rPr>
          <w:rFonts w:ascii="Times New Roman" w:hAnsi="Times New Roman"/>
          <w:sz w:val="24"/>
        </w:rPr>
        <w:t>hours</w:t>
      </w:r>
      <w:r w:rsidRPr="00B30D43" w:rsidR="00472679">
        <w:rPr>
          <w:rFonts w:ascii="Times New Roman" w:hAnsi="Times New Roman"/>
          <w:sz w:val="24"/>
        </w:rPr>
        <w:t xml:space="preserve"> evenly distributed between production staff and engineers. For complex facilities, </w:t>
      </w:r>
      <w:r w:rsidRPr="00B30D43" w:rsidR="003F3B74">
        <w:rPr>
          <w:rFonts w:ascii="Times New Roman" w:hAnsi="Times New Roman"/>
          <w:sz w:val="24"/>
        </w:rPr>
        <w:t>EPA estimated that due to the facility’s size and complexity</w:t>
      </w:r>
      <w:r w:rsidR="003F3B74">
        <w:rPr>
          <w:rFonts w:ascii="Times New Roman" w:hAnsi="Times New Roman"/>
          <w:sz w:val="24"/>
        </w:rPr>
        <w:t>,</w:t>
      </w:r>
      <w:r w:rsidRPr="00B30D43" w:rsidR="003F3B74">
        <w:rPr>
          <w:rFonts w:ascii="Times New Roman" w:hAnsi="Times New Roman"/>
          <w:sz w:val="24"/>
        </w:rPr>
        <w:t xml:space="preserve"> </w:t>
      </w:r>
      <w:r w:rsidRPr="00B30D43" w:rsidR="00472679">
        <w:rPr>
          <w:rFonts w:ascii="Times New Roman" w:hAnsi="Times New Roman"/>
          <w:sz w:val="24"/>
        </w:rPr>
        <w:t>in addition to facility management</w:t>
      </w:r>
      <w:r w:rsidR="00BF2212">
        <w:rPr>
          <w:rFonts w:ascii="Times New Roman" w:hAnsi="Times New Roman"/>
          <w:sz w:val="24"/>
        </w:rPr>
        <w:t xml:space="preserve"> hours</w:t>
      </w:r>
      <w:r w:rsidRPr="00B30D43" w:rsidR="00472679">
        <w:rPr>
          <w:rFonts w:ascii="Times New Roman" w:hAnsi="Times New Roman"/>
          <w:sz w:val="24"/>
        </w:rPr>
        <w:t xml:space="preserve">, attorney hours will be required, along with corporate management time. EPA also estimated </w:t>
      </w:r>
      <w:r w:rsidRPr="00B30D43" w:rsidR="00CC7150">
        <w:rPr>
          <w:rFonts w:ascii="Times New Roman" w:hAnsi="Times New Roman"/>
          <w:sz w:val="24"/>
        </w:rPr>
        <w:t>that engineering</w:t>
      </w:r>
      <w:r w:rsidRPr="00B30D43" w:rsidR="00472679">
        <w:rPr>
          <w:rFonts w:ascii="Times New Roman" w:hAnsi="Times New Roman"/>
          <w:sz w:val="24"/>
        </w:rPr>
        <w:t xml:space="preserve"> and production staff </w:t>
      </w:r>
      <w:r w:rsidR="00F7268B">
        <w:rPr>
          <w:rFonts w:ascii="Times New Roman" w:hAnsi="Times New Roman"/>
          <w:sz w:val="24"/>
        </w:rPr>
        <w:t xml:space="preserve">hours </w:t>
      </w:r>
      <w:r w:rsidRPr="00B30D43" w:rsidR="00472679">
        <w:rPr>
          <w:rFonts w:ascii="Times New Roman" w:hAnsi="Times New Roman"/>
          <w:sz w:val="24"/>
        </w:rPr>
        <w:t>will be required to conduct the analysis.</w:t>
      </w:r>
      <w:r w:rsidR="00EC0F8D">
        <w:rPr>
          <w:rFonts w:ascii="Times New Roman" w:hAnsi="Times New Roman"/>
          <w:sz w:val="24"/>
        </w:rPr>
        <w:t xml:space="preserve"> </w:t>
      </w:r>
      <w:r w:rsidRPr="00EC0F8D" w:rsidR="00EC0F8D">
        <w:rPr>
          <w:rFonts w:ascii="Times New Roman" w:hAnsi="Times New Roman"/>
          <w:sz w:val="24"/>
        </w:rPr>
        <w:t>EPA</w:t>
      </w:r>
      <w:r w:rsidR="00EC0F8D">
        <w:rPr>
          <w:rFonts w:ascii="Times New Roman" w:hAnsi="Times New Roman"/>
          <w:sz w:val="24"/>
        </w:rPr>
        <w:t xml:space="preserve"> r</w:t>
      </w:r>
      <w:r w:rsidRPr="00EC0F8D" w:rsidR="00EC0F8D">
        <w:rPr>
          <w:rFonts w:ascii="Times New Roman" w:hAnsi="Times New Roman"/>
          <w:sz w:val="24"/>
        </w:rPr>
        <w:t>etain</w:t>
      </w:r>
      <w:r w:rsidR="00EC0F8D">
        <w:rPr>
          <w:rFonts w:ascii="Times New Roman" w:hAnsi="Times New Roman"/>
          <w:sz w:val="24"/>
        </w:rPr>
        <w:t>ed</w:t>
      </w:r>
      <w:r w:rsidRPr="00EC0F8D" w:rsidR="00EC0F8D">
        <w:rPr>
          <w:rFonts w:ascii="Times New Roman" w:hAnsi="Times New Roman"/>
          <w:sz w:val="24"/>
        </w:rPr>
        <w:t xml:space="preserve"> the </w:t>
      </w:r>
      <w:r w:rsidR="00F7268B">
        <w:rPr>
          <w:rFonts w:ascii="Times New Roman" w:hAnsi="Times New Roman"/>
          <w:sz w:val="24"/>
        </w:rPr>
        <w:t>assumptions</w:t>
      </w:r>
      <w:r w:rsidRPr="00EC0F8D" w:rsidR="00EC0F8D">
        <w:rPr>
          <w:rFonts w:ascii="Times New Roman" w:hAnsi="Times New Roman"/>
          <w:sz w:val="24"/>
        </w:rPr>
        <w:t xml:space="preserve"> in the amendments rule RIA that simple facility costs include a trained facilitator to assist with the investigation</w:t>
      </w:r>
      <w:r w:rsidR="00486862">
        <w:rPr>
          <w:rFonts w:ascii="Times New Roman" w:hAnsi="Times New Roman"/>
          <w:sz w:val="24"/>
        </w:rPr>
        <w:t xml:space="preserve"> and</w:t>
      </w:r>
      <w:r w:rsidRPr="00EC0F8D" w:rsidR="00EC0F8D">
        <w:rPr>
          <w:rFonts w:ascii="Times New Roman" w:hAnsi="Times New Roman"/>
          <w:sz w:val="24"/>
        </w:rPr>
        <w:t xml:space="preserve"> that complex facilities generally have staff familiar with the methodology and will conduct the root cause analysis in-house.</w:t>
      </w:r>
    </w:p>
    <w:p w:rsidR="00F41FFB" w:rsidP="00EE6FEC" w14:paraId="757FC3F0" w14:textId="3A425F95">
      <w:pPr>
        <w:pStyle w:val="Heading2"/>
        <w:numPr>
          <w:ilvl w:val="0"/>
          <w:numId w:val="0"/>
        </w:numPr>
        <w:spacing w:before="120"/>
        <w:ind w:left="408" w:hanging="408"/>
        <w:rPr>
          <w:rFonts w:ascii="Times New Roman" w:hAnsi="Times New Roman" w:cs="Times New Roman"/>
          <w:b/>
          <w:bCs/>
          <w:color w:val="auto"/>
          <w:sz w:val="24"/>
          <w:szCs w:val="24"/>
        </w:rPr>
      </w:pPr>
      <w:bookmarkStart w:id="95" w:name="_Toc153373801"/>
      <w:r>
        <w:rPr>
          <w:rFonts w:ascii="Times New Roman" w:hAnsi="Times New Roman" w:cs="Times New Roman"/>
          <w:b/>
          <w:bCs/>
          <w:color w:val="auto"/>
          <w:sz w:val="24"/>
          <w:szCs w:val="24"/>
        </w:rPr>
        <w:t>7.2</w:t>
      </w:r>
      <w:r>
        <w:rPr>
          <w:rFonts w:ascii="Times New Roman" w:hAnsi="Times New Roman" w:cs="Times New Roman"/>
          <w:b/>
          <w:bCs/>
          <w:color w:val="auto"/>
          <w:sz w:val="24"/>
          <w:szCs w:val="24"/>
        </w:rPr>
        <w:tab/>
      </w:r>
      <w:r w:rsidRPr="006F68E9">
        <w:rPr>
          <w:rFonts w:ascii="Times New Roman" w:hAnsi="Times New Roman" w:cs="Times New Roman"/>
          <w:b/>
          <w:bCs/>
          <w:color w:val="auto"/>
          <w:sz w:val="24"/>
          <w:szCs w:val="24"/>
        </w:rPr>
        <w:t xml:space="preserve">“Near </w:t>
      </w:r>
      <w:r>
        <w:rPr>
          <w:rFonts w:ascii="Times New Roman" w:hAnsi="Times New Roman" w:cs="Times New Roman"/>
          <w:b/>
          <w:bCs/>
          <w:color w:val="auto"/>
          <w:sz w:val="24"/>
          <w:szCs w:val="24"/>
        </w:rPr>
        <w:t>m</w:t>
      </w:r>
      <w:r w:rsidRPr="006F68E9">
        <w:rPr>
          <w:rFonts w:ascii="Times New Roman" w:hAnsi="Times New Roman" w:cs="Times New Roman"/>
          <w:b/>
          <w:bCs/>
          <w:color w:val="auto"/>
          <w:sz w:val="24"/>
          <w:szCs w:val="24"/>
        </w:rPr>
        <w:t xml:space="preserve">iss” </w:t>
      </w:r>
      <w:r>
        <w:rPr>
          <w:rFonts w:ascii="Times New Roman" w:hAnsi="Times New Roman" w:cs="Times New Roman"/>
          <w:b/>
          <w:bCs/>
          <w:color w:val="auto"/>
          <w:sz w:val="24"/>
          <w:szCs w:val="24"/>
        </w:rPr>
        <w:t>d</w:t>
      </w:r>
      <w:r w:rsidRPr="006F68E9">
        <w:rPr>
          <w:rFonts w:ascii="Times New Roman" w:hAnsi="Times New Roman" w:cs="Times New Roman"/>
          <w:b/>
          <w:bCs/>
          <w:color w:val="auto"/>
          <w:sz w:val="24"/>
          <w:szCs w:val="24"/>
        </w:rPr>
        <w:t>efinition</w:t>
      </w:r>
      <w:bookmarkEnd w:id="95"/>
    </w:p>
    <w:p w:rsidR="00F41FFB" w:rsidRPr="00EE5600" w:rsidP="00F41FFB" w14:paraId="418CD6A2" w14:textId="77777777">
      <w:pPr>
        <w:rPr>
          <w:rFonts w:ascii="Times New Roman" w:hAnsi="Times New Roman"/>
          <w:i/>
          <w:sz w:val="24"/>
        </w:rPr>
      </w:pPr>
      <w:r w:rsidRPr="00EE5600">
        <w:rPr>
          <w:rFonts w:ascii="Times New Roman" w:hAnsi="Times New Roman"/>
          <w:i/>
          <w:sz w:val="24"/>
        </w:rPr>
        <w:t>Comments associated with this issue are discussed in the sub-issues below.</w:t>
      </w:r>
    </w:p>
    <w:p w:rsidR="00F41FFB" w:rsidRPr="006F68E9" w:rsidP="00EE6FEC" w14:paraId="5312D5D9" w14:textId="77777777">
      <w:pPr>
        <w:pStyle w:val="Heading3"/>
        <w:spacing w:before="120" w:after="120"/>
        <w:rPr>
          <w:rFonts w:ascii="Times New Roman" w:hAnsi="Times New Roman"/>
          <w:color w:val="auto"/>
        </w:rPr>
      </w:pPr>
      <w:bookmarkStart w:id="96" w:name="_Toc146880014"/>
      <w:bookmarkStart w:id="97" w:name="_Toc153373802"/>
      <w:r>
        <w:rPr>
          <w:rFonts w:ascii="Times New Roman" w:hAnsi="Times New Roman"/>
          <w:color w:val="auto"/>
        </w:rPr>
        <w:t xml:space="preserve">7.2.1 </w:t>
      </w:r>
      <w:r w:rsidRPr="006F68E9">
        <w:rPr>
          <w:rFonts w:ascii="Times New Roman" w:hAnsi="Times New Roman"/>
          <w:color w:val="auto"/>
        </w:rPr>
        <w:t>Potential definition</w:t>
      </w:r>
      <w:bookmarkEnd w:id="96"/>
      <w:bookmarkEnd w:id="97"/>
    </w:p>
    <w:p w:rsidR="00F41FFB" w:rsidP="00F41FFB" w14:paraId="14A2CD3C" w14:textId="77777777">
      <w:pPr>
        <w:rPr>
          <w:rFonts w:ascii="Times New Roman" w:hAnsi="Times New Roman"/>
          <w:sz w:val="24"/>
        </w:rPr>
      </w:pPr>
      <w:r>
        <w:rPr>
          <w:rFonts w:ascii="Times New Roman" w:hAnsi="Times New Roman"/>
          <w:b/>
          <w:bCs/>
          <w:sz w:val="24"/>
        </w:rPr>
        <w:t xml:space="preserve">Comment 7.2.1-01: </w:t>
      </w:r>
      <w:r w:rsidRPr="2462FB5A">
        <w:rPr>
          <w:rFonts w:ascii="Times New Roman" w:hAnsi="Times New Roman"/>
          <w:sz w:val="24"/>
        </w:rPr>
        <w:t>Several commenters supported the development of a definition of “near miss” (0139, 0202, 0243, 0248, 0263, 0460). Additionally, one commenter expressed a concern about selective enforcement in the absence of a clarifying definition (0268), while another commenter said that without specificity to define a near miss, the language might have established due process concerns as the proposal failed to provide adequate notice to the regulated community (0202).</w:t>
      </w:r>
    </w:p>
    <w:p w:rsidR="00F41FFB" w:rsidRPr="006F68E9" w:rsidP="00F41FFB" w14:paraId="44A843C0" w14:textId="77777777">
      <w:pPr>
        <w:rPr>
          <w:rFonts w:ascii="Times New Roman" w:hAnsi="Times New Roman"/>
          <w:sz w:val="24"/>
        </w:rPr>
      </w:pPr>
      <w:r w:rsidRPr="006F68E9">
        <w:rPr>
          <w:rFonts w:ascii="Times New Roman" w:hAnsi="Times New Roman"/>
          <w:sz w:val="24"/>
        </w:rPr>
        <w:t xml:space="preserve">One of the commenters suggested that EPA add a definition to comply with the CSB’s recommendations (0460). Another commenter noted that any definition must be clear and narrow to prevent placing undue burdensome reporting requirements on local governments (0243). </w:t>
      </w:r>
    </w:p>
    <w:p w:rsidR="00F41FFB" w:rsidP="00F41FFB" w14:paraId="063BE522" w14:textId="77777777">
      <w:pPr>
        <w:rPr>
          <w:rFonts w:ascii="Times New Roman" w:hAnsi="Times New Roman"/>
          <w:sz w:val="24"/>
        </w:rPr>
      </w:pPr>
      <w:r w:rsidRPr="006F68E9">
        <w:rPr>
          <w:rFonts w:ascii="Times New Roman" w:hAnsi="Times New Roman"/>
          <w:sz w:val="24"/>
        </w:rPr>
        <w:t xml:space="preserve">A few commenters recommended that EPA consult with various industries to develop tailored definitions and to better understand the impacts of a particular definition of near miss. The </w:t>
      </w:r>
      <w:r w:rsidRPr="006F68E9">
        <w:rPr>
          <w:rFonts w:ascii="Times New Roman" w:hAnsi="Times New Roman"/>
          <w:sz w:val="24"/>
        </w:rPr>
        <w:t xml:space="preserve">commenters suggested that industry-specific definitions would reduce response costs and provide clarity to facilities (0232, 0237, 0272). </w:t>
      </w:r>
    </w:p>
    <w:p w:rsidR="00F41FFB" w:rsidRPr="006F68E9" w:rsidP="00F41FFB" w14:paraId="42D20EA9" w14:textId="77777777">
      <w:pPr>
        <w:rPr>
          <w:rFonts w:ascii="Times New Roman" w:hAnsi="Times New Roman"/>
          <w:sz w:val="24"/>
        </w:rPr>
      </w:pPr>
      <w:r w:rsidRPr="006F68E9">
        <w:rPr>
          <w:rFonts w:ascii="Times New Roman" w:hAnsi="Times New Roman"/>
          <w:sz w:val="24"/>
        </w:rPr>
        <w:t xml:space="preserve">Several commenters requested that EPA adopt a definition of near miss that aligns with what is included in the OSHA PSM standard to create consistency between the regulations. The commenters noted that OSHA defines a near miss as a situation </w:t>
      </w:r>
      <w:r>
        <w:rPr>
          <w:rFonts w:ascii="Times New Roman" w:hAnsi="Times New Roman"/>
          <w:sz w:val="24"/>
        </w:rPr>
        <w:t>“</w:t>
      </w:r>
      <w:r w:rsidRPr="006F68E9">
        <w:rPr>
          <w:rFonts w:ascii="Times New Roman" w:hAnsi="Times New Roman"/>
          <w:sz w:val="24"/>
        </w:rPr>
        <w:t>in which a worker might have been hurt if the circumstances had been slightly different</w:t>
      </w:r>
      <w:r>
        <w:rPr>
          <w:rFonts w:ascii="Times New Roman" w:hAnsi="Times New Roman"/>
          <w:sz w:val="24"/>
        </w:rPr>
        <w:t>”</w:t>
      </w:r>
      <w:r w:rsidRPr="006F68E9">
        <w:rPr>
          <w:rFonts w:ascii="Times New Roman" w:hAnsi="Times New Roman"/>
          <w:sz w:val="24"/>
        </w:rPr>
        <w:t xml:space="preserve"> (0180, 0205, 0217, 0226, 0234, 0458).</w:t>
      </w:r>
    </w:p>
    <w:p w:rsidR="00F41FFB" w:rsidRPr="00CE21BC" w:rsidP="00F41FFB" w14:paraId="0F8943E9" w14:textId="0590677C">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FF5010">
        <w:rPr>
          <w:rFonts w:ascii="Times New Roman" w:hAnsi="Times New Roman"/>
          <w:sz w:val="24"/>
        </w:rPr>
        <w:t>EPA did not propose</w:t>
      </w:r>
      <w:r w:rsidR="004669CF">
        <w:rPr>
          <w:rFonts w:ascii="Times New Roman" w:hAnsi="Times New Roman"/>
          <w:sz w:val="24"/>
        </w:rPr>
        <w:t xml:space="preserve">, and it therefore not finalizing, </w:t>
      </w:r>
      <w:r w:rsidRPr="00FF5010">
        <w:rPr>
          <w:rFonts w:ascii="Times New Roman" w:hAnsi="Times New Roman"/>
          <w:sz w:val="24"/>
        </w:rPr>
        <w:t xml:space="preserve">a </w:t>
      </w:r>
      <w:r w:rsidR="004669CF">
        <w:rPr>
          <w:rFonts w:ascii="Times New Roman" w:hAnsi="Times New Roman"/>
          <w:sz w:val="24"/>
        </w:rPr>
        <w:t xml:space="preserve">regulatory </w:t>
      </w:r>
      <w:r w:rsidRPr="00FF5010">
        <w:rPr>
          <w:rFonts w:ascii="Times New Roman" w:hAnsi="Times New Roman"/>
          <w:sz w:val="24"/>
        </w:rPr>
        <w:t>definition of near miss. However, EPA will consider these comments when determining whether to develop a regulatory definition of “near miss” to identify incidents that require investigation in a future action.</w:t>
      </w:r>
    </w:p>
    <w:p w:rsidR="00F41FFB" w:rsidP="00F41FFB" w14:paraId="1FFF054F" w14:textId="77777777">
      <w:pPr>
        <w:rPr>
          <w:rFonts w:ascii="Times New Roman" w:hAnsi="Times New Roman"/>
          <w:sz w:val="24"/>
        </w:rPr>
      </w:pPr>
      <w:r>
        <w:rPr>
          <w:rFonts w:ascii="Times New Roman" w:hAnsi="Times New Roman"/>
          <w:b/>
          <w:bCs/>
          <w:sz w:val="24"/>
        </w:rPr>
        <w:t>Comment 7.2.1-02:</w:t>
      </w:r>
      <w:r w:rsidRPr="2462FB5A">
        <w:rPr>
          <w:rFonts w:ascii="Times New Roman" w:hAnsi="Times New Roman"/>
          <w:sz w:val="24"/>
        </w:rPr>
        <w:t xml:space="preserve"> </w:t>
      </w:r>
      <w:r>
        <w:rPr>
          <w:rFonts w:ascii="Times New Roman" w:hAnsi="Times New Roman"/>
          <w:sz w:val="24"/>
        </w:rPr>
        <w:t>S</w:t>
      </w:r>
      <w:r w:rsidRPr="2462FB5A">
        <w:rPr>
          <w:rFonts w:ascii="Times New Roman" w:hAnsi="Times New Roman"/>
          <w:sz w:val="24"/>
        </w:rPr>
        <w:t xml:space="preserve">everal commenters opposed the development of a definition for “near miss” (0173, 0207, 0215, 0230, 0232, 0237, 0245, 0253, 0275). </w:t>
      </w:r>
    </w:p>
    <w:p w:rsidR="00F41FFB" w:rsidRPr="006F68E9" w:rsidP="00F41FFB" w14:paraId="157B5C01" w14:textId="77777777">
      <w:pPr>
        <w:rPr>
          <w:rFonts w:ascii="Times New Roman" w:hAnsi="Times New Roman"/>
          <w:sz w:val="24"/>
        </w:rPr>
      </w:pPr>
      <w:r w:rsidRPr="2462FB5A">
        <w:rPr>
          <w:rFonts w:ascii="Times New Roman" w:hAnsi="Times New Roman"/>
          <w:sz w:val="24"/>
        </w:rPr>
        <w:t>One of the commenters stated that they oppose a definition due to the broad nature of facilities subject to the rule (0230). Another commenter suggested that EPA provide guidance on near misses but allow facilities to determine their own definition. The commenter offered that this approach would foster a safety culture that encourages discussion and reporting of a near miss (0237).</w:t>
      </w:r>
    </w:p>
    <w:p w:rsidR="00F41FFB" w:rsidRPr="006F68E9" w:rsidP="00F41FFB" w14:paraId="38853D99" w14:textId="77777777">
      <w:pPr>
        <w:rPr>
          <w:rFonts w:ascii="Times New Roman" w:hAnsi="Times New Roman"/>
          <w:sz w:val="24"/>
        </w:rPr>
      </w:pPr>
      <w:r w:rsidRPr="006F68E9">
        <w:rPr>
          <w:rFonts w:ascii="Times New Roman" w:hAnsi="Times New Roman"/>
          <w:sz w:val="24"/>
        </w:rPr>
        <w:t xml:space="preserve">One commenter noted that the California Accidental Release Prevention Program included a requirement for a root cause analysis to be completed for major incidents and incidents that could reasonably have results in a major incident, and therefore there was no need to define near miss (0173). </w:t>
      </w:r>
    </w:p>
    <w:p w:rsidR="00F41FFB" w:rsidP="00F41FFB" w14:paraId="6A98E900" w14:textId="77777777">
      <w:pPr>
        <w:rPr>
          <w:rFonts w:ascii="Times New Roman" w:hAnsi="Times New Roman"/>
          <w:sz w:val="24"/>
        </w:rPr>
      </w:pPr>
      <w:r>
        <w:rPr>
          <w:rFonts w:ascii="Times New Roman" w:hAnsi="Times New Roman"/>
          <w:sz w:val="24"/>
        </w:rPr>
        <w:t xml:space="preserve">One </w:t>
      </w:r>
      <w:r w:rsidRPr="2462FB5A">
        <w:rPr>
          <w:rFonts w:ascii="Times New Roman" w:hAnsi="Times New Roman"/>
          <w:sz w:val="24"/>
        </w:rPr>
        <w:t xml:space="preserve">commenter stated that the term is familiar to industry and developing a definition would be difficult due to the context required to determine what a near miss is (0215). </w:t>
      </w:r>
      <w:r w:rsidRPr="006F68E9">
        <w:rPr>
          <w:rFonts w:ascii="Times New Roman" w:hAnsi="Times New Roman"/>
          <w:sz w:val="24"/>
        </w:rPr>
        <w:t xml:space="preserve">One commenter noted that EPA has shown that developing a definition is virtually impossible, and most suggested definitions have been vague and broad that would result in root cause analyses to be conducted for every or most near miss incidents, which would create significant burdens for facilities with no benefit (0207). </w:t>
      </w:r>
    </w:p>
    <w:p w:rsidR="00F41FFB" w:rsidRPr="006F68E9" w:rsidP="00F41FFB" w14:paraId="072F9DB7"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suggested that the current language is sufficient to require facilities to investigate near misses, and a more prescriptive definition would cause confusion (0275). </w:t>
      </w:r>
      <w:r>
        <w:rPr>
          <w:rFonts w:ascii="Times New Roman" w:hAnsi="Times New Roman"/>
          <w:sz w:val="24"/>
        </w:rPr>
        <w:t xml:space="preserve">Another </w:t>
      </w:r>
      <w:r w:rsidRPr="006F68E9">
        <w:rPr>
          <w:rFonts w:ascii="Times New Roman" w:hAnsi="Times New Roman"/>
          <w:sz w:val="24"/>
        </w:rPr>
        <w:t xml:space="preserve">commenter </w:t>
      </w:r>
      <w:r>
        <w:rPr>
          <w:rFonts w:ascii="Times New Roman" w:hAnsi="Times New Roman"/>
          <w:sz w:val="24"/>
        </w:rPr>
        <w:t>echoed</w:t>
      </w:r>
      <w:r w:rsidRPr="006F68E9">
        <w:rPr>
          <w:rFonts w:ascii="Times New Roman" w:hAnsi="Times New Roman"/>
          <w:sz w:val="24"/>
        </w:rPr>
        <w:t xml:space="preserve"> that the current definition of near miss captures most, if not all, of the near miss-type incidents, and since most RMP-covered processes are unique, a universal definition would not be workable (0210). </w:t>
      </w:r>
    </w:p>
    <w:p w:rsidR="00F41FFB" w:rsidRPr="006F68E9" w:rsidP="00F41FFB" w14:paraId="48C21A7F"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asserted</w:t>
      </w:r>
      <w:r w:rsidRPr="006F68E9">
        <w:rPr>
          <w:rFonts w:ascii="Times New Roman" w:hAnsi="Times New Roman"/>
          <w:sz w:val="24"/>
        </w:rPr>
        <w:t xml:space="preserve"> that the activation of engineering controls should not be considered a near miss, and EPA has not provided a justification for the collection and associated value of this type of data from facilities (0239).</w:t>
      </w:r>
    </w:p>
    <w:p w:rsidR="00F41FFB" w:rsidRPr="00B9624F" w:rsidP="00546025" w14:paraId="597F49A2" w14:textId="44054332">
      <w:pPr>
        <w:ind w:left="720"/>
        <w:rPr>
          <w:rFonts w:ascii="Times New Roman" w:hAnsi="Times New Roman"/>
          <w:sz w:val="24"/>
        </w:rPr>
      </w:pPr>
      <w:r>
        <w:rPr>
          <w:rFonts w:ascii="Times New Roman" w:hAnsi="Times New Roman"/>
          <w:b/>
          <w:bCs/>
          <w:sz w:val="24"/>
        </w:rPr>
        <w:t>EPA Response:</w:t>
      </w:r>
      <w:r w:rsidRPr="00804B4D">
        <w:rPr>
          <w:rFonts w:ascii="Times New Roman" w:hAnsi="Times New Roman"/>
          <w:sz w:val="24"/>
        </w:rPr>
        <w:t xml:space="preserve"> </w:t>
      </w:r>
      <w:r w:rsidRPr="00B9624F">
        <w:rPr>
          <w:rFonts w:ascii="Times New Roman" w:hAnsi="Times New Roman"/>
          <w:sz w:val="24"/>
        </w:rPr>
        <w:t xml:space="preserve">EPA </w:t>
      </w:r>
      <w:r w:rsidR="00C03D46">
        <w:rPr>
          <w:rFonts w:ascii="Times New Roman" w:hAnsi="Times New Roman"/>
          <w:sz w:val="24"/>
        </w:rPr>
        <w:t>did not propose</w:t>
      </w:r>
      <w:r w:rsidR="004669CF">
        <w:rPr>
          <w:rFonts w:ascii="Times New Roman" w:hAnsi="Times New Roman"/>
          <w:sz w:val="24"/>
        </w:rPr>
        <w:t>,</w:t>
      </w:r>
      <w:r w:rsidR="00C03D46">
        <w:rPr>
          <w:rFonts w:ascii="Times New Roman" w:hAnsi="Times New Roman"/>
          <w:sz w:val="24"/>
        </w:rPr>
        <w:t xml:space="preserve"> and </w:t>
      </w:r>
      <w:r w:rsidRPr="00B9624F">
        <w:rPr>
          <w:rFonts w:ascii="Times New Roman" w:hAnsi="Times New Roman"/>
          <w:sz w:val="24"/>
        </w:rPr>
        <w:t xml:space="preserve">is </w:t>
      </w:r>
      <w:r w:rsidR="005B3A10">
        <w:rPr>
          <w:rFonts w:ascii="Times New Roman" w:hAnsi="Times New Roman"/>
          <w:sz w:val="24"/>
        </w:rPr>
        <w:t xml:space="preserve">therefore </w:t>
      </w:r>
      <w:r>
        <w:rPr>
          <w:rFonts w:ascii="Times New Roman" w:hAnsi="Times New Roman"/>
          <w:sz w:val="24"/>
        </w:rPr>
        <w:t xml:space="preserve">not </w:t>
      </w:r>
      <w:r w:rsidRPr="00B9624F">
        <w:rPr>
          <w:rFonts w:ascii="Times New Roman" w:hAnsi="Times New Roman"/>
          <w:sz w:val="24"/>
        </w:rPr>
        <w:t>finaliz</w:t>
      </w:r>
      <w:r>
        <w:rPr>
          <w:rFonts w:ascii="Times New Roman" w:hAnsi="Times New Roman"/>
          <w:sz w:val="24"/>
        </w:rPr>
        <w:t>ing</w:t>
      </w:r>
      <w:r w:rsidR="004669CF">
        <w:rPr>
          <w:rFonts w:ascii="Times New Roman" w:hAnsi="Times New Roman"/>
          <w:sz w:val="24"/>
        </w:rPr>
        <w:t>,</w:t>
      </w:r>
      <w:r w:rsidRPr="00B9624F">
        <w:rPr>
          <w:rFonts w:ascii="Times New Roman" w:hAnsi="Times New Roman"/>
          <w:sz w:val="24"/>
        </w:rPr>
        <w:t xml:space="preserve"> a regulatory definition of near miss. </w:t>
      </w:r>
      <w:r w:rsidR="004669CF">
        <w:rPr>
          <w:rFonts w:ascii="Times New Roman" w:hAnsi="Times New Roman"/>
          <w:sz w:val="24"/>
        </w:rPr>
        <w:t xml:space="preserve">However, </w:t>
      </w:r>
      <w:r w:rsidRPr="00FF5010" w:rsidR="00546025">
        <w:rPr>
          <w:rFonts w:ascii="Times New Roman" w:hAnsi="Times New Roman"/>
          <w:sz w:val="24"/>
        </w:rPr>
        <w:t>EPA will consider these comments when determining whether to develop a regulatory definition of “near miss” to identify incidents that require investigation in a future action.</w:t>
      </w:r>
    </w:p>
    <w:p w:rsidR="00F41FFB" w:rsidRPr="00AB46FA" w:rsidP="00A76904" w14:paraId="0338C158" w14:textId="77777777">
      <w:pPr>
        <w:pStyle w:val="Heading3"/>
        <w:spacing w:before="120" w:after="120"/>
        <w:rPr>
          <w:rFonts w:ascii="Times New Roman" w:hAnsi="Times New Roman"/>
          <w:color w:val="auto"/>
        </w:rPr>
      </w:pPr>
      <w:bookmarkStart w:id="98" w:name="_Toc146880015"/>
      <w:bookmarkStart w:id="99" w:name="_Toc153373803"/>
      <w:r>
        <w:rPr>
          <w:rFonts w:ascii="Times New Roman" w:hAnsi="Times New Roman"/>
          <w:color w:val="auto"/>
        </w:rPr>
        <w:t xml:space="preserve">7.2.2 </w:t>
      </w:r>
      <w:r w:rsidRPr="006F68E9">
        <w:rPr>
          <w:rFonts w:ascii="Times New Roman" w:hAnsi="Times New Roman"/>
          <w:color w:val="auto"/>
        </w:rPr>
        <w:t>Universal definition</w:t>
      </w:r>
      <w:bookmarkEnd w:id="98"/>
      <w:bookmarkEnd w:id="99"/>
      <w:r w:rsidRPr="006F68E9">
        <w:rPr>
          <w:rFonts w:ascii="Times New Roman" w:hAnsi="Times New Roman"/>
          <w:color w:val="auto"/>
        </w:rPr>
        <w:t xml:space="preserve"> </w:t>
      </w:r>
    </w:p>
    <w:p w:rsidR="00F41FFB" w:rsidRPr="00AB46FA" w:rsidP="00F41FFB" w14:paraId="335DF941" w14:textId="77777777">
      <w:pPr>
        <w:rPr>
          <w:rFonts w:ascii="Times New Roman" w:eastAsia="Times New Roman" w:hAnsi="Times New Roman"/>
          <w:color w:val="000000" w:themeColor="text1"/>
          <w:sz w:val="24"/>
        </w:rPr>
      </w:pPr>
      <w:r>
        <w:rPr>
          <w:rFonts w:ascii="Times New Roman" w:hAnsi="Times New Roman"/>
          <w:b/>
          <w:bCs/>
          <w:sz w:val="24"/>
        </w:rPr>
        <w:t xml:space="preserve">Comment 7.2.2-01: </w:t>
      </w:r>
      <w:r w:rsidRPr="2462FB5A">
        <w:rPr>
          <w:rFonts w:ascii="Times New Roman" w:hAnsi="Times New Roman"/>
          <w:sz w:val="24"/>
        </w:rPr>
        <w:t xml:space="preserve">Several commenters opposed a universal definition of near miss, </w:t>
      </w:r>
      <w:r>
        <w:rPr>
          <w:rFonts w:ascii="Times New Roman" w:hAnsi="Times New Roman"/>
          <w:sz w:val="24"/>
        </w:rPr>
        <w:t>asserting that</w:t>
      </w:r>
      <w:r w:rsidRPr="2462FB5A">
        <w:rPr>
          <w:rFonts w:ascii="Times New Roman" w:hAnsi="Times New Roman"/>
          <w:sz w:val="24"/>
        </w:rPr>
        <w:t xml:space="preserve"> a one-size-fits-all approach will be overburdensome and challenging for facilities to </w:t>
      </w:r>
      <w:r w:rsidRPr="2462FB5A">
        <w:rPr>
          <w:rFonts w:ascii="Times New Roman" w:hAnsi="Times New Roman"/>
          <w:sz w:val="24"/>
        </w:rPr>
        <w:t>implement (0210, 0230, 0237, 0239).</w:t>
      </w:r>
      <w:r>
        <w:rPr>
          <w:rFonts w:ascii="Times New Roman" w:hAnsi="Times New Roman"/>
          <w:sz w:val="24"/>
        </w:rPr>
        <w:t xml:space="preserve"> Another commenter</w:t>
      </w:r>
      <w:r w:rsidRPr="006F68E9">
        <w:rPr>
          <w:rFonts w:ascii="Times New Roman" w:hAnsi="Times New Roman"/>
          <w:sz w:val="24"/>
        </w:rPr>
        <w:t xml:space="preserve"> </w:t>
      </w:r>
      <w:r>
        <w:rPr>
          <w:rFonts w:ascii="Times New Roman" w:hAnsi="Times New Roman"/>
          <w:sz w:val="24"/>
        </w:rPr>
        <w:t xml:space="preserve">stated </w:t>
      </w:r>
      <w:r w:rsidRPr="006F68E9">
        <w:rPr>
          <w:rFonts w:ascii="Times New Roman" w:hAnsi="Times New Roman"/>
          <w:sz w:val="24"/>
        </w:rPr>
        <w:t xml:space="preserve">that the proposed definition of near miss would require small facilities to retain expensive expert consultants to perform complex analysis for every potential accidental release (0245). </w:t>
      </w:r>
    </w:p>
    <w:p w:rsidR="00F41FFB" w:rsidRPr="00CE21BC" w:rsidP="00F41FFB" w14:paraId="372FF381" w14:textId="5ECB7232">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FF5010">
        <w:rPr>
          <w:rFonts w:ascii="Times New Roman" w:hAnsi="Times New Roman"/>
          <w:sz w:val="24"/>
        </w:rPr>
        <w:t>EPA did not propose</w:t>
      </w:r>
      <w:r w:rsidR="004669CF">
        <w:rPr>
          <w:rFonts w:ascii="Times New Roman" w:hAnsi="Times New Roman"/>
          <w:sz w:val="24"/>
        </w:rPr>
        <w:t>, and is therefore not finalizing,</w:t>
      </w:r>
      <w:r w:rsidRPr="00FF5010">
        <w:rPr>
          <w:rFonts w:ascii="Times New Roman" w:hAnsi="Times New Roman"/>
          <w:sz w:val="24"/>
        </w:rPr>
        <w:t xml:space="preserve"> a </w:t>
      </w:r>
      <w:r w:rsidR="004669CF">
        <w:rPr>
          <w:rFonts w:ascii="Times New Roman" w:hAnsi="Times New Roman"/>
          <w:sz w:val="24"/>
        </w:rPr>
        <w:t xml:space="preserve">regulatory </w:t>
      </w:r>
      <w:r w:rsidRPr="00FF5010">
        <w:rPr>
          <w:rFonts w:ascii="Times New Roman" w:hAnsi="Times New Roman"/>
          <w:sz w:val="24"/>
        </w:rPr>
        <w:t>definition of near miss. However, EPA will consider these comments when determining whether to develop a regulatory definition of “near miss” to identify incidents that require investigation in a future action.</w:t>
      </w:r>
    </w:p>
    <w:p w:rsidR="00F41FFB" w:rsidRPr="006F68E9" w:rsidP="00F41FFB" w14:paraId="459D71E2" w14:textId="77777777">
      <w:pPr>
        <w:rPr>
          <w:rFonts w:ascii="Times New Roman" w:hAnsi="Times New Roman"/>
          <w:sz w:val="24"/>
        </w:rPr>
      </w:pPr>
      <w:r>
        <w:rPr>
          <w:rFonts w:ascii="Times New Roman" w:hAnsi="Times New Roman"/>
          <w:b/>
          <w:bCs/>
          <w:sz w:val="24"/>
        </w:rPr>
        <w:t xml:space="preserve">Comment 7.2.2-02: </w:t>
      </w:r>
      <w:r w:rsidRPr="006F68E9">
        <w:rPr>
          <w:rFonts w:ascii="Times New Roman" w:hAnsi="Times New Roman"/>
          <w:sz w:val="24"/>
        </w:rPr>
        <w:t xml:space="preserve">One commenter indicated that the draft text of the NJDEP definition of near miss would be more beneficial than the current wording (0173). Several commenters opposed the adoption of the NJDEP proposed definition of near miss due to its broad nature that would encompass a burdensome number of incidents (0193, 0196, 0207, 0224, 0229, 0215, 0230, 0232, 0237, 0238, 0253, 0272, 0275). One of the commenters </w:t>
      </w:r>
      <w:r>
        <w:rPr>
          <w:rFonts w:ascii="Times New Roman" w:hAnsi="Times New Roman"/>
          <w:sz w:val="24"/>
        </w:rPr>
        <w:t>stated</w:t>
      </w:r>
      <w:r w:rsidRPr="006F68E9">
        <w:rPr>
          <w:rFonts w:ascii="Times New Roman" w:hAnsi="Times New Roman"/>
          <w:sz w:val="24"/>
        </w:rPr>
        <w:t xml:space="preserve"> that the NJDEP language is too broad and would include minor incidences that would directly or indirectly affect the release of a regulated substance, which would be overly burdensome to a facility to investigate (0196). </w:t>
      </w:r>
    </w:p>
    <w:p w:rsidR="00F41FFB" w:rsidRPr="006F68E9" w:rsidP="00F41FFB" w14:paraId="4426B2A8" w14:textId="77777777">
      <w:pPr>
        <w:rPr>
          <w:rFonts w:ascii="Times New Roman" w:hAnsi="Times New Roman"/>
          <w:sz w:val="24"/>
        </w:rPr>
      </w:pPr>
      <w:r w:rsidRPr="006F68E9">
        <w:rPr>
          <w:rFonts w:ascii="Times New Roman" w:hAnsi="Times New Roman"/>
          <w:sz w:val="24"/>
        </w:rPr>
        <w:t>Several commenters also indicated that the NJDEP language would include scenarios where mitigation systems or engineering controls are successfully deployed to prevent or mitigate and accidental release, which is not a good example of a near miss (0207, 0215, 0224, 238, 0239, 0272). One of the commenters suggested that a definition of near miss excludes incident investigation requirements related to normal operation of devices such as relief valves and vapor release alarms that operate as intended during the ordinary course of facility operations (0224). Another commenter noted that under the NJDEP definition, a temporary loss of power and use of a backup generator would also fall under the definition of a near miss (0207). One commenter noted that the NJDEP definition includes the undefined term “incident” in the definition. The commenter noted that the NJDEP definition would inappropriately include fugitive emissions as incidents (0193).</w:t>
      </w:r>
    </w:p>
    <w:p w:rsidR="00F41FFB" w:rsidRPr="006F68E9" w:rsidP="00F41FFB" w14:paraId="1BA0C2C8" w14:textId="77777777">
      <w:pPr>
        <w:rPr>
          <w:rFonts w:ascii="Times New Roman" w:hAnsi="Times New Roman"/>
          <w:sz w:val="24"/>
        </w:rPr>
      </w:pPr>
      <w:r w:rsidRPr="00711147">
        <w:rPr>
          <w:rFonts w:ascii="Times New Roman" w:hAnsi="Times New Roman"/>
          <w:sz w:val="24"/>
        </w:rPr>
        <w:t>Another commenter recommended combining the NJDEP and CCPS definitions to include CCPS’s references to weather conditions and incident qualifiers, such as “adherence to procedure” (0241).</w:t>
      </w:r>
      <w:r w:rsidRPr="0023284B">
        <w:rPr>
          <w:rFonts w:ascii="Times New Roman" w:hAnsi="Times New Roman"/>
          <w:sz w:val="24"/>
        </w:rPr>
        <w:t xml:space="preserve"> </w:t>
      </w:r>
      <w:r w:rsidRPr="006F68E9">
        <w:rPr>
          <w:rFonts w:ascii="Times New Roman" w:hAnsi="Times New Roman"/>
          <w:sz w:val="24"/>
        </w:rPr>
        <w:t xml:space="preserve">One commenter noted that the definition also requires speculation on whether an incident on a nearby non-RMP process creates the potential to cause an accidental release (0238). A few commenters </w:t>
      </w:r>
      <w:r>
        <w:rPr>
          <w:rFonts w:ascii="Times New Roman" w:hAnsi="Times New Roman"/>
          <w:sz w:val="24"/>
        </w:rPr>
        <w:t>stated</w:t>
      </w:r>
      <w:r w:rsidRPr="006F68E9">
        <w:rPr>
          <w:rFonts w:ascii="Times New Roman" w:hAnsi="Times New Roman"/>
          <w:sz w:val="24"/>
        </w:rPr>
        <w:t xml:space="preserve"> that a process upset is not a good example of a near miss (0207, 0215, 0229). Several commenters opposed the adoption of the CCPS proposed definition of near miss due to its broad nature (0207, 0229, 0232, 0237, 0238, 0253, 0272). A couple of the commenters opposed the CCPS definition because it would require speculation on what may have resulted if an incident occurred under slightly different circumstances, which could lead to endless root cause analyses with no added benefit to the facility or community. The commenters suggested that the definition is too broad to achieve uniform implementation across all RMP processes and facilities (0207, 0238). A couple of commenters </w:t>
      </w:r>
      <w:r>
        <w:rPr>
          <w:rFonts w:ascii="Times New Roman" w:hAnsi="Times New Roman"/>
          <w:sz w:val="24"/>
        </w:rPr>
        <w:t>stated</w:t>
      </w:r>
      <w:r w:rsidRPr="006F68E9">
        <w:rPr>
          <w:rFonts w:ascii="Times New Roman" w:hAnsi="Times New Roman"/>
          <w:sz w:val="24"/>
        </w:rPr>
        <w:t xml:space="preserve"> that the definition of near miss is subjective, which would dilute the quality of safety reviews by applying them to low consequence, higher frequency events (0229, 0232). </w:t>
      </w:r>
    </w:p>
    <w:p w:rsidR="00F41FFB" w:rsidP="00F41FFB" w14:paraId="015D2DC7" w14:textId="77777777">
      <w:pPr>
        <w:rPr>
          <w:rFonts w:ascii="Times New Roman" w:hAnsi="Times New Roman"/>
          <w:sz w:val="24"/>
        </w:rPr>
      </w:pPr>
      <w:r w:rsidRPr="006F68E9">
        <w:rPr>
          <w:rFonts w:ascii="Times New Roman" w:hAnsi="Times New Roman"/>
          <w:sz w:val="24"/>
        </w:rPr>
        <w:t xml:space="preserve">One commenter suggested that the CCPS definition is too narrow and could constrain investigation processes, as it suggests that all incidents be linked to a management system failure, which is not always possible (0233). </w:t>
      </w:r>
    </w:p>
    <w:p w:rsidR="00F41FFB" w:rsidRPr="00174C8A" w:rsidP="00F41FFB" w14:paraId="6EB1EAD4" w14:textId="4C8B1FF2">
      <w:pPr>
        <w:ind w:left="720"/>
        <w:rPr>
          <w:rFonts w:ascii="Times New Roman" w:hAnsi="Times New Roman"/>
          <w:b/>
          <w:bCs/>
          <w:sz w:val="24"/>
        </w:rPr>
      </w:pPr>
      <w:r>
        <w:rPr>
          <w:rFonts w:ascii="Times New Roman" w:hAnsi="Times New Roman"/>
          <w:b/>
          <w:bCs/>
          <w:sz w:val="24"/>
        </w:rPr>
        <w:t xml:space="preserve">EPA Response: </w:t>
      </w:r>
      <w:r w:rsidRPr="00FF5010">
        <w:rPr>
          <w:rFonts w:ascii="Times New Roman" w:hAnsi="Times New Roman"/>
          <w:sz w:val="24"/>
        </w:rPr>
        <w:t>EPA did not propose</w:t>
      </w:r>
      <w:r w:rsidR="004669CF">
        <w:rPr>
          <w:rFonts w:ascii="Times New Roman" w:hAnsi="Times New Roman"/>
          <w:sz w:val="24"/>
        </w:rPr>
        <w:t>, and is therefore not finalizing,</w:t>
      </w:r>
      <w:r w:rsidRPr="00FF5010">
        <w:rPr>
          <w:rFonts w:ascii="Times New Roman" w:hAnsi="Times New Roman"/>
          <w:sz w:val="24"/>
        </w:rPr>
        <w:t xml:space="preserve"> a </w:t>
      </w:r>
      <w:r w:rsidR="004669CF">
        <w:rPr>
          <w:rFonts w:ascii="Times New Roman" w:hAnsi="Times New Roman"/>
          <w:sz w:val="24"/>
        </w:rPr>
        <w:t xml:space="preserve">regulatory </w:t>
      </w:r>
      <w:r w:rsidRPr="00FF5010">
        <w:rPr>
          <w:rFonts w:ascii="Times New Roman" w:hAnsi="Times New Roman"/>
          <w:sz w:val="24"/>
        </w:rPr>
        <w:t xml:space="preserve">definition of near miss. However, EPA will consider these comments when determining </w:t>
      </w:r>
      <w:r w:rsidRPr="00FF5010">
        <w:rPr>
          <w:rFonts w:ascii="Times New Roman" w:hAnsi="Times New Roman"/>
          <w:sz w:val="24"/>
        </w:rPr>
        <w:t>whether to develop a regulatory definition of “near miss” to identify incidents that require investigation in a future action.</w:t>
      </w:r>
    </w:p>
    <w:p w:rsidR="00F41FFB" w:rsidRPr="006F68E9" w:rsidP="00F41FFB" w14:paraId="3A8AC86B" w14:textId="77777777">
      <w:pPr>
        <w:rPr>
          <w:rFonts w:ascii="Times New Roman" w:hAnsi="Times New Roman"/>
          <w:sz w:val="24"/>
        </w:rPr>
      </w:pPr>
      <w:r>
        <w:rPr>
          <w:rFonts w:ascii="Times New Roman" w:hAnsi="Times New Roman"/>
          <w:b/>
          <w:bCs/>
          <w:sz w:val="24"/>
        </w:rPr>
        <w:t xml:space="preserve">Comment 7.2.2-03: </w:t>
      </w:r>
      <w:r w:rsidRPr="006F68E9">
        <w:rPr>
          <w:rFonts w:ascii="Times New Roman" w:hAnsi="Times New Roman"/>
          <w:sz w:val="24"/>
        </w:rPr>
        <w:t>Several commenters offered language recommendations for a definition of “near miss” (0108, 0193, 0196, 0203, 0216, 0241).</w:t>
      </w:r>
    </w:p>
    <w:p w:rsidR="00F41FFB" w:rsidRPr="006F68E9" w:rsidP="00F41FFB" w14:paraId="79378A8F" w14:textId="77777777">
      <w:pPr>
        <w:rPr>
          <w:rFonts w:ascii="Times New Roman" w:hAnsi="Times New Roman"/>
          <w:sz w:val="24"/>
        </w:rPr>
      </w:pPr>
      <w:r w:rsidRPr="006F68E9">
        <w:rPr>
          <w:rFonts w:ascii="Times New Roman" w:hAnsi="Times New Roman"/>
          <w:sz w:val="24"/>
        </w:rPr>
        <w:t xml:space="preserve">One commenter recommended the following definition for near miss, and noted that this definition would be broad enough to allow facilities to properly classify incidents as near misses without including minor incidents (0196): </w:t>
      </w:r>
    </w:p>
    <w:p w:rsidR="00F41FFB" w:rsidRPr="006F68E9" w:rsidP="00F41FFB" w14:paraId="62CB7A0C" w14:textId="77777777">
      <w:pPr>
        <w:ind w:left="720"/>
        <w:rPr>
          <w:rFonts w:ascii="Times New Roman" w:hAnsi="Times New Roman"/>
          <w:sz w:val="24"/>
        </w:rPr>
      </w:pPr>
      <w:r w:rsidRPr="006F68E9">
        <w:rPr>
          <w:rFonts w:ascii="Times New Roman" w:hAnsi="Times New Roman"/>
          <w:sz w:val="24"/>
        </w:rPr>
        <w:t>“An unplanned event or condition that has the potential to cause a slight change of events that could result in injury, environmental damage, or an interruption to normal operation”</w:t>
      </w:r>
    </w:p>
    <w:p w:rsidR="00F41FFB" w:rsidRPr="006F68E9" w:rsidP="00F41FFB" w14:paraId="3315FFFE" w14:textId="77777777">
      <w:pPr>
        <w:rPr>
          <w:rFonts w:ascii="Times New Roman" w:hAnsi="Times New Roman"/>
          <w:sz w:val="24"/>
        </w:rPr>
      </w:pPr>
      <w:r w:rsidRPr="006F68E9">
        <w:rPr>
          <w:rFonts w:ascii="Times New Roman" w:hAnsi="Times New Roman"/>
          <w:sz w:val="24"/>
        </w:rPr>
        <w:t xml:space="preserve">One commenter suggested the following definition of near miss (0216): </w:t>
      </w:r>
    </w:p>
    <w:p w:rsidR="00F41FFB" w:rsidRPr="006F68E9" w:rsidP="00F41FFB" w14:paraId="6E0A80BF" w14:textId="77777777">
      <w:pPr>
        <w:ind w:left="720"/>
        <w:rPr>
          <w:rFonts w:ascii="Times New Roman" w:hAnsi="Times New Roman"/>
          <w:sz w:val="24"/>
        </w:rPr>
      </w:pPr>
      <w:r w:rsidRPr="006F68E9">
        <w:rPr>
          <w:rFonts w:ascii="Times New Roman" w:hAnsi="Times New Roman"/>
          <w:sz w:val="24"/>
        </w:rPr>
        <w:t>“A near miss is an unintended event which could have caused death, serious injury, or significant damage to property, but did not. The event may be an actual release of hazardous materials or energy where the main factor preventing injury or damage is luck.”</w:t>
      </w:r>
    </w:p>
    <w:p w:rsidR="00F41FFB" w:rsidRPr="006F68E9" w:rsidP="00F41FFB" w14:paraId="23FA188C" w14:textId="77777777">
      <w:pPr>
        <w:rPr>
          <w:rFonts w:ascii="Times New Roman" w:hAnsi="Times New Roman"/>
          <w:sz w:val="24"/>
        </w:rPr>
      </w:pPr>
      <w:r w:rsidRPr="006F68E9">
        <w:rPr>
          <w:rFonts w:ascii="Times New Roman" w:hAnsi="Times New Roman"/>
          <w:sz w:val="24"/>
        </w:rPr>
        <w:t xml:space="preserve">Another commenter suggested adding the following language to EPA’s recommended definition of near miss to ensure that considerations such as understaffing, lack of training, or lack of engineering controls to prevent human error are addressed at a facility (0216): </w:t>
      </w:r>
    </w:p>
    <w:p w:rsidR="00F41FFB" w:rsidRPr="006F68E9" w:rsidP="00F41FFB" w14:paraId="4C8C81C2" w14:textId="77777777">
      <w:pPr>
        <w:ind w:firstLine="720"/>
        <w:rPr>
          <w:rFonts w:ascii="Times New Roman" w:hAnsi="Times New Roman"/>
          <w:sz w:val="24"/>
        </w:rPr>
      </w:pPr>
      <w:r w:rsidRPr="006F68E9">
        <w:rPr>
          <w:rFonts w:ascii="Times New Roman" w:hAnsi="Times New Roman"/>
          <w:sz w:val="24"/>
        </w:rPr>
        <w:t xml:space="preserve">“that identifies a correctable failure(s) in management systems or process design.” </w:t>
      </w:r>
    </w:p>
    <w:p w:rsidR="00F41FFB" w:rsidRPr="006F68E9" w:rsidP="00F41FFB" w14:paraId="455AD395" w14:textId="77777777">
      <w:pPr>
        <w:rPr>
          <w:rFonts w:ascii="Times New Roman" w:hAnsi="Times New Roman"/>
          <w:sz w:val="24"/>
        </w:rPr>
      </w:pPr>
      <w:r w:rsidRPr="006F68E9">
        <w:rPr>
          <w:rFonts w:ascii="Times New Roman" w:hAnsi="Times New Roman"/>
          <w:sz w:val="24"/>
        </w:rPr>
        <w:t xml:space="preserve">One commenter suggested the following definition of near miss, as it links process deviations outside the safe upper and lower limits set by the facility, the actuation of related safety systems, and captures external events that could have resulted in a catastrophic release (0193): </w:t>
      </w:r>
    </w:p>
    <w:p w:rsidR="00F41FFB" w:rsidRPr="00E873A5" w:rsidP="00F41FFB" w14:paraId="4873C861" w14:textId="77777777">
      <w:pPr>
        <w:ind w:left="720"/>
        <w:rPr>
          <w:rStyle w:val="Emphasis"/>
          <w:rFonts w:ascii="Times New Roman" w:hAnsi="Times New Roman"/>
          <w:i w:val="0"/>
          <w:iCs w:val="0"/>
          <w:sz w:val="24"/>
        </w:rPr>
      </w:pPr>
      <w:r w:rsidRPr="00E873A5">
        <w:rPr>
          <w:rStyle w:val="Emphasis"/>
          <w:rFonts w:ascii="Times New Roman" w:hAnsi="Times New Roman"/>
          <w:i w:val="0"/>
          <w:iCs w:val="0"/>
          <w:sz w:val="24"/>
        </w:rPr>
        <w:t>“Includes any of the following: a deviation in the operation of a process outside of the established safe upper and lower limits as-required by 68.65(c)(1)(iv), actuation of an engineered safety system related to the covered process, or any external event that could have resulted in a catastrophic release of a regulated substance”</w:t>
      </w:r>
    </w:p>
    <w:p w:rsidR="00F41FFB" w:rsidRPr="00E873A5" w:rsidP="00F41FFB" w14:paraId="1CDB157F" w14:textId="77777777">
      <w:pPr>
        <w:rPr>
          <w:rStyle w:val="Emphasis"/>
          <w:rFonts w:ascii="Times New Roman" w:hAnsi="Times New Roman"/>
          <w:i w:val="0"/>
          <w:iCs w:val="0"/>
          <w:sz w:val="24"/>
        </w:rPr>
      </w:pPr>
      <w:r w:rsidRPr="00E873A5">
        <w:rPr>
          <w:rStyle w:val="Emphasis"/>
          <w:rFonts w:ascii="Times New Roman" w:hAnsi="Times New Roman"/>
          <w:i w:val="0"/>
          <w:iCs w:val="0"/>
          <w:sz w:val="24"/>
        </w:rPr>
        <w:t xml:space="preserve">Another commenter suggested the following definition of a near miss (0203): </w:t>
      </w:r>
    </w:p>
    <w:p w:rsidR="00F41FFB" w:rsidRPr="006F68E9" w:rsidP="00F41FFB" w14:paraId="1BD45DF7" w14:textId="77777777">
      <w:pPr>
        <w:ind w:left="720"/>
        <w:rPr>
          <w:rFonts w:ascii="Times New Roman" w:hAnsi="Times New Roman"/>
          <w:sz w:val="24"/>
        </w:rPr>
      </w:pPr>
      <w:r w:rsidRPr="006F68E9">
        <w:rPr>
          <w:rFonts w:ascii="Times New Roman" w:hAnsi="Times New Roman"/>
          <w:sz w:val="24"/>
        </w:rPr>
        <w:t xml:space="preserve">“A near miss is an unintended event which could have caused death, serious injury, or significant damage to property or the environment, but did not.” </w:t>
      </w:r>
    </w:p>
    <w:p w:rsidR="00F41FFB" w:rsidRPr="006F68E9" w:rsidP="00F41FFB" w14:paraId="3D258261" w14:textId="77777777">
      <w:pPr>
        <w:rPr>
          <w:rFonts w:ascii="Times New Roman" w:hAnsi="Times New Roman"/>
          <w:sz w:val="24"/>
        </w:rPr>
      </w:pPr>
      <w:r w:rsidRPr="006F68E9">
        <w:rPr>
          <w:rFonts w:ascii="Times New Roman" w:hAnsi="Times New Roman"/>
          <w:sz w:val="24"/>
        </w:rPr>
        <w:t>A couple of commenters recommended that EPA adopt the term “precursor incident” instead of near miss. The commenter</w:t>
      </w:r>
      <w:r>
        <w:rPr>
          <w:rFonts w:ascii="Times New Roman" w:hAnsi="Times New Roman"/>
          <w:sz w:val="24"/>
        </w:rPr>
        <w:t>s</w:t>
      </w:r>
      <w:r w:rsidRPr="006F68E9">
        <w:rPr>
          <w:rFonts w:ascii="Times New Roman" w:hAnsi="Times New Roman"/>
          <w:sz w:val="24"/>
        </w:rPr>
        <w:t xml:space="preserve"> explained that spotting a precursor incident means identifying failed safeguards or an unidentified hazard before a major release occurs (0108, 160). One of the commenters noted that precursor incidents are not minor injuries or other events that could not result in a major accident. The commenter defined a precursor incident as follows (0108): </w:t>
      </w:r>
    </w:p>
    <w:p w:rsidR="00F41FFB" w:rsidRPr="006F68E9" w:rsidP="00F41FFB" w14:paraId="63079F2C" w14:textId="3E457407">
      <w:pPr>
        <w:ind w:left="720"/>
        <w:rPr>
          <w:rFonts w:ascii="Times New Roman" w:hAnsi="Times New Roman"/>
          <w:sz w:val="24"/>
        </w:rPr>
      </w:pPr>
      <w:r w:rsidRPr="006F68E9">
        <w:rPr>
          <w:rFonts w:ascii="Times New Roman" w:hAnsi="Times New Roman"/>
          <w:sz w:val="24"/>
        </w:rPr>
        <w:t>“Minor incidents that could have been major accidents if one or more Safeguards had failed.</w:t>
      </w:r>
      <w:r w:rsidR="0020559D">
        <w:rPr>
          <w:rFonts w:ascii="Times New Roman" w:hAnsi="Times New Roman"/>
          <w:sz w:val="24"/>
        </w:rPr>
        <w:t xml:space="preserve"> </w:t>
      </w:r>
      <w:r w:rsidR="001C3A7B">
        <w:rPr>
          <w:rFonts w:ascii="Times New Roman" w:hAnsi="Times New Roman"/>
          <w:sz w:val="24"/>
        </w:rPr>
        <w:t>[…</w:t>
      </w:r>
      <w:r w:rsidR="005C29CF">
        <w:rPr>
          <w:rFonts w:ascii="Times New Roman" w:hAnsi="Times New Roman"/>
          <w:sz w:val="24"/>
        </w:rPr>
        <w:t>]</w:t>
      </w:r>
      <w:r w:rsidR="007A6363">
        <w:rPr>
          <w:rFonts w:ascii="Times New Roman" w:hAnsi="Times New Roman"/>
          <w:sz w:val="24"/>
        </w:rPr>
        <w:t>”</w:t>
      </w:r>
    </w:p>
    <w:p w:rsidR="00F41FFB" w:rsidRPr="006F68E9" w:rsidP="00F41FFB" w14:paraId="36725651" w14:textId="77777777">
      <w:pPr>
        <w:rPr>
          <w:rFonts w:ascii="Times New Roman" w:hAnsi="Times New Roman"/>
          <w:sz w:val="24"/>
        </w:rPr>
      </w:pPr>
      <w:r>
        <w:rPr>
          <w:rFonts w:ascii="Times New Roman" w:hAnsi="Times New Roman"/>
          <w:sz w:val="24"/>
        </w:rPr>
        <w:t>Another</w:t>
      </w:r>
      <w:r w:rsidRPr="6D3F9CC5">
        <w:rPr>
          <w:rFonts w:ascii="Times New Roman" w:hAnsi="Times New Roman"/>
          <w:sz w:val="24"/>
        </w:rPr>
        <w:t xml:space="preserve"> commenter stated that two catastrophic explosions in Superior, Wisconisn and Torrance, California, were referenced by EPA as near misses</w:t>
      </w:r>
      <w:r>
        <w:rPr>
          <w:rFonts w:ascii="Times New Roman" w:hAnsi="Times New Roman"/>
          <w:sz w:val="24"/>
        </w:rPr>
        <w:t>,</w:t>
      </w:r>
      <w:r w:rsidRPr="6D3F9CC5">
        <w:rPr>
          <w:rFonts w:ascii="Times New Roman" w:hAnsi="Times New Roman"/>
          <w:sz w:val="24"/>
        </w:rPr>
        <w:t xml:space="preserve"> but that the term near miss is misleading as an explosion did occur at both locations. The commenter noted that the National Safety Council of Defense defines a near miss as “an unplanned event that did not result in injury, illness, or damage, but has the potential to do so” and OSHA defines a near miss as “a potential hazard or </w:t>
      </w:r>
      <w:r w:rsidRPr="6D3F9CC5">
        <w:rPr>
          <w:rFonts w:ascii="Times New Roman" w:hAnsi="Times New Roman"/>
          <w:sz w:val="24"/>
        </w:rPr>
        <w:t>incident in which no property was damaged, and no personal injury was sustained.” The commenter stated that, by these terms, the explosions mentioned would not be considered near misses, as damage did occur and a near miss would be more aptly described as circumstances that would have culminated in an explosion that was ultimately avoided. As such, the commenter recommended that the term near miss should be altered to precursor incident (0160).</w:t>
      </w:r>
    </w:p>
    <w:p w:rsidR="00F41FFB" w:rsidRPr="00CE21BC" w:rsidP="00F41FFB" w14:paraId="5B663A84" w14:textId="2007C991">
      <w:pPr>
        <w:ind w:left="720"/>
        <w:rPr>
          <w:rFonts w:ascii="Times New Roman" w:hAnsi="Times New Roman"/>
          <w:sz w:val="24"/>
        </w:rPr>
      </w:pPr>
      <w:bookmarkStart w:id="100" w:name="_Toc146880016"/>
      <w:r>
        <w:rPr>
          <w:rFonts w:ascii="Times New Roman" w:hAnsi="Times New Roman"/>
          <w:b/>
          <w:bCs/>
          <w:sz w:val="24"/>
        </w:rPr>
        <w:t>EPA Response:</w:t>
      </w:r>
      <w:r>
        <w:rPr>
          <w:rFonts w:ascii="Times New Roman" w:hAnsi="Times New Roman"/>
          <w:sz w:val="24"/>
        </w:rPr>
        <w:t xml:space="preserve"> </w:t>
      </w:r>
      <w:r w:rsidRPr="00FF5010">
        <w:rPr>
          <w:rFonts w:ascii="Times New Roman" w:hAnsi="Times New Roman"/>
          <w:sz w:val="24"/>
        </w:rPr>
        <w:t>EPA did not propose</w:t>
      </w:r>
      <w:r w:rsidR="004669CF">
        <w:rPr>
          <w:rFonts w:ascii="Times New Roman" w:hAnsi="Times New Roman"/>
          <w:sz w:val="24"/>
        </w:rPr>
        <w:t>, and is therefore not finalizing,</w:t>
      </w:r>
      <w:r w:rsidRPr="00FF5010">
        <w:rPr>
          <w:rFonts w:ascii="Times New Roman" w:hAnsi="Times New Roman"/>
          <w:sz w:val="24"/>
        </w:rPr>
        <w:t xml:space="preserve"> a </w:t>
      </w:r>
      <w:r w:rsidR="004669CF">
        <w:rPr>
          <w:rFonts w:ascii="Times New Roman" w:hAnsi="Times New Roman"/>
          <w:sz w:val="24"/>
        </w:rPr>
        <w:t xml:space="preserve">regulatory </w:t>
      </w:r>
      <w:r w:rsidRPr="00FF5010">
        <w:rPr>
          <w:rFonts w:ascii="Times New Roman" w:hAnsi="Times New Roman"/>
          <w:sz w:val="24"/>
        </w:rPr>
        <w:t>definition of near miss. However, EPA will consider these comments when determining whether to develop a regulatory definition of “near miss” to identify incidents that require investigation in a future action.</w:t>
      </w:r>
    </w:p>
    <w:p w:rsidR="00F41FFB" w:rsidRPr="006F68E9" w:rsidP="00D750BA" w14:paraId="7BDFB2AA" w14:textId="5DC59AB8">
      <w:pPr>
        <w:pStyle w:val="Heading2"/>
        <w:numPr>
          <w:ilvl w:val="0"/>
          <w:numId w:val="0"/>
        </w:numPr>
        <w:spacing w:before="120"/>
        <w:ind w:left="408" w:hanging="408"/>
        <w:rPr>
          <w:rFonts w:ascii="Times New Roman" w:hAnsi="Times New Roman" w:cs="Times New Roman"/>
          <w:b/>
          <w:bCs/>
          <w:color w:val="auto"/>
          <w:sz w:val="24"/>
          <w:szCs w:val="24"/>
        </w:rPr>
      </w:pPr>
      <w:bookmarkStart w:id="101" w:name="_Toc153373804"/>
      <w:r>
        <w:rPr>
          <w:rFonts w:ascii="Times New Roman" w:hAnsi="Times New Roman" w:cs="Times New Roman"/>
          <w:b/>
          <w:bCs/>
          <w:color w:val="auto"/>
          <w:sz w:val="24"/>
          <w:szCs w:val="24"/>
        </w:rPr>
        <w:t xml:space="preserve">7.3 </w:t>
      </w:r>
      <w:r w:rsidRPr="6D3F9CC5">
        <w:rPr>
          <w:rFonts w:ascii="Times New Roman" w:hAnsi="Times New Roman" w:cs="Times New Roman"/>
          <w:b/>
          <w:bCs/>
          <w:color w:val="auto"/>
          <w:sz w:val="24"/>
          <w:szCs w:val="24"/>
        </w:rPr>
        <w:t xml:space="preserve">Investigation </w:t>
      </w:r>
      <w:bookmarkEnd w:id="100"/>
      <w:r>
        <w:rPr>
          <w:rFonts w:ascii="Times New Roman" w:hAnsi="Times New Roman" w:cs="Times New Roman"/>
          <w:b/>
          <w:bCs/>
          <w:color w:val="auto"/>
          <w:sz w:val="24"/>
          <w:szCs w:val="24"/>
        </w:rPr>
        <w:t>t</w:t>
      </w:r>
      <w:r w:rsidRPr="6D3F9CC5">
        <w:rPr>
          <w:rFonts w:ascii="Times New Roman" w:hAnsi="Times New Roman" w:cs="Times New Roman"/>
          <w:b/>
          <w:bCs/>
          <w:color w:val="auto"/>
          <w:sz w:val="24"/>
          <w:szCs w:val="24"/>
        </w:rPr>
        <w:t>imeframe</w:t>
      </w:r>
      <w:bookmarkEnd w:id="101"/>
    </w:p>
    <w:p w:rsidR="00F41FFB" w:rsidRPr="00233CD9" w:rsidP="00F41FFB" w14:paraId="4FD6265B" w14:textId="77777777">
      <w:pPr>
        <w:rPr>
          <w:rFonts w:ascii="Times New Roman" w:hAnsi="Times New Roman"/>
          <w:i/>
          <w:iCs/>
          <w:sz w:val="24"/>
        </w:rPr>
      </w:pPr>
      <w:r w:rsidRPr="00233CD9">
        <w:rPr>
          <w:rFonts w:ascii="Times New Roman" w:hAnsi="Times New Roman"/>
          <w:i/>
          <w:iCs/>
          <w:sz w:val="24"/>
        </w:rPr>
        <w:t xml:space="preserve">Investigation </w:t>
      </w:r>
      <w:r>
        <w:rPr>
          <w:rFonts w:ascii="Times New Roman" w:hAnsi="Times New Roman"/>
          <w:i/>
          <w:iCs/>
          <w:sz w:val="24"/>
        </w:rPr>
        <w:t>t</w:t>
      </w:r>
      <w:r w:rsidRPr="00233CD9">
        <w:rPr>
          <w:rFonts w:ascii="Times New Roman" w:hAnsi="Times New Roman"/>
          <w:i/>
          <w:iCs/>
          <w:sz w:val="24"/>
        </w:rPr>
        <w:t>imeframe</w:t>
      </w:r>
    </w:p>
    <w:p w:rsidR="00F41FFB" w:rsidP="00A76904" w14:paraId="658A61F9" w14:textId="77777777">
      <w:pPr>
        <w:rPr>
          <w:rFonts w:ascii="Times New Roman" w:hAnsi="Times New Roman"/>
          <w:sz w:val="24"/>
        </w:rPr>
      </w:pPr>
      <w:r>
        <w:rPr>
          <w:rFonts w:ascii="Times New Roman" w:hAnsi="Times New Roman"/>
          <w:b/>
          <w:bCs/>
          <w:sz w:val="24"/>
        </w:rPr>
        <w:t xml:space="preserve">Comment 7.3-01: </w:t>
      </w:r>
      <w:r w:rsidRPr="00E540A4">
        <w:rPr>
          <w:rFonts w:ascii="Times New Roman" w:hAnsi="Times New Roman"/>
          <w:sz w:val="24"/>
        </w:rPr>
        <w:t xml:space="preserve">Several commenters opposed the regulatory deadlines for root cause analysis investigations (0229, 0232, 0233, 0237, 0263). </w:t>
      </w:r>
    </w:p>
    <w:p w:rsidR="00F41FFB" w:rsidP="00A76904" w14:paraId="08DD8366" w14:textId="0937CF34">
      <w:pPr>
        <w:rPr>
          <w:rFonts w:ascii="Times New Roman" w:hAnsi="Times New Roman"/>
          <w:sz w:val="24"/>
        </w:rPr>
      </w:pPr>
      <w:r w:rsidRPr="00E540A4">
        <w:rPr>
          <w:rFonts w:ascii="Times New Roman" w:hAnsi="Times New Roman"/>
          <w:sz w:val="24"/>
        </w:rPr>
        <w:t xml:space="preserve">A couple of commenters stated that based on the complexity of the incident (0237) and level of input needed from external technical experts (0233), </w:t>
      </w:r>
      <w:r w:rsidRPr="00982812">
        <w:rPr>
          <w:rFonts w:ascii="Times New Roman" w:hAnsi="Times New Roman"/>
          <w:sz w:val="24"/>
        </w:rPr>
        <w:t>a 12-month timeline may not provide enough time.</w:t>
      </w:r>
      <w:r w:rsidRPr="00E540A4">
        <w:rPr>
          <w:rFonts w:ascii="Times New Roman" w:hAnsi="Times New Roman"/>
          <w:sz w:val="24"/>
        </w:rPr>
        <w:t xml:space="preserve"> </w:t>
      </w:r>
      <w:r w:rsidRPr="00982812">
        <w:rPr>
          <w:rFonts w:ascii="Times New Roman" w:hAnsi="Times New Roman"/>
          <w:sz w:val="24"/>
        </w:rPr>
        <w:t>One commenter recommended that EPA address the reason investigation findings are not implemented</w:t>
      </w:r>
      <w:r w:rsidRPr="00982812" w:rsidR="00982812">
        <w:rPr>
          <w:rFonts w:ascii="Times New Roman" w:hAnsi="Times New Roman"/>
          <w:sz w:val="24"/>
        </w:rPr>
        <w:t>,</w:t>
      </w:r>
      <w:r w:rsidRPr="00982812">
        <w:rPr>
          <w:rFonts w:ascii="Times New Roman" w:hAnsi="Times New Roman"/>
          <w:sz w:val="24"/>
        </w:rPr>
        <w:t xml:space="preserve"> instead of imposing additional regulations (0237).</w:t>
      </w:r>
      <w:r w:rsidRPr="006F68E9">
        <w:rPr>
          <w:rFonts w:ascii="Times New Roman" w:hAnsi="Times New Roman"/>
          <w:sz w:val="24"/>
        </w:rPr>
        <w:t xml:space="preserve"> </w:t>
      </w:r>
    </w:p>
    <w:p w:rsidR="00F41FFB" w:rsidRPr="006F68E9" w:rsidP="00F41FFB" w14:paraId="35068FC9" w14:textId="77777777">
      <w:pPr>
        <w:rPr>
          <w:rFonts w:ascii="Times New Roman" w:hAnsi="Times New Roman"/>
          <w:sz w:val="24"/>
        </w:rPr>
      </w:pPr>
      <w:r w:rsidRPr="00982812">
        <w:rPr>
          <w:rFonts w:ascii="Times New Roman" w:hAnsi="Times New Roman"/>
          <w:sz w:val="24"/>
        </w:rPr>
        <w:t>One commenter stated that the investigation of a catastrophic release often requires input from outside technical experts, which can take significant time. The commenter asserted that regulatory deadlines may be detrimental to the investigation by not allowing the investigation team to take the time and effort necessary to fully investigate the accident.</w:t>
      </w:r>
      <w:r w:rsidRPr="006F68E9">
        <w:rPr>
          <w:rFonts w:ascii="Times New Roman" w:hAnsi="Times New Roman"/>
          <w:sz w:val="24"/>
        </w:rPr>
        <w:t xml:space="preserve"> The commenter stated in response to EPA’s concerns that “owners or operators of regulated facilities indefinitely delayed completing incident investigations” </w:t>
      </w:r>
      <w:r w:rsidRPr="00982812">
        <w:rPr>
          <w:rFonts w:ascii="Times New Roman" w:hAnsi="Times New Roman"/>
          <w:sz w:val="24"/>
        </w:rPr>
        <w:t>should be cited as a violation of existing regulations and would not be remedied by a regulatory deadline (0233).</w:t>
      </w:r>
      <w:r w:rsidRPr="006F68E9">
        <w:rPr>
          <w:rFonts w:ascii="Times New Roman" w:hAnsi="Times New Roman"/>
          <w:sz w:val="24"/>
        </w:rPr>
        <w:t xml:space="preserve"> </w:t>
      </w:r>
      <w:r w:rsidRPr="00982812">
        <w:rPr>
          <w:rFonts w:ascii="Times New Roman" w:hAnsi="Times New Roman"/>
          <w:sz w:val="24"/>
        </w:rPr>
        <w:t>Further,</w:t>
      </w:r>
      <w:r w:rsidRPr="00982812">
        <w:rPr>
          <w:rFonts w:ascii="Times New Roman" w:hAnsi="Times New Roman"/>
          <w:sz w:val="24"/>
        </w:rPr>
        <w:t xml:space="preserve"> </w:t>
      </w:r>
      <w:r w:rsidRPr="00982812">
        <w:rPr>
          <w:rFonts w:ascii="Times New Roman" w:hAnsi="Times New Roman"/>
          <w:sz w:val="24"/>
        </w:rPr>
        <w:t>a couple of commenters suggested that EPA not specify a timeline to complete the investigations, as it is not guaranteed that EPA will grant an extension if one is requested.</w:t>
      </w:r>
      <w:r w:rsidRPr="006F68E9">
        <w:rPr>
          <w:rFonts w:ascii="Times New Roman" w:hAnsi="Times New Roman"/>
          <w:sz w:val="24"/>
        </w:rPr>
        <w:t xml:space="preserve"> </w:t>
      </w:r>
      <w:r w:rsidRPr="00982812">
        <w:rPr>
          <w:rFonts w:ascii="Times New Roman" w:hAnsi="Times New Roman"/>
          <w:sz w:val="24"/>
        </w:rPr>
        <w:t>The commenters noted a concern that facilities will rush the investigation with this timeline enforced, leading to a compromise in the quality (0229, 0232).</w:t>
      </w:r>
      <w:r w:rsidRPr="006F68E9">
        <w:rPr>
          <w:rFonts w:ascii="Times New Roman" w:hAnsi="Times New Roman"/>
          <w:sz w:val="24"/>
        </w:rPr>
        <w:t xml:space="preserve"> </w:t>
      </w:r>
    </w:p>
    <w:p w:rsidR="00F41FFB" w:rsidRPr="006F68E9" w:rsidP="00F41FFB" w14:paraId="57C6E08B" w14:textId="77777777">
      <w:pPr>
        <w:rPr>
          <w:rFonts w:ascii="Times New Roman" w:hAnsi="Times New Roman"/>
          <w:sz w:val="24"/>
        </w:rPr>
      </w:pPr>
      <w:r w:rsidRPr="00982812">
        <w:rPr>
          <w:rFonts w:ascii="Times New Roman" w:hAnsi="Times New Roman"/>
          <w:sz w:val="24"/>
        </w:rPr>
        <w:t>Another commenter noted that depending on the complexity of an incident, some findings and recommendations may take more time to fully implement than 12 months, especially considering the supply chain issues facing the industry (0237).</w:t>
      </w:r>
      <w:r w:rsidRPr="006F68E9">
        <w:rPr>
          <w:rFonts w:ascii="Times New Roman" w:hAnsi="Times New Roman"/>
          <w:sz w:val="24"/>
        </w:rPr>
        <w:t xml:space="preserve"> </w:t>
      </w:r>
    </w:p>
    <w:p w:rsidR="00F41FFB" w:rsidRPr="006F68E9" w:rsidP="00F41FFB" w14:paraId="03A11C20" w14:textId="77777777">
      <w:pPr>
        <w:rPr>
          <w:rFonts w:ascii="Times New Roman" w:hAnsi="Times New Roman"/>
          <w:sz w:val="24"/>
        </w:rPr>
      </w:pPr>
      <w:r w:rsidRPr="00982812">
        <w:rPr>
          <w:rFonts w:ascii="Times New Roman" w:hAnsi="Times New Roman"/>
          <w:sz w:val="24"/>
        </w:rPr>
        <w:t>A couple of commenters also supported EPA allowing extensions, when necessary (0237, 0245). One commenter also said EPA should not question extension requests from facilities, as some thorough investigations will require more than 12 months (0263). Another commenter stated that while a 12-month period is adequate to complete an investigation in most cases, come complex cases will require detailed forensic investigations and documentation, which may require longer than one year (0228).</w:t>
      </w:r>
      <w:r w:rsidRPr="006F68E9">
        <w:rPr>
          <w:rFonts w:ascii="Times New Roman" w:hAnsi="Times New Roman"/>
          <w:sz w:val="24"/>
        </w:rPr>
        <w:t xml:space="preserve"> </w:t>
      </w:r>
    </w:p>
    <w:p w:rsidR="00982812" w:rsidP="00F41FFB" w14:paraId="22309AE8" w14:textId="77777777">
      <w:pPr>
        <w:ind w:left="720"/>
        <w:rPr>
          <w:rFonts w:ascii="Times New Roman" w:hAnsi="Times New Roman"/>
          <w:sz w:val="24"/>
        </w:rPr>
      </w:pPr>
      <w:r w:rsidRPr="00E540A4">
        <w:rPr>
          <w:rFonts w:ascii="Times New Roman" w:hAnsi="Times New Roman"/>
          <w:b/>
          <w:sz w:val="24"/>
        </w:rPr>
        <w:t>EPA Response</w:t>
      </w:r>
      <w:r w:rsidRPr="00711147">
        <w:rPr>
          <w:rFonts w:ascii="Times New Roman" w:hAnsi="Times New Roman"/>
          <w:b/>
          <w:sz w:val="24"/>
        </w:rPr>
        <w:t>:</w:t>
      </w:r>
      <w:r w:rsidRPr="00A001B0">
        <w:rPr>
          <w:rFonts w:ascii="Times New Roman" w:hAnsi="Times New Roman"/>
          <w:b/>
          <w:bCs/>
          <w:i/>
          <w:iCs/>
          <w:sz w:val="24"/>
        </w:rPr>
        <w:t xml:space="preserve"> </w:t>
      </w:r>
      <w:r w:rsidRPr="00A001B0">
        <w:rPr>
          <w:rFonts w:ascii="Times New Roman" w:hAnsi="Times New Roman"/>
          <w:sz w:val="24"/>
        </w:rPr>
        <w:t xml:space="preserve">After considering these comments, EPA </w:t>
      </w:r>
      <w:r w:rsidRPr="00E540A4">
        <w:rPr>
          <w:rFonts w:ascii="Times New Roman" w:hAnsi="Times New Roman"/>
          <w:sz w:val="24"/>
        </w:rPr>
        <w:t>is</w:t>
      </w:r>
      <w:r w:rsidRPr="00A001B0">
        <w:rPr>
          <w:rFonts w:ascii="Times New Roman" w:hAnsi="Times New Roman"/>
          <w:sz w:val="24"/>
        </w:rPr>
        <w:t xml:space="preserve"> finaliz</w:t>
      </w:r>
      <w:r w:rsidRPr="00E540A4">
        <w:rPr>
          <w:rFonts w:ascii="Times New Roman" w:hAnsi="Times New Roman"/>
          <w:sz w:val="24"/>
        </w:rPr>
        <w:t>ing</w:t>
      </w:r>
      <w:r w:rsidRPr="00A001B0">
        <w:rPr>
          <w:rFonts w:ascii="Times New Roman" w:hAnsi="Times New Roman"/>
          <w:sz w:val="24"/>
        </w:rPr>
        <w:t xml:space="preserve"> the requirement to complete incident investigations within </w:t>
      </w:r>
      <w:r w:rsidRPr="00E540A4">
        <w:rPr>
          <w:rFonts w:ascii="Times New Roman" w:hAnsi="Times New Roman"/>
          <w:sz w:val="24"/>
        </w:rPr>
        <w:t xml:space="preserve">12 </w:t>
      </w:r>
      <w:r w:rsidRPr="00A001B0">
        <w:rPr>
          <w:rFonts w:ascii="Times New Roman" w:hAnsi="Times New Roman"/>
          <w:sz w:val="24"/>
        </w:rPr>
        <w:t xml:space="preserve">months as proposed. EPA believes that this timeframe will provide a reasonable amount of time to conduct most investigations, while also ensuring that investigation findings are available relatively quickly in order to assist in preventing future incidents. </w:t>
      </w:r>
    </w:p>
    <w:p w:rsidR="00982812" w:rsidP="00F41FFB" w14:paraId="5C2570CE" w14:textId="77777777">
      <w:pPr>
        <w:ind w:left="720"/>
        <w:rPr>
          <w:rFonts w:ascii="Times New Roman" w:hAnsi="Times New Roman"/>
          <w:sz w:val="24"/>
        </w:rPr>
      </w:pPr>
      <w:r w:rsidRPr="00A001B0">
        <w:rPr>
          <w:rFonts w:ascii="Times New Roman" w:hAnsi="Times New Roman"/>
          <w:sz w:val="24"/>
        </w:rPr>
        <w:t xml:space="preserve">For very complex incident investigations that cannot be completed within 12 months, EPA is allowing an extension of time if the implementing agency (i.e., EPA and delegated authorities) approves such an extension, in writing. EPA encourages owners and operators to complete incident investigations as soon as practicable and believes that 12 months is typically long enough to complete even complex incident investigations. However, EPA has provided flexibility for facilities to request more time to complete investigations when they consult with their implementing agency and receive written approval for an extension. </w:t>
      </w:r>
    </w:p>
    <w:p w:rsidR="00F41FFB" w:rsidRPr="00A001B0" w:rsidP="00F41FFB" w14:paraId="56C0B31E" w14:textId="37268768">
      <w:pPr>
        <w:ind w:left="720"/>
        <w:rPr>
          <w:rFonts w:ascii="Times New Roman" w:hAnsi="Times New Roman"/>
          <w:sz w:val="24"/>
        </w:rPr>
      </w:pPr>
      <w:r w:rsidRPr="00A001B0">
        <w:rPr>
          <w:rFonts w:ascii="Times New Roman" w:hAnsi="Times New Roman"/>
          <w:sz w:val="24"/>
        </w:rPr>
        <w:t>EPA also re-emphasizes the importance of implementing recommendations as soon as possible after incident investigation completion to prevent future similar incidents.</w:t>
      </w:r>
    </w:p>
    <w:p w:rsidR="00F41FFB" w:rsidP="00A76904" w14:paraId="39A46848" w14:textId="77777777">
      <w:pPr>
        <w:rPr>
          <w:rFonts w:ascii="Times New Roman" w:hAnsi="Times New Roman"/>
          <w:sz w:val="24"/>
        </w:rPr>
      </w:pPr>
      <w:r>
        <w:rPr>
          <w:rFonts w:ascii="Times New Roman" w:hAnsi="Times New Roman"/>
          <w:b/>
          <w:bCs/>
          <w:sz w:val="24"/>
        </w:rPr>
        <w:t xml:space="preserve">Comment 7.3-02: </w:t>
      </w:r>
      <w:r w:rsidRPr="00E540A4">
        <w:rPr>
          <w:rFonts w:ascii="Times New Roman" w:hAnsi="Times New Roman"/>
          <w:sz w:val="24"/>
        </w:rPr>
        <w:t>Several commenters supported the 12-month requirement for completing an incident investigation (0237, 0241, 0245, 0444, 0460). One commenter requested that EPA clarify that the 12-month timeline is only for the completion of the investigation, not when the recommendations must be implemented (0237).</w:t>
      </w:r>
      <w:r>
        <w:rPr>
          <w:rFonts w:ascii="Times New Roman" w:hAnsi="Times New Roman"/>
          <w:sz w:val="24"/>
        </w:rPr>
        <w:t xml:space="preserve"> </w:t>
      </w:r>
      <w:r w:rsidRPr="006F68E9">
        <w:rPr>
          <w:rFonts w:ascii="Times New Roman" w:hAnsi="Times New Roman"/>
          <w:sz w:val="24"/>
        </w:rPr>
        <w:t xml:space="preserve">One of the commenters </w:t>
      </w:r>
      <w:r>
        <w:rPr>
          <w:rFonts w:ascii="Times New Roman" w:hAnsi="Times New Roman"/>
          <w:sz w:val="24"/>
        </w:rPr>
        <w:t>stated</w:t>
      </w:r>
      <w:r w:rsidRPr="006F68E9">
        <w:rPr>
          <w:rFonts w:ascii="Times New Roman" w:hAnsi="Times New Roman"/>
          <w:sz w:val="24"/>
        </w:rPr>
        <w:t xml:space="preserve"> that delays in the completion of an investigation should be avoided to ensure that events are scrutinized, and personnel are debriefed when memories are still clear (0241). Another commenter </w:t>
      </w:r>
      <w:r>
        <w:rPr>
          <w:rFonts w:ascii="Times New Roman" w:hAnsi="Times New Roman"/>
          <w:sz w:val="24"/>
        </w:rPr>
        <w:t>state</w:t>
      </w:r>
      <w:r w:rsidRPr="006F68E9">
        <w:rPr>
          <w:rFonts w:ascii="Times New Roman" w:hAnsi="Times New Roman"/>
          <w:sz w:val="24"/>
        </w:rPr>
        <w:t xml:space="preserve">d that delays in completion of an investigation could result in another incident occurring of a similar nature (0245). </w:t>
      </w:r>
    </w:p>
    <w:p w:rsidR="00F41FFB" w:rsidRPr="00ED1D72" w:rsidP="00A76904" w14:paraId="73415896" w14:textId="56CDF7A3">
      <w:pPr>
        <w:ind w:left="720"/>
        <w:rPr>
          <w:rFonts w:ascii="Times New Roman" w:hAnsi="Times New Roman"/>
          <w:sz w:val="24"/>
        </w:rPr>
      </w:pPr>
      <w:r>
        <w:rPr>
          <w:rFonts w:ascii="Times New Roman" w:hAnsi="Times New Roman"/>
          <w:b/>
          <w:bCs/>
          <w:sz w:val="24"/>
        </w:rPr>
        <w:t xml:space="preserve">EPA Response: </w:t>
      </w:r>
      <w:r w:rsidRPr="00ED1D72">
        <w:rPr>
          <w:rFonts w:ascii="Times New Roman" w:hAnsi="Times New Roman"/>
          <w:sz w:val="24"/>
        </w:rPr>
        <w:t xml:space="preserve">EPA agrees with a 12-month timeframe for completing an investigation and </w:t>
      </w:r>
      <w:r w:rsidR="003B58FE">
        <w:rPr>
          <w:rFonts w:ascii="Times New Roman" w:hAnsi="Times New Roman"/>
          <w:sz w:val="24"/>
        </w:rPr>
        <w:t>is therefore</w:t>
      </w:r>
      <w:r w:rsidRPr="00ED1D72">
        <w:rPr>
          <w:rFonts w:ascii="Times New Roman" w:hAnsi="Times New Roman"/>
          <w:sz w:val="24"/>
        </w:rPr>
        <w:t xml:space="preserve"> finaliz</w:t>
      </w:r>
      <w:r w:rsidR="003B58FE">
        <w:rPr>
          <w:rFonts w:ascii="Times New Roman" w:hAnsi="Times New Roman"/>
          <w:sz w:val="24"/>
        </w:rPr>
        <w:t>ing</w:t>
      </w:r>
      <w:r w:rsidRPr="00ED1D72">
        <w:rPr>
          <w:rFonts w:ascii="Times New Roman" w:hAnsi="Times New Roman"/>
          <w:sz w:val="24"/>
        </w:rPr>
        <w:t xml:space="preserve"> th</w:t>
      </w:r>
      <w:r w:rsidR="003B58FE">
        <w:rPr>
          <w:rFonts w:ascii="Times New Roman" w:hAnsi="Times New Roman"/>
          <w:sz w:val="24"/>
        </w:rPr>
        <w:t>is</w:t>
      </w:r>
      <w:r w:rsidRPr="00ED1D72">
        <w:rPr>
          <w:rFonts w:ascii="Times New Roman" w:hAnsi="Times New Roman"/>
          <w:sz w:val="24"/>
        </w:rPr>
        <w:t xml:space="preserve"> requirement as proposed. EPA agrees that the 12-month time limit applies only to completing the investigation report, not to implementing recommendations in the report.</w:t>
      </w:r>
      <w:r w:rsidRPr="00ED1D72" w:rsidR="00AF76E7">
        <w:rPr>
          <w:rFonts w:ascii="Times New Roman" w:hAnsi="Times New Roman"/>
          <w:sz w:val="24"/>
        </w:rPr>
        <w:t xml:space="preserve"> </w:t>
      </w:r>
      <w:r w:rsidRPr="00ED1D72" w:rsidR="00ED1D72">
        <w:rPr>
          <w:rFonts w:ascii="Times New Roman" w:hAnsi="Times New Roman"/>
          <w:sz w:val="24"/>
        </w:rPr>
        <w:t xml:space="preserve">Nevertheless, </w:t>
      </w:r>
      <w:r w:rsidRPr="00ED1D72" w:rsidR="00AF76E7">
        <w:rPr>
          <w:rFonts w:ascii="Times New Roman" w:hAnsi="Times New Roman"/>
          <w:sz w:val="24"/>
        </w:rPr>
        <w:t>EPA emphasizes the importance of implementing recommendations as soon as possible after incident investigation completion to prevent future similar incidents.</w:t>
      </w:r>
    </w:p>
    <w:p w:rsidR="00F41FFB" w:rsidRPr="006F68E9" w:rsidP="00F41FFB" w14:paraId="2CF068CE" w14:textId="77777777">
      <w:pPr>
        <w:rPr>
          <w:rFonts w:ascii="Times New Roman" w:hAnsi="Times New Roman"/>
          <w:sz w:val="24"/>
        </w:rPr>
      </w:pPr>
      <w:r>
        <w:rPr>
          <w:rFonts w:ascii="Times New Roman" w:hAnsi="Times New Roman"/>
          <w:b/>
          <w:bCs/>
          <w:sz w:val="24"/>
        </w:rPr>
        <w:t xml:space="preserve">Comment 7.3-03: </w:t>
      </w:r>
      <w:r w:rsidRPr="006F68E9">
        <w:rPr>
          <w:rFonts w:ascii="Times New Roman" w:hAnsi="Times New Roman"/>
          <w:sz w:val="24"/>
        </w:rPr>
        <w:t xml:space="preserve">Several commenters recommended alternate approaches to the investigation timelines (0203, 0216, 0228, 0460). One of the commenters suggested that EPA require initiation of incident investigations and root cause analyses within 24 hours after the incident or near miss, that the owner or operator complete a preliminary report within 90 days and a final report within six months with the possibility of an extension for major catastrophic releases (0203). </w:t>
      </w:r>
    </w:p>
    <w:p w:rsidR="00F41FFB" w:rsidRPr="006F68E9" w:rsidP="00F41FFB" w14:paraId="1DF1797C" w14:textId="77777777">
      <w:pPr>
        <w:rPr>
          <w:rFonts w:ascii="Times New Roman" w:hAnsi="Times New Roman"/>
          <w:sz w:val="24"/>
        </w:rPr>
      </w:pPr>
      <w:r w:rsidRPr="006F68E9">
        <w:rPr>
          <w:rFonts w:ascii="Times New Roman" w:hAnsi="Times New Roman"/>
          <w:sz w:val="24"/>
        </w:rPr>
        <w:t>One commenter suggested that EPA require completion of an initial incident investigation within 90 days to provide at the public meeting, with a final report due in 12 months. The commenter noted that since an air rule requires root cause and corrective action analyses for air releases at refineries within 45 days, requiring an initial investigation within 90 days is possible. The commenter recommended that 12 months is too long to complete the investigation, and EPA should consider a shorter timeline (0460).</w:t>
      </w:r>
    </w:p>
    <w:p w:rsidR="00F41FFB" w:rsidRPr="006F68E9" w:rsidP="00F41FFB" w14:paraId="53CE4AEF" w14:textId="77777777">
      <w:pPr>
        <w:rPr>
          <w:rFonts w:ascii="Times New Roman" w:hAnsi="Times New Roman"/>
          <w:sz w:val="24"/>
        </w:rPr>
      </w:pPr>
      <w:r w:rsidRPr="006F68E9">
        <w:rPr>
          <w:rFonts w:ascii="Times New Roman" w:hAnsi="Times New Roman"/>
          <w:sz w:val="24"/>
        </w:rPr>
        <w:t xml:space="preserve">Another commenter suggested that EPA require a preliminary report to completed within 90 days, and the final report completed within 6 months. The commenter noted that the shorter time frame would ensure that the conditions and circumstances surrounding the incident are accurate (0216). </w:t>
      </w:r>
    </w:p>
    <w:p w:rsidR="004879BE" w:rsidP="00A76904" w14:paraId="27875AD4" w14:textId="77777777">
      <w:pPr>
        <w:ind w:left="720"/>
        <w:rPr>
          <w:rFonts w:ascii="Times New Roman" w:hAnsi="Times New Roman"/>
          <w:sz w:val="24"/>
        </w:rPr>
      </w:pPr>
      <w:r>
        <w:rPr>
          <w:rFonts w:ascii="Times New Roman" w:hAnsi="Times New Roman"/>
          <w:b/>
          <w:bCs/>
          <w:sz w:val="24"/>
        </w:rPr>
        <w:t xml:space="preserve">EPA Response: </w:t>
      </w:r>
      <w:r w:rsidRPr="00385203" w:rsidR="008C40B4">
        <w:rPr>
          <w:rFonts w:ascii="Times New Roman" w:hAnsi="Times New Roman"/>
          <w:sz w:val="24"/>
        </w:rPr>
        <w:t>EPA notes that for both Program 2 and Program 3 processes, incident investigations that may trigger supplemental root cause analysis must be initiated as soon as possible, but not later than 48 hours following the incident as required by 40 CFR 68.60(b) and 68.81(b).</w:t>
      </w:r>
      <w:r w:rsidRPr="00385203" w:rsidR="00992252">
        <w:rPr>
          <w:rFonts w:ascii="Times New Roman" w:hAnsi="Times New Roman"/>
          <w:sz w:val="24"/>
        </w:rPr>
        <w:t xml:space="preserve"> </w:t>
      </w:r>
      <w:r w:rsidRPr="00385203" w:rsidR="00385203">
        <w:rPr>
          <w:rFonts w:ascii="Times New Roman" w:hAnsi="Times New Roman"/>
          <w:sz w:val="24"/>
        </w:rPr>
        <w:t xml:space="preserve">The SCCAP rule </w:t>
      </w:r>
      <w:r w:rsidRPr="00385203" w:rsidR="00992252">
        <w:rPr>
          <w:rFonts w:ascii="Times New Roman" w:hAnsi="Times New Roman"/>
          <w:sz w:val="24"/>
        </w:rPr>
        <w:t>finaliz</w:t>
      </w:r>
      <w:r w:rsidRPr="00385203" w:rsidR="00385203">
        <w:rPr>
          <w:rFonts w:ascii="Times New Roman" w:hAnsi="Times New Roman"/>
          <w:sz w:val="24"/>
        </w:rPr>
        <w:t>es</w:t>
      </w:r>
      <w:r w:rsidRPr="00385203" w:rsidR="00992252">
        <w:rPr>
          <w:rFonts w:ascii="Times New Roman" w:hAnsi="Times New Roman"/>
          <w:sz w:val="24"/>
        </w:rPr>
        <w:t xml:space="preserve"> the requirement to complete </w:t>
      </w:r>
      <w:r w:rsidRPr="00385203" w:rsidR="00FE3E96">
        <w:rPr>
          <w:rFonts w:ascii="Times New Roman" w:hAnsi="Times New Roman"/>
          <w:sz w:val="24"/>
        </w:rPr>
        <w:t xml:space="preserve">root cause </w:t>
      </w:r>
      <w:r w:rsidRPr="00385203" w:rsidR="00537714">
        <w:rPr>
          <w:rFonts w:ascii="Times New Roman" w:hAnsi="Times New Roman"/>
          <w:sz w:val="24"/>
        </w:rPr>
        <w:t xml:space="preserve">analysis </w:t>
      </w:r>
      <w:r w:rsidRPr="00385203" w:rsidR="00992252">
        <w:rPr>
          <w:rFonts w:ascii="Times New Roman" w:hAnsi="Times New Roman"/>
          <w:sz w:val="24"/>
        </w:rPr>
        <w:t xml:space="preserve">incident investigations within 12 months as proposed. </w:t>
      </w:r>
      <w:r w:rsidRPr="00385203" w:rsidR="00FE1A2F">
        <w:rPr>
          <w:rFonts w:ascii="Times New Roman" w:hAnsi="Times New Roman"/>
          <w:sz w:val="24"/>
        </w:rPr>
        <w:t>While EPA agrees that many incident investigations can be completed in a shorter timeframe, the Agency b</w:t>
      </w:r>
      <w:r w:rsidRPr="00385203" w:rsidR="00992252">
        <w:rPr>
          <w:rFonts w:ascii="Times New Roman" w:hAnsi="Times New Roman"/>
          <w:sz w:val="24"/>
        </w:rPr>
        <w:t xml:space="preserve">elieves that this </w:t>
      </w:r>
      <w:r w:rsidRPr="00385203" w:rsidR="00FE1A2F">
        <w:rPr>
          <w:rFonts w:ascii="Times New Roman" w:hAnsi="Times New Roman"/>
          <w:sz w:val="24"/>
        </w:rPr>
        <w:t xml:space="preserve">12-month </w:t>
      </w:r>
      <w:r w:rsidRPr="00385203" w:rsidR="00992252">
        <w:rPr>
          <w:rFonts w:ascii="Times New Roman" w:hAnsi="Times New Roman"/>
          <w:sz w:val="24"/>
        </w:rPr>
        <w:t>timeframe will provide a reasonable amount of time to conduct most investigations</w:t>
      </w:r>
      <w:r w:rsidRPr="00385203" w:rsidR="00794608">
        <w:rPr>
          <w:rFonts w:ascii="Times New Roman" w:hAnsi="Times New Roman"/>
          <w:sz w:val="24"/>
        </w:rPr>
        <w:t xml:space="preserve"> -particularly those related to serious accidents and can be complicated-</w:t>
      </w:r>
      <w:r w:rsidRPr="00385203" w:rsidR="00992252">
        <w:rPr>
          <w:rFonts w:ascii="Times New Roman" w:hAnsi="Times New Roman"/>
          <w:sz w:val="24"/>
        </w:rPr>
        <w:t xml:space="preserve">, while also ensuring that investigation findings are available relatively quickly in order to assist in preventing future incidents. </w:t>
      </w:r>
    </w:p>
    <w:p w:rsidR="008B0A56" w:rsidRPr="004405C3" w:rsidP="00A76904" w14:paraId="3995DBD6" w14:textId="6F6571CC">
      <w:pPr>
        <w:ind w:left="720"/>
        <w:rPr>
          <w:rFonts w:ascii="Times New Roman" w:hAnsi="Times New Roman"/>
          <w:sz w:val="24"/>
        </w:rPr>
      </w:pPr>
      <w:r w:rsidRPr="004879BE">
        <w:rPr>
          <w:rFonts w:ascii="Times New Roman" w:hAnsi="Times New Roman"/>
          <w:sz w:val="24"/>
        </w:rPr>
        <w:t>As previously mentioned,</w:t>
      </w:r>
      <w:r>
        <w:rPr>
          <w:rFonts w:ascii="Times New Roman" w:hAnsi="Times New Roman"/>
          <w:b/>
          <w:bCs/>
          <w:sz w:val="24"/>
        </w:rPr>
        <w:t xml:space="preserve"> </w:t>
      </w:r>
      <w:r>
        <w:rPr>
          <w:rFonts w:ascii="Times New Roman" w:hAnsi="Times New Roman"/>
          <w:sz w:val="24"/>
        </w:rPr>
        <w:t>f</w:t>
      </w:r>
      <w:r w:rsidRPr="00385203" w:rsidR="00992252">
        <w:rPr>
          <w:rFonts w:ascii="Times New Roman" w:hAnsi="Times New Roman"/>
          <w:sz w:val="24"/>
        </w:rPr>
        <w:t>or very complex incident investigations that cannot be completed within 12 months, EPA is allowing an extension of time if the implementing agency (i.e., EPA and delegated authorities) approves such an extension, in writing. EPA encourages owners and operators to complete incident investigations as soon as practicable and believes that 12 months is typically long enough to complete even complex incident investigations. However, EPA has provided flexibility for facilities to request more time to complete investigations when they consult with their implementing agency and receive written approval for an extension. EPA also re-emphasizes the importance of implementing recommendations as soon as possible after incident investigation completion to prevent future similar incidents.</w:t>
      </w:r>
      <w:r w:rsidR="00992252">
        <w:rPr>
          <w:rFonts w:ascii="Times New Roman" w:hAnsi="Times New Roman"/>
          <w:sz w:val="24"/>
        </w:rPr>
        <w:t xml:space="preserve"> </w:t>
      </w:r>
    </w:p>
    <w:p w:rsidR="00A76904" w:rsidRPr="004405C3" w:rsidP="00A76904" w14:paraId="7991DBCF" w14:textId="77777777">
      <w:pPr>
        <w:rPr>
          <w:rFonts w:ascii="Times New Roman" w:hAnsi="Times New Roman"/>
          <w:sz w:val="24"/>
        </w:rPr>
      </w:pPr>
    </w:p>
    <w:p w:rsidR="00F41FFB" w:rsidP="00D750BA" w14:paraId="0664D384" w14:textId="77777777">
      <w:pPr>
        <w:pStyle w:val="Heading1"/>
      </w:pPr>
      <w:bookmarkStart w:id="102" w:name="_Toc146880017"/>
      <w:bookmarkStart w:id="103" w:name="_Toc153373805"/>
      <w:r w:rsidRPr="006F68E9">
        <w:t>Third-Party Compliance Audits</w:t>
      </w:r>
      <w:bookmarkEnd w:id="102"/>
      <w:bookmarkEnd w:id="103"/>
    </w:p>
    <w:p w:rsidR="00F41FFB" w:rsidP="00F41FFB" w14:paraId="65133383" w14:textId="28107164">
      <w:pPr>
        <w:rPr>
          <w:rFonts w:ascii="Times New Roman" w:hAnsi="Times New Roman"/>
          <w:i/>
          <w:sz w:val="24"/>
        </w:rPr>
      </w:pPr>
      <w:r w:rsidRPr="009F4BFF">
        <w:rPr>
          <w:rFonts w:ascii="Times New Roman" w:hAnsi="Times New Roman"/>
          <w:i/>
          <w:sz w:val="24"/>
        </w:rPr>
        <w:t>Comments associated with this issue are discussed in the sub-issues below.</w:t>
      </w:r>
    </w:p>
    <w:p w:rsidR="00F41FFB" w:rsidP="00A76904" w14:paraId="2CAC0A26" w14:textId="77777777">
      <w:pPr>
        <w:pStyle w:val="Heading2"/>
        <w:spacing w:before="120"/>
        <w:rPr>
          <w:rFonts w:ascii="Times New Roman" w:hAnsi="Times New Roman" w:cs="Times New Roman"/>
          <w:b/>
          <w:bCs/>
          <w:color w:val="auto"/>
          <w:sz w:val="24"/>
          <w:szCs w:val="24"/>
        </w:rPr>
      </w:pPr>
      <w:bookmarkStart w:id="104" w:name="_Toc146880018"/>
      <w:bookmarkStart w:id="105" w:name="_Toc153373806"/>
      <w:r w:rsidRPr="6D3F9CC5">
        <w:rPr>
          <w:rFonts w:ascii="Times New Roman" w:hAnsi="Times New Roman" w:cs="Times New Roman"/>
          <w:b/>
          <w:bCs/>
          <w:color w:val="auto"/>
          <w:sz w:val="24"/>
          <w:szCs w:val="24"/>
        </w:rPr>
        <w:t xml:space="preserve">Proposed </w:t>
      </w:r>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pproach</w:t>
      </w:r>
      <w:bookmarkEnd w:id="104"/>
      <w:bookmarkEnd w:id="105"/>
    </w:p>
    <w:p w:rsidR="00F41FFB" w:rsidP="00F41FFB" w14:paraId="5F0E1A50" w14:textId="77777777">
      <w:pPr>
        <w:rPr>
          <w:rFonts w:ascii="Times New Roman" w:hAnsi="Times New Roman"/>
          <w:i/>
          <w:sz w:val="24"/>
        </w:rPr>
      </w:pPr>
      <w:r>
        <w:rPr>
          <w:rFonts w:ascii="Times New Roman" w:hAnsi="Times New Roman"/>
          <w:i/>
          <w:sz w:val="24"/>
        </w:rPr>
        <w:t xml:space="preserve">General support for third-party audit requirements </w:t>
      </w:r>
    </w:p>
    <w:p w:rsidR="00F41FFB" w:rsidP="00F41FFB" w14:paraId="3B1445FB" w14:textId="547D7835">
      <w:pPr>
        <w:rPr>
          <w:rFonts w:ascii="Times New Roman" w:hAnsi="Times New Roman"/>
          <w:sz w:val="24"/>
        </w:rPr>
      </w:pPr>
      <w:r w:rsidRPr="00C01C49">
        <w:rPr>
          <w:rFonts w:ascii="Times New Roman" w:hAnsi="Times New Roman"/>
          <w:b/>
          <w:bCs/>
          <w:sz w:val="24"/>
        </w:rPr>
        <w:t>Comment</w:t>
      </w:r>
      <w:r>
        <w:rPr>
          <w:rFonts w:ascii="Times New Roman" w:hAnsi="Times New Roman"/>
          <w:b/>
          <w:bCs/>
          <w:sz w:val="24"/>
        </w:rPr>
        <w:t xml:space="preserve"> 8.</w:t>
      </w:r>
      <w:r w:rsidRPr="00D77189">
        <w:rPr>
          <w:rFonts w:ascii="Times New Roman" w:hAnsi="Times New Roman"/>
          <w:b/>
          <w:bCs/>
          <w:sz w:val="24"/>
        </w:rPr>
        <w:t>1-01:</w:t>
      </w:r>
      <w:r w:rsidRPr="00D77189">
        <w:rPr>
          <w:rFonts w:ascii="Times New Roman" w:hAnsi="Times New Roman"/>
          <w:sz w:val="24"/>
        </w:rPr>
        <w:t xml:space="preserve"> </w:t>
      </w:r>
      <w:r w:rsidRPr="00D77189" w:rsidR="00D77189">
        <w:rPr>
          <w:rFonts w:ascii="Times New Roman" w:hAnsi="Times New Roman"/>
          <w:sz w:val="24"/>
        </w:rPr>
        <w:t>Two commenters expressed support for third-party compliance audits (0201, 0460).</w:t>
      </w:r>
    </w:p>
    <w:p w:rsidR="00F41FFB" w:rsidRPr="00962F01" w:rsidP="0094141A" w14:paraId="13CD7CA3" w14:textId="2446C6FB">
      <w:pPr>
        <w:ind w:left="720"/>
        <w:rPr>
          <w:rFonts w:ascii="Times New Roman" w:hAnsi="Times New Roman"/>
          <w:sz w:val="24"/>
          <w:szCs w:val="28"/>
        </w:rPr>
      </w:pPr>
      <w:r w:rsidRPr="00962F01">
        <w:rPr>
          <w:rFonts w:ascii="Times New Roman" w:hAnsi="Times New Roman"/>
          <w:b/>
          <w:bCs/>
          <w:sz w:val="24"/>
        </w:rPr>
        <w:t>EPA Response:</w:t>
      </w:r>
      <w:r>
        <w:rPr>
          <w:rFonts w:ascii="Times New Roman" w:hAnsi="Times New Roman"/>
          <w:sz w:val="24"/>
        </w:rPr>
        <w:t xml:space="preserve"> EPA appreciates the commenter’s support</w:t>
      </w:r>
      <w:r w:rsidR="0094141A">
        <w:rPr>
          <w:rFonts w:ascii="Times New Roman" w:hAnsi="Times New Roman"/>
          <w:sz w:val="24"/>
        </w:rPr>
        <w:t xml:space="preserve"> </w:t>
      </w:r>
      <w:r w:rsidRPr="0094141A" w:rsidR="0094141A">
        <w:rPr>
          <w:rFonts w:ascii="Times New Roman" w:hAnsi="Times New Roman"/>
          <w:sz w:val="24"/>
        </w:rPr>
        <w:t>of the third-party compliance audit requirement to be included in the final rule and believes it is appropriate to require a subset of RMP-regulated facilities to engage competent and independent third-party auditors following the conditions set forth in this final rule after: (1) one accidental release meeting the criteria in 40 CFR 68.42(a) from a covered process at a stationary source has occurred; or (2) an implementing agency requires a third-party audit due to conditions at the stationary source that could lead to an accidental release of a regulated substance, or when a previous third-party audit failed to meet the competency or independence criteria of 40 CFR 68.80(c)</w:t>
      </w:r>
      <w:r w:rsidRPr="0094141A">
        <w:rPr>
          <w:rFonts w:ascii="Times New Roman" w:hAnsi="Times New Roman"/>
          <w:sz w:val="24"/>
        </w:rPr>
        <w:t>.</w:t>
      </w:r>
      <w:r>
        <w:rPr>
          <w:rFonts w:ascii="Times New Roman" w:hAnsi="Times New Roman"/>
          <w:sz w:val="24"/>
        </w:rPr>
        <w:t xml:space="preserve"> </w:t>
      </w:r>
    </w:p>
    <w:p w:rsidR="00F41FFB" w:rsidRPr="009F4BFF" w:rsidP="00F41FFB" w14:paraId="4D333382" w14:textId="77777777">
      <w:pPr>
        <w:rPr>
          <w:i/>
        </w:rPr>
      </w:pPr>
      <w:r>
        <w:rPr>
          <w:rFonts w:ascii="Times New Roman" w:hAnsi="Times New Roman"/>
          <w:i/>
          <w:sz w:val="24"/>
        </w:rPr>
        <w:t xml:space="preserve">General opposition to third-party audit requirements </w:t>
      </w:r>
    </w:p>
    <w:p w:rsidR="00F41FFB" w:rsidP="00F41FFB" w14:paraId="404BE834" w14:textId="77777777">
      <w:pPr>
        <w:rPr>
          <w:rFonts w:ascii="Times New Roman" w:hAnsi="Times New Roman"/>
          <w:sz w:val="24"/>
        </w:rPr>
      </w:pPr>
      <w:r w:rsidRPr="00FA5393">
        <w:rPr>
          <w:rFonts w:ascii="Times New Roman" w:hAnsi="Times New Roman"/>
          <w:b/>
          <w:bCs/>
          <w:sz w:val="24"/>
        </w:rPr>
        <w:t>Comment</w:t>
      </w:r>
      <w:r>
        <w:rPr>
          <w:rFonts w:ascii="Times New Roman" w:hAnsi="Times New Roman"/>
          <w:b/>
          <w:bCs/>
          <w:sz w:val="24"/>
        </w:rPr>
        <w:t xml:space="preserve"> 8.1-02</w:t>
      </w:r>
      <w:r w:rsidRPr="00FA5393">
        <w:rPr>
          <w:rFonts w:ascii="Times New Roman" w:hAnsi="Times New Roman"/>
          <w:b/>
          <w:bCs/>
          <w:sz w:val="24"/>
        </w:rPr>
        <w:t>:</w:t>
      </w:r>
      <w:r>
        <w:rPr>
          <w:rFonts w:ascii="Times New Roman" w:hAnsi="Times New Roman"/>
          <w:sz w:val="24"/>
        </w:rPr>
        <w:t xml:space="preserve"> </w:t>
      </w:r>
      <w:r w:rsidRPr="720E79C7">
        <w:rPr>
          <w:rFonts w:ascii="Times New Roman" w:hAnsi="Times New Roman"/>
          <w:sz w:val="24"/>
        </w:rPr>
        <w:t>Many</w:t>
      </w:r>
      <w:r w:rsidRPr="04291418">
        <w:rPr>
          <w:rFonts w:ascii="Times New Roman" w:hAnsi="Times New Roman"/>
          <w:sz w:val="24"/>
        </w:rPr>
        <w:t xml:space="preserve"> commenters expressed </w:t>
      </w:r>
      <w:r>
        <w:rPr>
          <w:rFonts w:ascii="Times New Roman" w:hAnsi="Times New Roman"/>
          <w:sz w:val="24"/>
        </w:rPr>
        <w:t xml:space="preserve">general </w:t>
      </w:r>
      <w:r w:rsidRPr="04291418">
        <w:rPr>
          <w:rFonts w:ascii="Times New Roman" w:hAnsi="Times New Roman"/>
          <w:sz w:val="24"/>
        </w:rPr>
        <w:t>opposition to the third-party audit provision</w:t>
      </w:r>
      <w:r>
        <w:rPr>
          <w:rFonts w:ascii="Times New Roman" w:hAnsi="Times New Roman"/>
          <w:sz w:val="24"/>
        </w:rPr>
        <w:t>s</w:t>
      </w:r>
      <w:r w:rsidRPr="04291418">
        <w:rPr>
          <w:rFonts w:ascii="Times New Roman" w:hAnsi="Times New Roman"/>
          <w:sz w:val="24"/>
        </w:rPr>
        <w:t xml:space="preserve"> (0188, 0202, 0205, 0227, 0228, 0233, 0239, 0263, 0268, 0275).</w:t>
      </w:r>
      <w:r w:rsidRPr="720E79C7">
        <w:rPr>
          <w:rFonts w:ascii="Times New Roman" w:hAnsi="Times New Roman"/>
          <w:sz w:val="24"/>
        </w:rPr>
        <w:t xml:space="preserve"> </w:t>
      </w:r>
      <w:r w:rsidRPr="0049154E">
        <w:rPr>
          <w:rFonts w:ascii="Times New Roman" w:hAnsi="Times New Roman"/>
          <w:i/>
          <w:iCs/>
          <w:sz w:val="24"/>
        </w:rPr>
        <w:t>Comments expressing opposition to specific elements of the proposal are described in sections below.</w:t>
      </w:r>
    </w:p>
    <w:p w:rsidR="00F41FFB" w:rsidRPr="00962F01" w:rsidP="00F41FFB" w14:paraId="3B17F4E6" w14:textId="77777777">
      <w:pPr>
        <w:ind w:left="720"/>
        <w:rPr>
          <w:rFonts w:ascii="Times New Roman" w:hAnsi="Times New Roman"/>
          <w:sz w:val="24"/>
          <w:szCs w:val="28"/>
        </w:rPr>
      </w:pPr>
      <w:r w:rsidRPr="0018444A">
        <w:rPr>
          <w:rFonts w:ascii="Times New Roman" w:hAnsi="Times New Roman"/>
          <w:b/>
          <w:bCs/>
          <w:sz w:val="24"/>
        </w:rPr>
        <w:t>EPA Response</w:t>
      </w:r>
      <w:r>
        <w:rPr>
          <w:rFonts w:ascii="Times New Roman" w:hAnsi="Times New Roman"/>
          <w:b/>
          <w:bCs/>
          <w:sz w:val="24"/>
        </w:rPr>
        <w:t>:</w:t>
      </w:r>
      <w:r w:rsidRPr="0018444A">
        <w:rPr>
          <w:rFonts w:ascii="Times New Roman" w:hAnsi="Times New Roman"/>
          <w:b/>
          <w:bCs/>
          <w:sz w:val="24"/>
        </w:rPr>
        <w:t xml:space="preserve"> </w:t>
      </w:r>
      <w:r w:rsidRPr="003E13F1">
        <w:rPr>
          <w:rFonts w:ascii="Times New Roman" w:hAnsi="Times New Roman"/>
          <w:sz w:val="24"/>
          <w:szCs w:val="28"/>
        </w:rPr>
        <w:t xml:space="preserve">The third-party audit provision is intended to reduce the risk of future accidental releases by requiring an objective auditing process to assist owners and operators in determining whether facility procedures and practices comply with subparts C and/or D of the RMP rule (i.e., the prevention program requirements), are adequate, and are being followed. Thus, EPA is finalizing requirements for third-party audits under </w:t>
      </w:r>
      <w:r w:rsidRPr="003E13F1">
        <w:rPr>
          <w:rFonts w:ascii="Times New Roman" w:hAnsi="Times New Roman"/>
          <w:sz w:val="24"/>
          <w:szCs w:val="28"/>
        </w:rPr>
        <w:t>40 CFR 68.58 and 68.79 to require that owners and operators ensure that third-party auditors meet qualification criteria, that audits are conducted and documented, and that findings are addressed pursuant to the requirements of 40 CFR 68.59 and 68.80, as applicable.</w:t>
      </w:r>
    </w:p>
    <w:p w:rsidR="00F41FFB" w:rsidP="00F41FFB" w14:paraId="211AE583" w14:textId="77777777">
      <w:pPr>
        <w:rPr>
          <w:rFonts w:ascii="Times New Roman" w:hAnsi="Times New Roman"/>
          <w:sz w:val="24"/>
        </w:rPr>
      </w:pPr>
      <w:r w:rsidRPr="00111229">
        <w:rPr>
          <w:rFonts w:ascii="Times New Roman" w:hAnsi="Times New Roman"/>
          <w:b/>
          <w:bCs/>
          <w:sz w:val="24"/>
        </w:rPr>
        <w:t>Comment</w:t>
      </w:r>
      <w:r>
        <w:rPr>
          <w:rFonts w:ascii="Times New Roman" w:hAnsi="Times New Roman"/>
          <w:b/>
          <w:bCs/>
          <w:sz w:val="24"/>
        </w:rPr>
        <w:t xml:space="preserve"> 8.1-03</w:t>
      </w:r>
      <w:r w:rsidRPr="00111229">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 xml:space="preserve">A couple of commenters expressed opposition to third-party audits because they felt the language was too vague and as such the large amount of discretion EPA would be granted from the proposed language raises </w:t>
      </w:r>
      <w:r>
        <w:rPr>
          <w:rFonts w:ascii="Times New Roman" w:hAnsi="Times New Roman"/>
          <w:sz w:val="24"/>
        </w:rPr>
        <w:t>d</w:t>
      </w:r>
      <w:r w:rsidRPr="6D3F9CC5">
        <w:rPr>
          <w:rFonts w:ascii="Times New Roman" w:hAnsi="Times New Roman"/>
          <w:sz w:val="24"/>
        </w:rPr>
        <w:t xml:space="preserve">ue </w:t>
      </w:r>
      <w:r>
        <w:rPr>
          <w:rFonts w:ascii="Times New Roman" w:hAnsi="Times New Roman"/>
          <w:sz w:val="24"/>
        </w:rPr>
        <w:t>p</w:t>
      </w:r>
      <w:r w:rsidRPr="6D3F9CC5">
        <w:rPr>
          <w:rFonts w:ascii="Times New Roman" w:hAnsi="Times New Roman"/>
          <w:sz w:val="24"/>
        </w:rPr>
        <w:t>rocess concerns and could risk audit overload and thereby make conditions potentially less safe, according to the commenter</w:t>
      </w:r>
      <w:r w:rsidRPr="6BF2E7B9">
        <w:rPr>
          <w:rFonts w:ascii="Times New Roman" w:hAnsi="Times New Roman"/>
          <w:sz w:val="24"/>
        </w:rPr>
        <w:t xml:space="preserve"> (0261, 0268).</w:t>
      </w:r>
    </w:p>
    <w:p w:rsidR="000F357D" w:rsidRPr="000F357D" w:rsidP="00E45D57" w14:paraId="6A6675D1" w14:textId="3745B2CF">
      <w:pPr>
        <w:ind w:left="720"/>
        <w:rPr>
          <w:rFonts w:ascii="Times New Roman" w:hAnsi="Times New Roman"/>
          <w:sz w:val="24"/>
        </w:rPr>
      </w:pPr>
      <w:r w:rsidRPr="00213D35">
        <w:rPr>
          <w:rFonts w:ascii="Times New Roman" w:hAnsi="Times New Roman"/>
          <w:b/>
          <w:bCs/>
          <w:sz w:val="24"/>
        </w:rPr>
        <w:t>EPA Response:</w:t>
      </w:r>
      <w:r w:rsidRPr="008644E0">
        <w:rPr>
          <w:rFonts w:ascii="Times New Roman" w:hAnsi="Times New Roman"/>
          <w:b/>
          <w:bCs/>
          <w:sz w:val="24"/>
        </w:rPr>
        <w:t xml:space="preserve"> </w:t>
      </w:r>
      <w:r w:rsidRPr="000F357D">
        <w:rPr>
          <w:rFonts w:ascii="Times New Roman" w:hAnsi="Times New Roman"/>
          <w:sz w:val="24"/>
        </w:rPr>
        <w:t>Based on review of comments, EPA is finalizing the proposed provisions for third-party audits with the following modifications</w:t>
      </w:r>
      <w:r w:rsidR="00794103">
        <w:rPr>
          <w:rFonts w:ascii="Times New Roman" w:hAnsi="Times New Roman"/>
          <w:sz w:val="24"/>
        </w:rPr>
        <w:t xml:space="preserve"> and language </w:t>
      </w:r>
      <w:r w:rsidR="008E3D73">
        <w:rPr>
          <w:rFonts w:ascii="Times New Roman" w:hAnsi="Times New Roman"/>
          <w:sz w:val="24"/>
        </w:rPr>
        <w:t xml:space="preserve">clarifications listed below. </w:t>
      </w:r>
      <w:r w:rsidR="00780F87">
        <w:rPr>
          <w:rFonts w:ascii="Times New Roman" w:hAnsi="Times New Roman"/>
          <w:sz w:val="24"/>
        </w:rPr>
        <w:t>T</w:t>
      </w:r>
      <w:r w:rsidR="008E3D73">
        <w:rPr>
          <w:rFonts w:ascii="Times New Roman" w:hAnsi="Times New Roman"/>
          <w:sz w:val="24"/>
        </w:rPr>
        <w:t xml:space="preserve">he </w:t>
      </w:r>
      <w:r w:rsidR="005D64A7">
        <w:rPr>
          <w:rFonts w:ascii="Times New Roman" w:hAnsi="Times New Roman"/>
          <w:sz w:val="24"/>
        </w:rPr>
        <w:t xml:space="preserve">applicability and regulatory text </w:t>
      </w:r>
      <w:r w:rsidR="008E3D73">
        <w:rPr>
          <w:rFonts w:ascii="Times New Roman" w:hAnsi="Times New Roman"/>
          <w:sz w:val="24"/>
        </w:rPr>
        <w:t>changes</w:t>
      </w:r>
      <w:r w:rsidR="00506E41">
        <w:rPr>
          <w:rFonts w:ascii="Times New Roman" w:hAnsi="Times New Roman"/>
          <w:sz w:val="24"/>
        </w:rPr>
        <w:t xml:space="preserve"> </w:t>
      </w:r>
      <w:r w:rsidR="00E45059">
        <w:rPr>
          <w:rFonts w:ascii="Times New Roman" w:hAnsi="Times New Roman"/>
          <w:sz w:val="24"/>
        </w:rPr>
        <w:t xml:space="preserve">are explicit and </w:t>
      </w:r>
      <w:r w:rsidR="00506E41">
        <w:rPr>
          <w:rFonts w:ascii="Times New Roman" w:hAnsi="Times New Roman"/>
          <w:sz w:val="24"/>
        </w:rPr>
        <w:t>will be helpful</w:t>
      </w:r>
      <w:r w:rsidR="00106E52">
        <w:rPr>
          <w:rFonts w:ascii="Times New Roman" w:hAnsi="Times New Roman"/>
          <w:sz w:val="24"/>
        </w:rPr>
        <w:t xml:space="preserve"> for facilities to understand </w:t>
      </w:r>
      <w:r w:rsidR="001272CC">
        <w:rPr>
          <w:rFonts w:ascii="Times New Roman" w:hAnsi="Times New Roman"/>
          <w:sz w:val="24"/>
        </w:rPr>
        <w:t xml:space="preserve">how to </w:t>
      </w:r>
      <w:r w:rsidR="00DA6BA7">
        <w:rPr>
          <w:rFonts w:ascii="Times New Roman" w:hAnsi="Times New Roman"/>
          <w:sz w:val="24"/>
        </w:rPr>
        <w:t xml:space="preserve">apply the provision successfully. </w:t>
      </w:r>
      <w:r w:rsidRPr="000F357D">
        <w:rPr>
          <w:rFonts w:ascii="Times New Roman" w:hAnsi="Times New Roman"/>
          <w:sz w:val="24"/>
        </w:rPr>
        <w:t xml:space="preserve"> </w:t>
      </w:r>
    </w:p>
    <w:p w:rsidR="00D13CBA" w:rsidP="00E57324" w14:paraId="5CE32724" w14:textId="4202DEE1">
      <w:pPr>
        <w:pStyle w:val="ListParagraph"/>
        <w:numPr>
          <w:ilvl w:val="0"/>
          <w:numId w:val="19"/>
        </w:numPr>
        <w:rPr>
          <w:rFonts w:ascii="Times New Roman" w:hAnsi="Times New Roman"/>
          <w:sz w:val="24"/>
        </w:rPr>
      </w:pPr>
      <w:r w:rsidRPr="00797067">
        <w:rPr>
          <w:rFonts w:ascii="Times New Roman" w:hAnsi="Times New Roman"/>
          <w:sz w:val="24"/>
        </w:rPr>
        <w:t>EPA is revising the requirements that triggered when a third-party audit would be required. For the final rule, two of the three proposed conditions (i.e., two accidental releases within five years meeting the criteria in 40 CFR 68.42(a), from a covered process have occurred; or one accidental release within five years meeting the criteria in 40 CFR 68.42(a), from a covered process at a stationary source in NAICS code 324 or 325, located within 1 mile of another stationary source having a process in NAICS code 324 or 325, has occurred) are being replaced with one condition—one accidental release meeting the criteria in 40 CFR 68.42(a), from a covered process. The other condition allowing an implementing agency to require a third-party audit is being finalized as proposed.</w:t>
      </w:r>
      <w:r w:rsidR="007A25C8">
        <w:rPr>
          <w:rFonts w:ascii="Times New Roman" w:hAnsi="Times New Roman"/>
          <w:sz w:val="24"/>
        </w:rPr>
        <w:t xml:space="preserve"> </w:t>
      </w:r>
    </w:p>
    <w:p w:rsidR="000F357D" w:rsidRPr="00797067" w:rsidP="00E57324" w14:paraId="034DC2AA" w14:textId="2E02FAA4">
      <w:pPr>
        <w:pStyle w:val="ListParagraph"/>
        <w:numPr>
          <w:ilvl w:val="0"/>
          <w:numId w:val="19"/>
        </w:numPr>
        <w:rPr>
          <w:rFonts w:ascii="Times New Roman" w:hAnsi="Times New Roman"/>
          <w:sz w:val="24"/>
        </w:rPr>
      </w:pPr>
      <w:r w:rsidRPr="00797067">
        <w:rPr>
          <w:rFonts w:ascii="Times New Roman" w:hAnsi="Times New Roman"/>
          <w:sz w:val="24"/>
        </w:rPr>
        <w:t xml:space="preserve">EPA is not finalizing compliance audit language which proposed auditing for every covered process at a facility. This corrects an error in the proposed rulemaking text. By not finalizing this language, compliance audits will remain consistent with the current practice, which allows for representative sampling. A discussion of representative sampling as an acceptable practice for compliance audits can be found in the Reconsideration final rule. </w:t>
      </w:r>
    </w:p>
    <w:p w:rsidR="00F41FFB" w:rsidRPr="00797067" w:rsidP="00E57324" w14:paraId="1FE390C8" w14:textId="0FFB6F72">
      <w:pPr>
        <w:pStyle w:val="ListParagraph"/>
        <w:numPr>
          <w:ilvl w:val="0"/>
          <w:numId w:val="19"/>
        </w:numPr>
        <w:rPr>
          <w:rFonts w:ascii="Times New Roman" w:hAnsi="Times New Roman"/>
          <w:sz w:val="24"/>
        </w:rPr>
      </w:pPr>
      <w:r w:rsidRPr="00797067">
        <w:rPr>
          <w:rFonts w:ascii="Times New Roman" w:hAnsi="Times New Roman"/>
          <w:sz w:val="24"/>
        </w:rPr>
        <w:t>EPA is not finalizing compliance audit language which proposed a 12-month timeline for a third-party audit after a triggering criterion. The revised final requirement relies on the language at 40 CFR 68.58(f) and 68.79(f) which refers to the timeline of a third-party audit to be the “next required compliance audit,” which is at least every 3 years under 40 CFR 68.58(a) and 68.79(a).</w:t>
      </w:r>
    </w:p>
    <w:p w:rsidR="00F41FFB" w:rsidP="00F41FFB" w14:paraId="7836195A" w14:textId="77777777">
      <w:pPr>
        <w:rPr>
          <w:rFonts w:ascii="Times New Roman" w:hAnsi="Times New Roman"/>
          <w:sz w:val="24"/>
        </w:rPr>
      </w:pPr>
      <w:r w:rsidRPr="000A7D09">
        <w:rPr>
          <w:rFonts w:ascii="Times New Roman" w:hAnsi="Times New Roman"/>
          <w:b/>
          <w:bCs/>
          <w:sz w:val="24"/>
        </w:rPr>
        <w:t>Comment</w:t>
      </w:r>
      <w:r>
        <w:rPr>
          <w:rFonts w:ascii="Times New Roman" w:hAnsi="Times New Roman"/>
          <w:b/>
          <w:bCs/>
          <w:sz w:val="24"/>
        </w:rPr>
        <w:t xml:space="preserve"> 8.1-04</w:t>
      </w:r>
      <w:r w:rsidRPr="000A7D09">
        <w:rPr>
          <w:rFonts w:ascii="Times New Roman" w:hAnsi="Times New Roman"/>
          <w:b/>
          <w:bCs/>
          <w:sz w:val="24"/>
        </w:rPr>
        <w:t>:</w:t>
      </w:r>
      <w:r>
        <w:rPr>
          <w:rFonts w:ascii="Times New Roman" w:hAnsi="Times New Roman"/>
          <w:sz w:val="24"/>
        </w:rPr>
        <w:t xml:space="preserve"> Several commenters recommended limiting the scope of the proposed third-party audit requirements, as described below.</w:t>
      </w:r>
    </w:p>
    <w:p w:rsidR="00F41FFB" w:rsidRPr="006F68E9" w:rsidP="00F41FFB" w14:paraId="4E778396" w14:textId="19DADAED">
      <w:pPr>
        <w:rPr>
          <w:rFonts w:ascii="Times New Roman" w:hAnsi="Times New Roman"/>
          <w:sz w:val="24"/>
        </w:rPr>
      </w:pPr>
      <w:r w:rsidRPr="006F68E9">
        <w:rPr>
          <w:rFonts w:ascii="Times New Roman" w:hAnsi="Times New Roman"/>
          <w:sz w:val="24"/>
        </w:rPr>
        <w:t>One commenter asserted that the auditor requirements are too restrictive, which they believe will result in a shortage of qualified auditors. The commenter recommended that EPA targets facilities with multiple accident histories and require them to be audited instead rather than waiting for an accident to happen and auditing them afterwards (0238).</w:t>
      </w:r>
    </w:p>
    <w:p w:rsidR="00F41FFB" w:rsidP="00F41FFB" w14:paraId="59FFEEED" w14:textId="77777777">
      <w:pPr>
        <w:rPr>
          <w:rFonts w:ascii="Times New Roman" w:hAnsi="Times New Roman"/>
          <w:sz w:val="24"/>
        </w:rPr>
      </w:pPr>
      <w:r w:rsidRPr="006F68E9">
        <w:rPr>
          <w:rFonts w:ascii="Times New Roman" w:hAnsi="Times New Roman"/>
          <w:sz w:val="24"/>
        </w:rPr>
        <w:t>One of the commenters asserted that facilities should be able to determine when they should conduct an audit themselves because it is based on performance</w:t>
      </w:r>
      <w:r>
        <w:rPr>
          <w:rFonts w:ascii="Times New Roman" w:hAnsi="Times New Roman"/>
          <w:sz w:val="24"/>
        </w:rPr>
        <w:t xml:space="preserve"> </w:t>
      </w:r>
      <w:r w:rsidRPr="006F68E9">
        <w:rPr>
          <w:rFonts w:ascii="Times New Roman" w:hAnsi="Times New Roman"/>
          <w:sz w:val="24"/>
        </w:rPr>
        <w:t>(0227).</w:t>
      </w:r>
    </w:p>
    <w:p w:rsidR="00F41FFB" w:rsidP="00F41FFB" w14:paraId="4A7DE758" w14:textId="77777777">
      <w:pPr>
        <w:rPr>
          <w:rFonts w:ascii="Times New Roman" w:hAnsi="Times New Roman"/>
          <w:sz w:val="24"/>
        </w:rPr>
      </w:pPr>
      <w:r w:rsidRPr="006F68E9">
        <w:rPr>
          <w:rFonts w:ascii="Times New Roman" w:hAnsi="Times New Roman"/>
          <w:sz w:val="24"/>
        </w:rPr>
        <w:t>A couple of commenters asserted that inspectors should only call for third-party audits on a case-by-case basis (0188, 0229).</w:t>
      </w:r>
    </w:p>
    <w:p w:rsidR="00F41FFB" w:rsidP="00F41FFB" w14:paraId="5B20EE5D" w14:textId="77777777">
      <w:pPr>
        <w:rPr>
          <w:rFonts w:ascii="Times New Roman" w:hAnsi="Times New Roman"/>
          <w:sz w:val="24"/>
        </w:rPr>
      </w:pPr>
      <w:r w:rsidRPr="006F68E9">
        <w:rPr>
          <w:rFonts w:ascii="Times New Roman" w:hAnsi="Times New Roman"/>
          <w:sz w:val="24"/>
        </w:rPr>
        <w:t>One commenter agreed that auditing can be a useful tool but asserted that it should not be required for RMP facilities that have not had multiple accidents (0215).</w:t>
      </w:r>
    </w:p>
    <w:p w:rsidR="00F41FFB" w:rsidP="00F41FFB" w14:paraId="196545FF" w14:textId="7C0D8884">
      <w:pPr>
        <w:rPr>
          <w:rFonts w:ascii="Times New Roman" w:hAnsi="Times New Roman"/>
          <w:sz w:val="24"/>
        </w:rPr>
      </w:pPr>
      <w:r>
        <w:rPr>
          <w:rFonts w:ascii="Times New Roman" w:hAnsi="Times New Roman"/>
          <w:sz w:val="24"/>
        </w:rPr>
        <w:t>One commenter stated that the</w:t>
      </w:r>
      <w:r w:rsidRPr="6D3F9CC5">
        <w:rPr>
          <w:rFonts w:ascii="Times New Roman" w:hAnsi="Times New Roman"/>
          <w:sz w:val="24"/>
        </w:rPr>
        <w:t xml:space="preserve"> proposed rule is too broad and may require reporting a minor injury such as a sprained ankle, therefore EPA could be overwhelmed with submissions and unable to discern the most substantial concerns that deserve the attention of the Agency’s limited enforcement resources</w:t>
      </w:r>
      <w:r>
        <w:rPr>
          <w:rFonts w:ascii="Times New Roman" w:hAnsi="Times New Roman"/>
          <w:sz w:val="24"/>
        </w:rPr>
        <w:t xml:space="preserve"> (0268).</w:t>
      </w:r>
    </w:p>
    <w:p w:rsidR="00CE48B5" w:rsidP="00CE48B5" w14:paraId="7A3EB695" w14:textId="77777777">
      <w:pPr>
        <w:rPr>
          <w:rFonts w:ascii="Times New Roman" w:hAnsi="Times New Roman"/>
          <w:sz w:val="24"/>
        </w:rPr>
      </w:pPr>
      <w:r w:rsidRPr="006F68E9">
        <w:rPr>
          <w:rFonts w:ascii="Times New Roman" w:hAnsi="Times New Roman"/>
          <w:sz w:val="24"/>
        </w:rPr>
        <w:t xml:space="preserve">Another commenter stated that EPA has not showed evidence that third-party compliance audits are more effective than self-audits (0233). One commenter noted that EPA does not justify the third-party audit requirement justification based on the potential for self-auditing to be insufficient (0229). </w:t>
      </w:r>
    </w:p>
    <w:p w:rsidR="00CE48B5" w:rsidP="00F41FFB" w14:paraId="3CDCD3CD" w14:textId="7D2897E8">
      <w:pPr>
        <w:rPr>
          <w:rFonts w:ascii="Times New Roman" w:hAnsi="Times New Roman"/>
          <w:sz w:val="24"/>
        </w:rPr>
      </w:pPr>
      <w:r w:rsidRPr="006F68E9">
        <w:rPr>
          <w:rFonts w:ascii="Times New Roman" w:hAnsi="Times New Roman"/>
          <w:sz w:val="24"/>
        </w:rPr>
        <w:t xml:space="preserve">One commenter stated that the proposal lacks a sufficient basis for the provision that would indicate first- or second-party audits are inadequate. The commenter continued that EPA’s own Audit Policy finds first- and second-party audits effective (0253). </w:t>
      </w:r>
    </w:p>
    <w:p w:rsidR="005B58C3" w:rsidP="00F41FFB" w14:paraId="3C2509F9" w14:textId="12214E04">
      <w:pPr>
        <w:rPr>
          <w:rFonts w:ascii="Times New Roman" w:hAnsi="Times New Roman"/>
          <w:sz w:val="24"/>
        </w:rPr>
      </w:pPr>
      <w:r w:rsidRPr="4E55F610">
        <w:rPr>
          <w:rFonts w:ascii="Times New Roman" w:hAnsi="Times New Roman"/>
          <w:sz w:val="24"/>
        </w:rPr>
        <w:t xml:space="preserve">Several commenters challenged that there will be sufficient qualified third-party auditors available (0173, 0184, 0190, 0224, 0245). </w:t>
      </w:r>
    </w:p>
    <w:p w:rsidR="00F41FFB" w:rsidP="00A31278" w14:paraId="5D3B03CD" w14:textId="4E16DC5C">
      <w:pPr>
        <w:ind w:left="720"/>
        <w:rPr>
          <w:rFonts w:ascii="Times New Roman" w:hAnsi="Times New Roman"/>
          <w:sz w:val="24"/>
        </w:rPr>
      </w:pPr>
      <w:r w:rsidRPr="005948D1">
        <w:rPr>
          <w:rFonts w:ascii="Times New Roman" w:hAnsi="Times New Roman"/>
          <w:b/>
          <w:bCs/>
          <w:sz w:val="24"/>
        </w:rPr>
        <w:t>EPA Response:</w:t>
      </w:r>
      <w:r w:rsidRPr="000A7D09">
        <w:rPr>
          <w:rFonts w:ascii="Times New Roman" w:hAnsi="Times New Roman"/>
          <w:b/>
          <w:bCs/>
          <w:sz w:val="24"/>
        </w:rPr>
        <w:t xml:space="preserve"> </w:t>
      </w:r>
      <w:r w:rsidR="002D3F88">
        <w:rPr>
          <w:rFonts w:ascii="Times New Roman" w:hAnsi="Times New Roman"/>
          <w:sz w:val="24"/>
        </w:rPr>
        <w:t>T</w:t>
      </w:r>
      <w:r w:rsidRPr="004762EC" w:rsidR="004762EC">
        <w:rPr>
          <w:rFonts w:ascii="Times New Roman" w:hAnsi="Times New Roman"/>
          <w:sz w:val="24"/>
        </w:rPr>
        <w:t>he frequency with which third party audits are required in the final rule is reasonable in order to prevent future accidents</w:t>
      </w:r>
      <w:r w:rsidRPr="004762EC" w:rsidR="004762EC">
        <w:rPr>
          <w:rFonts w:ascii="Times New Roman" w:hAnsi="Times New Roman"/>
          <w:sz w:val="24"/>
        </w:rPr>
        <w:t>.</w:t>
      </w:r>
      <w:r w:rsidRPr="000A7D09">
        <w:rPr>
          <w:rFonts w:ascii="Times New Roman" w:hAnsi="Times New Roman"/>
          <w:b/>
          <w:bCs/>
          <w:sz w:val="24"/>
        </w:rPr>
        <w:t xml:space="preserve"> </w:t>
      </w:r>
      <w:r w:rsidRPr="00A31278" w:rsidR="00A31278">
        <w:rPr>
          <w:rFonts w:ascii="Times New Roman" w:hAnsi="Times New Roman"/>
          <w:sz w:val="24"/>
        </w:rPr>
        <w:t xml:space="preserve">As indicated in the proposal, EPA RMP accident history data show that, while 97 percent of all RMP facilities had no RMP-reportable accidents from 2016–2020, 3 percent of all RMP facilities had at least 1 RMP-reportable accident and 0.5 percent </w:t>
      </w:r>
      <w:r w:rsidR="003A3556">
        <w:rPr>
          <w:rFonts w:ascii="Times New Roman" w:hAnsi="Times New Roman"/>
          <w:sz w:val="24"/>
        </w:rPr>
        <w:t xml:space="preserve">(n = 70) </w:t>
      </w:r>
      <w:r w:rsidRPr="00A31278" w:rsidR="00A31278">
        <w:rPr>
          <w:rFonts w:ascii="Times New Roman" w:hAnsi="Times New Roman"/>
          <w:sz w:val="24"/>
        </w:rPr>
        <w:t>of all RMP facilities had 2 or more RMP-reportable accidents</w:t>
      </w:r>
      <w:r w:rsidR="008B5C28">
        <w:rPr>
          <w:rFonts w:ascii="Times New Roman" w:hAnsi="Times New Roman"/>
          <w:sz w:val="24"/>
        </w:rPr>
        <w:t xml:space="preserve"> (87 FR 53584)</w:t>
      </w:r>
      <w:r w:rsidRPr="00A31278" w:rsidR="00A31278">
        <w:rPr>
          <w:rFonts w:ascii="Times New Roman" w:hAnsi="Times New Roman"/>
          <w:sz w:val="24"/>
        </w:rPr>
        <w:t>.</w:t>
      </w:r>
      <w:r>
        <w:rPr>
          <w:rStyle w:val="FootnoteReference"/>
          <w:rFonts w:ascii="Times New Roman" w:hAnsi="Times New Roman"/>
          <w:sz w:val="24"/>
          <w:highlight w:val="yellow"/>
        </w:rPr>
        <w:footnoteReference w:id="122"/>
      </w:r>
      <w:r w:rsidRPr="00A31278" w:rsidR="00A31278">
        <w:rPr>
          <w:rFonts w:ascii="Times New Roman" w:hAnsi="Times New Roman"/>
          <w:sz w:val="24"/>
        </w:rPr>
        <w:t xml:space="preserve"> </w:t>
      </w:r>
      <w:r w:rsidRPr="00A31278" w:rsidR="00A31278">
        <w:rPr>
          <w:rFonts w:ascii="Times New Roman" w:hAnsi="Times New Roman"/>
          <w:sz w:val="24"/>
        </w:rPr>
        <w:t>EPA views one 40 CFR 68.42(a) accidental release as a serious matter</w:t>
      </w:r>
      <w:r w:rsidR="001F7F36">
        <w:rPr>
          <w:rFonts w:ascii="Times New Roman" w:hAnsi="Times New Roman"/>
          <w:sz w:val="24"/>
        </w:rPr>
        <w:t xml:space="preserve"> deserving attention</w:t>
      </w:r>
      <w:r w:rsidRPr="00A31278" w:rsidR="00A31278">
        <w:rPr>
          <w:rFonts w:ascii="Times New Roman" w:hAnsi="Times New Roman"/>
          <w:sz w:val="24"/>
        </w:rPr>
        <w:t>, considering the possible outcomes are deaths, injuries</w:t>
      </w:r>
      <w:r w:rsidR="009A6AFC">
        <w:rPr>
          <w:rFonts w:ascii="Times New Roman" w:hAnsi="Times New Roman"/>
          <w:sz w:val="24"/>
        </w:rPr>
        <w:t xml:space="preserve"> </w:t>
      </w:r>
      <w:r w:rsidRPr="00D0468E" w:rsidR="009A6AFC">
        <w:rPr>
          <w:rFonts w:ascii="Times New Roman" w:hAnsi="Times New Roman"/>
          <w:sz w:val="24"/>
        </w:rPr>
        <w:t>(</w:t>
      </w:r>
      <w:r w:rsidRPr="00D0468E" w:rsidR="00D0468E">
        <w:rPr>
          <w:rFonts w:ascii="Times New Roman" w:hAnsi="Times New Roman"/>
          <w:sz w:val="24"/>
        </w:rPr>
        <w:t xml:space="preserve">i.e., </w:t>
      </w:r>
      <w:r w:rsidRPr="00D0468E" w:rsidR="00E85B4A">
        <w:rPr>
          <w:rFonts w:ascii="Times New Roman" w:hAnsi="Times New Roman"/>
          <w:sz w:val="24"/>
        </w:rPr>
        <w:t>any effect on a human that results</w:t>
      </w:r>
      <w:r w:rsidRPr="00D0468E" w:rsidR="004B5F97">
        <w:rPr>
          <w:rFonts w:ascii="Times New Roman" w:hAnsi="Times New Roman"/>
          <w:sz w:val="24"/>
        </w:rPr>
        <w:t xml:space="preserve"> either from direct exposure to toxic concentrations; radiant heat; or overpressures from accidental releases or from the direct consequences of a vapor cloud explosion (such as flying glass, debris, and other projectiles) from an accidental release and that requires medical treatment or hospitalization</w:t>
      </w:r>
      <w:r w:rsidRPr="00D0468E" w:rsidR="001F7F36">
        <w:rPr>
          <w:rFonts w:ascii="Times New Roman" w:hAnsi="Times New Roman"/>
          <w:sz w:val="24"/>
        </w:rPr>
        <w:t xml:space="preserve"> as defined by 40 CFR 68.3)</w:t>
      </w:r>
      <w:r w:rsidRPr="00D0468E" w:rsidR="00A31278">
        <w:rPr>
          <w:rFonts w:ascii="Times New Roman" w:hAnsi="Times New Roman"/>
          <w:sz w:val="24"/>
        </w:rPr>
        <w:t>,</w:t>
      </w:r>
      <w:r w:rsidRPr="00A31278" w:rsidR="00A31278">
        <w:rPr>
          <w:rFonts w:ascii="Times New Roman" w:hAnsi="Times New Roman"/>
          <w:sz w:val="24"/>
        </w:rPr>
        <w:t xml:space="preserve"> or significant property damage on site, or known offsite deaths, injuries, evacuations, sheltering in place, property damage, or environmental damage. </w:t>
      </w:r>
      <w:r w:rsidR="00F45613">
        <w:rPr>
          <w:rFonts w:ascii="Times New Roman" w:hAnsi="Times New Roman"/>
          <w:sz w:val="24"/>
        </w:rPr>
        <w:t>Further, the average per accident damage estimate from 2016-2020 is $5.5 million. I</w:t>
      </w:r>
      <w:r w:rsidRPr="00A31278" w:rsidR="00A31278">
        <w:rPr>
          <w:rFonts w:ascii="Times New Roman" w:hAnsi="Times New Roman"/>
          <w:sz w:val="24"/>
        </w:rPr>
        <w:t>t is arguable that having even one accident should be a cause for concern</w:t>
      </w:r>
      <w:r w:rsidR="001F55E1">
        <w:rPr>
          <w:rFonts w:ascii="Times New Roman" w:hAnsi="Times New Roman"/>
          <w:sz w:val="24"/>
        </w:rPr>
        <w:t xml:space="preserve"> considering most RMP facilities have never had any accidents</w:t>
      </w:r>
      <w:r w:rsidRPr="00A31278" w:rsidR="00A31278">
        <w:rPr>
          <w:rFonts w:ascii="Times New Roman" w:hAnsi="Times New Roman"/>
          <w:sz w:val="24"/>
        </w:rPr>
        <w:t>.</w:t>
      </w:r>
      <w:r w:rsidR="001F55E1">
        <w:rPr>
          <w:rFonts w:ascii="Times New Roman" w:hAnsi="Times New Roman"/>
          <w:sz w:val="24"/>
        </w:rPr>
        <w:t xml:space="preserve"> Additionally, of the 70 facilities that had at least 1 </w:t>
      </w:r>
      <w:r w:rsidR="004309E3">
        <w:rPr>
          <w:rFonts w:ascii="Times New Roman" w:hAnsi="Times New Roman"/>
          <w:sz w:val="24"/>
        </w:rPr>
        <w:t>RMP-reportable accident, 61 percent (n = 43) had experienced another accident prior to 2016.</w:t>
      </w:r>
      <w:r w:rsidRPr="00A31278" w:rsidR="00A31278">
        <w:rPr>
          <w:rFonts w:ascii="Times New Roman" w:hAnsi="Times New Roman"/>
          <w:sz w:val="24"/>
        </w:rPr>
        <w:t xml:space="preserve"> EPA does not believe affected communities should have to experience the </w:t>
      </w:r>
      <w:r w:rsidRPr="00A31278" w:rsidR="00A31278">
        <w:rPr>
          <w:rFonts w:ascii="Times New Roman" w:hAnsi="Times New Roman"/>
          <w:sz w:val="24"/>
        </w:rPr>
        <w:t>adverse consequences of a second reportable accident before an objective party comes in to evaluate the facility for compliance.</w:t>
      </w:r>
      <w:r w:rsidR="002C78AA">
        <w:rPr>
          <w:rFonts w:ascii="Times New Roman" w:hAnsi="Times New Roman"/>
          <w:sz w:val="24"/>
        </w:rPr>
        <w:t xml:space="preserve"> The pattern of repeated accidents at RMP facilities provides a reasoned basis for EPA’s focus on these facilities to apply a greater level of risk-reduction measures. </w:t>
      </w:r>
    </w:p>
    <w:p w:rsidR="00BC0705" w:rsidP="00A31278" w14:paraId="61459D34" w14:textId="72916633">
      <w:pPr>
        <w:ind w:left="720"/>
        <w:rPr>
          <w:rFonts w:ascii="Times New Roman" w:hAnsi="Times New Roman"/>
          <w:sz w:val="24"/>
        </w:rPr>
      </w:pPr>
      <w:r w:rsidRPr="00EE364E">
        <w:rPr>
          <w:rFonts w:ascii="Times New Roman" w:hAnsi="Times New Roman"/>
          <w:sz w:val="24"/>
        </w:rPr>
        <w:t>EPA notes that under 40 CFR part 68, sources with any Program 2 and/or Program 3 processes are already required to conduct compliance audits every three years. This rule does not change the requirement that RMP facilities regularly conduct RMP compliance audits, but adds that, in specific situations, those audits must be performed by a third-party or a team led by a third-party, pursuant to the requirements and schedule in 40 CFR 68.58 and/or 68.79 of the rule.</w:t>
      </w:r>
      <w:r w:rsidRPr="002B3B12">
        <w:rPr>
          <w:rFonts w:ascii="Times New Roman" w:hAnsi="Times New Roman"/>
          <w:sz w:val="24"/>
        </w:rPr>
        <w:t xml:space="preserve"> </w:t>
      </w:r>
      <w:r w:rsidR="004762EC">
        <w:rPr>
          <w:rFonts w:ascii="Times New Roman" w:hAnsi="Times New Roman"/>
          <w:sz w:val="24"/>
        </w:rPr>
        <w:t xml:space="preserve">However, </w:t>
      </w:r>
      <w:r w:rsidRPr="00BC0705">
        <w:rPr>
          <w:rFonts w:ascii="Times New Roman" w:hAnsi="Times New Roman"/>
          <w:sz w:val="24"/>
        </w:rPr>
        <w:t>EPA notes that having a third-party conduct a compliance audit does not preclude the facility from conducting an in-house compliance audit in tandem. If the goal is to ensure that preventative measures are in place to prevent future accidents, EPA hopes that a facility would want to implement all such measures to ensure it is compliant. EPA disagrees that the third-party audit requirement should be expanded to include all RMP facilities without waiting for an accident. While independent third-party audits help to ensure an independent systematic evaluation of the full prevention program at an RMP facility, EPA is not making this a regulatory requirement for all RMP sources before an accident, at this time, due to the increased burden associated with these audits.</w:t>
      </w:r>
    </w:p>
    <w:p w:rsidR="001B1F21" w:rsidRPr="00BC0705" w:rsidP="00A31278" w14:paraId="1B2F3BB2" w14:textId="21BFFE66">
      <w:pPr>
        <w:ind w:left="720"/>
        <w:rPr>
          <w:rFonts w:ascii="Times New Roman" w:hAnsi="Times New Roman"/>
          <w:sz w:val="24"/>
        </w:rPr>
      </w:pPr>
      <w:r>
        <w:rPr>
          <w:rFonts w:ascii="Times New Roman" w:hAnsi="Times New Roman"/>
          <w:sz w:val="24"/>
        </w:rPr>
        <w:t>Lastly, it is important to note that the auditor</w:t>
      </w:r>
      <w:r w:rsidRPr="001B1F21">
        <w:rPr>
          <w:rFonts w:ascii="Times New Roman" w:hAnsi="Times New Roman"/>
          <w:sz w:val="24"/>
        </w:rPr>
        <w:t xml:space="preserve"> independence requirements were simplified and streamlined from the 2017 rule, which included a limitation for auditors who conducted consulting type services for the owner or operator within the last two years, or for a period of at least </w:t>
      </w:r>
      <w:r w:rsidR="002D3F88">
        <w:rPr>
          <w:rFonts w:ascii="Times New Roman" w:hAnsi="Times New Roman"/>
          <w:sz w:val="24"/>
        </w:rPr>
        <w:t>two</w:t>
      </w:r>
      <w:r w:rsidRPr="001B1F21">
        <w:rPr>
          <w:rFonts w:ascii="Times New Roman" w:hAnsi="Times New Roman"/>
          <w:sz w:val="24"/>
        </w:rPr>
        <w:t xml:space="preserve"> years following the audit report. EPA believes the provision, as adopted, ensures additional available independent auditors to act in an independent and impartial manner, allowing more flexibility in choosing auditors.</w:t>
      </w:r>
    </w:p>
    <w:p w:rsidR="00F41FFB" w:rsidRPr="008C7FC5" w:rsidP="00F41FFB" w14:paraId="3C0DCA35" w14:textId="77777777">
      <w:pPr>
        <w:rPr>
          <w:rFonts w:ascii="Times New Roman" w:hAnsi="Times New Roman"/>
          <w:i/>
          <w:iCs/>
          <w:sz w:val="24"/>
        </w:rPr>
      </w:pPr>
      <w:r w:rsidRPr="008C7FC5">
        <w:rPr>
          <w:rFonts w:ascii="Times New Roman" w:hAnsi="Times New Roman"/>
          <w:i/>
          <w:iCs/>
          <w:sz w:val="24"/>
        </w:rPr>
        <w:t xml:space="preserve">Justification for the proposed requirements </w:t>
      </w:r>
    </w:p>
    <w:p w:rsidR="00F41FFB" w:rsidRPr="006F68E9" w:rsidP="00F41FFB" w14:paraId="0A153000" w14:textId="1E1F2070">
      <w:pPr>
        <w:rPr>
          <w:rFonts w:ascii="Times New Roman" w:hAnsi="Times New Roman"/>
          <w:sz w:val="24"/>
        </w:rPr>
      </w:pPr>
      <w:r>
        <w:rPr>
          <w:rFonts w:ascii="Times New Roman" w:hAnsi="Times New Roman"/>
          <w:b/>
          <w:bCs/>
          <w:sz w:val="24"/>
        </w:rPr>
        <w:t>Comment 8.1-0</w:t>
      </w:r>
      <w:r w:rsidR="00657BBE">
        <w:rPr>
          <w:rFonts w:ascii="Times New Roman" w:hAnsi="Times New Roman"/>
          <w:b/>
          <w:bCs/>
          <w:sz w:val="24"/>
        </w:rPr>
        <w:t>5</w:t>
      </w:r>
      <w:r>
        <w:rPr>
          <w:rFonts w:ascii="Times New Roman" w:hAnsi="Times New Roman"/>
          <w:b/>
          <w:bCs/>
          <w:sz w:val="24"/>
        </w:rPr>
        <w:t xml:space="preserve">: </w:t>
      </w:r>
      <w:r w:rsidRPr="006F68E9">
        <w:rPr>
          <w:rFonts w:ascii="Times New Roman" w:hAnsi="Times New Roman"/>
          <w:sz w:val="24"/>
        </w:rPr>
        <w:t xml:space="preserve">Several commenters stated that EPA does not justify the purpose of the third-party audit requirements (0207, 0229, 0232, 0233, 0253, 0268, 0272). One commenter noted that the third-party requirements lack a rational basis. The commenter added that facilities are already performing compliance audits every three years (0207). </w:t>
      </w:r>
    </w:p>
    <w:p w:rsidR="00F41FFB" w:rsidP="00F41FFB" w14:paraId="69DF14DD"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added that there is also a lack of analysis of data to determine whether systemic problems exist in how RMP audits are currently performed or reported (0268).</w:t>
      </w:r>
    </w:p>
    <w:p w:rsidR="00F41FFB" w:rsidP="00F41FFB" w14:paraId="2E304A36" w14:textId="1ADD8C91">
      <w:pPr>
        <w:rPr>
          <w:rFonts w:ascii="Times New Roman" w:hAnsi="Times New Roman"/>
          <w:sz w:val="24"/>
        </w:rPr>
      </w:pPr>
      <w:r w:rsidRPr="006F68E9">
        <w:rPr>
          <w:rFonts w:ascii="Times New Roman" w:hAnsi="Times New Roman"/>
          <w:sz w:val="24"/>
        </w:rPr>
        <w:t xml:space="preserve">One of the commenters added that EPA does not discuss whether such third-party audits led to a reduction of accidental releases from stationary sources (0232). </w:t>
      </w:r>
    </w:p>
    <w:p w:rsidR="00F41FFB" w:rsidP="00F41FFB" w14:paraId="0D9BD0FD" w14:textId="40665401">
      <w:pPr>
        <w:rPr>
          <w:rFonts w:ascii="Times New Roman" w:hAnsi="Times New Roman"/>
          <w:sz w:val="24"/>
        </w:rPr>
      </w:pPr>
      <w:r w:rsidRPr="006F68E9">
        <w:rPr>
          <w:rFonts w:ascii="Times New Roman" w:hAnsi="Times New Roman"/>
          <w:sz w:val="24"/>
        </w:rPr>
        <w:t xml:space="preserve">One commenter noted that the accident records at facilities do not provide adequate basis for the lower trigger threshold for NAICS 324 and 325 facilities (0272). </w:t>
      </w:r>
    </w:p>
    <w:p w:rsidR="00F41FFB" w:rsidP="00F41FFB" w14:paraId="2DAD2572" w14:textId="77777777">
      <w:pPr>
        <w:rPr>
          <w:rFonts w:ascii="Times New Roman" w:hAnsi="Times New Roman"/>
          <w:sz w:val="24"/>
        </w:rPr>
      </w:pPr>
      <w:r w:rsidRPr="006F68E9">
        <w:rPr>
          <w:rFonts w:ascii="Times New Roman" w:hAnsi="Times New Roman"/>
          <w:sz w:val="24"/>
        </w:rPr>
        <w:t xml:space="preserve">A couple of commenters stated that EPA must trial third-party auditing first to determine whether it actually prevents accidents and ensure compliance and safe operations (0229, 0232). </w:t>
      </w:r>
    </w:p>
    <w:p w:rsidR="003F6FE3" w:rsidP="00F41FFB" w14:paraId="42823D69" w14:textId="0D8E9A61">
      <w:pPr>
        <w:ind w:left="720"/>
        <w:rPr>
          <w:rFonts w:ascii="Times New Roman" w:hAnsi="Times New Roman"/>
          <w:sz w:val="24"/>
        </w:rPr>
      </w:pPr>
      <w:r w:rsidRPr="00147A85">
        <w:rPr>
          <w:rFonts w:ascii="Times New Roman" w:hAnsi="Times New Roman"/>
          <w:b/>
          <w:bCs/>
          <w:sz w:val="24"/>
        </w:rPr>
        <w:t>EPA Response:</w:t>
      </w:r>
      <w:r>
        <w:rPr>
          <w:rFonts w:ascii="Times New Roman" w:hAnsi="Times New Roman"/>
          <w:sz w:val="24"/>
        </w:rPr>
        <w:t xml:space="preserve"> </w:t>
      </w:r>
      <w:r w:rsidRPr="00DE2EC3">
        <w:rPr>
          <w:rFonts w:ascii="Times New Roman" w:hAnsi="Times New Roman"/>
          <w:sz w:val="24"/>
        </w:rPr>
        <w:t xml:space="preserve">EPA disagrees with </w:t>
      </w:r>
      <w:r w:rsidR="000D6880">
        <w:rPr>
          <w:rFonts w:ascii="Times New Roman" w:hAnsi="Times New Roman"/>
          <w:sz w:val="24"/>
        </w:rPr>
        <w:t xml:space="preserve">the </w:t>
      </w:r>
      <w:r w:rsidRPr="00DE2EC3">
        <w:rPr>
          <w:rFonts w:ascii="Times New Roman" w:hAnsi="Times New Roman"/>
          <w:sz w:val="24"/>
        </w:rPr>
        <w:t>commenters</w:t>
      </w:r>
      <w:r w:rsidR="00444EEB">
        <w:rPr>
          <w:rFonts w:ascii="Times New Roman" w:hAnsi="Times New Roman"/>
          <w:sz w:val="24"/>
        </w:rPr>
        <w:t xml:space="preserve"> that </w:t>
      </w:r>
      <w:r w:rsidR="002F0E6B">
        <w:rPr>
          <w:rFonts w:ascii="Times New Roman" w:hAnsi="Times New Roman"/>
          <w:sz w:val="24"/>
        </w:rPr>
        <w:t>the Agency</w:t>
      </w:r>
      <w:r w:rsidR="002B5D64">
        <w:rPr>
          <w:rFonts w:ascii="Times New Roman" w:hAnsi="Times New Roman"/>
          <w:sz w:val="24"/>
        </w:rPr>
        <w:t xml:space="preserve"> did not provide a</w:t>
      </w:r>
      <w:r w:rsidR="00157F8C">
        <w:rPr>
          <w:rFonts w:ascii="Times New Roman" w:hAnsi="Times New Roman"/>
          <w:sz w:val="24"/>
        </w:rPr>
        <w:t xml:space="preserve"> rational</w:t>
      </w:r>
      <w:r w:rsidR="002B5D64">
        <w:rPr>
          <w:rFonts w:ascii="Times New Roman" w:hAnsi="Times New Roman"/>
          <w:sz w:val="24"/>
        </w:rPr>
        <w:t xml:space="preserve"> basis for the </w:t>
      </w:r>
      <w:r w:rsidR="001C14AF">
        <w:rPr>
          <w:rFonts w:ascii="Times New Roman" w:hAnsi="Times New Roman"/>
          <w:sz w:val="24"/>
        </w:rPr>
        <w:t>third-party</w:t>
      </w:r>
      <w:r w:rsidR="002B5D64">
        <w:rPr>
          <w:rFonts w:ascii="Times New Roman" w:hAnsi="Times New Roman"/>
          <w:sz w:val="24"/>
        </w:rPr>
        <w:t xml:space="preserve"> audit provision</w:t>
      </w:r>
      <w:r w:rsidRPr="00DE2EC3">
        <w:rPr>
          <w:rFonts w:ascii="Times New Roman" w:hAnsi="Times New Roman"/>
          <w:sz w:val="24"/>
        </w:rPr>
        <w:t xml:space="preserve">. Because RMP facilities were not previously required to have third-party compliance audits, statistically valid outcome data specifically on RMP rule third-party auditing does not currently exist. </w:t>
      </w:r>
      <w:r w:rsidR="00313500">
        <w:rPr>
          <w:rFonts w:ascii="Times New Roman" w:hAnsi="Times New Roman"/>
          <w:sz w:val="24"/>
        </w:rPr>
        <w:t xml:space="preserve">That being said, </w:t>
      </w:r>
      <w:r>
        <w:rPr>
          <w:rFonts w:ascii="Times New Roman" w:hAnsi="Times New Roman"/>
          <w:sz w:val="24"/>
        </w:rPr>
        <w:t>s</w:t>
      </w:r>
      <w:r w:rsidRPr="000802C4">
        <w:rPr>
          <w:rFonts w:ascii="Times New Roman" w:hAnsi="Times New Roman"/>
          <w:sz w:val="24"/>
        </w:rPr>
        <w:t>ources that have had one</w:t>
      </w:r>
      <w:r w:rsidR="009B04D4">
        <w:rPr>
          <w:rFonts w:ascii="Times New Roman" w:hAnsi="Times New Roman"/>
          <w:sz w:val="24"/>
        </w:rPr>
        <w:t xml:space="preserve"> RMP</w:t>
      </w:r>
      <w:r w:rsidRPr="000802C4">
        <w:rPr>
          <w:rFonts w:ascii="Times New Roman" w:hAnsi="Times New Roman"/>
          <w:sz w:val="24"/>
        </w:rPr>
        <w:t xml:space="preserve"> accident</w:t>
      </w:r>
      <w:r w:rsidR="008366FD">
        <w:rPr>
          <w:rFonts w:ascii="Times New Roman" w:hAnsi="Times New Roman"/>
          <w:sz w:val="24"/>
        </w:rPr>
        <w:t xml:space="preserve">, which in this final rule is being required by </w:t>
      </w:r>
      <w:r w:rsidR="009B04D4">
        <w:rPr>
          <w:rFonts w:ascii="Times New Roman" w:hAnsi="Times New Roman"/>
          <w:sz w:val="24"/>
        </w:rPr>
        <w:t xml:space="preserve">all </w:t>
      </w:r>
      <w:r w:rsidR="009B04D4">
        <w:rPr>
          <w:rFonts w:ascii="Times New Roman" w:hAnsi="Times New Roman"/>
          <w:sz w:val="24"/>
        </w:rPr>
        <w:t>Program 2 and Program 3 facilities regardless of NAICS code,</w:t>
      </w:r>
      <w:r w:rsidRPr="000802C4">
        <w:rPr>
          <w:rFonts w:ascii="Times New Roman" w:hAnsi="Times New Roman"/>
          <w:sz w:val="24"/>
        </w:rPr>
        <w:t xml:space="preserve"> are more likely to have another accident than the general population of RMP-regulated sources. </w:t>
      </w:r>
      <w:r>
        <w:rPr>
          <w:rFonts w:ascii="Times New Roman" w:hAnsi="Times New Roman"/>
          <w:sz w:val="24"/>
        </w:rPr>
        <w:t>As mentioned previously,</w:t>
      </w:r>
      <w:r w:rsidRPr="00DE2EC3">
        <w:rPr>
          <w:rFonts w:ascii="Times New Roman" w:hAnsi="Times New Roman"/>
          <w:sz w:val="24"/>
        </w:rPr>
        <w:t xml:space="preserve"> EPA </w:t>
      </w:r>
      <w:r>
        <w:rPr>
          <w:rFonts w:ascii="Times New Roman" w:hAnsi="Times New Roman"/>
          <w:sz w:val="24"/>
        </w:rPr>
        <w:t xml:space="preserve">RMP accident history data shows that from 2016-2020, </w:t>
      </w:r>
      <w:r w:rsidR="00712F3F">
        <w:rPr>
          <w:rFonts w:ascii="Times New Roman" w:hAnsi="Times New Roman"/>
          <w:sz w:val="24"/>
        </w:rPr>
        <w:t>0</w:t>
      </w:r>
      <w:r>
        <w:rPr>
          <w:rFonts w:ascii="Times New Roman" w:hAnsi="Times New Roman"/>
          <w:sz w:val="24"/>
        </w:rPr>
        <w:t xml:space="preserve">.5 percent of all RMP facilities </w:t>
      </w:r>
      <w:r w:rsidR="000A5A8B">
        <w:rPr>
          <w:rFonts w:ascii="Times New Roman" w:hAnsi="Times New Roman"/>
          <w:sz w:val="24"/>
        </w:rPr>
        <w:t>(n</w:t>
      </w:r>
      <w:r w:rsidR="00EA5913">
        <w:rPr>
          <w:rFonts w:ascii="Times New Roman" w:hAnsi="Times New Roman"/>
          <w:sz w:val="24"/>
        </w:rPr>
        <w:t xml:space="preserve"> </w:t>
      </w:r>
      <w:r w:rsidR="000A5A8B">
        <w:rPr>
          <w:rFonts w:ascii="Times New Roman" w:hAnsi="Times New Roman"/>
          <w:sz w:val="24"/>
        </w:rPr>
        <w:t>=</w:t>
      </w:r>
      <w:r w:rsidR="00EA5913">
        <w:rPr>
          <w:rFonts w:ascii="Times New Roman" w:hAnsi="Times New Roman"/>
          <w:sz w:val="24"/>
        </w:rPr>
        <w:t xml:space="preserve"> </w:t>
      </w:r>
      <w:r w:rsidR="000A5A8B">
        <w:rPr>
          <w:rFonts w:ascii="Times New Roman" w:hAnsi="Times New Roman"/>
          <w:sz w:val="24"/>
        </w:rPr>
        <w:t xml:space="preserve">70) </w:t>
      </w:r>
      <w:r>
        <w:rPr>
          <w:rFonts w:ascii="Times New Roman" w:hAnsi="Times New Roman"/>
          <w:sz w:val="24"/>
        </w:rPr>
        <w:t xml:space="preserve">had 2 or more RMP-reportable accidents. </w:t>
      </w:r>
      <w:r>
        <w:rPr>
          <w:rFonts w:ascii="Times New Roman" w:hAnsi="Times New Roman"/>
          <w:sz w:val="24"/>
        </w:rPr>
        <w:t>This is true despite current RMP regulations, enforcement, and lessons learned from those previous accidents. Therefore, it is reasonable for EPA to be concerned that those facilities may not be able to identify measures on their own to properly evaluate and apply appropriate prevention program measures to stop accidents from occurring.</w:t>
      </w:r>
    </w:p>
    <w:p w:rsidR="00F41FFB" w:rsidRPr="00DE2EC3" w:rsidP="00F41FFB" w14:paraId="66824E58" w14:textId="512DD0B8">
      <w:pPr>
        <w:ind w:left="720"/>
        <w:rPr>
          <w:rFonts w:ascii="Times New Roman" w:hAnsi="Times New Roman"/>
          <w:sz w:val="24"/>
        </w:rPr>
      </w:pPr>
      <w:r>
        <w:rPr>
          <w:rFonts w:ascii="Times New Roman" w:hAnsi="Times New Roman"/>
          <w:sz w:val="24"/>
        </w:rPr>
        <w:t>Further</w:t>
      </w:r>
      <w:r w:rsidRPr="00DE2EC3">
        <w:rPr>
          <w:rFonts w:ascii="Times New Roman" w:hAnsi="Times New Roman"/>
          <w:sz w:val="24"/>
        </w:rPr>
        <w:t>, there is a considerable and growing body of literature and empirical data on the effectiveness of third-party auditing, generally. These literature and data occur in many contexts that involve a diverse set of statutes and voluntary standards. In fact, some of these contexts are contextually similar to RMP auditing.</w:t>
      </w:r>
      <w:r w:rsidR="003F6FE3">
        <w:rPr>
          <w:rFonts w:ascii="Times New Roman" w:hAnsi="Times New Roman"/>
          <w:sz w:val="24"/>
        </w:rPr>
        <w:t xml:space="preserve"> </w:t>
      </w:r>
    </w:p>
    <w:p w:rsidR="00F41FFB" w:rsidRPr="00DE2EC3" w:rsidP="00F41FFB" w14:paraId="30046E32" w14:textId="321D330E">
      <w:pPr>
        <w:ind w:left="720"/>
        <w:rPr>
          <w:rFonts w:ascii="Times New Roman" w:hAnsi="Times New Roman"/>
          <w:sz w:val="24"/>
        </w:rPr>
      </w:pPr>
      <w:r w:rsidRPr="00DE2EC3">
        <w:rPr>
          <w:rFonts w:ascii="Times New Roman" w:hAnsi="Times New Roman"/>
          <w:sz w:val="24"/>
        </w:rPr>
        <w:t xml:space="preserve">In the </w:t>
      </w:r>
      <w:r w:rsidR="00EF129B">
        <w:rPr>
          <w:rFonts w:ascii="Times New Roman" w:hAnsi="Times New Roman"/>
          <w:sz w:val="24"/>
        </w:rPr>
        <w:t>2016 Amendments</w:t>
      </w:r>
      <w:r w:rsidRPr="00DE2EC3">
        <w:rPr>
          <w:rFonts w:ascii="Times New Roman" w:hAnsi="Times New Roman"/>
          <w:sz w:val="24"/>
        </w:rPr>
        <w:t xml:space="preserve"> proposed rule</w:t>
      </w:r>
      <w:r w:rsidR="00EF129B">
        <w:rPr>
          <w:rFonts w:ascii="Times New Roman" w:hAnsi="Times New Roman"/>
          <w:sz w:val="24"/>
        </w:rPr>
        <w:t xml:space="preserve"> and reiterated in the 2022 SCCAP</w:t>
      </w:r>
      <w:r w:rsidRPr="00DE2EC3">
        <w:rPr>
          <w:rFonts w:ascii="Times New Roman" w:hAnsi="Times New Roman"/>
          <w:sz w:val="24"/>
        </w:rPr>
        <w:t xml:space="preserve"> proposed rule, EPA presented many examples of Federal and state agencies and trade association third-party verification programs. Like the RMP rule, some of those programs are expressly described by their managers as designed to improve regulatory compliance, prevent or reduce risks, or improve safety at the same or similar facility types and operations as are regulated by the RMP rule. These programs reflect industry recognition that third-party auditing does, in fact, produce better outcomes relative to self-auditing in a variety of settings. Such programs include:</w:t>
      </w:r>
    </w:p>
    <w:p w:rsidR="00D70C58" w:rsidP="00E57324" w14:paraId="1A74DDEA" w14:textId="2DC55757">
      <w:pPr>
        <w:pStyle w:val="ListParagraph"/>
        <w:numPr>
          <w:ilvl w:val="0"/>
          <w:numId w:val="20"/>
        </w:numPr>
        <w:rPr>
          <w:rFonts w:ascii="Times New Roman" w:hAnsi="Times New Roman"/>
          <w:sz w:val="24"/>
        </w:rPr>
      </w:pPr>
      <w:r w:rsidRPr="00D70C58">
        <w:rPr>
          <w:rFonts w:ascii="Times New Roman" w:hAnsi="Times New Roman"/>
          <w:sz w:val="24"/>
        </w:rPr>
        <w:t>National Association of Chemical Distributors (NACD)—Responsible Distribution</w:t>
      </w:r>
      <w:r>
        <w:rPr>
          <w:rStyle w:val="FootnoteReference"/>
          <w:rFonts w:ascii="Times New Roman" w:hAnsi="Times New Roman"/>
          <w:sz w:val="24"/>
        </w:rPr>
        <w:footnoteReference w:id="123"/>
      </w:r>
    </w:p>
    <w:p w:rsidR="00610894" w:rsidRPr="00610894" w:rsidP="00E57324" w14:paraId="562563BA" w14:textId="4E8B5275">
      <w:pPr>
        <w:pStyle w:val="ListParagraph"/>
        <w:numPr>
          <w:ilvl w:val="0"/>
          <w:numId w:val="20"/>
        </w:numPr>
        <w:rPr>
          <w:rFonts w:ascii="Times New Roman" w:hAnsi="Times New Roman"/>
          <w:sz w:val="24"/>
        </w:rPr>
      </w:pPr>
      <w:r w:rsidRPr="00610894">
        <w:rPr>
          <w:rFonts w:ascii="Times New Roman" w:hAnsi="Times New Roman"/>
          <w:sz w:val="24"/>
        </w:rPr>
        <w:t>A</w:t>
      </w:r>
      <w:r>
        <w:rPr>
          <w:rFonts w:ascii="Times New Roman" w:hAnsi="Times New Roman"/>
          <w:sz w:val="24"/>
        </w:rPr>
        <w:t xml:space="preserve">merican Chemistry Council </w:t>
      </w:r>
      <w:r w:rsidRPr="00610894">
        <w:rPr>
          <w:rFonts w:ascii="Times New Roman" w:hAnsi="Times New Roman"/>
          <w:sz w:val="24"/>
        </w:rPr>
        <w:t>—Responsible Care program</w:t>
      </w:r>
      <w:r>
        <w:rPr>
          <w:rStyle w:val="FootnoteReference"/>
          <w:rFonts w:ascii="Times New Roman" w:hAnsi="Times New Roman"/>
          <w:sz w:val="24"/>
        </w:rPr>
        <w:footnoteReference w:id="124"/>
      </w:r>
    </w:p>
    <w:p w:rsidR="00610894" w:rsidRPr="00610894" w:rsidP="00E57324" w14:paraId="223676A2" w14:textId="17137B23">
      <w:pPr>
        <w:pStyle w:val="ListParagraph"/>
        <w:numPr>
          <w:ilvl w:val="0"/>
          <w:numId w:val="20"/>
        </w:numPr>
        <w:rPr>
          <w:rFonts w:ascii="Times New Roman" w:hAnsi="Times New Roman"/>
          <w:sz w:val="24"/>
        </w:rPr>
      </w:pPr>
      <w:r w:rsidRPr="00610894">
        <w:rPr>
          <w:rFonts w:ascii="Times New Roman" w:hAnsi="Times New Roman"/>
          <w:sz w:val="24"/>
        </w:rPr>
        <w:t>A</w:t>
      </w:r>
      <w:r>
        <w:rPr>
          <w:rFonts w:ascii="Times New Roman" w:hAnsi="Times New Roman"/>
          <w:sz w:val="24"/>
        </w:rPr>
        <w:t>merican Petroleum Institute</w:t>
      </w:r>
      <w:r w:rsidRPr="00610894">
        <w:rPr>
          <w:rFonts w:ascii="Times New Roman" w:hAnsi="Times New Roman"/>
          <w:sz w:val="24"/>
        </w:rPr>
        <w:t>—Process Safety Site Assessments</w:t>
      </w:r>
      <w:r>
        <w:rPr>
          <w:rStyle w:val="FootnoteReference"/>
          <w:rFonts w:ascii="Times New Roman" w:hAnsi="Times New Roman"/>
          <w:sz w:val="24"/>
        </w:rPr>
        <w:footnoteReference w:id="125"/>
      </w:r>
    </w:p>
    <w:p w:rsidR="00610894" w:rsidRPr="00610894" w:rsidP="00E57324" w14:paraId="4C28803D" w14:textId="3A4299CD">
      <w:pPr>
        <w:pStyle w:val="ListParagraph"/>
        <w:numPr>
          <w:ilvl w:val="0"/>
          <w:numId w:val="20"/>
        </w:numPr>
        <w:rPr>
          <w:rFonts w:ascii="Times New Roman" w:hAnsi="Times New Roman"/>
          <w:sz w:val="24"/>
        </w:rPr>
      </w:pPr>
      <w:r w:rsidRPr="00610894">
        <w:rPr>
          <w:rFonts w:ascii="Times New Roman" w:hAnsi="Times New Roman"/>
          <w:sz w:val="24"/>
        </w:rPr>
        <w:t>Society of Chemical Manufacturers &amp; Affiliates (SOCMA)—ChemStewards</w:t>
      </w:r>
      <w:r>
        <w:rPr>
          <w:rFonts w:ascii="Times New Roman" w:hAnsi="Times New Roman"/>
          <w:sz w:val="24"/>
        </w:rPr>
        <w:t xml:space="preserve"> </w:t>
      </w:r>
      <w:r w:rsidRPr="00610894">
        <w:rPr>
          <w:rFonts w:ascii="Times New Roman" w:hAnsi="Times New Roman"/>
          <w:sz w:val="24"/>
        </w:rPr>
        <w:t>program</w:t>
      </w:r>
      <w:r>
        <w:rPr>
          <w:rStyle w:val="FootnoteReference"/>
          <w:rFonts w:ascii="Times New Roman" w:hAnsi="Times New Roman"/>
          <w:sz w:val="24"/>
        </w:rPr>
        <w:footnoteReference w:id="126"/>
      </w:r>
    </w:p>
    <w:p w:rsidR="00F41FFB" w:rsidRPr="00117E0C" w:rsidP="00F41FFB" w14:paraId="0228D9AF" w14:textId="549F78E8">
      <w:pPr>
        <w:ind w:left="720"/>
        <w:rPr>
          <w:rFonts w:ascii="Times New Roman" w:hAnsi="Times New Roman"/>
          <w:sz w:val="24"/>
        </w:rPr>
      </w:pPr>
      <w:r w:rsidRPr="00DE2EC3">
        <w:rPr>
          <w:rFonts w:ascii="Times New Roman" w:hAnsi="Times New Roman"/>
          <w:sz w:val="24"/>
        </w:rPr>
        <w:t>Additionally, the supporting literature and data described by EPA in the proposed rule preamble</w:t>
      </w:r>
      <w:r w:rsidR="00F86D36">
        <w:rPr>
          <w:rFonts w:ascii="Times New Roman" w:hAnsi="Times New Roman"/>
          <w:sz w:val="24"/>
        </w:rPr>
        <w:t>s</w:t>
      </w:r>
      <w:r w:rsidRPr="00DE2EC3">
        <w:rPr>
          <w:rFonts w:ascii="Times New Roman" w:hAnsi="Times New Roman"/>
          <w:sz w:val="24"/>
        </w:rPr>
        <w:t xml:space="preserve"> remain relevant to RMP compliance auditing, notwithstanding the varied contexts they describe, because such literature addresses cross-cutting human biases and behaviors, common to all auditor and audit types, that can be addressed or corrected through independent third-party auditing.</w:t>
      </w:r>
      <w:r>
        <w:rPr>
          <w:rStyle w:val="FootnoteReference"/>
          <w:rFonts w:ascii="Times New Roman" w:hAnsi="Times New Roman"/>
          <w:sz w:val="24"/>
        </w:rPr>
        <w:footnoteReference w:id="127"/>
      </w:r>
      <w:r w:rsidRPr="00DE2EC3">
        <w:rPr>
          <w:rFonts w:ascii="Times New Roman" w:hAnsi="Times New Roman"/>
          <w:sz w:val="24"/>
        </w:rPr>
        <w:t xml:space="preserve"> EPA thus finds that the state of the science, evidence, and data on the effectiveness of independent third-party auditing programs </w:t>
      </w:r>
      <w:r w:rsidRPr="00DE2EC3">
        <w:rPr>
          <w:rFonts w:ascii="Times New Roman" w:hAnsi="Times New Roman"/>
          <w:sz w:val="24"/>
        </w:rPr>
        <w:t>supports requiring independent third-party audits for RMP facilities with accidental releases or conditions that could lead to an accidental release of a regulated substance.</w:t>
      </w:r>
    </w:p>
    <w:p w:rsidR="00F41FFB" w:rsidP="00F41FFB" w14:paraId="7433B11D" w14:textId="77777777">
      <w:pPr>
        <w:rPr>
          <w:rFonts w:ascii="Times New Roman" w:hAnsi="Times New Roman"/>
          <w:i/>
          <w:iCs/>
          <w:sz w:val="24"/>
        </w:rPr>
      </w:pPr>
      <w:r>
        <w:rPr>
          <w:rFonts w:ascii="Times New Roman" w:hAnsi="Times New Roman"/>
          <w:i/>
          <w:iCs/>
          <w:sz w:val="24"/>
        </w:rPr>
        <w:t xml:space="preserve">Legal arguments </w:t>
      </w:r>
    </w:p>
    <w:p w:rsidR="00F41FFB" w:rsidRPr="006F68E9" w:rsidP="00F41FFB" w14:paraId="7E1E9B9F" w14:textId="75498DDC">
      <w:pPr>
        <w:rPr>
          <w:rFonts w:ascii="Times New Roman" w:hAnsi="Times New Roman"/>
          <w:sz w:val="24"/>
        </w:rPr>
      </w:pPr>
      <w:r>
        <w:rPr>
          <w:rFonts w:ascii="Times New Roman" w:hAnsi="Times New Roman"/>
          <w:b/>
          <w:bCs/>
          <w:sz w:val="24"/>
        </w:rPr>
        <w:t>Comment 8.1-0</w:t>
      </w:r>
      <w:r w:rsidR="00657BBE">
        <w:rPr>
          <w:rFonts w:ascii="Times New Roman" w:hAnsi="Times New Roman"/>
          <w:b/>
          <w:bCs/>
          <w:sz w:val="24"/>
        </w:rPr>
        <w:t>6</w:t>
      </w:r>
      <w:r>
        <w:rPr>
          <w:rFonts w:ascii="Times New Roman" w:hAnsi="Times New Roman"/>
          <w:b/>
          <w:bCs/>
          <w:sz w:val="24"/>
        </w:rPr>
        <w:t xml:space="preserve">: </w:t>
      </w:r>
      <w:r w:rsidRPr="006F68E9">
        <w:rPr>
          <w:rFonts w:ascii="Times New Roman" w:hAnsi="Times New Roman"/>
          <w:sz w:val="24"/>
        </w:rPr>
        <w:t xml:space="preserve">Several commenters suggested that EPA does not have the authority to compel third-party compliance audits or delegate this authority to third parties (0215, 0227, 0233, 0237, 0253, 0268, 0272). Many of the commenters suggested that no provisions in § 112(r) or § 114 of the CAA grants EPA authority to mandate third-party audits (0215, 0233, 0237, 0253, 0268, 0272). One commenter noted that the CAA allows EPA to delegate enforcement and oversight authority in two circumstances which are not met with a third-party auditor: (1) an EPA “authorized representative” and (2) a state after a formal delegation process has been completed. The commenter also stated that the third-party audit program violates the U.S. Constitution’s private non-delegation doctrine. The commenter suggested that the third-party audit requirement be a private party enforcement program instead of a regulatory oversight program (0215). </w:t>
      </w:r>
    </w:p>
    <w:p w:rsidR="00F41FFB" w:rsidP="00F41FFB" w14:paraId="77451DDE" w14:textId="77777777">
      <w:pPr>
        <w:rPr>
          <w:rFonts w:ascii="Times New Roman" w:hAnsi="Times New Roman"/>
          <w:sz w:val="24"/>
        </w:rPr>
      </w:pPr>
      <w:r w:rsidRPr="006F68E9">
        <w:rPr>
          <w:rFonts w:ascii="Times New Roman" w:hAnsi="Times New Roman"/>
          <w:sz w:val="24"/>
        </w:rPr>
        <w:t>A couple of commenters noted that third-party auditors are not authorized representatives (0215, 0268).</w:t>
      </w:r>
    </w:p>
    <w:p w:rsidR="00F41FFB" w:rsidP="00F41FFB" w14:paraId="3197B846" w14:textId="30B18AD6">
      <w:pPr>
        <w:rPr>
          <w:rFonts w:ascii="Times New Roman" w:hAnsi="Times New Roman"/>
          <w:sz w:val="24"/>
        </w:rPr>
      </w:pPr>
      <w:r w:rsidRPr="006F68E9">
        <w:rPr>
          <w:rFonts w:ascii="Times New Roman" w:hAnsi="Times New Roman"/>
          <w:sz w:val="24"/>
        </w:rPr>
        <w:t xml:space="preserve">One commenter expressed concern that EPA is re-proposing requirements for Program 2 and Program 3 facilities to conduct third-party compliance audits. The commenter </w:t>
      </w:r>
      <w:r>
        <w:rPr>
          <w:rFonts w:ascii="Times New Roman" w:hAnsi="Times New Roman"/>
          <w:sz w:val="24"/>
        </w:rPr>
        <w:t>stated that</w:t>
      </w:r>
      <w:r w:rsidRPr="006F68E9">
        <w:rPr>
          <w:rFonts w:ascii="Times New Roman" w:hAnsi="Times New Roman"/>
          <w:sz w:val="24"/>
        </w:rPr>
        <w:t xml:space="preserve"> the compliance audits are a governmental function and EPA may not subdelegate to outside entities without the authority granted by Congress through the CAA (0237).</w:t>
      </w:r>
    </w:p>
    <w:p w:rsidR="00F41FFB" w:rsidRPr="006F68E9" w:rsidP="00F41FFB" w14:paraId="24851B31" w14:textId="77777777">
      <w:pPr>
        <w:rPr>
          <w:rFonts w:ascii="Times New Roman" w:hAnsi="Times New Roman"/>
          <w:sz w:val="24"/>
        </w:rPr>
      </w:pPr>
      <w:r w:rsidRPr="006F68E9">
        <w:rPr>
          <w:rFonts w:ascii="Times New Roman" w:hAnsi="Times New Roman"/>
          <w:sz w:val="24"/>
        </w:rPr>
        <w:t>One commenter suggested that the third-party program unlawfully circumvents congressional appropriation limits on EPA’s enforcement budget, as federal law prohibits EPA from augmenting its enforcement budget by mandating third parties oversee the RMP program (0268).</w:t>
      </w:r>
      <w:r w:rsidRPr="008C7FC5">
        <w:rPr>
          <w:rFonts w:ascii="Times New Roman" w:hAnsi="Times New Roman"/>
          <w:b/>
          <w:bCs/>
          <w:sz w:val="24"/>
        </w:rPr>
        <w:t xml:space="preserve"> </w:t>
      </w:r>
      <w:r w:rsidRPr="006F68E9">
        <w:rPr>
          <w:rFonts w:ascii="Times New Roman" w:hAnsi="Times New Roman"/>
          <w:sz w:val="24"/>
        </w:rPr>
        <w:t xml:space="preserve">Another commenter </w:t>
      </w:r>
      <w:r>
        <w:rPr>
          <w:rFonts w:ascii="Times New Roman" w:hAnsi="Times New Roman"/>
          <w:sz w:val="24"/>
        </w:rPr>
        <w:t xml:space="preserve">stated </w:t>
      </w:r>
      <w:r w:rsidRPr="006F68E9">
        <w:rPr>
          <w:rFonts w:ascii="Times New Roman" w:hAnsi="Times New Roman"/>
          <w:sz w:val="24"/>
        </w:rPr>
        <w:t>that EPA acknowledges that the third-party compliance audit provisions are proposed to address</w:t>
      </w:r>
      <w:r>
        <w:rPr>
          <w:rFonts w:ascii="Times New Roman" w:hAnsi="Times New Roman"/>
          <w:sz w:val="24"/>
        </w:rPr>
        <w:t xml:space="preserve"> </w:t>
      </w:r>
      <w:r w:rsidRPr="006F68E9">
        <w:rPr>
          <w:rFonts w:ascii="Times New Roman" w:hAnsi="Times New Roman"/>
          <w:sz w:val="24"/>
        </w:rPr>
        <w:t xml:space="preserve">Agency resource issues (0233). </w:t>
      </w:r>
    </w:p>
    <w:p w:rsidR="00F41FFB" w:rsidRPr="00141A97" w:rsidP="00F41FFB" w14:paraId="2170DE66" w14:textId="5DA199F0">
      <w:pPr>
        <w:ind w:left="720"/>
        <w:rPr>
          <w:rFonts w:ascii="Times New Roman" w:hAnsi="Times New Roman"/>
          <w:sz w:val="24"/>
        </w:rPr>
      </w:pPr>
      <w:r>
        <w:rPr>
          <w:rFonts w:ascii="Times New Roman" w:hAnsi="Times New Roman"/>
          <w:b/>
          <w:bCs/>
          <w:sz w:val="24"/>
        </w:rPr>
        <w:t xml:space="preserve">EPA Response: </w:t>
      </w:r>
      <w:r w:rsidRPr="00141A97">
        <w:rPr>
          <w:rFonts w:ascii="Times New Roman" w:hAnsi="Times New Roman"/>
          <w:sz w:val="24"/>
        </w:rPr>
        <w:t>EPA disagrees with the commenters. Third-party audits do not constitute enforcement, nor do they substitute for inspections by implementing agencies. They are compliance audits, similar to the self-audits already required by the Rule but conducted by a third-party or a team led by a third-party auditor</w:t>
      </w:r>
      <w:r w:rsidR="00C94628">
        <w:rPr>
          <w:rFonts w:ascii="Times New Roman" w:hAnsi="Times New Roman"/>
          <w:sz w:val="24"/>
        </w:rPr>
        <w:t>.</w:t>
      </w:r>
      <w:r>
        <w:rPr>
          <w:rStyle w:val="FootnoteReference"/>
          <w:rFonts w:ascii="Times New Roman" w:hAnsi="Times New Roman"/>
          <w:sz w:val="24"/>
        </w:rPr>
        <w:footnoteReference w:id="128"/>
      </w:r>
      <w:r w:rsidRPr="00141A97">
        <w:rPr>
          <w:rFonts w:ascii="Times New Roman" w:hAnsi="Times New Roman"/>
          <w:sz w:val="24"/>
        </w:rPr>
        <w:t xml:space="preserve"> The findings of a third-party audit are intended to identify non-compliance that was not discovered by facility personnel during self-audits and are not intended to bring such findings to the attention of government regulators. In fact, the audits are designed primarily to benefit owners or operators by assisting them to identify both actual noncompliance as well as operational or equipment deficiencies, previously unidentified risk factors, and accident release and/or regulatory noncompliance precursor conditions which, if uncorrected, could lead to releases and/or enforcement actions. Proactively addressing deficiencies, risk factors, and precursor conditions to accidental releases and regulatory noncompliance will </w:t>
      </w:r>
      <w:r w:rsidRPr="00141A97">
        <w:rPr>
          <w:rFonts w:ascii="Times New Roman" w:hAnsi="Times New Roman"/>
          <w:sz w:val="24"/>
        </w:rPr>
        <w:t>provide financial, regulatory, and environmental benefits for facility owners and operators and communities.</w:t>
      </w:r>
    </w:p>
    <w:p w:rsidR="00F41FFB" w:rsidRPr="00141A97" w:rsidP="00F41FFB" w14:paraId="0210C05B" w14:textId="505DD09B">
      <w:pPr>
        <w:ind w:left="720"/>
        <w:rPr>
          <w:rFonts w:ascii="Times New Roman" w:hAnsi="Times New Roman"/>
          <w:sz w:val="24"/>
        </w:rPr>
      </w:pPr>
      <w:r w:rsidRPr="00141A97">
        <w:rPr>
          <w:rFonts w:ascii="Times New Roman" w:hAnsi="Times New Roman"/>
          <w:sz w:val="24"/>
        </w:rPr>
        <w:t xml:space="preserve">Furthermore, third-party compliance audits in no way constitute regulatory inspections of, or enforcement at, RMP-regulated facilities. This rule is clear that third-party auditors’ or third-party audit teams’ findings will not, in and of themselves, determinations of regulatory violations. Nor will the audit reports or related documentation be required </w:t>
      </w:r>
      <w:r w:rsidR="00102513">
        <w:rPr>
          <w:rFonts w:ascii="Times New Roman" w:hAnsi="Times New Roman"/>
          <w:sz w:val="24"/>
        </w:rPr>
        <w:t xml:space="preserve">by this rule </w:t>
      </w:r>
      <w:r w:rsidRPr="00141A97">
        <w:rPr>
          <w:rFonts w:ascii="Times New Roman" w:hAnsi="Times New Roman"/>
          <w:sz w:val="24"/>
        </w:rPr>
        <w:t>to be automatically submitted to implementing agencies. While the owners or operators will be required to address all third-party audit findings, the rule will provide that addressing the audit findings may include, where appropriate, determining that some specific findings were based on incorrect factual assumptions or were otherwise inappropriate to implement. Thus, the owner or operator of a stationary source may determine an appropriate response to the findings in the audit report and will not be required to accept findings when they can justifiably decline to adopt them.</w:t>
      </w:r>
    </w:p>
    <w:p w:rsidR="00F41FFB" w:rsidRPr="00141A97" w:rsidP="00F41FFB" w14:paraId="57B0199B" w14:textId="354B8EF4">
      <w:pPr>
        <w:ind w:left="720"/>
        <w:rPr>
          <w:rFonts w:ascii="Times New Roman" w:hAnsi="Times New Roman"/>
          <w:sz w:val="24"/>
        </w:rPr>
      </w:pPr>
      <w:r w:rsidRPr="00141A97">
        <w:rPr>
          <w:rFonts w:ascii="Times New Roman" w:hAnsi="Times New Roman"/>
          <w:sz w:val="24"/>
        </w:rPr>
        <w:t>Finally, nothing in this rule will relieve the EPA of any of its responsibilities under the CAA or imply that EPA will not continue to use its enforcement authorities under the CAA or devote resources to monitoring and enforcing this rule. The third-party auditing regulatory requirements simply ensure that regulated entities will, in a carefully</w:t>
      </w:r>
      <w:r w:rsidRPr="00141A97" w:rsidR="00D862F3">
        <w:rPr>
          <w:rFonts w:ascii="Times New Roman" w:hAnsi="Times New Roman"/>
          <w:sz w:val="24"/>
        </w:rPr>
        <w:t xml:space="preserve"> </w:t>
      </w:r>
      <w:r w:rsidRPr="00141A97">
        <w:rPr>
          <w:rFonts w:ascii="Times New Roman" w:hAnsi="Times New Roman"/>
          <w:sz w:val="24"/>
        </w:rPr>
        <w:t>defined subset of circumstances, take reasonable measures to assess and ensure their own compliance.</w:t>
      </w:r>
    </w:p>
    <w:p w:rsidR="00F41FFB" w:rsidRPr="006F68E9" w:rsidP="00F41FFB" w14:paraId="19D33225" w14:textId="50C9FE61">
      <w:pPr>
        <w:rPr>
          <w:rFonts w:ascii="Times New Roman" w:hAnsi="Times New Roman"/>
          <w:sz w:val="24"/>
        </w:rPr>
      </w:pPr>
      <w:r>
        <w:rPr>
          <w:rFonts w:ascii="Times New Roman" w:hAnsi="Times New Roman"/>
          <w:b/>
          <w:bCs/>
          <w:sz w:val="24"/>
        </w:rPr>
        <w:t>Comment 8.1-0</w:t>
      </w:r>
      <w:r w:rsidR="00657BBE">
        <w:rPr>
          <w:rFonts w:ascii="Times New Roman" w:hAnsi="Times New Roman"/>
          <w:b/>
          <w:bCs/>
          <w:sz w:val="24"/>
        </w:rPr>
        <w:t>7</w:t>
      </w:r>
      <w:r>
        <w:rPr>
          <w:rFonts w:ascii="Times New Roman" w:hAnsi="Times New Roman"/>
          <w:b/>
          <w:bCs/>
          <w:sz w:val="24"/>
        </w:rPr>
        <w:t xml:space="preserve">: </w:t>
      </w:r>
      <w:r w:rsidRPr="006F68E9">
        <w:rPr>
          <w:rFonts w:ascii="Times New Roman" w:hAnsi="Times New Roman"/>
          <w:sz w:val="24"/>
        </w:rPr>
        <w:t xml:space="preserve">One commenter cited a 2001 paper by James Belke, a senior RMP official at EPA, which stated that EPA would face legal challenges if third-party audits were mandatory. The commenter </w:t>
      </w:r>
      <w:r>
        <w:rPr>
          <w:rFonts w:ascii="Times New Roman" w:hAnsi="Times New Roman"/>
          <w:sz w:val="24"/>
        </w:rPr>
        <w:t>stated</w:t>
      </w:r>
      <w:r w:rsidRPr="006F68E9">
        <w:rPr>
          <w:rFonts w:ascii="Times New Roman" w:hAnsi="Times New Roman"/>
          <w:sz w:val="24"/>
        </w:rPr>
        <w:t xml:space="preserve"> that EPA does not supervise this audit process directly or have any mandatory duty to review the audit records. The commenter added that none of the audit records are required to be submitted to the Agency before a corporate officer must commit to correcting deficiencies identified by a third-party auditor. The commenter </w:t>
      </w:r>
      <w:r>
        <w:rPr>
          <w:rFonts w:ascii="Times New Roman" w:hAnsi="Times New Roman"/>
          <w:sz w:val="24"/>
        </w:rPr>
        <w:t>stated</w:t>
      </w:r>
      <w:r w:rsidRPr="006F68E9">
        <w:rPr>
          <w:rFonts w:ascii="Times New Roman" w:hAnsi="Times New Roman"/>
          <w:sz w:val="24"/>
        </w:rPr>
        <w:t xml:space="preserve"> that if Congress had authorized EPA to delegate authority to private third-party auditors, delegation of authority would be unconstitutional (0268). </w:t>
      </w:r>
    </w:p>
    <w:p w:rsidR="00F41FFB" w:rsidRPr="00DE14D1" w:rsidP="00F41FFB" w14:paraId="56376FF6" w14:textId="4B671B10">
      <w:pPr>
        <w:ind w:left="720"/>
        <w:rPr>
          <w:rFonts w:ascii="Times New Roman" w:hAnsi="Times New Roman"/>
          <w:sz w:val="24"/>
        </w:rPr>
      </w:pPr>
      <w:r w:rsidRPr="00DE14D1">
        <w:rPr>
          <w:rFonts w:ascii="Times New Roman" w:hAnsi="Times New Roman"/>
          <w:b/>
          <w:bCs/>
          <w:sz w:val="24"/>
        </w:rPr>
        <w:t>EPA Response:</w:t>
      </w:r>
      <w:r w:rsidRPr="00DE14D1">
        <w:rPr>
          <w:rFonts w:ascii="Times New Roman" w:hAnsi="Times New Roman"/>
          <w:sz w:val="24"/>
        </w:rPr>
        <w:t xml:space="preserve"> In the </w:t>
      </w:r>
      <w:r w:rsidR="002C5279">
        <w:rPr>
          <w:rFonts w:ascii="Times New Roman" w:hAnsi="Times New Roman"/>
          <w:sz w:val="24"/>
        </w:rPr>
        <w:t>previous iterations of</w:t>
      </w:r>
      <w:r w:rsidR="00AD6D5C">
        <w:rPr>
          <w:rFonts w:ascii="Times New Roman" w:hAnsi="Times New Roman"/>
          <w:sz w:val="24"/>
        </w:rPr>
        <w:t xml:space="preserve"> proposed and final rules</w:t>
      </w:r>
      <w:r w:rsidR="00043869">
        <w:rPr>
          <w:rFonts w:ascii="Times New Roman" w:hAnsi="Times New Roman"/>
          <w:sz w:val="24"/>
        </w:rPr>
        <w:t xml:space="preserve">, </w:t>
      </w:r>
      <w:r w:rsidR="00AD6D5C">
        <w:rPr>
          <w:rFonts w:ascii="Times New Roman" w:hAnsi="Times New Roman"/>
          <w:sz w:val="24"/>
        </w:rPr>
        <w:t>as well as in the 2022 SCCAP proposal</w:t>
      </w:r>
      <w:r w:rsidR="00043869">
        <w:rPr>
          <w:rFonts w:ascii="Times New Roman" w:hAnsi="Times New Roman"/>
          <w:sz w:val="24"/>
        </w:rPr>
        <w:t>,</w:t>
      </w:r>
      <w:r w:rsidR="00AD6D5C">
        <w:rPr>
          <w:rFonts w:ascii="Times New Roman" w:hAnsi="Times New Roman"/>
          <w:sz w:val="24"/>
        </w:rPr>
        <w:t xml:space="preserve"> </w:t>
      </w:r>
      <w:r w:rsidRPr="00DE14D1">
        <w:rPr>
          <w:rFonts w:ascii="Times New Roman" w:hAnsi="Times New Roman"/>
          <w:sz w:val="24"/>
        </w:rPr>
        <w:t>EPA explains at length why the new third-party auditing program in the</w:t>
      </w:r>
      <w:r w:rsidR="003211D8">
        <w:rPr>
          <w:rFonts w:ascii="Times New Roman" w:hAnsi="Times New Roman"/>
          <w:sz w:val="24"/>
        </w:rPr>
        <w:t xml:space="preserve"> SCCAP</w:t>
      </w:r>
      <w:r w:rsidRPr="00DE14D1">
        <w:rPr>
          <w:rFonts w:ascii="Times New Roman" w:hAnsi="Times New Roman"/>
          <w:sz w:val="24"/>
        </w:rPr>
        <w:t xml:space="preserve"> final rule is necessary and amply supported by information and evidence in the rulemaking record.</w:t>
      </w:r>
      <w:r w:rsidR="006C27B2">
        <w:rPr>
          <w:rFonts w:ascii="Times New Roman" w:hAnsi="Times New Roman"/>
          <w:sz w:val="24"/>
        </w:rPr>
        <w:t xml:space="preserve"> </w:t>
      </w:r>
      <w:r w:rsidR="00521B30">
        <w:rPr>
          <w:rFonts w:ascii="Times New Roman" w:hAnsi="Times New Roman"/>
          <w:sz w:val="24"/>
        </w:rPr>
        <w:t>T</w:t>
      </w:r>
      <w:r w:rsidR="006C27B2">
        <w:rPr>
          <w:rFonts w:ascii="Times New Roman" w:hAnsi="Times New Roman"/>
          <w:sz w:val="24"/>
        </w:rPr>
        <w:t xml:space="preserve">he 2022 SCCAP </w:t>
      </w:r>
      <w:r w:rsidR="008E4C99">
        <w:rPr>
          <w:rFonts w:ascii="Times New Roman" w:hAnsi="Times New Roman"/>
          <w:sz w:val="24"/>
        </w:rPr>
        <w:t>proposal</w:t>
      </w:r>
      <w:r w:rsidR="006C27B2">
        <w:rPr>
          <w:rFonts w:ascii="Times New Roman" w:hAnsi="Times New Roman"/>
          <w:sz w:val="24"/>
        </w:rPr>
        <w:t xml:space="preserve"> even discussed</w:t>
      </w:r>
      <w:r w:rsidR="004D0375">
        <w:rPr>
          <w:rFonts w:ascii="Times New Roman" w:hAnsi="Times New Roman"/>
          <w:sz w:val="24"/>
        </w:rPr>
        <w:t xml:space="preserve"> the 2019 reconsideration rule</w:t>
      </w:r>
      <w:r w:rsidRPr="006C27B2" w:rsidR="006C27B2">
        <w:rPr>
          <w:rFonts w:ascii="Times New Roman" w:hAnsi="Times New Roman"/>
          <w:sz w:val="24"/>
        </w:rPr>
        <w:t xml:space="preserve"> decision to</w:t>
      </w:r>
      <w:r w:rsidR="00521B30">
        <w:rPr>
          <w:rFonts w:ascii="Times New Roman" w:hAnsi="Times New Roman"/>
          <w:sz w:val="24"/>
        </w:rPr>
        <w:t xml:space="preserve"> </w:t>
      </w:r>
      <w:r w:rsidRPr="006C27B2" w:rsidR="006C27B2">
        <w:rPr>
          <w:rFonts w:ascii="Times New Roman" w:hAnsi="Times New Roman"/>
          <w:sz w:val="24"/>
        </w:rPr>
        <w:t>rescind the third-party audit</w:t>
      </w:r>
      <w:r w:rsidR="00AF6224">
        <w:rPr>
          <w:rFonts w:ascii="Times New Roman" w:hAnsi="Times New Roman"/>
          <w:sz w:val="24"/>
        </w:rPr>
        <w:t xml:space="preserve"> </w:t>
      </w:r>
      <w:r w:rsidRPr="006C27B2" w:rsidR="006C27B2">
        <w:rPr>
          <w:rFonts w:ascii="Times New Roman" w:hAnsi="Times New Roman"/>
          <w:sz w:val="24"/>
        </w:rPr>
        <w:t xml:space="preserve">requirements was to </w:t>
      </w:r>
      <w:r w:rsidR="001B1185">
        <w:rPr>
          <w:rFonts w:ascii="Times New Roman" w:hAnsi="Times New Roman"/>
          <w:sz w:val="24"/>
        </w:rPr>
        <w:t>“</w:t>
      </w:r>
      <w:r w:rsidRPr="006C27B2" w:rsidR="006C27B2">
        <w:rPr>
          <w:rFonts w:ascii="Times New Roman" w:hAnsi="Times New Roman"/>
          <w:sz w:val="24"/>
        </w:rPr>
        <w:t>allow for</w:t>
      </w:r>
      <w:r w:rsidR="00AF6224">
        <w:rPr>
          <w:rFonts w:ascii="Times New Roman" w:hAnsi="Times New Roman"/>
          <w:sz w:val="24"/>
        </w:rPr>
        <w:t xml:space="preserve"> </w:t>
      </w:r>
      <w:r w:rsidRPr="006C27B2" w:rsidR="006C27B2">
        <w:rPr>
          <w:rFonts w:ascii="Times New Roman" w:hAnsi="Times New Roman"/>
          <w:sz w:val="24"/>
        </w:rPr>
        <w:t>coordination of process safety</w:t>
      </w:r>
      <w:r w:rsidR="00AF6224">
        <w:rPr>
          <w:rFonts w:ascii="Times New Roman" w:hAnsi="Times New Roman"/>
          <w:sz w:val="24"/>
        </w:rPr>
        <w:t xml:space="preserve"> r</w:t>
      </w:r>
      <w:r w:rsidRPr="006C27B2" w:rsidR="006C27B2">
        <w:rPr>
          <w:rFonts w:ascii="Times New Roman" w:hAnsi="Times New Roman"/>
          <w:sz w:val="24"/>
        </w:rPr>
        <w:t>equirements with OSHA before</w:t>
      </w:r>
      <w:r w:rsidR="00AF6224">
        <w:rPr>
          <w:rFonts w:ascii="Times New Roman" w:hAnsi="Times New Roman"/>
          <w:sz w:val="24"/>
        </w:rPr>
        <w:t xml:space="preserve"> </w:t>
      </w:r>
      <w:r w:rsidRPr="006C27B2" w:rsidR="006C27B2">
        <w:rPr>
          <w:rFonts w:ascii="Times New Roman" w:hAnsi="Times New Roman"/>
          <w:sz w:val="24"/>
        </w:rPr>
        <w:t>proposing future regulatory changes,</w:t>
      </w:r>
      <w:r w:rsidR="00AF6224">
        <w:rPr>
          <w:rFonts w:ascii="Times New Roman" w:hAnsi="Times New Roman"/>
          <w:sz w:val="24"/>
        </w:rPr>
        <w:t xml:space="preserve"> </w:t>
      </w:r>
      <w:r w:rsidRPr="006C27B2" w:rsidR="006C27B2">
        <w:rPr>
          <w:rFonts w:ascii="Times New Roman" w:hAnsi="Times New Roman"/>
          <w:sz w:val="24"/>
        </w:rPr>
        <w:t>and to reduce unnecessary regulatory</w:t>
      </w:r>
      <w:r w:rsidR="00AF6224">
        <w:rPr>
          <w:rFonts w:ascii="Times New Roman" w:hAnsi="Times New Roman"/>
          <w:sz w:val="24"/>
        </w:rPr>
        <w:t xml:space="preserve"> </w:t>
      </w:r>
      <w:r w:rsidRPr="006C27B2" w:rsidR="006C27B2">
        <w:rPr>
          <w:rFonts w:ascii="Times New Roman" w:hAnsi="Times New Roman"/>
          <w:sz w:val="24"/>
        </w:rPr>
        <w:t>costs and burdens of a broad rule-based</w:t>
      </w:r>
      <w:r w:rsidR="00AF6224">
        <w:rPr>
          <w:rFonts w:ascii="Times New Roman" w:hAnsi="Times New Roman"/>
          <w:sz w:val="24"/>
        </w:rPr>
        <w:t xml:space="preserve"> </w:t>
      </w:r>
      <w:r w:rsidRPr="006C27B2" w:rsidR="006C27B2">
        <w:rPr>
          <w:rFonts w:ascii="Times New Roman" w:hAnsi="Times New Roman"/>
          <w:sz w:val="24"/>
        </w:rPr>
        <w:t>approach to third-party audits rather</w:t>
      </w:r>
      <w:r w:rsidR="00AF6224">
        <w:rPr>
          <w:rFonts w:ascii="Times New Roman" w:hAnsi="Times New Roman"/>
          <w:sz w:val="24"/>
        </w:rPr>
        <w:t xml:space="preserve"> </w:t>
      </w:r>
      <w:r w:rsidRPr="006C27B2" w:rsidR="006C27B2">
        <w:rPr>
          <w:rFonts w:ascii="Times New Roman" w:hAnsi="Times New Roman"/>
          <w:sz w:val="24"/>
        </w:rPr>
        <w:t>than a case-by-case approach (84 FR</w:t>
      </w:r>
      <w:r w:rsidR="00AF6224">
        <w:rPr>
          <w:rFonts w:ascii="Times New Roman" w:hAnsi="Times New Roman"/>
          <w:sz w:val="24"/>
        </w:rPr>
        <w:t xml:space="preserve"> </w:t>
      </w:r>
      <w:r w:rsidRPr="006C27B2" w:rsidR="006C27B2">
        <w:rPr>
          <w:rFonts w:ascii="Times New Roman" w:hAnsi="Times New Roman"/>
          <w:sz w:val="24"/>
        </w:rPr>
        <w:t>69875)</w:t>
      </w:r>
      <w:r w:rsidR="001B1185">
        <w:rPr>
          <w:rFonts w:ascii="Times New Roman" w:hAnsi="Times New Roman"/>
          <w:sz w:val="24"/>
        </w:rPr>
        <w:t>”</w:t>
      </w:r>
      <w:r w:rsidRPr="006C27B2" w:rsidR="006C27B2">
        <w:rPr>
          <w:rFonts w:ascii="Times New Roman" w:hAnsi="Times New Roman"/>
          <w:sz w:val="24"/>
        </w:rPr>
        <w:t>; it was not based on a</w:t>
      </w:r>
      <w:r w:rsidR="00AF6224">
        <w:rPr>
          <w:rFonts w:ascii="Times New Roman" w:hAnsi="Times New Roman"/>
          <w:sz w:val="24"/>
        </w:rPr>
        <w:t xml:space="preserve"> </w:t>
      </w:r>
      <w:r w:rsidRPr="006C27B2" w:rsidR="006C27B2">
        <w:rPr>
          <w:rFonts w:ascii="Times New Roman" w:hAnsi="Times New Roman"/>
          <w:sz w:val="24"/>
        </w:rPr>
        <w:t>determination that third-party audits are</w:t>
      </w:r>
      <w:r w:rsidR="00AF6224">
        <w:rPr>
          <w:rFonts w:ascii="Times New Roman" w:hAnsi="Times New Roman"/>
          <w:sz w:val="24"/>
        </w:rPr>
        <w:t xml:space="preserve"> </w:t>
      </w:r>
      <w:r w:rsidRPr="006C27B2" w:rsidR="006C27B2">
        <w:rPr>
          <w:rFonts w:ascii="Times New Roman" w:hAnsi="Times New Roman"/>
          <w:sz w:val="24"/>
        </w:rPr>
        <w:t>not beneficial or justified in certain</w:t>
      </w:r>
      <w:r w:rsidR="00AF6224">
        <w:rPr>
          <w:rFonts w:ascii="Times New Roman" w:hAnsi="Times New Roman"/>
          <w:sz w:val="24"/>
        </w:rPr>
        <w:t xml:space="preserve"> </w:t>
      </w:r>
      <w:r w:rsidRPr="006C27B2" w:rsidR="006C27B2">
        <w:rPr>
          <w:rFonts w:ascii="Times New Roman" w:hAnsi="Times New Roman"/>
          <w:sz w:val="24"/>
        </w:rPr>
        <w:t xml:space="preserve">cases. </w:t>
      </w:r>
      <w:r w:rsidR="002C5279">
        <w:rPr>
          <w:rFonts w:ascii="Times New Roman" w:hAnsi="Times New Roman"/>
          <w:sz w:val="24"/>
        </w:rPr>
        <w:t>T</w:t>
      </w:r>
      <w:r w:rsidRPr="006C27B2" w:rsidR="006C27B2">
        <w:rPr>
          <w:rFonts w:ascii="Times New Roman" w:hAnsi="Times New Roman"/>
          <w:sz w:val="24"/>
        </w:rPr>
        <w:t xml:space="preserve">he 2019 reconsideration rule further indicated that </w:t>
      </w:r>
      <w:r w:rsidR="001B1185">
        <w:rPr>
          <w:rFonts w:ascii="Times New Roman" w:hAnsi="Times New Roman"/>
          <w:sz w:val="24"/>
        </w:rPr>
        <w:t>“</w:t>
      </w:r>
      <w:r w:rsidRPr="006C27B2" w:rsidR="006C27B2">
        <w:rPr>
          <w:rFonts w:ascii="Times New Roman" w:hAnsi="Times New Roman"/>
          <w:sz w:val="24"/>
        </w:rPr>
        <w:t>while EPA</w:t>
      </w:r>
      <w:r w:rsidR="00AF6224">
        <w:rPr>
          <w:rFonts w:ascii="Times New Roman" w:hAnsi="Times New Roman"/>
          <w:sz w:val="24"/>
        </w:rPr>
        <w:t xml:space="preserve"> </w:t>
      </w:r>
      <w:r w:rsidRPr="006C27B2" w:rsidR="006C27B2">
        <w:rPr>
          <w:rFonts w:ascii="Times New Roman" w:hAnsi="Times New Roman"/>
          <w:sz w:val="24"/>
        </w:rPr>
        <w:t>cannot inspect every RMP facility every</w:t>
      </w:r>
      <w:r w:rsidR="00AF6224">
        <w:rPr>
          <w:rFonts w:ascii="Times New Roman" w:hAnsi="Times New Roman"/>
          <w:sz w:val="24"/>
        </w:rPr>
        <w:t xml:space="preserve"> </w:t>
      </w:r>
      <w:r w:rsidRPr="006C27B2" w:rsidR="006C27B2">
        <w:rPr>
          <w:rFonts w:ascii="Times New Roman" w:hAnsi="Times New Roman"/>
          <w:sz w:val="24"/>
        </w:rPr>
        <w:t>year, the Agency performs</w:t>
      </w:r>
      <w:r w:rsidR="00AF6224">
        <w:rPr>
          <w:rFonts w:ascii="Times New Roman" w:hAnsi="Times New Roman"/>
          <w:sz w:val="24"/>
        </w:rPr>
        <w:t xml:space="preserve"> </w:t>
      </w:r>
      <w:r w:rsidRPr="006C27B2" w:rsidR="006C27B2">
        <w:rPr>
          <w:rFonts w:ascii="Times New Roman" w:hAnsi="Times New Roman"/>
          <w:sz w:val="24"/>
        </w:rPr>
        <w:t>approximately 300 RMP facility</w:t>
      </w:r>
      <w:r w:rsidR="00AF6224">
        <w:rPr>
          <w:rFonts w:ascii="Times New Roman" w:hAnsi="Times New Roman"/>
          <w:sz w:val="24"/>
        </w:rPr>
        <w:t xml:space="preserve"> </w:t>
      </w:r>
      <w:r w:rsidRPr="006C27B2" w:rsidR="006C27B2">
        <w:rPr>
          <w:rFonts w:ascii="Times New Roman" w:hAnsi="Times New Roman"/>
          <w:sz w:val="24"/>
        </w:rPr>
        <w:t>inspections each year and prioritizes</w:t>
      </w:r>
      <w:r w:rsidR="00AF6224">
        <w:rPr>
          <w:rFonts w:ascii="Times New Roman" w:hAnsi="Times New Roman"/>
          <w:sz w:val="24"/>
        </w:rPr>
        <w:t xml:space="preserve"> </w:t>
      </w:r>
      <w:r w:rsidRPr="006C27B2" w:rsidR="006C27B2">
        <w:rPr>
          <w:rFonts w:ascii="Times New Roman" w:hAnsi="Times New Roman"/>
          <w:sz w:val="24"/>
        </w:rPr>
        <w:t>inspections at facilities that have had</w:t>
      </w:r>
      <w:r w:rsidR="00AF6224">
        <w:rPr>
          <w:rFonts w:ascii="Times New Roman" w:hAnsi="Times New Roman"/>
          <w:sz w:val="24"/>
        </w:rPr>
        <w:t xml:space="preserve"> </w:t>
      </w:r>
      <w:r w:rsidRPr="006C27B2" w:rsidR="006C27B2">
        <w:rPr>
          <w:rFonts w:ascii="Times New Roman" w:hAnsi="Times New Roman"/>
          <w:sz w:val="24"/>
        </w:rPr>
        <w:t>accidental releases. Therefore, EPA’s</w:t>
      </w:r>
      <w:r w:rsidR="00AF6224">
        <w:rPr>
          <w:rFonts w:ascii="Times New Roman" w:hAnsi="Times New Roman"/>
          <w:sz w:val="24"/>
        </w:rPr>
        <w:t xml:space="preserve"> </w:t>
      </w:r>
      <w:r w:rsidRPr="006C27B2" w:rsidR="006C27B2">
        <w:rPr>
          <w:rFonts w:ascii="Times New Roman" w:hAnsi="Times New Roman"/>
          <w:sz w:val="24"/>
        </w:rPr>
        <w:t>enforcement resources and posture are</w:t>
      </w:r>
      <w:r w:rsidR="00AF6224">
        <w:rPr>
          <w:rFonts w:ascii="Times New Roman" w:hAnsi="Times New Roman"/>
          <w:sz w:val="24"/>
        </w:rPr>
        <w:t xml:space="preserve"> </w:t>
      </w:r>
      <w:r w:rsidRPr="006C27B2" w:rsidR="006C27B2">
        <w:rPr>
          <w:rFonts w:ascii="Times New Roman" w:hAnsi="Times New Roman"/>
          <w:sz w:val="24"/>
        </w:rPr>
        <w:t>capable of addressing accident-prone</w:t>
      </w:r>
      <w:r w:rsidR="00AF6224">
        <w:rPr>
          <w:rFonts w:ascii="Times New Roman" w:hAnsi="Times New Roman"/>
          <w:sz w:val="24"/>
        </w:rPr>
        <w:t xml:space="preserve"> </w:t>
      </w:r>
      <w:r w:rsidRPr="006C27B2" w:rsidR="006C27B2">
        <w:rPr>
          <w:rFonts w:ascii="Times New Roman" w:hAnsi="Times New Roman"/>
          <w:sz w:val="24"/>
        </w:rPr>
        <w:t>facilities without additional broad</w:t>
      </w:r>
      <w:r w:rsidR="00AF6224">
        <w:rPr>
          <w:rFonts w:ascii="Times New Roman" w:hAnsi="Times New Roman"/>
          <w:sz w:val="24"/>
        </w:rPr>
        <w:t xml:space="preserve"> </w:t>
      </w:r>
      <w:r w:rsidRPr="006C27B2" w:rsidR="006C27B2">
        <w:rPr>
          <w:rFonts w:ascii="Times New Roman" w:hAnsi="Times New Roman"/>
          <w:sz w:val="24"/>
        </w:rPr>
        <w:t>regulatory mandates. The Agency’s</w:t>
      </w:r>
      <w:r w:rsidR="00AF6224">
        <w:rPr>
          <w:rFonts w:ascii="Times New Roman" w:hAnsi="Times New Roman"/>
          <w:sz w:val="24"/>
        </w:rPr>
        <w:t xml:space="preserve"> </w:t>
      </w:r>
      <w:r w:rsidRPr="006C27B2" w:rsidR="006C27B2">
        <w:rPr>
          <w:rFonts w:ascii="Times New Roman" w:hAnsi="Times New Roman"/>
          <w:sz w:val="24"/>
        </w:rPr>
        <w:t>choice to use a more surgical approach</w:t>
      </w:r>
      <w:r w:rsidR="00AF6224">
        <w:rPr>
          <w:rFonts w:ascii="Times New Roman" w:hAnsi="Times New Roman"/>
          <w:sz w:val="24"/>
        </w:rPr>
        <w:t xml:space="preserve"> </w:t>
      </w:r>
      <w:r w:rsidRPr="006C27B2" w:rsidR="006C27B2">
        <w:rPr>
          <w:rFonts w:ascii="Times New Roman" w:hAnsi="Times New Roman"/>
          <w:sz w:val="24"/>
        </w:rPr>
        <w:t>to accident prevention at these facilities</w:t>
      </w:r>
      <w:r w:rsidR="001165A7">
        <w:rPr>
          <w:rFonts w:ascii="Times New Roman" w:hAnsi="Times New Roman"/>
          <w:sz w:val="24"/>
        </w:rPr>
        <w:t xml:space="preserve"> </w:t>
      </w:r>
      <w:r w:rsidRPr="006C27B2" w:rsidR="006C27B2">
        <w:rPr>
          <w:rFonts w:ascii="Times New Roman" w:hAnsi="Times New Roman"/>
          <w:sz w:val="24"/>
        </w:rPr>
        <w:t xml:space="preserve">is </w:t>
      </w:r>
      <w:r w:rsidR="00195E21">
        <w:rPr>
          <w:rFonts w:ascii="Times New Roman" w:hAnsi="Times New Roman"/>
          <w:sz w:val="24"/>
        </w:rPr>
        <w:t>r</w:t>
      </w:r>
      <w:r w:rsidRPr="006C27B2" w:rsidR="006C27B2">
        <w:rPr>
          <w:rFonts w:ascii="Times New Roman" w:hAnsi="Times New Roman"/>
          <w:sz w:val="24"/>
        </w:rPr>
        <w:t>easonable and practicable (84 FR</w:t>
      </w:r>
      <w:r w:rsidR="00195E21">
        <w:rPr>
          <w:rFonts w:ascii="Times New Roman" w:hAnsi="Times New Roman"/>
          <w:sz w:val="24"/>
        </w:rPr>
        <w:t xml:space="preserve"> </w:t>
      </w:r>
      <w:r w:rsidRPr="006C27B2" w:rsidR="006C27B2">
        <w:rPr>
          <w:rFonts w:ascii="Times New Roman" w:hAnsi="Times New Roman"/>
          <w:sz w:val="24"/>
        </w:rPr>
        <w:t>69853).</w:t>
      </w:r>
      <w:r w:rsidR="001B1185">
        <w:rPr>
          <w:rFonts w:ascii="Times New Roman" w:hAnsi="Times New Roman"/>
          <w:sz w:val="24"/>
        </w:rPr>
        <w:t>”</w:t>
      </w:r>
    </w:p>
    <w:p w:rsidR="00F41FFB" w:rsidP="00F41FFB" w14:paraId="27CF04E3" w14:textId="2D3E162B">
      <w:pPr>
        <w:ind w:left="720"/>
        <w:rPr>
          <w:rFonts w:ascii="Times New Roman" w:hAnsi="Times New Roman"/>
          <w:sz w:val="24"/>
        </w:rPr>
      </w:pPr>
      <w:r w:rsidRPr="00DE14D1">
        <w:rPr>
          <w:rFonts w:ascii="Times New Roman" w:hAnsi="Times New Roman"/>
          <w:sz w:val="24"/>
        </w:rPr>
        <w:t>The 2001 quote attributed to James Belke is not relevant to this rulemaking for three important reasons. First, the rulemaking record today differs significantly from what the state of the science, evidence, and experience with third-party RMP auditing was in 2001. The rulemaking record today is replete with articles, studies, and evidence on the effectiveness of independent third-party auditing, and how best to design such programs, that did not exist in 2001 when Mr. Belke wrote his article and hence was not considered at the time. Second, in contrast to Mr. Belke’s 2001 discussion, the final rule requires third-party auditing only for the relatively small subset of RMP facilities with accidental releases meeting the criteria in § 68.42(a) from a covered process at a stationary source or where an implementing agency requires a third-party audit due to conditions at the stationary source that could lead to an accidental release of a regulated substance, or when a previous third party audit failed to meet the final rule’s competency or independence criteria. Finally, it should be noted that Mr. Belke is a not a lawyer</w:t>
      </w:r>
      <w:r w:rsidR="00872DFF">
        <w:rPr>
          <w:rFonts w:ascii="Times New Roman" w:hAnsi="Times New Roman"/>
          <w:sz w:val="24"/>
        </w:rPr>
        <w:t>, was not speaking for EPA’s Office of General Counsel,</w:t>
      </w:r>
      <w:r w:rsidRPr="00DE14D1">
        <w:rPr>
          <w:rFonts w:ascii="Times New Roman" w:hAnsi="Times New Roman"/>
          <w:sz w:val="24"/>
        </w:rPr>
        <w:t xml:space="preserve"> and his speculation as to EPA’s legal authority in some future rulemaking cannot be read as binding the agency.</w:t>
      </w:r>
    </w:p>
    <w:p w:rsidR="00F41FFB" w:rsidP="00F41FFB" w14:paraId="4BFB4E1C" w14:textId="2AC7BA82">
      <w:pPr>
        <w:rPr>
          <w:rFonts w:ascii="Times New Roman" w:hAnsi="Times New Roman"/>
          <w:sz w:val="24"/>
        </w:rPr>
      </w:pPr>
      <w:r w:rsidRPr="004B0DA5">
        <w:rPr>
          <w:rFonts w:ascii="Times New Roman" w:hAnsi="Times New Roman"/>
          <w:b/>
          <w:bCs/>
          <w:sz w:val="24"/>
        </w:rPr>
        <w:t>Comment</w:t>
      </w:r>
      <w:r>
        <w:rPr>
          <w:rFonts w:ascii="Times New Roman" w:hAnsi="Times New Roman"/>
          <w:b/>
          <w:bCs/>
          <w:sz w:val="24"/>
        </w:rPr>
        <w:t xml:space="preserve"> 8.1-0</w:t>
      </w:r>
      <w:r w:rsidR="00657BBE">
        <w:rPr>
          <w:rFonts w:ascii="Times New Roman" w:hAnsi="Times New Roman"/>
          <w:b/>
          <w:bCs/>
          <w:sz w:val="24"/>
        </w:rPr>
        <w:t>8</w:t>
      </w:r>
      <w:r w:rsidRPr="004B0DA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the proposal provides no legal interpretation justifying third-party audit</w:t>
      </w:r>
      <w:r>
        <w:rPr>
          <w:rFonts w:ascii="Times New Roman" w:hAnsi="Times New Roman"/>
          <w:sz w:val="24"/>
        </w:rPr>
        <w:t xml:space="preserve">s (0268). </w:t>
      </w:r>
    </w:p>
    <w:p w:rsidR="00F41FFB" w:rsidRPr="00F37299" w:rsidP="13017654" w14:paraId="61E769C5" w14:textId="30C490DB">
      <w:pPr>
        <w:ind w:left="720"/>
        <w:rPr>
          <w:rFonts w:ascii="Times New Roman" w:hAnsi="Times New Roman"/>
          <w:sz w:val="24"/>
        </w:rPr>
      </w:pPr>
      <w:r w:rsidRPr="00596F3B">
        <w:rPr>
          <w:rFonts w:ascii="Times New Roman" w:hAnsi="Times New Roman"/>
          <w:b/>
          <w:bCs/>
          <w:sz w:val="24"/>
        </w:rPr>
        <w:t>EPA Response:</w:t>
      </w:r>
      <w:r w:rsidRPr="004B0DA5">
        <w:rPr>
          <w:rFonts w:ascii="Times New Roman" w:hAnsi="Times New Roman"/>
          <w:b/>
          <w:bCs/>
          <w:sz w:val="24"/>
        </w:rPr>
        <w:t xml:space="preserve"> </w:t>
      </w:r>
      <w:r w:rsidRPr="2220C46D" w:rsidR="6961A2EF">
        <w:rPr>
          <w:rFonts w:ascii="Times New Roman" w:hAnsi="Times New Roman"/>
          <w:sz w:val="24"/>
        </w:rPr>
        <w:t xml:space="preserve">The NPRM identified the </w:t>
      </w:r>
      <w:r w:rsidR="00872DFF">
        <w:rPr>
          <w:rFonts w:ascii="Times New Roman" w:hAnsi="Times New Roman"/>
          <w:sz w:val="24"/>
        </w:rPr>
        <w:t xml:space="preserve">legal </w:t>
      </w:r>
      <w:r w:rsidRPr="2220C46D" w:rsidR="6961A2EF">
        <w:rPr>
          <w:rFonts w:ascii="Times New Roman" w:hAnsi="Times New Roman"/>
          <w:sz w:val="24"/>
        </w:rPr>
        <w:t xml:space="preserve">authority for third-party audits and other prevention program modifications as section 112(r)(7). </w:t>
      </w:r>
      <w:r w:rsidRPr="2220C46D" w:rsidR="1F597015">
        <w:rPr>
          <w:rFonts w:ascii="Times New Roman" w:hAnsi="Times New Roman"/>
          <w:sz w:val="24"/>
        </w:rPr>
        <w:t xml:space="preserve">87 </w:t>
      </w:r>
      <w:r w:rsidR="00B47DB9">
        <w:rPr>
          <w:rFonts w:ascii="Times New Roman" w:hAnsi="Times New Roman"/>
          <w:sz w:val="24"/>
        </w:rPr>
        <w:t>FR</w:t>
      </w:r>
      <w:r w:rsidRPr="2220C46D" w:rsidR="1F597015">
        <w:rPr>
          <w:rFonts w:ascii="Times New Roman" w:hAnsi="Times New Roman"/>
          <w:sz w:val="24"/>
        </w:rPr>
        <w:t xml:space="preserve"> 53564; </w:t>
      </w:r>
      <w:r w:rsidRPr="0043549F" w:rsidR="7322DC82">
        <w:rPr>
          <w:rFonts w:ascii="Times New Roman" w:hAnsi="Times New Roman"/>
          <w:i/>
          <w:sz w:val="24"/>
        </w:rPr>
        <w:t>see also id.</w:t>
      </w:r>
      <w:r w:rsidRPr="54E89715" w:rsidR="7322DC82">
        <w:rPr>
          <w:rFonts w:ascii="Times New Roman" w:hAnsi="Times New Roman"/>
          <w:sz w:val="24"/>
        </w:rPr>
        <w:t xml:space="preserve"> </w:t>
      </w:r>
      <w:r w:rsidRPr="6A6F578D" w:rsidR="7322DC82">
        <w:rPr>
          <w:rFonts w:ascii="Times New Roman" w:hAnsi="Times New Roman"/>
          <w:sz w:val="24"/>
        </w:rPr>
        <w:t>at 53</w:t>
      </w:r>
      <w:r w:rsidR="00B76205">
        <w:rPr>
          <w:rFonts w:ascii="Times New Roman" w:hAnsi="Times New Roman"/>
          <w:sz w:val="24"/>
        </w:rPr>
        <w:t>560</w:t>
      </w:r>
      <w:r w:rsidRPr="6A6F578D" w:rsidR="7322DC82">
        <w:rPr>
          <w:rFonts w:ascii="Times New Roman" w:hAnsi="Times New Roman"/>
          <w:sz w:val="24"/>
        </w:rPr>
        <w:t xml:space="preserve"> (authority for the rule). </w:t>
      </w:r>
      <w:r w:rsidR="00872DFF">
        <w:rPr>
          <w:rFonts w:ascii="Times New Roman" w:hAnsi="Times New Roman"/>
          <w:sz w:val="24"/>
        </w:rPr>
        <w:t>Additionally, s</w:t>
      </w:r>
      <w:r w:rsidRPr="1CAC867F" w:rsidR="242093F7">
        <w:rPr>
          <w:rFonts w:ascii="Times New Roman" w:hAnsi="Times New Roman"/>
          <w:sz w:val="24"/>
        </w:rPr>
        <w:t>tarting</w:t>
      </w:r>
      <w:r w:rsidRPr="34E25B9C" w:rsidR="242093F7">
        <w:rPr>
          <w:rFonts w:ascii="Times New Roman" w:hAnsi="Times New Roman"/>
          <w:sz w:val="24"/>
        </w:rPr>
        <w:t xml:space="preserve"> at 87 </w:t>
      </w:r>
      <w:r w:rsidR="00B47DB9">
        <w:rPr>
          <w:rFonts w:ascii="Times New Roman" w:hAnsi="Times New Roman"/>
          <w:sz w:val="24"/>
        </w:rPr>
        <w:t>FR</w:t>
      </w:r>
      <w:r w:rsidRPr="0FC6E03A" w:rsidR="242093F7">
        <w:rPr>
          <w:rFonts w:ascii="Times New Roman" w:hAnsi="Times New Roman"/>
          <w:sz w:val="24"/>
        </w:rPr>
        <w:t xml:space="preserve"> </w:t>
      </w:r>
      <w:r w:rsidRPr="41D182FE" w:rsidR="242093F7">
        <w:rPr>
          <w:rFonts w:ascii="Times New Roman" w:hAnsi="Times New Roman"/>
          <w:sz w:val="24"/>
        </w:rPr>
        <w:t xml:space="preserve">53584, the NPRM presents a </w:t>
      </w:r>
      <w:r w:rsidRPr="49E2565F" w:rsidR="67953E9F">
        <w:rPr>
          <w:rFonts w:ascii="Times New Roman" w:hAnsi="Times New Roman"/>
          <w:sz w:val="24"/>
        </w:rPr>
        <w:t xml:space="preserve">policy </w:t>
      </w:r>
      <w:r w:rsidRPr="400FA587" w:rsidR="67953E9F">
        <w:rPr>
          <w:rFonts w:ascii="Times New Roman" w:hAnsi="Times New Roman"/>
          <w:sz w:val="24"/>
        </w:rPr>
        <w:t>ju</w:t>
      </w:r>
      <w:r w:rsidRPr="400FA587" w:rsidR="2585E5B9">
        <w:rPr>
          <w:rFonts w:ascii="Times New Roman" w:hAnsi="Times New Roman"/>
          <w:sz w:val="24"/>
        </w:rPr>
        <w:t>s</w:t>
      </w:r>
      <w:r w:rsidRPr="400FA587" w:rsidR="67953E9F">
        <w:rPr>
          <w:rFonts w:ascii="Times New Roman" w:hAnsi="Times New Roman"/>
          <w:sz w:val="24"/>
        </w:rPr>
        <w:t xml:space="preserve">tification for </w:t>
      </w:r>
      <w:r w:rsidRPr="49E2565F" w:rsidR="67953E9F">
        <w:rPr>
          <w:rFonts w:ascii="Times New Roman" w:hAnsi="Times New Roman"/>
          <w:sz w:val="24"/>
        </w:rPr>
        <w:t xml:space="preserve">why </w:t>
      </w:r>
      <w:r w:rsidRPr="7700C44A" w:rsidR="67953E9F">
        <w:rPr>
          <w:rFonts w:ascii="Times New Roman" w:hAnsi="Times New Roman"/>
          <w:sz w:val="24"/>
        </w:rPr>
        <w:t xml:space="preserve">a </w:t>
      </w:r>
      <w:r w:rsidRPr="7ACF4991" w:rsidR="6ED03CC7">
        <w:rPr>
          <w:rFonts w:ascii="Times New Roman" w:hAnsi="Times New Roman"/>
          <w:sz w:val="24"/>
        </w:rPr>
        <w:t xml:space="preserve">requirement for </w:t>
      </w:r>
      <w:r w:rsidRPr="7ACF4991" w:rsidR="67953E9F">
        <w:rPr>
          <w:rFonts w:ascii="Times New Roman" w:hAnsi="Times New Roman"/>
          <w:sz w:val="24"/>
        </w:rPr>
        <w:t>third</w:t>
      </w:r>
      <w:r w:rsidRPr="400FA587" w:rsidR="67953E9F">
        <w:rPr>
          <w:rFonts w:ascii="Times New Roman" w:hAnsi="Times New Roman"/>
          <w:sz w:val="24"/>
        </w:rPr>
        <w:t xml:space="preserve">-party audits </w:t>
      </w:r>
      <w:r w:rsidRPr="7ACF4991" w:rsidR="08D00EB8">
        <w:rPr>
          <w:rFonts w:ascii="Times New Roman" w:hAnsi="Times New Roman"/>
          <w:sz w:val="24"/>
        </w:rPr>
        <w:t>is</w:t>
      </w:r>
      <w:r w:rsidRPr="400FA587" w:rsidR="67953E9F">
        <w:rPr>
          <w:rFonts w:ascii="Times New Roman" w:hAnsi="Times New Roman"/>
          <w:sz w:val="24"/>
        </w:rPr>
        <w:t xml:space="preserve"> a </w:t>
      </w:r>
      <w:r w:rsidRPr="7700C44A" w:rsidR="67953E9F">
        <w:rPr>
          <w:rFonts w:ascii="Times New Roman" w:hAnsi="Times New Roman"/>
          <w:sz w:val="24"/>
        </w:rPr>
        <w:t xml:space="preserve">reasonable regulation.  </w:t>
      </w:r>
      <w:r w:rsidRPr="736F2884" w:rsidR="27EEA1AE">
        <w:rPr>
          <w:rFonts w:ascii="Times New Roman" w:hAnsi="Times New Roman"/>
          <w:sz w:val="24"/>
        </w:rPr>
        <w:t>EPA expressed particul</w:t>
      </w:r>
      <w:r w:rsidRPr="736F2884" w:rsidR="4320A1BB">
        <w:rPr>
          <w:rFonts w:ascii="Times New Roman" w:hAnsi="Times New Roman"/>
          <w:sz w:val="24"/>
        </w:rPr>
        <w:t>ar concern about trying</w:t>
      </w:r>
      <w:r w:rsidRPr="42C4E04F" w:rsidR="4320A1BB">
        <w:rPr>
          <w:rFonts w:ascii="Times New Roman" w:hAnsi="Times New Roman"/>
          <w:sz w:val="24"/>
        </w:rPr>
        <w:t xml:space="preserve"> to address </w:t>
      </w:r>
      <w:r w:rsidRPr="74C601F6" w:rsidR="4320A1BB">
        <w:rPr>
          <w:rFonts w:ascii="Times New Roman" w:hAnsi="Times New Roman"/>
          <w:sz w:val="24"/>
        </w:rPr>
        <w:t>facilities experiencing multiple accidents.</w:t>
      </w:r>
      <w:r w:rsidRPr="42C4E04F" w:rsidR="4320A1BB">
        <w:rPr>
          <w:rFonts w:ascii="Times New Roman" w:hAnsi="Times New Roman"/>
          <w:sz w:val="24"/>
        </w:rPr>
        <w:t xml:space="preserve"> </w:t>
      </w:r>
      <w:r w:rsidRPr="1B7D4DBA" w:rsidR="30F62D5A">
        <w:rPr>
          <w:rFonts w:ascii="Times New Roman" w:hAnsi="Times New Roman"/>
          <w:sz w:val="24"/>
        </w:rPr>
        <w:t>Audits are intended to review</w:t>
      </w:r>
      <w:r w:rsidRPr="4B349D45" w:rsidR="30F62D5A">
        <w:rPr>
          <w:rFonts w:ascii="Times New Roman" w:hAnsi="Times New Roman"/>
          <w:sz w:val="24"/>
        </w:rPr>
        <w:t xml:space="preserve"> prevention programs</w:t>
      </w:r>
      <w:r w:rsidRPr="1B7D4DBA" w:rsidR="30F62D5A">
        <w:rPr>
          <w:rFonts w:ascii="Times New Roman" w:hAnsi="Times New Roman"/>
          <w:sz w:val="24"/>
        </w:rPr>
        <w:t xml:space="preserve"> and </w:t>
      </w:r>
      <w:r w:rsidRPr="4B349D45" w:rsidR="30F62D5A">
        <w:rPr>
          <w:rFonts w:ascii="Times New Roman" w:hAnsi="Times New Roman"/>
          <w:sz w:val="24"/>
        </w:rPr>
        <w:t>identify weaknesses, and multiple accidents at facilities suggest the poten</w:t>
      </w:r>
      <w:r w:rsidRPr="4B349D45" w:rsidR="3A6DB43E">
        <w:rPr>
          <w:rFonts w:ascii="Times New Roman" w:hAnsi="Times New Roman"/>
          <w:sz w:val="24"/>
        </w:rPr>
        <w:t xml:space="preserve">tial for </w:t>
      </w:r>
      <w:r w:rsidRPr="4875AE8F" w:rsidR="568CEB79">
        <w:rPr>
          <w:rFonts w:ascii="Times New Roman" w:hAnsi="Times New Roman"/>
          <w:sz w:val="24"/>
        </w:rPr>
        <w:t xml:space="preserve">prevention </w:t>
      </w:r>
      <w:r w:rsidRPr="147EF454" w:rsidR="3A6DB43E">
        <w:rPr>
          <w:rFonts w:ascii="Times New Roman" w:hAnsi="Times New Roman"/>
          <w:sz w:val="24"/>
        </w:rPr>
        <w:t xml:space="preserve">program </w:t>
      </w:r>
      <w:r w:rsidRPr="13017654" w:rsidR="3A6DB43E">
        <w:rPr>
          <w:rFonts w:ascii="Times New Roman" w:hAnsi="Times New Roman"/>
          <w:sz w:val="24"/>
        </w:rPr>
        <w:t>weaknesses.</w:t>
      </w:r>
      <w:r w:rsidRPr="5D1BF4A9" w:rsidR="6EE89ADB">
        <w:rPr>
          <w:rFonts w:ascii="Times New Roman" w:hAnsi="Times New Roman"/>
          <w:sz w:val="24"/>
        </w:rPr>
        <w:t xml:space="preserve"> </w:t>
      </w:r>
      <w:r w:rsidRPr="763603C5" w:rsidR="6EE89ADB">
        <w:rPr>
          <w:rFonts w:ascii="Times New Roman" w:hAnsi="Times New Roman"/>
          <w:sz w:val="24"/>
        </w:rPr>
        <w:t xml:space="preserve">In the final rule, we require third-party audits </w:t>
      </w:r>
      <w:r w:rsidRPr="72C0F3F8" w:rsidR="6EE89ADB">
        <w:rPr>
          <w:rFonts w:ascii="Times New Roman" w:hAnsi="Times New Roman"/>
          <w:sz w:val="24"/>
        </w:rPr>
        <w:t xml:space="preserve">after one </w:t>
      </w:r>
      <w:r w:rsidR="005D4831">
        <w:rPr>
          <w:rFonts w:ascii="Times New Roman" w:hAnsi="Times New Roman"/>
          <w:sz w:val="24"/>
        </w:rPr>
        <w:t>RMP r</w:t>
      </w:r>
      <w:r w:rsidRPr="404D4668" w:rsidR="54CBA57A">
        <w:rPr>
          <w:rFonts w:ascii="Times New Roman" w:hAnsi="Times New Roman"/>
          <w:sz w:val="24"/>
        </w:rPr>
        <w:t xml:space="preserve">eportable </w:t>
      </w:r>
      <w:r w:rsidRPr="72C0F3F8" w:rsidR="6EE89ADB">
        <w:rPr>
          <w:rFonts w:ascii="Times New Roman" w:hAnsi="Times New Roman"/>
          <w:sz w:val="24"/>
        </w:rPr>
        <w:t>accidental release</w:t>
      </w:r>
      <w:r w:rsidRPr="1F20EEA0" w:rsidR="0CB0EBD8">
        <w:rPr>
          <w:rFonts w:ascii="Times New Roman" w:hAnsi="Times New Roman"/>
          <w:sz w:val="24"/>
        </w:rPr>
        <w:t xml:space="preserve">. </w:t>
      </w:r>
      <w:r w:rsidRPr="137B5750" w:rsidR="0CB0EBD8">
        <w:rPr>
          <w:rFonts w:ascii="Times New Roman" w:hAnsi="Times New Roman"/>
          <w:sz w:val="24"/>
        </w:rPr>
        <w:t xml:space="preserve">A past accident establishes that a facility is at higher </w:t>
      </w:r>
      <w:r w:rsidRPr="2BEFCA68" w:rsidR="0CB0EBD8">
        <w:rPr>
          <w:rFonts w:ascii="Times New Roman" w:hAnsi="Times New Roman"/>
          <w:sz w:val="24"/>
        </w:rPr>
        <w:t>risk of a future accident</w:t>
      </w:r>
      <w:r w:rsidRPr="68F0836D" w:rsidR="0A0B5850">
        <w:rPr>
          <w:rFonts w:ascii="Times New Roman" w:hAnsi="Times New Roman"/>
          <w:sz w:val="24"/>
        </w:rPr>
        <w:t>.</w:t>
      </w:r>
      <w:r w:rsidRPr="2609AC79" w:rsidR="0A0B5850">
        <w:rPr>
          <w:rFonts w:ascii="Times New Roman" w:hAnsi="Times New Roman"/>
          <w:sz w:val="24"/>
        </w:rPr>
        <w:t xml:space="preserve"> The final </w:t>
      </w:r>
      <w:r w:rsidRPr="1A89ADB8" w:rsidR="0A0B5850">
        <w:rPr>
          <w:rFonts w:ascii="Times New Roman" w:hAnsi="Times New Roman"/>
          <w:sz w:val="24"/>
        </w:rPr>
        <w:t>rule</w:t>
      </w:r>
      <w:r w:rsidRPr="1A89ADB8" w:rsidR="2155252F">
        <w:rPr>
          <w:rFonts w:ascii="Times New Roman" w:hAnsi="Times New Roman"/>
          <w:sz w:val="24"/>
        </w:rPr>
        <w:t xml:space="preserve"> takes </w:t>
      </w:r>
      <w:r w:rsidRPr="1CE594D4" w:rsidR="2155252F">
        <w:rPr>
          <w:rFonts w:ascii="Times New Roman" w:hAnsi="Times New Roman"/>
          <w:sz w:val="24"/>
        </w:rPr>
        <w:t xml:space="preserve">a proactive approach to </w:t>
      </w:r>
      <w:r w:rsidRPr="0B349CC8" w:rsidR="2155252F">
        <w:rPr>
          <w:rFonts w:ascii="Times New Roman" w:hAnsi="Times New Roman"/>
          <w:sz w:val="24"/>
        </w:rPr>
        <w:t xml:space="preserve">addressing potential weaknesses in </w:t>
      </w:r>
      <w:r w:rsidRPr="442DBEE1" w:rsidR="2155252F">
        <w:rPr>
          <w:rFonts w:ascii="Times New Roman" w:hAnsi="Times New Roman"/>
          <w:sz w:val="24"/>
        </w:rPr>
        <w:t xml:space="preserve">the prevention program than the </w:t>
      </w:r>
      <w:r w:rsidRPr="442DBEE1" w:rsidR="00C97364">
        <w:rPr>
          <w:rFonts w:ascii="Times New Roman" w:hAnsi="Times New Roman"/>
          <w:sz w:val="24"/>
        </w:rPr>
        <w:t>proposal</w:t>
      </w:r>
      <w:r w:rsidRPr="442DBEE1" w:rsidR="2155252F">
        <w:rPr>
          <w:rFonts w:ascii="Times New Roman" w:hAnsi="Times New Roman"/>
          <w:sz w:val="24"/>
        </w:rPr>
        <w:t>.</w:t>
      </w:r>
      <w:r w:rsidRPr="442DBEE1" w:rsidR="0CB0EBD8">
        <w:rPr>
          <w:rFonts w:ascii="Times New Roman" w:hAnsi="Times New Roman"/>
          <w:sz w:val="24"/>
        </w:rPr>
        <w:t xml:space="preserve"> </w:t>
      </w:r>
    </w:p>
    <w:p w:rsidR="00907BA1" w:rsidP="00907BA1" w14:paraId="2806ECB1" w14:textId="74F160A7">
      <w:pPr>
        <w:ind w:left="720"/>
        <w:rPr>
          <w:rFonts w:ascii="Times New Roman" w:hAnsi="Times New Roman"/>
          <w:sz w:val="24"/>
        </w:rPr>
      </w:pPr>
      <w:r w:rsidRPr="277D44B5">
        <w:rPr>
          <w:rFonts w:ascii="Times New Roman" w:hAnsi="Times New Roman"/>
          <w:sz w:val="24"/>
        </w:rPr>
        <w:t>As</w:t>
      </w:r>
      <w:r w:rsidRPr="00AE5BA9">
        <w:rPr>
          <w:rFonts w:ascii="Times New Roman" w:hAnsi="Times New Roman"/>
          <w:sz w:val="24"/>
        </w:rPr>
        <w:t xml:space="preserve"> described in the proposed rule, third-party audits were included in the 2017 amendments rule</w:t>
      </w:r>
      <w:r>
        <w:rPr>
          <w:rFonts w:ascii="Times New Roman" w:hAnsi="Times New Roman"/>
          <w:sz w:val="24"/>
        </w:rPr>
        <w:t>.</w:t>
      </w:r>
      <w:r w:rsidRPr="00AE5BA9">
        <w:rPr>
          <w:rFonts w:ascii="Times New Roman" w:hAnsi="Times New Roman"/>
          <w:sz w:val="24"/>
        </w:rPr>
        <w:t xml:space="preserve">  </w:t>
      </w:r>
      <w:r>
        <w:rPr>
          <w:rFonts w:ascii="Times New Roman" w:hAnsi="Times New Roman"/>
          <w:sz w:val="24"/>
        </w:rPr>
        <w:t xml:space="preserve">In </w:t>
      </w:r>
      <w:r w:rsidRPr="00AE5BA9">
        <w:rPr>
          <w:rFonts w:ascii="Times New Roman" w:hAnsi="Times New Roman"/>
          <w:sz w:val="24"/>
        </w:rPr>
        <w:t xml:space="preserve">that </w:t>
      </w:r>
      <w:r>
        <w:rPr>
          <w:rFonts w:ascii="Times New Roman" w:hAnsi="Times New Roman"/>
          <w:sz w:val="24"/>
        </w:rPr>
        <w:t>rulemaking,</w:t>
      </w:r>
      <w:r w:rsidRPr="00AE5BA9">
        <w:rPr>
          <w:rFonts w:ascii="Times New Roman" w:hAnsi="Times New Roman"/>
          <w:sz w:val="24"/>
        </w:rPr>
        <w:t xml:space="preserve"> EPA addressed many general comments regarding the inclusion of third-party audits in the RMP rule, including the justification for</w:t>
      </w:r>
      <w:r>
        <w:rPr>
          <w:rFonts w:ascii="Times New Roman" w:hAnsi="Times New Roman"/>
          <w:sz w:val="24"/>
        </w:rPr>
        <w:t>,</w:t>
      </w:r>
      <w:r w:rsidRPr="00AE5BA9">
        <w:rPr>
          <w:rFonts w:ascii="Times New Roman" w:hAnsi="Times New Roman"/>
          <w:sz w:val="24"/>
        </w:rPr>
        <w:t xml:space="preserve"> and legality of, third party audits, and the benefits of third-party audits. </w:t>
      </w:r>
      <w:r w:rsidRPr="00596F3B" w:rsidR="00CD7B8D">
        <w:rPr>
          <w:rFonts w:ascii="Times New Roman" w:hAnsi="Times New Roman"/>
          <w:sz w:val="24"/>
        </w:rPr>
        <w:t xml:space="preserve">For </w:t>
      </w:r>
      <w:r w:rsidRPr="00596F3B" w:rsidR="00BB719A">
        <w:rPr>
          <w:rFonts w:ascii="Times New Roman" w:hAnsi="Times New Roman"/>
          <w:sz w:val="24"/>
        </w:rPr>
        <w:t>example,</w:t>
      </w:r>
      <w:r w:rsidRPr="00596F3B" w:rsidR="00CD7B8D">
        <w:rPr>
          <w:rFonts w:ascii="Times New Roman" w:hAnsi="Times New Roman"/>
          <w:sz w:val="24"/>
        </w:rPr>
        <w:t xml:space="preserve"> the 201</w:t>
      </w:r>
      <w:r w:rsidR="00420F7A">
        <w:rPr>
          <w:rFonts w:ascii="Times New Roman" w:hAnsi="Times New Roman"/>
          <w:sz w:val="24"/>
        </w:rPr>
        <w:t>7</w:t>
      </w:r>
      <w:r w:rsidRPr="00596F3B" w:rsidR="00CD7B8D">
        <w:rPr>
          <w:rFonts w:ascii="Times New Roman" w:hAnsi="Times New Roman"/>
          <w:sz w:val="24"/>
        </w:rPr>
        <w:t xml:space="preserve"> amendments rule discussed that </w:t>
      </w:r>
      <w:r w:rsidRPr="00596F3B" w:rsidR="00716D00">
        <w:rPr>
          <w:rFonts w:ascii="Times New Roman" w:hAnsi="Times New Roman"/>
          <w:sz w:val="24"/>
        </w:rPr>
        <w:t>third</w:t>
      </w:r>
      <w:r w:rsidRPr="00F37299" w:rsidR="00716D00">
        <w:rPr>
          <w:rFonts w:ascii="Times New Roman" w:hAnsi="Times New Roman"/>
          <w:sz w:val="24"/>
        </w:rPr>
        <w:t xml:space="preserve">-party audits are compliance audits, </w:t>
      </w:r>
      <w:r w:rsidR="00022B00">
        <w:rPr>
          <w:rFonts w:ascii="Times New Roman" w:hAnsi="Times New Roman"/>
          <w:sz w:val="24"/>
        </w:rPr>
        <w:t>s</w:t>
      </w:r>
      <w:r w:rsidRPr="00F37299" w:rsidR="00716D00">
        <w:rPr>
          <w:rFonts w:ascii="Times New Roman" w:hAnsi="Times New Roman"/>
          <w:sz w:val="24"/>
        </w:rPr>
        <w:t>imilar</w:t>
      </w:r>
      <w:r w:rsidR="00C570EA">
        <w:rPr>
          <w:rFonts w:ascii="Times New Roman" w:hAnsi="Times New Roman"/>
          <w:sz w:val="24"/>
        </w:rPr>
        <w:t xml:space="preserve"> </w:t>
      </w:r>
      <w:r w:rsidRPr="00F37299" w:rsidR="00716D00">
        <w:rPr>
          <w:rFonts w:ascii="Times New Roman" w:hAnsi="Times New Roman"/>
          <w:sz w:val="24"/>
        </w:rPr>
        <w:t>to the current self-audit requirements,</w:t>
      </w:r>
      <w:r w:rsidR="00C570EA">
        <w:rPr>
          <w:rFonts w:ascii="Times New Roman" w:hAnsi="Times New Roman"/>
          <w:sz w:val="24"/>
        </w:rPr>
        <w:t xml:space="preserve"> </w:t>
      </w:r>
      <w:r w:rsidRPr="00F37299" w:rsidR="00716D00">
        <w:rPr>
          <w:rFonts w:ascii="Times New Roman" w:hAnsi="Times New Roman"/>
          <w:sz w:val="24"/>
        </w:rPr>
        <w:t xml:space="preserve">only </w:t>
      </w:r>
      <w:r w:rsidR="00872DFF">
        <w:rPr>
          <w:rFonts w:ascii="Times New Roman" w:hAnsi="Times New Roman"/>
          <w:sz w:val="24"/>
        </w:rPr>
        <w:t xml:space="preserve">in this instance </w:t>
      </w:r>
      <w:r w:rsidRPr="00F37299" w:rsidR="00716D00">
        <w:rPr>
          <w:rFonts w:ascii="Times New Roman" w:hAnsi="Times New Roman"/>
          <w:sz w:val="24"/>
        </w:rPr>
        <w:t xml:space="preserve">conducted by a team led by a </w:t>
      </w:r>
      <w:r w:rsidRPr="00F37299" w:rsidR="00022B00">
        <w:rPr>
          <w:rFonts w:ascii="Times New Roman" w:hAnsi="Times New Roman"/>
          <w:sz w:val="24"/>
        </w:rPr>
        <w:t>third-party</w:t>
      </w:r>
      <w:r w:rsidR="00C570EA">
        <w:rPr>
          <w:rFonts w:ascii="Times New Roman" w:hAnsi="Times New Roman"/>
          <w:sz w:val="24"/>
        </w:rPr>
        <w:t xml:space="preserve"> </w:t>
      </w:r>
      <w:r w:rsidRPr="00F37299" w:rsidR="00716D00">
        <w:rPr>
          <w:rFonts w:ascii="Times New Roman" w:hAnsi="Times New Roman"/>
          <w:sz w:val="24"/>
        </w:rPr>
        <w:t xml:space="preserve">auditor. </w:t>
      </w:r>
      <w:r>
        <w:rPr>
          <w:rFonts w:ascii="Times New Roman" w:hAnsi="Times New Roman"/>
          <w:sz w:val="24"/>
        </w:rPr>
        <w:t>Additionally, t</w:t>
      </w:r>
      <w:r w:rsidRPr="00F37299" w:rsidR="00716D00">
        <w:rPr>
          <w:rFonts w:ascii="Times New Roman" w:hAnsi="Times New Roman"/>
          <w:sz w:val="24"/>
        </w:rPr>
        <w:t>he Senate Environment</w:t>
      </w:r>
      <w:r w:rsidR="00C570EA">
        <w:rPr>
          <w:rFonts w:ascii="Times New Roman" w:hAnsi="Times New Roman"/>
          <w:sz w:val="24"/>
        </w:rPr>
        <w:t xml:space="preserve"> </w:t>
      </w:r>
      <w:r w:rsidRPr="00F37299" w:rsidR="00716D00">
        <w:rPr>
          <w:rFonts w:ascii="Times New Roman" w:hAnsi="Times New Roman"/>
          <w:sz w:val="24"/>
        </w:rPr>
        <w:t>and Public Works Committee identified</w:t>
      </w:r>
      <w:r w:rsidR="00C570EA">
        <w:rPr>
          <w:rFonts w:ascii="Times New Roman" w:hAnsi="Times New Roman"/>
          <w:sz w:val="24"/>
        </w:rPr>
        <w:t xml:space="preserve"> </w:t>
      </w:r>
      <w:r w:rsidRPr="00F37299" w:rsidR="00716D00">
        <w:rPr>
          <w:rFonts w:ascii="Times New Roman" w:hAnsi="Times New Roman"/>
          <w:sz w:val="24"/>
        </w:rPr>
        <w:t>program audits ‘‘by company personnel</w:t>
      </w:r>
      <w:r w:rsidR="00C570EA">
        <w:rPr>
          <w:rFonts w:ascii="Times New Roman" w:hAnsi="Times New Roman"/>
          <w:sz w:val="24"/>
        </w:rPr>
        <w:t xml:space="preserve"> </w:t>
      </w:r>
      <w:r w:rsidRPr="00F37299" w:rsidR="00716D00">
        <w:rPr>
          <w:rFonts w:ascii="Times New Roman" w:hAnsi="Times New Roman"/>
          <w:sz w:val="24"/>
        </w:rPr>
        <w:t>. . . or outside consultants’’ as an</w:t>
      </w:r>
      <w:r w:rsidR="00C570EA">
        <w:rPr>
          <w:rFonts w:ascii="Times New Roman" w:hAnsi="Times New Roman"/>
          <w:sz w:val="24"/>
        </w:rPr>
        <w:t xml:space="preserve"> </w:t>
      </w:r>
      <w:r w:rsidRPr="00F37299" w:rsidR="00716D00">
        <w:rPr>
          <w:rFonts w:ascii="Times New Roman" w:hAnsi="Times New Roman"/>
          <w:sz w:val="24"/>
        </w:rPr>
        <w:t>element of prevention program rules</w:t>
      </w:r>
      <w:r w:rsidR="00C570EA">
        <w:rPr>
          <w:rFonts w:ascii="Times New Roman" w:hAnsi="Times New Roman"/>
          <w:sz w:val="24"/>
        </w:rPr>
        <w:t xml:space="preserve"> </w:t>
      </w:r>
      <w:r w:rsidRPr="00F37299" w:rsidR="00716D00">
        <w:rPr>
          <w:rFonts w:ascii="Times New Roman" w:hAnsi="Times New Roman"/>
          <w:sz w:val="24"/>
        </w:rPr>
        <w:t>within the range of authorities provided</w:t>
      </w:r>
      <w:r w:rsidR="00C570EA">
        <w:rPr>
          <w:rFonts w:ascii="Times New Roman" w:hAnsi="Times New Roman"/>
          <w:sz w:val="24"/>
        </w:rPr>
        <w:t xml:space="preserve"> </w:t>
      </w:r>
      <w:r>
        <w:rPr>
          <w:rFonts w:ascii="Times New Roman" w:hAnsi="Times New Roman"/>
          <w:sz w:val="24"/>
        </w:rPr>
        <w:t xml:space="preserve">to </w:t>
      </w:r>
      <w:r w:rsidRPr="00F37299" w:rsidR="00716D00">
        <w:rPr>
          <w:rFonts w:ascii="Times New Roman" w:hAnsi="Times New Roman"/>
          <w:sz w:val="24"/>
        </w:rPr>
        <w:t xml:space="preserve">EPA. </w:t>
      </w:r>
      <w:r w:rsidRPr="0043549F" w:rsidR="00716D00">
        <w:rPr>
          <w:rFonts w:ascii="Times New Roman" w:hAnsi="Times New Roman"/>
          <w:i/>
          <w:sz w:val="24"/>
        </w:rPr>
        <w:t>See</w:t>
      </w:r>
      <w:r w:rsidRPr="00F37299" w:rsidR="00716D00">
        <w:rPr>
          <w:rFonts w:ascii="Times New Roman" w:hAnsi="Times New Roman"/>
          <w:sz w:val="24"/>
        </w:rPr>
        <w:t xml:space="preserve"> Senate Report at 243</w:t>
      </w:r>
      <w:r>
        <w:rPr>
          <w:rFonts w:ascii="Times New Roman" w:hAnsi="Times New Roman"/>
          <w:sz w:val="24"/>
        </w:rPr>
        <w:t>.</w:t>
      </w:r>
      <w:r>
        <w:rPr>
          <w:rStyle w:val="FootnoteReference"/>
          <w:rFonts w:ascii="Times New Roman" w:hAnsi="Times New Roman"/>
          <w:sz w:val="24"/>
        </w:rPr>
        <w:footnoteReference w:id="129"/>
      </w:r>
      <w:r w:rsidRPr="00F37299" w:rsidR="00716D00">
        <w:rPr>
          <w:rFonts w:ascii="Times New Roman" w:hAnsi="Times New Roman"/>
          <w:sz w:val="24"/>
        </w:rPr>
        <w:t xml:space="preserve"> </w:t>
      </w:r>
    </w:p>
    <w:p w:rsidR="00F41FFB" w:rsidRPr="00F37299" w:rsidP="003304AC" w14:paraId="02F05341" w14:textId="14DB3E8F">
      <w:pPr>
        <w:ind w:left="720"/>
        <w:rPr>
          <w:rFonts w:ascii="Times New Roman" w:hAnsi="Times New Roman"/>
          <w:sz w:val="24"/>
        </w:rPr>
      </w:pPr>
      <w:r w:rsidRPr="00F37299">
        <w:rPr>
          <w:rFonts w:ascii="Times New Roman" w:hAnsi="Times New Roman"/>
          <w:sz w:val="24"/>
        </w:rPr>
        <w:t>The</w:t>
      </w:r>
      <w:r w:rsidR="00C570EA">
        <w:rPr>
          <w:rFonts w:ascii="Times New Roman" w:hAnsi="Times New Roman"/>
          <w:sz w:val="24"/>
        </w:rPr>
        <w:t xml:space="preserve"> </w:t>
      </w:r>
      <w:r w:rsidRPr="00F37299">
        <w:rPr>
          <w:rFonts w:ascii="Times New Roman" w:hAnsi="Times New Roman"/>
          <w:sz w:val="24"/>
        </w:rPr>
        <w:t>findings of a third-party audit are</w:t>
      </w:r>
      <w:r w:rsidR="00C570EA">
        <w:rPr>
          <w:rFonts w:ascii="Times New Roman" w:hAnsi="Times New Roman"/>
          <w:sz w:val="24"/>
        </w:rPr>
        <w:t xml:space="preserve"> </w:t>
      </w:r>
      <w:r w:rsidRPr="00F37299">
        <w:rPr>
          <w:rFonts w:ascii="Times New Roman" w:hAnsi="Times New Roman"/>
          <w:sz w:val="24"/>
        </w:rPr>
        <w:t>intended to identify noncompliance that</w:t>
      </w:r>
      <w:r w:rsidR="00022B00">
        <w:rPr>
          <w:rFonts w:ascii="Times New Roman" w:hAnsi="Times New Roman"/>
          <w:sz w:val="24"/>
        </w:rPr>
        <w:t xml:space="preserve"> </w:t>
      </w:r>
      <w:r w:rsidRPr="00F37299">
        <w:rPr>
          <w:rFonts w:ascii="Times New Roman" w:hAnsi="Times New Roman"/>
          <w:sz w:val="24"/>
        </w:rPr>
        <w:t>was not discovered by facility personnel</w:t>
      </w:r>
      <w:r w:rsidR="00022B00">
        <w:rPr>
          <w:rFonts w:ascii="Times New Roman" w:hAnsi="Times New Roman"/>
          <w:sz w:val="24"/>
        </w:rPr>
        <w:t xml:space="preserve"> </w:t>
      </w:r>
      <w:r w:rsidRPr="00F37299">
        <w:rPr>
          <w:rFonts w:ascii="Times New Roman" w:hAnsi="Times New Roman"/>
          <w:sz w:val="24"/>
        </w:rPr>
        <w:t>during self-</w:t>
      </w:r>
      <w:r w:rsidRPr="00F37299" w:rsidR="00BB719A">
        <w:rPr>
          <w:rFonts w:ascii="Times New Roman" w:hAnsi="Times New Roman"/>
          <w:sz w:val="24"/>
        </w:rPr>
        <w:t>audits and</w:t>
      </w:r>
      <w:r w:rsidRPr="00F37299">
        <w:rPr>
          <w:rFonts w:ascii="Times New Roman" w:hAnsi="Times New Roman"/>
          <w:sz w:val="24"/>
        </w:rPr>
        <w:t xml:space="preserve"> are not intended</w:t>
      </w:r>
      <w:r w:rsidR="00022B00">
        <w:rPr>
          <w:rFonts w:ascii="Times New Roman" w:hAnsi="Times New Roman"/>
          <w:sz w:val="24"/>
        </w:rPr>
        <w:t xml:space="preserve"> </w:t>
      </w:r>
      <w:r w:rsidRPr="00F37299">
        <w:rPr>
          <w:rFonts w:ascii="Times New Roman" w:hAnsi="Times New Roman"/>
          <w:sz w:val="24"/>
        </w:rPr>
        <w:t>primarily to bring such findings to the</w:t>
      </w:r>
      <w:r w:rsidR="00022B00">
        <w:rPr>
          <w:rFonts w:ascii="Times New Roman" w:hAnsi="Times New Roman"/>
          <w:sz w:val="24"/>
        </w:rPr>
        <w:t xml:space="preserve"> </w:t>
      </w:r>
      <w:r w:rsidRPr="00F37299">
        <w:rPr>
          <w:rFonts w:ascii="Times New Roman" w:hAnsi="Times New Roman"/>
          <w:sz w:val="24"/>
        </w:rPr>
        <w:t>attention of government regulators. In</w:t>
      </w:r>
      <w:r w:rsidR="00604E23">
        <w:rPr>
          <w:rFonts w:ascii="Times New Roman" w:hAnsi="Times New Roman"/>
          <w:sz w:val="24"/>
        </w:rPr>
        <w:t>deed</w:t>
      </w:r>
      <w:r w:rsidRPr="00F37299">
        <w:rPr>
          <w:rFonts w:ascii="Times New Roman" w:hAnsi="Times New Roman"/>
          <w:sz w:val="24"/>
        </w:rPr>
        <w:t>, the audits are designed primarily to</w:t>
      </w:r>
      <w:r w:rsidR="00022B00">
        <w:rPr>
          <w:rFonts w:ascii="Times New Roman" w:hAnsi="Times New Roman"/>
          <w:sz w:val="24"/>
        </w:rPr>
        <w:t xml:space="preserve"> </w:t>
      </w:r>
      <w:r w:rsidRPr="00F37299">
        <w:rPr>
          <w:rFonts w:ascii="Times New Roman" w:hAnsi="Times New Roman"/>
          <w:sz w:val="24"/>
        </w:rPr>
        <w:t>benefit owners or operators by assisting</w:t>
      </w:r>
      <w:r w:rsidR="00022B00">
        <w:rPr>
          <w:rFonts w:ascii="Times New Roman" w:hAnsi="Times New Roman"/>
          <w:sz w:val="24"/>
        </w:rPr>
        <w:t xml:space="preserve"> </w:t>
      </w:r>
      <w:r w:rsidRPr="00F37299">
        <w:rPr>
          <w:rFonts w:ascii="Times New Roman" w:hAnsi="Times New Roman"/>
          <w:sz w:val="24"/>
        </w:rPr>
        <w:t>them to identify both actual</w:t>
      </w:r>
      <w:r w:rsidR="00022B00">
        <w:rPr>
          <w:rFonts w:ascii="Times New Roman" w:hAnsi="Times New Roman"/>
          <w:sz w:val="24"/>
        </w:rPr>
        <w:t xml:space="preserve"> </w:t>
      </w:r>
      <w:r w:rsidRPr="00F37299">
        <w:rPr>
          <w:rFonts w:ascii="Times New Roman" w:hAnsi="Times New Roman"/>
          <w:sz w:val="24"/>
        </w:rPr>
        <w:t>noncompliance as well as operational or</w:t>
      </w:r>
      <w:r w:rsidR="00022B00">
        <w:rPr>
          <w:rFonts w:ascii="Times New Roman" w:hAnsi="Times New Roman"/>
          <w:sz w:val="24"/>
        </w:rPr>
        <w:t xml:space="preserve"> </w:t>
      </w:r>
      <w:r w:rsidRPr="00F37299">
        <w:rPr>
          <w:rFonts w:ascii="Times New Roman" w:hAnsi="Times New Roman"/>
          <w:sz w:val="24"/>
        </w:rPr>
        <w:t>equipment deficiencies, previously</w:t>
      </w:r>
      <w:r w:rsidR="00022B00">
        <w:rPr>
          <w:rFonts w:ascii="Times New Roman" w:hAnsi="Times New Roman"/>
          <w:sz w:val="24"/>
        </w:rPr>
        <w:t xml:space="preserve"> </w:t>
      </w:r>
      <w:r w:rsidRPr="00F37299">
        <w:rPr>
          <w:rFonts w:ascii="Times New Roman" w:hAnsi="Times New Roman"/>
          <w:sz w:val="24"/>
        </w:rPr>
        <w:t>unidentified risk factors, and accident</w:t>
      </w:r>
      <w:r w:rsidR="00022B00">
        <w:rPr>
          <w:rFonts w:ascii="Times New Roman" w:hAnsi="Times New Roman"/>
          <w:sz w:val="24"/>
        </w:rPr>
        <w:t xml:space="preserve"> </w:t>
      </w:r>
      <w:r w:rsidRPr="00F37299">
        <w:rPr>
          <w:rFonts w:ascii="Times New Roman" w:hAnsi="Times New Roman"/>
          <w:sz w:val="24"/>
        </w:rPr>
        <w:t>release and/or regulatory</w:t>
      </w:r>
      <w:r w:rsidR="00022B00">
        <w:rPr>
          <w:rFonts w:ascii="Times New Roman" w:hAnsi="Times New Roman"/>
          <w:sz w:val="24"/>
        </w:rPr>
        <w:t xml:space="preserve"> </w:t>
      </w:r>
      <w:r w:rsidRPr="00F37299">
        <w:rPr>
          <w:rFonts w:ascii="Times New Roman" w:hAnsi="Times New Roman"/>
          <w:sz w:val="24"/>
        </w:rPr>
        <w:t>noncompliance precursor conditions</w:t>
      </w:r>
      <w:r w:rsidR="00022B00">
        <w:rPr>
          <w:rFonts w:ascii="Times New Roman" w:hAnsi="Times New Roman"/>
          <w:sz w:val="24"/>
        </w:rPr>
        <w:t xml:space="preserve"> </w:t>
      </w:r>
      <w:r w:rsidRPr="00F37299">
        <w:rPr>
          <w:rFonts w:ascii="Times New Roman" w:hAnsi="Times New Roman"/>
          <w:sz w:val="24"/>
        </w:rPr>
        <w:t>which, if uncorrected, could lead to</w:t>
      </w:r>
      <w:r w:rsidR="00022B00">
        <w:rPr>
          <w:rFonts w:ascii="Times New Roman" w:hAnsi="Times New Roman"/>
          <w:sz w:val="24"/>
        </w:rPr>
        <w:t xml:space="preserve"> </w:t>
      </w:r>
      <w:r w:rsidRPr="00F37299">
        <w:rPr>
          <w:rFonts w:ascii="Times New Roman" w:hAnsi="Times New Roman"/>
          <w:sz w:val="24"/>
        </w:rPr>
        <w:t>releases and/or enforcement actions.</w:t>
      </w:r>
      <w:r w:rsidR="00022B00">
        <w:rPr>
          <w:rFonts w:ascii="Times New Roman" w:hAnsi="Times New Roman"/>
          <w:sz w:val="24"/>
        </w:rPr>
        <w:t xml:space="preserve"> </w:t>
      </w:r>
      <w:r w:rsidRPr="00F37299">
        <w:rPr>
          <w:rFonts w:ascii="Times New Roman" w:hAnsi="Times New Roman"/>
          <w:sz w:val="24"/>
        </w:rPr>
        <w:t>Proactively addressing deficiencies, risk</w:t>
      </w:r>
      <w:r w:rsidR="00022B00">
        <w:rPr>
          <w:rFonts w:ascii="Times New Roman" w:hAnsi="Times New Roman"/>
          <w:sz w:val="24"/>
        </w:rPr>
        <w:t xml:space="preserve"> </w:t>
      </w:r>
      <w:r w:rsidRPr="00F37299">
        <w:rPr>
          <w:rFonts w:ascii="Times New Roman" w:hAnsi="Times New Roman"/>
          <w:sz w:val="24"/>
        </w:rPr>
        <w:t>factors, and precursor conditions to</w:t>
      </w:r>
      <w:r w:rsidR="00022B00">
        <w:rPr>
          <w:rFonts w:ascii="Times New Roman" w:hAnsi="Times New Roman"/>
          <w:sz w:val="24"/>
        </w:rPr>
        <w:t xml:space="preserve"> </w:t>
      </w:r>
      <w:r w:rsidRPr="00F37299">
        <w:rPr>
          <w:rFonts w:ascii="Times New Roman" w:hAnsi="Times New Roman"/>
          <w:sz w:val="24"/>
        </w:rPr>
        <w:t>accidental releases and regulatory</w:t>
      </w:r>
      <w:r w:rsidR="00022B00">
        <w:rPr>
          <w:rFonts w:ascii="Times New Roman" w:hAnsi="Times New Roman"/>
          <w:sz w:val="24"/>
        </w:rPr>
        <w:t xml:space="preserve"> </w:t>
      </w:r>
      <w:r w:rsidRPr="00F37299">
        <w:rPr>
          <w:rFonts w:ascii="Times New Roman" w:hAnsi="Times New Roman"/>
          <w:sz w:val="24"/>
        </w:rPr>
        <w:t>noncompliance will provide financial,</w:t>
      </w:r>
      <w:r w:rsidR="00022B00">
        <w:rPr>
          <w:rFonts w:ascii="Times New Roman" w:hAnsi="Times New Roman"/>
          <w:sz w:val="24"/>
        </w:rPr>
        <w:t xml:space="preserve"> </w:t>
      </w:r>
      <w:r w:rsidRPr="00F37299">
        <w:rPr>
          <w:rFonts w:ascii="Times New Roman" w:hAnsi="Times New Roman"/>
          <w:sz w:val="24"/>
        </w:rPr>
        <w:t>regulatory, and environmental benefits</w:t>
      </w:r>
      <w:r w:rsidR="00022B00">
        <w:rPr>
          <w:rFonts w:ascii="Times New Roman" w:hAnsi="Times New Roman"/>
          <w:sz w:val="24"/>
        </w:rPr>
        <w:t xml:space="preserve"> </w:t>
      </w:r>
      <w:r w:rsidRPr="00F37299">
        <w:rPr>
          <w:rFonts w:ascii="Times New Roman" w:hAnsi="Times New Roman"/>
          <w:sz w:val="24"/>
        </w:rPr>
        <w:t>for facility owners and operators and</w:t>
      </w:r>
      <w:r w:rsidR="00022B00">
        <w:rPr>
          <w:rFonts w:ascii="Times New Roman" w:hAnsi="Times New Roman"/>
          <w:sz w:val="24"/>
        </w:rPr>
        <w:t xml:space="preserve"> </w:t>
      </w:r>
      <w:r w:rsidRPr="00F37299">
        <w:rPr>
          <w:rFonts w:ascii="Times New Roman" w:hAnsi="Times New Roman"/>
          <w:sz w:val="24"/>
        </w:rPr>
        <w:t xml:space="preserve">communities. EPA has </w:t>
      </w:r>
      <w:r w:rsidR="00D30C40">
        <w:rPr>
          <w:rFonts w:ascii="Times New Roman" w:hAnsi="Times New Roman"/>
          <w:sz w:val="24"/>
        </w:rPr>
        <w:t>thus</w:t>
      </w:r>
      <w:r w:rsidRPr="00F37299">
        <w:rPr>
          <w:rFonts w:ascii="Times New Roman" w:hAnsi="Times New Roman"/>
          <w:sz w:val="24"/>
        </w:rPr>
        <w:t xml:space="preserve"> reasonably</w:t>
      </w:r>
      <w:r w:rsidR="00022B00">
        <w:rPr>
          <w:rFonts w:ascii="Times New Roman" w:hAnsi="Times New Roman"/>
          <w:sz w:val="24"/>
        </w:rPr>
        <w:t xml:space="preserve"> </w:t>
      </w:r>
      <w:r w:rsidRPr="00F37299">
        <w:rPr>
          <w:rFonts w:ascii="Times New Roman" w:hAnsi="Times New Roman"/>
          <w:sz w:val="24"/>
        </w:rPr>
        <w:t>targeted third-party audit requirements</w:t>
      </w:r>
      <w:r w:rsidR="00022B00">
        <w:rPr>
          <w:rFonts w:ascii="Times New Roman" w:hAnsi="Times New Roman"/>
          <w:sz w:val="24"/>
        </w:rPr>
        <w:t xml:space="preserve"> </w:t>
      </w:r>
      <w:r w:rsidR="00D30C40">
        <w:rPr>
          <w:rFonts w:ascii="Times New Roman" w:hAnsi="Times New Roman"/>
          <w:sz w:val="24"/>
        </w:rPr>
        <w:t>to</w:t>
      </w:r>
      <w:r w:rsidRPr="00F37299">
        <w:rPr>
          <w:rFonts w:ascii="Times New Roman" w:hAnsi="Times New Roman"/>
          <w:sz w:val="24"/>
        </w:rPr>
        <w:t xml:space="preserve"> facilities that have had RMP</w:t>
      </w:r>
      <w:r w:rsidR="00022B00">
        <w:rPr>
          <w:rFonts w:ascii="Times New Roman" w:hAnsi="Times New Roman"/>
          <w:sz w:val="24"/>
        </w:rPr>
        <w:t xml:space="preserve"> </w:t>
      </w:r>
      <w:r w:rsidRPr="00F37299">
        <w:rPr>
          <w:rFonts w:ascii="Times New Roman" w:hAnsi="Times New Roman"/>
          <w:sz w:val="24"/>
        </w:rPr>
        <w:t>reportable incidents that may</w:t>
      </w:r>
      <w:r w:rsidR="00022B00">
        <w:rPr>
          <w:rFonts w:ascii="Times New Roman" w:hAnsi="Times New Roman"/>
          <w:sz w:val="24"/>
        </w:rPr>
        <w:t xml:space="preserve"> </w:t>
      </w:r>
      <w:r w:rsidRPr="00F37299">
        <w:rPr>
          <w:rFonts w:ascii="Times New Roman" w:hAnsi="Times New Roman"/>
          <w:sz w:val="24"/>
        </w:rPr>
        <w:t xml:space="preserve">demonstrate weaknesses in prior </w:t>
      </w:r>
      <w:r w:rsidRPr="00F37299" w:rsidR="0001768B">
        <w:rPr>
          <w:rFonts w:ascii="Times New Roman" w:hAnsi="Times New Roman"/>
          <w:sz w:val="24"/>
        </w:rPr>
        <w:t>self</w:t>
      </w:r>
      <w:r w:rsidR="0001768B">
        <w:rPr>
          <w:rFonts w:ascii="Times New Roman" w:hAnsi="Times New Roman"/>
          <w:sz w:val="24"/>
        </w:rPr>
        <w:t>-</w:t>
      </w:r>
      <w:r w:rsidRPr="00F37299" w:rsidR="0001768B">
        <w:rPr>
          <w:rFonts w:ascii="Times New Roman" w:hAnsi="Times New Roman"/>
          <w:sz w:val="24"/>
        </w:rPr>
        <w:t>assessments</w:t>
      </w:r>
      <w:r w:rsidR="00022B00">
        <w:rPr>
          <w:rFonts w:ascii="Times New Roman" w:hAnsi="Times New Roman"/>
          <w:sz w:val="24"/>
        </w:rPr>
        <w:t xml:space="preserve"> </w:t>
      </w:r>
      <w:r w:rsidRPr="00F37299">
        <w:rPr>
          <w:rFonts w:ascii="Times New Roman" w:hAnsi="Times New Roman"/>
          <w:sz w:val="24"/>
        </w:rPr>
        <w:t>and at facilities of</w:t>
      </w:r>
      <w:r w:rsidR="00022B00">
        <w:rPr>
          <w:rFonts w:ascii="Times New Roman" w:hAnsi="Times New Roman"/>
          <w:sz w:val="24"/>
        </w:rPr>
        <w:t xml:space="preserve"> </w:t>
      </w:r>
      <w:r w:rsidRPr="00F37299">
        <w:rPr>
          <w:rFonts w:ascii="Times New Roman" w:hAnsi="Times New Roman"/>
          <w:sz w:val="24"/>
        </w:rPr>
        <w:t>heightened concern for implementing</w:t>
      </w:r>
      <w:r w:rsidR="00022B00">
        <w:rPr>
          <w:rFonts w:ascii="Times New Roman" w:hAnsi="Times New Roman"/>
          <w:sz w:val="24"/>
        </w:rPr>
        <w:t xml:space="preserve"> </w:t>
      </w:r>
      <w:r w:rsidRPr="00F37299">
        <w:rPr>
          <w:rFonts w:ascii="Times New Roman" w:hAnsi="Times New Roman"/>
          <w:sz w:val="24"/>
        </w:rPr>
        <w:t>agencies.</w:t>
      </w:r>
    </w:p>
    <w:p w:rsidR="00F41FFB" w:rsidRPr="006F68E9" w:rsidP="00F41FFB" w14:paraId="58B6983D" w14:textId="522DF0D5">
      <w:pPr>
        <w:rPr>
          <w:rFonts w:ascii="Times New Roman" w:hAnsi="Times New Roman"/>
          <w:sz w:val="24"/>
        </w:rPr>
      </w:pPr>
      <w:r w:rsidRPr="009C1F0E">
        <w:rPr>
          <w:rFonts w:ascii="Times New Roman" w:hAnsi="Times New Roman"/>
          <w:b/>
          <w:bCs/>
          <w:sz w:val="24"/>
        </w:rPr>
        <w:t>Comment</w:t>
      </w:r>
      <w:r>
        <w:rPr>
          <w:rFonts w:ascii="Times New Roman" w:hAnsi="Times New Roman"/>
          <w:b/>
          <w:bCs/>
          <w:sz w:val="24"/>
        </w:rPr>
        <w:t xml:space="preserve"> 8.1-</w:t>
      </w:r>
      <w:r w:rsidR="00657BBE">
        <w:rPr>
          <w:rFonts w:ascii="Times New Roman" w:hAnsi="Times New Roman"/>
          <w:b/>
          <w:bCs/>
          <w:sz w:val="24"/>
        </w:rPr>
        <w:t>09</w:t>
      </w:r>
      <w:r w:rsidRPr="009C1F0E">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Several commenters </w:t>
      </w:r>
      <w:r>
        <w:rPr>
          <w:rFonts w:ascii="Times New Roman" w:hAnsi="Times New Roman"/>
          <w:sz w:val="24"/>
        </w:rPr>
        <w:t xml:space="preserve">expressed concern about </w:t>
      </w:r>
      <w:r w:rsidRPr="006F68E9">
        <w:rPr>
          <w:rFonts w:ascii="Times New Roman" w:hAnsi="Times New Roman"/>
          <w:sz w:val="24"/>
        </w:rPr>
        <w:t xml:space="preserve">immediate mandatory reporting to the board of directors or other comparable committee without giving management the opportunity to act on audit findings (0227, 0233, 0253, 0263, 0268). One of the commenters noted that this requirement is not legally or factually justified, as other federal statutes such as the Sarbanes-Oxley Act regulate corporate governance. The commenter stated that taking corrective action is the responsibility of management, not the board, which provides oversight and advisory roles on management decisions (0268). Another commenter suggested that this requirement does not consider varying levels of leadership across facilities, and EPA should provide flexibility as to who or what committee needs to review the findings (0253). </w:t>
      </w:r>
    </w:p>
    <w:p w:rsidR="004A4448" w:rsidP="09D1E692" w14:paraId="73D0D482" w14:textId="3DA10E24">
      <w:pPr>
        <w:ind w:left="720"/>
        <w:rPr>
          <w:rFonts w:ascii="Times New Roman" w:hAnsi="Times New Roman"/>
          <w:sz w:val="24"/>
        </w:rPr>
      </w:pPr>
      <w:r>
        <w:rPr>
          <w:rFonts w:ascii="Times New Roman" w:hAnsi="Times New Roman"/>
          <w:b/>
          <w:bCs/>
          <w:sz w:val="24"/>
        </w:rPr>
        <w:t xml:space="preserve">EPA Response: </w:t>
      </w:r>
      <w:r w:rsidRPr="00E46C52">
        <w:rPr>
          <w:rFonts w:ascii="Times New Roman" w:hAnsi="Times New Roman"/>
          <w:sz w:val="24"/>
        </w:rPr>
        <w:t xml:space="preserve">Boards of Directors and their audit committees play an important role in establishing internal corporate accountability and overseeing corporate prioritization, budgeting, and operations. </w:t>
      </w:r>
      <w:r w:rsidRPr="09D1E692" w:rsidR="00435A6C">
        <w:rPr>
          <w:rFonts w:ascii="Times New Roman" w:hAnsi="Times New Roman"/>
          <w:sz w:val="24"/>
        </w:rPr>
        <w:t xml:space="preserve">This requirement is not intended to suggest that the Board of Directors </w:t>
      </w:r>
      <w:r w:rsidRPr="09D1E692" w:rsidR="00981BF5">
        <w:rPr>
          <w:rFonts w:ascii="Times New Roman" w:hAnsi="Times New Roman"/>
          <w:sz w:val="24"/>
        </w:rPr>
        <w:t>usurp</w:t>
      </w:r>
      <w:r w:rsidRPr="09D1E692" w:rsidR="00435A6C">
        <w:rPr>
          <w:rFonts w:ascii="Times New Roman" w:hAnsi="Times New Roman"/>
          <w:sz w:val="24"/>
        </w:rPr>
        <w:t xml:space="preserve"> management decisions</w:t>
      </w:r>
      <w:r w:rsidRPr="09D1E692" w:rsidR="00FB334A">
        <w:rPr>
          <w:rFonts w:ascii="Times New Roman" w:hAnsi="Times New Roman"/>
          <w:sz w:val="24"/>
        </w:rPr>
        <w:t xml:space="preserve">, </w:t>
      </w:r>
      <w:r w:rsidRPr="09D1E692" w:rsidR="00981BF5">
        <w:rPr>
          <w:rFonts w:ascii="Times New Roman" w:hAnsi="Times New Roman"/>
          <w:sz w:val="24"/>
        </w:rPr>
        <w:t>be the ones to oversee</w:t>
      </w:r>
      <w:r w:rsidRPr="09D1E692" w:rsidR="00435A6C">
        <w:rPr>
          <w:rFonts w:ascii="Times New Roman" w:hAnsi="Times New Roman"/>
          <w:sz w:val="24"/>
        </w:rPr>
        <w:t xml:space="preserve"> corrective action</w:t>
      </w:r>
      <w:r w:rsidRPr="09D1E692" w:rsidR="00FB334A">
        <w:rPr>
          <w:rFonts w:ascii="Times New Roman" w:hAnsi="Times New Roman"/>
          <w:sz w:val="24"/>
        </w:rPr>
        <w:t>, or insert themselves into the auditing process in any way</w:t>
      </w:r>
      <w:r w:rsidRPr="09D1E692" w:rsidR="00435A6C">
        <w:rPr>
          <w:rFonts w:ascii="Times New Roman" w:hAnsi="Times New Roman"/>
          <w:sz w:val="24"/>
        </w:rPr>
        <w:t xml:space="preserve">. Rather, </w:t>
      </w:r>
      <w:r w:rsidRPr="09D1E692">
        <w:rPr>
          <w:rFonts w:ascii="Times New Roman" w:hAnsi="Times New Roman"/>
          <w:sz w:val="24"/>
        </w:rPr>
        <w:t xml:space="preserve">EPA believes that </w:t>
      </w:r>
      <w:r w:rsidRPr="09D1E692" w:rsidR="00435A6C">
        <w:rPr>
          <w:rFonts w:ascii="Times New Roman" w:hAnsi="Times New Roman"/>
          <w:sz w:val="24"/>
        </w:rPr>
        <w:t>immediately</w:t>
      </w:r>
      <w:r w:rsidRPr="00E46C52">
        <w:rPr>
          <w:rFonts w:ascii="Times New Roman" w:hAnsi="Times New Roman"/>
          <w:sz w:val="24"/>
        </w:rPr>
        <w:t xml:space="preserve"> providing the facility’s owner or operator’s audit committee of the Board of Directors with third-party audit findings will ensure the committees and their Boards of Directors are </w:t>
      </w:r>
      <w:r w:rsidRPr="09D1E692" w:rsidR="00981BF5">
        <w:rPr>
          <w:rFonts w:ascii="Times New Roman" w:hAnsi="Times New Roman"/>
          <w:sz w:val="24"/>
        </w:rPr>
        <w:t xml:space="preserve">simply </w:t>
      </w:r>
      <w:r w:rsidRPr="00E46C52">
        <w:rPr>
          <w:rFonts w:ascii="Times New Roman" w:hAnsi="Times New Roman"/>
          <w:sz w:val="24"/>
        </w:rPr>
        <w:t xml:space="preserve">aware of any deficiencies and </w:t>
      </w:r>
      <w:r w:rsidRPr="09D1E692" w:rsidR="00981BF5">
        <w:rPr>
          <w:rFonts w:ascii="Times New Roman" w:hAnsi="Times New Roman"/>
          <w:sz w:val="24"/>
        </w:rPr>
        <w:t xml:space="preserve">then </w:t>
      </w:r>
      <w:r w:rsidRPr="00E46C52">
        <w:rPr>
          <w:rFonts w:ascii="Times New Roman" w:hAnsi="Times New Roman"/>
          <w:sz w:val="24"/>
        </w:rPr>
        <w:t xml:space="preserve">have the opportunity to properly budget for any required corrective actions in a timely manner. EPA expects that this approach will improve facility and public confidence that third-party audit report findings and recommendations are promptly and properly addressed. </w:t>
      </w:r>
    </w:p>
    <w:p w:rsidR="00F41FFB" w:rsidRPr="00C665D4" w:rsidP="00F41FFB" w14:paraId="6FFB3BC5" w14:textId="2E8D0A4C">
      <w:pPr>
        <w:ind w:left="720"/>
        <w:rPr>
          <w:rFonts w:ascii="Times New Roman" w:hAnsi="Times New Roman"/>
          <w:sz w:val="24"/>
        </w:rPr>
      </w:pPr>
      <w:r w:rsidRPr="00E46C52">
        <w:rPr>
          <w:rFonts w:ascii="Times New Roman" w:hAnsi="Times New Roman"/>
          <w:sz w:val="24"/>
        </w:rPr>
        <w:t xml:space="preserve">Therefore, the final rule will require the owner or operator to immediately, upon its completion, provide to the audit committee of the Board of Directors, or other comparable committee or individual, if applicable a copy of the findings response report, which includes a copy of the final audit report, an appropriate response to each of the audit report findings; and a schedule for addressing deficiencies; and copy of any document required under Sections 68.59(f)(2) or 68.80(f)(2), documenting the actions taken to address each deficiency. The closing clause in Sections 68.59(f)(3) and 68.80(f)(3), “if applicable,” is intended to clarify that owners or operators that do not have, or who are not otherwise required by law to have, an audit committee of the Board of Directors or that have not otherwise, established or designated a comparable committee or individual, will not be subject to the requirements in Sections 68.59(f)(3) and 68.80(f)(3). EPA recommends that the facility document how the owner or operator complied with this requirement and maintain that documentation with the findings response report. This may include identifying who received a copy of the report and the date it was provided. If there is no audit committee of the Board of Directors or a </w:t>
      </w:r>
      <w:r w:rsidRPr="00E46C52">
        <w:rPr>
          <w:rFonts w:ascii="Times New Roman" w:hAnsi="Times New Roman"/>
          <w:sz w:val="24"/>
        </w:rPr>
        <w:t>comparable committee or individual, then the owner or operator should consider documenting that no committee or individual exists.</w:t>
      </w:r>
    </w:p>
    <w:p w:rsidR="00F41FFB" w:rsidRPr="006F68E9" w:rsidP="00F41FFB" w14:paraId="1430DCB8" w14:textId="3CD84C54">
      <w:pPr>
        <w:rPr>
          <w:rFonts w:ascii="Times New Roman" w:hAnsi="Times New Roman"/>
          <w:sz w:val="24"/>
        </w:rPr>
      </w:pPr>
      <w:r>
        <w:rPr>
          <w:rFonts w:ascii="Times New Roman" w:hAnsi="Times New Roman"/>
          <w:b/>
          <w:bCs/>
          <w:sz w:val="24"/>
        </w:rPr>
        <w:t>Comment 8.1-1</w:t>
      </w:r>
      <w:r w:rsidR="00657BBE">
        <w:rPr>
          <w:rFonts w:ascii="Times New Roman" w:hAnsi="Times New Roman"/>
          <w:b/>
          <w:bCs/>
          <w:sz w:val="24"/>
        </w:rPr>
        <w:t>0</w:t>
      </w:r>
      <w:r>
        <w:rPr>
          <w:rFonts w:ascii="Times New Roman" w:hAnsi="Times New Roman"/>
          <w:b/>
          <w:bCs/>
          <w:sz w:val="24"/>
        </w:rPr>
        <w:t xml:space="preserve">: </w:t>
      </w:r>
      <w:r w:rsidRPr="006F68E9">
        <w:rPr>
          <w:rFonts w:ascii="Times New Roman" w:hAnsi="Times New Roman"/>
          <w:sz w:val="24"/>
        </w:rPr>
        <w:t>One commenter suggested that the audit response requirement include a mechanism for the audited companies to dispute any findings, as some could arise from a misunderstanding of the facility’s processes from a third-party auditor. The commenter stated that not allowing facilit</w:t>
      </w:r>
      <w:r w:rsidR="001118B8">
        <w:rPr>
          <w:rFonts w:ascii="Times New Roman" w:hAnsi="Times New Roman"/>
          <w:sz w:val="24"/>
        </w:rPr>
        <w:t xml:space="preserve">ies </w:t>
      </w:r>
      <w:r w:rsidRPr="006F68E9">
        <w:rPr>
          <w:rFonts w:ascii="Times New Roman" w:hAnsi="Times New Roman"/>
          <w:sz w:val="24"/>
        </w:rPr>
        <w:t>this opportunity may raise due process concerns, and pointed to an EPA-Wharton pilot study, which confirmed the need for companies to have this opportunity (0268). A couple of commenters expressed security concerns about the release of sensitive or confidential information to the public (0227, 0263).</w:t>
      </w:r>
    </w:p>
    <w:p w:rsidR="00A124D0" w:rsidRPr="00B064CA" w:rsidP="00A124D0" w14:paraId="3407D1F0" w14:textId="259B5A7E">
      <w:pPr>
        <w:ind w:left="720"/>
        <w:rPr>
          <w:rFonts w:ascii="Times New Roman" w:hAnsi="Times New Roman"/>
          <w:sz w:val="24"/>
        </w:rPr>
      </w:pPr>
      <w:r>
        <w:rPr>
          <w:rFonts w:ascii="Times New Roman" w:hAnsi="Times New Roman"/>
          <w:b/>
          <w:bCs/>
          <w:sz w:val="24"/>
        </w:rPr>
        <w:t xml:space="preserve">EPA Response: </w:t>
      </w:r>
      <w:r w:rsidRPr="00A124D0">
        <w:t xml:space="preserve"> </w:t>
      </w:r>
      <w:r w:rsidRPr="00B064CA" w:rsidR="002B58E6">
        <w:rPr>
          <w:rFonts w:ascii="Times New Roman" w:hAnsi="Times New Roman"/>
        </w:rPr>
        <w:t xml:space="preserve">While </w:t>
      </w:r>
      <w:r w:rsidRPr="00B064CA" w:rsidR="002B58E6">
        <w:rPr>
          <w:rFonts w:ascii="Times New Roman" w:hAnsi="Times New Roman"/>
          <w:sz w:val="24"/>
        </w:rPr>
        <w:t>owners or operators will be required to determine an appropriate response to each of the audit report findings, f</w:t>
      </w:r>
      <w:r w:rsidRPr="00B064CA">
        <w:rPr>
          <w:rFonts w:ascii="Times New Roman" w:hAnsi="Times New Roman"/>
          <w:sz w:val="24"/>
        </w:rPr>
        <w:t xml:space="preserve">acility owners or operators will not be required to accept all </w:t>
      </w:r>
      <w:r w:rsidRPr="00B064CA" w:rsidR="00A41429">
        <w:rPr>
          <w:rFonts w:ascii="Times New Roman" w:hAnsi="Times New Roman"/>
          <w:sz w:val="24"/>
        </w:rPr>
        <w:t>third-party</w:t>
      </w:r>
      <w:r w:rsidRPr="00B064CA">
        <w:rPr>
          <w:rFonts w:ascii="Times New Roman" w:hAnsi="Times New Roman"/>
          <w:sz w:val="24"/>
        </w:rPr>
        <w:t xml:space="preserve"> audit findings. This is similar to existing self-compliance audit requirements </w:t>
      </w:r>
      <w:r w:rsidRPr="00B064CA" w:rsidR="002B58E6">
        <w:rPr>
          <w:rFonts w:ascii="Times New Roman" w:hAnsi="Times New Roman"/>
          <w:sz w:val="24"/>
        </w:rPr>
        <w:t xml:space="preserve">where </w:t>
      </w:r>
      <w:r w:rsidRPr="00B064CA">
        <w:rPr>
          <w:rFonts w:ascii="Times New Roman" w:hAnsi="Times New Roman"/>
          <w:sz w:val="24"/>
        </w:rPr>
        <w:t xml:space="preserve">the owner or operator </w:t>
      </w:r>
      <w:r w:rsidRPr="00B064CA" w:rsidR="002B58E6">
        <w:rPr>
          <w:rFonts w:ascii="Times New Roman" w:hAnsi="Times New Roman"/>
          <w:sz w:val="24"/>
        </w:rPr>
        <w:t xml:space="preserve">is </w:t>
      </w:r>
      <w:r w:rsidRPr="00B064CA">
        <w:rPr>
          <w:rFonts w:ascii="Times New Roman" w:hAnsi="Times New Roman"/>
          <w:sz w:val="24"/>
        </w:rPr>
        <w:t xml:space="preserve">to promptly determine and document an appropriate response to each of the findings of the compliance audit. As such, there </w:t>
      </w:r>
      <w:r w:rsidRPr="00B064CA" w:rsidR="002B58E6">
        <w:rPr>
          <w:rFonts w:ascii="Times New Roman" w:hAnsi="Times New Roman"/>
          <w:sz w:val="24"/>
        </w:rPr>
        <w:t>is</w:t>
      </w:r>
      <w:r w:rsidRPr="00B064CA">
        <w:rPr>
          <w:rFonts w:ascii="Times New Roman" w:hAnsi="Times New Roman"/>
          <w:sz w:val="24"/>
        </w:rPr>
        <w:t xml:space="preserve"> no need for a process to dispute findings.</w:t>
      </w:r>
      <w:r w:rsidRPr="00B064CA" w:rsidR="00D04BB2">
        <w:rPr>
          <w:rFonts w:ascii="Times New Roman" w:hAnsi="Times New Roman"/>
          <w:sz w:val="24"/>
        </w:rPr>
        <w:t xml:space="preserve"> </w:t>
      </w:r>
    </w:p>
    <w:p w:rsidR="00681468" w:rsidP="00A124D0" w14:paraId="062FBA54" w14:textId="54836EE3">
      <w:pPr>
        <w:ind w:left="720"/>
        <w:rPr>
          <w:rFonts w:ascii="Times New Roman" w:hAnsi="Times New Roman"/>
          <w:sz w:val="24"/>
        </w:rPr>
      </w:pPr>
      <w:r w:rsidRPr="00B064CA">
        <w:rPr>
          <w:rFonts w:ascii="Times New Roman" w:hAnsi="Times New Roman"/>
          <w:sz w:val="24"/>
        </w:rPr>
        <w:t xml:space="preserve">Regarding the release of this information to the public, </w:t>
      </w:r>
      <w:r w:rsidRPr="00B064CA">
        <w:rPr>
          <w:rFonts w:ascii="Times New Roman" w:hAnsi="Times New Roman"/>
          <w:sz w:val="24"/>
        </w:rPr>
        <w:t xml:space="preserve">EPA is finalizing </w:t>
      </w:r>
      <w:r w:rsidRPr="00B064CA">
        <w:rPr>
          <w:rFonts w:ascii="Times New Roman" w:hAnsi="Times New Roman"/>
          <w:sz w:val="24"/>
        </w:rPr>
        <w:t xml:space="preserve">a </w:t>
      </w:r>
      <w:r w:rsidRPr="00B064CA">
        <w:rPr>
          <w:rFonts w:ascii="Times New Roman" w:hAnsi="Times New Roman"/>
          <w:sz w:val="24"/>
        </w:rPr>
        <w:t>requirement for facilities conducting third-party audits to list in section 7 (Program 3) and section 8 (Program 2) of their risk management plans, findings resulting from the audit that the owner or operator chooses to decline.</w:t>
      </w:r>
      <w:r w:rsidRPr="00B064CA" w:rsidR="006D138F">
        <w:rPr>
          <w:rFonts w:ascii="Times New Roman" w:hAnsi="Times New Roman"/>
          <w:sz w:val="24"/>
        </w:rPr>
        <w:t xml:space="preserve"> </w:t>
      </w:r>
      <w:r w:rsidRPr="00B064CA">
        <w:rPr>
          <w:rFonts w:ascii="Times New Roman" w:hAnsi="Times New Roman"/>
          <w:sz w:val="24"/>
        </w:rPr>
        <w:t>In doing so, t</w:t>
      </w:r>
      <w:r w:rsidRPr="00B064CA" w:rsidR="00486F1D">
        <w:rPr>
          <w:rFonts w:ascii="Times New Roman" w:hAnsi="Times New Roman"/>
          <w:sz w:val="24"/>
        </w:rPr>
        <w:t xml:space="preserve">he final rule will require </w:t>
      </w:r>
      <w:r w:rsidRPr="00B064CA" w:rsidR="006D138F">
        <w:rPr>
          <w:rFonts w:ascii="Times New Roman" w:hAnsi="Times New Roman"/>
          <w:sz w:val="24"/>
        </w:rPr>
        <w:t>facilities to choose from categories, similar to those in OSHA’s 199</w:t>
      </w:r>
      <w:r w:rsidRPr="00B064CA" w:rsidR="00347A24">
        <w:rPr>
          <w:rFonts w:ascii="Times New Roman" w:hAnsi="Times New Roman"/>
          <w:sz w:val="24"/>
        </w:rPr>
        <w:t>4</w:t>
      </w:r>
      <w:r w:rsidRPr="00B064CA" w:rsidR="006D138F">
        <w:rPr>
          <w:rFonts w:ascii="Times New Roman" w:hAnsi="Times New Roman"/>
          <w:sz w:val="24"/>
        </w:rPr>
        <w:t xml:space="preserve"> Compliance Directive</w:t>
      </w:r>
      <w:r w:rsidR="004F7B7E">
        <w:rPr>
          <w:rFonts w:ascii="Times New Roman" w:hAnsi="Times New Roman"/>
          <w:sz w:val="24"/>
        </w:rPr>
        <w:t>.</w:t>
      </w:r>
      <w:r>
        <w:rPr>
          <w:rStyle w:val="FootnoteReference"/>
          <w:rFonts w:ascii="Times New Roman" w:hAnsi="Times New Roman"/>
          <w:sz w:val="24"/>
        </w:rPr>
        <w:footnoteReference w:id="130"/>
      </w:r>
      <w:r w:rsidRPr="00B064CA" w:rsidR="001D3E0C">
        <w:rPr>
          <w:rFonts w:ascii="Times New Roman" w:hAnsi="Times New Roman"/>
          <w:sz w:val="24"/>
        </w:rPr>
        <w:t xml:space="preserve"> The </w:t>
      </w:r>
      <w:r w:rsidRPr="00B064CA" w:rsidR="00AD5CC6">
        <w:rPr>
          <w:rFonts w:ascii="Times New Roman" w:hAnsi="Times New Roman"/>
          <w:sz w:val="24"/>
        </w:rPr>
        <w:t>Agency believes the four pre-selected categories ensures a balanced approach to providing beneficial data to the public, allowing a straightforward method of reporting for facility owners/operators, as well as reducing</w:t>
      </w:r>
      <w:r w:rsidRPr="00AD5CC6" w:rsidR="00AD5CC6">
        <w:rPr>
          <w:rFonts w:ascii="Times New Roman" w:hAnsi="Times New Roman"/>
          <w:sz w:val="24"/>
        </w:rPr>
        <w:t xml:space="preserve"> security related concerns.</w:t>
      </w:r>
      <w:r w:rsidR="00656277">
        <w:rPr>
          <w:rFonts w:ascii="Times New Roman" w:hAnsi="Times New Roman"/>
          <w:sz w:val="24"/>
        </w:rPr>
        <w:t xml:space="preserve"> </w:t>
      </w:r>
      <w:r w:rsidRPr="006D138F" w:rsidR="00656277">
        <w:rPr>
          <w:rFonts w:ascii="Times New Roman" w:hAnsi="Times New Roman"/>
          <w:sz w:val="24"/>
        </w:rPr>
        <w:t>This format will also help EPA administer and track how facilities choose to comply with this provision.</w:t>
      </w:r>
    </w:p>
    <w:p w:rsidR="00F41FFB" w:rsidRPr="0018444A" w:rsidP="00F41FFB" w14:paraId="78D1F97C" w14:textId="77777777">
      <w:pPr>
        <w:rPr>
          <w:rFonts w:ascii="Times New Roman" w:hAnsi="Times New Roman"/>
          <w:i/>
          <w:iCs/>
          <w:sz w:val="24"/>
        </w:rPr>
      </w:pPr>
      <w:r w:rsidRPr="0018444A">
        <w:rPr>
          <w:rFonts w:ascii="Times New Roman" w:hAnsi="Times New Roman"/>
          <w:i/>
          <w:iCs/>
          <w:sz w:val="24"/>
        </w:rPr>
        <w:t xml:space="preserve">Burden of the proposed requirements </w:t>
      </w:r>
    </w:p>
    <w:p w:rsidR="00F41FFB" w:rsidP="00F41FFB" w14:paraId="2A5D0528" w14:textId="036CF823">
      <w:pPr>
        <w:rPr>
          <w:rFonts w:ascii="Times New Roman" w:hAnsi="Times New Roman"/>
          <w:sz w:val="24"/>
        </w:rPr>
      </w:pPr>
      <w:r w:rsidRPr="0018444A">
        <w:rPr>
          <w:rFonts w:ascii="Times New Roman" w:hAnsi="Times New Roman"/>
          <w:b/>
          <w:bCs/>
          <w:sz w:val="24"/>
        </w:rPr>
        <w:t>Comment</w:t>
      </w:r>
      <w:r>
        <w:rPr>
          <w:rFonts w:ascii="Times New Roman" w:hAnsi="Times New Roman"/>
          <w:b/>
          <w:bCs/>
          <w:sz w:val="24"/>
        </w:rPr>
        <w:t xml:space="preserve"> 8.1-1</w:t>
      </w:r>
      <w:r w:rsidR="00657BBE">
        <w:rPr>
          <w:rFonts w:ascii="Times New Roman" w:hAnsi="Times New Roman"/>
          <w:b/>
          <w:bCs/>
          <w:sz w:val="24"/>
        </w:rPr>
        <w:t>1</w:t>
      </w:r>
      <w:r w:rsidRPr="0018444A">
        <w:rPr>
          <w:rFonts w:ascii="Times New Roman" w:hAnsi="Times New Roman"/>
          <w:b/>
          <w:bCs/>
          <w:sz w:val="24"/>
        </w:rPr>
        <w:t>:</w:t>
      </w:r>
      <w:r>
        <w:rPr>
          <w:rFonts w:ascii="Times New Roman" w:hAnsi="Times New Roman"/>
          <w:sz w:val="24"/>
        </w:rPr>
        <w:t xml:space="preserve"> </w:t>
      </w:r>
      <w:r w:rsidRPr="4E55F610">
        <w:rPr>
          <w:rFonts w:ascii="Times New Roman" w:hAnsi="Times New Roman"/>
          <w:sz w:val="24"/>
        </w:rPr>
        <w:t xml:space="preserve">Numerous commenters argued that the third-party auditing requirements if passed, would be unnecessarily burdensome (0181, 0188, 0196, 0197, 0202, 0215, 0226, 0230, 0231, 0233, 0238, 0253, 0256, 0267, 0268, 0272, 0275). </w:t>
      </w:r>
      <w:r w:rsidR="00A25873">
        <w:rPr>
          <w:rFonts w:ascii="Times New Roman" w:hAnsi="Times New Roman"/>
          <w:sz w:val="24"/>
        </w:rPr>
        <w:t>Specifically, s</w:t>
      </w:r>
      <w:r w:rsidRPr="4E55F610">
        <w:rPr>
          <w:rFonts w:ascii="Times New Roman" w:hAnsi="Times New Roman"/>
          <w:sz w:val="24"/>
        </w:rPr>
        <w:t xml:space="preserve">everal commenters argued that requiring third-party auditors could be potentially costly for facilities and disadvantage small businesses (0180, 0196, 0217, 0226, 0231, 0234, 0238, 0263, 0267, 0458). One commenter argued that third-party audits would require a reallocation of resources at facilities that are already implementing effective RMP programs and would therefore be counterproductive (0233). </w:t>
      </w:r>
    </w:p>
    <w:p w:rsidR="00F41FFB" w:rsidP="00F41FFB" w14:paraId="4D9B93CA" w14:textId="7003D74D">
      <w:pPr>
        <w:rPr>
          <w:rFonts w:ascii="Times New Roman" w:hAnsi="Times New Roman"/>
          <w:sz w:val="24"/>
        </w:rPr>
      </w:pPr>
      <w:r w:rsidRPr="006F68E9">
        <w:rPr>
          <w:rFonts w:ascii="Times New Roman" w:hAnsi="Times New Roman"/>
          <w:sz w:val="24"/>
        </w:rPr>
        <w:t xml:space="preserve">Another commenter expressed concerns with the costs that facilities will incur by having to hire third-party auditors and recommended that EPA initiate these audits since they already have the authority to do so (0205). </w:t>
      </w:r>
    </w:p>
    <w:p w:rsidR="00F41FFB" w:rsidRPr="006F68E9" w:rsidP="00F41FFB" w14:paraId="6481986D" w14:textId="65EC91F5">
      <w:pPr>
        <w:rPr>
          <w:rFonts w:ascii="Times New Roman" w:hAnsi="Times New Roman"/>
          <w:sz w:val="24"/>
        </w:rPr>
      </w:pPr>
      <w:r w:rsidRPr="6D3F9CC5">
        <w:rPr>
          <w:rFonts w:ascii="Times New Roman" w:hAnsi="Times New Roman"/>
          <w:sz w:val="24"/>
        </w:rPr>
        <w:t>A commenter noted that accidental releases already trigger incident investigations, including the proposed root cause analysis</w:t>
      </w:r>
      <w:r w:rsidRPr="5B07537B">
        <w:rPr>
          <w:rFonts w:ascii="Times New Roman" w:hAnsi="Times New Roman"/>
          <w:sz w:val="24"/>
        </w:rPr>
        <w:t>;</w:t>
      </w:r>
      <w:r w:rsidRPr="6D3F9CC5">
        <w:rPr>
          <w:rFonts w:ascii="Times New Roman" w:hAnsi="Times New Roman"/>
          <w:sz w:val="24"/>
        </w:rPr>
        <w:t xml:space="preserve"> therefore</w:t>
      </w:r>
      <w:r w:rsidR="00907721">
        <w:rPr>
          <w:rFonts w:ascii="Times New Roman" w:hAnsi="Times New Roman"/>
          <w:sz w:val="24"/>
        </w:rPr>
        <w:t>,</w:t>
      </w:r>
      <w:r w:rsidRPr="6D3F9CC5">
        <w:rPr>
          <w:rFonts w:ascii="Times New Roman" w:hAnsi="Times New Roman"/>
          <w:sz w:val="24"/>
        </w:rPr>
        <w:t xml:space="preserve"> an additional third-party audit will unnecessarily dilute the investigation effort and will be overly burdensome to facilities (0233).</w:t>
      </w:r>
    </w:p>
    <w:p w:rsidR="00A25873" w:rsidP="00F41FFB" w14:paraId="155E39FF" w14:textId="448F6A60">
      <w:pPr>
        <w:ind w:left="720"/>
        <w:rPr>
          <w:rFonts w:ascii="Times New Roman" w:eastAsia="Times New Roman" w:hAnsi="Times New Roman"/>
          <w:sz w:val="24"/>
        </w:rPr>
      </w:pPr>
      <w:r w:rsidRPr="3884178B">
        <w:rPr>
          <w:rFonts w:ascii="Times New Roman" w:hAnsi="Times New Roman"/>
          <w:b/>
          <w:bCs/>
          <w:sz w:val="24"/>
        </w:rPr>
        <w:t>EPA Response</w:t>
      </w:r>
      <w:r>
        <w:rPr>
          <w:rFonts w:ascii="Times New Roman" w:hAnsi="Times New Roman"/>
          <w:b/>
          <w:bCs/>
          <w:sz w:val="24"/>
        </w:rPr>
        <w:t xml:space="preserve">: </w:t>
      </w:r>
      <w:r w:rsidRPr="00FA5393">
        <w:rPr>
          <w:rFonts w:ascii="Times New Roman" w:eastAsia="Times New Roman" w:hAnsi="Times New Roman"/>
          <w:sz w:val="24"/>
        </w:rPr>
        <w:t>EPA acknowledges the costs associated with third-party audit requirements</w:t>
      </w:r>
      <w:r w:rsidRPr="1E799036" w:rsidR="3D5C17D2">
        <w:rPr>
          <w:rFonts w:ascii="Times New Roman" w:eastAsia="Times New Roman" w:hAnsi="Times New Roman"/>
          <w:sz w:val="24"/>
        </w:rPr>
        <w:t xml:space="preserve"> </w:t>
      </w:r>
      <w:r w:rsidRPr="541A306B" w:rsidR="3D5C17D2">
        <w:rPr>
          <w:rFonts w:ascii="Times New Roman" w:eastAsia="Times New Roman" w:hAnsi="Times New Roman"/>
          <w:sz w:val="24"/>
        </w:rPr>
        <w:t xml:space="preserve">and </w:t>
      </w:r>
      <w:r w:rsidRPr="541A306B" w:rsidR="39DF8021">
        <w:rPr>
          <w:rFonts w:ascii="Times New Roman" w:eastAsia="Times New Roman" w:hAnsi="Times New Roman"/>
          <w:sz w:val="24"/>
        </w:rPr>
        <w:t xml:space="preserve">expects </w:t>
      </w:r>
      <w:r w:rsidRPr="541A306B" w:rsidR="3D5C17D2">
        <w:rPr>
          <w:rFonts w:ascii="Times New Roman" w:eastAsia="Times New Roman" w:hAnsi="Times New Roman"/>
          <w:sz w:val="24"/>
        </w:rPr>
        <w:t>that the</w:t>
      </w:r>
      <w:r w:rsidRPr="541A306B" w:rsidR="0538337A">
        <w:rPr>
          <w:rFonts w:ascii="Times New Roman" w:eastAsia="Times New Roman" w:hAnsi="Times New Roman"/>
          <w:sz w:val="24"/>
        </w:rPr>
        <w:t>se costs</w:t>
      </w:r>
      <w:r w:rsidRPr="541A306B" w:rsidR="3D5C17D2">
        <w:rPr>
          <w:rFonts w:ascii="Times New Roman" w:eastAsia="Times New Roman" w:hAnsi="Times New Roman"/>
          <w:sz w:val="24"/>
        </w:rPr>
        <w:t xml:space="preserve"> will</w:t>
      </w:r>
      <w:r w:rsidRPr="541A306B" w:rsidR="0243906E">
        <w:rPr>
          <w:rFonts w:ascii="Times New Roman" w:eastAsia="Times New Roman" w:hAnsi="Times New Roman"/>
          <w:sz w:val="24"/>
        </w:rPr>
        <w:t xml:space="preserve"> be higher for larger firms and governments (see Exh</w:t>
      </w:r>
      <w:r w:rsidRPr="541A306B" w:rsidR="3D5C17D2">
        <w:rPr>
          <w:rFonts w:ascii="Times New Roman" w:eastAsia="Times New Roman" w:hAnsi="Times New Roman"/>
          <w:sz w:val="24"/>
        </w:rPr>
        <w:t>ibit 4-8 of the RIA)</w:t>
      </w:r>
      <w:r w:rsidRPr="541A306B">
        <w:rPr>
          <w:rFonts w:ascii="Times New Roman" w:eastAsia="Times New Roman" w:hAnsi="Times New Roman"/>
          <w:sz w:val="24"/>
        </w:rPr>
        <w:t>.</w:t>
      </w:r>
      <w:r w:rsidRPr="00FA5393">
        <w:rPr>
          <w:rFonts w:ascii="Times New Roman" w:eastAsia="Times New Roman" w:hAnsi="Times New Roman"/>
          <w:sz w:val="24"/>
        </w:rPr>
        <w:t xml:space="preserve"> </w:t>
      </w:r>
      <w:r>
        <w:rPr>
          <w:rFonts w:ascii="Times New Roman" w:eastAsia="Times New Roman" w:hAnsi="Times New Roman"/>
          <w:sz w:val="24"/>
        </w:rPr>
        <w:t>However, despite</w:t>
      </w:r>
      <w:r w:rsidRPr="00FA5393">
        <w:rPr>
          <w:rFonts w:ascii="Times New Roman" w:eastAsia="Times New Roman" w:hAnsi="Times New Roman"/>
          <w:sz w:val="24"/>
        </w:rPr>
        <w:t xml:space="preserve"> </w:t>
      </w:r>
      <w:r w:rsidRPr="00FA5393">
        <w:rPr>
          <w:rFonts w:ascii="Times New Roman" w:eastAsia="Times New Roman" w:hAnsi="Times New Roman"/>
          <w:sz w:val="24"/>
        </w:rPr>
        <w:t xml:space="preserve">this final rule </w:t>
      </w:r>
      <w:r w:rsidRPr="00FA5393">
        <w:rPr>
          <w:rFonts w:ascii="Times New Roman" w:eastAsia="Times New Roman" w:hAnsi="Times New Roman"/>
          <w:sz w:val="24"/>
        </w:rPr>
        <w:t>requir</w:t>
      </w:r>
      <w:r>
        <w:rPr>
          <w:rFonts w:ascii="Times New Roman" w:eastAsia="Times New Roman" w:hAnsi="Times New Roman"/>
          <w:sz w:val="24"/>
        </w:rPr>
        <w:t>ing</w:t>
      </w:r>
      <w:r w:rsidRPr="00FA5393">
        <w:rPr>
          <w:rFonts w:ascii="Times New Roman" w:eastAsia="Times New Roman" w:hAnsi="Times New Roman"/>
          <w:sz w:val="24"/>
        </w:rPr>
        <w:t xml:space="preserve"> </w:t>
      </w:r>
      <w:r w:rsidRPr="00FA5393">
        <w:rPr>
          <w:rFonts w:ascii="Times New Roman" w:eastAsia="Times New Roman" w:hAnsi="Times New Roman"/>
          <w:sz w:val="24"/>
        </w:rPr>
        <w:t xml:space="preserve">a larger group of stationary sources to conduct third-party audits than the proposal, </w:t>
      </w:r>
      <w:r>
        <w:rPr>
          <w:rFonts w:ascii="Times New Roman" w:eastAsia="Times New Roman" w:hAnsi="Times New Roman"/>
          <w:sz w:val="24"/>
        </w:rPr>
        <w:t xml:space="preserve">EPA finds </w:t>
      </w:r>
      <w:r w:rsidRPr="00FA5393">
        <w:rPr>
          <w:rFonts w:ascii="Times New Roman" w:eastAsia="Times New Roman" w:hAnsi="Times New Roman"/>
          <w:sz w:val="24"/>
        </w:rPr>
        <w:t>the</w:t>
      </w:r>
      <w:r>
        <w:rPr>
          <w:rFonts w:ascii="Times New Roman" w:eastAsia="Times New Roman" w:hAnsi="Times New Roman"/>
          <w:sz w:val="24"/>
        </w:rPr>
        <w:t>se</w:t>
      </w:r>
      <w:r w:rsidRPr="00FA5393">
        <w:rPr>
          <w:rFonts w:ascii="Times New Roman" w:eastAsia="Times New Roman" w:hAnsi="Times New Roman"/>
          <w:sz w:val="24"/>
        </w:rPr>
        <w:t xml:space="preserve"> costs </w:t>
      </w:r>
      <w:r>
        <w:rPr>
          <w:rFonts w:ascii="Times New Roman" w:eastAsia="Times New Roman" w:hAnsi="Times New Roman"/>
          <w:sz w:val="24"/>
        </w:rPr>
        <w:t>to be</w:t>
      </w:r>
      <w:r w:rsidRPr="00FA5393">
        <w:rPr>
          <w:rFonts w:ascii="Times New Roman" w:eastAsia="Times New Roman" w:hAnsi="Times New Roman"/>
          <w:sz w:val="24"/>
        </w:rPr>
        <w:t xml:space="preserve"> </w:t>
      </w:r>
      <w:r w:rsidRPr="00FA5393">
        <w:rPr>
          <w:rFonts w:ascii="Times New Roman" w:eastAsia="Times New Roman" w:hAnsi="Times New Roman"/>
          <w:sz w:val="24"/>
        </w:rPr>
        <w:t xml:space="preserve">justified. The Agency believes the group of stationary sources </w:t>
      </w:r>
      <w:r w:rsidR="00670B97">
        <w:rPr>
          <w:rFonts w:ascii="Times New Roman" w:eastAsia="Times New Roman" w:hAnsi="Times New Roman"/>
          <w:sz w:val="24"/>
        </w:rPr>
        <w:t>affected</w:t>
      </w:r>
      <w:r>
        <w:rPr>
          <w:rFonts w:ascii="Times New Roman" w:eastAsia="Times New Roman" w:hAnsi="Times New Roman"/>
          <w:sz w:val="24"/>
        </w:rPr>
        <w:t xml:space="preserve"> by the finalized third-party audit requirements </w:t>
      </w:r>
      <w:r w:rsidRPr="00FA5393">
        <w:rPr>
          <w:rFonts w:ascii="Times New Roman" w:eastAsia="Times New Roman" w:hAnsi="Times New Roman"/>
          <w:sz w:val="24"/>
        </w:rPr>
        <w:t>will benefit from</w:t>
      </w:r>
      <w:r w:rsidR="00D12BF4">
        <w:rPr>
          <w:rFonts w:ascii="Times New Roman" w:eastAsia="Times New Roman" w:hAnsi="Times New Roman"/>
          <w:sz w:val="24"/>
        </w:rPr>
        <w:t xml:space="preserve"> themselv</w:t>
      </w:r>
      <w:r w:rsidR="00E0229C">
        <w:rPr>
          <w:rFonts w:ascii="Times New Roman" w:eastAsia="Times New Roman" w:hAnsi="Times New Roman"/>
          <w:sz w:val="24"/>
        </w:rPr>
        <w:t>es</w:t>
      </w:r>
      <w:r w:rsidR="00982792">
        <w:rPr>
          <w:rFonts w:ascii="Times New Roman" w:eastAsia="Times New Roman" w:hAnsi="Times New Roman"/>
          <w:sz w:val="24"/>
        </w:rPr>
        <w:t xml:space="preserve"> initiating</w:t>
      </w:r>
      <w:r w:rsidR="00E0229C">
        <w:rPr>
          <w:rFonts w:ascii="Times New Roman" w:eastAsia="Times New Roman" w:hAnsi="Times New Roman"/>
          <w:sz w:val="24"/>
        </w:rPr>
        <w:t xml:space="preserve"> </w:t>
      </w:r>
      <w:r w:rsidRPr="00FA5393">
        <w:rPr>
          <w:rFonts w:ascii="Times New Roman" w:eastAsia="Times New Roman" w:hAnsi="Times New Roman"/>
          <w:sz w:val="24"/>
        </w:rPr>
        <w:t xml:space="preserve">an independent objective audit of their compliance with prevention program requirements, as they have had </w:t>
      </w:r>
      <w:r w:rsidRPr="08E78A29" w:rsidR="50DB9F3D">
        <w:rPr>
          <w:rFonts w:ascii="Times New Roman" w:eastAsia="Times New Roman" w:hAnsi="Times New Roman"/>
          <w:sz w:val="24"/>
        </w:rPr>
        <w:t>an</w:t>
      </w:r>
      <w:r w:rsidRPr="00FA5393">
        <w:rPr>
          <w:rFonts w:ascii="Times New Roman" w:eastAsia="Times New Roman" w:hAnsi="Times New Roman"/>
          <w:sz w:val="24"/>
        </w:rPr>
        <w:t xml:space="preserve"> RMP-reportable accidental release</w:t>
      </w:r>
      <w:r w:rsidRPr="08E78A29" w:rsidR="38AC2314">
        <w:rPr>
          <w:rFonts w:ascii="Times New Roman" w:eastAsia="Times New Roman" w:hAnsi="Times New Roman"/>
          <w:sz w:val="24"/>
        </w:rPr>
        <w:t xml:space="preserve"> </w:t>
      </w:r>
      <w:r w:rsidRPr="00494B69" w:rsidR="00670B97">
        <w:rPr>
          <w:rFonts w:ascii="Times New Roman" w:eastAsia="Times New Roman" w:hAnsi="Times New Roman"/>
          <w:i/>
          <w:iCs/>
          <w:sz w:val="24"/>
        </w:rPr>
        <w:t>after</w:t>
      </w:r>
      <w:r w:rsidRPr="00494B69" w:rsidR="38AC2314">
        <w:rPr>
          <w:rFonts w:ascii="Times New Roman" w:eastAsia="Times New Roman" w:hAnsi="Times New Roman"/>
          <w:i/>
          <w:sz w:val="24"/>
        </w:rPr>
        <w:t xml:space="preserve"> </w:t>
      </w:r>
      <w:r w:rsidRPr="08E78A29" w:rsidR="38AC2314">
        <w:rPr>
          <w:rFonts w:ascii="Times New Roman" w:eastAsia="Times New Roman" w:hAnsi="Times New Roman"/>
          <w:sz w:val="24"/>
        </w:rPr>
        <w:t xml:space="preserve">their most recent </w:t>
      </w:r>
      <w:r w:rsidRPr="4916B337" w:rsidR="38AC2314">
        <w:rPr>
          <w:rFonts w:ascii="Times New Roman" w:eastAsia="Times New Roman" w:hAnsi="Times New Roman"/>
          <w:sz w:val="24"/>
        </w:rPr>
        <w:t>compliance</w:t>
      </w:r>
      <w:r w:rsidRPr="08E78A29" w:rsidR="38AC2314">
        <w:rPr>
          <w:rFonts w:ascii="Times New Roman" w:eastAsia="Times New Roman" w:hAnsi="Times New Roman"/>
          <w:sz w:val="24"/>
        </w:rPr>
        <w:t xml:space="preserve"> audit</w:t>
      </w:r>
      <w:r w:rsidRPr="08E78A29">
        <w:rPr>
          <w:rFonts w:ascii="Times New Roman" w:eastAsia="Times New Roman" w:hAnsi="Times New Roman"/>
          <w:sz w:val="24"/>
        </w:rPr>
        <w:t>.</w:t>
      </w:r>
      <w:r w:rsidRPr="00FA5393">
        <w:rPr>
          <w:rFonts w:ascii="Times New Roman" w:eastAsia="Times New Roman" w:hAnsi="Times New Roman"/>
          <w:sz w:val="24"/>
        </w:rPr>
        <w:t xml:space="preserve"> As described in the proposed rule</w:t>
      </w:r>
      <w:r>
        <w:rPr>
          <w:rFonts w:ascii="Times New Roman" w:eastAsia="Times New Roman" w:hAnsi="Times New Roman"/>
          <w:sz w:val="24"/>
        </w:rPr>
        <w:t xml:space="preserve"> and throughout this document</w:t>
      </w:r>
      <w:r w:rsidRPr="00FA5393">
        <w:rPr>
          <w:rFonts w:ascii="Times New Roman" w:eastAsia="Times New Roman" w:hAnsi="Times New Roman"/>
          <w:sz w:val="24"/>
        </w:rPr>
        <w:t xml:space="preserve">, EPA recognizes that a relatively small number of RMP-regulated facilities have had RMP-reportable accidents. </w:t>
      </w:r>
    </w:p>
    <w:p w:rsidR="00A25873" w:rsidP="00F41FFB" w14:paraId="0816F74C" w14:textId="70A8272E">
      <w:pPr>
        <w:ind w:left="720"/>
        <w:rPr>
          <w:rFonts w:ascii="Times New Roman" w:eastAsia="Times New Roman" w:hAnsi="Times New Roman"/>
          <w:sz w:val="24"/>
        </w:rPr>
      </w:pPr>
      <w:r>
        <w:rPr>
          <w:rFonts w:ascii="Times New Roman" w:eastAsia="Times New Roman" w:hAnsi="Times New Roman"/>
          <w:sz w:val="24"/>
        </w:rPr>
        <w:t xml:space="preserve">EPA disagrees that the costs implicated by the finalized third-party audit requirements will </w:t>
      </w:r>
      <w:r w:rsidRPr="002B505F" w:rsidR="002B505F">
        <w:rPr>
          <w:rFonts w:ascii="Times New Roman" w:eastAsia="Times New Roman" w:hAnsi="Times New Roman"/>
          <w:sz w:val="24"/>
        </w:rPr>
        <w:t>impose a significant economic burden to a substantial number of small entities</w:t>
      </w:r>
      <w:r w:rsidR="00C833C3">
        <w:rPr>
          <w:rFonts w:ascii="Times New Roman" w:eastAsia="Times New Roman" w:hAnsi="Times New Roman"/>
          <w:sz w:val="24"/>
        </w:rPr>
        <w:t>.</w:t>
      </w:r>
      <w:r>
        <w:rPr>
          <w:rStyle w:val="FootnoteReference"/>
          <w:rFonts w:ascii="Times New Roman" w:eastAsia="Times New Roman" w:hAnsi="Times New Roman"/>
          <w:sz w:val="24"/>
        </w:rPr>
        <w:footnoteReference w:id="131"/>
      </w:r>
      <w:r w:rsidR="008A1034">
        <w:rPr>
          <w:rFonts w:ascii="Times New Roman" w:eastAsia="Times New Roman" w:hAnsi="Times New Roman"/>
          <w:sz w:val="24"/>
        </w:rPr>
        <w:t xml:space="preserve"> </w:t>
      </w:r>
      <w:r w:rsidR="0035418E">
        <w:rPr>
          <w:rFonts w:ascii="Times New Roman" w:eastAsia="Times New Roman" w:hAnsi="Times New Roman"/>
          <w:sz w:val="24"/>
        </w:rPr>
        <w:t>T</w:t>
      </w:r>
      <w:r w:rsidR="009E1577">
        <w:rPr>
          <w:rFonts w:ascii="Times New Roman" w:eastAsia="Times New Roman" w:hAnsi="Times New Roman"/>
          <w:sz w:val="24"/>
        </w:rPr>
        <w:t>o better understand the distribution of impacts on small entities</w:t>
      </w:r>
      <w:r w:rsidRPr="5C1D55C5" w:rsidR="07E1C2EB">
        <w:rPr>
          <w:rFonts w:ascii="Times New Roman" w:eastAsia="Times New Roman" w:hAnsi="Times New Roman"/>
          <w:sz w:val="24"/>
        </w:rPr>
        <w:t xml:space="preserve">, EPA conducted an analysis of small entity impacts. </w:t>
      </w:r>
      <w:r w:rsidR="008A1034">
        <w:rPr>
          <w:rFonts w:ascii="Times New Roman" w:eastAsia="Times New Roman" w:hAnsi="Times New Roman"/>
          <w:sz w:val="24"/>
        </w:rPr>
        <w:t xml:space="preserve">Exhibit </w:t>
      </w:r>
      <w:r w:rsidR="007318FD">
        <w:rPr>
          <w:rFonts w:ascii="Times New Roman" w:eastAsia="Times New Roman" w:hAnsi="Times New Roman"/>
          <w:sz w:val="24"/>
        </w:rPr>
        <w:t xml:space="preserve">8-6 of the RIA </w:t>
      </w:r>
      <w:r w:rsidRPr="5C1D55C5" w:rsidR="33BB3692">
        <w:rPr>
          <w:rFonts w:ascii="Times New Roman" w:eastAsia="Times New Roman" w:hAnsi="Times New Roman"/>
          <w:sz w:val="24"/>
        </w:rPr>
        <w:t>displays</w:t>
      </w:r>
      <w:r w:rsidR="007318FD">
        <w:rPr>
          <w:rFonts w:ascii="Times New Roman" w:eastAsia="Times New Roman" w:hAnsi="Times New Roman"/>
          <w:sz w:val="24"/>
        </w:rPr>
        <w:t xml:space="preserve"> </w:t>
      </w:r>
      <w:r w:rsidR="00D44187">
        <w:rPr>
          <w:rFonts w:ascii="Times New Roman" w:eastAsia="Times New Roman" w:hAnsi="Times New Roman"/>
          <w:sz w:val="24"/>
        </w:rPr>
        <w:t>the impact of the third-party audit provision (as well as other provisions)</w:t>
      </w:r>
      <w:r w:rsidR="000024F5">
        <w:rPr>
          <w:rFonts w:ascii="Times New Roman" w:eastAsia="Times New Roman" w:hAnsi="Times New Roman"/>
          <w:sz w:val="24"/>
        </w:rPr>
        <w:t xml:space="preserve"> by sector</w:t>
      </w:r>
      <w:r w:rsidR="00A64F62">
        <w:rPr>
          <w:rFonts w:ascii="Times New Roman" w:eastAsia="Times New Roman" w:hAnsi="Times New Roman"/>
          <w:sz w:val="24"/>
        </w:rPr>
        <w:t xml:space="preserve">, </w:t>
      </w:r>
      <w:r w:rsidR="002A2616">
        <w:rPr>
          <w:rFonts w:ascii="Times New Roman" w:eastAsia="Times New Roman" w:hAnsi="Times New Roman"/>
          <w:sz w:val="24"/>
        </w:rPr>
        <w:t>number</w:t>
      </w:r>
      <w:r w:rsidR="00670B97">
        <w:rPr>
          <w:rFonts w:ascii="Times New Roman" w:eastAsia="Times New Roman" w:hAnsi="Times New Roman"/>
          <w:sz w:val="24"/>
        </w:rPr>
        <w:t>,</w:t>
      </w:r>
      <w:r w:rsidRPr="2606074F" w:rsidR="002A2616">
        <w:rPr>
          <w:rFonts w:ascii="Times New Roman" w:eastAsia="Times New Roman" w:hAnsi="Times New Roman"/>
          <w:sz w:val="24"/>
        </w:rPr>
        <w:t xml:space="preserve"> </w:t>
      </w:r>
      <w:r w:rsidR="002A2616">
        <w:rPr>
          <w:rFonts w:ascii="Times New Roman" w:eastAsia="Times New Roman" w:hAnsi="Times New Roman"/>
          <w:sz w:val="24"/>
        </w:rPr>
        <w:t>and average cost of impacted entities.</w:t>
      </w:r>
      <w:r w:rsidR="00187115">
        <w:rPr>
          <w:rFonts w:ascii="Times New Roman" w:eastAsia="Times New Roman" w:hAnsi="Times New Roman"/>
          <w:sz w:val="24"/>
        </w:rPr>
        <w:t xml:space="preserve"> </w:t>
      </w:r>
      <w:r w:rsidR="001F2156">
        <w:rPr>
          <w:rFonts w:ascii="Times New Roman" w:eastAsia="Times New Roman" w:hAnsi="Times New Roman"/>
          <w:sz w:val="24"/>
        </w:rPr>
        <w:t>As that exhibit shows, EPA e</w:t>
      </w:r>
      <w:r w:rsidR="0025275A">
        <w:rPr>
          <w:rFonts w:ascii="Times New Roman" w:eastAsia="Times New Roman" w:hAnsi="Times New Roman"/>
          <w:sz w:val="24"/>
        </w:rPr>
        <w:t>stimates</w:t>
      </w:r>
      <w:r w:rsidR="001F2156">
        <w:rPr>
          <w:rFonts w:ascii="Times New Roman" w:eastAsia="Times New Roman" w:hAnsi="Times New Roman"/>
          <w:sz w:val="24"/>
        </w:rPr>
        <w:t xml:space="preserve"> that the number of small businesses experiencing an accident </w:t>
      </w:r>
      <w:r w:rsidR="0025275A">
        <w:rPr>
          <w:rFonts w:ascii="Times New Roman" w:eastAsia="Times New Roman" w:hAnsi="Times New Roman"/>
          <w:sz w:val="24"/>
        </w:rPr>
        <w:t xml:space="preserve">and thus </w:t>
      </w:r>
      <w:r w:rsidR="001F2156">
        <w:rPr>
          <w:rFonts w:ascii="Times New Roman" w:eastAsia="Times New Roman" w:hAnsi="Times New Roman"/>
          <w:sz w:val="24"/>
        </w:rPr>
        <w:t xml:space="preserve">subject to the </w:t>
      </w:r>
      <w:r w:rsidR="0025275A">
        <w:rPr>
          <w:rFonts w:ascii="Times New Roman" w:eastAsia="Times New Roman" w:hAnsi="Times New Roman"/>
          <w:sz w:val="24"/>
        </w:rPr>
        <w:t>third-party</w:t>
      </w:r>
      <w:r w:rsidR="001F2156">
        <w:rPr>
          <w:rFonts w:ascii="Times New Roman" w:eastAsia="Times New Roman" w:hAnsi="Times New Roman"/>
          <w:sz w:val="24"/>
        </w:rPr>
        <w:t xml:space="preserve"> audit requirement is</w:t>
      </w:r>
      <w:r w:rsidR="0025275A">
        <w:rPr>
          <w:rFonts w:ascii="Times New Roman" w:eastAsia="Times New Roman" w:hAnsi="Times New Roman"/>
          <w:sz w:val="24"/>
        </w:rPr>
        <w:t xml:space="preserve"> less than 25.</w:t>
      </w:r>
      <w:r w:rsidRPr="2606074F" w:rsidR="002A2616">
        <w:rPr>
          <w:rFonts w:ascii="Times New Roman" w:eastAsia="Times New Roman" w:hAnsi="Times New Roman"/>
          <w:sz w:val="24"/>
        </w:rPr>
        <w:t xml:space="preserve"> </w:t>
      </w:r>
      <w:r w:rsidRPr="2606074F" w:rsidR="00670B97">
        <w:rPr>
          <w:rFonts w:ascii="Times New Roman" w:eastAsia="Times New Roman" w:hAnsi="Times New Roman"/>
          <w:sz w:val="24"/>
        </w:rPr>
        <w:t xml:space="preserve">Even considering the combined costs of all the final rule provisions, over 90 percent of small entities are expected to experience costs less than 1 percent of their revenues while 2.8 percent are estimated to experience costs greater than 3 percent of revenues (see Exhibit 8-7 of the RIA). </w:t>
      </w:r>
      <w:r w:rsidRPr="2606074F" w:rsidR="00427D90">
        <w:rPr>
          <w:rFonts w:ascii="Times New Roman" w:eastAsia="Times New Roman" w:hAnsi="Times New Roman"/>
          <w:sz w:val="24"/>
        </w:rPr>
        <w:t>Further details on this analysis and conclusion can be found in Chapter 8 of the RIA.</w:t>
      </w:r>
      <w:r>
        <w:rPr>
          <w:rFonts w:ascii="Times New Roman" w:eastAsia="Times New Roman" w:hAnsi="Times New Roman"/>
          <w:sz w:val="24"/>
        </w:rPr>
        <w:t xml:space="preserve"> </w:t>
      </w:r>
    </w:p>
    <w:p w:rsidR="00A25873" w:rsidRPr="004821EF" w:rsidP="00F41FFB" w14:paraId="7E9955FC" w14:textId="024581F8">
      <w:pPr>
        <w:ind w:left="720"/>
        <w:rPr>
          <w:rFonts w:ascii="Times New Roman" w:eastAsia="Times New Roman" w:hAnsi="Times New Roman"/>
          <w:sz w:val="24"/>
        </w:rPr>
      </w:pPr>
      <w:r w:rsidRPr="00FA5393">
        <w:rPr>
          <w:rFonts w:ascii="Times New Roman" w:eastAsia="Times New Roman" w:hAnsi="Times New Roman"/>
          <w:sz w:val="24"/>
        </w:rPr>
        <w:t>EPA continues to be concerned with RMP facilities that—despite current RMP regulations, enforcement, and lessons learned from previous accidents—continue to have accidents and, in some cases, multiple accidents, thereby continuing to put nearby communities at risk. Sources that have had one accident are substantially more likely to have another accident than the general population of RMP-regulated sources. EPA is concerned that those facilities may not have been able to identify measures on their own (through incident investigations, hazard evaluations, and compliance self-audits) to properly evaluate and apply appropriate prevention program measures to stop accident releases from occurring. Considering the goal of the RMP regulations is to prevent accidental releases, EPA believes that the increased cost of third-party compliance audits at such facilities is therefore justified</w:t>
      </w:r>
      <w:r>
        <w:rPr>
          <w:rFonts w:ascii="Times New Roman" w:eastAsia="Times New Roman" w:hAnsi="Times New Roman"/>
          <w:sz w:val="24"/>
        </w:rPr>
        <w:t>.</w:t>
      </w:r>
    </w:p>
    <w:p w:rsidR="00F41FFB" w:rsidP="00F41FFB" w14:paraId="4DFC880F" w14:textId="57BCD59B">
      <w:pPr>
        <w:rPr>
          <w:rFonts w:ascii="Times New Roman" w:hAnsi="Times New Roman"/>
          <w:b/>
          <w:bCs/>
          <w:sz w:val="24"/>
        </w:rPr>
      </w:pPr>
      <w:r>
        <w:rPr>
          <w:rFonts w:ascii="Times New Roman" w:hAnsi="Times New Roman"/>
          <w:b/>
          <w:bCs/>
          <w:sz w:val="24"/>
        </w:rPr>
        <w:t>Comment 8.1-1</w:t>
      </w:r>
      <w:r w:rsidR="00657BBE">
        <w:rPr>
          <w:rFonts w:ascii="Times New Roman" w:hAnsi="Times New Roman"/>
          <w:b/>
          <w:bCs/>
          <w:sz w:val="24"/>
        </w:rPr>
        <w:t>2</w:t>
      </w:r>
      <w:r>
        <w:rPr>
          <w:rFonts w:ascii="Times New Roman" w:hAnsi="Times New Roman"/>
          <w:b/>
          <w:bCs/>
          <w:sz w:val="24"/>
        </w:rPr>
        <w:t xml:space="preserve">: </w:t>
      </w:r>
      <w:r w:rsidRPr="004729E9">
        <w:rPr>
          <w:rFonts w:ascii="Times New Roman" w:hAnsi="Times New Roman"/>
          <w:sz w:val="24"/>
        </w:rPr>
        <w:t>Many commenters expressed concerns about the availability of third-party auditors and burdens associated with finding qualified auditors.</w:t>
      </w:r>
      <w:r>
        <w:rPr>
          <w:rFonts w:ascii="Times New Roman" w:hAnsi="Times New Roman"/>
          <w:b/>
          <w:bCs/>
          <w:sz w:val="24"/>
        </w:rPr>
        <w:t xml:space="preserve"> </w:t>
      </w:r>
    </w:p>
    <w:p w:rsidR="00F41FFB" w:rsidP="00F41FFB" w14:paraId="6BFC83FC" w14:textId="77777777">
      <w:pPr>
        <w:rPr>
          <w:rFonts w:ascii="Times New Roman" w:hAnsi="Times New Roman"/>
          <w:b/>
          <w:bCs/>
          <w:sz w:val="24"/>
        </w:rPr>
      </w:pPr>
      <w:r w:rsidRPr="006F68E9">
        <w:rPr>
          <w:rFonts w:ascii="Times New Roman" w:hAnsi="Times New Roman"/>
          <w:sz w:val="24"/>
        </w:rPr>
        <w:t xml:space="preserve">One commenter </w:t>
      </w:r>
      <w:r>
        <w:rPr>
          <w:rFonts w:ascii="Times New Roman" w:hAnsi="Times New Roman"/>
          <w:sz w:val="24"/>
        </w:rPr>
        <w:t xml:space="preserve">stated </w:t>
      </w:r>
      <w:r w:rsidRPr="006F68E9">
        <w:rPr>
          <w:rFonts w:ascii="Times New Roman" w:hAnsi="Times New Roman"/>
          <w:sz w:val="24"/>
        </w:rPr>
        <w:t>that third-party audit quality will suffer due to a decrease in the auditor talent pool, an increase in demand, and a net decrease in the total time dedicated to each audit (0233).</w:t>
      </w:r>
      <w:r>
        <w:rPr>
          <w:rFonts w:ascii="Times New Roman" w:hAnsi="Times New Roman"/>
          <w:sz w:val="24"/>
        </w:rPr>
        <w:t xml:space="preserve"> </w:t>
      </w:r>
      <w:r w:rsidRPr="006F68E9">
        <w:rPr>
          <w:rFonts w:ascii="Times New Roman" w:hAnsi="Times New Roman"/>
          <w:sz w:val="24"/>
        </w:rPr>
        <w:t xml:space="preserve">Another commenter stated that this will place a burden on the industry’s selection of an </w:t>
      </w:r>
      <w:r w:rsidRPr="006F68E9">
        <w:rPr>
          <w:rFonts w:ascii="Times New Roman" w:hAnsi="Times New Roman"/>
          <w:sz w:val="24"/>
        </w:rPr>
        <w:t xml:space="preserve">auditor for highly technical areas. The commenter added that, as structured,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unnecessarily minimizes the audit pool and the use of experienced auditors associated with the facility (0253).</w:t>
      </w:r>
    </w:p>
    <w:p w:rsidR="00F41FFB" w:rsidP="00F41FFB" w14:paraId="516040E6" w14:textId="77777777">
      <w:pPr>
        <w:rPr>
          <w:rFonts w:ascii="Times New Roman" w:hAnsi="Times New Roman"/>
          <w:sz w:val="24"/>
        </w:rPr>
      </w:pPr>
      <w:r w:rsidRPr="006F68E9">
        <w:rPr>
          <w:rFonts w:ascii="Times New Roman" w:hAnsi="Times New Roman"/>
          <w:sz w:val="24"/>
        </w:rPr>
        <w:t xml:space="preserve">A few commenters noted that restricting audits to non-associated third parties will disproportionately affect facilities in remote areas, as qualified auditors will be difficult to find and will increase costs (0184, 0196, 0245). </w:t>
      </w:r>
    </w:p>
    <w:p w:rsidR="00F41FFB" w:rsidP="00F41FFB" w14:paraId="74A69630" w14:textId="67BF5A92">
      <w:pPr>
        <w:rPr>
          <w:rFonts w:ascii="Times New Roman" w:hAnsi="Times New Roman"/>
          <w:sz w:val="24"/>
        </w:rPr>
      </w:pPr>
      <w:r w:rsidRPr="006F68E9">
        <w:rPr>
          <w:rFonts w:ascii="Times New Roman" w:hAnsi="Times New Roman"/>
          <w:sz w:val="24"/>
        </w:rPr>
        <w:t>A couple commenters noted the limited number of auditors in certain geographic regions and in certain areas of expertise as another unnecessary burden (0202, 0275).</w:t>
      </w:r>
    </w:p>
    <w:p w:rsidR="00F41FFB" w:rsidP="00F41FFB" w14:paraId="35DC9916"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 recommended that industries such as retail anhydrous ammonia be exempt from this requirement, as it is overly costly and burdensome without added benefit (0245).</w:t>
      </w:r>
    </w:p>
    <w:p w:rsidR="00F41FFB" w:rsidP="00F41FFB" w14:paraId="6AE9BF53" w14:textId="77777777">
      <w:pPr>
        <w:rPr>
          <w:rFonts w:ascii="Times New Roman" w:hAnsi="Times New Roman"/>
          <w:sz w:val="24"/>
        </w:rPr>
      </w:pPr>
      <w:r w:rsidRPr="006F68E9">
        <w:rPr>
          <w:rFonts w:ascii="Times New Roman" w:hAnsi="Times New Roman"/>
          <w:sz w:val="24"/>
        </w:rPr>
        <w:t>One commenter noted that the chlor-alkali industry has experienced consolidation in recent years, so there are few qualified third-party auditors</w:t>
      </w:r>
      <w:r>
        <w:rPr>
          <w:rFonts w:ascii="Times New Roman" w:hAnsi="Times New Roman"/>
          <w:sz w:val="24"/>
        </w:rPr>
        <w:t xml:space="preserve"> (0201).</w:t>
      </w:r>
    </w:p>
    <w:p w:rsidR="00F41FFB" w:rsidRPr="006F68E9" w:rsidP="00F41FFB" w14:paraId="245DC74B" w14:textId="77777777">
      <w:pPr>
        <w:rPr>
          <w:rFonts w:ascii="Times New Roman" w:hAnsi="Times New Roman"/>
          <w:sz w:val="24"/>
        </w:rPr>
      </w:pPr>
      <w:r w:rsidRPr="006F68E9">
        <w:rPr>
          <w:rFonts w:ascii="Times New Roman" w:hAnsi="Times New Roman"/>
          <w:sz w:val="24"/>
        </w:rPr>
        <w:t>Another commenter noted that the explosives manufacturing is highly specialized, and production processes and material formulations tend to be unique and proprietary across the sector, therefore it would be extremely challenging for facilities to find a third-party auditor with the experience necessary to meet the regulatory knowledge requirement described in the rule. The commenter stated that this would require the facility staff to educate the auditor throughout the process, adding to cost and resource burdens (0228).</w:t>
      </w:r>
    </w:p>
    <w:p w:rsidR="00F41FFB" w:rsidRPr="00AE1B5F" w:rsidP="00F41FFB" w14:paraId="3CB350B4" w14:textId="767D9FC6">
      <w:pPr>
        <w:ind w:left="720"/>
        <w:rPr>
          <w:rFonts w:ascii="Times New Roman" w:hAnsi="Times New Roman"/>
          <w:sz w:val="24"/>
        </w:rPr>
      </w:pPr>
      <w:r>
        <w:rPr>
          <w:rFonts w:ascii="Times New Roman" w:hAnsi="Times New Roman"/>
          <w:b/>
          <w:bCs/>
          <w:sz w:val="24"/>
        </w:rPr>
        <w:t xml:space="preserve">EPA Response: </w:t>
      </w:r>
      <w:r w:rsidR="003D134E">
        <w:rPr>
          <w:rFonts w:ascii="Times New Roman" w:hAnsi="Times New Roman"/>
          <w:sz w:val="24"/>
        </w:rPr>
        <w:t xml:space="preserve"> </w:t>
      </w:r>
      <w:r w:rsidRPr="00DA0398" w:rsidR="003D134E">
        <w:rPr>
          <w:rFonts w:ascii="Times New Roman" w:hAnsi="Times New Roman"/>
          <w:sz w:val="24"/>
        </w:rPr>
        <w:t xml:space="preserve">EPA notes that </w:t>
      </w:r>
      <w:r w:rsidRPr="00DA0398" w:rsidR="003D134E">
        <w:rPr>
          <w:rFonts w:ascii="Times New Roman" w:hAnsi="Times New Roman"/>
          <w:sz w:val="24"/>
        </w:rPr>
        <w:t xml:space="preserve">the </w:t>
      </w:r>
      <w:r w:rsidRPr="00DA0398" w:rsidR="003D134E">
        <w:rPr>
          <w:rFonts w:ascii="Times New Roman" w:hAnsi="Times New Roman"/>
          <w:sz w:val="24"/>
        </w:rPr>
        <w:t xml:space="preserve">independence requirements </w:t>
      </w:r>
      <w:r w:rsidRPr="30B85495" w:rsidR="5104C228">
        <w:rPr>
          <w:rFonts w:ascii="Times New Roman" w:hAnsi="Times New Roman"/>
          <w:sz w:val="24"/>
        </w:rPr>
        <w:t>in this final</w:t>
      </w:r>
      <w:r w:rsidRPr="00DA0398" w:rsidR="003D134E">
        <w:rPr>
          <w:rFonts w:ascii="Times New Roman" w:hAnsi="Times New Roman"/>
          <w:sz w:val="24"/>
        </w:rPr>
        <w:t xml:space="preserve"> rule</w:t>
      </w:r>
      <w:r w:rsidRPr="30B85495" w:rsidR="5104C228">
        <w:rPr>
          <w:rFonts w:ascii="Times New Roman" w:hAnsi="Times New Roman"/>
          <w:sz w:val="24"/>
        </w:rPr>
        <w:t xml:space="preserve"> </w:t>
      </w:r>
      <w:r w:rsidRPr="30B85495" w:rsidR="2BD908E6">
        <w:rPr>
          <w:rFonts w:ascii="Times New Roman" w:hAnsi="Times New Roman"/>
          <w:sz w:val="24"/>
        </w:rPr>
        <w:t>does not</w:t>
      </w:r>
      <w:r w:rsidRPr="00DA0398" w:rsidR="003D134E">
        <w:rPr>
          <w:rFonts w:ascii="Times New Roman" w:hAnsi="Times New Roman"/>
          <w:sz w:val="24"/>
        </w:rPr>
        <w:t xml:space="preserve"> include</w:t>
      </w:r>
      <w:r w:rsidRPr="00DA0398" w:rsidR="003D134E">
        <w:rPr>
          <w:rFonts w:ascii="Times New Roman" w:hAnsi="Times New Roman"/>
          <w:sz w:val="24"/>
        </w:rPr>
        <w:t xml:space="preserve"> a limitation for auditors who </w:t>
      </w:r>
      <w:r w:rsidRPr="00DA0398" w:rsidR="003D134E">
        <w:rPr>
          <w:rFonts w:ascii="Times New Roman" w:eastAsia="Times New Roman,Times New Roman" w:hAnsi="Times New Roman"/>
          <w:sz w:val="24"/>
        </w:rPr>
        <w:t xml:space="preserve">conducted consulting type services for the owner or operator within the last two years, or for a period of at least 2 years following the audit report. </w:t>
      </w:r>
      <w:r w:rsidRPr="00DA0398" w:rsidR="003D134E">
        <w:rPr>
          <w:rFonts w:ascii="Times New Roman" w:hAnsi="Times New Roman"/>
          <w:sz w:val="24"/>
        </w:rPr>
        <w:t>EPA believes the provision, as adopted, ensures additional available independent auditors to act in an independent and impartial manner, allowing more flexibility in choosing auditors</w:t>
      </w:r>
      <w:r w:rsidRPr="00DA0398" w:rsidR="002149B4">
        <w:rPr>
          <w:rFonts w:ascii="Times New Roman" w:hAnsi="Times New Roman"/>
          <w:sz w:val="24"/>
        </w:rPr>
        <w:t xml:space="preserve"> for all industries</w:t>
      </w:r>
      <w:r w:rsidR="001A5F69">
        <w:rPr>
          <w:rFonts w:ascii="Times New Roman" w:hAnsi="Times New Roman"/>
          <w:sz w:val="24"/>
        </w:rPr>
        <w:t xml:space="preserve"> while also ensuring quality will not suffer</w:t>
      </w:r>
      <w:r w:rsidRPr="00DA0398" w:rsidR="003D134E">
        <w:rPr>
          <w:rFonts w:ascii="Times New Roman" w:hAnsi="Times New Roman"/>
          <w:sz w:val="24"/>
        </w:rPr>
        <w:t xml:space="preserve">. </w:t>
      </w:r>
      <w:r w:rsidR="0001219B">
        <w:rPr>
          <w:rFonts w:ascii="Times New Roman" w:hAnsi="Times New Roman"/>
          <w:sz w:val="24"/>
        </w:rPr>
        <w:t>For example,</w:t>
      </w:r>
      <w:r w:rsidRPr="00DA0398" w:rsidR="00DA0398">
        <w:rPr>
          <w:rFonts w:ascii="Times New Roman" w:hAnsi="Times New Roman"/>
          <w:sz w:val="24"/>
        </w:rPr>
        <w:t xml:space="preserve"> EPA believes the</w:t>
      </w:r>
      <w:r w:rsidRPr="00921099">
        <w:rPr>
          <w:rFonts w:ascii="Times New Roman" w:hAnsi="Times New Roman"/>
          <w:sz w:val="24"/>
        </w:rPr>
        <w:t xml:space="preserve"> third-party audit requirement allows for flexibility by allowing a facility to choose to have their third-party audit performed </w:t>
      </w:r>
      <w:r w:rsidRPr="00DA0398" w:rsidR="00D66764">
        <w:rPr>
          <w:rFonts w:ascii="Times New Roman" w:hAnsi="Times New Roman"/>
          <w:sz w:val="24"/>
        </w:rPr>
        <w:t xml:space="preserve">by a </w:t>
      </w:r>
      <w:r w:rsidRPr="00921099">
        <w:rPr>
          <w:rFonts w:ascii="Times New Roman" w:hAnsi="Times New Roman"/>
          <w:sz w:val="24"/>
        </w:rPr>
        <w:t>third</w:t>
      </w:r>
      <w:r w:rsidRPr="00DA0398" w:rsidR="00D66764">
        <w:rPr>
          <w:rFonts w:ascii="Times New Roman" w:hAnsi="Times New Roman"/>
          <w:sz w:val="24"/>
        </w:rPr>
        <w:t>-</w:t>
      </w:r>
      <w:r w:rsidRPr="00921099">
        <w:rPr>
          <w:rFonts w:ascii="Times New Roman" w:hAnsi="Times New Roman"/>
          <w:sz w:val="24"/>
        </w:rPr>
        <w:t>party</w:t>
      </w:r>
      <w:r w:rsidRPr="00DA0398" w:rsidR="00D66764">
        <w:rPr>
          <w:rFonts w:ascii="Times New Roman" w:hAnsi="Times New Roman"/>
          <w:sz w:val="24"/>
        </w:rPr>
        <w:t xml:space="preserve"> or a team led by a third-party</w:t>
      </w:r>
      <w:r w:rsidRPr="00921099">
        <w:rPr>
          <w:rFonts w:ascii="Times New Roman" w:hAnsi="Times New Roman"/>
          <w:sz w:val="24"/>
        </w:rPr>
        <w:t>, including facility employees</w:t>
      </w:r>
      <w:r w:rsidRPr="00DA0398" w:rsidR="00D66764">
        <w:rPr>
          <w:rFonts w:ascii="Times New Roman" w:hAnsi="Times New Roman"/>
          <w:sz w:val="24"/>
        </w:rPr>
        <w:t>.</w:t>
      </w:r>
      <w:r w:rsidR="0001219B">
        <w:rPr>
          <w:rFonts w:ascii="Times New Roman" w:hAnsi="Times New Roman"/>
          <w:sz w:val="24"/>
        </w:rPr>
        <w:t xml:space="preserve"> </w:t>
      </w:r>
    </w:p>
    <w:p w:rsidR="0001219B" w:rsidRPr="0001219B" w:rsidP="0001219B" w14:paraId="60E250C6" w14:textId="48BF3165">
      <w:pPr>
        <w:ind w:left="720"/>
        <w:rPr>
          <w:rFonts w:ascii="Times New Roman" w:hAnsi="Times New Roman"/>
          <w:sz w:val="24"/>
        </w:rPr>
      </w:pPr>
      <w:r w:rsidRPr="0001219B">
        <w:rPr>
          <w:rFonts w:ascii="Times New Roman" w:hAnsi="Times New Roman"/>
          <w:sz w:val="24"/>
        </w:rPr>
        <w:t xml:space="preserve">EPA disagrees with commenters that request EPA exclude facilities within specific sectors from third-party applicability. </w:t>
      </w:r>
      <w:r w:rsidR="007151D8">
        <w:rPr>
          <w:rFonts w:ascii="Times New Roman" w:hAnsi="Times New Roman"/>
          <w:sz w:val="24"/>
        </w:rPr>
        <w:t xml:space="preserve">For this final rule, </w:t>
      </w:r>
      <w:r w:rsidRPr="0001219B">
        <w:rPr>
          <w:rFonts w:ascii="Times New Roman" w:hAnsi="Times New Roman"/>
          <w:sz w:val="24"/>
        </w:rPr>
        <w:t>EPA base</w:t>
      </w:r>
      <w:r w:rsidR="004D0696">
        <w:rPr>
          <w:rFonts w:ascii="Times New Roman" w:hAnsi="Times New Roman"/>
          <w:sz w:val="24"/>
        </w:rPr>
        <w:t>s</w:t>
      </w:r>
      <w:r w:rsidRPr="0001219B">
        <w:rPr>
          <w:rFonts w:ascii="Times New Roman" w:hAnsi="Times New Roman"/>
          <w:sz w:val="24"/>
        </w:rPr>
        <w:t xml:space="preserve"> applicability of third-party audits on whether a source had an RMP reportable accident, or when a previous third-party audit failed to meet the competence or independence criteria.  EPA believes that these criteria are a potential indicator for noncompliance with program prevention requirements and therefore warrant an evaluation by a third-party. To the extent facilities in any specific industry sector or NAICS code are historically or prospectively relatively less likely than facilities in other sectors or NAICS codes to have such releases, however, they will be correspondingly less likely to need to conduct independent third-party compliance audits.  If a specific industry sector does not typically have accidental releases, then this provision will not likely apply. The rule is carefully structured to produce these desirable outcomes.  Therefore, it is not necessary to exclude or limit third-party audit applicability to specific industry sectors.</w:t>
      </w:r>
    </w:p>
    <w:p w:rsidR="00F41FFB" w:rsidP="00F41FFB" w14:paraId="462BD5AB" w14:textId="77777777">
      <w:pPr>
        <w:rPr>
          <w:rFonts w:ascii="Times New Roman" w:hAnsi="Times New Roman"/>
          <w:i/>
          <w:iCs/>
          <w:sz w:val="24"/>
        </w:rPr>
      </w:pPr>
      <w:r>
        <w:rPr>
          <w:rFonts w:ascii="Times New Roman" w:hAnsi="Times New Roman"/>
          <w:i/>
          <w:iCs/>
          <w:sz w:val="24"/>
        </w:rPr>
        <w:t xml:space="preserve">Third-party audit applicability criteria </w:t>
      </w:r>
    </w:p>
    <w:p w:rsidR="00F41FFB" w:rsidP="00F41FFB" w14:paraId="1AB0D784" w14:textId="61CC5E7D">
      <w:pPr>
        <w:rPr>
          <w:rFonts w:ascii="Times New Roman" w:hAnsi="Times New Roman"/>
          <w:sz w:val="24"/>
        </w:rPr>
      </w:pPr>
      <w:r>
        <w:rPr>
          <w:rFonts w:ascii="Times New Roman" w:hAnsi="Times New Roman"/>
          <w:b/>
          <w:bCs/>
          <w:sz w:val="24"/>
        </w:rPr>
        <w:t>Comment 8.1-1</w:t>
      </w:r>
      <w:r w:rsidR="00657BBE">
        <w:rPr>
          <w:rFonts w:ascii="Times New Roman" w:hAnsi="Times New Roman"/>
          <w:b/>
          <w:bCs/>
          <w:sz w:val="24"/>
        </w:rPr>
        <w:t>3</w:t>
      </w:r>
      <w:r>
        <w:rPr>
          <w:rFonts w:ascii="Times New Roman" w:hAnsi="Times New Roman"/>
          <w:b/>
          <w:bCs/>
          <w:sz w:val="24"/>
        </w:rPr>
        <w:t xml:space="preserve">: </w:t>
      </w:r>
      <w:r>
        <w:rPr>
          <w:rFonts w:ascii="Times New Roman" w:hAnsi="Times New Roman"/>
          <w:sz w:val="24"/>
        </w:rPr>
        <w:t>Several</w:t>
      </w:r>
      <w:r w:rsidRPr="006F68E9">
        <w:rPr>
          <w:rFonts w:ascii="Times New Roman" w:hAnsi="Times New Roman"/>
          <w:sz w:val="24"/>
        </w:rPr>
        <w:t xml:space="preserve"> commenters </w:t>
      </w:r>
      <w:r>
        <w:rPr>
          <w:rFonts w:ascii="Times New Roman" w:hAnsi="Times New Roman"/>
          <w:sz w:val="24"/>
        </w:rPr>
        <w:t>suggested</w:t>
      </w:r>
      <w:r w:rsidRPr="006F68E9">
        <w:rPr>
          <w:rFonts w:ascii="Times New Roman" w:hAnsi="Times New Roman"/>
          <w:sz w:val="24"/>
        </w:rPr>
        <w:t xml:space="preserve"> areas of potential expansion with regards to the third-party audits (</w:t>
      </w:r>
      <w:r>
        <w:rPr>
          <w:rFonts w:ascii="Times New Roman" w:hAnsi="Times New Roman"/>
          <w:sz w:val="24"/>
        </w:rPr>
        <w:t xml:space="preserve">0208, </w:t>
      </w:r>
      <w:r w:rsidRPr="006F68E9">
        <w:rPr>
          <w:rFonts w:ascii="Times New Roman" w:hAnsi="Times New Roman"/>
          <w:sz w:val="24"/>
        </w:rPr>
        <w:t>0255, 0402, 0460).</w:t>
      </w:r>
    </w:p>
    <w:p w:rsidR="00F41FFB" w:rsidP="00F41FFB" w14:paraId="0D48A6FE" w14:textId="77777777">
      <w:pPr>
        <w:rPr>
          <w:rFonts w:ascii="Times New Roman" w:hAnsi="Times New Roman"/>
          <w:sz w:val="24"/>
        </w:rPr>
      </w:pPr>
      <w:r w:rsidRPr="6D3F9CC5">
        <w:rPr>
          <w:rFonts w:ascii="Times New Roman" w:hAnsi="Times New Roman"/>
          <w:sz w:val="24"/>
        </w:rPr>
        <w:t xml:space="preserve">Several commenters recommended that the requirement triggering a third-party audit after </w:t>
      </w:r>
      <w:r w:rsidRPr="6D3F9CC5">
        <w:rPr>
          <w:rFonts w:ascii="Times New Roman" w:hAnsi="Times New Roman"/>
          <w:sz w:val="24"/>
        </w:rPr>
        <w:t>two</w:t>
      </w:r>
      <w:r w:rsidRPr="6D3F9CC5">
        <w:rPr>
          <w:rFonts w:ascii="Times New Roman" w:hAnsi="Times New Roman"/>
          <w:sz w:val="24"/>
        </w:rPr>
        <w:t xml:space="preserve"> accidental releases within a 5-year period is not stringent enough, and facilities should be required to conduct a third-party audit after one accidental release or discovery of significant non-compliance (0179, 0240, 0270, 0444, 0460). One of the commenters suggested that a 5-year window for accident history is too narrow (0270). </w:t>
      </w:r>
      <w:r w:rsidRPr="006F68E9">
        <w:rPr>
          <w:rFonts w:ascii="Times New Roman" w:hAnsi="Times New Roman"/>
          <w:sz w:val="24"/>
        </w:rPr>
        <w:t xml:space="preserve"> </w:t>
      </w:r>
    </w:p>
    <w:p w:rsidR="00F41FFB" w:rsidP="00F41FFB" w14:paraId="373B0F0D" w14:textId="77777777">
      <w:pPr>
        <w:rPr>
          <w:rFonts w:ascii="Times New Roman" w:hAnsi="Times New Roman"/>
          <w:sz w:val="24"/>
        </w:rPr>
      </w:pPr>
      <w:r w:rsidRPr="006F68E9">
        <w:rPr>
          <w:rFonts w:ascii="Times New Roman" w:hAnsi="Times New Roman"/>
          <w:sz w:val="24"/>
        </w:rPr>
        <w:t xml:space="preserve">One commenter recommended that EPA mandate third-party audits and thorough investigations occur after any chemical disasters (0208). </w:t>
      </w:r>
    </w:p>
    <w:p w:rsidR="00F41FFB" w:rsidRPr="006F68E9" w:rsidP="00F41FFB" w14:paraId="6FBD4913" w14:textId="77777777">
      <w:pPr>
        <w:rPr>
          <w:rFonts w:ascii="Times New Roman" w:hAnsi="Times New Roman"/>
          <w:sz w:val="24"/>
        </w:rPr>
      </w:pPr>
      <w:r w:rsidRPr="006F68E9">
        <w:rPr>
          <w:rFonts w:ascii="Times New Roman" w:hAnsi="Times New Roman"/>
          <w:sz w:val="24"/>
        </w:rPr>
        <w:t xml:space="preserve">A few commenters suggested that third-party audits be required for all RMP facilities without waiting for an incident to occur (0177, 0203, 0460). One of the commenters recommended that EPA require third-party audits facilities that have delayed an incident report, delayed first-responder coordination, emergency response exercises, delayed or filed an incomplete RMP plan, or had any other compliance concerns documented in the RMP database (0460). </w:t>
      </w:r>
    </w:p>
    <w:p w:rsidR="00F41FFB" w:rsidP="00F41FFB" w14:paraId="4BA9588F" w14:textId="77777777">
      <w:pPr>
        <w:rPr>
          <w:rFonts w:ascii="Times New Roman" w:hAnsi="Times New Roman"/>
          <w:sz w:val="24"/>
        </w:rPr>
      </w:pPr>
      <w:r>
        <w:rPr>
          <w:rFonts w:ascii="Times New Roman" w:hAnsi="Times New Roman"/>
          <w:sz w:val="24"/>
        </w:rPr>
        <w:t>One commenter</w:t>
      </w:r>
      <w:r w:rsidRPr="006F68E9">
        <w:rPr>
          <w:rFonts w:ascii="Times New Roman" w:hAnsi="Times New Roman"/>
          <w:sz w:val="24"/>
        </w:rPr>
        <w:t xml:space="preserve"> requested that the requirement be expanded to include all Program 2 and 3 facilities (0460).</w:t>
      </w:r>
      <w:r>
        <w:rPr>
          <w:rFonts w:ascii="Times New Roman" w:hAnsi="Times New Roman"/>
          <w:sz w:val="24"/>
        </w:rPr>
        <w:t xml:space="preserve"> Another </w:t>
      </w:r>
      <w:r w:rsidRPr="006F68E9">
        <w:rPr>
          <w:rFonts w:ascii="Times New Roman" w:hAnsi="Times New Roman"/>
          <w:sz w:val="24"/>
        </w:rPr>
        <w:t>commenter suggested that that the requirement triggering a third-party audit should be required after one accidental release at a 324 or 325 NAICS facility regardless of location to another facility (0179).</w:t>
      </w:r>
    </w:p>
    <w:p w:rsidR="00F41FFB" w:rsidP="00F41FFB" w14:paraId="3AB74D20"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asserted that audits should be based on safety priorities established in the rule, not just on previous accidents or near miss events (0402). One commenter stated that third-party auditors should examine all process safety management programs and risk management plans and ensure they are updated regularly in consultation with industry, labor, government, public interest, environmental organizations, and scientific experts (0255). </w:t>
      </w:r>
    </w:p>
    <w:p w:rsidR="00F41FFB" w:rsidP="00F41FFB" w14:paraId="2516A309" w14:textId="642780A2">
      <w:pPr>
        <w:ind w:left="720"/>
        <w:rPr>
          <w:rFonts w:ascii="Times New Roman" w:hAnsi="Times New Roman"/>
          <w:sz w:val="24"/>
        </w:rPr>
      </w:pPr>
      <w:r>
        <w:rPr>
          <w:rFonts w:ascii="Times New Roman" w:hAnsi="Times New Roman"/>
          <w:b/>
          <w:bCs/>
          <w:sz w:val="24"/>
        </w:rPr>
        <w:t>EPA Response:</w:t>
      </w:r>
      <w:r w:rsidRPr="006349EF">
        <w:t xml:space="preserve"> </w:t>
      </w:r>
      <w:r w:rsidR="00F2565B">
        <w:rPr>
          <w:rFonts w:ascii="Times New Roman" w:hAnsi="Times New Roman"/>
          <w:sz w:val="24"/>
        </w:rPr>
        <w:t xml:space="preserve">After a review of the comments received, EPA agrees that the proposed third-party audit applicability requirements were not stringent enough and therefore finalized </w:t>
      </w:r>
      <w:r w:rsidRPr="00DA4BA2" w:rsidR="00DA4BA2">
        <w:rPr>
          <w:rFonts w:ascii="Times New Roman" w:hAnsi="Times New Roman"/>
          <w:sz w:val="24"/>
        </w:rPr>
        <w:t xml:space="preserve">the proposed third-party audit applicability with modifications. </w:t>
      </w:r>
      <w:r w:rsidR="00DA4BA2">
        <w:rPr>
          <w:rFonts w:ascii="Times New Roman" w:hAnsi="Times New Roman"/>
          <w:sz w:val="24"/>
        </w:rPr>
        <w:t xml:space="preserve">EPA </w:t>
      </w:r>
      <w:r w:rsidRPr="00DA4BA2" w:rsidR="00DA4BA2">
        <w:rPr>
          <w:rFonts w:ascii="Times New Roman" w:hAnsi="Times New Roman"/>
          <w:bCs/>
          <w:iCs/>
          <w:sz w:val="24"/>
        </w:rPr>
        <w:t xml:space="preserve">believes it is appropriate to require a third-party auditor after: (1) one accidental release meeting the criteria in 40 CFR 68.42(a) from a covered process at a stationary source has occurred; </w:t>
      </w:r>
      <w:r w:rsidRPr="00DA4BA2" w:rsidR="00DA4BA2">
        <w:rPr>
          <w:rFonts w:ascii="Times New Roman" w:hAnsi="Times New Roman"/>
          <w:bCs/>
          <w:i/>
          <w:sz w:val="24"/>
          <w:u w:val="single"/>
        </w:rPr>
        <w:t>or</w:t>
      </w:r>
      <w:r w:rsidRPr="00DA4BA2" w:rsidR="00DA4BA2">
        <w:rPr>
          <w:rFonts w:ascii="Times New Roman" w:hAnsi="Times New Roman"/>
          <w:bCs/>
          <w:iCs/>
          <w:sz w:val="24"/>
        </w:rPr>
        <w:t xml:space="preserve"> (2) an implementing agency requires a third-party audit due to conditions at the stationary source that could lead to an accidental release of a regulated substance, or when a previous third-party audit failed to meet the competency or independence criteria of 40 CFR 68.80(c).</w:t>
      </w:r>
      <w:r w:rsidR="00DA4BA2">
        <w:rPr>
          <w:rFonts w:ascii="Times New Roman" w:hAnsi="Times New Roman"/>
          <w:sz w:val="24"/>
        </w:rPr>
        <w:t xml:space="preserve"> </w:t>
      </w:r>
      <w:r w:rsidR="00F2565B">
        <w:rPr>
          <w:rFonts w:ascii="Times New Roman" w:hAnsi="Times New Roman"/>
          <w:sz w:val="24"/>
        </w:rPr>
        <w:t xml:space="preserve">However, </w:t>
      </w:r>
      <w:r w:rsidRPr="006349EF">
        <w:rPr>
          <w:rFonts w:ascii="Times New Roman" w:hAnsi="Times New Roman"/>
          <w:sz w:val="24"/>
        </w:rPr>
        <w:t xml:space="preserve">EPA disagrees that the third-party audit requirement should be expanded to include, as some commenters suggested, all RMP facilities without waiting for an accident. </w:t>
      </w:r>
      <w:r w:rsidRPr="00E43A51">
        <w:rPr>
          <w:rFonts w:ascii="Times New Roman" w:hAnsi="Times New Roman"/>
          <w:sz w:val="24"/>
        </w:rPr>
        <w:t>While independent third-party audits help to ensure an independent systematic evaluation of the full prevention program at an RMP facility, EPA is not making this a regulatory requirement for all RMP sources before an accident, at this time, due to the increased burden associated with these audits.</w:t>
      </w:r>
    </w:p>
    <w:p w:rsidR="00F41FFB" w:rsidRPr="006F68E9" w:rsidP="00F41FFB" w14:paraId="70796503" w14:textId="184C1A6C">
      <w:pPr>
        <w:rPr>
          <w:rFonts w:ascii="Times New Roman" w:hAnsi="Times New Roman"/>
          <w:sz w:val="24"/>
        </w:rPr>
      </w:pPr>
      <w:r w:rsidRPr="00107EAC">
        <w:rPr>
          <w:rFonts w:ascii="Times New Roman" w:hAnsi="Times New Roman"/>
          <w:b/>
          <w:bCs/>
          <w:sz w:val="24"/>
        </w:rPr>
        <w:t>Comment</w:t>
      </w:r>
      <w:r>
        <w:rPr>
          <w:rFonts w:ascii="Times New Roman" w:hAnsi="Times New Roman"/>
          <w:b/>
          <w:bCs/>
          <w:sz w:val="24"/>
        </w:rPr>
        <w:t xml:space="preserve"> 8.1-1</w:t>
      </w:r>
      <w:r w:rsidR="00657BBE">
        <w:rPr>
          <w:rFonts w:ascii="Times New Roman" w:hAnsi="Times New Roman"/>
          <w:b/>
          <w:bCs/>
          <w:sz w:val="24"/>
        </w:rPr>
        <w:t>4</w:t>
      </w:r>
      <w:r>
        <w:rPr>
          <w:rFonts w:ascii="Times New Roman" w:hAnsi="Times New Roman"/>
          <w:sz w:val="24"/>
        </w:rPr>
        <w:t>: One</w:t>
      </w:r>
      <w:r w:rsidRPr="6D3F9CC5">
        <w:rPr>
          <w:rFonts w:ascii="Times New Roman" w:hAnsi="Times New Roman"/>
          <w:sz w:val="24"/>
        </w:rPr>
        <w:t xml:space="preserve"> commenter suggested that EPA narrow the third-party audit trigger from reportable accidents to catastrophic releases, as defined in the current regulation</w:t>
      </w:r>
      <w:r w:rsidR="00CA24C2">
        <w:rPr>
          <w:rFonts w:ascii="Times New Roman" w:hAnsi="Times New Roman"/>
          <w:sz w:val="24"/>
        </w:rPr>
        <w:t xml:space="preserve"> </w:t>
      </w:r>
      <w:r w:rsidRPr="6D3F9CC5" w:rsidR="00CA24C2">
        <w:rPr>
          <w:rFonts w:ascii="Times New Roman" w:hAnsi="Times New Roman"/>
          <w:sz w:val="24"/>
        </w:rPr>
        <w:t>(</w:t>
      </w:r>
      <w:r w:rsidRPr="6D3F9CC5">
        <w:rPr>
          <w:rFonts w:ascii="Times New Roman" w:hAnsi="Times New Roman"/>
          <w:sz w:val="24"/>
        </w:rPr>
        <w:t xml:space="preserve">0268). </w:t>
      </w:r>
      <w:r w:rsidRPr="006F68E9">
        <w:rPr>
          <w:rFonts w:ascii="Times New Roman" w:hAnsi="Times New Roman"/>
          <w:sz w:val="24"/>
        </w:rPr>
        <w:t>Another commenter</w:t>
      </w:r>
      <w:r>
        <w:rPr>
          <w:rFonts w:ascii="Times New Roman" w:hAnsi="Times New Roman"/>
          <w:sz w:val="24"/>
        </w:rPr>
        <w:t xml:space="preserve"> echoed</w:t>
      </w:r>
      <w:r w:rsidRPr="006F68E9">
        <w:rPr>
          <w:rFonts w:ascii="Times New Roman" w:hAnsi="Times New Roman"/>
          <w:sz w:val="24"/>
        </w:rPr>
        <w:t xml:space="preserve"> that EPA</w:t>
      </w:r>
      <w:r>
        <w:rPr>
          <w:rFonts w:ascii="Times New Roman" w:hAnsi="Times New Roman"/>
          <w:sz w:val="24"/>
        </w:rPr>
        <w:t xml:space="preserve"> should</w:t>
      </w:r>
      <w:r w:rsidRPr="006F68E9">
        <w:rPr>
          <w:rFonts w:ascii="Times New Roman" w:hAnsi="Times New Roman"/>
          <w:sz w:val="24"/>
        </w:rPr>
        <w:t xml:space="preserve"> include a trigger for incidents resulting in catastrophic releases (0253).</w:t>
      </w:r>
    </w:p>
    <w:p w:rsidR="001515E1" w:rsidP="00775CBE" w14:paraId="4B8BFEF7" w14:textId="7F1AFF8E">
      <w:pPr>
        <w:ind w:left="720"/>
        <w:rPr>
          <w:rFonts w:ascii="Times New Roman" w:hAnsi="Times New Roman"/>
          <w:sz w:val="24"/>
        </w:rPr>
      </w:pPr>
      <w:r w:rsidRPr="00514C21">
        <w:rPr>
          <w:rFonts w:ascii="Times New Roman" w:hAnsi="Times New Roman"/>
          <w:b/>
          <w:bCs/>
          <w:sz w:val="24"/>
        </w:rPr>
        <w:t>EPA Response:</w:t>
      </w:r>
      <w:r w:rsidRPr="00D42FF8">
        <w:rPr>
          <w:rFonts w:ascii="Times New Roman" w:hAnsi="Times New Roman"/>
          <w:b/>
          <w:bCs/>
          <w:sz w:val="24"/>
        </w:rPr>
        <w:t xml:space="preserve"> </w:t>
      </w:r>
      <w:r w:rsidRPr="00CE788F" w:rsidR="00CE788F">
        <w:rPr>
          <w:rFonts w:ascii="Times New Roman" w:hAnsi="Times New Roman"/>
          <w:sz w:val="24"/>
        </w:rPr>
        <w:t>EPA disagrees with suggestions to limit the third-party audit trigger from reportable accidents to catastrophic releases.</w:t>
      </w:r>
      <w:r w:rsidRPr="00D42FF8">
        <w:rPr>
          <w:rFonts w:ascii="Times New Roman" w:hAnsi="Times New Roman"/>
          <w:b/>
          <w:bCs/>
          <w:sz w:val="24"/>
        </w:rPr>
        <w:t xml:space="preserve"> </w:t>
      </w:r>
      <w:r w:rsidRPr="003F7912" w:rsidR="00775CBE">
        <w:rPr>
          <w:rFonts w:ascii="Times New Roman" w:hAnsi="Times New Roman"/>
          <w:sz w:val="24"/>
        </w:rPr>
        <w:t xml:space="preserve">The purpose of the third-party audit is to help reduce the risk of future accidents by requiring an independent and objective audit to determine whether the owner or operator of the facility is effectively meeting the </w:t>
      </w:r>
      <w:r w:rsidRPr="003F7912" w:rsidR="00775CBE">
        <w:rPr>
          <w:rFonts w:ascii="Times New Roman" w:hAnsi="Times New Roman"/>
          <w:sz w:val="24"/>
        </w:rPr>
        <w:t>prevention program requirements the RMP rule. Stationary sources that have had accidents and/or substantial non-compliance with RMP requirements pose a greater risk to the surrounding communities. EPA believes that accidental releases that involve deaths, injuries, or significant property damage on-site, or known offsite deaths, injuries, evacuations, sheltering in place, property damage, or environmental damage are all potential indicators of noncompliance with RMP prevention program requirements.</w:t>
      </w:r>
      <w:r w:rsidRPr="003F7912" w:rsidR="005321E9">
        <w:rPr>
          <w:rFonts w:ascii="Times New Roman" w:hAnsi="Times New Roman"/>
          <w:sz w:val="24"/>
        </w:rPr>
        <w:t xml:space="preserve"> </w:t>
      </w:r>
    </w:p>
    <w:p w:rsidR="00F41FFB" w:rsidRPr="00D42FF8" w:rsidP="00775CBE" w14:paraId="7C250EA2" w14:textId="6F970783">
      <w:pPr>
        <w:ind w:left="720"/>
        <w:rPr>
          <w:rFonts w:ascii="Times New Roman" w:hAnsi="Times New Roman"/>
          <w:b/>
          <w:bCs/>
          <w:sz w:val="24"/>
        </w:rPr>
      </w:pPr>
      <w:r w:rsidRPr="003F7912">
        <w:rPr>
          <w:rFonts w:ascii="Times New Roman" w:hAnsi="Times New Roman"/>
          <w:sz w:val="24"/>
        </w:rPr>
        <w:t>Additionally</w:t>
      </w:r>
      <w:r w:rsidRPr="003F7912" w:rsidR="005321E9">
        <w:rPr>
          <w:rFonts w:ascii="Times New Roman" w:hAnsi="Times New Roman"/>
          <w:sz w:val="24"/>
        </w:rPr>
        <w:t>, EPA does not expect these criteria to impact a large percentage of stationary sources with Program 2 and/or Program 3 processes.</w:t>
      </w:r>
      <w:r w:rsidRPr="001515E1" w:rsidR="001515E1">
        <w:t xml:space="preserve"> </w:t>
      </w:r>
      <w:r w:rsidRPr="00B43269" w:rsidR="00B43269">
        <w:rPr>
          <w:rFonts w:ascii="Times New Roman" w:hAnsi="Times New Roman"/>
          <w:sz w:val="24"/>
        </w:rPr>
        <w:t>Currently, there are approximately 12,000 stationary sources with Program 2 and/or Program 3 processes.</w:t>
      </w:r>
      <w:r w:rsidRPr="00B43269" w:rsidR="00B43269">
        <w:t xml:space="preserve"> </w:t>
      </w:r>
      <w:r w:rsidR="00B43269">
        <w:rPr>
          <w:rFonts w:ascii="Times New Roman" w:hAnsi="Times New Roman"/>
          <w:sz w:val="24"/>
        </w:rPr>
        <w:t xml:space="preserve">EPA </w:t>
      </w:r>
      <w:r w:rsidR="00DF4A07">
        <w:rPr>
          <w:rFonts w:ascii="Times New Roman" w:hAnsi="Times New Roman"/>
          <w:sz w:val="24"/>
        </w:rPr>
        <w:t>R</w:t>
      </w:r>
      <w:r w:rsidR="00B43269">
        <w:rPr>
          <w:rFonts w:ascii="Times New Roman" w:hAnsi="Times New Roman"/>
          <w:sz w:val="24"/>
        </w:rPr>
        <w:t xml:space="preserve">egulatory </w:t>
      </w:r>
      <w:r w:rsidR="00DF4A07">
        <w:rPr>
          <w:rFonts w:ascii="Times New Roman" w:hAnsi="Times New Roman"/>
          <w:sz w:val="24"/>
        </w:rPr>
        <w:t>I</w:t>
      </w:r>
      <w:r w:rsidR="00B43269">
        <w:rPr>
          <w:rFonts w:ascii="Times New Roman" w:hAnsi="Times New Roman"/>
          <w:sz w:val="24"/>
        </w:rPr>
        <w:t xml:space="preserve">mpact </w:t>
      </w:r>
      <w:r w:rsidR="00DF4A07">
        <w:rPr>
          <w:rFonts w:ascii="Times New Roman" w:hAnsi="Times New Roman"/>
          <w:sz w:val="24"/>
        </w:rPr>
        <w:t>A</w:t>
      </w:r>
      <w:r w:rsidR="00B43269">
        <w:rPr>
          <w:rFonts w:ascii="Times New Roman" w:hAnsi="Times New Roman"/>
          <w:sz w:val="24"/>
        </w:rPr>
        <w:t xml:space="preserve">nalysis </w:t>
      </w:r>
      <w:r w:rsidRPr="001515E1" w:rsidR="001515E1">
        <w:rPr>
          <w:rFonts w:ascii="Times New Roman" w:hAnsi="Times New Roman"/>
          <w:sz w:val="24"/>
        </w:rPr>
        <w:t xml:space="preserve">assumes that the annual number and distribution of accidents among types of facilities reflects </w:t>
      </w:r>
      <w:r w:rsidR="008674A1">
        <w:rPr>
          <w:rFonts w:ascii="Times New Roman" w:hAnsi="Times New Roman"/>
          <w:sz w:val="24"/>
        </w:rPr>
        <w:t>a</w:t>
      </w:r>
      <w:r w:rsidRPr="001515E1" w:rsidR="001515E1">
        <w:rPr>
          <w:rFonts w:ascii="Times New Roman" w:hAnsi="Times New Roman"/>
          <w:sz w:val="24"/>
        </w:rPr>
        <w:t xml:space="preserve"> 5-year baseline estimate and that in any one year, the number of facilities conducting a third-party audit will be equal to the average number of accidents.</w:t>
      </w:r>
      <w:r>
        <w:rPr>
          <w:rStyle w:val="FootnoteReference"/>
          <w:rFonts w:ascii="Times New Roman" w:hAnsi="Times New Roman"/>
          <w:sz w:val="24"/>
        </w:rPr>
        <w:footnoteReference w:id="132"/>
      </w:r>
      <w:r w:rsidR="000B4FBE">
        <w:rPr>
          <w:rFonts w:ascii="Times New Roman" w:hAnsi="Times New Roman"/>
          <w:sz w:val="24"/>
        </w:rPr>
        <w:t xml:space="preserve"> T</w:t>
      </w:r>
      <w:r w:rsidRPr="000B4FBE" w:rsidR="000B4FBE">
        <w:rPr>
          <w:rFonts w:ascii="Times New Roman" w:hAnsi="Times New Roman"/>
          <w:sz w:val="24"/>
        </w:rPr>
        <w:t>he analysis projects over time that 94 facilities will conduct such an audit each year.</w:t>
      </w:r>
      <w:r>
        <w:rPr>
          <w:rStyle w:val="FootnoteReference"/>
          <w:rFonts w:ascii="Times New Roman" w:hAnsi="Times New Roman"/>
          <w:sz w:val="24"/>
        </w:rPr>
        <w:footnoteReference w:id="133"/>
      </w:r>
      <w:r w:rsidRPr="000B4FBE" w:rsidR="000B4FBE">
        <w:rPr>
          <w:rFonts w:ascii="Times New Roman" w:hAnsi="Times New Roman"/>
          <w:sz w:val="24"/>
        </w:rPr>
        <w:t xml:space="preserve">  </w:t>
      </w:r>
    </w:p>
    <w:p w:rsidR="00F41FFB" w:rsidRPr="004B0DA5" w:rsidP="00F41FFB" w14:paraId="34AF6872" w14:textId="11F92E66">
      <w:pPr>
        <w:rPr>
          <w:rFonts w:ascii="Times New Roman" w:hAnsi="Times New Roman"/>
          <w:b/>
          <w:bCs/>
          <w:sz w:val="24"/>
        </w:rPr>
      </w:pPr>
      <w:r w:rsidRPr="00C00C4C">
        <w:rPr>
          <w:rFonts w:ascii="Times New Roman" w:hAnsi="Times New Roman"/>
          <w:b/>
          <w:bCs/>
          <w:sz w:val="24"/>
        </w:rPr>
        <w:t>Comment</w:t>
      </w:r>
      <w:r>
        <w:rPr>
          <w:rFonts w:ascii="Times New Roman" w:hAnsi="Times New Roman"/>
          <w:b/>
          <w:bCs/>
          <w:sz w:val="24"/>
        </w:rPr>
        <w:t xml:space="preserve"> 8.1-1</w:t>
      </w:r>
      <w:r w:rsidR="00657BBE">
        <w:rPr>
          <w:rFonts w:ascii="Times New Roman" w:hAnsi="Times New Roman"/>
          <w:b/>
          <w:bCs/>
          <w:sz w:val="24"/>
        </w:rPr>
        <w:t>5</w:t>
      </w:r>
      <w:r w:rsidRPr="00C00C4C">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 xml:space="preserve">Several commenters </w:t>
      </w:r>
      <w:r>
        <w:rPr>
          <w:rFonts w:ascii="Times New Roman" w:hAnsi="Times New Roman"/>
          <w:sz w:val="24"/>
        </w:rPr>
        <w:t xml:space="preserve">asserted that the </w:t>
      </w:r>
      <w:r w:rsidRPr="6D3F9CC5">
        <w:rPr>
          <w:rFonts w:ascii="Times New Roman" w:hAnsi="Times New Roman"/>
          <w:sz w:val="24"/>
        </w:rPr>
        <w:t xml:space="preserve">2-accident trigger for third-party compliance audits </w:t>
      </w:r>
      <w:r>
        <w:rPr>
          <w:rFonts w:ascii="Times New Roman" w:hAnsi="Times New Roman"/>
          <w:sz w:val="24"/>
        </w:rPr>
        <w:t xml:space="preserve">were vague in nature and </w:t>
      </w:r>
      <w:r w:rsidRPr="6D3F9CC5">
        <w:rPr>
          <w:rFonts w:ascii="Times New Roman" w:hAnsi="Times New Roman"/>
          <w:sz w:val="24"/>
        </w:rPr>
        <w:t xml:space="preserve">could result in facilities conducting audits when they are not warranted (0233, 0268). </w:t>
      </w:r>
      <w:r w:rsidRPr="006F68E9">
        <w:rPr>
          <w:rFonts w:ascii="Times New Roman" w:hAnsi="Times New Roman"/>
          <w:sz w:val="24"/>
        </w:rPr>
        <w:t xml:space="preserve">One of the commenters </w:t>
      </w:r>
      <w:r>
        <w:rPr>
          <w:rFonts w:ascii="Times New Roman" w:hAnsi="Times New Roman"/>
          <w:sz w:val="24"/>
        </w:rPr>
        <w:t xml:space="preserve">stated </w:t>
      </w:r>
      <w:r w:rsidRPr="006F68E9">
        <w:rPr>
          <w:rFonts w:ascii="Times New Roman" w:hAnsi="Times New Roman"/>
          <w:sz w:val="24"/>
        </w:rPr>
        <w:t xml:space="preserve">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has not established standards that would govern when third-party audits would be necessary (0256).</w:t>
      </w:r>
    </w:p>
    <w:p w:rsidR="00F41FFB" w:rsidRPr="00E53B65" w:rsidP="00F41FFB" w14:paraId="4846A02D" w14:textId="21CB5A9A">
      <w:pPr>
        <w:ind w:left="720"/>
        <w:rPr>
          <w:rFonts w:ascii="Times New Roman" w:hAnsi="Times New Roman"/>
          <w:sz w:val="24"/>
        </w:rPr>
      </w:pPr>
      <w:r w:rsidRPr="3579D8F2">
        <w:rPr>
          <w:rFonts w:ascii="Times New Roman" w:hAnsi="Times New Roman"/>
          <w:b/>
          <w:bCs/>
          <w:sz w:val="24"/>
        </w:rPr>
        <w:t>EPA Response</w:t>
      </w:r>
      <w:r>
        <w:rPr>
          <w:rFonts w:ascii="Times New Roman" w:hAnsi="Times New Roman"/>
          <w:b/>
          <w:bCs/>
          <w:sz w:val="24"/>
        </w:rPr>
        <w:t xml:space="preserve">: </w:t>
      </w:r>
      <w:r w:rsidRPr="00E6024C">
        <w:rPr>
          <w:rFonts w:ascii="Times New Roman" w:eastAsia="Times New Roman" w:hAnsi="Times New Roman"/>
          <w:sz w:val="24"/>
        </w:rPr>
        <w:t xml:space="preserve">In response to comments on when third-party audits are required, EPA is clarifying and finalizing that whichever criteria triggers the requirement, a third-party need only be engaged for </w:t>
      </w:r>
      <w:r w:rsidRPr="00466042">
        <w:rPr>
          <w:rFonts w:ascii="Times New Roman" w:eastAsia="Times New Roman" w:hAnsi="Times New Roman"/>
          <w:sz w:val="24"/>
        </w:rPr>
        <w:t>the next required compliance audit(s), which is no later than 3 years from the previous compliance audit. The revised final requirement relies on the language at 40 CFR 68.58(f) and 68.79(f) which refer to the timeline of a third-party compliance audit to be the “next required compliance audit,” which is at least every 3 years under 40 CFR 68.58(a) and 68.79(a). For example, if a facility conducted an internal compliance audit in August 2024 and had an RMP</w:t>
      </w:r>
      <w:r w:rsidRPr="00466042">
        <w:rPr>
          <w:rFonts w:ascii="Times New Roman" w:eastAsia="Times New Roman" w:hAnsi="Times New Roman"/>
          <w:strike/>
          <w:sz w:val="24"/>
        </w:rPr>
        <w:t xml:space="preserve"> </w:t>
      </w:r>
      <w:r w:rsidRPr="00466042">
        <w:rPr>
          <w:rFonts w:ascii="Times New Roman" w:eastAsia="Times New Roman" w:hAnsi="Times New Roman"/>
          <w:sz w:val="24"/>
        </w:rPr>
        <w:t xml:space="preserve">reportable accident in October 2024, the next compliance audit, required by August 2027, would be a third-party audit. EPA believes this approach is appropriate because it will allow the source to remain within their already required scheduled timing for audits. </w:t>
      </w:r>
      <w:r w:rsidRPr="00E6024C">
        <w:rPr>
          <w:rFonts w:ascii="Times New Roman" w:eastAsia="Times New Roman" w:hAnsi="Times New Roman"/>
          <w:sz w:val="24"/>
        </w:rPr>
        <w:t>Further, when an accident occurs, the source will be required to conduct an RCA within 12 months; the 3-year finalized timeframe for the audit will give the source flexibility to accomplish both within their compliance due dates. If the third-party audit is completed after the RCA, it will give the source an additional opportunity to uncover deficiencies that led to the accident. In other words, the third-party audit will be a follow-up to review the RCA and ensure all practices to prevent an accident have been resolved.</w:t>
      </w:r>
    </w:p>
    <w:p w:rsidR="00F41FFB" w:rsidP="00F41FFB" w14:paraId="587BB21E" w14:textId="2A20C2D3">
      <w:pPr>
        <w:rPr>
          <w:rFonts w:ascii="Times New Roman" w:hAnsi="Times New Roman"/>
          <w:sz w:val="24"/>
        </w:rPr>
      </w:pPr>
      <w:r>
        <w:rPr>
          <w:rFonts w:ascii="Times New Roman" w:hAnsi="Times New Roman"/>
          <w:b/>
          <w:bCs/>
          <w:sz w:val="24"/>
        </w:rPr>
        <w:t>Comment 8.1-1</w:t>
      </w:r>
      <w:r w:rsidR="00657BBE">
        <w:rPr>
          <w:rFonts w:ascii="Times New Roman" w:hAnsi="Times New Roman"/>
          <w:b/>
          <w:bCs/>
          <w:sz w:val="24"/>
        </w:rPr>
        <w:t>6</w:t>
      </w:r>
      <w:r>
        <w:rPr>
          <w:rFonts w:ascii="Times New Roman" w:hAnsi="Times New Roman"/>
          <w:b/>
          <w:bCs/>
          <w:sz w:val="24"/>
        </w:rPr>
        <w:t xml:space="preserve">: </w:t>
      </w:r>
      <w:r w:rsidRPr="009A4381">
        <w:rPr>
          <w:rFonts w:ascii="Times New Roman" w:hAnsi="Times New Roman"/>
          <w:sz w:val="24"/>
        </w:rPr>
        <w:t>Ma</w:t>
      </w:r>
      <w:r w:rsidRPr="00CA43EE">
        <w:rPr>
          <w:rFonts w:ascii="Times New Roman" w:hAnsi="Times New Roman"/>
          <w:sz w:val="24"/>
        </w:rPr>
        <w:t>ny commenters addressed the proposed requirement for all facilities with regulated NAICS code 324 and 325 Program 3 processes that have had one RMP-reportable accident and are located within a 1-mile radius of another facility with a regulated NAICS code 324 and 325 process to conduct a third-party audit after one accident.</w:t>
      </w:r>
      <w:r w:rsidRPr="006F68E9">
        <w:rPr>
          <w:rFonts w:ascii="Times New Roman" w:hAnsi="Times New Roman"/>
          <w:sz w:val="24"/>
        </w:rPr>
        <w:t xml:space="preserve"> </w:t>
      </w:r>
    </w:p>
    <w:p w:rsidR="00F41FFB" w:rsidP="00F41FFB" w14:paraId="1C6D0596" w14:textId="77777777">
      <w:pPr>
        <w:rPr>
          <w:rFonts w:ascii="Times New Roman" w:hAnsi="Times New Roman"/>
          <w:sz w:val="24"/>
        </w:rPr>
      </w:pPr>
      <w:r w:rsidRPr="6D3F9CC5">
        <w:rPr>
          <w:rFonts w:ascii="Times New Roman" w:hAnsi="Times New Roman"/>
          <w:sz w:val="24"/>
        </w:rPr>
        <w:t xml:space="preserve">Several commenters oppose the 1-mile trigger for a third-party audit (0173, 0232, 0253, 0263, 0268, 0272). One of the commenters stated that the one-mile trigger for a third-party audit is too </w:t>
      </w:r>
      <w:r w:rsidRPr="6D3F9CC5">
        <w:rPr>
          <w:rFonts w:ascii="Times New Roman" w:hAnsi="Times New Roman"/>
          <w:sz w:val="24"/>
        </w:rPr>
        <w:t>vague and overly broad, and EPA’s analysis of the 324 or 324 NAICS facilities is flawed (0268). Another commenter interpreted this requirement as emphasizing protecting select facilities</w:t>
      </w:r>
      <w:r w:rsidRPr="6D3F9CC5">
        <w:rPr>
          <w:rFonts w:ascii="Times New Roman" w:hAnsi="Times New Roman"/>
          <w:sz w:val="24"/>
        </w:rPr>
        <w:t xml:space="preserve"> </w:t>
      </w:r>
      <w:r w:rsidRPr="6D3F9CC5">
        <w:rPr>
          <w:rFonts w:ascii="Times New Roman" w:hAnsi="Times New Roman"/>
          <w:sz w:val="24"/>
        </w:rPr>
        <w:t xml:space="preserve">over protecting the public (0173). </w:t>
      </w:r>
      <w:r w:rsidRPr="006F68E9">
        <w:rPr>
          <w:rFonts w:ascii="Times New Roman" w:hAnsi="Times New Roman"/>
          <w:sz w:val="24"/>
        </w:rPr>
        <w:t xml:space="preserve">One commenter suggested that this requirement could penalize facilities with an otherwise outstanding environmental and safety record because a neighboring facility within one </w:t>
      </w:r>
      <w:r>
        <w:rPr>
          <w:rFonts w:ascii="Times New Roman" w:hAnsi="Times New Roman"/>
          <w:sz w:val="24"/>
        </w:rPr>
        <w:t>mile</w:t>
      </w:r>
      <w:r w:rsidRPr="006F68E9">
        <w:rPr>
          <w:rFonts w:ascii="Times New Roman" w:hAnsi="Times New Roman"/>
          <w:sz w:val="24"/>
        </w:rPr>
        <w:t xml:space="preserve"> does not (0263).</w:t>
      </w:r>
    </w:p>
    <w:p w:rsidR="00F41FFB" w:rsidRPr="00DE1D12" w:rsidP="00032EB2" w14:paraId="1D7C196C" w14:textId="590DCE46">
      <w:pPr>
        <w:ind w:left="720"/>
        <w:rPr>
          <w:rFonts w:ascii="Times New Roman" w:hAnsi="Times New Roman"/>
          <w:sz w:val="24"/>
        </w:rPr>
      </w:pPr>
      <w:r w:rsidRPr="00032EB2">
        <w:rPr>
          <w:rFonts w:ascii="Times New Roman" w:hAnsi="Times New Roman"/>
          <w:b/>
          <w:bCs/>
          <w:sz w:val="24"/>
        </w:rPr>
        <w:t>EPA Response:</w:t>
      </w:r>
      <w:r w:rsidRPr="00E53B65">
        <w:rPr>
          <w:rFonts w:ascii="Times New Roman" w:hAnsi="Times New Roman"/>
          <w:b/>
          <w:bCs/>
          <w:sz w:val="24"/>
        </w:rPr>
        <w:t xml:space="preserve"> </w:t>
      </w:r>
      <w:r w:rsidRPr="00DE1D12" w:rsidR="00C35FE6">
        <w:rPr>
          <w:rFonts w:ascii="Times New Roman" w:hAnsi="Times New Roman"/>
          <w:sz w:val="24"/>
        </w:rPr>
        <w:t xml:space="preserve">The 1-mile trigger for third-party audits </w:t>
      </w:r>
      <w:r w:rsidR="002106F0">
        <w:rPr>
          <w:rFonts w:ascii="Times New Roman" w:hAnsi="Times New Roman"/>
          <w:sz w:val="24"/>
        </w:rPr>
        <w:t xml:space="preserve">is </w:t>
      </w:r>
      <w:r w:rsidRPr="00DE1D12" w:rsidR="00C35FE6">
        <w:rPr>
          <w:rFonts w:ascii="Times New Roman" w:hAnsi="Times New Roman"/>
          <w:sz w:val="24"/>
        </w:rPr>
        <w:t>not applicable for the</w:t>
      </w:r>
      <w:r w:rsidRPr="00DE1D12" w:rsidR="00DE1D12">
        <w:rPr>
          <w:rFonts w:ascii="Times New Roman" w:hAnsi="Times New Roman"/>
          <w:sz w:val="24"/>
        </w:rPr>
        <w:t xml:space="preserve"> SCCAP</w:t>
      </w:r>
      <w:r w:rsidRPr="00DE1D12" w:rsidR="00C35FE6">
        <w:rPr>
          <w:rFonts w:ascii="Times New Roman" w:hAnsi="Times New Roman"/>
          <w:sz w:val="24"/>
        </w:rPr>
        <w:t xml:space="preserve"> final rule. </w:t>
      </w:r>
      <w:bookmarkStart w:id="106" w:name="_Hlk153112510"/>
      <w:r w:rsidRPr="00DE1D12" w:rsidR="00032EB2">
        <w:rPr>
          <w:rFonts w:ascii="Times New Roman" w:hAnsi="Times New Roman"/>
          <w:sz w:val="24"/>
        </w:rPr>
        <w:t xml:space="preserve">EPA </w:t>
      </w:r>
      <w:r w:rsidRPr="00DE1D12" w:rsidR="00DE1D12">
        <w:rPr>
          <w:rFonts w:ascii="Times New Roman" w:hAnsi="Times New Roman"/>
          <w:sz w:val="24"/>
        </w:rPr>
        <w:t xml:space="preserve">is </w:t>
      </w:r>
      <w:r w:rsidRPr="00DE1D12" w:rsidR="00CB5A3D">
        <w:rPr>
          <w:rFonts w:ascii="Times New Roman" w:hAnsi="Times New Roman"/>
          <w:sz w:val="24"/>
        </w:rPr>
        <w:t xml:space="preserve">finalizing the proposed third-party audit </w:t>
      </w:r>
      <w:r w:rsidRPr="00DE1D12" w:rsidR="00B6014C">
        <w:rPr>
          <w:rFonts w:ascii="Times New Roman" w:hAnsi="Times New Roman"/>
          <w:sz w:val="24"/>
        </w:rPr>
        <w:t>applicability with modifications</w:t>
      </w:r>
      <w:r w:rsidRPr="00DE1D12" w:rsidR="00032EB2">
        <w:rPr>
          <w:rFonts w:ascii="Times New Roman" w:hAnsi="Times New Roman"/>
          <w:sz w:val="24"/>
        </w:rPr>
        <w:t xml:space="preserve">. </w:t>
      </w:r>
      <w:bookmarkEnd w:id="106"/>
      <w:r w:rsidRPr="00DE1D12" w:rsidR="00032EB2">
        <w:rPr>
          <w:rFonts w:ascii="Times New Roman" w:hAnsi="Times New Roman"/>
          <w:sz w:val="24"/>
        </w:rPr>
        <w:t>For the final rule, two of the three proposed conditions (i.e., two accidental releases within five years meeting the criteria in 40 CFR 68.42(a), from a covered process have occurred; or one accidental release within five years meeting the criteria in 40 CFR 68.42(a), from a covered process at a stationary source in NAICS code 324 or 325, located within 1 mile of another stationary source having a process in NAICS code 324 or 325, has occurred) are being replaced with one condition—one accidental release meeting the criteria in 40 CFR 68.42(a), from a covered process. The other condition allowing an implementing agency to require a third-party audit is being finalized as proposed.</w:t>
      </w:r>
    </w:p>
    <w:p w:rsidR="00F41FFB" w:rsidP="00F41FFB" w14:paraId="3CE7F41D" w14:textId="3E150C49">
      <w:pPr>
        <w:rPr>
          <w:rFonts w:ascii="Times New Roman" w:hAnsi="Times New Roman"/>
          <w:sz w:val="24"/>
        </w:rPr>
      </w:pPr>
      <w:r w:rsidRPr="002168B1">
        <w:rPr>
          <w:rFonts w:ascii="Times New Roman" w:hAnsi="Times New Roman"/>
          <w:b/>
          <w:bCs/>
          <w:sz w:val="24"/>
        </w:rPr>
        <w:t>Comment</w:t>
      </w:r>
      <w:r>
        <w:rPr>
          <w:rFonts w:ascii="Times New Roman" w:hAnsi="Times New Roman"/>
          <w:b/>
          <w:bCs/>
          <w:sz w:val="24"/>
        </w:rPr>
        <w:t xml:space="preserve"> 8.1-1</w:t>
      </w:r>
      <w:r w:rsidR="00657BBE">
        <w:rPr>
          <w:rFonts w:ascii="Times New Roman" w:hAnsi="Times New Roman"/>
          <w:b/>
          <w:bCs/>
          <w:sz w:val="24"/>
        </w:rPr>
        <w:t>7</w:t>
      </w:r>
      <w:r w:rsidRPr="002168B1">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 xml:space="preserve">Several commenters suggested that EPA develop a more user friendly, up-to-date, and accessible method of determining if a facility is within </w:t>
      </w:r>
      <w:r w:rsidRPr="6D3F9CC5">
        <w:rPr>
          <w:rFonts w:ascii="Times New Roman" w:hAnsi="Times New Roman"/>
          <w:sz w:val="24"/>
        </w:rPr>
        <w:t>one</w:t>
      </w:r>
      <w:r w:rsidRPr="6D3F9CC5">
        <w:rPr>
          <w:rFonts w:ascii="Times New Roman" w:hAnsi="Times New Roman"/>
          <w:sz w:val="24"/>
        </w:rPr>
        <w:t xml:space="preserve"> mile of another facility with a 324 or 324 NAICS code to ensure compliance with this provision (0180, 0205, 0217, 0226, 0234). </w:t>
      </w:r>
    </w:p>
    <w:p w:rsidR="00F41FFB" w:rsidRPr="006F68E9" w:rsidP="00F41FFB" w14:paraId="298CD900" w14:textId="77777777">
      <w:pPr>
        <w:rPr>
          <w:rFonts w:ascii="Times New Roman" w:hAnsi="Times New Roman"/>
          <w:sz w:val="24"/>
        </w:rPr>
      </w:pPr>
      <w:r w:rsidRPr="006F68E9">
        <w:rPr>
          <w:rFonts w:ascii="Times New Roman" w:hAnsi="Times New Roman"/>
          <w:sz w:val="24"/>
        </w:rPr>
        <w:t xml:space="preserve">One commenter expressed concerns with the language of the one-mile provision that references the adjacent stationary source </w:t>
      </w:r>
      <w:r>
        <w:rPr>
          <w:rFonts w:ascii="Times New Roman" w:hAnsi="Times New Roman"/>
          <w:sz w:val="24"/>
        </w:rPr>
        <w:t>“</w:t>
      </w:r>
      <w:r w:rsidRPr="006F68E9">
        <w:rPr>
          <w:rFonts w:ascii="Times New Roman" w:hAnsi="Times New Roman"/>
          <w:sz w:val="24"/>
        </w:rPr>
        <w:t xml:space="preserve">having a process in NAICS code 324 or 325,” instead of referring to a “covered process.” The commenter described an issue with EPA’s determination of the starting point and ending point for the </w:t>
      </w:r>
      <w:r>
        <w:rPr>
          <w:rFonts w:ascii="Times New Roman" w:hAnsi="Times New Roman"/>
          <w:sz w:val="24"/>
        </w:rPr>
        <w:t>1</w:t>
      </w:r>
      <w:r w:rsidRPr="006F68E9">
        <w:rPr>
          <w:rFonts w:ascii="Times New Roman" w:hAnsi="Times New Roman"/>
          <w:sz w:val="24"/>
        </w:rPr>
        <w:t xml:space="preserve">-mile measurement to an adjacent source with a 324 or 325 NAICS covered process. The commenter suggested that the starting point should be from the covered process from which the release occurred to the adjacent source’s covered process. The commenter also noted that it is not clear how a source with a release is to determine whether any other sources within one mile have a 324 or 325 NAICS covered process (0232). </w:t>
      </w:r>
    </w:p>
    <w:p w:rsidR="00F41FFB" w:rsidP="00F41FFB" w14:paraId="1B6D8E06" w14:textId="11CAABE1">
      <w:pPr>
        <w:ind w:left="720"/>
        <w:rPr>
          <w:rFonts w:ascii="Times New Roman" w:hAnsi="Times New Roman"/>
          <w:sz w:val="24"/>
        </w:rPr>
      </w:pPr>
      <w:r w:rsidRPr="00FB002F">
        <w:rPr>
          <w:rFonts w:ascii="Times New Roman" w:hAnsi="Times New Roman"/>
          <w:b/>
          <w:bCs/>
          <w:sz w:val="24"/>
        </w:rPr>
        <w:t>EPA Response:</w:t>
      </w:r>
      <w:r w:rsidRPr="007E54F5">
        <w:rPr>
          <w:rFonts w:ascii="Times New Roman" w:hAnsi="Times New Roman"/>
          <w:sz w:val="24"/>
        </w:rPr>
        <w:t xml:space="preserve"> </w:t>
      </w:r>
      <w:r w:rsidRPr="00FB002F" w:rsidR="00FB002F">
        <w:rPr>
          <w:rFonts w:ascii="Times New Roman" w:hAnsi="Times New Roman"/>
          <w:sz w:val="24"/>
        </w:rPr>
        <w:t xml:space="preserve">The 1-mile trigger for third-party audits </w:t>
      </w:r>
      <w:r w:rsidR="002106F0">
        <w:rPr>
          <w:rFonts w:ascii="Times New Roman" w:hAnsi="Times New Roman"/>
          <w:sz w:val="24"/>
        </w:rPr>
        <w:t xml:space="preserve">is </w:t>
      </w:r>
      <w:r w:rsidRPr="00FB002F" w:rsidR="00FB002F">
        <w:rPr>
          <w:rFonts w:ascii="Times New Roman" w:hAnsi="Times New Roman"/>
          <w:sz w:val="24"/>
        </w:rPr>
        <w:t>not applicable for the SCCAP final rule. EPA is finalizing the proposed third-party audit applicability with modifications. For the final rule, two of the three proposed conditions (i.e., two accidental releases within five years meeting the criteria in 40 CFR 68.42(a), from a covered process have occurred; or one accidental release within five years meeting the criteria in 40 CFR 68.42(a), from a covered process at a stationary source in NAICS code 324 or 325, located within 1 mile of another stationary source having a process in NAICS code 324 or 325, has occurred) are being replaced with one condition—one accidental release meeting the criteria in 40 CFR 68.42(a), from a covered process. The other condition allowing an implementing agency to require a third-party audit is being finalized as proposed.</w:t>
      </w:r>
    </w:p>
    <w:p w:rsidR="0013655E" w:rsidRPr="00BF187B" w:rsidP="0013655E" w14:paraId="75DA9058" w14:textId="1A553929">
      <w:pPr>
        <w:rPr>
          <w:rFonts w:ascii="Times New Roman" w:hAnsi="Times New Roman"/>
          <w:b/>
          <w:sz w:val="24"/>
        </w:rPr>
      </w:pPr>
      <w:r>
        <w:rPr>
          <w:rFonts w:ascii="Times New Roman" w:hAnsi="Times New Roman"/>
          <w:b/>
          <w:bCs/>
          <w:sz w:val="24"/>
        </w:rPr>
        <w:t>Comment 8.1-1</w:t>
      </w:r>
      <w:r w:rsidR="00657BBE">
        <w:rPr>
          <w:rFonts w:ascii="Times New Roman" w:hAnsi="Times New Roman"/>
          <w:b/>
          <w:bCs/>
          <w:sz w:val="24"/>
        </w:rPr>
        <w:t>8</w:t>
      </w:r>
      <w:r>
        <w:rPr>
          <w:rFonts w:ascii="Times New Roman" w:hAnsi="Times New Roman"/>
          <w:b/>
          <w:bCs/>
          <w:sz w:val="24"/>
        </w:rPr>
        <w:t xml:space="preserve">: </w:t>
      </w:r>
      <w:r w:rsidRPr="006F68E9">
        <w:rPr>
          <w:rFonts w:ascii="Times New Roman" w:hAnsi="Times New Roman"/>
          <w:sz w:val="24"/>
        </w:rPr>
        <w:t xml:space="preserve">Another commenter </w:t>
      </w:r>
      <w:r>
        <w:rPr>
          <w:rFonts w:ascii="Times New Roman" w:hAnsi="Times New Roman"/>
          <w:sz w:val="24"/>
        </w:rPr>
        <w:t>stated</w:t>
      </w:r>
      <w:r w:rsidRPr="006F68E9">
        <w:rPr>
          <w:rFonts w:ascii="Times New Roman" w:hAnsi="Times New Roman"/>
          <w:sz w:val="24"/>
        </w:rPr>
        <w:t xml:space="preserve"> that EPA’s proposal to amend its regulations to require auditing of “each covered process” would create a conflict with OSHA’s PSM standard and reflected EPA’s failure to coordinate with that agency on this issue (0233).</w:t>
      </w:r>
      <w:r>
        <w:rPr>
          <w:rFonts w:ascii="Times New Roman" w:hAnsi="Times New Roman"/>
          <w:sz w:val="24"/>
        </w:rPr>
        <w:t xml:space="preserve"> </w:t>
      </w:r>
      <w:r>
        <w:rPr>
          <w:rFonts w:ascii="Times New Roman" w:hAnsi="Times New Roman"/>
          <w:sz w:val="24"/>
        </w:rPr>
        <w:t>The</w:t>
      </w:r>
      <w:r w:rsidRPr="006F68E9">
        <w:rPr>
          <w:rFonts w:ascii="Times New Roman" w:hAnsi="Times New Roman"/>
          <w:sz w:val="24"/>
        </w:rPr>
        <w:t xml:space="preserve"> commenter specified that “each covered process” auditing is inconsistent and more stringent than OSHA’s requirements (0233). </w:t>
      </w:r>
    </w:p>
    <w:p w:rsidR="0013655E" w:rsidRPr="0013655E" w:rsidP="0013655E" w14:paraId="36A95EF9" w14:textId="1271160D">
      <w:pPr>
        <w:ind w:left="720"/>
        <w:rPr>
          <w:rFonts w:ascii="Times New Roman" w:hAnsi="Times New Roman"/>
          <w:color w:val="000000"/>
          <w:sz w:val="24"/>
        </w:rPr>
      </w:pPr>
      <w:r>
        <w:rPr>
          <w:rFonts w:ascii="Times New Roman" w:hAnsi="Times New Roman"/>
          <w:b/>
          <w:bCs/>
          <w:sz w:val="24"/>
        </w:rPr>
        <w:t xml:space="preserve">EPA Response: </w:t>
      </w:r>
      <w:r w:rsidRPr="007748D1">
        <w:t xml:space="preserve"> </w:t>
      </w:r>
      <w:r w:rsidRPr="007748D1">
        <w:rPr>
          <w:rStyle w:val="normaltextrun"/>
          <w:rFonts w:ascii="Times New Roman" w:hAnsi="Times New Roman"/>
          <w:color w:val="000000"/>
          <w:sz w:val="24"/>
        </w:rPr>
        <w:t xml:space="preserve">EPA is not finalizing compliance audit language at 40 CFR 68.58(a) and 68.79(a) which proposed auditing for every covered process at a facility. This corrects an error in the proposed rulemaking text. By not finalizing this language, compliance audits will remain consistent with the current practice, which allows for representative sampling. A discussion of representative sampling as an acceptable practice for compliance audits can be found in the Reconsideration final rule. </w:t>
      </w:r>
    </w:p>
    <w:p w:rsidR="00F41FFB" w:rsidRPr="008E392A" w:rsidP="00F41FFB" w14:paraId="54EE386C" w14:textId="77777777">
      <w:pPr>
        <w:rPr>
          <w:rFonts w:ascii="Times New Roman" w:hAnsi="Times New Roman"/>
          <w:i/>
          <w:iCs/>
          <w:sz w:val="24"/>
        </w:rPr>
      </w:pPr>
      <w:r w:rsidRPr="008E392A">
        <w:rPr>
          <w:rFonts w:ascii="Times New Roman" w:hAnsi="Times New Roman"/>
          <w:i/>
          <w:iCs/>
          <w:sz w:val="24"/>
        </w:rPr>
        <w:t>Schedule for conducting a third-party audit</w:t>
      </w:r>
    </w:p>
    <w:p w:rsidR="00F41FFB" w:rsidP="00F41FFB" w14:paraId="51F76292" w14:textId="084232EB">
      <w:pPr>
        <w:rPr>
          <w:rFonts w:ascii="Times New Roman" w:hAnsi="Times New Roman"/>
          <w:sz w:val="24"/>
        </w:rPr>
      </w:pPr>
      <w:r>
        <w:rPr>
          <w:rFonts w:ascii="Times New Roman" w:hAnsi="Times New Roman"/>
          <w:b/>
          <w:bCs/>
          <w:sz w:val="24"/>
        </w:rPr>
        <w:t>Comment 8.1-</w:t>
      </w:r>
      <w:r w:rsidR="00657BBE">
        <w:rPr>
          <w:rFonts w:ascii="Times New Roman" w:hAnsi="Times New Roman"/>
          <w:b/>
          <w:bCs/>
          <w:sz w:val="24"/>
        </w:rPr>
        <w:t>19</w:t>
      </w:r>
      <w:r>
        <w:rPr>
          <w:rFonts w:ascii="Times New Roman" w:hAnsi="Times New Roman"/>
          <w:b/>
          <w:bCs/>
          <w:sz w:val="24"/>
        </w:rPr>
        <w:t xml:space="preserve">: </w:t>
      </w:r>
      <w:r w:rsidRPr="00444D97">
        <w:rPr>
          <w:rFonts w:ascii="Times New Roman" w:hAnsi="Times New Roman"/>
          <w:sz w:val="24"/>
        </w:rPr>
        <w:t xml:space="preserve">A couple of commenters made recommendations regarding the timing of third-party audits (0233, 0268). </w:t>
      </w:r>
      <w:r w:rsidRPr="4E55F610">
        <w:rPr>
          <w:rFonts w:ascii="Times New Roman" w:hAnsi="Times New Roman"/>
          <w:sz w:val="24"/>
        </w:rPr>
        <w:t xml:space="preserve">Some commenters proposed that the language in the provision should be revised to state that audits should be performed every three years. The commenters </w:t>
      </w:r>
      <w:r>
        <w:rPr>
          <w:rFonts w:ascii="Times New Roman" w:hAnsi="Times New Roman"/>
          <w:sz w:val="24"/>
        </w:rPr>
        <w:t>stated there is an</w:t>
      </w:r>
      <w:r w:rsidRPr="4E55F610">
        <w:rPr>
          <w:rFonts w:ascii="Times New Roman" w:hAnsi="Times New Roman"/>
          <w:sz w:val="24"/>
        </w:rPr>
        <w:t xml:space="preserve"> inconsistency in when audits would be required for the 1-Mile Trigger and 2-Accident Trigger, and they recommended removing the various triggers in the Final Rule and simplifying the triggers to only RMP-reportable accidents within the 5-year period (0261, 0268).</w:t>
      </w:r>
      <w:r>
        <w:rPr>
          <w:rFonts w:ascii="Times New Roman" w:hAnsi="Times New Roman"/>
          <w:sz w:val="24"/>
        </w:rPr>
        <w:t xml:space="preserve"> One</w:t>
      </w:r>
      <w:r w:rsidRPr="00444D97">
        <w:rPr>
          <w:rFonts w:ascii="Times New Roman" w:hAnsi="Times New Roman"/>
          <w:sz w:val="24"/>
        </w:rPr>
        <w:t xml:space="preserve"> commenter recommended that EPA offer the opportunity to extend the deadline for third-party audits, as 90 days may not be sufficient for facilities to resolve deficiencies and implement recommendations identified in incident</w:t>
      </w:r>
      <w:r w:rsidRPr="006F68E9">
        <w:rPr>
          <w:rFonts w:ascii="Times New Roman" w:hAnsi="Times New Roman"/>
          <w:sz w:val="24"/>
        </w:rPr>
        <w:t xml:space="preserve"> investigations (0268).</w:t>
      </w:r>
    </w:p>
    <w:p w:rsidR="00F41FFB" w:rsidP="00F41FFB" w14:paraId="737E3B9E" w14:textId="115BA22D">
      <w:pPr>
        <w:rPr>
          <w:rFonts w:ascii="Times New Roman" w:hAnsi="Times New Roman"/>
          <w:sz w:val="24"/>
        </w:rPr>
      </w:pPr>
      <w:r w:rsidRPr="006F68E9">
        <w:rPr>
          <w:rFonts w:ascii="Times New Roman" w:hAnsi="Times New Roman"/>
          <w:sz w:val="24"/>
        </w:rPr>
        <w:t>Another commenter suggested that EPA provide more time to complete audits than the 12-month requirement, or not dictate a timeline outside of the three-year audit cycle. The commenter requested that EPA specially allow two years to complete the audit and audit report (0233).</w:t>
      </w:r>
    </w:p>
    <w:p w:rsidR="00F41FFB" w:rsidP="00F41FFB" w14:paraId="3D68119B" w14:textId="77BEF307">
      <w:pPr>
        <w:rPr>
          <w:rFonts w:ascii="Times New Roman" w:hAnsi="Times New Roman"/>
          <w:sz w:val="24"/>
        </w:rPr>
      </w:pPr>
      <w:r w:rsidRPr="006F68E9">
        <w:rPr>
          <w:rFonts w:ascii="Times New Roman" w:hAnsi="Times New Roman"/>
          <w:sz w:val="24"/>
        </w:rPr>
        <w:t>One commenter suggested that EPA revise the language to exempt facilities from this requirement if they conducted a third-party audit in the five years prior to meeting the listed criteria (0230).</w:t>
      </w:r>
    </w:p>
    <w:p w:rsidR="00F41FFB" w:rsidRPr="006F68E9" w:rsidP="00F41FFB" w14:paraId="5C783D06"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noted that because of the COVID-19 pandemic, </w:t>
      </w:r>
      <w:r>
        <w:rPr>
          <w:rFonts w:ascii="Times New Roman" w:hAnsi="Times New Roman"/>
          <w:sz w:val="24"/>
        </w:rPr>
        <w:t xml:space="preserve">audit </w:t>
      </w:r>
      <w:r w:rsidRPr="006F68E9">
        <w:rPr>
          <w:rFonts w:ascii="Times New Roman" w:hAnsi="Times New Roman"/>
          <w:sz w:val="24"/>
        </w:rPr>
        <w:t>enforcement is requiring longer timeframes (0188).</w:t>
      </w:r>
    </w:p>
    <w:p w:rsidR="00F41FFB" w:rsidRPr="00A61697" w:rsidP="00F41FFB" w14:paraId="0BCA0798" w14:textId="5DE56B1B">
      <w:pPr>
        <w:ind w:left="720"/>
        <w:rPr>
          <w:rFonts w:ascii="Times New Roman" w:hAnsi="Times New Roman"/>
          <w:sz w:val="24"/>
        </w:rPr>
      </w:pPr>
      <w:r w:rsidRPr="74E79964">
        <w:rPr>
          <w:rFonts w:ascii="Times New Roman" w:hAnsi="Times New Roman"/>
          <w:b/>
          <w:bCs/>
          <w:sz w:val="24"/>
        </w:rPr>
        <w:t xml:space="preserve">EPA </w:t>
      </w:r>
      <w:r w:rsidRPr="224AFE3F">
        <w:rPr>
          <w:rFonts w:ascii="Times New Roman" w:hAnsi="Times New Roman"/>
          <w:b/>
          <w:bCs/>
          <w:sz w:val="24"/>
        </w:rPr>
        <w:t>Response</w:t>
      </w:r>
      <w:r>
        <w:rPr>
          <w:rFonts w:ascii="Times New Roman" w:hAnsi="Times New Roman"/>
          <w:b/>
          <w:bCs/>
          <w:sz w:val="24"/>
        </w:rPr>
        <w:t xml:space="preserve">: </w:t>
      </w:r>
      <w:r w:rsidRPr="00406779" w:rsidR="00406779">
        <w:rPr>
          <w:rFonts w:ascii="Times New Roman" w:hAnsi="Times New Roman"/>
          <w:sz w:val="24"/>
        </w:rPr>
        <w:t>EPA is not finalizing the 1-mile trigger for third-party audits in the SCCAP final rule. Additionally,</w:t>
      </w:r>
      <w:r w:rsidR="00406779">
        <w:rPr>
          <w:rFonts w:ascii="Times New Roman" w:hAnsi="Times New Roman"/>
          <w:b/>
          <w:bCs/>
          <w:sz w:val="24"/>
        </w:rPr>
        <w:t xml:space="preserve"> </w:t>
      </w:r>
      <w:r w:rsidR="00406779">
        <w:rPr>
          <w:rFonts w:ascii="Times New Roman" w:hAnsi="Times New Roman"/>
          <w:sz w:val="24"/>
        </w:rPr>
        <w:t>i</w:t>
      </w:r>
      <w:r w:rsidRPr="00A61697">
        <w:rPr>
          <w:rFonts w:ascii="Times New Roman" w:hAnsi="Times New Roman"/>
          <w:sz w:val="24"/>
        </w:rPr>
        <w:t>n response to comments on when third-party audits are required, EPA is clarifying and finalizing that, whichever criteria triggers the requirement, a third-party need only be engaged for the next required compliance audit(s), which is</w:t>
      </w:r>
      <w:r w:rsidRPr="00A61697">
        <w:rPr>
          <w:rFonts w:ascii="Times New Roman" w:hAnsi="Times New Roman"/>
          <w:sz w:val="24"/>
        </w:rPr>
        <w:t xml:space="preserve"> </w:t>
      </w:r>
      <w:r w:rsidRPr="00A61697">
        <w:rPr>
          <w:rFonts w:ascii="Times New Roman" w:hAnsi="Times New Roman"/>
          <w:sz w:val="24"/>
        </w:rPr>
        <w:t>no later than 3 years from the previous compliance audit. The revised final requirement relies on the language at 40 CFR 68.58(f) and 68.79(f) which refer to the timeline of a third-party compliance audit to be the “next required compliance audit,” which is at least every 3 years under 40 CFR 68.58(a) and 68.79(a). For example, if a facility conducted an internal compliance audit in August 2024 and had an RMP-reportable accident in October 2024, the next compliance audit, required by August 2027, would be a third-party audit. EPA believes this approach is appropriate because it will allow the source to remain within their already required scheduled timing for audits. Further, when an accident occurs, the source will be required to conduct an RCA within 12 months; the 3-year finalized timeframe for the audit will give the source flexibility to accomplish both within their compliance due dates. If the third-party audit is completed after the RCA, it will give the source an additional opportunity to uncover deficiencies that led to the accident. In other words, the third-party audit will be a follow-up to review the RCA and ensure all practices to prevent an accident have been resolved.</w:t>
      </w:r>
    </w:p>
    <w:p w:rsidR="008D5F94" w:rsidRPr="00A61697" w:rsidP="00406779" w14:paraId="2FD8E936" w14:textId="55DD13DF">
      <w:pPr>
        <w:ind w:left="720"/>
        <w:rPr>
          <w:rFonts w:ascii="Times New Roman" w:hAnsi="Times New Roman"/>
          <w:sz w:val="24"/>
        </w:rPr>
      </w:pPr>
      <w:r>
        <w:rPr>
          <w:rFonts w:ascii="Times New Roman" w:hAnsi="Times New Roman"/>
          <w:sz w:val="24"/>
        </w:rPr>
        <w:t xml:space="preserve">Further, </w:t>
      </w:r>
      <w:r w:rsidR="00E81C8F">
        <w:rPr>
          <w:rFonts w:ascii="Times New Roman" w:hAnsi="Times New Roman"/>
          <w:sz w:val="24"/>
        </w:rPr>
        <w:t xml:space="preserve">EPA disagrees </w:t>
      </w:r>
      <w:r>
        <w:rPr>
          <w:rFonts w:ascii="Times New Roman" w:hAnsi="Times New Roman"/>
          <w:sz w:val="24"/>
        </w:rPr>
        <w:t xml:space="preserve">that it </w:t>
      </w:r>
      <w:r w:rsidR="00B229A9">
        <w:rPr>
          <w:rFonts w:ascii="Times New Roman" w:hAnsi="Times New Roman"/>
          <w:sz w:val="24"/>
        </w:rPr>
        <w:t xml:space="preserve">is necessary </w:t>
      </w:r>
      <w:r w:rsidR="00B8157E">
        <w:rPr>
          <w:rFonts w:ascii="Times New Roman" w:hAnsi="Times New Roman"/>
          <w:sz w:val="24"/>
        </w:rPr>
        <w:t xml:space="preserve">to exempt facilities </w:t>
      </w:r>
      <w:r w:rsidR="007E0FC4">
        <w:rPr>
          <w:rFonts w:ascii="Times New Roman" w:hAnsi="Times New Roman"/>
          <w:sz w:val="24"/>
        </w:rPr>
        <w:t xml:space="preserve">from third-party audits if they conducted </w:t>
      </w:r>
      <w:r w:rsidR="001F7809">
        <w:rPr>
          <w:rFonts w:ascii="Times New Roman" w:hAnsi="Times New Roman"/>
          <w:sz w:val="24"/>
        </w:rPr>
        <w:t xml:space="preserve">one five years prior. </w:t>
      </w:r>
      <w:r w:rsidR="00B829F3">
        <w:rPr>
          <w:rFonts w:ascii="Times New Roman" w:hAnsi="Times New Roman"/>
          <w:sz w:val="24"/>
        </w:rPr>
        <w:t>Even with a previous third-party audit, t</w:t>
      </w:r>
      <w:r w:rsidRPr="00827823" w:rsidR="00827823">
        <w:rPr>
          <w:rFonts w:ascii="Times New Roman" w:hAnsi="Times New Roman"/>
          <w:sz w:val="24"/>
        </w:rPr>
        <w:t xml:space="preserve">he Agency believes the affected </w:t>
      </w:r>
      <w:r w:rsidR="00B829F3">
        <w:rPr>
          <w:rFonts w:ascii="Times New Roman" w:hAnsi="Times New Roman"/>
          <w:sz w:val="24"/>
        </w:rPr>
        <w:t>facility would still be</w:t>
      </w:r>
      <w:r w:rsidRPr="00827823" w:rsidR="00827823">
        <w:rPr>
          <w:rFonts w:ascii="Times New Roman" w:hAnsi="Times New Roman"/>
          <w:sz w:val="24"/>
        </w:rPr>
        <w:t>nefit from an</w:t>
      </w:r>
      <w:r w:rsidR="00F94EC4">
        <w:rPr>
          <w:rFonts w:ascii="Times New Roman" w:hAnsi="Times New Roman"/>
          <w:sz w:val="24"/>
        </w:rPr>
        <w:t>other</w:t>
      </w:r>
      <w:r w:rsidRPr="00827823" w:rsidR="00827823">
        <w:rPr>
          <w:rFonts w:ascii="Times New Roman" w:hAnsi="Times New Roman"/>
          <w:sz w:val="24"/>
        </w:rPr>
        <w:t xml:space="preserve"> independent objective audit of their compliance with prevention program requirements. </w:t>
      </w:r>
      <w:r w:rsidR="001F7809">
        <w:rPr>
          <w:rFonts w:ascii="Times New Roman" w:hAnsi="Times New Roman"/>
          <w:sz w:val="24"/>
        </w:rPr>
        <w:t>The Agency</w:t>
      </w:r>
      <w:r w:rsidRPr="008D5F94">
        <w:rPr>
          <w:rFonts w:ascii="Times New Roman" w:hAnsi="Times New Roman"/>
          <w:sz w:val="24"/>
        </w:rPr>
        <w:t xml:space="preserve"> notes that having a third-party conduct a compliance audit does not preclude the facility from conducting an in-house compliance audit in tandem. If the goal is to ensure that preventative measures are in place to prevent future accidents, EPA hopes that a facility would want to implement all such measures to ensure it is compliant. </w:t>
      </w:r>
    </w:p>
    <w:p w:rsidR="00F41FFB" w:rsidP="00F41FFB" w14:paraId="609201B9" w14:textId="53147313">
      <w:pPr>
        <w:rPr>
          <w:rFonts w:ascii="Times New Roman" w:hAnsi="Times New Roman"/>
          <w:sz w:val="24"/>
        </w:rPr>
      </w:pPr>
      <w:r w:rsidRPr="00AF7DC3">
        <w:rPr>
          <w:rFonts w:ascii="Times New Roman" w:hAnsi="Times New Roman"/>
          <w:b/>
          <w:bCs/>
          <w:sz w:val="24"/>
        </w:rPr>
        <w:t>Comment</w:t>
      </w:r>
      <w:r>
        <w:rPr>
          <w:rFonts w:ascii="Times New Roman" w:hAnsi="Times New Roman"/>
          <w:b/>
          <w:bCs/>
          <w:sz w:val="24"/>
        </w:rPr>
        <w:t xml:space="preserve"> 8.1-2</w:t>
      </w:r>
      <w:r w:rsidR="00657BBE">
        <w:rPr>
          <w:rFonts w:ascii="Times New Roman" w:hAnsi="Times New Roman"/>
          <w:b/>
          <w:bCs/>
          <w:sz w:val="24"/>
        </w:rPr>
        <w:t>0</w:t>
      </w:r>
      <w:r w:rsidRPr="00AF7DC3">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suggested that the 30-day response requirement does not provide a safety benefit since addressing unsafe conditions immediate action (0232). Another commenter recommended that EPA adopt the 30-day timeframe for facilities to review the draft report and develop a written response (0203).</w:t>
      </w:r>
    </w:p>
    <w:p w:rsidR="00F41FFB" w:rsidP="00F41FFB" w14:paraId="5C58F630" w14:textId="77777777">
      <w:pPr>
        <w:ind w:left="720"/>
        <w:rPr>
          <w:rFonts w:ascii="Times New Roman" w:hAnsi="Times New Roman"/>
          <w:b/>
          <w:sz w:val="24"/>
        </w:rPr>
      </w:pPr>
      <w:r>
        <w:rPr>
          <w:rFonts w:ascii="Times New Roman" w:hAnsi="Times New Roman"/>
          <w:b/>
          <w:bCs/>
          <w:sz w:val="24"/>
        </w:rPr>
        <w:t xml:space="preserve">EPA Response: </w:t>
      </w:r>
      <w:r w:rsidRPr="0054349F">
        <w:rPr>
          <w:rFonts w:ascii="Times New Roman" w:hAnsi="Times New Roman"/>
          <w:sz w:val="24"/>
        </w:rPr>
        <w:t>EPA is finalizing the requirement that the owner or operator prepare a findings response report as soon as possible, but no later than 90 days after receiving the final audit report as proposed. EPA believes this timeframe will be appropriate for the owner or operator to consider the findings of the audit report and determine a response to each of the audit’s findings. This approach will allow the owner or operator an opportunity to establish a schedule to implement corrective actions that can extend beyond the 90-day period for developing the findings response report and balance the need to promptly respond to the audit findings. EPA notes that, in many instances, an owner or operator may receive prior information about the audit’s findings before receiving a final audit report, particularly when the third-party audit team includes facility personnel. This will give the owner or operator additional time to consider its responses.</w:t>
      </w:r>
    </w:p>
    <w:p w:rsidR="00F41FFB" w:rsidRPr="00547945" w:rsidP="00F41FFB" w14:paraId="5BE9836D" w14:textId="77777777">
      <w:pPr>
        <w:rPr>
          <w:rFonts w:ascii="Times New Roman" w:eastAsia="Times New Roman" w:hAnsi="Times New Roman"/>
          <w:i/>
          <w:iCs/>
          <w:color w:val="000000" w:themeColor="text1"/>
          <w:sz w:val="24"/>
        </w:rPr>
      </w:pPr>
      <w:r w:rsidRPr="00547945">
        <w:rPr>
          <w:rFonts w:ascii="Times New Roman" w:hAnsi="Times New Roman"/>
          <w:i/>
          <w:iCs/>
          <w:sz w:val="24"/>
        </w:rPr>
        <w:t xml:space="preserve">Audit report requirements </w:t>
      </w:r>
    </w:p>
    <w:p w:rsidR="00F41FFB" w:rsidP="00F41FFB" w14:paraId="2863CD55" w14:textId="1F3B99E2">
      <w:pPr>
        <w:rPr>
          <w:rFonts w:ascii="Times New Roman" w:hAnsi="Times New Roman"/>
          <w:sz w:val="24"/>
        </w:rPr>
      </w:pPr>
      <w:r>
        <w:rPr>
          <w:rFonts w:ascii="Times New Roman" w:hAnsi="Times New Roman"/>
          <w:b/>
          <w:bCs/>
          <w:sz w:val="24"/>
        </w:rPr>
        <w:t>Comment 8.1-2</w:t>
      </w:r>
      <w:r w:rsidR="00657BBE">
        <w:rPr>
          <w:rFonts w:ascii="Times New Roman" w:hAnsi="Times New Roman"/>
          <w:b/>
          <w:bCs/>
          <w:sz w:val="24"/>
        </w:rPr>
        <w:t>1</w:t>
      </w:r>
      <w:r>
        <w:rPr>
          <w:rFonts w:ascii="Times New Roman" w:hAnsi="Times New Roman"/>
          <w:b/>
          <w:bCs/>
          <w:sz w:val="24"/>
        </w:rPr>
        <w:t xml:space="preserve">: </w:t>
      </w:r>
      <w:r>
        <w:rPr>
          <w:rFonts w:ascii="Times New Roman" w:hAnsi="Times New Roman"/>
          <w:sz w:val="24"/>
        </w:rPr>
        <w:t>One</w:t>
      </w:r>
      <w:r w:rsidRPr="006F68E9">
        <w:rPr>
          <w:rFonts w:ascii="Times New Roman" w:hAnsi="Times New Roman"/>
          <w:sz w:val="24"/>
        </w:rPr>
        <w:t xml:space="preserve"> commenter suggested that the rule’s provision that would require the facility’s audit response include a signed certification from a senior corporate officer or equivalent is unnecessary and burdensome. The commenter noted that </w:t>
      </w:r>
      <w:r>
        <w:rPr>
          <w:rFonts w:ascii="Times New Roman" w:hAnsi="Times New Roman"/>
          <w:sz w:val="24"/>
        </w:rPr>
        <w:t>Section</w:t>
      </w:r>
      <w:r w:rsidRPr="006F68E9">
        <w:rPr>
          <w:rFonts w:ascii="Times New Roman" w:hAnsi="Times New Roman"/>
          <w:sz w:val="24"/>
        </w:rPr>
        <w:t xml:space="preserve"> 1001 of the </w:t>
      </w:r>
      <w:r>
        <w:rPr>
          <w:rFonts w:ascii="Times New Roman" w:hAnsi="Times New Roman"/>
          <w:sz w:val="24"/>
        </w:rPr>
        <w:t>F</w:t>
      </w:r>
      <w:r w:rsidRPr="006F68E9">
        <w:rPr>
          <w:rFonts w:ascii="Times New Roman" w:hAnsi="Times New Roman"/>
          <w:sz w:val="24"/>
        </w:rPr>
        <w:t xml:space="preserve">ederal </w:t>
      </w:r>
      <w:r>
        <w:rPr>
          <w:rFonts w:ascii="Times New Roman" w:hAnsi="Times New Roman"/>
          <w:sz w:val="24"/>
        </w:rPr>
        <w:t>Criminal</w:t>
      </w:r>
      <w:r w:rsidRPr="006F68E9">
        <w:rPr>
          <w:rFonts w:ascii="Times New Roman" w:hAnsi="Times New Roman"/>
          <w:sz w:val="24"/>
        </w:rPr>
        <w:t xml:space="preserve"> </w:t>
      </w:r>
      <w:r>
        <w:rPr>
          <w:rFonts w:ascii="Times New Roman" w:hAnsi="Times New Roman"/>
          <w:sz w:val="24"/>
        </w:rPr>
        <w:t>C</w:t>
      </w:r>
      <w:r w:rsidRPr="006F68E9">
        <w:rPr>
          <w:rFonts w:ascii="Times New Roman" w:hAnsi="Times New Roman"/>
          <w:sz w:val="24"/>
        </w:rPr>
        <w:t xml:space="preserve">ode already makes it a felony to lie to </w:t>
      </w:r>
      <w:r>
        <w:rPr>
          <w:rFonts w:ascii="Times New Roman" w:hAnsi="Times New Roman"/>
          <w:sz w:val="24"/>
        </w:rPr>
        <w:t>F</w:t>
      </w:r>
      <w:r w:rsidRPr="006F68E9">
        <w:rPr>
          <w:rFonts w:ascii="Times New Roman" w:hAnsi="Times New Roman"/>
          <w:sz w:val="24"/>
        </w:rPr>
        <w:t xml:space="preserve">ederal agencies knowingly and willfully, and </w:t>
      </w:r>
      <w:r>
        <w:rPr>
          <w:rFonts w:ascii="Times New Roman" w:hAnsi="Times New Roman"/>
          <w:sz w:val="24"/>
        </w:rPr>
        <w:t>Section</w:t>
      </w:r>
      <w:r w:rsidRPr="006F68E9">
        <w:rPr>
          <w:rFonts w:ascii="Times New Roman" w:hAnsi="Times New Roman"/>
          <w:sz w:val="24"/>
        </w:rPr>
        <w:t xml:space="preserve"> 113(c)(2) of the CAA criminalizes knowing and willful false statements to EPA. The commenter noted that the certification requirement risks infringing on the senior official’s Fifth Amendment privilege against self-incrimination, and the compelled speech of the certification requirement raises first amendment free speech concerns. The commenter also noted that EPA needs to clarify who qualifies as a “senior corporate officer, or official in an equivalent position” and recommended using the “responsible official” definition from the CAA’s Title V operating permit program. The commenter recommended that any certification obligation incorporate the “reasonable inquiry” concept from the Title V compliance certifications, and that EPA adopt the same standard for certifications in audit responses as in the Title V compliance certifications (0268). </w:t>
      </w:r>
    </w:p>
    <w:p w:rsidR="00F41FFB" w:rsidRPr="0043570E" w:rsidP="00F41FFB" w14:paraId="17C8FC77" w14:textId="7D131862">
      <w:pPr>
        <w:ind w:left="720"/>
        <w:rPr>
          <w:rFonts w:ascii="Times New Roman" w:hAnsi="Times New Roman"/>
          <w:sz w:val="24"/>
        </w:rPr>
      </w:pPr>
      <w:r>
        <w:rPr>
          <w:rFonts w:ascii="Times New Roman" w:hAnsi="Times New Roman"/>
          <w:b/>
          <w:bCs/>
          <w:sz w:val="24"/>
        </w:rPr>
        <w:t xml:space="preserve">EPA Response: </w:t>
      </w:r>
      <w:r w:rsidRPr="0043570E">
        <w:rPr>
          <w:rFonts w:ascii="Times New Roman" w:hAnsi="Times New Roman"/>
          <w:sz w:val="24"/>
        </w:rPr>
        <w:t xml:space="preserve">EPA believes these requirements and the associated certification are important to ensure that the certifying official is familiar with, and responsible for, the submitted reports. The certification requirements in this rule will be consistent with </w:t>
      </w:r>
      <w:r w:rsidRPr="0043570E">
        <w:rPr>
          <w:rFonts w:ascii="Times New Roman" w:hAnsi="Times New Roman"/>
          <w:sz w:val="24"/>
        </w:rPr>
        <w:t>equivalent certification requirements in many EPA regulations, including in the CAA Title V regulations (40 CFR § 70.5(d).</w:t>
      </w:r>
      <w:r>
        <w:rPr>
          <w:rStyle w:val="FootnoteReference"/>
          <w:rFonts w:ascii="Times New Roman" w:hAnsi="Times New Roman"/>
          <w:sz w:val="24"/>
        </w:rPr>
        <w:footnoteReference w:id="134"/>
      </w:r>
      <w:r w:rsidRPr="0043570E">
        <w:rPr>
          <w:rFonts w:ascii="Times New Roman" w:hAnsi="Times New Roman"/>
          <w:sz w:val="24"/>
        </w:rPr>
        <w:t>)</w:t>
      </w:r>
      <w:r w:rsidR="007144BB">
        <w:rPr>
          <w:rFonts w:ascii="Times New Roman" w:hAnsi="Times New Roman"/>
          <w:sz w:val="24"/>
        </w:rPr>
        <w:t xml:space="preserve"> </w:t>
      </w:r>
    </w:p>
    <w:p w:rsidR="00F41FFB" w:rsidP="00F41FFB" w14:paraId="148A18C1" w14:textId="5015F731">
      <w:pPr>
        <w:ind w:left="720"/>
        <w:rPr>
          <w:rFonts w:ascii="Times New Roman" w:hAnsi="Times New Roman"/>
          <w:sz w:val="24"/>
        </w:rPr>
      </w:pPr>
      <w:r w:rsidRPr="007144BB">
        <w:rPr>
          <w:rFonts w:ascii="Times New Roman" w:hAnsi="Times New Roman"/>
          <w:sz w:val="24"/>
        </w:rPr>
        <w:t xml:space="preserve">The certification will indicate that the compliance audit report was received, reviewed, and responded to under the senior corporate officer’s direction or supervision by qualified personnel. Similar to the requirement to submit the findings response report to the audit committees of the Board of Directors, a senior corporate official ensures accountability and oversees corporate prioritization, budgeting, and operations. </w:t>
      </w:r>
      <w:r w:rsidRPr="0043570E">
        <w:rPr>
          <w:rFonts w:ascii="Times New Roman" w:hAnsi="Times New Roman"/>
          <w:sz w:val="24"/>
        </w:rPr>
        <w:t>EPA agrees that senior corporate officials do not necessarily have high levels of technical expertise; however, these officials and entities include key managers responsible for establishing internal corporate accountability and overseeing corporate prioritization, budgeting, and operations. Indeed, the Security and Exchange Commission (SEC) requires other specified documents to be provided to such individuals, committees, and boards for similar reasons.</w:t>
      </w:r>
      <w:r>
        <w:rPr>
          <w:rStyle w:val="FootnoteReference"/>
          <w:rFonts w:ascii="Times New Roman" w:hAnsi="Times New Roman"/>
          <w:sz w:val="24"/>
        </w:rPr>
        <w:footnoteReference w:id="135"/>
      </w:r>
      <w:r w:rsidRPr="0043570E">
        <w:rPr>
          <w:rFonts w:ascii="Times New Roman" w:hAnsi="Times New Roman"/>
          <w:sz w:val="24"/>
        </w:rPr>
        <w:t xml:space="preserve"> Finally, EPA believes that the certification will minimize corporate failures to properly address and implement compliance audit findings and recommendations. Adopting a less stringent standard would not be appropriate. EPA expects that the senior corporate official certification of the audit findings will improve facility and public confidence that third-party audit report findings and recommendations are promptly and properly addressed</w:t>
      </w:r>
      <w:r>
        <w:rPr>
          <w:rFonts w:ascii="Times New Roman" w:hAnsi="Times New Roman"/>
          <w:sz w:val="24"/>
        </w:rPr>
        <w:t>.</w:t>
      </w:r>
    </w:p>
    <w:p w:rsidR="007144BB" w:rsidP="007144BB" w14:paraId="3D105071" w14:textId="1AF473A5">
      <w:pPr>
        <w:ind w:left="720"/>
        <w:rPr>
          <w:rFonts w:ascii="Times New Roman" w:hAnsi="Times New Roman"/>
          <w:sz w:val="24"/>
        </w:rPr>
      </w:pPr>
      <w:r>
        <w:rPr>
          <w:rFonts w:ascii="Times New Roman" w:hAnsi="Times New Roman"/>
          <w:sz w:val="24"/>
        </w:rPr>
        <w:t xml:space="preserve">Moreover, </w:t>
      </w:r>
      <w:r w:rsidRPr="007144BB">
        <w:rPr>
          <w:rFonts w:ascii="Times New Roman" w:hAnsi="Times New Roman"/>
          <w:sz w:val="24"/>
        </w:rPr>
        <w:t xml:space="preserve">the language of the certification will cite the actions that are taken by the owner or operator pursuant to these requirements, and include, among other things, a statement that based on personnel knowledge and experience, or inquiry of personnel involved in evaluating the report findings and or inquiry of personnel involved in evaluating the report findings and determining appropriate responses to the findings, the information submitted herein is true, accurate, and complete. The certification will not contain an acknowledgement of a violation, and the certification and report will not be required to be automatically submitted to the implementing agency. This language will be equivalent to the language in certifications that support submissions under Title V of the CAA. EPA continues to believe that it is important for a senior corporate official, or an official in an equivalent position, to sign such a certification, ensuring that the owner or operator is aware of the findings and responses, and will be correcting the deficiencies, pursuant to these requirements. For smaller entities without corporate officials, the official in an equivalent position for purposes of this requirement may include the owner or operator, or designated representatives of the owner or operator, including facility manager, operations manager, or another official at or above that level.  </w:t>
      </w:r>
    </w:p>
    <w:p w:rsidR="00B82134" w:rsidRPr="00B82134" w:rsidP="00B82134" w14:paraId="766575F0" w14:textId="0554561B">
      <w:pPr>
        <w:ind w:left="720"/>
        <w:rPr>
          <w:rFonts w:ascii="Times New Roman" w:hAnsi="Times New Roman"/>
          <w:sz w:val="24"/>
        </w:rPr>
      </w:pPr>
      <w:r w:rsidRPr="00B82134">
        <w:rPr>
          <w:rFonts w:ascii="Times New Roman" w:hAnsi="Times New Roman"/>
          <w:sz w:val="24"/>
        </w:rPr>
        <w:t xml:space="preserve">Third-party audits will be called for under the rule when there has been a reportable accident, or when required by an implementing agency due to conditions at the stationary </w:t>
      </w:r>
      <w:r w:rsidRPr="00B82134">
        <w:rPr>
          <w:rFonts w:ascii="Times New Roman" w:hAnsi="Times New Roman"/>
          <w:sz w:val="24"/>
        </w:rPr>
        <w:t xml:space="preserve">source that could lead to an accidental release of a regulated substance. Such an incident or conditions can be an indicator of an ineffective accident prevention program. The fact that prior self-audits had either not detected a weakness in the prevention program or that recommendations from prior audits had not been addressed well enough to prevent the incident supports requiring fresh, independent eyes of a third-party auditor to conduct the next audit after the incident, and the involvement of senior officials of the stationary source regarding the findings. There is a substantial interest in ensuring that, when a third-party audit is required, a third-party audit is conducted, the audit report was received, reviewed, and responded to by the facility, and appropriate responses to the findings have been identified and deficiencies are being corrected, consistent with the requirements of subpart D of 40 CFR part 68.  </w:t>
      </w:r>
    </w:p>
    <w:p w:rsidR="00B82134" w:rsidRPr="00B82134" w:rsidP="00B82134" w14:paraId="2D6A7D30" w14:textId="77777777">
      <w:pPr>
        <w:ind w:left="720"/>
        <w:rPr>
          <w:rFonts w:ascii="Times New Roman" w:hAnsi="Times New Roman"/>
          <w:sz w:val="24"/>
        </w:rPr>
      </w:pPr>
      <w:r w:rsidRPr="00B82134">
        <w:rPr>
          <w:rFonts w:ascii="Times New Roman" w:hAnsi="Times New Roman"/>
          <w:sz w:val="24"/>
        </w:rPr>
        <w:t>The requirement for a senior corporate officer, or an official in an equivalent position, of the owner or operator of the stationary source to make such a certification directly and materially advances that interest, as it will ensure that the owner or operator is aware of the findings and responses, and will be correcting the deficiencies, pursuant to these requirements.</w:t>
      </w:r>
    </w:p>
    <w:p w:rsidR="00B82134" w:rsidRPr="007144BB" w:rsidP="00B82134" w14:paraId="1676FAEE" w14:textId="70C5414A">
      <w:pPr>
        <w:ind w:left="720"/>
        <w:rPr>
          <w:rFonts w:ascii="Times New Roman" w:hAnsi="Times New Roman"/>
          <w:sz w:val="24"/>
        </w:rPr>
      </w:pPr>
      <w:r w:rsidRPr="00B82134">
        <w:rPr>
          <w:rFonts w:ascii="Times New Roman" w:hAnsi="Times New Roman"/>
          <w:sz w:val="24"/>
        </w:rPr>
        <w:t>This certification requirement will be narrowly tailored to that interest, and the language will closely track the actions that such officials and facilities perform under the third-party audit provisions, including engaging a third party; receiving, reviewing, and responding to the audit report; and identifying appropriate responses to findings and correcting deficiencies.</w:t>
      </w:r>
    </w:p>
    <w:p w:rsidR="00F41FFB" w:rsidRPr="006F68E9" w:rsidP="00F41FFB" w14:paraId="5C54F615" w14:textId="613FC9FB">
      <w:pPr>
        <w:rPr>
          <w:rFonts w:ascii="Times New Roman" w:hAnsi="Times New Roman"/>
          <w:sz w:val="24"/>
        </w:rPr>
      </w:pPr>
      <w:r>
        <w:rPr>
          <w:rFonts w:ascii="Times New Roman" w:hAnsi="Times New Roman"/>
          <w:b/>
          <w:bCs/>
          <w:sz w:val="24"/>
        </w:rPr>
        <w:t>Comment 8.1-2</w:t>
      </w:r>
      <w:r w:rsidR="00657BBE">
        <w:rPr>
          <w:rFonts w:ascii="Times New Roman" w:hAnsi="Times New Roman"/>
          <w:b/>
          <w:bCs/>
          <w:sz w:val="24"/>
        </w:rPr>
        <w:t>2</w:t>
      </w:r>
      <w:r>
        <w:rPr>
          <w:rFonts w:ascii="Times New Roman" w:hAnsi="Times New Roman"/>
          <w:b/>
          <w:bCs/>
          <w:sz w:val="24"/>
        </w:rPr>
        <w:t xml:space="preserve">: </w:t>
      </w:r>
      <w:r w:rsidRPr="006F68E9">
        <w:rPr>
          <w:rFonts w:ascii="Times New Roman" w:hAnsi="Times New Roman"/>
          <w:sz w:val="24"/>
        </w:rPr>
        <w:t xml:space="preserve">One commenter suggested that the recordkeeping provision to retain the two most recent third-party audit reports and related documentation be revised, as third-party audits may be conducted infrequently, it may require owners/operators to retain audits that are more than a decade old. The commenter suggested that the retention requirement be timebound or harmonized with </w:t>
      </w:r>
      <w:r>
        <w:rPr>
          <w:rFonts w:ascii="Times New Roman" w:hAnsi="Times New Roman"/>
          <w:sz w:val="24"/>
        </w:rPr>
        <w:t>40 CFR</w:t>
      </w:r>
      <w:r w:rsidRPr="006F68E9">
        <w:rPr>
          <w:rFonts w:ascii="Times New Roman" w:hAnsi="Times New Roman"/>
          <w:sz w:val="24"/>
        </w:rPr>
        <w:t xml:space="preserve"> 68.79(e). The commenter suggested the following language revision (0193): </w:t>
      </w:r>
    </w:p>
    <w:p w:rsidR="00F41FFB" w:rsidP="002609DB" w14:paraId="42717765" w14:textId="77777777">
      <w:pPr>
        <w:ind w:left="720" w:right="720"/>
        <w:rPr>
          <w:rFonts w:ascii="Times New Roman" w:hAnsi="Times New Roman"/>
          <w:sz w:val="24"/>
        </w:rPr>
      </w:pPr>
      <w:r w:rsidRPr="006F68E9">
        <w:rPr>
          <w:rFonts w:ascii="Times New Roman" w:hAnsi="Times New Roman"/>
          <w:sz w:val="24"/>
        </w:rPr>
        <w:t xml:space="preserve">“§ 68.80(g) Recordkeeping. The owner or operator shall retain at the stationary source the </w:t>
      </w:r>
      <w:r w:rsidRPr="006F68E9">
        <w:rPr>
          <w:rFonts w:ascii="Times New Roman" w:hAnsi="Times New Roman"/>
          <w:strike/>
          <w:sz w:val="24"/>
        </w:rPr>
        <w:t>two most recent</w:t>
      </w:r>
      <w:r w:rsidRPr="006F68E9">
        <w:rPr>
          <w:rFonts w:ascii="Times New Roman" w:hAnsi="Times New Roman"/>
          <w:sz w:val="24"/>
        </w:rPr>
        <w:t xml:space="preserve"> final third-party audit reports, related findings response reports, documentation of actions taken to address deficiencies, and related records </w:t>
      </w:r>
      <w:r w:rsidRPr="006F68E9">
        <w:rPr>
          <w:rFonts w:ascii="Times New Roman" w:hAnsi="Times New Roman"/>
          <w:sz w:val="24"/>
          <w:u w:val="single"/>
        </w:rPr>
        <w:t xml:space="preserve">for a period not less than five years from the date of the final issuance of the audit report.” </w:t>
      </w:r>
    </w:p>
    <w:p w:rsidR="001204A2" w:rsidRPr="00A702B3" w:rsidP="001204A2" w14:paraId="44F647FB" w14:textId="0AF97DB5">
      <w:pPr>
        <w:ind w:left="720"/>
        <w:rPr>
          <w:rFonts w:ascii="Times New Roman" w:hAnsi="Times New Roman"/>
          <w:sz w:val="24"/>
        </w:rPr>
      </w:pPr>
      <w:r w:rsidRPr="00576632">
        <w:rPr>
          <w:rFonts w:ascii="Times New Roman" w:hAnsi="Times New Roman"/>
          <w:b/>
          <w:bCs/>
          <w:sz w:val="24"/>
        </w:rPr>
        <w:t>EPA Response:</w:t>
      </w:r>
      <w:r>
        <w:rPr>
          <w:rFonts w:ascii="Times New Roman" w:hAnsi="Times New Roman"/>
          <w:b/>
          <w:bCs/>
          <w:sz w:val="24"/>
        </w:rPr>
        <w:t xml:space="preserve"> </w:t>
      </w:r>
      <w:r w:rsidRPr="00A702B3">
        <w:rPr>
          <w:rFonts w:ascii="Times New Roman" w:hAnsi="Times New Roman"/>
          <w:sz w:val="24"/>
        </w:rPr>
        <w:t xml:space="preserve">The final rule will require that the owner or operator retain as records certain documents at the stationary source, including the two most recent final third-party audit reports, related findings response reports, documentation of actions taken to address deficiencies, and related records. </w:t>
      </w:r>
      <w:r w:rsidR="00506EF1">
        <w:rPr>
          <w:rFonts w:ascii="Times New Roman" w:eastAsia="Times New Roman" w:hAnsi="Times New Roman"/>
          <w:sz w:val="24"/>
        </w:rPr>
        <w:t xml:space="preserve">EPA </w:t>
      </w:r>
      <w:r w:rsidR="0041200A">
        <w:rPr>
          <w:rFonts w:ascii="Times New Roman" w:eastAsia="Times New Roman" w:hAnsi="Times New Roman"/>
          <w:sz w:val="24"/>
        </w:rPr>
        <w:t>retention requirement</w:t>
      </w:r>
      <w:r w:rsidR="00996D12">
        <w:rPr>
          <w:rFonts w:ascii="Times New Roman" w:eastAsia="Times New Roman" w:hAnsi="Times New Roman"/>
          <w:sz w:val="24"/>
        </w:rPr>
        <w:t xml:space="preserve"> is harmonized </w:t>
      </w:r>
      <w:r w:rsidR="0041200A">
        <w:rPr>
          <w:rFonts w:ascii="Times New Roman" w:eastAsia="Times New Roman" w:hAnsi="Times New Roman"/>
          <w:sz w:val="24"/>
        </w:rPr>
        <w:t xml:space="preserve">with </w:t>
      </w:r>
      <w:r w:rsidR="00506EF1">
        <w:rPr>
          <w:rFonts w:ascii="Times New Roman" w:eastAsia="Times New Roman" w:hAnsi="Times New Roman"/>
          <w:sz w:val="24"/>
        </w:rPr>
        <w:t>40 CFR 68.79(e)</w:t>
      </w:r>
      <w:r w:rsidR="0041200A">
        <w:rPr>
          <w:rFonts w:ascii="Times New Roman" w:eastAsia="Times New Roman" w:hAnsi="Times New Roman"/>
          <w:sz w:val="24"/>
        </w:rPr>
        <w:t>,</w:t>
      </w:r>
      <w:r w:rsidR="00506EF1">
        <w:rPr>
          <w:rFonts w:ascii="Times New Roman" w:eastAsia="Times New Roman" w:hAnsi="Times New Roman"/>
          <w:sz w:val="24"/>
        </w:rPr>
        <w:t xml:space="preserve"> </w:t>
      </w:r>
      <w:r w:rsidR="0041200A">
        <w:rPr>
          <w:rFonts w:ascii="Times New Roman" w:eastAsia="Times New Roman" w:hAnsi="Times New Roman"/>
          <w:sz w:val="24"/>
        </w:rPr>
        <w:t>which</w:t>
      </w:r>
      <w:r w:rsidR="00506EF1">
        <w:rPr>
          <w:rFonts w:ascii="Times New Roman" w:eastAsia="Times New Roman" w:hAnsi="Times New Roman"/>
          <w:sz w:val="24"/>
        </w:rPr>
        <w:t xml:space="preserve"> is </w:t>
      </w:r>
      <w:r w:rsidR="00182F5B">
        <w:rPr>
          <w:rFonts w:ascii="Times New Roman" w:eastAsia="Times New Roman" w:hAnsi="Times New Roman"/>
          <w:sz w:val="24"/>
        </w:rPr>
        <w:t xml:space="preserve">not timebound. </w:t>
      </w:r>
      <w:r w:rsidR="00EE1E8E">
        <w:rPr>
          <w:rFonts w:ascii="Times New Roman" w:eastAsia="Times New Roman" w:hAnsi="Times New Roman"/>
          <w:sz w:val="24"/>
        </w:rPr>
        <w:t xml:space="preserve"> </w:t>
      </w:r>
    </w:p>
    <w:p w:rsidR="005F680C" w:rsidRPr="006F68E9" w:rsidP="005F680C" w14:paraId="577FF239" w14:textId="5DFEF25A">
      <w:pPr>
        <w:rPr>
          <w:rFonts w:ascii="Times New Roman" w:hAnsi="Times New Roman"/>
          <w:sz w:val="24"/>
        </w:rPr>
      </w:pPr>
      <w:r w:rsidRPr="005F680C">
        <w:rPr>
          <w:rFonts w:ascii="Times New Roman" w:hAnsi="Times New Roman"/>
          <w:b/>
          <w:bCs/>
          <w:sz w:val="24"/>
        </w:rPr>
        <w:t>Comment 8.1-2</w:t>
      </w:r>
      <w:r w:rsidR="00657BBE">
        <w:rPr>
          <w:rFonts w:ascii="Times New Roman" w:hAnsi="Times New Roman"/>
          <w:b/>
          <w:bCs/>
          <w:sz w:val="24"/>
        </w:rPr>
        <w:t>3</w:t>
      </w:r>
      <w:r w:rsidRPr="005F680C">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the language: “</w:t>
      </w:r>
      <w:r w:rsidRPr="006F68E9">
        <w:rPr>
          <w:rFonts w:ascii="Times New Roman" w:eastAsia="Times New Roman" w:hAnsi="Times New Roman"/>
          <w:sz w:val="24"/>
        </w:rPr>
        <w:t>any significant revisions between the draft and final versions of the report” is too vague and therefore serves no clear requirement (0233).</w:t>
      </w:r>
      <w:r w:rsidRPr="006F68E9">
        <w:rPr>
          <w:rFonts w:ascii="Times New Roman" w:hAnsi="Times New Roman"/>
          <w:sz w:val="24"/>
        </w:rPr>
        <w:t xml:space="preserve"> </w:t>
      </w:r>
    </w:p>
    <w:p w:rsidR="005F680C" w:rsidP="005F680C" w14:paraId="627C5690" w14:textId="77777777">
      <w:pPr>
        <w:rPr>
          <w:rFonts w:ascii="Times New Roman" w:hAnsi="Times New Roman"/>
          <w:sz w:val="24"/>
        </w:rPr>
      </w:pPr>
      <w:r w:rsidRPr="006F68E9">
        <w:rPr>
          <w:rFonts w:ascii="Times New Roman" w:hAnsi="Times New Roman"/>
          <w:sz w:val="24"/>
        </w:rPr>
        <w:t xml:space="preserve">One commenter urged EPA to revise the language that “deficiencies were corrected or are being corrected” to leave space for facilities to disagree and explain their reasoning (0275). </w:t>
      </w:r>
    </w:p>
    <w:p w:rsidR="0011360E" w:rsidRPr="0011360E" w:rsidP="00FD54CB" w14:paraId="0547C23F" w14:textId="7ACB1DD7">
      <w:pPr>
        <w:pStyle w:val="pf0"/>
        <w:spacing w:before="120" w:beforeAutospacing="0" w:after="120" w:afterAutospacing="0"/>
        <w:ind w:left="720"/>
        <w:rPr>
          <w:rFonts w:eastAsiaTheme="minorEastAsia"/>
        </w:rPr>
      </w:pPr>
      <w:r w:rsidRPr="0011360E">
        <w:rPr>
          <w:rFonts w:eastAsiaTheme="minorEastAsia"/>
          <w:b/>
          <w:bCs/>
        </w:rPr>
        <w:t>EPA Response:</w:t>
      </w:r>
      <w:r w:rsidRPr="0011360E">
        <w:rPr>
          <w:rFonts w:eastAsiaTheme="minorEastAsia"/>
        </w:rPr>
        <w:t xml:space="preserve"> EPA disagrees that the audit report language is too vague. Because the RMP regulation is performance-based, EPA believes that all regulated RMP facilities can ultimately be successful in ensuring the third</w:t>
      </w:r>
      <w:r w:rsidRPr="0011360E" w:rsidR="00306A11">
        <w:rPr>
          <w:rFonts w:eastAsiaTheme="minorEastAsia"/>
        </w:rPr>
        <w:t>-</w:t>
      </w:r>
      <w:r w:rsidRPr="0011360E">
        <w:rPr>
          <w:rFonts w:eastAsiaTheme="minorEastAsia"/>
        </w:rPr>
        <w:t>party auditor includes in the final audit report what was considered to be significant revisions between the draft and final. This type of regulation does not create uncertainties or unnecessary burdens, but rather offers reasonable flexibilities in adopting the most effective measures to address this provision.</w:t>
      </w:r>
    </w:p>
    <w:p w:rsidR="0011360E" w:rsidRPr="0011360E" w:rsidP="00FD54CB" w14:paraId="2CF3AA81" w14:textId="31D99245">
      <w:pPr>
        <w:pStyle w:val="pf0"/>
        <w:spacing w:before="120" w:beforeAutospacing="0" w:after="120" w:afterAutospacing="0"/>
        <w:ind w:left="720"/>
        <w:rPr>
          <w:rFonts w:eastAsiaTheme="minorEastAsia"/>
        </w:rPr>
      </w:pPr>
      <w:r>
        <w:rPr>
          <w:rFonts w:eastAsiaTheme="minorEastAsia"/>
        </w:rPr>
        <w:t>As mentioned above, w</w:t>
      </w:r>
      <w:r w:rsidRPr="00891483">
        <w:rPr>
          <w:rFonts w:eastAsiaTheme="minorEastAsia"/>
        </w:rPr>
        <w:t xml:space="preserve">hile owners or operators will be required to determine an appropriate response to each of the audit report findings, facility owners or operators will not be required to accept all third-party audit findings. This is similar to existing self-compliance audit requirements where the owner or operator is to promptly determine and document an appropriate response to each of the findings of the compliance audit. As such, there is no need for a process to dispute findings. </w:t>
      </w:r>
      <w:r>
        <w:rPr>
          <w:rFonts w:eastAsiaTheme="minorEastAsia"/>
        </w:rPr>
        <w:t xml:space="preserve"> However, </w:t>
      </w:r>
      <w:r w:rsidRPr="0011360E">
        <w:rPr>
          <w:rFonts w:eastAsiaTheme="minorEastAsia"/>
        </w:rPr>
        <w:t>EPA believes it is critical that facility owners and operators implement corrective actions to address findings from compliance audits. Therefore, the final rule will require the owner or operator to certify in the findings response report that deficiencies are being corrected. As an additional measure to ensure accountability, EPA is also requiring a copy of the findings response report and schedule to implement deficiencies to be submitted to the auditing committee of the Board of Directors or other comparable committee or individual, if applicable.</w:t>
      </w:r>
    </w:p>
    <w:p w:rsidR="00F41FFB" w:rsidRPr="00D5715C" w:rsidP="00F41FFB" w14:paraId="528BA643" w14:textId="77777777">
      <w:pPr>
        <w:rPr>
          <w:rFonts w:ascii="Times New Roman" w:hAnsi="Times New Roman"/>
          <w:i/>
          <w:iCs/>
          <w:sz w:val="24"/>
        </w:rPr>
      </w:pPr>
      <w:r w:rsidRPr="00D5715C">
        <w:rPr>
          <w:rFonts w:ascii="Times New Roman" w:hAnsi="Times New Roman"/>
          <w:i/>
          <w:iCs/>
          <w:sz w:val="24"/>
        </w:rPr>
        <w:t xml:space="preserve">Auditor qualifications </w:t>
      </w:r>
    </w:p>
    <w:p w:rsidR="00F41FFB" w:rsidP="00F41FFB" w14:paraId="5276351A" w14:textId="39CD0151">
      <w:pPr>
        <w:rPr>
          <w:rFonts w:ascii="Times New Roman" w:hAnsi="Times New Roman"/>
          <w:sz w:val="24"/>
        </w:rPr>
      </w:pPr>
      <w:r w:rsidRPr="000803B8">
        <w:rPr>
          <w:rFonts w:ascii="Times New Roman" w:hAnsi="Times New Roman"/>
          <w:b/>
          <w:bCs/>
          <w:sz w:val="24"/>
        </w:rPr>
        <w:t>Comment</w:t>
      </w:r>
      <w:r>
        <w:rPr>
          <w:rFonts w:ascii="Times New Roman" w:hAnsi="Times New Roman"/>
          <w:b/>
          <w:bCs/>
          <w:sz w:val="24"/>
        </w:rPr>
        <w:t xml:space="preserve"> 8.1-2</w:t>
      </w:r>
      <w:r w:rsidR="00657BBE">
        <w:rPr>
          <w:rFonts w:ascii="Times New Roman" w:hAnsi="Times New Roman"/>
          <w:b/>
          <w:bCs/>
          <w:sz w:val="24"/>
        </w:rPr>
        <w:t>4</w:t>
      </w:r>
      <w:r w:rsidRPr="000803B8">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asserted that EPA should put more emphasis on audit training resources and proper education and outreach related to auditing (0245). Another commenter recommended that EPA create a list of firms qualified for performing third-party audits of RMP facilities (0235). </w:t>
      </w:r>
    </w:p>
    <w:p w:rsidR="00587456" w:rsidP="00587456" w14:paraId="4CA345F3" w14:textId="77777777">
      <w:pPr>
        <w:rPr>
          <w:rFonts w:ascii="Times New Roman" w:hAnsi="Times New Roman"/>
          <w:sz w:val="24"/>
        </w:rPr>
      </w:pPr>
      <w:r w:rsidRPr="00541FCA">
        <w:rPr>
          <w:rFonts w:ascii="Times New Roman" w:hAnsi="Times New Roman"/>
          <w:sz w:val="24"/>
        </w:rPr>
        <w:t>Another commenter supported requiring selection of third part auditors to be mutually approved by the facility owners and workers (0178).</w:t>
      </w:r>
      <w:r w:rsidRPr="006F68E9">
        <w:rPr>
          <w:rFonts w:ascii="Times New Roman" w:hAnsi="Times New Roman"/>
          <w:sz w:val="24"/>
        </w:rPr>
        <w:t xml:space="preserve"> </w:t>
      </w:r>
    </w:p>
    <w:p w:rsidR="00F41FFB" w:rsidRPr="00AB4A44" w:rsidP="00F41FFB" w14:paraId="1BDFFB57" w14:textId="77777777">
      <w:pPr>
        <w:ind w:left="720"/>
        <w:rPr>
          <w:rFonts w:ascii="Times New Roman" w:hAnsi="Times New Roman"/>
          <w:sz w:val="24"/>
        </w:rPr>
      </w:pPr>
      <w:r w:rsidRPr="000803B8">
        <w:rPr>
          <w:rFonts w:ascii="Times New Roman" w:hAnsi="Times New Roman"/>
          <w:b/>
          <w:bCs/>
          <w:sz w:val="24"/>
        </w:rPr>
        <w:t>EPA Response:</w:t>
      </w:r>
      <w:r>
        <w:rPr>
          <w:rFonts w:ascii="Times New Roman" w:hAnsi="Times New Roman"/>
          <w:sz w:val="24"/>
        </w:rPr>
        <w:t xml:space="preserve"> </w:t>
      </w:r>
      <w:r w:rsidRPr="00AB4A44">
        <w:rPr>
          <w:rFonts w:ascii="Times New Roman" w:hAnsi="Times New Roman"/>
          <w:sz w:val="24"/>
        </w:rPr>
        <w:t>EPA considered, but is not adopting, changes to the final rule that would establish additional processes or programs under which EPA or other regulatory agencies must first approve or credential third-party auditors before owners or operators can engage them. Nor is EPA modifying the rule to establish or reference additional independent auditor accreditation programs or auditor accreditation oversight committees or otherwise require potential third-party auditors to be accredited by an independent auditing or accreditation body before owners or operators may engage the auditors under this rule.</w:t>
      </w:r>
    </w:p>
    <w:p w:rsidR="00F41FFB" w:rsidRPr="00AB4A44" w:rsidP="00F41FFB" w14:paraId="7ABA0AB9" w14:textId="77777777">
      <w:pPr>
        <w:ind w:left="720"/>
        <w:rPr>
          <w:rFonts w:ascii="Times New Roman" w:hAnsi="Times New Roman"/>
          <w:sz w:val="24"/>
        </w:rPr>
      </w:pPr>
      <w:r w:rsidRPr="00AB4A44">
        <w:rPr>
          <w:rFonts w:ascii="Times New Roman" w:hAnsi="Times New Roman"/>
          <w:sz w:val="24"/>
        </w:rPr>
        <w:t xml:space="preserve">For some programs, external accreditation of third-party auditors adds additional rigor to the process of ensuring the competence and independence of the auditors, but such external accreditation can be time-consuming and add financial costs. EPA has considered these comments and believes that establishing an accreditation program for third-party auditors would add time and costs to the process of third-party auditor selection and engagement without sufficient countervailing benefits given the overall context of the auditing and the rule’s supporting processes and criteria. Therefore, in this final rule, EPA is electing, instead, to focus on streamlining the auditor competency and independence criteria. Owners and operators will be responsible for determining and documenting that the third-party auditors are qualified pursuant to the rule’s competency </w:t>
      </w:r>
      <w:r w:rsidRPr="00AB4A44">
        <w:rPr>
          <w:rFonts w:ascii="Times New Roman" w:hAnsi="Times New Roman"/>
          <w:sz w:val="24"/>
        </w:rPr>
        <w:t>and independence criteria. EPA believes this approach will be consistent with the majority of commenters’ requests that the process for engaging the auditors should be straightforward and maximize owner or operator discretion in selecting third-party auditors. Owners and operators routinely obtain and review the internal policies, procedures, and qualifications of a wide range of consultants and contractors before engaging them in order to assess their qualifications to perform consulting or contractual services. EPA is confident that owners and operators will be able to assess third-party auditor qualifications in a similar manner.</w:t>
      </w:r>
    </w:p>
    <w:p w:rsidR="00F41FFB" w:rsidRPr="00AB4A44" w:rsidP="00F41FFB" w14:paraId="4E3A5E68" w14:textId="77777777">
      <w:pPr>
        <w:ind w:left="720"/>
        <w:rPr>
          <w:rFonts w:ascii="Times New Roman" w:hAnsi="Times New Roman"/>
          <w:sz w:val="24"/>
        </w:rPr>
      </w:pPr>
      <w:r w:rsidRPr="00AB4A44">
        <w:rPr>
          <w:rFonts w:ascii="Times New Roman" w:hAnsi="Times New Roman"/>
          <w:sz w:val="24"/>
        </w:rPr>
        <w:t>EPA believes that the level of effort and resources necessary to establish these programs would cause unnecessary delays in implementing third-party compliance audit requirements and are not warranted for the small universe of facilities that may be subject to these requirements.</w:t>
      </w:r>
    </w:p>
    <w:p w:rsidR="00F41FFB" w:rsidRPr="006F68E9" w:rsidP="00F41FFB" w14:paraId="304497B8" w14:textId="3BB774F3">
      <w:pPr>
        <w:rPr>
          <w:rFonts w:ascii="Times New Roman" w:hAnsi="Times New Roman"/>
          <w:sz w:val="24"/>
        </w:rPr>
      </w:pPr>
      <w:r>
        <w:rPr>
          <w:rFonts w:ascii="Times New Roman" w:hAnsi="Times New Roman"/>
          <w:b/>
          <w:bCs/>
          <w:sz w:val="24"/>
        </w:rPr>
        <w:t>Comment 8.1-2</w:t>
      </w:r>
      <w:r w:rsidR="00657BBE">
        <w:rPr>
          <w:rFonts w:ascii="Times New Roman" w:hAnsi="Times New Roman"/>
          <w:b/>
          <w:bCs/>
          <w:sz w:val="24"/>
        </w:rPr>
        <w:t>5</w:t>
      </w:r>
      <w:r>
        <w:rPr>
          <w:rFonts w:ascii="Times New Roman" w:hAnsi="Times New Roman"/>
          <w:b/>
          <w:bCs/>
          <w:sz w:val="24"/>
        </w:rPr>
        <w:t xml:space="preserve">: </w:t>
      </w:r>
      <w:r w:rsidRPr="006F68E9">
        <w:rPr>
          <w:rFonts w:ascii="Times New Roman" w:hAnsi="Times New Roman"/>
          <w:sz w:val="24"/>
        </w:rPr>
        <w:t xml:space="preserve">Several commenters expressed concerns about the requirement for third-party auditors to “receive no financial benefit from the outcome of the audit, apart from payment for auditing services” as the language suggests that the specific auditor would not be able to work with the facility to address audit findings, or provide advice, who would be in the best position to do so (0173, 0229, 0230, 0232). </w:t>
      </w:r>
    </w:p>
    <w:p w:rsidR="00F41FFB" w:rsidP="00F41FFB" w14:paraId="527D42D0" w14:textId="77777777">
      <w:pPr>
        <w:rPr>
          <w:rFonts w:ascii="Times New Roman" w:hAnsi="Times New Roman"/>
          <w:sz w:val="24"/>
        </w:rPr>
      </w:pPr>
      <w:r w:rsidRPr="006F68E9">
        <w:rPr>
          <w:rFonts w:ascii="Times New Roman" w:hAnsi="Times New Roman"/>
          <w:sz w:val="24"/>
        </w:rPr>
        <w:t xml:space="preserve">One commenter recommended the following edit to the language in </w:t>
      </w:r>
      <w:r>
        <w:rPr>
          <w:rFonts w:ascii="Times New Roman" w:hAnsi="Times New Roman"/>
          <w:sz w:val="24"/>
        </w:rPr>
        <w:t>40 CFR</w:t>
      </w:r>
      <w:r w:rsidRPr="006F68E9">
        <w:rPr>
          <w:rFonts w:ascii="Times New Roman" w:hAnsi="Times New Roman"/>
          <w:sz w:val="24"/>
        </w:rPr>
        <w:t xml:space="preserve"> 68.80(c)(2)(ii) that the third-party auditor “receives no financial benefit from the outcome of the audit, apart from payment for auditing services” (0230). </w:t>
      </w:r>
    </w:p>
    <w:p w:rsidR="00061320" w:rsidP="00F41FFB" w14:paraId="6F11F519" w14:textId="0A793B24">
      <w:pPr>
        <w:rPr>
          <w:rFonts w:ascii="Times New Roman" w:hAnsi="Times New Roman"/>
          <w:sz w:val="24"/>
        </w:rPr>
      </w:pPr>
      <w:r w:rsidRPr="006F68E9">
        <w:rPr>
          <w:rFonts w:ascii="Times New Roman" w:hAnsi="Times New Roman"/>
          <w:sz w:val="24"/>
        </w:rPr>
        <w:t>A couple commenters stated that this requirement would preclude a facility from employing the auditor to assist in addressing the audit findings, which facilities should be encouraged to do (0217, 0232).</w:t>
      </w:r>
    </w:p>
    <w:p w:rsidR="00F41FFB" w:rsidRPr="00635801" w:rsidP="00F41FFB" w14:paraId="2A78FEA7" w14:textId="4AAADE3F">
      <w:pPr>
        <w:ind w:left="720"/>
        <w:rPr>
          <w:rFonts w:ascii="Times New Roman" w:hAnsi="Times New Roman"/>
          <w:b/>
          <w:bCs/>
          <w:i/>
          <w:iCs/>
          <w:sz w:val="24"/>
        </w:rPr>
      </w:pPr>
      <w:r w:rsidRPr="00720F8A">
        <w:rPr>
          <w:rFonts w:ascii="Times New Roman" w:hAnsi="Times New Roman"/>
          <w:b/>
          <w:bCs/>
          <w:sz w:val="24"/>
        </w:rPr>
        <w:t>EPA Response:</w:t>
      </w:r>
      <w:r>
        <w:rPr>
          <w:rFonts w:ascii="Times New Roman" w:hAnsi="Times New Roman"/>
          <w:b/>
          <w:bCs/>
          <w:sz w:val="24"/>
        </w:rPr>
        <w:t xml:space="preserve"> </w:t>
      </w:r>
      <w:r w:rsidRPr="00447C86" w:rsidR="005B3EDC">
        <w:rPr>
          <w:rFonts w:ascii="Times New Roman" w:hAnsi="Times New Roman"/>
          <w:sz w:val="24"/>
        </w:rPr>
        <w:t>EPA is not</w:t>
      </w:r>
      <w:r w:rsidRPr="00447C86" w:rsidR="0084133F">
        <w:rPr>
          <w:rFonts w:ascii="Times New Roman" w:hAnsi="Times New Roman"/>
          <w:sz w:val="24"/>
        </w:rPr>
        <w:t xml:space="preserve"> </w:t>
      </w:r>
      <w:r w:rsidRPr="00447C86" w:rsidR="005B3EDC">
        <w:rPr>
          <w:rFonts w:ascii="Times New Roman" w:hAnsi="Times New Roman"/>
          <w:sz w:val="24"/>
        </w:rPr>
        <w:t>requiring the third-party auditor to review the owner/operator’s findings response report to determine if the actions are addressing the auditor’s findings and recommendation from the audit. In fact, to remain independent, the third-party auditor should not play a role in addressing the deficiencies its own auditing identified or in determining if the owner or operator’s plan to address the deficiencies is adequate.</w:t>
      </w:r>
    </w:p>
    <w:p w:rsidR="00F41FFB" w:rsidP="00F41FFB" w14:paraId="7ECE2561" w14:textId="7ED1DE7A">
      <w:pPr>
        <w:rPr>
          <w:rFonts w:ascii="Times New Roman" w:hAnsi="Times New Roman"/>
          <w:sz w:val="24"/>
        </w:rPr>
      </w:pPr>
      <w:r>
        <w:rPr>
          <w:rFonts w:ascii="Times New Roman" w:hAnsi="Times New Roman"/>
          <w:b/>
          <w:bCs/>
          <w:sz w:val="24"/>
        </w:rPr>
        <w:t>Comment 8.1-2</w:t>
      </w:r>
      <w:r w:rsidR="00657BBE">
        <w:rPr>
          <w:rFonts w:ascii="Times New Roman" w:hAnsi="Times New Roman"/>
          <w:b/>
          <w:bCs/>
          <w:sz w:val="24"/>
        </w:rPr>
        <w:t>6</w:t>
      </w:r>
      <w:r>
        <w:rPr>
          <w:rFonts w:ascii="Times New Roman" w:hAnsi="Times New Roman"/>
          <w:b/>
          <w:bCs/>
          <w:sz w:val="24"/>
        </w:rPr>
        <w:t xml:space="preserve">: </w:t>
      </w:r>
      <w:r w:rsidRPr="006F68E9">
        <w:rPr>
          <w:rFonts w:ascii="Times New Roman" w:hAnsi="Times New Roman"/>
          <w:sz w:val="24"/>
        </w:rPr>
        <w:t>Several commenters indicated that non-associated third-party auditors may not have the expertise required to complete a substantial audit, and the regulations will limit the use of internal auditors, the most knowledgeable and qualified individuals, from performing audits (0173, 0184, 0190, 0196, 0201, 0215, 0227, 0228, 0237, 0239, 0245, 0256, 0262). One of the commenters suggested allowing a combined team of internal and external auditors, provided that the third-party auditor is approved by the facility owner and operator and employees (0227)</w:t>
      </w:r>
      <w:r>
        <w:rPr>
          <w:rFonts w:ascii="Times New Roman" w:hAnsi="Times New Roman"/>
          <w:sz w:val="24"/>
        </w:rPr>
        <w:t xml:space="preserve">. </w:t>
      </w:r>
      <w:r w:rsidRPr="006F68E9">
        <w:rPr>
          <w:rFonts w:ascii="Times New Roman" w:hAnsi="Times New Roman"/>
          <w:sz w:val="24"/>
        </w:rPr>
        <w:t xml:space="preserve">A couple of commenters proposed self-audits rather than third-party audits to alleviate the cost and administrative burden of third-party audits (0267, 0268). One of the commenters noted that the third-party audits policy ignores EPA’s own audit policy (0268). </w:t>
      </w:r>
    </w:p>
    <w:p w:rsidR="00F41FFB" w:rsidRPr="006F68E9" w:rsidP="00F41FFB" w14:paraId="457CFCD7" w14:textId="77777777">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asserted</w:t>
      </w:r>
      <w:r w:rsidRPr="006F68E9">
        <w:rPr>
          <w:rFonts w:ascii="Times New Roman" w:hAnsi="Times New Roman"/>
          <w:sz w:val="24"/>
        </w:rPr>
        <w:t xml:space="preserve"> that facilities should not oversee selecting third-party auditors as not all auditors are as experienced or qualified. The commenters stated that inconsistencies in the quality of the audits could arise because of inconsistent auditor expertise (0196, 0227). </w:t>
      </w:r>
    </w:p>
    <w:p w:rsidR="00F41FFB" w:rsidRPr="006F68E9" w:rsidP="00F41FFB" w14:paraId="66FC8EA8"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requested</w:t>
      </w:r>
      <w:r w:rsidRPr="006F68E9">
        <w:rPr>
          <w:rFonts w:ascii="Times New Roman" w:hAnsi="Times New Roman"/>
          <w:sz w:val="24"/>
        </w:rPr>
        <w:t xml:space="preserve"> that EPA clarify language that the auditor must be “knowledgeable and experienced” (0272). Another commenter stated concern that a third-party auditor may not </w:t>
      </w:r>
      <w:r w:rsidRPr="006F68E9">
        <w:rPr>
          <w:rFonts w:ascii="Times New Roman" w:hAnsi="Times New Roman"/>
          <w:sz w:val="24"/>
        </w:rPr>
        <w:t>be sufficiently knowledgeable to make compliance decisions. The commenter added that facilities may adopt ill-advised recommendations to potentially avoid legal liability or public criticism (0215).</w:t>
      </w:r>
      <w:r>
        <w:rPr>
          <w:rFonts w:ascii="Times New Roman" w:hAnsi="Times New Roman"/>
          <w:sz w:val="24"/>
        </w:rPr>
        <w:t xml:space="preserve"> </w:t>
      </w:r>
    </w:p>
    <w:p w:rsidR="00F41FFB" w:rsidP="00F41FFB" w14:paraId="01F9B8F9" w14:textId="77777777">
      <w:pPr>
        <w:rPr>
          <w:rFonts w:ascii="Times New Roman" w:hAnsi="Times New Roman"/>
          <w:sz w:val="24"/>
        </w:rPr>
      </w:pPr>
      <w:r w:rsidRPr="006F68E9">
        <w:rPr>
          <w:rFonts w:ascii="Times New Roman" w:hAnsi="Times New Roman"/>
          <w:sz w:val="24"/>
        </w:rPr>
        <w:t xml:space="preserve">One commenter suggested that requiring the use of independent third parties could create conditions that thwart protection of the environment and plant safety, as these third-party personnel would have limited or no familiarity with the facility being audited. The commenter suggested that personnel with experience and expertise with the processes at a facility will be able to more accurately and thoroughly conduct an audit (0256). </w:t>
      </w:r>
    </w:p>
    <w:p w:rsidR="00F41FFB" w:rsidP="00F41FFB" w14:paraId="6439D82F" w14:textId="77777777">
      <w:pPr>
        <w:rPr>
          <w:rFonts w:ascii="Times New Roman" w:hAnsi="Times New Roman"/>
          <w:sz w:val="24"/>
        </w:rPr>
      </w:pPr>
      <w:r w:rsidRPr="006F68E9">
        <w:rPr>
          <w:rFonts w:ascii="Times New Roman" w:hAnsi="Times New Roman"/>
          <w:sz w:val="24"/>
        </w:rPr>
        <w:t xml:space="preserve">Several commenters noted that third-party auditors would have to spend significant time to learn the details of the processes and facility’s approach to comply with regulations (0184, 0190, 0215, 0245, 0262). </w:t>
      </w:r>
    </w:p>
    <w:p w:rsidR="00F41FFB" w:rsidP="00F41FFB" w14:paraId="1A2777F8" w14:textId="4F7E3B09">
      <w:pPr>
        <w:rPr>
          <w:rFonts w:ascii="Times New Roman" w:hAnsi="Times New Roman"/>
          <w:sz w:val="24"/>
        </w:rPr>
      </w:pPr>
      <w:r w:rsidRPr="006F68E9">
        <w:rPr>
          <w:rFonts w:ascii="Times New Roman" w:hAnsi="Times New Roman"/>
          <w:sz w:val="24"/>
        </w:rPr>
        <w:t xml:space="preserve">One of the commenters noted that for batch processors, a third-party auditor may lack the expertise needed for this type of processing; and therefore, batch </w:t>
      </w:r>
      <w:r w:rsidRPr="1D2AD896">
        <w:rPr>
          <w:rFonts w:ascii="Times New Roman" w:hAnsi="Times New Roman"/>
          <w:sz w:val="24"/>
        </w:rPr>
        <w:t>manufacturers</w:t>
      </w:r>
      <w:r w:rsidRPr="006F68E9">
        <w:rPr>
          <w:rFonts w:ascii="Times New Roman" w:hAnsi="Times New Roman"/>
          <w:sz w:val="24"/>
        </w:rPr>
        <w:t xml:space="preserve"> should be exempt (0275). </w:t>
      </w:r>
    </w:p>
    <w:p w:rsidR="00FF7686" w:rsidP="00F41FFB" w14:paraId="23486FE2" w14:textId="45141599">
      <w:pPr>
        <w:rPr>
          <w:rFonts w:ascii="Times New Roman" w:hAnsi="Times New Roman"/>
          <w:sz w:val="24"/>
        </w:rPr>
      </w:pPr>
      <w:r w:rsidRPr="004714B1">
        <w:rPr>
          <w:rFonts w:ascii="Times New Roman" w:hAnsi="Times New Roman"/>
          <w:sz w:val="24"/>
        </w:rPr>
        <w:t>One commenter noted that associations such as the IIAR and the Refrigerating Engineers and Technicians Association (RETA) develop training materials for the industry and maintains certification programs. (0190).</w:t>
      </w:r>
    </w:p>
    <w:p w:rsidR="00F41FFB" w:rsidP="00F41FFB" w14:paraId="773216FE" w14:textId="55EDEA75">
      <w:pPr>
        <w:rPr>
          <w:rFonts w:ascii="Times New Roman" w:hAnsi="Times New Roman"/>
          <w:sz w:val="24"/>
        </w:rPr>
      </w:pPr>
      <w:r w:rsidRPr="006F68E9">
        <w:rPr>
          <w:rFonts w:ascii="Times New Roman" w:hAnsi="Times New Roman"/>
          <w:sz w:val="24"/>
        </w:rPr>
        <w:t>One commenter recommended that owners, operators, employees, and employee representatives should be allowed to express concerns about a selected auditor and their qualifications (0173). A few commenters stated that requiring employee input on third-party auditors will significantly increase the time needed to vet and approve auditors overall (0181, 0223).</w:t>
      </w:r>
    </w:p>
    <w:p w:rsidR="00F41FFB" w:rsidRPr="006F68E9" w:rsidP="00F41FFB" w14:paraId="57A90D6D" w14:textId="38AB96F2">
      <w:pPr>
        <w:rPr>
          <w:rFonts w:ascii="Times New Roman" w:hAnsi="Times New Roman"/>
          <w:sz w:val="24"/>
        </w:rPr>
      </w:pPr>
      <w:r w:rsidRPr="00A379D9">
        <w:rPr>
          <w:rFonts w:ascii="Times New Roman" w:hAnsi="Times New Roman"/>
          <w:sz w:val="24"/>
        </w:rPr>
        <w:t xml:space="preserve">One </w:t>
      </w:r>
      <w:r w:rsidRPr="006F68E9">
        <w:rPr>
          <w:rFonts w:ascii="Times New Roman" w:hAnsi="Times New Roman"/>
          <w:sz w:val="24"/>
        </w:rPr>
        <w:t>commenter suggested that the third-party requirement does not take advantage of in-house personnel who ha</w:t>
      </w:r>
      <w:r>
        <w:rPr>
          <w:rFonts w:ascii="Times New Roman" w:hAnsi="Times New Roman"/>
          <w:sz w:val="24"/>
        </w:rPr>
        <w:t>ve</w:t>
      </w:r>
      <w:r w:rsidRPr="006F68E9">
        <w:rPr>
          <w:rFonts w:ascii="Times New Roman" w:hAnsi="Times New Roman"/>
          <w:sz w:val="24"/>
        </w:rPr>
        <w:t xml:space="preserve"> experience, expertise, and familiarity with the plant. The commenter added that this requirement could limit in-house participation in these processes (0256). Another commenter noted that second-party audits and self-audit programs can provide significant benefits, by allowing individuals with the most knowledge of the process and safety risks conduct audits. The commenter stated that second-party auditors (company personnel not located at the facility being audited) have advantages over third-party auditors, such as allowing for cross-learning across the company, are cost-effective, and are incentivized to identify problems and solutions to minimize corporate risk. The commenter also noted that two National Enforcement Programs (NEPs) carried out by OSHA support the fact that the majority of compliance audits being undertaken are sufficient and protective even where they are not conducted by a third-party (0215).</w:t>
      </w:r>
    </w:p>
    <w:p w:rsidR="00F41FFB" w:rsidRPr="006F68E9" w:rsidP="00F41FFB" w14:paraId="0B74F1E2" w14:textId="77777777">
      <w:pPr>
        <w:rPr>
          <w:rFonts w:ascii="Times New Roman" w:hAnsi="Times New Roman"/>
          <w:sz w:val="24"/>
        </w:rPr>
      </w:pPr>
      <w:r w:rsidRPr="006F68E9">
        <w:rPr>
          <w:rFonts w:ascii="Times New Roman" w:hAnsi="Times New Roman"/>
          <w:sz w:val="24"/>
        </w:rPr>
        <w:t xml:space="preserve">One commenter stated that internal audit teams at hazardous waste facilities are highly trained, experienced, and report directly to the chief executive officer. The commenter noted that these teams audit different facilities, prepare audit reports for management, conduct follow-up verifications, and support knowledge transfer between facilities (0262). </w:t>
      </w:r>
    </w:p>
    <w:p w:rsidR="00F41FFB" w:rsidP="00F41FFB" w14:paraId="20701211"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 noted that facility owners and operators regula</w:t>
      </w:r>
      <w:r>
        <w:rPr>
          <w:rFonts w:ascii="Times New Roman" w:hAnsi="Times New Roman"/>
          <w:sz w:val="24"/>
        </w:rPr>
        <w:t>rl</w:t>
      </w:r>
      <w:r w:rsidRPr="006F68E9">
        <w:rPr>
          <w:rFonts w:ascii="Times New Roman" w:hAnsi="Times New Roman"/>
          <w:sz w:val="24"/>
        </w:rPr>
        <w:t xml:space="preserve">y conduct compliance audits of their programs and are best suited to manage risks and improve safety performance. The commenter stated that internal auditors are not biases or lenient, and there is no evidence that third-party auditors are more competent, independent, and impartial (0245). </w:t>
      </w:r>
    </w:p>
    <w:p w:rsidR="00F41FFB" w:rsidRPr="002B12ED" w:rsidP="00F41FFB" w14:paraId="0671DB0A" w14:textId="6A5B7F2A">
      <w:pPr>
        <w:ind w:left="720"/>
        <w:rPr>
          <w:rFonts w:ascii="Times New Roman" w:hAnsi="Times New Roman"/>
          <w:sz w:val="24"/>
        </w:rPr>
      </w:pPr>
      <w:r>
        <w:rPr>
          <w:rFonts w:ascii="Times New Roman" w:hAnsi="Times New Roman"/>
          <w:b/>
          <w:bCs/>
          <w:sz w:val="24"/>
        </w:rPr>
        <w:t xml:space="preserve">EPA Response: </w:t>
      </w:r>
      <w:r w:rsidRPr="002B12ED">
        <w:rPr>
          <w:rFonts w:ascii="Times New Roman" w:hAnsi="Times New Roman"/>
          <w:sz w:val="24"/>
        </w:rPr>
        <w:t xml:space="preserve"> </w:t>
      </w:r>
      <w:bookmarkStart w:id="107" w:name="_Hlk148517874"/>
      <w:r w:rsidRPr="002B12ED">
        <w:rPr>
          <w:rFonts w:ascii="Times New Roman" w:hAnsi="Times New Roman"/>
          <w:sz w:val="24"/>
        </w:rPr>
        <w:t>EPA is finalizing an approach that allows owners or operators to meet their third-party audit obligations either by:</w:t>
      </w:r>
    </w:p>
    <w:p w:rsidR="00F41FFB" w:rsidRPr="002B12ED" w:rsidP="00E57324" w14:paraId="58ECBF56" w14:textId="77777777">
      <w:pPr>
        <w:pStyle w:val="ListParagraph"/>
        <w:numPr>
          <w:ilvl w:val="0"/>
          <w:numId w:val="9"/>
        </w:numPr>
        <w:ind w:left="1440"/>
        <w:rPr>
          <w:rFonts w:ascii="Times New Roman" w:hAnsi="Times New Roman"/>
          <w:sz w:val="24"/>
        </w:rPr>
      </w:pPr>
      <w:r w:rsidRPr="002B12ED">
        <w:rPr>
          <w:rFonts w:ascii="Times New Roman" w:hAnsi="Times New Roman"/>
          <w:sz w:val="24"/>
        </w:rPr>
        <w:t>Engaging third-party auditors meeting all applicable competency and independence criteria, as originally proposed, or</w:t>
      </w:r>
    </w:p>
    <w:p w:rsidR="00F41FFB" w:rsidRPr="002B12ED" w:rsidP="00E57324" w14:paraId="0D7522A2" w14:textId="77777777">
      <w:pPr>
        <w:pStyle w:val="ListParagraph"/>
        <w:numPr>
          <w:ilvl w:val="0"/>
          <w:numId w:val="9"/>
        </w:numPr>
        <w:ind w:left="1440"/>
        <w:rPr>
          <w:rFonts w:ascii="Times New Roman" w:hAnsi="Times New Roman"/>
          <w:sz w:val="24"/>
        </w:rPr>
      </w:pPr>
      <w:r w:rsidRPr="002B12ED">
        <w:rPr>
          <w:rFonts w:ascii="Times New Roman" w:hAnsi="Times New Roman"/>
          <w:sz w:val="24"/>
        </w:rPr>
        <w:t>By assembling an auditing team which is led by a third-party auditor but may include other audit team members. The audit team may be comprised of:</w:t>
      </w:r>
    </w:p>
    <w:p w:rsidR="00F41FFB" w:rsidRPr="002B12ED" w:rsidP="00E57324" w14:paraId="61BE52E7" w14:textId="77777777">
      <w:pPr>
        <w:pStyle w:val="ListParagraph"/>
        <w:numPr>
          <w:ilvl w:val="1"/>
          <w:numId w:val="9"/>
        </w:numPr>
        <w:ind w:left="2160"/>
        <w:rPr>
          <w:rFonts w:ascii="Times New Roman" w:hAnsi="Times New Roman"/>
          <w:sz w:val="24"/>
        </w:rPr>
      </w:pPr>
      <w:r w:rsidRPr="002B12ED">
        <w:rPr>
          <w:rFonts w:ascii="Times New Roman" w:hAnsi="Times New Roman"/>
          <w:sz w:val="24"/>
        </w:rPr>
        <w:t>A team leader – this must be an employee of the third-party auditor firm who meets all of the competency and independence criteria of the rule;</w:t>
      </w:r>
    </w:p>
    <w:p w:rsidR="00F41FFB" w:rsidRPr="002B12ED" w:rsidP="00E57324" w14:paraId="5D7F4EA5" w14:textId="77777777">
      <w:pPr>
        <w:pStyle w:val="ListParagraph"/>
        <w:numPr>
          <w:ilvl w:val="1"/>
          <w:numId w:val="9"/>
        </w:numPr>
        <w:ind w:left="2160"/>
        <w:rPr>
          <w:rFonts w:ascii="Times New Roman" w:hAnsi="Times New Roman"/>
          <w:sz w:val="24"/>
        </w:rPr>
      </w:pPr>
      <w:r w:rsidRPr="002B12ED">
        <w:rPr>
          <w:rFonts w:ascii="Times New Roman" w:hAnsi="Times New Roman"/>
          <w:sz w:val="24"/>
        </w:rPr>
        <w:t>Other employees of the third-party auditor firm – these personnel must meet the independence criteria of the rule; and</w:t>
      </w:r>
    </w:p>
    <w:p w:rsidR="00F41FFB" w:rsidRPr="002B12ED" w:rsidP="00E57324" w14:paraId="77F8EAE7" w14:textId="77777777">
      <w:pPr>
        <w:pStyle w:val="ListParagraph"/>
        <w:numPr>
          <w:ilvl w:val="1"/>
          <w:numId w:val="9"/>
        </w:numPr>
        <w:ind w:left="2160"/>
        <w:rPr>
          <w:rFonts w:ascii="Times New Roman" w:hAnsi="Times New Roman"/>
          <w:sz w:val="24"/>
        </w:rPr>
      </w:pPr>
      <w:r w:rsidRPr="002B12ED">
        <w:rPr>
          <w:rFonts w:ascii="Times New Roman" w:hAnsi="Times New Roman"/>
          <w:sz w:val="24"/>
        </w:rPr>
        <w:t>Other personnel not employed by the third-party auditor firm (e.g. facility personnel or employees of another consulting firm with specialized expertise) – these personnel are not required to meet the competency and/or independence criteria of the rule.</w:t>
      </w:r>
    </w:p>
    <w:bookmarkEnd w:id="107"/>
    <w:p w:rsidR="00F41FFB" w:rsidRPr="00291F90" w:rsidP="00F41FFB" w14:paraId="23588D64" w14:textId="78F45978">
      <w:pPr>
        <w:ind w:left="720"/>
        <w:rPr>
          <w:rFonts w:ascii="Times New Roman" w:hAnsi="Times New Roman"/>
          <w:sz w:val="24"/>
        </w:rPr>
      </w:pPr>
      <w:r w:rsidRPr="002B12ED">
        <w:rPr>
          <w:rFonts w:ascii="Times New Roman" w:hAnsi="Times New Roman"/>
          <w:sz w:val="24"/>
        </w:rPr>
        <w:t xml:space="preserve">EPA </w:t>
      </w:r>
      <w:r w:rsidR="00A649F1">
        <w:rPr>
          <w:rFonts w:ascii="Times New Roman" w:hAnsi="Times New Roman"/>
          <w:sz w:val="24"/>
        </w:rPr>
        <w:t>believes</w:t>
      </w:r>
      <w:r w:rsidRPr="002B12ED">
        <w:rPr>
          <w:rFonts w:ascii="Times New Roman" w:hAnsi="Times New Roman"/>
          <w:sz w:val="24"/>
        </w:rPr>
        <w:t xml:space="preserve"> that allowing facility personnel and other knowledgeable but independent contractors and consultants to participate in the audit would improve the audit teams’ performance and outcomes. </w:t>
      </w:r>
      <w:r w:rsidRPr="00291F90">
        <w:rPr>
          <w:rFonts w:ascii="Times New Roman" w:hAnsi="Times New Roman"/>
          <w:sz w:val="24"/>
        </w:rPr>
        <w:t xml:space="preserve">This approach will allow qualified personnel </w:t>
      </w:r>
      <w:r w:rsidRPr="002B12ED">
        <w:rPr>
          <w:rFonts w:ascii="Times New Roman" w:hAnsi="Times New Roman"/>
          <w:sz w:val="24"/>
        </w:rPr>
        <w:t>with critical sector or facility-specific experience</w:t>
      </w:r>
      <w:r w:rsidRPr="00291F90">
        <w:rPr>
          <w:rFonts w:ascii="Times New Roman" w:hAnsi="Times New Roman"/>
          <w:sz w:val="24"/>
        </w:rPr>
        <w:t xml:space="preserve"> to participate in the audit and enable facility personnel to provide input during the compliance audit.</w:t>
      </w:r>
      <w:r w:rsidRPr="00B548D6" w:rsidR="00B548D6">
        <w:t xml:space="preserve"> </w:t>
      </w:r>
      <w:r w:rsidRPr="00704B6B" w:rsidR="00DD7EAC">
        <w:rPr>
          <w:rFonts w:ascii="Times New Roman" w:hAnsi="Times New Roman"/>
          <w:sz w:val="24"/>
        </w:rPr>
        <w:t xml:space="preserve">EPA </w:t>
      </w:r>
      <w:r w:rsidRPr="00704B6B" w:rsidR="00C60A9F">
        <w:rPr>
          <w:rFonts w:ascii="Times New Roman" w:hAnsi="Times New Roman"/>
          <w:sz w:val="24"/>
        </w:rPr>
        <w:t>believes</w:t>
      </w:r>
      <w:r w:rsidRPr="00704B6B" w:rsidR="00DD7EAC">
        <w:rPr>
          <w:rFonts w:ascii="Times New Roman" w:hAnsi="Times New Roman"/>
          <w:sz w:val="24"/>
        </w:rPr>
        <w:t xml:space="preserve"> this hybrid team could be</w:t>
      </w:r>
      <w:r w:rsidRPr="00704B6B" w:rsidR="00C60A9F">
        <w:rPr>
          <w:rFonts w:ascii="Times New Roman" w:hAnsi="Times New Roman"/>
          <w:sz w:val="24"/>
        </w:rPr>
        <w:t xml:space="preserve"> especially</w:t>
      </w:r>
      <w:r w:rsidRPr="00704B6B" w:rsidR="00DD7EAC">
        <w:rPr>
          <w:rFonts w:ascii="Times New Roman" w:hAnsi="Times New Roman"/>
          <w:sz w:val="24"/>
        </w:rPr>
        <w:t xml:space="preserve"> useful for </w:t>
      </w:r>
      <w:r w:rsidRPr="00704B6B" w:rsidR="00520221">
        <w:rPr>
          <w:rFonts w:ascii="Times New Roman" w:hAnsi="Times New Roman"/>
          <w:sz w:val="24"/>
        </w:rPr>
        <w:t>batch manufacturer</w:t>
      </w:r>
      <w:r w:rsidRPr="00704B6B" w:rsidR="00704B6B">
        <w:rPr>
          <w:rFonts w:ascii="Times New Roman" w:hAnsi="Times New Roman"/>
          <w:sz w:val="24"/>
        </w:rPr>
        <w:t xml:space="preserve">s </w:t>
      </w:r>
      <w:r w:rsidRPr="00704B6B" w:rsidR="00C60A9F">
        <w:rPr>
          <w:rFonts w:ascii="Times New Roman" w:hAnsi="Times New Roman"/>
          <w:sz w:val="24"/>
        </w:rPr>
        <w:t>where expertise of the specific b</w:t>
      </w:r>
      <w:r w:rsidRPr="00704B6B" w:rsidR="00C470EA">
        <w:rPr>
          <w:rFonts w:ascii="Times New Roman" w:hAnsi="Times New Roman"/>
          <w:sz w:val="24"/>
        </w:rPr>
        <w:t>atch</w:t>
      </w:r>
      <w:r w:rsidRPr="00704B6B" w:rsidR="00AB0F6A">
        <w:rPr>
          <w:rFonts w:ascii="Times New Roman" w:hAnsi="Times New Roman"/>
          <w:sz w:val="24"/>
        </w:rPr>
        <w:t xml:space="preserve"> process</w:t>
      </w:r>
      <w:r w:rsidRPr="00704B6B" w:rsidR="00C470EA">
        <w:rPr>
          <w:rFonts w:ascii="Times New Roman" w:hAnsi="Times New Roman"/>
          <w:sz w:val="24"/>
        </w:rPr>
        <w:t xml:space="preserve"> </w:t>
      </w:r>
      <w:r w:rsidRPr="00704B6B" w:rsidR="00AB0F6A">
        <w:rPr>
          <w:rFonts w:ascii="Times New Roman" w:hAnsi="Times New Roman"/>
          <w:sz w:val="24"/>
        </w:rPr>
        <w:t>is needed</w:t>
      </w:r>
      <w:r w:rsidRPr="00704B6B" w:rsidR="00C60A9F">
        <w:rPr>
          <w:sz w:val="24"/>
        </w:rPr>
        <w:t>.</w:t>
      </w:r>
      <w:r w:rsidR="00C60A9F">
        <w:t xml:space="preserve"> </w:t>
      </w:r>
      <w:r w:rsidRPr="00B548D6" w:rsidR="00B548D6">
        <w:rPr>
          <w:rFonts w:ascii="Times New Roman" w:hAnsi="Times New Roman"/>
          <w:sz w:val="24"/>
        </w:rPr>
        <w:t xml:space="preserve">EPA </w:t>
      </w:r>
      <w:r w:rsidR="00865BA8">
        <w:rPr>
          <w:rFonts w:ascii="Times New Roman" w:hAnsi="Times New Roman"/>
          <w:sz w:val="24"/>
        </w:rPr>
        <w:t xml:space="preserve">also </w:t>
      </w:r>
      <w:r w:rsidRPr="00B548D6" w:rsidR="00B548D6">
        <w:rPr>
          <w:rFonts w:ascii="Times New Roman" w:hAnsi="Times New Roman"/>
          <w:sz w:val="24"/>
        </w:rPr>
        <w:t>notes that having a third-party conduct a compliance audit does not preclude the facility from conducting an in-house compliance audit in tandem. If the goal is to ensure that preventative measures are in place to prevent future accidents, EPA hopes that a facility would want to implement all such measures to ensure it is compliant.</w:t>
      </w:r>
      <w:r w:rsidRPr="00C8414C" w:rsidR="00C8414C">
        <w:t xml:space="preserve"> </w:t>
      </w:r>
    </w:p>
    <w:p w:rsidR="00F41FFB" w:rsidRPr="00291F90" w:rsidP="00F41FFB" w14:paraId="1734F758" w14:textId="32DF2108">
      <w:pPr>
        <w:ind w:left="720"/>
        <w:rPr>
          <w:rFonts w:ascii="Times New Roman" w:hAnsi="Times New Roman"/>
          <w:sz w:val="24"/>
        </w:rPr>
      </w:pPr>
      <w:r w:rsidRPr="00E8222B">
        <w:rPr>
          <w:rFonts w:ascii="Times New Roman" w:hAnsi="Times New Roman"/>
          <w:sz w:val="24"/>
        </w:rPr>
        <w:t xml:space="preserve">EPA </w:t>
      </w:r>
      <w:r w:rsidR="008B3543">
        <w:rPr>
          <w:rFonts w:ascii="Times New Roman" w:hAnsi="Times New Roman"/>
          <w:sz w:val="24"/>
        </w:rPr>
        <w:t xml:space="preserve">further </w:t>
      </w:r>
      <w:r w:rsidRPr="00E8222B">
        <w:rPr>
          <w:rFonts w:ascii="Times New Roman" w:hAnsi="Times New Roman"/>
          <w:sz w:val="24"/>
        </w:rPr>
        <w:t>notes that the independence requirements</w:t>
      </w:r>
      <w:r w:rsidR="008B3543">
        <w:rPr>
          <w:rFonts w:ascii="Times New Roman" w:hAnsi="Times New Roman"/>
          <w:sz w:val="24"/>
        </w:rPr>
        <w:t xml:space="preserve"> in this SCCAP final rule</w:t>
      </w:r>
      <w:r w:rsidRPr="00E8222B">
        <w:rPr>
          <w:rFonts w:ascii="Times New Roman" w:hAnsi="Times New Roman"/>
          <w:sz w:val="24"/>
        </w:rPr>
        <w:t xml:space="preserve"> were simplified and streamlined from the 2017 rule, which included a limitation for auditors who conducted consulting type services for the owner or operator within the last two years, or for a period of at least 2 years following the audit report. </w:t>
      </w:r>
      <w:r w:rsidRPr="00B76D67" w:rsidR="00E2514A">
        <w:rPr>
          <w:rFonts w:ascii="Times New Roman" w:hAnsi="Times New Roman"/>
          <w:sz w:val="24"/>
        </w:rPr>
        <w:t>As noted in the SCCAP proposed rule, several trade associations have third-party auditing as part of their industry programs on process safety.</w:t>
      </w:r>
      <w:r w:rsidRPr="00E8222B" w:rsidR="00E2514A">
        <w:rPr>
          <w:rFonts w:ascii="Times New Roman" w:hAnsi="Times New Roman"/>
          <w:sz w:val="24"/>
        </w:rPr>
        <w:t xml:space="preserve"> </w:t>
      </w:r>
      <w:r w:rsidRPr="00E8222B">
        <w:rPr>
          <w:rFonts w:ascii="Times New Roman" w:hAnsi="Times New Roman"/>
          <w:sz w:val="24"/>
        </w:rPr>
        <w:t>EPA believes the provision, as adopted, ensures additional available independent auditors to act in an independent and impartial manner, allowing more flexibility in choosing auditors.</w:t>
      </w:r>
      <w:r w:rsidRPr="00B76D67">
        <w:t xml:space="preserve"> </w:t>
      </w:r>
      <w:r w:rsidR="003D0203">
        <w:rPr>
          <w:rFonts w:ascii="Times New Roman" w:hAnsi="Times New Roman"/>
          <w:sz w:val="24"/>
        </w:rPr>
        <w:t>Additionally</w:t>
      </w:r>
      <w:r w:rsidR="00D93459">
        <w:rPr>
          <w:rFonts w:ascii="Times New Roman" w:hAnsi="Times New Roman"/>
          <w:sz w:val="24"/>
        </w:rPr>
        <w:t>, s</w:t>
      </w:r>
      <w:r w:rsidRPr="00291F90">
        <w:rPr>
          <w:rFonts w:ascii="Times New Roman" w:hAnsi="Times New Roman"/>
          <w:sz w:val="24"/>
        </w:rPr>
        <w:t xml:space="preserve">ee section IV.B.3.i and IV.B.3.j </w:t>
      </w:r>
      <w:r w:rsidRPr="00D93459" w:rsidR="00D93459">
        <w:rPr>
          <w:rFonts w:ascii="Times New Roman" w:hAnsi="Times New Roman"/>
          <w:sz w:val="24"/>
        </w:rPr>
        <w:t xml:space="preserve">in the 2017 amendments final rule </w:t>
      </w:r>
      <w:r w:rsidRPr="00291F90">
        <w:rPr>
          <w:rFonts w:ascii="Times New Roman" w:hAnsi="Times New Roman"/>
          <w:sz w:val="24"/>
        </w:rPr>
        <w:t>for a</w:t>
      </w:r>
      <w:r w:rsidR="00D93459">
        <w:rPr>
          <w:rFonts w:ascii="Times New Roman" w:hAnsi="Times New Roman"/>
          <w:sz w:val="24"/>
        </w:rPr>
        <w:t xml:space="preserve"> robust</w:t>
      </w:r>
      <w:r w:rsidRPr="00291F90">
        <w:rPr>
          <w:rFonts w:ascii="Times New Roman" w:hAnsi="Times New Roman"/>
          <w:sz w:val="24"/>
        </w:rPr>
        <w:t xml:space="preserve"> discussion of auditor qualifications as an explanation for why EPA believes that independent auditors can provide a fresh perspective on compliance audits that will enable an owner or operator to improve the source’s RMP.</w:t>
      </w:r>
    </w:p>
    <w:p w:rsidR="00F11CF0" w:rsidRPr="00291F90" w:rsidP="00F41FFB" w14:paraId="0926D5F7" w14:textId="3BD93493">
      <w:pPr>
        <w:ind w:left="720"/>
        <w:rPr>
          <w:rFonts w:ascii="Times New Roman" w:hAnsi="Times New Roman"/>
          <w:sz w:val="24"/>
        </w:rPr>
      </w:pPr>
      <w:r w:rsidRPr="00F11CF0">
        <w:rPr>
          <w:rFonts w:ascii="Times New Roman" w:hAnsi="Times New Roman"/>
          <w:sz w:val="24"/>
        </w:rPr>
        <w:t>Lastly, EPA disagrees that all compliance audits are sufficient and therefore</w:t>
      </w:r>
      <w:r w:rsidR="00525334">
        <w:rPr>
          <w:rFonts w:ascii="Times New Roman" w:hAnsi="Times New Roman"/>
          <w:sz w:val="24"/>
        </w:rPr>
        <w:t xml:space="preserve"> the Agency</w:t>
      </w:r>
      <w:r w:rsidRPr="00F11CF0">
        <w:rPr>
          <w:rFonts w:ascii="Times New Roman" w:hAnsi="Times New Roman"/>
          <w:sz w:val="24"/>
        </w:rPr>
        <w:t xml:space="preserve"> believes it is appropriate to require a subset of RMP-regulated facilities to conduct third-party audits. As indicated in the proposal, EPA RMP accident history data show that, while 97 percent of all RMP facilities had no RMP-reportable accidents from 2016–2020, 3 percent of all RMP facilities had at least 1 RMP-reportable accident and 0.5 percent</w:t>
      </w:r>
      <w:r w:rsidRPr="00F11CF0">
        <w:rPr>
          <w:rFonts w:ascii="Times New Roman" w:hAnsi="Times New Roman"/>
          <w:sz w:val="24"/>
        </w:rPr>
        <w:t xml:space="preserve"> </w:t>
      </w:r>
      <w:r w:rsidR="00721E39">
        <w:rPr>
          <w:rFonts w:ascii="Times New Roman" w:hAnsi="Times New Roman"/>
          <w:sz w:val="24"/>
        </w:rPr>
        <w:t>(n =</w:t>
      </w:r>
      <w:r w:rsidR="00734156">
        <w:rPr>
          <w:rFonts w:ascii="Times New Roman" w:hAnsi="Times New Roman"/>
          <w:sz w:val="24"/>
        </w:rPr>
        <w:t xml:space="preserve"> 70) </w:t>
      </w:r>
      <w:r w:rsidRPr="00F11CF0">
        <w:rPr>
          <w:rFonts w:ascii="Times New Roman" w:hAnsi="Times New Roman"/>
          <w:sz w:val="24"/>
        </w:rPr>
        <w:t>of all RMP facilities had 2 or more RMP-reportable accidents</w:t>
      </w:r>
      <w:r w:rsidR="00F25542">
        <w:rPr>
          <w:rFonts w:ascii="Times New Roman" w:hAnsi="Times New Roman"/>
          <w:sz w:val="24"/>
        </w:rPr>
        <w:t xml:space="preserve"> (87 FR 53584)</w:t>
      </w:r>
      <w:r w:rsidRPr="00F11CF0">
        <w:rPr>
          <w:rFonts w:ascii="Times New Roman" w:hAnsi="Times New Roman"/>
          <w:sz w:val="24"/>
        </w:rPr>
        <w:t xml:space="preserve">. EPA views one 40 CFR 68.42(a) accidental release as a serious matter, considering the possible outcomes are deaths, injuries, or significant property damage on site, or known offsite deaths, injuries, evacuations, sheltering in place, property damage, or environmental damage. </w:t>
      </w:r>
      <w:r w:rsidR="005A3C6B">
        <w:rPr>
          <w:rFonts w:ascii="Times New Roman" w:hAnsi="Times New Roman"/>
          <w:sz w:val="24"/>
        </w:rPr>
        <w:t>Further, the average per accident damage estimate from 2016-2020 is $5.5 million. I</w:t>
      </w:r>
      <w:r w:rsidRPr="00F11CF0">
        <w:rPr>
          <w:rFonts w:ascii="Times New Roman" w:hAnsi="Times New Roman"/>
          <w:sz w:val="24"/>
        </w:rPr>
        <w:t>t is arguable that having even one accident should be a cause for concern</w:t>
      </w:r>
      <w:r w:rsidR="005A3C6B">
        <w:rPr>
          <w:rFonts w:ascii="Times New Roman" w:hAnsi="Times New Roman"/>
          <w:sz w:val="24"/>
        </w:rPr>
        <w:t xml:space="preserve"> considering most RMP facilities have never had any accidents</w:t>
      </w:r>
      <w:r w:rsidRPr="00F11CF0">
        <w:rPr>
          <w:rFonts w:ascii="Times New Roman" w:hAnsi="Times New Roman"/>
          <w:sz w:val="24"/>
        </w:rPr>
        <w:t xml:space="preserve">. </w:t>
      </w:r>
      <w:r w:rsidR="00B3683D">
        <w:rPr>
          <w:rFonts w:ascii="Times New Roman" w:hAnsi="Times New Roman"/>
          <w:sz w:val="24"/>
        </w:rPr>
        <w:t xml:space="preserve">Additionally, of the 70 facilities that had at least 1 RMP-reportable accident, 61 percent (n = 43) had experienced another accident prior to 2016. </w:t>
      </w:r>
      <w:r w:rsidRPr="00F11CF0">
        <w:rPr>
          <w:rFonts w:ascii="Times New Roman" w:hAnsi="Times New Roman"/>
          <w:sz w:val="24"/>
        </w:rPr>
        <w:t>EPA does not believe affected communities should have to experience the adverse consequences of a second reportable accident before an objective party comes in to evaluate the facility for compliance.</w:t>
      </w:r>
      <w:r w:rsidR="00C0493C">
        <w:rPr>
          <w:rFonts w:ascii="Times New Roman" w:hAnsi="Times New Roman"/>
          <w:sz w:val="24"/>
        </w:rPr>
        <w:t xml:space="preserve"> The pattern of repeated accidents at RMP facilities provides a reasoned basis for EPA’s focus on these </w:t>
      </w:r>
      <w:r w:rsidR="005845B8">
        <w:rPr>
          <w:rFonts w:ascii="Times New Roman" w:hAnsi="Times New Roman"/>
          <w:sz w:val="24"/>
        </w:rPr>
        <w:t xml:space="preserve">facilities to apply a greater level of risk reduction measures. </w:t>
      </w:r>
    </w:p>
    <w:p w:rsidR="00F41FFB" w:rsidP="00F41FFB" w14:paraId="66019F6B" w14:textId="26849E86">
      <w:pPr>
        <w:rPr>
          <w:rFonts w:ascii="Times New Roman" w:hAnsi="Times New Roman"/>
          <w:sz w:val="24"/>
        </w:rPr>
      </w:pPr>
      <w:r w:rsidRPr="008C7FC5">
        <w:rPr>
          <w:rFonts w:ascii="Times New Roman" w:hAnsi="Times New Roman"/>
          <w:b/>
          <w:bCs/>
          <w:sz w:val="24"/>
        </w:rPr>
        <w:t>Comment</w:t>
      </w:r>
      <w:r>
        <w:rPr>
          <w:rFonts w:ascii="Times New Roman" w:hAnsi="Times New Roman"/>
          <w:b/>
          <w:bCs/>
          <w:sz w:val="24"/>
        </w:rPr>
        <w:t xml:space="preserve"> 8.1-2</w:t>
      </w:r>
      <w:r w:rsidR="00657BBE">
        <w:rPr>
          <w:rFonts w:ascii="Times New Roman" w:hAnsi="Times New Roman"/>
          <w:b/>
          <w:bCs/>
          <w:sz w:val="24"/>
        </w:rPr>
        <w:t>7</w:t>
      </w:r>
      <w:r w:rsidRPr="008C7FC5">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recommended that auditors be asked to sign a statement disavowing any conflicts of interest and outlining ethical obligations (0201).</w:t>
      </w:r>
    </w:p>
    <w:p w:rsidR="003265D2" w:rsidP="001813E9" w14:paraId="7FCEA5CD" w14:textId="432B11FF">
      <w:pPr>
        <w:ind w:left="720"/>
        <w:rPr>
          <w:rFonts w:ascii="Times New Roman" w:eastAsia="Times New Roman" w:hAnsi="Times New Roman"/>
          <w:sz w:val="24"/>
        </w:rPr>
      </w:pPr>
      <w:r w:rsidRPr="00AC5BC1">
        <w:rPr>
          <w:rFonts w:ascii="Times New Roman" w:hAnsi="Times New Roman"/>
          <w:b/>
          <w:bCs/>
          <w:sz w:val="24"/>
        </w:rPr>
        <w:t>EPA Response:</w:t>
      </w:r>
      <w:r w:rsidRPr="008D32AA">
        <w:rPr>
          <w:rFonts w:ascii="Times New Roman" w:hAnsi="Times New Roman"/>
          <w:b/>
          <w:bCs/>
          <w:sz w:val="24"/>
        </w:rPr>
        <w:t xml:space="preserve"> </w:t>
      </w:r>
      <w:r w:rsidRPr="00AC5BC1" w:rsidR="001813E9">
        <w:rPr>
          <w:rFonts w:ascii="Times New Roman" w:hAnsi="Times New Roman"/>
          <w:sz w:val="24"/>
        </w:rPr>
        <w:t>EPA notes that th</w:t>
      </w:r>
      <w:r w:rsidRPr="00AC5BC1" w:rsidR="0093141D">
        <w:rPr>
          <w:rFonts w:ascii="Times New Roman" w:hAnsi="Times New Roman"/>
          <w:sz w:val="24"/>
        </w:rPr>
        <w:t xml:space="preserve">e </w:t>
      </w:r>
      <w:r w:rsidR="00DC496D">
        <w:rPr>
          <w:rFonts w:ascii="Times New Roman" w:hAnsi="Times New Roman"/>
          <w:sz w:val="24"/>
        </w:rPr>
        <w:t xml:space="preserve">SCCAP </w:t>
      </w:r>
      <w:r w:rsidRPr="00AC5BC1" w:rsidR="0093141D">
        <w:rPr>
          <w:rFonts w:ascii="Times New Roman" w:hAnsi="Times New Roman"/>
          <w:sz w:val="24"/>
        </w:rPr>
        <w:t>final rule third-party auditor qualification</w:t>
      </w:r>
      <w:r w:rsidRPr="00AC5BC1" w:rsidR="004F40A3">
        <w:rPr>
          <w:rFonts w:ascii="Times New Roman" w:hAnsi="Times New Roman"/>
          <w:sz w:val="24"/>
        </w:rPr>
        <w:t xml:space="preserve"> provisions </w:t>
      </w:r>
      <w:r w:rsidR="00CF3523">
        <w:rPr>
          <w:rFonts w:ascii="Times New Roman" w:hAnsi="Times New Roman"/>
          <w:sz w:val="24"/>
        </w:rPr>
        <w:t xml:space="preserve">include </w:t>
      </w:r>
      <w:r w:rsidRPr="00AC5BC1" w:rsidR="00CF3523">
        <w:rPr>
          <w:rFonts w:ascii="Times New Roman" w:hAnsi="Times New Roman"/>
          <w:sz w:val="24"/>
        </w:rPr>
        <w:t>requir</w:t>
      </w:r>
      <w:r w:rsidR="00CF3523">
        <w:rPr>
          <w:rFonts w:ascii="Times New Roman" w:hAnsi="Times New Roman"/>
          <w:sz w:val="24"/>
        </w:rPr>
        <w:t>ing</w:t>
      </w:r>
      <w:r w:rsidRPr="00AC5BC1" w:rsidR="001813E9">
        <w:rPr>
          <w:rFonts w:ascii="Times New Roman" w:hAnsi="Times New Roman"/>
          <w:sz w:val="24"/>
        </w:rPr>
        <w:t xml:space="preserve"> owner and </w:t>
      </w:r>
      <w:r w:rsidRPr="00AC5BC1" w:rsidR="004F40A3">
        <w:rPr>
          <w:rFonts w:ascii="Times New Roman" w:hAnsi="Times New Roman"/>
          <w:sz w:val="24"/>
        </w:rPr>
        <w:t>operators</w:t>
      </w:r>
      <w:r w:rsidRPr="00AC5BC1" w:rsidR="001813E9">
        <w:rPr>
          <w:rFonts w:ascii="Times New Roman" w:hAnsi="Times New Roman"/>
          <w:sz w:val="24"/>
        </w:rPr>
        <w:t xml:space="preserve"> </w:t>
      </w:r>
      <w:r w:rsidR="00836BC2">
        <w:rPr>
          <w:rFonts w:ascii="Times New Roman" w:hAnsi="Times New Roman"/>
          <w:sz w:val="24"/>
        </w:rPr>
        <w:t xml:space="preserve">to determine and document </w:t>
      </w:r>
      <w:r>
        <w:rPr>
          <w:rFonts w:ascii="Times New Roman" w:hAnsi="Times New Roman"/>
          <w:sz w:val="24"/>
        </w:rPr>
        <w:t>that all</w:t>
      </w:r>
      <w:r w:rsidRPr="00AC5BC1" w:rsidR="002E13B4">
        <w:rPr>
          <w:rFonts w:ascii="Times New Roman" w:eastAsia="Times New Roman" w:hAnsi="Times New Roman"/>
          <w:sz w:val="24"/>
        </w:rPr>
        <w:t xml:space="preserve"> third-party personnel</w:t>
      </w:r>
      <w:r>
        <w:rPr>
          <w:rFonts w:ascii="Times New Roman" w:eastAsia="Times New Roman" w:hAnsi="Times New Roman"/>
          <w:sz w:val="24"/>
        </w:rPr>
        <w:t>:</w:t>
      </w:r>
    </w:p>
    <w:p w:rsidR="003265D2" w:rsidRPr="003265D2" w:rsidP="00FD54CB" w14:paraId="20AB7911" w14:textId="1C6C18A4">
      <w:pPr>
        <w:ind w:left="720" w:firstLine="720"/>
        <w:rPr>
          <w:rFonts w:ascii="Times New Roman" w:eastAsia="Times New Roman" w:hAnsi="Times New Roman"/>
          <w:sz w:val="24"/>
        </w:rPr>
      </w:pPr>
      <w:r w:rsidRPr="003265D2">
        <w:rPr>
          <w:rFonts w:ascii="Times New Roman" w:eastAsia="Times New Roman" w:hAnsi="Times New Roman"/>
          <w:sz w:val="24"/>
        </w:rPr>
        <w:t xml:space="preserve">(i) Act impartially when performing all activities; </w:t>
      </w:r>
    </w:p>
    <w:p w:rsidR="003265D2" w:rsidRPr="003265D2" w:rsidP="00FD54CB" w14:paraId="6D5052EC" w14:textId="452D8B72">
      <w:pPr>
        <w:ind w:left="1440"/>
        <w:rPr>
          <w:rFonts w:ascii="Times New Roman" w:eastAsia="Times New Roman" w:hAnsi="Times New Roman"/>
          <w:sz w:val="24"/>
        </w:rPr>
      </w:pPr>
      <w:r w:rsidRPr="003265D2">
        <w:rPr>
          <w:rFonts w:ascii="Times New Roman" w:eastAsia="Times New Roman" w:hAnsi="Times New Roman"/>
          <w:sz w:val="24"/>
        </w:rPr>
        <w:t>(ii) Receive no financial benefit from the outcome of the audit, apart from payment for auditing services</w:t>
      </w:r>
      <w:r w:rsidR="00CF3523">
        <w:rPr>
          <w:rFonts w:ascii="Times New Roman" w:eastAsia="Times New Roman" w:hAnsi="Times New Roman"/>
          <w:sz w:val="24"/>
        </w:rPr>
        <w:t>;</w:t>
      </w:r>
    </w:p>
    <w:p w:rsidR="003265D2" w:rsidRPr="003265D2" w:rsidP="00FD54CB" w14:paraId="3D8A0818" w14:textId="52CE8F3F">
      <w:pPr>
        <w:ind w:left="1440"/>
        <w:rPr>
          <w:rFonts w:ascii="Times New Roman" w:eastAsia="Times New Roman" w:hAnsi="Times New Roman"/>
          <w:sz w:val="24"/>
        </w:rPr>
      </w:pPr>
      <w:r w:rsidRPr="003265D2">
        <w:rPr>
          <w:rFonts w:ascii="Times New Roman" w:eastAsia="Times New Roman" w:hAnsi="Times New Roman"/>
          <w:sz w:val="24"/>
        </w:rPr>
        <w:t>(iii) Ensure that all third-party personnel involved in the audit sign and date a conflict of interest statement documenting that they meet the independence criteria</w:t>
      </w:r>
      <w:r w:rsidR="00CF3523">
        <w:rPr>
          <w:rFonts w:ascii="Times New Roman" w:eastAsia="Times New Roman" w:hAnsi="Times New Roman"/>
          <w:sz w:val="24"/>
        </w:rPr>
        <w:t>;</w:t>
      </w:r>
    </w:p>
    <w:p w:rsidR="00DC496D" w:rsidP="00FD54CB" w14:paraId="6025DCCF" w14:textId="08233311">
      <w:pPr>
        <w:ind w:left="1440"/>
        <w:rPr>
          <w:rFonts w:ascii="Times New Roman" w:eastAsia="Times New Roman" w:hAnsi="Times New Roman"/>
          <w:sz w:val="24"/>
        </w:rPr>
      </w:pPr>
      <w:r w:rsidRPr="003265D2">
        <w:rPr>
          <w:rFonts w:ascii="Times New Roman" w:eastAsia="Times New Roman" w:hAnsi="Times New Roman"/>
          <w:sz w:val="24"/>
        </w:rPr>
        <w:t>(iv) Ensure that all third-party personnel involved in the audit do not accept future employment with the owner or operator of the stationary source for a period of at least two years following submission of the final audit report</w:t>
      </w:r>
      <w:r>
        <w:rPr>
          <w:rFonts w:ascii="Times New Roman" w:eastAsia="Times New Roman" w:hAnsi="Times New Roman"/>
          <w:sz w:val="24"/>
        </w:rPr>
        <w:t>.</w:t>
      </w:r>
    </w:p>
    <w:p w:rsidR="00F41FFB" w:rsidRPr="00AC5BC1" w:rsidP="00FD54CB" w14:paraId="674DAB67" w14:textId="43564871">
      <w:pPr>
        <w:ind w:left="720"/>
        <w:rPr>
          <w:rFonts w:ascii="Times New Roman" w:eastAsia="Times New Roman" w:hAnsi="Times New Roman"/>
          <w:sz w:val="24"/>
        </w:rPr>
      </w:pPr>
      <w:r>
        <w:rPr>
          <w:rFonts w:ascii="Times New Roman" w:eastAsia="Times New Roman" w:hAnsi="Times New Roman"/>
          <w:sz w:val="24"/>
        </w:rPr>
        <w:t>Additionally, t</w:t>
      </w:r>
      <w:r w:rsidRPr="00AC5BC1" w:rsidR="006F159E">
        <w:rPr>
          <w:rFonts w:ascii="Times New Roman" w:eastAsia="Times New Roman" w:hAnsi="Times New Roman"/>
          <w:sz w:val="24"/>
        </w:rPr>
        <w:t xml:space="preserve">he audit report must also include </w:t>
      </w:r>
      <w:r w:rsidRPr="00AC5BC1" w:rsidR="005B231A">
        <w:rPr>
          <w:rFonts w:ascii="Times New Roman" w:eastAsia="Times New Roman" w:hAnsi="Times New Roman"/>
          <w:sz w:val="24"/>
        </w:rPr>
        <w:t xml:space="preserve">the following </w:t>
      </w:r>
      <w:r w:rsidRPr="00AC5BC1" w:rsidR="006F159E">
        <w:rPr>
          <w:rFonts w:ascii="Times New Roman" w:eastAsia="Times New Roman" w:hAnsi="Times New Roman"/>
          <w:sz w:val="24"/>
        </w:rPr>
        <w:t xml:space="preserve">certification statement </w:t>
      </w:r>
      <w:r w:rsidRPr="00AC5BC1" w:rsidR="003A24BA">
        <w:rPr>
          <w:rFonts w:ascii="Times New Roman" w:eastAsia="Times New Roman" w:hAnsi="Times New Roman"/>
          <w:sz w:val="24"/>
        </w:rPr>
        <w:t xml:space="preserve">signed and dated by the third-party auditor or </w:t>
      </w:r>
      <w:r w:rsidRPr="00AC5BC1" w:rsidR="009D12A8">
        <w:rPr>
          <w:rFonts w:ascii="Times New Roman" w:eastAsia="Times New Roman" w:hAnsi="Times New Roman"/>
          <w:sz w:val="24"/>
        </w:rPr>
        <w:t>third-party audit team member leading the audit</w:t>
      </w:r>
      <w:r w:rsidRPr="00AC5BC1" w:rsidR="001813E9">
        <w:rPr>
          <w:rFonts w:ascii="Times New Roman" w:eastAsia="Times New Roman" w:hAnsi="Times New Roman"/>
          <w:sz w:val="24"/>
        </w:rPr>
        <w:t>:</w:t>
      </w:r>
    </w:p>
    <w:p w:rsidR="001813E9" w:rsidRPr="00AC5BC1" w:rsidP="00925A86" w14:paraId="183778E6" w14:textId="37505488">
      <w:pPr>
        <w:ind w:left="1440"/>
        <w:rPr>
          <w:rFonts w:ascii="Times New Roman" w:eastAsia="Times New Roman" w:hAnsi="Times New Roman"/>
          <w:i/>
          <w:iCs/>
          <w:sz w:val="24"/>
        </w:rPr>
      </w:pPr>
      <w:r w:rsidRPr="00AC5BC1">
        <w:rPr>
          <w:rFonts w:ascii="Times New Roman" w:eastAsia="Times New Roman" w:hAnsi="Times New Roman"/>
          <w:i/>
          <w:iCs/>
          <w:sz w:val="24"/>
        </w:rPr>
        <w:t>“I certify that this RMP compliance audit report was prepared under my direction or supervision in accordance with a system designed to assure that qualified personnel properly gather and evaluate the information upon which the audit is based. I further certify that the audit was conducted and this report was prepared pursuant to the requirements of subpart C of 40 CFR part 68 and all other applicable auditing, competency, independence, impartiality, and conflict of interest standards and protocols. Based on my personal knowledge and experience, and inquiry of personnel involved in the audit, the information submitted herein is true, accurate, and complete.”</w:t>
      </w:r>
    </w:p>
    <w:p w:rsidR="00F41FFB" w:rsidP="00F41FFB" w14:paraId="29B57EF6" w14:textId="2BE68C64">
      <w:pPr>
        <w:rPr>
          <w:rFonts w:ascii="Times New Roman" w:hAnsi="Times New Roman"/>
          <w:sz w:val="24"/>
        </w:rPr>
      </w:pPr>
      <w:r w:rsidRPr="00635801">
        <w:rPr>
          <w:rFonts w:ascii="Times New Roman" w:hAnsi="Times New Roman"/>
          <w:b/>
          <w:bCs/>
          <w:sz w:val="24"/>
        </w:rPr>
        <w:t>Comment</w:t>
      </w:r>
      <w:r>
        <w:rPr>
          <w:rFonts w:ascii="Times New Roman" w:hAnsi="Times New Roman"/>
          <w:b/>
          <w:bCs/>
          <w:sz w:val="24"/>
        </w:rPr>
        <w:t xml:space="preserve"> 8.1-2</w:t>
      </w:r>
      <w:r w:rsidR="00657BBE">
        <w:rPr>
          <w:rFonts w:ascii="Times New Roman" w:hAnsi="Times New Roman"/>
          <w:b/>
          <w:bCs/>
          <w:sz w:val="24"/>
        </w:rPr>
        <w:t>8</w:t>
      </w:r>
      <w:r w:rsidRPr="00635801">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Another commenter stated disagreement with EPA’s assessment that non-independent auditors will be biased and thus lenient in the conduct of an audit, resulting in less rigorous scrutiny and analysis of the facilities under review (0256). </w:t>
      </w:r>
    </w:p>
    <w:p w:rsidR="00A03273" w:rsidP="005417D5" w14:paraId="41AFBF87" w14:textId="77777777">
      <w:pPr>
        <w:ind w:left="720"/>
      </w:pPr>
      <w:r w:rsidRPr="00136A85">
        <w:rPr>
          <w:rFonts w:ascii="Times New Roman" w:hAnsi="Times New Roman"/>
          <w:b/>
          <w:bCs/>
          <w:sz w:val="24"/>
        </w:rPr>
        <w:t>EPA Response:</w:t>
      </w:r>
      <w:r w:rsidRPr="000E25CB" w:rsidR="000E25CB">
        <w:t xml:space="preserve"> </w:t>
      </w:r>
      <w:r w:rsidRPr="00A03273" w:rsidR="00C776CA">
        <w:rPr>
          <w:rFonts w:ascii="Times New Roman" w:hAnsi="Times New Roman"/>
          <w:sz w:val="24"/>
        </w:rPr>
        <w:t xml:space="preserve">As mentioned throughout this document, </w:t>
      </w:r>
      <w:r w:rsidRPr="00A03273">
        <w:rPr>
          <w:rFonts w:ascii="Times New Roman" w:hAnsi="Times New Roman"/>
          <w:sz w:val="24"/>
        </w:rPr>
        <w:t xml:space="preserve">despite current EPA regulations, RMP reportable accidents continue to occur, in some instances, more than once at the same facility. Sources that have had one accident are substantially more likely to have another accident than the general population of RMP-regulated sources. EPA is </w:t>
      </w:r>
      <w:r w:rsidRPr="00A03273">
        <w:rPr>
          <w:rFonts w:ascii="Times New Roman" w:hAnsi="Times New Roman"/>
          <w:sz w:val="24"/>
        </w:rPr>
        <w:t>concerned that those facilities may not have been able to identify measures on their own (through incident investigations, hazard evaluations, and compliance self-audits) to properly evaluate and apply appropriate prevention program measures to stop accident releases from occurring. The third-party audit provision is intended to reduce the risk of future accidental releases by requiring an objective auditing process to assist owners and operators in determining whether facility procedures and practices are accurate and are being followed.</w:t>
      </w:r>
      <w:r>
        <w:t xml:space="preserve"> </w:t>
      </w:r>
    </w:p>
    <w:p w:rsidR="00F41FFB" w:rsidP="005417D5" w14:paraId="628B500B" w14:textId="75EA804D">
      <w:pPr>
        <w:ind w:left="720"/>
        <w:rPr>
          <w:rFonts w:ascii="Times New Roman" w:hAnsi="Times New Roman"/>
          <w:i/>
          <w:sz w:val="24"/>
        </w:rPr>
      </w:pPr>
      <w:r w:rsidRPr="00A03273">
        <w:rPr>
          <w:rFonts w:ascii="Times New Roman" w:hAnsi="Times New Roman"/>
          <w:sz w:val="24"/>
        </w:rPr>
        <w:t>That being said, facility personnel are also allowed to be on the audit team along with the third-party auditor.</w:t>
      </w:r>
      <w:r w:rsidR="000E25CB">
        <w:rPr>
          <w:rFonts w:ascii="Times New Roman" w:hAnsi="Times New Roman"/>
          <w:sz w:val="24"/>
        </w:rPr>
        <w:t xml:space="preserve"> </w:t>
      </w:r>
      <w:r w:rsidRPr="002C172A" w:rsidR="000E25CB">
        <w:rPr>
          <w:rFonts w:ascii="Times New Roman" w:hAnsi="Times New Roman"/>
          <w:sz w:val="24"/>
        </w:rPr>
        <w:t>EPA believes that allowing facility personnel and other knowledgeable but independent contractors and consultants to participate in the audit would improve the audit teams’ performance and outcomes. This approach will allow qualified personnel with critical sector or facility-specific experience to participate in the audit and enable facility personnel to provide input during the compliance audit. EPA also notes that having a third-party conduct a compliance audit does not preclude the facility from conducting an in-house compliance audit in tandem. If the goal is to ensure that preventative measures are in place to prevent future accidents, EPA hopes that a facility would want to implement all such measures to ensure it is compliant.</w:t>
      </w:r>
    </w:p>
    <w:p w:rsidR="00F41FFB" w:rsidRPr="008D32AA" w:rsidP="005417D5" w14:paraId="1BD17791" w14:textId="4A921DBA">
      <w:pPr>
        <w:rPr>
          <w:rFonts w:ascii="Times New Roman" w:hAnsi="Times New Roman"/>
          <w:b/>
          <w:bCs/>
          <w:sz w:val="24"/>
        </w:rPr>
      </w:pPr>
      <w:r w:rsidRPr="00DE0B1D">
        <w:rPr>
          <w:rFonts w:ascii="Times New Roman" w:hAnsi="Times New Roman"/>
          <w:i/>
          <w:iCs/>
          <w:sz w:val="24"/>
        </w:rPr>
        <w:t>Auditing of each covered process</w:t>
      </w:r>
    </w:p>
    <w:p w:rsidR="00F41FFB" w:rsidP="00F41FFB" w14:paraId="4DE4C254" w14:textId="10927636">
      <w:pPr>
        <w:rPr>
          <w:rFonts w:ascii="Times New Roman" w:hAnsi="Times New Roman"/>
          <w:sz w:val="24"/>
        </w:rPr>
      </w:pPr>
      <w:r w:rsidRPr="008A40D1">
        <w:rPr>
          <w:rFonts w:ascii="Times New Roman" w:hAnsi="Times New Roman"/>
          <w:b/>
          <w:bCs/>
          <w:sz w:val="24"/>
        </w:rPr>
        <w:t>Comment</w:t>
      </w:r>
      <w:r>
        <w:rPr>
          <w:rFonts w:ascii="Times New Roman" w:hAnsi="Times New Roman"/>
          <w:b/>
          <w:bCs/>
          <w:sz w:val="24"/>
        </w:rPr>
        <w:t xml:space="preserve"> 8.1-</w:t>
      </w:r>
      <w:r w:rsidR="00657BBE">
        <w:rPr>
          <w:rFonts w:ascii="Times New Roman" w:hAnsi="Times New Roman"/>
          <w:b/>
          <w:bCs/>
          <w:sz w:val="24"/>
        </w:rPr>
        <w:t>29</w:t>
      </w:r>
      <w:r w:rsidRPr="008A40D1">
        <w:rPr>
          <w:rFonts w:ascii="Times New Roman" w:hAnsi="Times New Roman"/>
          <w:b/>
          <w:bCs/>
          <w:sz w:val="24"/>
        </w:rPr>
        <w:t xml:space="preserve">: </w:t>
      </w:r>
      <w:r w:rsidRPr="006F68E9">
        <w:rPr>
          <w:rFonts w:ascii="Times New Roman" w:hAnsi="Times New Roman"/>
          <w:sz w:val="24"/>
        </w:rPr>
        <w:t xml:space="preserve">A couple commenters suggested that EPA has not justified why the current compliance audit requirements cannot be met by auditing a representative sample of all covered processes, which would lessen the burden on facilities while still ensuring safety (0268, 0272). One commenter noted that EPA, OSHA, and the CCPS have long recognized representative sampling as a best practice. The commenter explained that any audit findings are still applied facility-wide, not just at those covered processes that were sampled (0268). </w:t>
      </w:r>
    </w:p>
    <w:p w:rsidR="00F41FFB" w:rsidP="00F41FFB" w14:paraId="5BFFE363" w14:textId="77777777">
      <w:pPr>
        <w:rPr>
          <w:rFonts w:ascii="Times New Roman" w:hAnsi="Times New Roman"/>
          <w:sz w:val="24"/>
        </w:rPr>
      </w:pPr>
      <w:r>
        <w:rPr>
          <w:rFonts w:ascii="Times New Roman" w:hAnsi="Times New Roman"/>
          <w:sz w:val="24"/>
        </w:rPr>
        <w:t xml:space="preserve">Another </w:t>
      </w:r>
      <w:r w:rsidRPr="006F68E9">
        <w:rPr>
          <w:rFonts w:ascii="Times New Roman" w:hAnsi="Times New Roman"/>
          <w:sz w:val="24"/>
        </w:rPr>
        <w:t>commenter stated that EPA previously acknowledged in the 2019 RMP Reconsideration Rule that a representative sampling approach to compliance auditing—rather than a process-by-process approach—is accepted industry practice, and the Agency provides no rationale in the Proposed Rule for departing from this understanding (0233).</w:t>
      </w:r>
    </w:p>
    <w:p w:rsidR="00F41FFB" w:rsidP="00F41FFB" w14:paraId="02C322C3" w14:textId="77777777">
      <w:pPr>
        <w:rPr>
          <w:rFonts w:ascii="Times New Roman" w:hAnsi="Times New Roman"/>
          <w:sz w:val="24"/>
        </w:rPr>
      </w:pPr>
      <w:r w:rsidRPr="006F68E9">
        <w:rPr>
          <w:rFonts w:ascii="Times New Roman" w:hAnsi="Times New Roman"/>
          <w:sz w:val="24"/>
        </w:rPr>
        <w:t>One commenter asserted that some of the language in the provision is not discussed, namely the language that audits are to be conducted for “each covered process.” The commenter noted that this is a “dramatic expansion” of previous auditing requirements, does not follow fundamental auditing principles, and is unnecessary (0233). Another commenter stated that the language was unclear (0232). A few commenters claim that it would be arbitrary and capricious and violate administrative law if EPA finalizes a requirement to audit “each covered process” without any explanation of the change (0233, 0237, 0253).</w:t>
      </w:r>
    </w:p>
    <w:p w:rsidR="00F41FFB" w:rsidRPr="006F68E9" w:rsidP="00F41FFB" w14:paraId="1319457F" w14:textId="77777777">
      <w:pPr>
        <w:rPr>
          <w:rFonts w:ascii="Times New Roman" w:hAnsi="Times New Roman"/>
          <w:sz w:val="24"/>
        </w:rPr>
      </w:pPr>
      <w:r w:rsidRPr="006F68E9">
        <w:rPr>
          <w:rFonts w:ascii="Times New Roman" w:hAnsi="Times New Roman"/>
          <w:sz w:val="24"/>
        </w:rPr>
        <w:t>A couple of commenters noted that “each covered process” makes the Proposed Rule inconsistent with OSHA PSM Standards. The commenters also stated that requiring audits for each covered process lacks rational basis (0207, 0233).</w:t>
      </w:r>
    </w:p>
    <w:p w:rsidR="00F41FFB" w:rsidRPr="00DE0B1D" w:rsidP="005417D5" w14:paraId="4B8BC486" w14:textId="2514388F">
      <w:pPr>
        <w:pStyle w:val="NoSpacing"/>
        <w:spacing w:before="120" w:after="120"/>
        <w:ind w:left="720"/>
        <w:rPr>
          <w:rFonts w:ascii="Times New Roman" w:eastAsia="Times New Roman" w:hAnsi="Times New Roman" w:cs="Times New Roman"/>
          <w:sz w:val="24"/>
          <w:szCs w:val="24"/>
        </w:rPr>
      </w:pPr>
      <w:r w:rsidRPr="00DB39DE">
        <w:rPr>
          <w:rFonts w:ascii="Times New Roman" w:hAnsi="Times New Roman" w:eastAsiaTheme="minorEastAsia" w:cs="Times New Roman"/>
          <w:b/>
          <w:bCs/>
          <w:sz w:val="24"/>
          <w:szCs w:val="24"/>
        </w:rPr>
        <w:t>EPA Response:</w:t>
      </w:r>
      <w:r w:rsidRPr="00DB39DE">
        <w:rPr>
          <w:rFonts w:ascii="Times New Roman" w:hAnsi="Times New Roman" w:eastAsiaTheme="minorEastAsia" w:cs="Times New Roman"/>
          <w:sz w:val="24"/>
          <w:szCs w:val="24"/>
        </w:rPr>
        <w:t xml:space="preserve"> EPA is not finalizing compliance audit language at 40 CFR 68.58(a) and 68.79(a) which proposed auditing for every covered process at a facility. This corrects an error in the proposed rule text. By not finalizing this language, compliance audits will remain consistent with the current practice, which allows for representative sampling. A </w:t>
      </w:r>
      <w:r w:rsidRPr="00DB39DE">
        <w:rPr>
          <w:rFonts w:ascii="Times New Roman" w:hAnsi="Times New Roman" w:eastAsiaTheme="minorEastAsia" w:cs="Times New Roman"/>
          <w:sz w:val="24"/>
          <w:szCs w:val="24"/>
        </w:rPr>
        <w:t>discussion of representative sampling as an acceptable practice for compliance audits can be found in the Reconsideration final rule</w:t>
      </w:r>
      <w:r w:rsidRPr="009C1CFD">
        <w:rPr>
          <w:rFonts w:ascii="Times New Roman" w:eastAsia="Times New Roman" w:hAnsi="Times New Roman" w:cs="Times New Roman"/>
          <w:sz w:val="24"/>
          <w:szCs w:val="24"/>
        </w:rPr>
        <w:t>.</w:t>
      </w:r>
      <w:r>
        <w:rPr>
          <w:rStyle w:val="FootnoteReference"/>
          <w:rFonts w:eastAsia="Times New Roman"/>
          <w:sz w:val="24"/>
          <w:szCs w:val="24"/>
        </w:rPr>
        <w:footnoteReference w:id="136"/>
      </w:r>
    </w:p>
    <w:p w:rsidR="00F41FFB" w:rsidRPr="00385F00" w:rsidP="00F41FFB" w14:paraId="4BFF19AD" w14:textId="77777777">
      <w:pPr>
        <w:rPr>
          <w:rFonts w:ascii="Times New Roman" w:hAnsi="Times New Roman"/>
          <w:i/>
          <w:sz w:val="24"/>
        </w:rPr>
      </w:pPr>
      <w:r w:rsidRPr="00385F00">
        <w:rPr>
          <w:rFonts w:ascii="Times New Roman" w:hAnsi="Times New Roman"/>
          <w:i/>
          <w:sz w:val="24"/>
        </w:rPr>
        <w:t xml:space="preserve">Other comments on third-party audit requirements </w:t>
      </w:r>
    </w:p>
    <w:p w:rsidR="00F41FFB" w:rsidRPr="006F68E9" w:rsidP="00F41FFB" w14:paraId="1488E940" w14:textId="10845281">
      <w:pPr>
        <w:rPr>
          <w:rFonts w:ascii="Times New Roman" w:hAnsi="Times New Roman"/>
          <w:sz w:val="24"/>
        </w:rPr>
      </w:pPr>
      <w:r>
        <w:rPr>
          <w:rFonts w:ascii="Times New Roman" w:hAnsi="Times New Roman"/>
          <w:b/>
          <w:bCs/>
          <w:sz w:val="24"/>
        </w:rPr>
        <w:t>Comment 8.1-3</w:t>
      </w:r>
      <w:r w:rsidR="00657BBE">
        <w:rPr>
          <w:rFonts w:ascii="Times New Roman" w:hAnsi="Times New Roman"/>
          <w:b/>
          <w:bCs/>
          <w:sz w:val="24"/>
        </w:rPr>
        <w:t>0</w:t>
      </w:r>
      <w:r>
        <w:rPr>
          <w:rFonts w:ascii="Times New Roman" w:hAnsi="Times New Roman"/>
          <w:b/>
          <w:bCs/>
          <w:sz w:val="24"/>
        </w:rPr>
        <w:t xml:space="preserve">: </w:t>
      </w:r>
      <w:r w:rsidRPr="6D3F9CC5">
        <w:rPr>
          <w:rFonts w:ascii="Times New Roman" w:hAnsi="Times New Roman"/>
          <w:sz w:val="24"/>
        </w:rPr>
        <w:t xml:space="preserve">Numerous commenters expressed support for fully restoring the third-party auditing requirements of the 2017 rule (0139, 0191, 0216, 0235, 0240, 0245, 0248, 0257, 0383, 0402, 0444, 0449, 0456, 0460). One of the commenters noted that third-party auditing helps to ensure a systematic evaluation of the full prevention program for covered processes, while self-auditing may be insufficient to prevent accidents and ensure compliance (0444). Another commenter emphasized that third-party audits will also ensure they are unbiased, compared to self-audits (0383). </w:t>
      </w:r>
    </w:p>
    <w:p w:rsidR="00F41FFB" w:rsidP="00F41FFB" w14:paraId="63690933" w14:textId="46D3E731">
      <w:pPr>
        <w:ind w:left="720"/>
        <w:rPr>
          <w:rFonts w:ascii="Times New Roman" w:hAnsi="Times New Roman"/>
          <w:sz w:val="24"/>
        </w:rPr>
      </w:pPr>
      <w:r w:rsidRPr="00CE11B4">
        <w:rPr>
          <w:rFonts w:ascii="Times New Roman" w:hAnsi="Times New Roman"/>
          <w:b/>
          <w:sz w:val="24"/>
        </w:rPr>
        <w:t>E</w:t>
      </w:r>
      <w:r w:rsidRPr="00CE11B4">
        <w:rPr>
          <w:rFonts w:ascii="Times New Roman" w:hAnsi="Times New Roman"/>
          <w:b/>
          <w:bCs/>
          <w:sz w:val="24"/>
        </w:rPr>
        <w:t>PA Response:</w:t>
      </w:r>
      <w:r>
        <w:rPr>
          <w:rFonts w:ascii="Times New Roman" w:hAnsi="Times New Roman"/>
          <w:b/>
          <w:bCs/>
          <w:sz w:val="24"/>
        </w:rPr>
        <w:t xml:space="preserve"> </w:t>
      </w:r>
      <w:r w:rsidRPr="00FA5393">
        <w:rPr>
          <w:rFonts w:ascii="Times New Roman" w:eastAsia="Times New Roman" w:hAnsi="Times New Roman"/>
          <w:sz w:val="24"/>
        </w:rPr>
        <w:t xml:space="preserve"> </w:t>
      </w:r>
      <w:r w:rsidRPr="00541E58" w:rsidR="00541E58">
        <w:rPr>
          <w:rFonts w:ascii="Times New Roman" w:eastAsia="Times New Roman" w:hAnsi="Times New Roman"/>
          <w:sz w:val="24"/>
        </w:rPr>
        <w:t>EPA appreciates commenters’ support.</w:t>
      </w:r>
      <w:r w:rsidR="00674D72">
        <w:rPr>
          <w:rFonts w:ascii="Times New Roman" w:eastAsia="Times New Roman" w:hAnsi="Times New Roman"/>
          <w:sz w:val="24"/>
        </w:rPr>
        <w:t xml:space="preserve"> EPA</w:t>
      </w:r>
      <w:r w:rsidRPr="00674D72" w:rsidR="00674D72">
        <w:t xml:space="preserve"> </w:t>
      </w:r>
      <w:r w:rsidRPr="00674D72" w:rsidR="00674D72">
        <w:rPr>
          <w:rFonts w:ascii="Times New Roman" w:eastAsia="Times New Roman" w:hAnsi="Times New Roman"/>
          <w:sz w:val="24"/>
        </w:rPr>
        <w:t>believes it is appropriate to require a subset of RMP-regulated facilities to engage competent and independent third-party auditors following the conditions set forth in this final rule after: (1) one accidental release meeting the criteria in 40 CFR 68.42(a) from a covered process at a stationary source has occurred; or (2) an implementing agency requires a third-party audit due to conditions at the stationary source that could lead to an accidental release of a regulated substance, or when a previous third-party audit failed to meet the competency or independence criteria</w:t>
      </w:r>
      <w:r w:rsidR="00CE11B4">
        <w:rPr>
          <w:rFonts w:ascii="Times New Roman" w:eastAsia="Times New Roman" w:hAnsi="Times New Roman"/>
          <w:sz w:val="24"/>
        </w:rPr>
        <w:t xml:space="preserve">. </w:t>
      </w:r>
      <w:r w:rsidRPr="00CE11B4" w:rsidR="00CE11B4">
        <w:rPr>
          <w:rFonts w:ascii="Times New Roman" w:hAnsi="Times New Roman"/>
          <w:sz w:val="24"/>
        </w:rPr>
        <w:t xml:space="preserve">EPA views one 40 CFR 68.42(a) accidental release as a serious matter, considering the possible outcomes are deaths, injuries, or significant property damage on site, or known offsite deaths, injuries, evacuations, sheltering in place, property damage, or environmental damage. </w:t>
      </w:r>
      <w:r w:rsidR="00B077C6">
        <w:rPr>
          <w:rFonts w:ascii="Times New Roman" w:hAnsi="Times New Roman"/>
          <w:sz w:val="24"/>
        </w:rPr>
        <w:t>Further, the average per accident damage estimate from 2016-2020 is $5.5 million. I</w:t>
      </w:r>
      <w:r w:rsidRPr="00CE11B4" w:rsidR="00CE11B4">
        <w:rPr>
          <w:rFonts w:ascii="Times New Roman" w:hAnsi="Times New Roman"/>
          <w:sz w:val="24"/>
        </w:rPr>
        <w:t>t is arguable that having even one accident should be a cause for concern</w:t>
      </w:r>
      <w:r w:rsidR="00922C6B">
        <w:rPr>
          <w:rFonts w:ascii="Times New Roman" w:hAnsi="Times New Roman"/>
          <w:sz w:val="24"/>
        </w:rPr>
        <w:t xml:space="preserve"> considering most RMP facilities have never had any accidents</w:t>
      </w:r>
      <w:r w:rsidRPr="00CE11B4" w:rsidR="00CE11B4">
        <w:rPr>
          <w:rFonts w:ascii="Times New Roman" w:hAnsi="Times New Roman"/>
          <w:sz w:val="24"/>
        </w:rPr>
        <w:t xml:space="preserve">. </w:t>
      </w:r>
      <w:r w:rsidR="001A210F">
        <w:rPr>
          <w:rFonts w:ascii="Times New Roman" w:hAnsi="Times New Roman"/>
          <w:sz w:val="24"/>
        </w:rPr>
        <w:t xml:space="preserve">Additionally, of the 70 facilities that had at least 1 RMP-reportable accident, 61 percent (n = 43) had experienced another accident prior to 2016. </w:t>
      </w:r>
      <w:r w:rsidRPr="00CE11B4" w:rsidR="00CE11B4">
        <w:rPr>
          <w:rFonts w:ascii="Times New Roman" w:hAnsi="Times New Roman"/>
          <w:sz w:val="24"/>
        </w:rPr>
        <w:t>EPA does not believe affected communities should have to experience the adverse consequences of a second reportable accident before an objective party comes in to evaluate the facility for compliance.</w:t>
      </w:r>
      <w:r w:rsidR="001A210F">
        <w:rPr>
          <w:rFonts w:ascii="Times New Roman" w:hAnsi="Times New Roman"/>
          <w:sz w:val="24"/>
        </w:rPr>
        <w:t xml:space="preserve"> The pattern of repeated accidents at RMP facilities provides a reasoned basis for EPA’s focus on these facilities to apply a greater level of risk reduction measures. </w:t>
      </w:r>
    </w:p>
    <w:p w:rsidR="00C070FE" w:rsidP="00F41FFB" w14:paraId="1F70D353" w14:textId="31E6FA8E">
      <w:pPr>
        <w:ind w:left="720"/>
        <w:rPr>
          <w:rFonts w:ascii="Times New Roman" w:eastAsia="Times New Roman" w:hAnsi="Times New Roman"/>
          <w:sz w:val="24"/>
        </w:rPr>
      </w:pPr>
      <w:r w:rsidRPr="00C070FE">
        <w:rPr>
          <w:rFonts w:ascii="Times New Roman" w:eastAsia="Times New Roman" w:hAnsi="Times New Roman"/>
          <w:sz w:val="24"/>
        </w:rPr>
        <w:t>EPA notes</w:t>
      </w:r>
      <w:r w:rsidR="007E6063">
        <w:rPr>
          <w:rFonts w:ascii="Times New Roman" w:eastAsia="Times New Roman" w:hAnsi="Times New Roman"/>
          <w:sz w:val="24"/>
        </w:rPr>
        <w:t xml:space="preserve"> that for this final rule, </w:t>
      </w:r>
      <w:r w:rsidR="0065346B">
        <w:rPr>
          <w:rFonts w:ascii="Times New Roman" w:eastAsia="Times New Roman" w:hAnsi="Times New Roman"/>
          <w:sz w:val="24"/>
        </w:rPr>
        <w:t xml:space="preserve">the </w:t>
      </w:r>
      <w:r w:rsidRPr="00C070FE">
        <w:rPr>
          <w:rFonts w:ascii="Times New Roman" w:eastAsia="Times New Roman" w:hAnsi="Times New Roman"/>
          <w:sz w:val="24"/>
        </w:rPr>
        <w:t xml:space="preserve">independence requirements were simplified and streamlined from the 2017 rule, which included a limitation for auditors who conducted consulting type services for the owner or operator within the last two years, or for a period of at least 2 years following the audit report. EPA believes the provision, as adopted, ensures additional available independent auditors to act in an independent and impartial manner, allowing more flexibility in choosing auditors.  </w:t>
      </w:r>
    </w:p>
    <w:p w:rsidR="00F41FFB" w:rsidRPr="006F68E9" w:rsidP="00F41FFB" w14:paraId="4F92D845" w14:textId="17293CF8">
      <w:pPr>
        <w:rPr>
          <w:rFonts w:ascii="Times New Roman" w:hAnsi="Times New Roman"/>
          <w:sz w:val="24"/>
        </w:rPr>
      </w:pPr>
      <w:r>
        <w:rPr>
          <w:rFonts w:ascii="Times New Roman" w:hAnsi="Times New Roman"/>
          <w:b/>
          <w:bCs/>
          <w:sz w:val="24"/>
        </w:rPr>
        <w:t>Comment 8.1-3</w:t>
      </w:r>
      <w:r w:rsidR="00657BBE">
        <w:rPr>
          <w:rFonts w:ascii="Times New Roman" w:hAnsi="Times New Roman"/>
          <w:b/>
          <w:bCs/>
          <w:sz w:val="24"/>
        </w:rPr>
        <w:t>1</w:t>
      </w:r>
      <w:r>
        <w:rPr>
          <w:rFonts w:ascii="Times New Roman" w:hAnsi="Times New Roman"/>
          <w:b/>
          <w:bCs/>
          <w:sz w:val="24"/>
        </w:rPr>
        <w:t xml:space="preserve">: </w:t>
      </w:r>
      <w:r w:rsidRPr="006F68E9">
        <w:rPr>
          <w:rFonts w:ascii="Times New Roman" w:hAnsi="Times New Roman"/>
          <w:sz w:val="24"/>
        </w:rPr>
        <w:t xml:space="preserve">One commenter stated confusion regarding the third-party audit for stationary sources with a covered process in Program 2 or 3. The commenter added that it would be applied to very few sources under specific NAICS codes (0229). </w:t>
      </w:r>
    </w:p>
    <w:p w:rsidR="00F41FFB" w:rsidRPr="00D14391" w:rsidP="00F41FFB" w14:paraId="4F7FBABD" w14:textId="55428D0E">
      <w:pPr>
        <w:ind w:left="720"/>
        <w:rPr>
          <w:rFonts w:ascii="Times New Roman" w:hAnsi="Times New Roman"/>
          <w:sz w:val="24"/>
        </w:rPr>
      </w:pPr>
      <w:r>
        <w:rPr>
          <w:rFonts w:ascii="Times New Roman" w:hAnsi="Times New Roman"/>
          <w:b/>
          <w:bCs/>
          <w:sz w:val="24"/>
        </w:rPr>
        <w:t>EPA Response:</w:t>
      </w:r>
      <w:r w:rsidRPr="00D14391">
        <w:rPr>
          <w:rFonts w:ascii="Times New Roman" w:hAnsi="Times New Roman"/>
          <w:sz w:val="24"/>
        </w:rPr>
        <w:t xml:space="preserve"> </w:t>
      </w:r>
      <w:r w:rsidRPr="42638B25" w:rsidR="5ECDFD57">
        <w:rPr>
          <w:rFonts w:ascii="Times New Roman" w:hAnsi="Times New Roman"/>
          <w:sz w:val="24"/>
        </w:rPr>
        <w:t xml:space="preserve">As stated above, </w:t>
      </w:r>
      <w:r w:rsidRPr="00155958">
        <w:rPr>
          <w:rFonts w:ascii="Times New Roman" w:hAnsi="Times New Roman"/>
          <w:sz w:val="24"/>
        </w:rPr>
        <w:t xml:space="preserve">EPA is requiring a subset of RMP-regulated facilities to engage competent and independent third-party auditors following the conditions set forth in this final rule after: (1) one accidental release meeting the criteria in 40 CFR </w:t>
      </w:r>
      <w:r w:rsidRPr="00155958">
        <w:rPr>
          <w:rFonts w:ascii="Times New Roman" w:hAnsi="Times New Roman"/>
          <w:sz w:val="24"/>
        </w:rPr>
        <w:t>68.42(a) from a covered process at a stationary source has occurred; or (2) an implementing agency requires a third-party audit due to conditions at the stationary source that could lead to an accidental release of a regulated substance, or when a previous third-party audit failed to meet the competency or independence criteria of 40 CFR 68.80(c).</w:t>
      </w:r>
      <w:r>
        <w:rPr>
          <w:rFonts w:ascii="Times New Roman" w:hAnsi="Times New Roman"/>
          <w:sz w:val="24"/>
        </w:rPr>
        <w:t xml:space="preserve"> </w:t>
      </w:r>
      <w:r w:rsidRPr="000345A8" w:rsidR="000345A8">
        <w:rPr>
          <w:rFonts w:ascii="Times New Roman" w:hAnsi="Times New Roman"/>
          <w:sz w:val="24"/>
        </w:rPr>
        <w:t xml:space="preserve">EPA views one 40 CFR 68.42(a) accidental release as a serious matter, considering the possible outcomes are deaths, injuries, or significant property damage on site, or known offsite deaths, injuries, evacuations, sheltering in place, property damage, or environmental damage. </w:t>
      </w:r>
      <w:r w:rsidR="00F93542">
        <w:rPr>
          <w:rFonts w:ascii="Times New Roman" w:hAnsi="Times New Roman"/>
          <w:sz w:val="24"/>
        </w:rPr>
        <w:t>Further, the average per accident damage estimate from 2016-2020 is $5.5 million. I</w:t>
      </w:r>
      <w:r w:rsidRPr="000345A8" w:rsidR="000345A8">
        <w:rPr>
          <w:rFonts w:ascii="Times New Roman" w:hAnsi="Times New Roman"/>
          <w:sz w:val="24"/>
        </w:rPr>
        <w:t>t is arguable that having even one accident should be a cause for concern</w:t>
      </w:r>
      <w:r w:rsidR="00055C37">
        <w:rPr>
          <w:rFonts w:ascii="Times New Roman" w:hAnsi="Times New Roman"/>
          <w:sz w:val="24"/>
        </w:rPr>
        <w:t xml:space="preserve"> considering most RMP facilities have never had any accidents</w:t>
      </w:r>
      <w:r w:rsidRPr="000345A8" w:rsidR="000345A8">
        <w:rPr>
          <w:rFonts w:ascii="Times New Roman" w:hAnsi="Times New Roman"/>
          <w:sz w:val="24"/>
        </w:rPr>
        <w:t xml:space="preserve">. </w:t>
      </w:r>
      <w:r w:rsidR="00055C37">
        <w:rPr>
          <w:rFonts w:ascii="Times New Roman" w:hAnsi="Times New Roman"/>
          <w:sz w:val="24"/>
        </w:rPr>
        <w:t>Additionally, of the 70 facilities that had at least 1 RMP-reportable accident, 61 percent (n = 43)</w:t>
      </w:r>
      <w:r w:rsidR="00C16234">
        <w:rPr>
          <w:rFonts w:ascii="Times New Roman" w:hAnsi="Times New Roman"/>
          <w:sz w:val="24"/>
        </w:rPr>
        <w:t xml:space="preserve"> had experienced another accident prior to 2016. </w:t>
      </w:r>
      <w:r w:rsidR="000D7F5F">
        <w:rPr>
          <w:rFonts w:ascii="Times New Roman" w:hAnsi="Times New Roman"/>
          <w:sz w:val="24"/>
        </w:rPr>
        <w:t>EPA</w:t>
      </w:r>
      <w:r w:rsidR="009527C8">
        <w:rPr>
          <w:rFonts w:ascii="Times New Roman" w:hAnsi="Times New Roman"/>
          <w:sz w:val="24"/>
        </w:rPr>
        <w:t>’s Regulatory Impact Ana</w:t>
      </w:r>
      <w:r w:rsidRPr="000D7F5F" w:rsidR="000D7F5F">
        <w:rPr>
          <w:rFonts w:ascii="Times New Roman" w:hAnsi="Times New Roman"/>
          <w:sz w:val="24"/>
        </w:rPr>
        <w:t>lysis</w:t>
      </w:r>
      <w:r w:rsidR="00F25AA0">
        <w:rPr>
          <w:rFonts w:ascii="Times New Roman" w:hAnsi="Times New Roman"/>
          <w:sz w:val="24"/>
        </w:rPr>
        <w:t xml:space="preserve"> (RIA)</w:t>
      </w:r>
      <w:r w:rsidRPr="000D7F5F" w:rsidR="000D7F5F">
        <w:rPr>
          <w:rFonts w:ascii="Times New Roman" w:hAnsi="Times New Roman"/>
          <w:sz w:val="24"/>
        </w:rPr>
        <w:t xml:space="preserve"> projects over time that 94 facilities will conduct </w:t>
      </w:r>
      <w:r w:rsidR="00D00C2E">
        <w:rPr>
          <w:rFonts w:ascii="Times New Roman" w:hAnsi="Times New Roman"/>
          <w:sz w:val="24"/>
        </w:rPr>
        <w:t>a third-party</w:t>
      </w:r>
      <w:r w:rsidRPr="000D7F5F" w:rsidR="000D7F5F">
        <w:rPr>
          <w:rFonts w:ascii="Times New Roman" w:hAnsi="Times New Roman"/>
          <w:sz w:val="24"/>
        </w:rPr>
        <w:t xml:space="preserve"> audit each year.</w:t>
      </w:r>
      <w:r>
        <w:rPr>
          <w:rStyle w:val="FootnoteReference"/>
          <w:rFonts w:ascii="Times New Roman" w:hAnsi="Times New Roman"/>
          <w:sz w:val="24"/>
        </w:rPr>
        <w:footnoteReference w:id="137"/>
      </w:r>
      <w:r w:rsidR="009527C8">
        <w:rPr>
          <w:rFonts w:ascii="Times New Roman" w:hAnsi="Times New Roman"/>
          <w:sz w:val="24"/>
        </w:rPr>
        <w:t xml:space="preserve"> </w:t>
      </w:r>
    </w:p>
    <w:p w:rsidR="00F41FFB" w:rsidRPr="006F68E9" w:rsidP="00F41FFB" w14:paraId="722BBF2C" w14:textId="4C23090B">
      <w:pPr>
        <w:rPr>
          <w:rFonts w:ascii="Times New Roman" w:hAnsi="Times New Roman"/>
          <w:sz w:val="24"/>
        </w:rPr>
      </w:pPr>
      <w:r>
        <w:rPr>
          <w:rFonts w:ascii="Times New Roman" w:hAnsi="Times New Roman"/>
          <w:b/>
          <w:bCs/>
          <w:sz w:val="24"/>
        </w:rPr>
        <w:t>Comment 8.1-3</w:t>
      </w:r>
      <w:r w:rsidR="00657BBE">
        <w:rPr>
          <w:rFonts w:ascii="Times New Roman" w:hAnsi="Times New Roman"/>
          <w:b/>
          <w:bCs/>
          <w:sz w:val="24"/>
        </w:rPr>
        <w:t>2</w:t>
      </w:r>
      <w:r>
        <w:rPr>
          <w:rFonts w:ascii="Times New Roman" w:hAnsi="Times New Roman"/>
          <w:b/>
          <w:bCs/>
          <w:sz w:val="24"/>
        </w:rPr>
        <w:t xml:space="preserve">: </w:t>
      </w:r>
      <w:r w:rsidRPr="6D3F9CC5">
        <w:rPr>
          <w:rFonts w:ascii="Times New Roman" w:hAnsi="Times New Roman"/>
          <w:sz w:val="24"/>
        </w:rPr>
        <w:t xml:space="preserve">Several commenters opposed various aspects of the language used in the provision (0204, 0229, 0237, 0268). </w:t>
      </w:r>
    </w:p>
    <w:p w:rsidR="00F41FFB" w:rsidRPr="006F68E9" w:rsidP="00F41FFB" w14:paraId="1351E503" w14:textId="36883A7B">
      <w:pPr>
        <w:rPr>
          <w:rFonts w:ascii="Times New Roman" w:hAnsi="Times New Roman"/>
          <w:sz w:val="24"/>
        </w:rPr>
      </w:pPr>
      <w:r w:rsidRPr="006F68E9">
        <w:rPr>
          <w:rFonts w:ascii="Times New Roman" w:hAnsi="Times New Roman"/>
          <w:sz w:val="24"/>
        </w:rPr>
        <w:t>A few commenters</w:t>
      </w:r>
      <w:r>
        <w:rPr>
          <w:rFonts w:ascii="Times New Roman" w:hAnsi="Times New Roman"/>
          <w:sz w:val="24"/>
        </w:rPr>
        <w:t xml:space="preserve"> stated</w:t>
      </w:r>
      <w:r w:rsidRPr="006F68E9">
        <w:rPr>
          <w:rFonts w:ascii="Times New Roman" w:hAnsi="Times New Roman"/>
          <w:sz w:val="24"/>
        </w:rPr>
        <w:t xml:space="preserve"> </w:t>
      </w:r>
      <w:r>
        <w:rPr>
          <w:rFonts w:ascii="Times New Roman" w:hAnsi="Times New Roman"/>
          <w:sz w:val="24"/>
        </w:rPr>
        <w:t>the proposed requirements are</w:t>
      </w:r>
      <w:r w:rsidRPr="006F68E9">
        <w:rPr>
          <w:rFonts w:ascii="Times New Roman" w:hAnsi="Times New Roman"/>
          <w:sz w:val="24"/>
        </w:rPr>
        <w:t xml:space="preserve"> subjective</w:t>
      </w:r>
      <w:r>
        <w:rPr>
          <w:rFonts w:ascii="Times New Roman" w:hAnsi="Times New Roman"/>
          <w:sz w:val="24"/>
        </w:rPr>
        <w:t>,</w:t>
      </w:r>
      <w:r w:rsidRPr="006F68E9">
        <w:rPr>
          <w:rFonts w:ascii="Times New Roman" w:hAnsi="Times New Roman"/>
          <w:sz w:val="24"/>
        </w:rPr>
        <w:t xml:space="preserve"> would be up to interpretation to inspectors</w:t>
      </w:r>
      <w:r>
        <w:rPr>
          <w:rFonts w:ascii="Times New Roman" w:hAnsi="Times New Roman"/>
          <w:sz w:val="24"/>
        </w:rPr>
        <w:t>,</w:t>
      </w:r>
      <w:r w:rsidRPr="006F68E9">
        <w:rPr>
          <w:rFonts w:ascii="Times New Roman" w:hAnsi="Times New Roman"/>
          <w:sz w:val="24"/>
        </w:rPr>
        <w:t xml:space="preserve"> and would allow EPA to call for an audit for any reason (0184, 0232, 0237). Another commenter asserted that the threshold criteria for a third-party audit is low and vague and as such, a minor event could trigger an audit, when it is not needed (0193). One commenter suggested EPA specify the threshold level of severity above which non-compliance would trigger the requirement for a third-party audit, which they assert would avoid unnecessary appeals (0224).</w:t>
      </w:r>
    </w:p>
    <w:p w:rsidR="00187E62" w:rsidP="00F41FFB" w14:paraId="74B2C703" w14:textId="77777777">
      <w:pPr>
        <w:ind w:left="720"/>
        <w:rPr>
          <w:rFonts w:ascii="Times New Roman" w:hAnsi="Times New Roman"/>
          <w:sz w:val="24"/>
        </w:rPr>
      </w:pPr>
      <w:r w:rsidRPr="00EE4C95">
        <w:rPr>
          <w:rFonts w:ascii="Times New Roman" w:hAnsi="Times New Roman"/>
          <w:b/>
          <w:bCs/>
          <w:sz w:val="24"/>
        </w:rPr>
        <w:t>EPA Response:</w:t>
      </w:r>
      <w:r>
        <w:rPr>
          <w:rFonts w:ascii="Times New Roman" w:hAnsi="Times New Roman"/>
          <w:b/>
          <w:bCs/>
          <w:sz w:val="24"/>
        </w:rPr>
        <w:t xml:space="preserve"> </w:t>
      </w:r>
      <w:r w:rsidRPr="001902D9" w:rsidR="001902D9">
        <w:rPr>
          <w:rFonts w:ascii="Times New Roman" w:hAnsi="Times New Roman"/>
          <w:sz w:val="24"/>
        </w:rPr>
        <w:t xml:space="preserve">EPA disagrees that the threshold criteria for a third-party audit is vague or that the requirements would be up to interpretation to inspectors. </w:t>
      </w:r>
    </w:p>
    <w:p w:rsidR="00187E62" w:rsidRPr="00187E62" w:rsidP="00187E62" w14:paraId="44A53FA6" w14:textId="41D4AE93">
      <w:pPr>
        <w:ind w:left="720"/>
        <w:rPr>
          <w:rFonts w:ascii="Times New Roman" w:hAnsi="Times New Roman"/>
          <w:sz w:val="24"/>
        </w:rPr>
      </w:pPr>
      <w:r w:rsidRPr="00187E62">
        <w:rPr>
          <w:rFonts w:ascii="Times New Roman" w:hAnsi="Times New Roman"/>
          <w:sz w:val="24"/>
        </w:rPr>
        <w:t>EPA is requiring the implementing agency to base a determination on conditions at the stationary source that could lead to an accidental release of a regulated substance, rather than on noncompliance. An implementing agency may determine that a third-party audit is necessary following inspections, audits, or facility visits, if conditions are observed at the stationary source that could lead to an accidental release of a regulated substance. The implementing agency may choose to take other action following an inspection, as appropriate.</w:t>
      </w:r>
    </w:p>
    <w:p w:rsidR="00187E62" w:rsidRPr="00187E62" w:rsidP="00187E62" w14:paraId="1287A70A" w14:textId="35C657B9">
      <w:pPr>
        <w:ind w:left="720"/>
        <w:rPr>
          <w:rFonts w:ascii="Times New Roman" w:hAnsi="Times New Roman"/>
          <w:sz w:val="24"/>
        </w:rPr>
      </w:pPr>
      <w:r w:rsidRPr="00187E62">
        <w:rPr>
          <w:rFonts w:ascii="Times New Roman" w:hAnsi="Times New Roman"/>
          <w:sz w:val="24"/>
        </w:rPr>
        <w:t xml:space="preserve">Conditions at a stationary source that could lead to an accidental release may include, but </w:t>
      </w:r>
      <w:r w:rsidRPr="00187E62" w:rsidR="004911A3">
        <w:rPr>
          <w:rFonts w:ascii="Times New Roman" w:hAnsi="Times New Roman"/>
          <w:sz w:val="24"/>
        </w:rPr>
        <w:t>are not</w:t>
      </w:r>
      <w:r w:rsidRPr="00187E62">
        <w:rPr>
          <w:rFonts w:ascii="Times New Roman" w:hAnsi="Times New Roman"/>
          <w:sz w:val="24"/>
        </w:rPr>
        <w:t xml:space="preserve"> limited to, significant deficiencies with process equipment containing regulated substances, such as unaddressed deterioration, rust, corrosion, inadequate support, and/or other lack of maintenance that could lead to an accidental release. The presence of small “pinhole” releases, that do not meet the criteria in § 68.42(a) for RMP-regulated accidental releases, could also constitute conditions that could lead to a larger accidental release of a regulated substance. The occurrence of several prior accidental releases that did not meet the reporting criteria in § 68.42(a) at or from a facility could also constitute conditions which could lead to accidental releases. These releases may be a potential indicator that an owner or operator is not complying with RMP prevention program </w:t>
      </w:r>
      <w:r w:rsidRPr="00187E62">
        <w:rPr>
          <w:rFonts w:ascii="Times New Roman" w:hAnsi="Times New Roman"/>
          <w:sz w:val="24"/>
        </w:rPr>
        <w:t>requirements and would benefit from a third-party audit to prevent future accidental releases.</w:t>
      </w:r>
    </w:p>
    <w:p w:rsidR="00187E62" w:rsidRPr="00187E62" w:rsidP="00187E62" w14:paraId="791FD50A" w14:textId="64BBBD6F">
      <w:pPr>
        <w:ind w:left="720"/>
        <w:rPr>
          <w:rFonts w:ascii="Times New Roman" w:hAnsi="Times New Roman"/>
          <w:sz w:val="24"/>
        </w:rPr>
      </w:pPr>
      <w:r w:rsidRPr="00187E62">
        <w:rPr>
          <w:rFonts w:ascii="Times New Roman" w:hAnsi="Times New Roman"/>
          <w:sz w:val="24"/>
        </w:rPr>
        <w:t>EPA believes that having the implementing agency evaluate whether conditions exist that could lead to an accidental release will better address the types of situations where a third-party audit would be most effective and will minimize the potential for inconsistent or arbitrary decisions made by implementing agencies. The criterion will focus on conditions with the potential to lead to accidental releases, rather than authorizing implementing agencies to require third-party audits under a potentially wide range of circumstances, including minor noncompliance.</w:t>
      </w:r>
    </w:p>
    <w:p w:rsidR="00F41FFB" w:rsidRPr="000007A3" w:rsidP="00F41FFB" w14:paraId="299E5169" w14:textId="1CEC78EB">
      <w:pPr>
        <w:ind w:left="720"/>
        <w:rPr>
          <w:rFonts w:ascii="Times New Roman" w:hAnsi="Times New Roman"/>
          <w:sz w:val="24"/>
        </w:rPr>
      </w:pPr>
      <w:r w:rsidRPr="00F975B6">
        <w:rPr>
          <w:rFonts w:ascii="Times New Roman" w:hAnsi="Times New Roman"/>
          <w:sz w:val="24"/>
        </w:rPr>
        <w:t xml:space="preserve">This rule will </w:t>
      </w:r>
      <w:r w:rsidR="004911A3">
        <w:rPr>
          <w:rFonts w:ascii="Times New Roman" w:hAnsi="Times New Roman"/>
          <w:sz w:val="24"/>
        </w:rPr>
        <w:t>also</w:t>
      </w:r>
      <w:r w:rsidRPr="00F975B6">
        <w:rPr>
          <w:rFonts w:ascii="Times New Roman" w:hAnsi="Times New Roman"/>
          <w:sz w:val="24"/>
        </w:rPr>
        <w:t xml:space="preserve"> establish a formal and rigorous process for owners or operators to contest applicable EPA determinations that independent third-party auditing is required. Sections 68.58(g) and 68.79(g) describe the notification and appeals process for when an implementing agency requires a third-party audit. The implementing agency must provide written notice to the facility owner or operator that describes the basis for the implementing agency’s determination. Within 30 days, the owner or operator may consult with, and provide information and data to, the implementing agency on the preliminary determination. The implementing agency will then consider this information and provide a final determination to the owner or operator. Then there is an appeals process, in which the owner or operator may appeal the final determination to the EPA Regional Administrator, or for determinations made by other implementing agencies, the administrator or director of such implementing agency. Such determinations will be subject to judicial review to the extent that they have the characteristics of final agency action, however, it is important to note that the final determination regarding the applicability of these provisions is not an enforcement determination. It is a notification regarding the applicability of an existing regulatory requirement, a requirement that does not apply to all stationary sources, all the time, but rather when an agency determines that it would apply, the owner or operator is notified, given an opportunity to consult, and appeal further within the agency. Part 68 already includes final agency determinations regarding regulatory requirements in Section 68.220, and the process set out in this final rule for appeals of third-party audit determinations will be similar.</w:t>
      </w:r>
    </w:p>
    <w:p w:rsidR="00F41FFB" w:rsidRPr="006F68E9" w:rsidP="00F41FFB" w14:paraId="6343A51E" w14:textId="409D8EFE">
      <w:pPr>
        <w:rPr>
          <w:rFonts w:ascii="Times New Roman" w:hAnsi="Times New Roman"/>
          <w:sz w:val="24"/>
        </w:rPr>
      </w:pPr>
      <w:r w:rsidRPr="00990975">
        <w:rPr>
          <w:rFonts w:ascii="Times New Roman" w:hAnsi="Times New Roman"/>
          <w:b/>
          <w:bCs/>
          <w:sz w:val="24"/>
        </w:rPr>
        <w:t>Comment</w:t>
      </w:r>
      <w:r>
        <w:rPr>
          <w:rFonts w:ascii="Times New Roman" w:hAnsi="Times New Roman"/>
          <w:b/>
          <w:bCs/>
          <w:sz w:val="24"/>
        </w:rPr>
        <w:t xml:space="preserve"> 8.1-</w:t>
      </w:r>
      <w:r w:rsidR="0013655E">
        <w:rPr>
          <w:rFonts w:ascii="Times New Roman" w:hAnsi="Times New Roman"/>
          <w:b/>
          <w:bCs/>
          <w:sz w:val="24"/>
        </w:rPr>
        <w:t>3</w:t>
      </w:r>
      <w:r w:rsidR="00F95FD7">
        <w:rPr>
          <w:rFonts w:ascii="Times New Roman" w:hAnsi="Times New Roman"/>
          <w:b/>
          <w:bCs/>
          <w:sz w:val="24"/>
        </w:rPr>
        <w:t>3</w:t>
      </w:r>
      <w:r w:rsidRPr="0099097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The commenter also requested that EPA revise </w:t>
      </w:r>
      <w:r>
        <w:rPr>
          <w:rFonts w:ascii="Times New Roman" w:hAnsi="Times New Roman"/>
          <w:sz w:val="24"/>
        </w:rPr>
        <w:t>40 CFR</w:t>
      </w:r>
      <w:r w:rsidRPr="006F68E9">
        <w:rPr>
          <w:rFonts w:ascii="Times New Roman" w:hAnsi="Times New Roman"/>
          <w:sz w:val="24"/>
        </w:rPr>
        <w:t xml:space="preserve"> 68.79(a) and </w:t>
      </w:r>
      <w:r>
        <w:rPr>
          <w:rFonts w:ascii="Times New Roman" w:hAnsi="Times New Roman"/>
          <w:sz w:val="24"/>
        </w:rPr>
        <w:t>40 CFR</w:t>
      </w:r>
      <w:r w:rsidRPr="006F68E9">
        <w:rPr>
          <w:rFonts w:ascii="Times New Roman" w:hAnsi="Times New Roman"/>
          <w:sz w:val="24"/>
        </w:rPr>
        <w:t xml:space="preserve"> 68.79(f)(3) (with </w:t>
      </w:r>
      <w:r>
        <w:rPr>
          <w:rFonts w:ascii="Times New Roman" w:hAnsi="Times New Roman"/>
          <w:sz w:val="24"/>
        </w:rPr>
        <w:t>40 CFR</w:t>
      </w:r>
      <w:r w:rsidRPr="006F68E9">
        <w:rPr>
          <w:rFonts w:ascii="Times New Roman" w:hAnsi="Times New Roman"/>
          <w:sz w:val="24"/>
        </w:rPr>
        <w:t xml:space="preserve"> 68.58(f)(3) similarly modified)</w:t>
      </w:r>
      <w:r>
        <w:rPr>
          <w:rFonts w:ascii="Times New Roman" w:hAnsi="Times New Roman"/>
          <w:sz w:val="24"/>
        </w:rPr>
        <w:t xml:space="preserve"> as follows</w:t>
      </w:r>
      <w:r w:rsidRPr="006F68E9">
        <w:rPr>
          <w:rFonts w:ascii="Times New Roman" w:hAnsi="Times New Roman"/>
          <w:sz w:val="24"/>
        </w:rPr>
        <w:t xml:space="preserve"> (0193):</w:t>
      </w:r>
    </w:p>
    <w:p w:rsidR="00F41FFB" w:rsidRPr="006F68E9" w:rsidP="00F41FFB" w14:paraId="35226743" w14:textId="77777777">
      <w:pPr>
        <w:ind w:left="720"/>
        <w:rPr>
          <w:rFonts w:ascii="Times New Roman" w:hAnsi="Times New Roman"/>
          <w:sz w:val="24"/>
        </w:rPr>
      </w:pPr>
      <w:r w:rsidRPr="006F68E9">
        <w:rPr>
          <w:rFonts w:ascii="Times New Roman" w:hAnsi="Times New Roman"/>
          <w:sz w:val="24"/>
        </w:rPr>
        <w:t xml:space="preserve">“§ 68.79(a) (a) The owner or operator shall certify that they have evaluated compliance with the provisions of this subpart for each covered process, at least every three years to verify that the procedures and practices developed under this subpart are adequate and are being followed. When required as set forth in paragraph (f) of this section, the compliance audit shall be a third-party audit </w:t>
      </w:r>
      <w:r w:rsidRPr="006F68E9">
        <w:rPr>
          <w:rFonts w:ascii="Times New Roman" w:hAnsi="Times New Roman"/>
          <w:sz w:val="24"/>
          <w:u w:val="single"/>
        </w:rPr>
        <w:t>conducted in accordance with the scheduling requirements set forth in § 68.79(h).</w:t>
      </w:r>
      <w:r w:rsidRPr="006F68E9">
        <w:rPr>
          <w:rFonts w:ascii="Times New Roman" w:hAnsi="Times New Roman"/>
          <w:sz w:val="24"/>
        </w:rPr>
        <w:t>”</w:t>
      </w:r>
    </w:p>
    <w:p w:rsidR="00F41FFB" w:rsidRPr="006F68E9" w:rsidP="00F41FFB" w14:paraId="03E03662" w14:textId="77777777">
      <w:pPr>
        <w:ind w:left="720"/>
        <w:rPr>
          <w:rFonts w:ascii="Times New Roman" w:hAnsi="Times New Roman"/>
          <w:sz w:val="24"/>
        </w:rPr>
      </w:pPr>
      <w:r w:rsidRPr="6D3F9CC5">
        <w:rPr>
          <w:rFonts w:ascii="Times New Roman" w:hAnsi="Times New Roman"/>
          <w:sz w:val="24"/>
        </w:rPr>
        <w:t xml:space="preserve">“§ 68.79(f)(3) An implementing agency requires a third-party audit due to conditions at the stationary source that could lead to an accidental release of a regulated substance </w:t>
      </w:r>
      <w:r w:rsidRPr="6D3F9CC5">
        <w:rPr>
          <w:rFonts w:ascii="Times New Roman" w:hAnsi="Times New Roman"/>
          <w:sz w:val="24"/>
          <w:u w:val="single"/>
        </w:rPr>
        <w:t>meeting the criteria in § 68.42(a)</w:t>
      </w:r>
      <w:r w:rsidRPr="6D3F9CC5">
        <w:rPr>
          <w:rFonts w:ascii="Times New Roman" w:hAnsi="Times New Roman"/>
          <w:sz w:val="24"/>
        </w:rPr>
        <w:t>, or when a previous third-party audit failed to meet the competency or independence criteria of § 68.80(c).”</w:t>
      </w:r>
    </w:p>
    <w:p w:rsidR="00A178B6" w:rsidP="0077014E" w14:paraId="3DB6FFB5" w14:textId="77777777">
      <w:pPr>
        <w:ind w:left="720"/>
        <w:rPr>
          <w:rFonts w:ascii="Times New Roman" w:hAnsi="Times New Roman"/>
          <w:sz w:val="24"/>
        </w:rPr>
      </w:pPr>
      <w:r w:rsidRPr="00E708F1">
        <w:rPr>
          <w:rFonts w:ascii="Times New Roman" w:hAnsi="Times New Roman"/>
          <w:b/>
          <w:bCs/>
          <w:sz w:val="24"/>
        </w:rPr>
        <w:t>EPA Response:</w:t>
      </w:r>
      <w:r w:rsidR="00EE12D4">
        <w:rPr>
          <w:rFonts w:ascii="Times New Roman" w:hAnsi="Times New Roman"/>
          <w:b/>
          <w:bCs/>
          <w:sz w:val="24"/>
        </w:rPr>
        <w:t xml:space="preserve"> </w:t>
      </w:r>
      <w:r w:rsidRPr="00302235" w:rsidR="00EE12D4">
        <w:rPr>
          <w:rFonts w:ascii="Times New Roman" w:hAnsi="Times New Roman"/>
          <w:sz w:val="24"/>
        </w:rPr>
        <w:t xml:space="preserve">EPA notes that the regulatory </w:t>
      </w:r>
      <w:r w:rsidRPr="00302235" w:rsidR="0044390C">
        <w:rPr>
          <w:rFonts w:ascii="Times New Roman" w:hAnsi="Times New Roman"/>
          <w:sz w:val="24"/>
        </w:rPr>
        <w:t>language</w:t>
      </w:r>
      <w:r w:rsidRPr="00302235" w:rsidR="00EE12D4">
        <w:rPr>
          <w:rFonts w:ascii="Times New Roman" w:hAnsi="Times New Roman"/>
          <w:sz w:val="24"/>
        </w:rPr>
        <w:t xml:space="preserve"> in </w:t>
      </w:r>
      <w:r w:rsidRPr="00302235" w:rsidR="00302235">
        <w:rPr>
          <w:rFonts w:ascii="Times New Roman" w:hAnsi="Times New Roman"/>
          <w:sz w:val="24"/>
        </w:rPr>
        <w:t xml:space="preserve">§ 68.79(h) </w:t>
      </w:r>
      <w:r w:rsidRPr="00302235" w:rsidR="008E6D45">
        <w:rPr>
          <w:rFonts w:ascii="Times New Roman" w:hAnsi="Times New Roman"/>
          <w:sz w:val="24"/>
        </w:rPr>
        <w:t>refers</w:t>
      </w:r>
      <w:r w:rsidRPr="00302235" w:rsidR="00302235">
        <w:rPr>
          <w:rFonts w:ascii="Times New Roman" w:hAnsi="Times New Roman"/>
          <w:sz w:val="24"/>
        </w:rPr>
        <w:t xml:space="preserve"> to § 68.79(a)</w:t>
      </w:r>
      <w:r w:rsidR="00302235">
        <w:rPr>
          <w:rFonts w:ascii="Times New Roman" w:hAnsi="Times New Roman"/>
          <w:sz w:val="24"/>
        </w:rPr>
        <w:t>.</w:t>
      </w:r>
      <w:r w:rsidR="008E6D45">
        <w:rPr>
          <w:rFonts w:ascii="Times New Roman" w:hAnsi="Times New Roman"/>
          <w:sz w:val="24"/>
        </w:rPr>
        <w:t xml:space="preserve"> The language indicates that t</w:t>
      </w:r>
      <w:r w:rsidRPr="008E6D45" w:rsidR="008E6D45">
        <w:rPr>
          <w:rFonts w:ascii="Times New Roman" w:hAnsi="Times New Roman"/>
          <w:sz w:val="24"/>
        </w:rPr>
        <w:t xml:space="preserve">he audit and audit report shall be completed as in </w:t>
      </w:r>
      <w:r w:rsidRPr="008E6D45" w:rsidR="008E6D45">
        <w:rPr>
          <w:rFonts w:ascii="Times New Roman" w:hAnsi="Times New Roman"/>
          <w:sz w:val="24"/>
        </w:rPr>
        <w:t>paragraph (a) of this section, unless a different timeframe is specified by the implementing agency</w:t>
      </w:r>
      <w:r w:rsidR="00552675">
        <w:rPr>
          <w:rFonts w:ascii="Times New Roman" w:hAnsi="Times New Roman"/>
          <w:sz w:val="24"/>
        </w:rPr>
        <w:t xml:space="preserve">. </w:t>
      </w:r>
      <w:r w:rsidR="00CE63FD">
        <w:rPr>
          <w:rFonts w:ascii="Times New Roman" w:hAnsi="Times New Roman"/>
          <w:sz w:val="24"/>
        </w:rPr>
        <w:t xml:space="preserve">Regarding </w:t>
      </w:r>
      <w:r w:rsidRPr="00CC7889" w:rsidR="00CC7889">
        <w:rPr>
          <w:rFonts w:ascii="Times New Roman" w:hAnsi="Times New Roman"/>
          <w:sz w:val="24"/>
        </w:rPr>
        <w:t>§ 68.79(f)(3)</w:t>
      </w:r>
      <w:r w:rsidR="00CE63FD">
        <w:rPr>
          <w:rFonts w:ascii="Times New Roman" w:hAnsi="Times New Roman"/>
          <w:sz w:val="24"/>
        </w:rPr>
        <w:t>, the term</w:t>
      </w:r>
      <w:r w:rsidR="005A4B7D">
        <w:rPr>
          <w:rFonts w:ascii="Times New Roman" w:hAnsi="Times New Roman"/>
          <w:sz w:val="24"/>
        </w:rPr>
        <w:t xml:space="preserve"> used for </w:t>
      </w:r>
      <w:r w:rsidR="00C33200">
        <w:rPr>
          <w:rFonts w:ascii="Times New Roman" w:hAnsi="Times New Roman"/>
          <w:sz w:val="24"/>
        </w:rPr>
        <w:t>applicability of the provision</w:t>
      </w:r>
      <w:r w:rsidR="008B7526">
        <w:rPr>
          <w:rFonts w:ascii="Times New Roman" w:hAnsi="Times New Roman"/>
          <w:sz w:val="24"/>
        </w:rPr>
        <w:t>,</w:t>
      </w:r>
      <w:r w:rsidR="00CE63FD">
        <w:rPr>
          <w:rFonts w:ascii="Times New Roman" w:hAnsi="Times New Roman"/>
          <w:sz w:val="24"/>
        </w:rPr>
        <w:t xml:space="preserve"> accidental release</w:t>
      </w:r>
      <w:r w:rsidR="008B7526">
        <w:rPr>
          <w:rFonts w:ascii="Times New Roman" w:hAnsi="Times New Roman"/>
          <w:sz w:val="24"/>
        </w:rPr>
        <w:t>,</w:t>
      </w:r>
      <w:r w:rsidR="00CE63FD">
        <w:rPr>
          <w:rFonts w:ascii="Times New Roman" w:hAnsi="Times New Roman"/>
          <w:sz w:val="24"/>
        </w:rPr>
        <w:t xml:space="preserve"> is defined at </w:t>
      </w:r>
      <w:r w:rsidRPr="000F6ED2" w:rsidR="000F6ED2">
        <w:rPr>
          <w:rFonts w:ascii="Times New Roman" w:hAnsi="Times New Roman"/>
          <w:sz w:val="24"/>
        </w:rPr>
        <w:t>§ 68</w:t>
      </w:r>
      <w:r w:rsidR="000F6ED2">
        <w:rPr>
          <w:rFonts w:ascii="Times New Roman" w:hAnsi="Times New Roman"/>
          <w:sz w:val="24"/>
        </w:rPr>
        <w:t>.3</w:t>
      </w:r>
      <w:r w:rsidR="00C33200">
        <w:rPr>
          <w:rFonts w:ascii="Times New Roman" w:hAnsi="Times New Roman"/>
          <w:sz w:val="24"/>
        </w:rPr>
        <w:t>. Therefore, the suggested edits by the commenter are unnecessary.</w:t>
      </w:r>
      <w:r w:rsidR="008B7526">
        <w:rPr>
          <w:rFonts w:ascii="Times New Roman" w:hAnsi="Times New Roman"/>
          <w:sz w:val="24"/>
        </w:rPr>
        <w:t xml:space="preserve"> </w:t>
      </w:r>
    </w:p>
    <w:p w:rsidR="00FB43F4" w:rsidRPr="00E708F1" w:rsidP="0077014E" w14:paraId="20909D15" w14:textId="380C003A">
      <w:pPr>
        <w:ind w:left="720"/>
        <w:rPr>
          <w:rFonts w:ascii="Times New Roman" w:hAnsi="Times New Roman"/>
          <w:sz w:val="24"/>
        </w:rPr>
      </w:pPr>
      <w:r w:rsidRPr="00E708F1">
        <w:rPr>
          <w:rFonts w:ascii="Times New Roman" w:hAnsi="Times New Roman"/>
          <w:sz w:val="24"/>
        </w:rPr>
        <w:t>EPA believes that having the implementing agency evaluate whether conditions exist that could lead to an accidental release will address the types of situations where a third-party audit would be most effective and will minimize the potential for inconsistent or arbitrary decisions made by implementing agencies.</w:t>
      </w:r>
      <w:r w:rsidRPr="00E708F1">
        <w:rPr>
          <w:rFonts w:ascii="Times New Roman" w:hAnsi="Times New Roman"/>
          <w:sz w:val="24"/>
        </w:rPr>
        <w:t xml:space="preserve"> Conditions at a stationary source that could lead to an accidental release may include, but </w:t>
      </w:r>
      <w:r w:rsidRPr="00E708F1" w:rsidR="00491E22">
        <w:rPr>
          <w:rFonts w:ascii="Times New Roman" w:hAnsi="Times New Roman"/>
          <w:sz w:val="24"/>
        </w:rPr>
        <w:t>are not</w:t>
      </w:r>
      <w:r w:rsidRPr="00E708F1">
        <w:rPr>
          <w:rFonts w:ascii="Times New Roman" w:hAnsi="Times New Roman"/>
          <w:sz w:val="24"/>
        </w:rPr>
        <w:t xml:space="preserve"> limited to, significant deficiencies with process equipment containing regulated substances, such as unaddressed deterioration, rust, corrosion, inadequate support, and/or other lack of maintenance that could lead to an accidental release. The presence of small “pinhole” releases, that do not meet the criteria in § 68.42(a) for RMP-regulated accidental releases, could also constitute conditions that could lead to a larger accidental release of a regulated substance. The occurrence of several prior accidental releases that did not meet the reporting criteria in § 68.42(a) at or from a facility could also constitute conditions which could lead to accidental releases. These releases may be a potential indicator that an owner or operator is not complying with RMP prevention program requirements and would benefit from a third-party audit to prevent future accidental releases.</w:t>
      </w:r>
    </w:p>
    <w:p w:rsidR="00701803" w:rsidP="00F41FFB" w14:paraId="0EADFB34" w14:textId="553E3FD1">
      <w:pPr>
        <w:rPr>
          <w:rFonts w:ascii="Times New Roman" w:hAnsi="Times New Roman"/>
          <w:sz w:val="24"/>
        </w:rPr>
      </w:pPr>
      <w:r>
        <w:rPr>
          <w:rFonts w:ascii="Times New Roman" w:hAnsi="Times New Roman"/>
          <w:b/>
          <w:bCs/>
          <w:sz w:val="24"/>
        </w:rPr>
        <w:t>Comment 8.1-3</w:t>
      </w:r>
      <w:r w:rsidR="00F95FD7">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 xml:space="preserve">One commenter stated that the plural use of “auditors” in the section is </w:t>
      </w:r>
      <w:r w:rsidRPr="006F68E9" w:rsidR="00D07CDE">
        <w:rPr>
          <w:rFonts w:ascii="Times New Roman" w:hAnsi="Times New Roman"/>
          <w:sz w:val="24"/>
        </w:rPr>
        <w:t>confusing,</w:t>
      </w:r>
      <w:r w:rsidRPr="006F68E9">
        <w:rPr>
          <w:rFonts w:ascii="Times New Roman" w:hAnsi="Times New Roman"/>
          <w:sz w:val="24"/>
        </w:rPr>
        <w:t xml:space="preserve"> and EPA should revise the section to differentiate between a “third-party auditor” from members of an “audit team.” </w:t>
      </w:r>
    </w:p>
    <w:p w:rsidR="00F41FFB" w:rsidRPr="006F68E9" w:rsidP="00F41FFB" w14:paraId="5FAEC42E" w14:textId="54F9D004">
      <w:pPr>
        <w:rPr>
          <w:rFonts w:ascii="Times New Roman" w:hAnsi="Times New Roman"/>
          <w:sz w:val="24"/>
        </w:rPr>
      </w:pPr>
      <w:r w:rsidRPr="006F68E9">
        <w:rPr>
          <w:rFonts w:ascii="Times New Roman" w:hAnsi="Times New Roman"/>
          <w:sz w:val="24"/>
        </w:rPr>
        <w:t xml:space="preserve">The commenter also suggested that EPA clarify what constitutes an acceptable credential for an auditor’s certification and proper auditing techniques, and provided the following language edits (0193): </w:t>
      </w:r>
    </w:p>
    <w:p w:rsidR="00F41FFB" w:rsidP="00F41FFB" w14:paraId="4EA90462" w14:textId="77777777">
      <w:pPr>
        <w:ind w:left="720"/>
        <w:rPr>
          <w:rFonts w:ascii="Times New Roman" w:hAnsi="Times New Roman"/>
          <w:sz w:val="24"/>
        </w:rPr>
      </w:pPr>
      <w:r>
        <w:rPr>
          <w:rFonts w:ascii="Times New Roman" w:hAnsi="Times New Roman"/>
          <w:sz w:val="24"/>
        </w:rPr>
        <w:t>Section</w:t>
      </w:r>
      <w:r w:rsidRPr="006F68E9">
        <w:rPr>
          <w:rFonts w:ascii="Times New Roman" w:hAnsi="Times New Roman"/>
          <w:sz w:val="24"/>
        </w:rPr>
        <w:t xml:space="preserve"> 68.80(b)(2)(ii) Other personnel not employed by the third-party auditor firm, including facility personnel </w:t>
      </w:r>
      <w:r w:rsidRPr="006F68E9">
        <w:rPr>
          <w:rFonts w:ascii="Times New Roman" w:hAnsi="Times New Roman"/>
          <w:sz w:val="24"/>
          <w:u w:val="single"/>
        </w:rPr>
        <w:t xml:space="preserve">who are not listed as individuals responsible under </w:t>
      </w:r>
      <w:r>
        <w:rPr>
          <w:rFonts w:ascii="Times New Roman" w:hAnsi="Times New Roman"/>
          <w:sz w:val="24"/>
          <w:u w:val="single"/>
        </w:rPr>
        <w:t>Section</w:t>
      </w:r>
      <w:r w:rsidRPr="006F68E9">
        <w:rPr>
          <w:rFonts w:ascii="Times New Roman" w:hAnsi="Times New Roman"/>
          <w:sz w:val="24"/>
          <w:u w:val="single"/>
        </w:rPr>
        <w:t xml:space="preserve"> 68.15(b) &amp; (c)</w:t>
      </w:r>
      <w:r w:rsidRPr="006F68E9">
        <w:rPr>
          <w:rFonts w:ascii="Times New Roman" w:hAnsi="Times New Roman"/>
          <w:sz w:val="24"/>
        </w:rPr>
        <w:t>.</w:t>
      </w:r>
      <w:r w:rsidRPr="006F68E9">
        <w:rPr>
          <w:rFonts w:ascii="Times New Roman" w:hAnsi="Times New Roman"/>
          <w:sz w:val="24"/>
        </w:rPr>
        <w:br/>
      </w:r>
      <w:r>
        <w:rPr>
          <w:rFonts w:ascii="Times New Roman" w:hAnsi="Times New Roman"/>
          <w:sz w:val="24"/>
        </w:rPr>
        <w:t>Section</w:t>
      </w:r>
      <w:r w:rsidRPr="006F68E9">
        <w:rPr>
          <w:rFonts w:ascii="Times New Roman" w:hAnsi="Times New Roman"/>
          <w:sz w:val="24"/>
        </w:rPr>
        <w:t xml:space="preserve"> 68.80(c) Third-party auditor qualifications. The owner or operator shall determine and document that the third-party auditor</w:t>
      </w:r>
      <w:r w:rsidRPr="006F68E9">
        <w:rPr>
          <w:rFonts w:ascii="Times New Roman" w:hAnsi="Times New Roman"/>
          <w:strike/>
          <w:sz w:val="24"/>
        </w:rPr>
        <w:t>(s)</w:t>
      </w:r>
      <w:r w:rsidRPr="006F68E9">
        <w:rPr>
          <w:rFonts w:ascii="Times New Roman" w:hAnsi="Times New Roman"/>
          <w:sz w:val="24"/>
        </w:rPr>
        <w:t xml:space="preserve"> meet</w:t>
      </w:r>
      <w:r w:rsidRPr="006F68E9">
        <w:rPr>
          <w:rFonts w:ascii="Times New Roman" w:hAnsi="Times New Roman"/>
          <w:sz w:val="24"/>
          <w:u w:val="single"/>
        </w:rPr>
        <w:t>s</w:t>
      </w:r>
      <w:r w:rsidRPr="006F68E9">
        <w:rPr>
          <w:rFonts w:ascii="Times New Roman" w:hAnsi="Times New Roman"/>
          <w:sz w:val="24"/>
        </w:rPr>
        <w:t xml:space="preserve"> the following competency and independence requirements:</w:t>
      </w:r>
      <w:r w:rsidRPr="006F68E9">
        <w:rPr>
          <w:rFonts w:ascii="Times New Roman" w:hAnsi="Times New Roman"/>
          <w:sz w:val="24"/>
        </w:rPr>
        <w:br/>
        <w:t>(1) Competency requirements. The third-party auditor</w:t>
      </w:r>
      <w:r w:rsidRPr="006F68E9">
        <w:rPr>
          <w:rFonts w:ascii="Times New Roman" w:hAnsi="Times New Roman"/>
          <w:strike/>
          <w:sz w:val="24"/>
        </w:rPr>
        <w:t>(s)</w:t>
      </w:r>
      <w:r w:rsidRPr="006F68E9">
        <w:rPr>
          <w:rFonts w:ascii="Times New Roman" w:hAnsi="Times New Roman"/>
          <w:sz w:val="24"/>
        </w:rPr>
        <w:t xml:space="preserve"> shall be:</w:t>
      </w:r>
      <w:r w:rsidRPr="006F68E9">
        <w:rPr>
          <w:rFonts w:ascii="Times New Roman" w:hAnsi="Times New Roman"/>
          <w:sz w:val="24"/>
        </w:rPr>
        <w:br/>
        <w:t xml:space="preserve">(iii) Trained </w:t>
      </w:r>
      <w:r w:rsidRPr="006F68E9">
        <w:rPr>
          <w:rFonts w:ascii="Times New Roman" w:hAnsi="Times New Roman"/>
          <w:strike/>
          <w:sz w:val="24"/>
        </w:rPr>
        <w:t>and/or certified</w:t>
      </w:r>
      <w:r w:rsidRPr="006F68E9">
        <w:rPr>
          <w:rFonts w:ascii="Times New Roman" w:hAnsi="Times New Roman"/>
          <w:sz w:val="24"/>
        </w:rPr>
        <w:t xml:space="preserve"> in </w:t>
      </w:r>
      <w:r w:rsidRPr="006F68E9">
        <w:rPr>
          <w:rFonts w:ascii="Times New Roman" w:hAnsi="Times New Roman"/>
          <w:strike/>
          <w:sz w:val="24"/>
        </w:rPr>
        <w:t xml:space="preserve">proper </w:t>
      </w:r>
      <w:r w:rsidRPr="006F68E9">
        <w:rPr>
          <w:rFonts w:ascii="Times New Roman" w:hAnsi="Times New Roman"/>
          <w:sz w:val="24"/>
        </w:rPr>
        <w:t>auditing techniques.</w:t>
      </w:r>
      <w:r w:rsidRPr="006F68E9">
        <w:rPr>
          <w:rFonts w:ascii="Times New Roman" w:hAnsi="Times New Roman"/>
          <w:sz w:val="24"/>
        </w:rPr>
        <w:br/>
        <w:t>(2) Independence requirements. The third-party auditor(s)</w:t>
      </w:r>
      <w:r w:rsidRPr="006F68E9">
        <w:rPr>
          <w:rFonts w:ascii="Times New Roman" w:hAnsi="Times New Roman"/>
          <w:sz w:val="24"/>
          <w:u w:val="single"/>
        </w:rPr>
        <w:t xml:space="preserve"> and audit team members </w:t>
      </w:r>
      <w:r w:rsidRPr="006F68E9">
        <w:rPr>
          <w:rFonts w:ascii="Times New Roman" w:hAnsi="Times New Roman"/>
          <w:sz w:val="24"/>
        </w:rPr>
        <w:t>shall:</w:t>
      </w:r>
      <w:r w:rsidRPr="006F68E9">
        <w:rPr>
          <w:rFonts w:ascii="Times New Roman" w:hAnsi="Times New Roman"/>
          <w:sz w:val="24"/>
        </w:rPr>
        <w:br/>
        <w:t xml:space="preserve">(iv) Ensure that </w:t>
      </w:r>
      <w:r w:rsidRPr="006F68E9">
        <w:rPr>
          <w:rFonts w:ascii="Times New Roman" w:hAnsi="Times New Roman"/>
          <w:strike/>
          <w:sz w:val="24"/>
        </w:rPr>
        <w:t>all</w:t>
      </w:r>
      <w:r w:rsidRPr="006F68E9">
        <w:rPr>
          <w:rFonts w:ascii="Times New Roman" w:hAnsi="Times New Roman"/>
          <w:sz w:val="24"/>
        </w:rPr>
        <w:t xml:space="preserve"> </w:t>
      </w:r>
      <w:r w:rsidRPr="006F68E9">
        <w:rPr>
          <w:rFonts w:ascii="Times New Roman" w:hAnsi="Times New Roman"/>
          <w:sz w:val="24"/>
          <w:u w:val="single"/>
        </w:rPr>
        <w:t>the</w:t>
      </w:r>
      <w:r w:rsidRPr="006F68E9">
        <w:rPr>
          <w:rFonts w:ascii="Times New Roman" w:hAnsi="Times New Roman"/>
          <w:sz w:val="24"/>
        </w:rPr>
        <w:t xml:space="preserve"> third-party </w:t>
      </w:r>
      <w:r w:rsidRPr="006F68E9">
        <w:rPr>
          <w:rFonts w:ascii="Times New Roman" w:hAnsi="Times New Roman"/>
          <w:strike/>
          <w:sz w:val="24"/>
        </w:rPr>
        <w:t>personnel involved in the audit do</w:t>
      </w:r>
      <w:r w:rsidRPr="006F68E9">
        <w:rPr>
          <w:rFonts w:ascii="Times New Roman" w:hAnsi="Times New Roman"/>
          <w:sz w:val="24"/>
        </w:rPr>
        <w:t xml:space="preserve"> </w:t>
      </w:r>
      <w:r w:rsidRPr="006F68E9">
        <w:rPr>
          <w:rFonts w:ascii="Times New Roman" w:hAnsi="Times New Roman"/>
          <w:sz w:val="24"/>
          <w:u w:val="single"/>
        </w:rPr>
        <w:t>auditor or non-facility audit team members do</w:t>
      </w:r>
      <w:r w:rsidRPr="006F68E9">
        <w:rPr>
          <w:rFonts w:ascii="Times New Roman" w:hAnsi="Times New Roman"/>
          <w:sz w:val="24"/>
        </w:rPr>
        <w:t xml:space="preserve"> not accept future employment with the owner or operator of the stationary source for a period of at least two years following submission of the final audit report. For purposes of this requirement, employment does not include performing or participating in third-party audits pursuant to </w:t>
      </w:r>
      <w:r>
        <w:rPr>
          <w:rFonts w:ascii="Times New Roman" w:hAnsi="Times New Roman"/>
          <w:sz w:val="24"/>
        </w:rPr>
        <w:t xml:space="preserve">Section </w:t>
      </w:r>
      <w:r w:rsidRPr="006F68E9">
        <w:rPr>
          <w:rFonts w:ascii="Times New Roman" w:hAnsi="Times New Roman"/>
          <w:sz w:val="24"/>
        </w:rPr>
        <w:t xml:space="preserve">68.59 or </w:t>
      </w:r>
      <w:r>
        <w:rPr>
          <w:rFonts w:ascii="Times New Roman" w:hAnsi="Times New Roman"/>
          <w:sz w:val="24"/>
        </w:rPr>
        <w:t xml:space="preserve">Section </w:t>
      </w:r>
      <w:r w:rsidRPr="006F68E9">
        <w:rPr>
          <w:rFonts w:ascii="Times New Roman" w:hAnsi="Times New Roman"/>
          <w:sz w:val="24"/>
        </w:rPr>
        <w:t>68.80.</w:t>
      </w:r>
    </w:p>
    <w:p w:rsidR="00B365C8" w:rsidRPr="00A646D6" w:rsidP="00935696" w14:paraId="7DB3776F" w14:textId="3D8810EA">
      <w:pPr>
        <w:ind w:left="720"/>
        <w:rPr>
          <w:rFonts w:ascii="Times New Roman" w:hAnsi="Times New Roman"/>
          <w:i/>
          <w:iCs/>
          <w:sz w:val="24"/>
        </w:rPr>
      </w:pPr>
      <w:r w:rsidRPr="00CF5C02">
        <w:rPr>
          <w:rFonts w:ascii="Times New Roman" w:hAnsi="Times New Roman"/>
          <w:b/>
          <w:bCs/>
          <w:sz w:val="24"/>
        </w:rPr>
        <w:t>EPA Response:</w:t>
      </w:r>
      <w:r w:rsidRPr="0032536A">
        <w:rPr>
          <w:rFonts w:ascii="Times New Roman" w:hAnsi="Times New Roman"/>
          <w:b/>
          <w:bCs/>
          <w:sz w:val="24"/>
        </w:rPr>
        <w:t xml:space="preserve"> </w:t>
      </w:r>
      <w:r w:rsidRPr="00571AD3" w:rsidR="00571AD3">
        <w:rPr>
          <w:rFonts w:ascii="Times New Roman" w:hAnsi="Times New Roman"/>
          <w:sz w:val="24"/>
        </w:rPr>
        <w:t xml:space="preserve">Owners or operators can assemble a third-party audit team led by a third-party auditor that meets both the competency and independence criteria of the final rule. The third-party audit team can also include other non-independent personnel such as current or former employees of the facility or other persons with prior site-specific </w:t>
      </w:r>
      <w:r w:rsidRPr="00571AD3" w:rsidR="00571AD3">
        <w:rPr>
          <w:rFonts w:ascii="Times New Roman" w:hAnsi="Times New Roman"/>
          <w:sz w:val="24"/>
        </w:rPr>
        <w:t>experience. This will enable a much broader and more diverse set of auditors to serve on the audit teams, including knowledgeable facility personnel, other personnel employed at different facilities owned by the regulated company, and a variety of second or third-party personnel such as consultants and contractors. Only employees of the third-party auditor firm leading the audit team will be subject to the independence criteria of the final rule, and only the individual leading the third-party audit team will be subject to both the competency and independence criteria of the final rule.</w:t>
      </w:r>
      <w:r w:rsidR="00935696">
        <w:rPr>
          <w:rFonts w:ascii="Times New Roman" w:hAnsi="Times New Roman"/>
          <w:sz w:val="24"/>
        </w:rPr>
        <w:t xml:space="preserve"> </w:t>
      </w:r>
      <w:r w:rsidR="00791CF2">
        <w:rPr>
          <w:rFonts w:ascii="Times New Roman" w:hAnsi="Times New Roman"/>
          <w:sz w:val="24"/>
        </w:rPr>
        <w:t>Therefore,</w:t>
      </w:r>
      <w:r w:rsidR="00107351">
        <w:rPr>
          <w:rFonts w:ascii="Times New Roman" w:hAnsi="Times New Roman"/>
          <w:sz w:val="24"/>
        </w:rPr>
        <w:t xml:space="preserve"> the Agency is finalizing the </w:t>
      </w:r>
      <w:r w:rsidR="005D4CB0">
        <w:rPr>
          <w:rFonts w:ascii="Times New Roman" w:hAnsi="Times New Roman"/>
          <w:sz w:val="24"/>
        </w:rPr>
        <w:t xml:space="preserve">auditor </w:t>
      </w:r>
      <w:r w:rsidR="00107351">
        <w:rPr>
          <w:rFonts w:ascii="Times New Roman" w:hAnsi="Times New Roman"/>
          <w:sz w:val="24"/>
        </w:rPr>
        <w:t xml:space="preserve">regulatory language as proposed </w:t>
      </w:r>
      <w:r w:rsidR="00791CF2">
        <w:rPr>
          <w:rFonts w:ascii="Times New Roman" w:hAnsi="Times New Roman"/>
          <w:sz w:val="24"/>
        </w:rPr>
        <w:t xml:space="preserve">and do not believe the </w:t>
      </w:r>
      <w:r w:rsidR="007C1838">
        <w:rPr>
          <w:rFonts w:ascii="Times New Roman" w:hAnsi="Times New Roman"/>
          <w:sz w:val="24"/>
        </w:rPr>
        <w:t xml:space="preserve">commenter’s suggested edits are </w:t>
      </w:r>
      <w:r w:rsidR="00AC7500">
        <w:rPr>
          <w:rFonts w:ascii="Times New Roman" w:hAnsi="Times New Roman"/>
          <w:sz w:val="24"/>
        </w:rPr>
        <w:t>necessary.</w:t>
      </w:r>
    </w:p>
    <w:p w:rsidR="00F41FFB" w:rsidRPr="00D91808" w:rsidP="00F41FFB" w14:paraId="11368890" w14:textId="77777777">
      <w:pPr>
        <w:rPr>
          <w:rFonts w:ascii="Times New Roman" w:hAnsi="Times New Roman"/>
          <w:i/>
          <w:iCs/>
          <w:sz w:val="24"/>
        </w:rPr>
      </w:pPr>
      <w:r w:rsidRPr="00D91808">
        <w:rPr>
          <w:rFonts w:ascii="Times New Roman" w:hAnsi="Times New Roman"/>
          <w:i/>
          <w:iCs/>
          <w:sz w:val="24"/>
        </w:rPr>
        <w:t>Information sharing of audit findings</w:t>
      </w:r>
    </w:p>
    <w:p w:rsidR="00F41FFB" w:rsidP="00F41FFB" w14:paraId="02FEC391" w14:textId="5B1C68FE">
      <w:pPr>
        <w:rPr>
          <w:rFonts w:ascii="Times New Roman" w:hAnsi="Times New Roman"/>
          <w:sz w:val="24"/>
        </w:rPr>
      </w:pPr>
      <w:r>
        <w:rPr>
          <w:rFonts w:ascii="Times New Roman" w:hAnsi="Times New Roman"/>
          <w:b/>
          <w:bCs/>
          <w:sz w:val="24"/>
        </w:rPr>
        <w:t>Comment 8.1-3</w:t>
      </w:r>
      <w:r w:rsidR="00F95FD7">
        <w:rPr>
          <w:rFonts w:ascii="Times New Roman" w:hAnsi="Times New Roman"/>
          <w:b/>
          <w:bCs/>
          <w:sz w:val="24"/>
        </w:rPr>
        <w:t>5</w:t>
      </w:r>
      <w:r>
        <w:rPr>
          <w:rFonts w:ascii="Times New Roman" w:hAnsi="Times New Roman"/>
          <w:b/>
          <w:bCs/>
          <w:sz w:val="24"/>
        </w:rPr>
        <w:t xml:space="preserve">: </w:t>
      </w:r>
      <w:r w:rsidRPr="006F68E9">
        <w:rPr>
          <w:rFonts w:ascii="Times New Roman" w:hAnsi="Times New Roman"/>
          <w:sz w:val="24"/>
        </w:rPr>
        <w:t xml:space="preserve">A couple of commenters </w:t>
      </w:r>
      <w:r>
        <w:rPr>
          <w:rFonts w:ascii="Times New Roman" w:hAnsi="Times New Roman"/>
          <w:sz w:val="24"/>
        </w:rPr>
        <w:t>stated</w:t>
      </w:r>
      <w:r w:rsidRPr="006F68E9">
        <w:rPr>
          <w:rFonts w:ascii="Times New Roman" w:hAnsi="Times New Roman"/>
          <w:sz w:val="24"/>
        </w:rPr>
        <w:t xml:space="preserve"> that making audit findings available to first responders and LEPCs is preferred (0184, 0241).</w:t>
      </w:r>
      <w:r>
        <w:rPr>
          <w:rFonts w:ascii="Times New Roman" w:hAnsi="Times New Roman"/>
          <w:sz w:val="24"/>
        </w:rPr>
        <w:t xml:space="preserve"> </w:t>
      </w:r>
    </w:p>
    <w:p w:rsidR="003240B0" w:rsidP="00902899" w14:paraId="199AD5C5" w14:textId="50386271">
      <w:pPr>
        <w:ind w:left="720"/>
        <w:rPr>
          <w:rFonts w:ascii="Times New Roman" w:hAnsi="Times New Roman"/>
          <w:b/>
          <w:bCs/>
          <w:sz w:val="24"/>
        </w:rPr>
      </w:pPr>
      <w:r w:rsidRPr="009D2C98">
        <w:rPr>
          <w:rFonts w:ascii="Times New Roman" w:hAnsi="Times New Roman"/>
          <w:b/>
          <w:bCs/>
          <w:sz w:val="24"/>
        </w:rPr>
        <w:t>EPA Response:</w:t>
      </w:r>
      <w:r w:rsidRPr="00987693">
        <w:rPr>
          <w:rFonts w:ascii="Times New Roman" w:hAnsi="Times New Roman"/>
          <w:b/>
          <w:bCs/>
          <w:sz w:val="24"/>
        </w:rPr>
        <w:t xml:space="preserve"> </w:t>
      </w:r>
      <w:r w:rsidRPr="00902899" w:rsidR="00950F4B">
        <w:rPr>
          <w:rFonts w:ascii="Times New Roman" w:hAnsi="Times New Roman"/>
          <w:sz w:val="24"/>
        </w:rPr>
        <w:t xml:space="preserve">EPA is not requiring </w:t>
      </w:r>
      <w:r w:rsidRPr="00902899" w:rsidR="00572413">
        <w:rPr>
          <w:rFonts w:ascii="Times New Roman" w:hAnsi="Times New Roman"/>
          <w:sz w:val="24"/>
        </w:rPr>
        <w:t xml:space="preserve">in the third-party audit provisions for </w:t>
      </w:r>
      <w:r w:rsidRPr="00902899" w:rsidR="007E2B45">
        <w:rPr>
          <w:rFonts w:ascii="Times New Roman" w:hAnsi="Times New Roman"/>
          <w:sz w:val="24"/>
        </w:rPr>
        <w:t xml:space="preserve">owners and operators to provide audit findings to emergency response officials or LEPCs. </w:t>
      </w:r>
      <w:r w:rsidRPr="00902899" w:rsidR="000E183D">
        <w:rPr>
          <w:rFonts w:ascii="Times New Roman" w:hAnsi="Times New Roman"/>
          <w:sz w:val="24"/>
        </w:rPr>
        <w:t xml:space="preserve">However, </w:t>
      </w:r>
      <w:bookmarkStart w:id="108" w:name="_Hlk149096716"/>
      <w:r w:rsidRPr="00F211CE">
        <w:rPr>
          <w:rFonts w:ascii="Times New Roman" w:hAnsi="Times New Roman"/>
          <w:sz w:val="24"/>
        </w:rPr>
        <w:t xml:space="preserve">EPA maintains that it is very important to ensure that Local Emergency Planning Committees (LEPCs) or local emergency response officials have the information necessary for developing local emergency response plans; however, EPA believes it is not necessary to specify in the RMP rule the types or format of information that LEPCs or emergency response officials may request. Section 303(d)(3) of the Emergency Planning and Community Right to Know Act already provides the necessary authority to allow LEPCs to request information needed to develop the local emergency response plan. Furthermore, as part of the annual coordination between facilities and local emergency responders, responders may obtain information on </w:t>
      </w:r>
      <w:r w:rsidRPr="00F211CE" w:rsidR="00CD1D33">
        <w:rPr>
          <w:rFonts w:ascii="Times New Roman" w:hAnsi="Times New Roman"/>
          <w:sz w:val="24"/>
        </w:rPr>
        <w:t>the risks presented by covered processes</w:t>
      </w:r>
      <w:r w:rsidRPr="00F211CE">
        <w:rPr>
          <w:rFonts w:ascii="Times New Roman" w:hAnsi="Times New Roman"/>
          <w:sz w:val="24"/>
        </w:rPr>
        <w:t xml:space="preserve"> as appropriate.</w:t>
      </w:r>
      <w:bookmarkEnd w:id="108"/>
    </w:p>
    <w:p w:rsidR="00F41FFB" w:rsidRPr="00780C48" w:rsidP="005417D5" w14:paraId="7E6B4BE9" w14:textId="77777777">
      <w:pPr>
        <w:pStyle w:val="Heading2"/>
        <w:spacing w:before="120"/>
        <w:rPr>
          <w:rFonts w:ascii="Times New Roman" w:hAnsi="Times New Roman" w:cs="Times New Roman"/>
          <w:b/>
          <w:color w:val="auto"/>
          <w:sz w:val="24"/>
          <w:szCs w:val="24"/>
        </w:rPr>
      </w:pPr>
      <w:bookmarkStart w:id="109" w:name="_Toc146880019"/>
      <w:bookmarkStart w:id="110" w:name="_Toc153373807"/>
      <w:r w:rsidRPr="00780C48">
        <w:rPr>
          <w:rFonts w:ascii="Times New Roman" w:hAnsi="Times New Roman" w:cs="Times New Roman"/>
          <w:b/>
          <w:color w:val="auto"/>
          <w:sz w:val="24"/>
          <w:szCs w:val="24"/>
        </w:rPr>
        <w:t>Proposed independence criteria</w:t>
      </w:r>
      <w:bookmarkEnd w:id="109"/>
      <w:r>
        <w:rPr>
          <w:rFonts w:ascii="Times New Roman" w:hAnsi="Times New Roman" w:cs="Times New Roman"/>
          <w:b/>
          <w:color w:val="auto"/>
          <w:sz w:val="24"/>
          <w:szCs w:val="24"/>
        </w:rPr>
        <w:t xml:space="preserve"> and employee participation</w:t>
      </w:r>
      <w:bookmarkEnd w:id="110"/>
      <w:r>
        <w:rPr>
          <w:rFonts w:ascii="Times New Roman" w:hAnsi="Times New Roman" w:cs="Times New Roman"/>
          <w:b/>
          <w:color w:val="auto"/>
          <w:sz w:val="24"/>
          <w:szCs w:val="24"/>
        </w:rPr>
        <w:t xml:space="preserve"> </w:t>
      </w:r>
    </w:p>
    <w:p w:rsidR="00F41FFB" w:rsidRPr="00780C48" w:rsidP="00F41FFB" w14:paraId="754C20EC" w14:textId="77777777">
      <w:pPr>
        <w:rPr>
          <w:rFonts w:ascii="Times New Roman" w:hAnsi="Times New Roman"/>
          <w:i/>
          <w:iCs/>
          <w:sz w:val="24"/>
        </w:rPr>
      </w:pPr>
      <w:r>
        <w:rPr>
          <w:rFonts w:ascii="Times New Roman" w:hAnsi="Times New Roman"/>
          <w:i/>
          <w:iCs/>
          <w:sz w:val="24"/>
        </w:rPr>
        <w:t xml:space="preserve">Comments addressing the proposal to remove independence criteria from the 2017 rule </w:t>
      </w:r>
    </w:p>
    <w:p w:rsidR="00F41FFB" w:rsidP="00F41FFB" w14:paraId="0497FD0B" w14:textId="77777777">
      <w:pPr>
        <w:rPr>
          <w:rFonts w:ascii="Times New Roman" w:hAnsi="Times New Roman"/>
          <w:sz w:val="24"/>
        </w:rPr>
      </w:pPr>
      <w:r w:rsidRPr="00A959B6">
        <w:rPr>
          <w:rFonts w:ascii="Times New Roman" w:hAnsi="Times New Roman"/>
          <w:b/>
          <w:bCs/>
          <w:sz w:val="24"/>
        </w:rPr>
        <w:t>Comment</w:t>
      </w:r>
      <w:r>
        <w:rPr>
          <w:rFonts w:ascii="Times New Roman" w:hAnsi="Times New Roman"/>
          <w:b/>
          <w:bCs/>
          <w:sz w:val="24"/>
        </w:rPr>
        <w:t xml:space="preserve"> 8.2-01</w:t>
      </w:r>
      <w:r w:rsidRPr="00A959B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Several commenters </w:t>
      </w:r>
      <w:r>
        <w:rPr>
          <w:rFonts w:ascii="Times New Roman" w:hAnsi="Times New Roman"/>
          <w:sz w:val="24"/>
        </w:rPr>
        <w:t xml:space="preserve">supported the removal of the independence criteria from the 2017 rule, stating that </w:t>
      </w:r>
      <w:r w:rsidRPr="006F68E9">
        <w:rPr>
          <w:rFonts w:ascii="Times New Roman" w:hAnsi="Times New Roman"/>
          <w:sz w:val="24"/>
        </w:rPr>
        <w:t xml:space="preserve">they are burdensome and not necessary for ensuring safety (0173, 0190, 0193, 0233, 0224, 0225, 0229, 0232,0245, 0256, 0262, 0267). </w:t>
      </w:r>
    </w:p>
    <w:p w:rsidR="00F41FFB" w:rsidP="00F41FFB" w14:paraId="55D3337C" w14:textId="77777777">
      <w:pPr>
        <w:rPr>
          <w:rFonts w:ascii="Times New Roman" w:hAnsi="Times New Roman"/>
          <w:sz w:val="24"/>
        </w:rPr>
      </w:pPr>
      <w:r w:rsidRPr="006F68E9">
        <w:rPr>
          <w:rFonts w:ascii="Times New Roman" w:hAnsi="Times New Roman"/>
          <w:sz w:val="24"/>
        </w:rPr>
        <w:t>Several commenters expressed concerns about the requirements prohibiting third-party auditors from accepting future employment with the owner or operator of the stationary source for at least two years following the submission of the final audit report (0180, 0205, 0217, 0226, 0229, 0232, 0233, 0234, 0237, 0253, 0256, 0262, 0268, 0458). Some of the commenters suggested that this requirement would further reduce the pool of available auditors (0181, 0184, 0253, 0268). One commenter suggested that this concern is compounded for small businesses or facilities in rural areas (0184). A few commenters noted that this would create a disincentive for otherwise qualified auditors to accept and perform third-party audits (0229, 0232, 0233).</w:t>
      </w:r>
    </w:p>
    <w:p w:rsidR="00F41FFB" w:rsidRPr="006F68E9" w:rsidP="00F41FFB" w14:paraId="7F0B58BE" w14:textId="77777777">
      <w:pPr>
        <w:rPr>
          <w:rFonts w:ascii="Times New Roman" w:hAnsi="Times New Roman"/>
          <w:sz w:val="24"/>
        </w:rPr>
      </w:pPr>
      <w:r w:rsidRPr="006F68E9">
        <w:rPr>
          <w:rFonts w:ascii="Times New Roman" w:hAnsi="Times New Roman"/>
          <w:sz w:val="24"/>
        </w:rPr>
        <w:t xml:space="preserve">Some commenters noted that this requirement does not improve the quality of the audits and there is no similar restriction to hire EPA personnel (0180, 0205, 0226, 0234). </w:t>
      </w:r>
    </w:p>
    <w:p w:rsidR="00F41FFB" w:rsidRPr="006F68E9" w:rsidP="00F41FFB" w14:paraId="71586768" w14:textId="77777777">
      <w:pPr>
        <w:rPr>
          <w:rFonts w:ascii="Times New Roman" w:hAnsi="Times New Roman"/>
          <w:sz w:val="24"/>
        </w:rPr>
      </w:pPr>
      <w:r w:rsidRPr="006F68E9">
        <w:rPr>
          <w:rFonts w:ascii="Times New Roman" w:hAnsi="Times New Roman"/>
          <w:sz w:val="24"/>
        </w:rPr>
        <w:t xml:space="preserve">Several commenters noted that EPA does not have the authority to implement this requirement, as regulations covering the hiring of employees are under the authority of the Department of Labor (0180, 0205, 0217, 0226, 0234, 0237, 0458). </w:t>
      </w:r>
    </w:p>
    <w:p w:rsidR="00F41FFB" w:rsidP="00F41FFB" w14:paraId="678400AF" w14:textId="77777777">
      <w:pPr>
        <w:rPr>
          <w:rFonts w:ascii="Times New Roman" w:hAnsi="Times New Roman"/>
          <w:sz w:val="24"/>
        </w:rPr>
      </w:pPr>
      <w:r w:rsidRPr="006F68E9">
        <w:rPr>
          <w:rFonts w:ascii="Times New Roman" w:hAnsi="Times New Roman"/>
          <w:sz w:val="24"/>
        </w:rPr>
        <w:t xml:space="preserve">Another commenter noted that this requirement would be difficult to enforce and require facilities and regulators to keep track of audit personnel (0256). </w:t>
      </w:r>
    </w:p>
    <w:p w:rsidR="00A61992" w:rsidRPr="00ED5F80" w:rsidP="00711A05" w14:paraId="1347933B" w14:textId="225201DC">
      <w:pPr>
        <w:ind w:left="720"/>
        <w:rPr>
          <w:rFonts w:ascii="Times New Roman" w:hAnsi="Times New Roman"/>
          <w:sz w:val="24"/>
        </w:rPr>
      </w:pPr>
      <w:r w:rsidRPr="00213085">
        <w:rPr>
          <w:rFonts w:ascii="Times New Roman" w:hAnsi="Times New Roman"/>
          <w:b/>
          <w:bCs/>
          <w:sz w:val="24"/>
        </w:rPr>
        <w:t xml:space="preserve">EPA Response: </w:t>
      </w:r>
      <w:bookmarkStart w:id="111" w:name="_Hlk148609809"/>
      <w:r w:rsidRPr="00ED5F80">
        <w:rPr>
          <w:rFonts w:ascii="Times New Roman" w:hAnsi="Times New Roman"/>
          <w:sz w:val="24"/>
        </w:rPr>
        <w:t>EPA’s goal</w:t>
      </w:r>
      <w:r>
        <w:rPr>
          <w:rFonts w:ascii="Times New Roman" w:hAnsi="Times New Roman"/>
          <w:sz w:val="24"/>
        </w:rPr>
        <w:t xml:space="preserve"> for auditor </w:t>
      </w:r>
      <w:r w:rsidRPr="00ED5F80">
        <w:rPr>
          <w:rFonts w:ascii="Times New Roman" w:hAnsi="Times New Roman"/>
          <w:sz w:val="24"/>
        </w:rPr>
        <w:t>qualifications</w:t>
      </w:r>
      <w:r w:rsidR="003D2107">
        <w:rPr>
          <w:rFonts w:ascii="Times New Roman" w:hAnsi="Times New Roman"/>
          <w:sz w:val="24"/>
        </w:rPr>
        <w:t xml:space="preserve"> is </w:t>
      </w:r>
      <w:r w:rsidRPr="00ED5F80">
        <w:rPr>
          <w:rFonts w:ascii="Times New Roman" w:hAnsi="Times New Roman"/>
          <w:sz w:val="24"/>
        </w:rPr>
        <w:t>to ensure clarity and objectivity as to the minimum expected standards third-party auditors must meet for competency and independence. Such criteria</w:t>
      </w:r>
      <w:r w:rsidR="00E357B5">
        <w:rPr>
          <w:rFonts w:ascii="Times New Roman" w:hAnsi="Times New Roman"/>
          <w:sz w:val="24"/>
        </w:rPr>
        <w:t xml:space="preserve"> </w:t>
      </w:r>
      <w:r w:rsidRPr="00ED5F80">
        <w:rPr>
          <w:rFonts w:ascii="Times New Roman" w:hAnsi="Times New Roman"/>
          <w:sz w:val="24"/>
        </w:rPr>
        <w:t>are necessary to ensure that owners and operators are able to successfully identify and engage fully qualified, competent and independent third-party auditors.</w:t>
      </w:r>
    </w:p>
    <w:p w:rsidR="00711A05" w:rsidRPr="002B12ED" w:rsidP="00711A05" w14:paraId="43FC5993" w14:textId="7570AB6F">
      <w:pPr>
        <w:ind w:left="720"/>
        <w:rPr>
          <w:rFonts w:ascii="Times New Roman" w:hAnsi="Times New Roman"/>
          <w:sz w:val="24"/>
        </w:rPr>
      </w:pPr>
      <w:r w:rsidRPr="00ED5F80">
        <w:rPr>
          <w:rFonts w:ascii="Times New Roman" w:hAnsi="Times New Roman"/>
          <w:sz w:val="24"/>
        </w:rPr>
        <w:t>When all options for third-part</w:t>
      </w:r>
      <w:r w:rsidR="00403918">
        <w:rPr>
          <w:rFonts w:ascii="Times New Roman" w:hAnsi="Times New Roman"/>
          <w:sz w:val="24"/>
        </w:rPr>
        <w:t>y</w:t>
      </w:r>
      <w:r w:rsidRPr="00ED5F80">
        <w:rPr>
          <w:rFonts w:ascii="Times New Roman" w:hAnsi="Times New Roman"/>
          <w:sz w:val="24"/>
        </w:rPr>
        <w:t xml:space="preserve"> auditors and teams are viewed as a whole, </w:t>
      </w:r>
      <w:r w:rsidRPr="002B12ED">
        <w:rPr>
          <w:rFonts w:ascii="Times New Roman" w:hAnsi="Times New Roman"/>
          <w:sz w:val="24"/>
        </w:rPr>
        <w:t xml:space="preserve">EPA </w:t>
      </w:r>
      <w:r w:rsidRPr="00EC002C" w:rsidR="00047510">
        <w:rPr>
          <w:rFonts w:ascii="Times New Roman" w:hAnsi="Times New Roman"/>
          <w:sz w:val="24"/>
        </w:rPr>
        <w:t xml:space="preserve">believes </w:t>
      </w:r>
      <w:r w:rsidRPr="00EC002C">
        <w:rPr>
          <w:rFonts w:ascii="Times New Roman" w:hAnsi="Times New Roman"/>
          <w:sz w:val="24"/>
        </w:rPr>
        <w:t>there are</w:t>
      </w:r>
      <w:r w:rsidRPr="00EC002C" w:rsidR="000C1C1A">
        <w:rPr>
          <w:rFonts w:ascii="Times New Roman" w:hAnsi="Times New Roman"/>
          <w:sz w:val="24"/>
        </w:rPr>
        <w:t xml:space="preserve"> ample</w:t>
      </w:r>
      <w:r w:rsidRPr="00EC002C" w:rsidR="00047510">
        <w:rPr>
          <w:rFonts w:ascii="Times New Roman" w:hAnsi="Times New Roman"/>
          <w:sz w:val="24"/>
        </w:rPr>
        <w:t xml:space="preserve"> </w:t>
      </w:r>
      <w:r w:rsidRPr="00EC002C" w:rsidR="000C1C1A">
        <w:rPr>
          <w:rFonts w:ascii="Times New Roman" w:hAnsi="Times New Roman"/>
          <w:sz w:val="24"/>
        </w:rPr>
        <w:t>opportunities</w:t>
      </w:r>
      <w:r w:rsidRPr="00EC002C" w:rsidR="00047510">
        <w:rPr>
          <w:rFonts w:ascii="Times New Roman" w:hAnsi="Times New Roman"/>
          <w:sz w:val="24"/>
        </w:rPr>
        <w:t xml:space="preserve"> </w:t>
      </w:r>
      <w:r w:rsidRPr="00EC002C" w:rsidR="000C1C1A">
        <w:rPr>
          <w:rFonts w:ascii="Times New Roman" w:hAnsi="Times New Roman"/>
          <w:sz w:val="24"/>
        </w:rPr>
        <w:t xml:space="preserve">to select </w:t>
      </w:r>
      <w:r w:rsidRPr="00ED5F80">
        <w:rPr>
          <w:rFonts w:ascii="Times New Roman" w:hAnsi="Times New Roman"/>
          <w:sz w:val="24"/>
        </w:rPr>
        <w:t>personnel who may potentially serve as</w:t>
      </w:r>
      <w:r w:rsidR="00C34130">
        <w:rPr>
          <w:rFonts w:ascii="Times New Roman" w:hAnsi="Times New Roman"/>
          <w:sz w:val="24"/>
        </w:rPr>
        <w:t xml:space="preserve"> competent and </w:t>
      </w:r>
      <w:r w:rsidRPr="00ED5F80">
        <w:rPr>
          <w:rFonts w:ascii="Times New Roman" w:hAnsi="Times New Roman"/>
          <w:sz w:val="24"/>
        </w:rPr>
        <w:t>independent third-party auditors</w:t>
      </w:r>
      <w:r w:rsidR="005F3E3B">
        <w:rPr>
          <w:rFonts w:ascii="Times New Roman" w:hAnsi="Times New Roman"/>
          <w:sz w:val="24"/>
        </w:rPr>
        <w:t xml:space="preserve"> to objectively</w:t>
      </w:r>
      <w:r w:rsidRPr="005F3E3B" w:rsidR="005F3E3B">
        <w:t xml:space="preserve"> </w:t>
      </w:r>
      <w:r w:rsidRPr="005F3E3B" w:rsidR="005F3E3B">
        <w:rPr>
          <w:rFonts w:ascii="Times New Roman" w:hAnsi="Times New Roman"/>
          <w:sz w:val="24"/>
        </w:rPr>
        <w:t xml:space="preserve">audit </w:t>
      </w:r>
      <w:r w:rsidR="007731E0">
        <w:rPr>
          <w:rFonts w:ascii="Times New Roman" w:hAnsi="Times New Roman"/>
          <w:sz w:val="24"/>
        </w:rPr>
        <w:t xml:space="preserve">a facility’s </w:t>
      </w:r>
      <w:r w:rsidRPr="005F3E3B" w:rsidR="005F3E3B">
        <w:rPr>
          <w:rFonts w:ascii="Times New Roman" w:hAnsi="Times New Roman"/>
          <w:sz w:val="24"/>
        </w:rPr>
        <w:t>compliance with prevention program requirements</w:t>
      </w:r>
      <w:r w:rsidRPr="00ED5F80">
        <w:rPr>
          <w:rFonts w:ascii="Times New Roman" w:hAnsi="Times New Roman"/>
          <w:sz w:val="24"/>
        </w:rPr>
        <w:t>.</w:t>
      </w:r>
      <w:r w:rsidRPr="00311180">
        <w:rPr>
          <w:rFonts w:ascii="Times New Roman" w:hAnsi="Times New Roman"/>
          <w:b/>
          <w:bCs/>
          <w:sz w:val="24"/>
        </w:rPr>
        <w:t xml:space="preserve"> </w:t>
      </w:r>
      <w:r w:rsidRPr="002B12ED">
        <w:rPr>
          <w:rFonts w:ascii="Times New Roman" w:hAnsi="Times New Roman"/>
          <w:sz w:val="24"/>
        </w:rPr>
        <w:t>EPA</w:t>
      </w:r>
      <w:r w:rsidR="000C1C1A">
        <w:rPr>
          <w:rFonts w:ascii="Times New Roman" w:hAnsi="Times New Roman"/>
          <w:sz w:val="24"/>
        </w:rPr>
        <w:t xml:space="preserve">’s </w:t>
      </w:r>
      <w:r w:rsidR="002A70E8">
        <w:rPr>
          <w:rFonts w:ascii="Times New Roman" w:hAnsi="Times New Roman"/>
          <w:sz w:val="24"/>
        </w:rPr>
        <w:t>proposed</w:t>
      </w:r>
      <w:r w:rsidRPr="002B12ED">
        <w:rPr>
          <w:rFonts w:ascii="Times New Roman" w:hAnsi="Times New Roman"/>
          <w:sz w:val="24"/>
        </w:rPr>
        <w:t xml:space="preserve"> approach </w:t>
      </w:r>
      <w:r w:rsidR="002A70E8">
        <w:rPr>
          <w:rFonts w:ascii="Times New Roman" w:hAnsi="Times New Roman"/>
          <w:sz w:val="24"/>
        </w:rPr>
        <w:t xml:space="preserve">is being </w:t>
      </w:r>
      <w:r w:rsidR="00230ED0">
        <w:rPr>
          <w:rFonts w:ascii="Times New Roman" w:hAnsi="Times New Roman"/>
          <w:sz w:val="24"/>
        </w:rPr>
        <w:t>finalized which</w:t>
      </w:r>
      <w:r w:rsidRPr="002B12ED">
        <w:rPr>
          <w:rFonts w:ascii="Times New Roman" w:hAnsi="Times New Roman"/>
          <w:sz w:val="24"/>
        </w:rPr>
        <w:t xml:space="preserve"> allows owners or operators to meet their third-party audit obligations either by:</w:t>
      </w:r>
    </w:p>
    <w:p w:rsidR="00711A05" w:rsidRPr="002B12ED" w:rsidP="00E57324" w14:paraId="430543E1" w14:textId="77777777">
      <w:pPr>
        <w:pStyle w:val="ListParagraph"/>
        <w:numPr>
          <w:ilvl w:val="0"/>
          <w:numId w:val="9"/>
        </w:numPr>
        <w:ind w:left="1440"/>
        <w:rPr>
          <w:rFonts w:ascii="Times New Roman" w:hAnsi="Times New Roman"/>
          <w:sz w:val="24"/>
        </w:rPr>
      </w:pPr>
      <w:r w:rsidRPr="002B12ED">
        <w:rPr>
          <w:rFonts w:ascii="Times New Roman" w:hAnsi="Times New Roman"/>
          <w:sz w:val="24"/>
        </w:rPr>
        <w:t>Engaging third-party auditors meeting all applicable competency and independence criteria, as originally proposed, or</w:t>
      </w:r>
    </w:p>
    <w:p w:rsidR="00711A05" w:rsidRPr="002B12ED" w:rsidP="00E57324" w14:paraId="3C09E2A9" w14:textId="14FC5FEA">
      <w:pPr>
        <w:pStyle w:val="ListParagraph"/>
        <w:numPr>
          <w:ilvl w:val="0"/>
          <w:numId w:val="9"/>
        </w:numPr>
        <w:ind w:left="1440"/>
        <w:rPr>
          <w:rFonts w:ascii="Times New Roman" w:hAnsi="Times New Roman"/>
          <w:sz w:val="24"/>
        </w:rPr>
      </w:pPr>
      <w:r w:rsidRPr="002B12ED">
        <w:rPr>
          <w:rFonts w:ascii="Times New Roman" w:hAnsi="Times New Roman"/>
          <w:sz w:val="24"/>
        </w:rPr>
        <w:t>By assembling an audit team which is led by a third-party auditor but may include other audit team members. The audit team may be comprised of:</w:t>
      </w:r>
    </w:p>
    <w:p w:rsidR="00711A05" w:rsidRPr="002B12ED" w:rsidP="00E57324" w14:paraId="624931A7" w14:textId="77777777">
      <w:pPr>
        <w:pStyle w:val="ListParagraph"/>
        <w:numPr>
          <w:ilvl w:val="1"/>
          <w:numId w:val="9"/>
        </w:numPr>
        <w:ind w:left="2160"/>
        <w:rPr>
          <w:rFonts w:ascii="Times New Roman" w:hAnsi="Times New Roman"/>
          <w:sz w:val="24"/>
        </w:rPr>
      </w:pPr>
      <w:r w:rsidRPr="002B12ED">
        <w:rPr>
          <w:rFonts w:ascii="Times New Roman" w:hAnsi="Times New Roman"/>
          <w:sz w:val="24"/>
        </w:rPr>
        <w:t>A team leader – this must be an employee of the third-party auditor firm who meets all of the competency and independence criteria of the rule;</w:t>
      </w:r>
    </w:p>
    <w:p w:rsidR="00711A05" w:rsidRPr="002B12ED" w:rsidP="00E57324" w14:paraId="2D02BFB7" w14:textId="77777777">
      <w:pPr>
        <w:pStyle w:val="ListParagraph"/>
        <w:numPr>
          <w:ilvl w:val="1"/>
          <w:numId w:val="9"/>
        </w:numPr>
        <w:ind w:left="2160"/>
        <w:rPr>
          <w:rFonts w:ascii="Times New Roman" w:hAnsi="Times New Roman"/>
          <w:sz w:val="24"/>
        </w:rPr>
      </w:pPr>
      <w:r w:rsidRPr="002B12ED">
        <w:rPr>
          <w:rFonts w:ascii="Times New Roman" w:hAnsi="Times New Roman"/>
          <w:sz w:val="24"/>
        </w:rPr>
        <w:t>Other employees of the third-party auditor firm – these personnel must meet the independence criteria of the rule; and</w:t>
      </w:r>
    </w:p>
    <w:p w:rsidR="00711A05" w:rsidRPr="002B12ED" w:rsidP="00E57324" w14:paraId="5D81A679" w14:textId="77777777">
      <w:pPr>
        <w:pStyle w:val="ListParagraph"/>
        <w:numPr>
          <w:ilvl w:val="1"/>
          <w:numId w:val="9"/>
        </w:numPr>
        <w:ind w:left="2160"/>
        <w:rPr>
          <w:rFonts w:ascii="Times New Roman" w:hAnsi="Times New Roman"/>
          <w:sz w:val="24"/>
        </w:rPr>
      </w:pPr>
      <w:r w:rsidRPr="002B12ED">
        <w:rPr>
          <w:rFonts w:ascii="Times New Roman" w:hAnsi="Times New Roman"/>
          <w:sz w:val="24"/>
        </w:rPr>
        <w:t>Other personnel not employed by the third-party auditor firm (e.g. facility personnel or employees of another consulting firm with specialized expertise) – these personnel are not required to meet the competency and/or independence criteria of the rule.</w:t>
      </w:r>
    </w:p>
    <w:bookmarkEnd w:id="111"/>
    <w:p w:rsidR="009205A6" w:rsidP="00F41FFB" w14:paraId="1F1C5C07" w14:textId="2D3AA4D1">
      <w:pPr>
        <w:ind w:left="720"/>
        <w:rPr>
          <w:rFonts w:ascii="Times New Roman" w:hAnsi="Times New Roman"/>
          <w:sz w:val="24"/>
        </w:rPr>
      </w:pPr>
      <w:r>
        <w:rPr>
          <w:rFonts w:ascii="Times New Roman" w:hAnsi="Times New Roman"/>
          <w:sz w:val="24"/>
        </w:rPr>
        <w:t xml:space="preserve">EPA disagrees that </w:t>
      </w:r>
      <w:r w:rsidR="00090834">
        <w:rPr>
          <w:rFonts w:ascii="Times New Roman" w:hAnsi="Times New Roman"/>
          <w:sz w:val="24"/>
        </w:rPr>
        <w:t xml:space="preserve">this requirement </w:t>
      </w:r>
      <w:r w:rsidR="005C685F">
        <w:rPr>
          <w:rFonts w:ascii="Times New Roman" w:hAnsi="Times New Roman"/>
          <w:sz w:val="24"/>
        </w:rPr>
        <w:t>will</w:t>
      </w:r>
      <w:r w:rsidR="00090834">
        <w:rPr>
          <w:rFonts w:ascii="Times New Roman" w:hAnsi="Times New Roman"/>
          <w:sz w:val="24"/>
        </w:rPr>
        <w:t xml:space="preserve"> be difficult to enforcement as </w:t>
      </w:r>
      <w:r w:rsidR="0063590C">
        <w:rPr>
          <w:rFonts w:ascii="Times New Roman" w:hAnsi="Times New Roman"/>
          <w:sz w:val="24"/>
        </w:rPr>
        <w:t xml:space="preserve">recordkeeping </w:t>
      </w:r>
      <w:r w:rsidR="005C685F">
        <w:rPr>
          <w:rFonts w:ascii="Times New Roman" w:hAnsi="Times New Roman"/>
          <w:sz w:val="24"/>
        </w:rPr>
        <w:t xml:space="preserve">requirements are included for this requirement which will allow the Agency to verify auditor selections. </w:t>
      </w:r>
    </w:p>
    <w:p w:rsidR="00F41FFB" w:rsidP="00F41FFB" w14:paraId="0020970C" w14:textId="6E55BF78">
      <w:pPr>
        <w:rPr>
          <w:rFonts w:ascii="Times New Roman" w:hAnsi="Times New Roman"/>
          <w:sz w:val="24"/>
        </w:rPr>
      </w:pPr>
      <w:r w:rsidRPr="00001F93">
        <w:rPr>
          <w:rFonts w:ascii="Times New Roman" w:hAnsi="Times New Roman"/>
          <w:b/>
          <w:bCs/>
          <w:sz w:val="24"/>
        </w:rPr>
        <w:t>Comment</w:t>
      </w:r>
      <w:r>
        <w:rPr>
          <w:rFonts w:ascii="Times New Roman" w:hAnsi="Times New Roman"/>
          <w:b/>
          <w:bCs/>
          <w:sz w:val="24"/>
        </w:rPr>
        <w:t xml:space="preserve"> 8.2-02</w:t>
      </w:r>
      <w:r w:rsidRPr="00001F93">
        <w:rPr>
          <w:rFonts w:ascii="Times New Roman" w:hAnsi="Times New Roman"/>
          <w:b/>
          <w:bCs/>
          <w:sz w:val="24"/>
        </w:rPr>
        <w:t>:</w:t>
      </w:r>
      <w:r>
        <w:rPr>
          <w:rFonts w:ascii="Times New Roman" w:hAnsi="Times New Roman"/>
          <w:sz w:val="24"/>
        </w:rPr>
        <w:t xml:space="preserve"> Two</w:t>
      </w:r>
      <w:r w:rsidRPr="006F68E9">
        <w:rPr>
          <w:rFonts w:ascii="Times New Roman" w:hAnsi="Times New Roman"/>
          <w:sz w:val="24"/>
        </w:rPr>
        <w:t xml:space="preserve"> commenter</w:t>
      </w:r>
      <w:r>
        <w:rPr>
          <w:rFonts w:ascii="Times New Roman" w:hAnsi="Times New Roman"/>
          <w:sz w:val="24"/>
        </w:rPr>
        <w:t>s</w:t>
      </w:r>
      <w:r w:rsidRPr="006F68E9">
        <w:rPr>
          <w:rFonts w:ascii="Times New Roman" w:hAnsi="Times New Roman"/>
          <w:sz w:val="24"/>
        </w:rPr>
        <w:t xml:space="preserve"> supported EPA </w:t>
      </w:r>
      <w:r>
        <w:rPr>
          <w:rFonts w:ascii="Times New Roman" w:hAnsi="Times New Roman"/>
          <w:sz w:val="24"/>
        </w:rPr>
        <w:t>maintaining the</w:t>
      </w:r>
      <w:r w:rsidRPr="006F68E9">
        <w:rPr>
          <w:rFonts w:ascii="Times New Roman" w:hAnsi="Times New Roman"/>
          <w:sz w:val="24"/>
        </w:rPr>
        <w:t xml:space="preserve"> proposed independence criteria</w:t>
      </w:r>
      <w:r>
        <w:rPr>
          <w:rFonts w:ascii="Times New Roman" w:hAnsi="Times New Roman"/>
          <w:sz w:val="24"/>
        </w:rPr>
        <w:t xml:space="preserve"> from the 2017 rule</w:t>
      </w:r>
      <w:r w:rsidRPr="006F68E9">
        <w:rPr>
          <w:rFonts w:ascii="Times New Roman" w:hAnsi="Times New Roman"/>
          <w:sz w:val="24"/>
        </w:rPr>
        <w:t xml:space="preserve"> (0216</w:t>
      </w:r>
      <w:r>
        <w:rPr>
          <w:rFonts w:ascii="Times New Roman" w:hAnsi="Times New Roman"/>
          <w:sz w:val="24"/>
        </w:rPr>
        <w:t>, 0173</w:t>
      </w:r>
      <w:r w:rsidRPr="006F68E9">
        <w:rPr>
          <w:rFonts w:ascii="Times New Roman" w:hAnsi="Times New Roman"/>
          <w:sz w:val="24"/>
        </w:rPr>
        <w:t xml:space="preserve">). </w:t>
      </w:r>
    </w:p>
    <w:p w:rsidR="00F41FFB" w:rsidP="00F41FFB" w14:paraId="7D4F4999" w14:textId="77777777">
      <w:pPr>
        <w:ind w:left="720"/>
        <w:rPr>
          <w:rFonts w:ascii="Times New Roman" w:hAnsi="Times New Roman"/>
          <w:sz w:val="24"/>
        </w:rPr>
      </w:pPr>
      <w:r w:rsidRPr="0044230D">
        <w:rPr>
          <w:rFonts w:ascii="Times New Roman" w:hAnsi="Times New Roman"/>
          <w:b/>
          <w:bCs/>
          <w:sz w:val="24"/>
        </w:rPr>
        <w:t>EPA Response:</w:t>
      </w:r>
      <w:r>
        <w:rPr>
          <w:rFonts w:ascii="Times New Roman" w:hAnsi="Times New Roman"/>
          <w:sz w:val="24"/>
        </w:rPr>
        <w:t xml:space="preserve"> </w:t>
      </w:r>
      <w:r w:rsidRPr="0044230D">
        <w:rPr>
          <w:rFonts w:ascii="Times New Roman" w:hAnsi="Times New Roman"/>
          <w:sz w:val="24"/>
        </w:rPr>
        <w:t xml:space="preserve">EPA is finalizing the proposed independence requirements and believes this is an important and necessary aspect of third-party audits. EPA notes that these independence requirements were simplified and streamlined from the 2017 rule, which included a limitation for auditors who conducted consulting type services for the owner or operator within the last two years, or for a period of at least 2 years following the audit report. EPA believes the provision, as adopted, ensures additional available independent auditors to act in an independent and impartial manner, allowing more flexibility in choosing auditors.  </w:t>
      </w:r>
    </w:p>
    <w:p w:rsidR="00F41FFB" w:rsidRPr="00177F0A" w:rsidP="00F41FFB" w14:paraId="65C77329" w14:textId="77777777">
      <w:pPr>
        <w:rPr>
          <w:rFonts w:ascii="Times New Roman" w:hAnsi="Times New Roman"/>
          <w:i/>
          <w:iCs/>
          <w:sz w:val="24"/>
        </w:rPr>
      </w:pPr>
      <w:r w:rsidRPr="00177F0A">
        <w:rPr>
          <w:rFonts w:ascii="Times New Roman" w:hAnsi="Times New Roman"/>
          <w:i/>
          <w:iCs/>
          <w:sz w:val="24"/>
        </w:rPr>
        <w:t xml:space="preserve">Other comments on independence criteria </w:t>
      </w:r>
    </w:p>
    <w:p w:rsidR="00F41FFB" w:rsidP="00F41FFB" w14:paraId="2F99C86F" w14:textId="77777777">
      <w:pPr>
        <w:rPr>
          <w:rFonts w:ascii="Times New Roman" w:hAnsi="Times New Roman"/>
          <w:sz w:val="24"/>
        </w:rPr>
      </w:pPr>
      <w:r w:rsidRPr="0044230D">
        <w:rPr>
          <w:rFonts w:ascii="Times New Roman" w:hAnsi="Times New Roman"/>
          <w:b/>
          <w:bCs/>
          <w:sz w:val="24"/>
        </w:rPr>
        <w:t>Comment</w:t>
      </w:r>
      <w:r>
        <w:rPr>
          <w:rFonts w:ascii="Times New Roman" w:hAnsi="Times New Roman"/>
          <w:b/>
          <w:bCs/>
          <w:sz w:val="24"/>
        </w:rPr>
        <w:t xml:space="preserve"> 8.2-03</w:t>
      </w:r>
      <w:r w:rsidRPr="0044230D">
        <w:rPr>
          <w:rFonts w:ascii="Times New Roman" w:hAnsi="Times New Roman"/>
          <w:b/>
          <w:bCs/>
          <w:sz w:val="24"/>
        </w:rPr>
        <w:t>:</w:t>
      </w:r>
      <w:r>
        <w:rPr>
          <w:rFonts w:ascii="Times New Roman" w:hAnsi="Times New Roman"/>
          <w:sz w:val="24"/>
        </w:rPr>
        <w:t xml:space="preserve"> Many other commenters addressed independence criteria without specifically addressing EPA’s proposed requirements.</w:t>
      </w:r>
    </w:p>
    <w:p w:rsidR="00F41FFB" w:rsidRPr="006F68E9" w:rsidP="00F41FFB" w14:paraId="39AB0A50" w14:textId="77777777">
      <w:pPr>
        <w:rPr>
          <w:rFonts w:ascii="Times New Roman" w:hAnsi="Times New Roman"/>
          <w:b/>
          <w:bCs/>
          <w:sz w:val="24"/>
        </w:rPr>
      </w:pPr>
      <w:r w:rsidRPr="006F68E9">
        <w:rPr>
          <w:rFonts w:ascii="Times New Roman" w:hAnsi="Times New Roman"/>
          <w:sz w:val="24"/>
        </w:rPr>
        <w:t>One commenter recommended that if the proposed criteria is accepted, EPA should provide a regulatory process if there are inadequate numbers of competent, independent, and impartial third-party auditors to complete an audit in the regulatory timelines (0224).</w:t>
      </w:r>
    </w:p>
    <w:p w:rsidR="00F41FFB" w:rsidP="00F41FFB" w14:paraId="71B77D8B" w14:textId="77777777">
      <w:pPr>
        <w:rPr>
          <w:rFonts w:ascii="Times New Roman" w:hAnsi="Times New Roman"/>
          <w:sz w:val="24"/>
        </w:rPr>
      </w:pPr>
      <w:r w:rsidRPr="6D3F9CC5">
        <w:rPr>
          <w:rFonts w:ascii="Times New Roman" w:hAnsi="Times New Roman"/>
          <w:sz w:val="24"/>
        </w:rPr>
        <w:t xml:space="preserve">Another commenter recommended that if the requirements are included in the </w:t>
      </w:r>
      <w:r>
        <w:rPr>
          <w:rFonts w:ascii="Times New Roman" w:hAnsi="Times New Roman"/>
          <w:sz w:val="24"/>
        </w:rPr>
        <w:t>f</w:t>
      </w:r>
      <w:r w:rsidRPr="6D3F9CC5">
        <w:rPr>
          <w:rFonts w:ascii="Times New Roman" w:hAnsi="Times New Roman"/>
          <w:sz w:val="24"/>
        </w:rPr>
        <w:t xml:space="preserve">inal </w:t>
      </w:r>
      <w:r>
        <w:rPr>
          <w:rFonts w:ascii="Times New Roman" w:hAnsi="Times New Roman"/>
          <w:sz w:val="24"/>
        </w:rPr>
        <w:t>r</w:t>
      </w:r>
      <w:r w:rsidRPr="6D3F9CC5">
        <w:rPr>
          <w:rFonts w:ascii="Times New Roman" w:hAnsi="Times New Roman"/>
          <w:sz w:val="24"/>
        </w:rPr>
        <w:t xml:space="preserve">ule, EPA should revise the restrictive eligibility criteria for auditors. The commenter noted that the record of past history of auditor use or dictating who can be party to a decision process, should be included especially since EPA retains the right to inspect any incident investigation regardless of who performs the review (0239). </w:t>
      </w:r>
    </w:p>
    <w:p w:rsidR="00F41FFB" w:rsidP="00F41FFB" w14:paraId="27583F93" w14:textId="77777777">
      <w:pPr>
        <w:rPr>
          <w:rFonts w:ascii="Times New Roman" w:hAnsi="Times New Roman"/>
          <w:sz w:val="24"/>
        </w:rPr>
      </w:pPr>
      <w:r w:rsidRPr="006F68E9">
        <w:rPr>
          <w:rFonts w:ascii="Times New Roman" w:hAnsi="Times New Roman"/>
          <w:sz w:val="24"/>
        </w:rPr>
        <w:t xml:space="preserve">One commenter recommended that EPA formally delineate in the regulation the degree of independence between third-party auditors and the audited facility (0224). </w:t>
      </w:r>
    </w:p>
    <w:p w:rsidR="00F41FFB" w:rsidP="00F41FFB" w14:paraId="7F8BAA76" w14:textId="77777777">
      <w:pPr>
        <w:rPr>
          <w:rFonts w:ascii="Times New Roman" w:hAnsi="Times New Roman"/>
          <w:sz w:val="24"/>
        </w:rPr>
      </w:pPr>
      <w:r w:rsidRPr="006F68E9">
        <w:rPr>
          <w:rFonts w:ascii="Times New Roman" w:hAnsi="Times New Roman"/>
          <w:sz w:val="24"/>
        </w:rPr>
        <w:t xml:space="preserve">A couple of commenters suggested that the independence requirements may conflict with federal and state employment laws, as they limit employment opportunities. The commenters proposed that EPA evaluate this issue fully before moving forward with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including consulting with the U.S. Department of Labor, as well as other federal and state agencies (0229, 0232).</w:t>
      </w:r>
    </w:p>
    <w:p w:rsidR="00F41FFB" w:rsidRPr="006F68E9" w:rsidP="00F41FFB" w14:paraId="2C177CAF" w14:textId="77777777">
      <w:pPr>
        <w:rPr>
          <w:rFonts w:ascii="Times New Roman" w:hAnsi="Times New Roman"/>
          <w:sz w:val="24"/>
        </w:rPr>
      </w:pPr>
      <w:r w:rsidRPr="006F68E9">
        <w:rPr>
          <w:rFonts w:ascii="Times New Roman" w:hAnsi="Times New Roman"/>
          <w:sz w:val="24"/>
        </w:rPr>
        <w:t>A couple of commenters suggested that if these requirements are adopted, EPA should clarify that the two-year ban on future employment would not preclude provision of independent consultation services unrelated to the audit (0233, 0268).</w:t>
      </w:r>
    </w:p>
    <w:p w:rsidR="00F41FFB" w:rsidRPr="006F68E9" w:rsidP="00F41FFB" w14:paraId="1C171D51" w14:textId="77777777">
      <w:pPr>
        <w:rPr>
          <w:rFonts w:ascii="Times New Roman" w:hAnsi="Times New Roman"/>
          <w:sz w:val="24"/>
        </w:rPr>
      </w:pPr>
      <w:r w:rsidRPr="006F68E9">
        <w:rPr>
          <w:rFonts w:ascii="Times New Roman" w:hAnsi="Times New Roman"/>
          <w:sz w:val="24"/>
        </w:rPr>
        <w:t xml:space="preserve">One commenter suggested that if EPA adopts this two-year employment ban in the Final Rule, the language in </w:t>
      </w:r>
      <w:r>
        <w:rPr>
          <w:rFonts w:ascii="Times New Roman" w:hAnsi="Times New Roman"/>
          <w:sz w:val="24"/>
        </w:rPr>
        <w:t>40 CFR</w:t>
      </w:r>
      <w:r w:rsidRPr="006F68E9">
        <w:rPr>
          <w:rFonts w:ascii="Times New Roman" w:hAnsi="Times New Roman"/>
          <w:sz w:val="24"/>
        </w:rPr>
        <w:t xml:space="preserve"> 68.59(c)(2)(iv) and </w:t>
      </w:r>
      <w:r>
        <w:rPr>
          <w:rFonts w:ascii="Times New Roman" w:hAnsi="Times New Roman"/>
          <w:sz w:val="24"/>
        </w:rPr>
        <w:t>40 CFR</w:t>
      </w:r>
      <w:r w:rsidRPr="006F68E9">
        <w:rPr>
          <w:rFonts w:ascii="Times New Roman" w:hAnsi="Times New Roman"/>
          <w:sz w:val="24"/>
        </w:rPr>
        <w:t xml:space="preserve"> 68.80(c)(2)(iv) should be modified to apply the ban to the stationary source where the audit was conducted, not to other sources owned or operated by the same company (0229). </w:t>
      </w:r>
    </w:p>
    <w:p w:rsidR="00F41FFB" w:rsidRPr="006F68E9" w:rsidP="00F41FFB" w14:paraId="3DCC7ACD" w14:textId="77777777">
      <w:pPr>
        <w:rPr>
          <w:rFonts w:ascii="Times New Roman" w:hAnsi="Times New Roman"/>
          <w:sz w:val="24"/>
        </w:rPr>
      </w:pPr>
      <w:r w:rsidRPr="006F68E9">
        <w:rPr>
          <w:rFonts w:ascii="Times New Roman" w:hAnsi="Times New Roman"/>
          <w:sz w:val="24"/>
        </w:rPr>
        <w:t>One commenter expressed opposition that this</w:t>
      </w:r>
      <w:r>
        <w:rPr>
          <w:rFonts w:ascii="Times New Roman" w:hAnsi="Times New Roman"/>
          <w:sz w:val="24"/>
        </w:rPr>
        <w:t xml:space="preserve"> [employment criteria]</w:t>
      </w:r>
      <w:r w:rsidRPr="006F68E9">
        <w:rPr>
          <w:rFonts w:ascii="Times New Roman" w:hAnsi="Times New Roman"/>
          <w:sz w:val="24"/>
        </w:rPr>
        <w:t xml:space="preserve"> would apply to retired employees who would otherwise meet independence criteria (0228).</w:t>
      </w:r>
    </w:p>
    <w:p w:rsidR="00F41FFB" w:rsidRPr="006F68E9" w:rsidP="00F41FFB" w14:paraId="688FE429" w14:textId="49EF0FD8">
      <w:pPr>
        <w:ind w:left="720"/>
        <w:rPr>
          <w:rFonts w:ascii="Times New Roman" w:hAnsi="Times New Roman"/>
          <w:sz w:val="24"/>
        </w:rPr>
      </w:pPr>
      <w:r w:rsidRPr="0044230D">
        <w:rPr>
          <w:rFonts w:ascii="Times New Roman" w:hAnsi="Times New Roman"/>
          <w:b/>
          <w:bCs/>
          <w:sz w:val="24"/>
        </w:rPr>
        <w:t>EPA Response:</w:t>
      </w:r>
      <w:r>
        <w:rPr>
          <w:rFonts w:ascii="Times New Roman" w:hAnsi="Times New Roman"/>
          <w:b/>
          <w:bCs/>
          <w:sz w:val="24"/>
        </w:rPr>
        <w:t xml:space="preserve"> </w:t>
      </w:r>
      <w:r w:rsidRPr="002E405A">
        <w:rPr>
          <w:rFonts w:ascii="Times New Roman" w:hAnsi="Times New Roman"/>
          <w:sz w:val="24"/>
        </w:rPr>
        <w:t xml:space="preserve">Many of the comments </w:t>
      </w:r>
      <w:r w:rsidR="00367B68">
        <w:rPr>
          <w:rFonts w:ascii="Times New Roman" w:hAnsi="Times New Roman"/>
          <w:sz w:val="24"/>
        </w:rPr>
        <w:t xml:space="preserve">EPA </w:t>
      </w:r>
      <w:r w:rsidRPr="002E405A">
        <w:rPr>
          <w:rFonts w:ascii="Times New Roman" w:hAnsi="Times New Roman"/>
          <w:sz w:val="24"/>
        </w:rPr>
        <w:t xml:space="preserve">received regarding independence requirements did not address the change, which removed </w:t>
      </w:r>
      <w:r w:rsidR="000A5694">
        <w:rPr>
          <w:rFonts w:ascii="Times New Roman" w:hAnsi="Times New Roman"/>
          <w:sz w:val="24"/>
        </w:rPr>
        <w:t>the</w:t>
      </w:r>
      <w:r w:rsidRPr="000A5694" w:rsidR="000A5694">
        <w:rPr>
          <w:rFonts w:ascii="Times New Roman" w:hAnsi="Times New Roman"/>
          <w:sz w:val="24"/>
        </w:rPr>
        <w:t xml:space="preserve"> limitation for auditors who conducted consulting type services for the owner or operator within the last</w:t>
      </w:r>
      <w:r w:rsidRPr="002E405A">
        <w:rPr>
          <w:rFonts w:ascii="Times New Roman" w:hAnsi="Times New Roman"/>
          <w:sz w:val="24"/>
        </w:rPr>
        <w:t xml:space="preserve"> two </w:t>
      </w:r>
      <w:r w:rsidRPr="000A5694" w:rsidR="000A5694">
        <w:rPr>
          <w:rFonts w:ascii="Times New Roman" w:hAnsi="Times New Roman"/>
          <w:sz w:val="24"/>
        </w:rPr>
        <w:t>years, or for a period of at least 2 years following the audit report.</w:t>
      </w:r>
      <w:r w:rsidRPr="002E405A">
        <w:rPr>
          <w:rFonts w:ascii="Times New Roman" w:hAnsi="Times New Roman"/>
          <w:sz w:val="24"/>
        </w:rPr>
        <w:t xml:space="preserve"> As with the 2017 amendments rule, EPA has received comments generally in support of the proposed independence requirements, and some generally opposed to the independence requirements. Such general comments were previously addressed by EPA during the 2017 rulemaking.</w:t>
      </w:r>
      <w:r>
        <w:rPr>
          <w:rFonts w:ascii="Times New Roman" w:hAnsi="Times New Roman"/>
          <w:sz w:val="24"/>
          <w:vertAlign w:val="superscript"/>
        </w:rPr>
        <w:footnoteReference w:id="138"/>
      </w:r>
    </w:p>
    <w:p w:rsidR="00F41FFB" w:rsidRPr="00981F05" w:rsidP="00F41FFB" w14:paraId="7330E2FD" w14:textId="77777777">
      <w:pPr>
        <w:rPr>
          <w:rFonts w:ascii="Times New Roman" w:hAnsi="Times New Roman"/>
          <w:i/>
          <w:iCs/>
          <w:sz w:val="24"/>
        </w:rPr>
      </w:pPr>
      <w:r w:rsidRPr="00981F05">
        <w:rPr>
          <w:rFonts w:ascii="Times New Roman" w:hAnsi="Times New Roman"/>
          <w:i/>
          <w:iCs/>
          <w:sz w:val="24"/>
        </w:rPr>
        <w:t xml:space="preserve">Employee </w:t>
      </w:r>
      <w:r>
        <w:rPr>
          <w:rFonts w:ascii="Times New Roman" w:hAnsi="Times New Roman"/>
          <w:i/>
          <w:iCs/>
          <w:sz w:val="24"/>
        </w:rPr>
        <w:t>p</w:t>
      </w:r>
      <w:r w:rsidRPr="00981F05">
        <w:rPr>
          <w:rFonts w:ascii="Times New Roman" w:hAnsi="Times New Roman"/>
          <w:i/>
          <w:iCs/>
          <w:sz w:val="24"/>
        </w:rPr>
        <w:t xml:space="preserve">articipation </w:t>
      </w:r>
    </w:p>
    <w:p w:rsidR="00F41FFB" w:rsidP="00F41FFB" w14:paraId="35810BE8" w14:textId="77777777">
      <w:pPr>
        <w:rPr>
          <w:rFonts w:ascii="Times New Roman" w:hAnsi="Times New Roman"/>
          <w:sz w:val="24"/>
        </w:rPr>
      </w:pPr>
      <w:r w:rsidRPr="000B6D37">
        <w:rPr>
          <w:rFonts w:ascii="Times New Roman" w:hAnsi="Times New Roman"/>
          <w:b/>
          <w:bCs/>
          <w:sz w:val="24"/>
        </w:rPr>
        <w:t>Comment</w:t>
      </w:r>
      <w:r>
        <w:rPr>
          <w:rFonts w:ascii="Times New Roman" w:hAnsi="Times New Roman"/>
          <w:b/>
          <w:bCs/>
          <w:sz w:val="24"/>
        </w:rPr>
        <w:t xml:space="preserve"> 8.2-04</w:t>
      </w:r>
      <w:r w:rsidRPr="000B6D37">
        <w:rPr>
          <w:rFonts w:ascii="Times New Roman" w:hAnsi="Times New Roman"/>
          <w:b/>
          <w:bCs/>
          <w:sz w:val="24"/>
        </w:rPr>
        <w:t>:</w:t>
      </w:r>
      <w:r>
        <w:rPr>
          <w:rFonts w:ascii="Times New Roman" w:hAnsi="Times New Roman"/>
          <w:sz w:val="24"/>
        </w:rPr>
        <w:t xml:space="preserve"> </w:t>
      </w:r>
      <w:r w:rsidRPr="6DEDE51E">
        <w:rPr>
          <w:rFonts w:ascii="Times New Roman" w:hAnsi="Times New Roman"/>
          <w:sz w:val="24"/>
        </w:rPr>
        <w:t xml:space="preserve">Several commenters supported employee participation provisions (0173, 0183, 0203, 0241). One of the commenters suggested that employees be directly involved in the third-party audit outside of the presence of their immediate supervisor (0241). Another commenter recommended that employees participate to ask questions of the auditor (0173). One commenter supported </w:t>
      </w:r>
      <w:r>
        <w:rPr>
          <w:rFonts w:ascii="Times New Roman" w:hAnsi="Times New Roman"/>
          <w:sz w:val="24"/>
        </w:rPr>
        <w:t>including</w:t>
      </w:r>
      <w:r w:rsidRPr="6DEDE51E">
        <w:rPr>
          <w:rFonts w:ascii="Times New Roman" w:hAnsi="Times New Roman"/>
          <w:sz w:val="24"/>
        </w:rPr>
        <w:t xml:space="preserve"> employee participation provisions in the proposed rule and stated that </w:t>
      </w:r>
      <w:r>
        <w:rPr>
          <w:rFonts w:ascii="Times New Roman" w:hAnsi="Times New Roman"/>
          <w:sz w:val="24"/>
        </w:rPr>
        <w:t>they</w:t>
      </w:r>
      <w:r w:rsidRPr="6DEDE51E">
        <w:rPr>
          <w:rFonts w:ascii="Times New Roman" w:hAnsi="Times New Roman"/>
          <w:sz w:val="24"/>
        </w:rPr>
        <w:t xml:space="preserve"> should apply to all facilities (0183). </w:t>
      </w:r>
    </w:p>
    <w:p w:rsidR="00F41FFB" w:rsidP="00F41FFB" w14:paraId="32B290D5" w14:textId="77777777">
      <w:pPr>
        <w:rPr>
          <w:rFonts w:ascii="Times New Roman" w:hAnsi="Times New Roman"/>
          <w:sz w:val="24"/>
        </w:rPr>
      </w:pPr>
      <w:r w:rsidRPr="006F68E9">
        <w:rPr>
          <w:rFonts w:ascii="Times New Roman" w:hAnsi="Times New Roman"/>
          <w:sz w:val="24"/>
        </w:rPr>
        <w:t>Several commenters provided suggestions regarding employee participation</w:t>
      </w:r>
      <w:r>
        <w:rPr>
          <w:rFonts w:ascii="Times New Roman" w:hAnsi="Times New Roman"/>
          <w:sz w:val="24"/>
        </w:rPr>
        <w:t xml:space="preserve"> for </w:t>
      </w:r>
      <w:r w:rsidRPr="006F68E9">
        <w:rPr>
          <w:rFonts w:ascii="Times New Roman" w:hAnsi="Times New Roman"/>
          <w:sz w:val="24"/>
        </w:rPr>
        <w:t xml:space="preserve">third-party audits (0173, 0193, 0230, 0242, 0267, 0268). One of the commenters noted inconsistencies with the language, </w:t>
      </w:r>
      <w:r>
        <w:rPr>
          <w:rFonts w:ascii="Times New Roman" w:hAnsi="Times New Roman"/>
          <w:sz w:val="24"/>
        </w:rPr>
        <w:t>stating that 40 CFR</w:t>
      </w:r>
      <w:r w:rsidRPr="006F68E9">
        <w:rPr>
          <w:rFonts w:ascii="Times New Roman" w:hAnsi="Times New Roman"/>
          <w:sz w:val="24"/>
        </w:rPr>
        <w:t xml:space="preserve"> 68.80(b)(2)(ii) permits members of an audit team to include facility personnel, but </w:t>
      </w:r>
      <w:r>
        <w:rPr>
          <w:rFonts w:ascii="Times New Roman" w:hAnsi="Times New Roman"/>
          <w:sz w:val="24"/>
        </w:rPr>
        <w:t>40 CFR</w:t>
      </w:r>
      <w:r w:rsidRPr="006F68E9">
        <w:rPr>
          <w:rFonts w:ascii="Times New Roman" w:hAnsi="Times New Roman"/>
          <w:sz w:val="24"/>
        </w:rPr>
        <w:t xml:space="preserve"> 68.80(c)(2)(iv) seems to prohibit employee participation when referring to “all third-party personnel” (0193).</w:t>
      </w:r>
    </w:p>
    <w:p w:rsidR="00F41FFB" w:rsidP="00F41FFB" w14:paraId="076B1526" w14:textId="77777777">
      <w:pPr>
        <w:ind w:left="720"/>
        <w:rPr>
          <w:rFonts w:ascii="Times New Roman" w:hAnsi="Times New Roman"/>
          <w:sz w:val="24"/>
        </w:rPr>
      </w:pPr>
      <w:r w:rsidRPr="0016467E">
        <w:rPr>
          <w:rFonts w:ascii="Times New Roman" w:eastAsia="Times New Roman" w:hAnsi="Times New Roman"/>
          <w:b/>
          <w:color w:val="000000" w:themeColor="text1"/>
          <w:sz w:val="24"/>
        </w:rPr>
        <w:t>EPA Response</w:t>
      </w:r>
      <w:r w:rsidRPr="0016467E">
        <w:rPr>
          <w:rFonts w:ascii="Times New Roman" w:eastAsia="Times New Roman" w:hAnsi="Times New Roman"/>
          <w:b/>
          <w:bCs/>
          <w:color w:val="000000" w:themeColor="text1"/>
          <w:sz w:val="24"/>
        </w:rPr>
        <w:t xml:space="preserve">: </w:t>
      </w:r>
      <w:r w:rsidRPr="0016467E">
        <w:rPr>
          <w:rFonts w:ascii="Times New Roman" w:hAnsi="Times New Roman"/>
          <w:sz w:val="24"/>
        </w:rPr>
        <w:t>While EPA encourages sources to include employee participation during third-party audits, EPA is not finalizing a provision that would require employee participation in third-party audits at this time. The Agency expects the enhancements to employee participation required by this rule will motivate owners and operators to recognize the benefit of involving their employees and their representatives in all aspects of the process safety management at their facility.</w:t>
      </w:r>
    </w:p>
    <w:p w:rsidR="00F41FFB" w:rsidRPr="006F68E9" w:rsidP="00F41FFB" w14:paraId="3216F725" w14:textId="77777777">
      <w:pPr>
        <w:rPr>
          <w:rFonts w:ascii="Times New Roman" w:hAnsi="Times New Roman"/>
          <w:sz w:val="24"/>
        </w:rPr>
      </w:pPr>
      <w:r w:rsidRPr="000B6D37">
        <w:rPr>
          <w:rFonts w:ascii="Times New Roman" w:hAnsi="Times New Roman"/>
          <w:b/>
          <w:bCs/>
          <w:sz w:val="24"/>
        </w:rPr>
        <w:t>Comment</w:t>
      </w:r>
      <w:r>
        <w:rPr>
          <w:rFonts w:ascii="Times New Roman" w:hAnsi="Times New Roman"/>
          <w:b/>
          <w:bCs/>
          <w:sz w:val="24"/>
        </w:rPr>
        <w:t xml:space="preserve"> 8.2-05</w:t>
      </w:r>
      <w:r w:rsidRPr="000B6D37">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Several commenters expressed opposition to a requirement that the selected auditor be mutually approved by the owner/operator, employees, and employee representatives (0173, 0262</w:t>
      </w:r>
      <w:r w:rsidRPr="50B04357">
        <w:rPr>
          <w:rFonts w:ascii="Times New Roman" w:hAnsi="Times New Roman"/>
          <w:sz w:val="24"/>
        </w:rPr>
        <w:t>). One</w:t>
      </w:r>
      <w:r w:rsidRPr="6D3F9CC5">
        <w:rPr>
          <w:rFonts w:ascii="Times New Roman" w:hAnsi="Times New Roman"/>
          <w:sz w:val="24"/>
        </w:rPr>
        <w:t xml:space="preserve"> commenter not</w:t>
      </w:r>
      <w:r>
        <w:rPr>
          <w:rFonts w:ascii="Times New Roman" w:hAnsi="Times New Roman"/>
          <w:sz w:val="24"/>
        </w:rPr>
        <w:t>ed</w:t>
      </w:r>
      <w:r w:rsidRPr="6D3F9CC5">
        <w:rPr>
          <w:rFonts w:ascii="Times New Roman" w:hAnsi="Times New Roman"/>
          <w:sz w:val="24"/>
        </w:rPr>
        <w:t xml:space="preserve"> this requirement would increase the time needed to vet and approve auditors, causing unnecessary delays (0262). Another commenter noted that some public sector entities must follow stringent procurement rules and may not be able to deny hiring a qualified firm because employees or their representatives do not approve (0173). </w:t>
      </w:r>
      <w:r w:rsidRPr="3703B6C7">
        <w:rPr>
          <w:rFonts w:ascii="Times New Roman" w:hAnsi="Times New Roman"/>
          <w:sz w:val="24"/>
        </w:rPr>
        <w:t>Another commenter suggested that the auditor be selected by facility management and that bringing unknowledgeable employees into the decision making process would be burdensome and will not improve compliance (0242).</w:t>
      </w:r>
    </w:p>
    <w:p w:rsidR="00F41FFB" w:rsidP="00F41FFB" w14:paraId="361423F4" w14:textId="77777777">
      <w:pPr>
        <w:rPr>
          <w:rFonts w:ascii="Times New Roman" w:hAnsi="Times New Roman"/>
          <w:sz w:val="24"/>
        </w:rPr>
      </w:pPr>
      <w:r w:rsidRPr="6D3F9CC5">
        <w:rPr>
          <w:rFonts w:ascii="Times New Roman" w:hAnsi="Times New Roman"/>
          <w:sz w:val="24"/>
        </w:rPr>
        <w:t xml:space="preserve">One commenter suggested that it is unnecessary to include a requirement for employee involvement specifically in the resolution of audit recommendations (0267). </w:t>
      </w:r>
    </w:p>
    <w:p w:rsidR="00F41FFB" w:rsidRPr="005E4CC8" w:rsidP="00F41FFB" w14:paraId="3DB4157E" w14:textId="77777777">
      <w:pPr>
        <w:ind w:left="720"/>
        <w:rPr>
          <w:rFonts w:ascii="Times New Roman" w:hAnsi="Times New Roman"/>
          <w:sz w:val="24"/>
        </w:rPr>
      </w:pPr>
      <w:r w:rsidRPr="0016467E">
        <w:rPr>
          <w:rFonts w:ascii="Times New Roman" w:eastAsia="Times New Roman" w:hAnsi="Times New Roman"/>
          <w:b/>
          <w:color w:val="000000" w:themeColor="text1"/>
          <w:sz w:val="24"/>
        </w:rPr>
        <w:t>EPA Response</w:t>
      </w:r>
      <w:r w:rsidRPr="0016467E">
        <w:rPr>
          <w:rFonts w:ascii="Times New Roman" w:eastAsia="Times New Roman" w:hAnsi="Times New Roman"/>
          <w:b/>
          <w:bCs/>
          <w:color w:val="000000" w:themeColor="text1"/>
          <w:sz w:val="24"/>
        </w:rPr>
        <w:t xml:space="preserve">: </w:t>
      </w:r>
      <w:r w:rsidRPr="0016467E">
        <w:rPr>
          <w:rFonts w:ascii="Times New Roman" w:hAnsi="Times New Roman"/>
          <w:sz w:val="24"/>
        </w:rPr>
        <w:t>While EPA encourages sources to include employee participation during third-party audits, EPA is not finalizing a provision that would require employee participation in third-party audits at this time. The Agency expects the enhancements to employee participation required by this rule will motivate owners and operators to recognize the benefit of involving their employees and their representatives in all aspects of the process safety management at their facility.</w:t>
      </w:r>
    </w:p>
    <w:p w:rsidR="00F41FFB" w:rsidP="005417D5" w14:paraId="40A9520C" w14:textId="77777777">
      <w:pPr>
        <w:pStyle w:val="Heading2"/>
        <w:spacing w:before="120"/>
        <w:rPr>
          <w:rFonts w:ascii="Times New Roman" w:hAnsi="Times New Roman" w:cs="Times New Roman"/>
          <w:b/>
          <w:bCs/>
          <w:color w:val="auto"/>
          <w:sz w:val="24"/>
          <w:szCs w:val="24"/>
        </w:rPr>
      </w:pPr>
      <w:bookmarkStart w:id="112" w:name="_Toc146880020"/>
      <w:bookmarkStart w:id="113" w:name="_Toc153373808"/>
      <w:r w:rsidRPr="6D3F9CC5">
        <w:rPr>
          <w:rFonts w:ascii="Times New Roman" w:hAnsi="Times New Roman" w:cs="Times New Roman"/>
          <w:b/>
          <w:bCs/>
          <w:color w:val="auto"/>
          <w:sz w:val="24"/>
          <w:szCs w:val="24"/>
        </w:rPr>
        <w:t>Declined findings format</w:t>
      </w:r>
      <w:bookmarkEnd w:id="112"/>
      <w:bookmarkEnd w:id="113"/>
    </w:p>
    <w:p w:rsidR="00F41FFB" w:rsidRPr="00AA5C4B" w:rsidP="00F41FFB" w14:paraId="3ABD76F1" w14:textId="77777777">
      <w:pPr>
        <w:rPr>
          <w:rFonts w:ascii="Times New Roman" w:hAnsi="Times New Roman"/>
          <w:i/>
          <w:iCs/>
          <w:sz w:val="24"/>
        </w:rPr>
      </w:pPr>
      <w:r w:rsidRPr="00AA5C4B">
        <w:rPr>
          <w:rFonts w:ascii="Times New Roman" w:hAnsi="Times New Roman"/>
          <w:i/>
          <w:iCs/>
          <w:sz w:val="24"/>
        </w:rPr>
        <w:t>Comments about inclusion of declined findings in narrative form</w:t>
      </w:r>
    </w:p>
    <w:p w:rsidR="00F41FFB" w:rsidP="00F41FFB" w14:paraId="1188DA90" w14:textId="77777777">
      <w:pPr>
        <w:rPr>
          <w:rFonts w:ascii="Times New Roman" w:hAnsi="Times New Roman"/>
          <w:sz w:val="24"/>
        </w:rPr>
      </w:pPr>
      <w:r>
        <w:rPr>
          <w:rFonts w:ascii="Times New Roman" w:hAnsi="Times New Roman"/>
          <w:b/>
          <w:bCs/>
          <w:sz w:val="24"/>
        </w:rPr>
        <w:t xml:space="preserve">Comment 8.3-01: </w:t>
      </w:r>
      <w:r w:rsidRPr="3673D49C">
        <w:rPr>
          <w:rFonts w:ascii="Times New Roman" w:hAnsi="Times New Roman"/>
          <w:sz w:val="24"/>
        </w:rPr>
        <w:t xml:space="preserve">Several commenters expressed opposition to requiring facilities to provide declined findings in narrative form in the RMP (0173, 0180, 0181, 0196, 0205, 0217, 0223, 0226, 0229, 0230, 0232, 0233, 0234, 0238, 0239, 0262, 0267, 0275, 0458). Several commenters noted that this requirement would be overly burdensome (0180, 0205, 0217, 0226, 0228, 0229, 0230, 0232, 0233, 0238, 0458). </w:t>
      </w:r>
    </w:p>
    <w:p w:rsidR="00F41FFB" w:rsidP="00F41FFB" w14:paraId="4A358614" w14:textId="77777777">
      <w:pPr>
        <w:rPr>
          <w:rFonts w:ascii="Times New Roman" w:hAnsi="Times New Roman"/>
          <w:sz w:val="24"/>
        </w:rPr>
      </w:pPr>
      <w:r w:rsidRPr="6D3F9CC5">
        <w:rPr>
          <w:rFonts w:ascii="Times New Roman" w:hAnsi="Times New Roman"/>
          <w:sz w:val="24"/>
        </w:rPr>
        <w:t>One commenter supported requiring declined findings to be included in narrative form,</w:t>
      </w:r>
      <w:r>
        <w:rPr>
          <w:rFonts w:ascii="Times New Roman" w:hAnsi="Times New Roman"/>
          <w:sz w:val="24"/>
        </w:rPr>
        <w:t xml:space="preserve"> stating that</w:t>
      </w:r>
      <w:r w:rsidRPr="6D3F9CC5">
        <w:rPr>
          <w:rFonts w:ascii="Times New Roman" w:hAnsi="Times New Roman"/>
          <w:sz w:val="24"/>
        </w:rPr>
        <w:t xml:space="preserve"> more detailed information on the recommendations and decisions are needed to ensure that a facility does not </w:t>
      </w:r>
      <w:r w:rsidRPr="50B04357">
        <w:rPr>
          <w:rFonts w:ascii="Times New Roman" w:hAnsi="Times New Roman"/>
          <w:sz w:val="24"/>
        </w:rPr>
        <w:t>avoid implementing</w:t>
      </w:r>
      <w:r>
        <w:rPr>
          <w:rFonts w:ascii="Times New Roman" w:hAnsi="Times New Roman"/>
          <w:sz w:val="24"/>
        </w:rPr>
        <w:t xml:space="preserve"> </w:t>
      </w:r>
      <w:r w:rsidRPr="6D3F9CC5">
        <w:rPr>
          <w:rFonts w:ascii="Times New Roman" w:hAnsi="Times New Roman"/>
          <w:sz w:val="24"/>
        </w:rPr>
        <w:t xml:space="preserve">necessary or practical recommendations (0460). </w:t>
      </w:r>
      <w:r w:rsidRPr="08A59E8E">
        <w:rPr>
          <w:rFonts w:ascii="Times New Roman" w:hAnsi="Times New Roman"/>
          <w:sz w:val="24"/>
        </w:rPr>
        <w:t>Another commenter noted that the suggested categories would fall short of capturing the reasons to decline an audit recommendation, such as a recommendation is impractical or ineffective (0215).</w:t>
      </w:r>
    </w:p>
    <w:p w:rsidR="00F41FFB" w:rsidRPr="00174741" w:rsidP="00F41FFB" w14:paraId="026576D9" w14:textId="26E6F24D">
      <w:pPr>
        <w:tabs>
          <w:tab w:val="left" w:pos="720"/>
        </w:tabs>
        <w:ind w:left="720"/>
        <w:rPr>
          <w:rFonts w:ascii="Times New Roman" w:hAnsi="Times New Roman"/>
          <w:b/>
          <w:bCs/>
          <w:i/>
          <w:iCs/>
          <w:sz w:val="24"/>
        </w:rPr>
      </w:pPr>
      <w:r w:rsidRPr="00AA5C4B">
        <w:rPr>
          <w:rFonts w:ascii="Times New Roman" w:hAnsi="Times New Roman"/>
          <w:b/>
          <w:bCs/>
          <w:sz w:val="24"/>
        </w:rPr>
        <w:t>EPA Response:</w:t>
      </w:r>
      <w:r>
        <w:rPr>
          <w:rFonts w:ascii="Times New Roman" w:hAnsi="Times New Roman"/>
          <w:sz w:val="24"/>
        </w:rPr>
        <w:t xml:space="preserve"> </w:t>
      </w:r>
      <w:r w:rsidRPr="00D84F57">
        <w:rPr>
          <w:rFonts w:ascii="Times New Roman" w:hAnsi="Times New Roman"/>
          <w:sz w:val="24"/>
          <w:szCs w:val="28"/>
        </w:rPr>
        <w:t xml:space="preserve">In the final rule, </w:t>
      </w:r>
      <w:r w:rsidR="00E57F82">
        <w:rPr>
          <w:rFonts w:ascii="Times New Roman" w:hAnsi="Times New Roman"/>
          <w:sz w:val="24"/>
          <w:szCs w:val="28"/>
        </w:rPr>
        <w:t xml:space="preserve">when a facility declines </w:t>
      </w:r>
      <w:r w:rsidR="00942711">
        <w:rPr>
          <w:rFonts w:ascii="Times New Roman" w:hAnsi="Times New Roman"/>
          <w:sz w:val="24"/>
          <w:szCs w:val="28"/>
        </w:rPr>
        <w:t>findings</w:t>
      </w:r>
      <w:r w:rsidR="00E57F82">
        <w:rPr>
          <w:rFonts w:ascii="Times New Roman" w:hAnsi="Times New Roman"/>
          <w:sz w:val="24"/>
          <w:szCs w:val="28"/>
        </w:rPr>
        <w:t xml:space="preserve"> from the</w:t>
      </w:r>
      <w:r w:rsidR="00942711">
        <w:rPr>
          <w:rFonts w:ascii="Times New Roman" w:hAnsi="Times New Roman"/>
          <w:sz w:val="24"/>
          <w:szCs w:val="28"/>
        </w:rPr>
        <w:t>ir</w:t>
      </w:r>
      <w:r w:rsidR="00E57F82">
        <w:rPr>
          <w:rFonts w:ascii="Times New Roman" w:hAnsi="Times New Roman"/>
          <w:sz w:val="24"/>
          <w:szCs w:val="28"/>
        </w:rPr>
        <w:t xml:space="preserve"> third-party audit, </w:t>
      </w:r>
      <w:r w:rsidRPr="00D84F57">
        <w:rPr>
          <w:rFonts w:ascii="Times New Roman" w:hAnsi="Times New Roman"/>
          <w:sz w:val="24"/>
          <w:szCs w:val="28"/>
        </w:rPr>
        <w:t xml:space="preserve">EPA is requiring facilities to choose from categories, similar to those in OSHA’s </w:t>
      </w:r>
      <w:r w:rsidRPr="00D84F57" w:rsidR="00725CE6">
        <w:rPr>
          <w:rFonts w:ascii="Times New Roman" w:hAnsi="Times New Roman"/>
          <w:sz w:val="24"/>
          <w:szCs w:val="28"/>
        </w:rPr>
        <w:t>199</w:t>
      </w:r>
      <w:r w:rsidR="00725CE6">
        <w:rPr>
          <w:rFonts w:ascii="Times New Roman" w:hAnsi="Times New Roman"/>
          <w:sz w:val="24"/>
          <w:szCs w:val="28"/>
        </w:rPr>
        <w:t>4</w:t>
      </w:r>
      <w:r w:rsidRPr="00D84F57" w:rsidR="00725CE6">
        <w:rPr>
          <w:rFonts w:ascii="Times New Roman" w:hAnsi="Times New Roman"/>
          <w:sz w:val="24"/>
          <w:szCs w:val="28"/>
        </w:rPr>
        <w:t xml:space="preserve"> </w:t>
      </w:r>
      <w:r w:rsidRPr="00D84F57">
        <w:rPr>
          <w:rFonts w:ascii="Times New Roman" w:hAnsi="Times New Roman"/>
          <w:sz w:val="24"/>
          <w:szCs w:val="28"/>
        </w:rPr>
        <w:t xml:space="preserve">Compliance Directive, as </w:t>
      </w:r>
      <w:r w:rsidR="00942711">
        <w:rPr>
          <w:rFonts w:ascii="Times New Roman" w:hAnsi="Times New Roman"/>
          <w:sz w:val="24"/>
          <w:szCs w:val="28"/>
        </w:rPr>
        <w:t>opposed to in narrative form.</w:t>
      </w:r>
      <w:r w:rsidRPr="00D84F57">
        <w:rPr>
          <w:rFonts w:ascii="Times New Roman" w:hAnsi="Times New Roman"/>
          <w:sz w:val="24"/>
          <w:szCs w:val="28"/>
        </w:rPr>
        <w:t xml:space="preserve"> </w:t>
      </w:r>
      <w:r w:rsidR="00942711">
        <w:rPr>
          <w:rFonts w:ascii="Times New Roman" w:hAnsi="Times New Roman"/>
          <w:sz w:val="24"/>
          <w:szCs w:val="28"/>
        </w:rPr>
        <w:t>T</w:t>
      </w:r>
      <w:r w:rsidRPr="00D84F57">
        <w:rPr>
          <w:rFonts w:ascii="Times New Roman" w:hAnsi="Times New Roman"/>
          <w:sz w:val="24"/>
          <w:szCs w:val="28"/>
        </w:rPr>
        <w:t xml:space="preserve">he Agency believes </w:t>
      </w:r>
      <w:r w:rsidR="00942711">
        <w:rPr>
          <w:rFonts w:ascii="Times New Roman" w:hAnsi="Times New Roman"/>
          <w:sz w:val="24"/>
          <w:szCs w:val="28"/>
        </w:rPr>
        <w:t>this</w:t>
      </w:r>
      <w:r w:rsidRPr="00D84F57">
        <w:rPr>
          <w:rFonts w:ascii="Times New Roman" w:hAnsi="Times New Roman"/>
          <w:sz w:val="24"/>
          <w:szCs w:val="28"/>
        </w:rPr>
        <w:t xml:space="preserve"> </w:t>
      </w:r>
      <w:r w:rsidRPr="00D84F57">
        <w:rPr>
          <w:rFonts w:ascii="Times New Roman" w:hAnsi="Times New Roman"/>
          <w:sz w:val="24"/>
          <w:szCs w:val="28"/>
        </w:rPr>
        <w:t xml:space="preserve">will ease the use and general consistency for facilities to report and communities to review declined third-party audit recommendations. This </w:t>
      </w:r>
      <w:r w:rsidR="006C5F70">
        <w:rPr>
          <w:rFonts w:ascii="Times New Roman" w:hAnsi="Times New Roman"/>
          <w:sz w:val="24"/>
          <w:szCs w:val="28"/>
        </w:rPr>
        <w:t>in</w:t>
      </w:r>
      <w:r w:rsidRPr="00D84F57">
        <w:rPr>
          <w:rFonts w:ascii="Times New Roman" w:hAnsi="Times New Roman"/>
          <w:sz w:val="24"/>
          <w:szCs w:val="28"/>
        </w:rPr>
        <w:t>formation will also help EPA administer and track how facilities choose to comply with this provision.</w:t>
      </w:r>
    </w:p>
    <w:p w:rsidR="00F41FFB" w:rsidRPr="00A46621" w:rsidP="00F41FFB" w14:paraId="098D248C" w14:textId="77777777">
      <w:pPr>
        <w:rPr>
          <w:rFonts w:ascii="Times New Roman" w:hAnsi="Times New Roman"/>
          <w:sz w:val="24"/>
        </w:rPr>
      </w:pPr>
      <w:r>
        <w:rPr>
          <w:rFonts w:ascii="Times New Roman" w:hAnsi="Times New Roman"/>
          <w:i/>
          <w:iCs/>
          <w:sz w:val="24"/>
        </w:rPr>
        <w:t>General comments about inclusion of declined findings</w:t>
      </w:r>
    </w:p>
    <w:p w:rsidR="00F41FFB" w:rsidP="00F41FFB" w14:paraId="06BFCDCE" w14:textId="77777777">
      <w:pPr>
        <w:rPr>
          <w:rFonts w:ascii="Times New Roman" w:hAnsi="Times New Roman"/>
          <w:sz w:val="24"/>
        </w:rPr>
      </w:pPr>
      <w:r w:rsidRPr="00A46621">
        <w:rPr>
          <w:rFonts w:ascii="Times New Roman" w:hAnsi="Times New Roman"/>
          <w:b/>
          <w:bCs/>
          <w:sz w:val="24"/>
        </w:rPr>
        <w:t>Comment</w:t>
      </w:r>
      <w:r>
        <w:rPr>
          <w:rFonts w:ascii="Times New Roman" w:hAnsi="Times New Roman"/>
          <w:b/>
          <w:bCs/>
          <w:sz w:val="24"/>
        </w:rPr>
        <w:t xml:space="preserve"> 8.3-02</w:t>
      </w:r>
      <w:r w:rsidRPr="00A46621">
        <w:rPr>
          <w:rFonts w:ascii="Times New Roman" w:hAnsi="Times New Roman"/>
          <w:b/>
          <w:bCs/>
          <w:sz w:val="24"/>
        </w:rPr>
        <w:t>:</w:t>
      </w:r>
      <w:r>
        <w:rPr>
          <w:rFonts w:ascii="Times New Roman" w:hAnsi="Times New Roman"/>
          <w:sz w:val="24"/>
        </w:rPr>
        <w:t xml:space="preserve"> Many commenters addressed inclusion of declined findings generally without reference to format of findings.</w:t>
      </w:r>
    </w:p>
    <w:p w:rsidR="00F41FFB" w:rsidRPr="006F68E9" w:rsidP="00F41FFB" w14:paraId="07471220" w14:textId="419290A1">
      <w:pPr>
        <w:rPr>
          <w:rFonts w:ascii="Times New Roman" w:hAnsi="Times New Roman"/>
          <w:sz w:val="24"/>
        </w:rPr>
      </w:pPr>
      <w:r w:rsidRPr="77BC6811">
        <w:rPr>
          <w:rFonts w:ascii="Times New Roman" w:hAnsi="Times New Roman"/>
          <w:sz w:val="24"/>
        </w:rPr>
        <w:t xml:space="preserve">Some commenters noted that public pressure may result in difficult technical debates about unfounded findings or cause facilities to address findings they disagree with (0228, 0229, 0232 0275). Another commenter recommended that the justification for declined findings should be consistent with the criteria outlined by </w:t>
      </w:r>
      <w:r w:rsidRPr="50B04357">
        <w:rPr>
          <w:rFonts w:ascii="Times New Roman" w:hAnsi="Times New Roman"/>
          <w:sz w:val="24"/>
        </w:rPr>
        <w:t xml:space="preserve">OSHA’s </w:t>
      </w:r>
      <w:r w:rsidRPr="50B04357" w:rsidR="00FE0661">
        <w:rPr>
          <w:rFonts w:ascii="Times New Roman" w:hAnsi="Times New Roman"/>
          <w:sz w:val="24"/>
        </w:rPr>
        <w:t>199</w:t>
      </w:r>
      <w:r w:rsidR="00FE0661">
        <w:rPr>
          <w:rFonts w:ascii="Times New Roman" w:hAnsi="Times New Roman"/>
          <w:sz w:val="24"/>
        </w:rPr>
        <w:t>4</w:t>
      </w:r>
      <w:r w:rsidRPr="50B04357" w:rsidR="00FE0661">
        <w:rPr>
          <w:rFonts w:ascii="Times New Roman" w:hAnsi="Times New Roman"/>
          <w:sz w:val="24"/>
        </w:rPr>
        <w:t xml:space="preserve"> </w:t>
      </w:r>
      <w:r w:rsidRPr="50B04357">
        <w:rPr>
          <w:rFonts w:ascii="Times New Roman" w:hAnsi="Times New Roman"/>
          <w:sz w:val="24"/>
        </w:rPr>
        <w:t>Compliance Directive</w:t>
      </w:r>
      <w:r w:rsidRPr="77BC6811">
        <w:rPr>
          <w:rFonts w:ascii="Times New Roman" w:hAnsi="Times New Roman"/>
          <w:sz w:val="24"/>
        </w:rPr>
        <w:t xml:space="preserve">, asserting that this would make a narrative text in the RMP repetitive (0173). One commenter noted concerns about releasing information to local responders, who may lack the expertise in chemical processes, could result in incorrect response activities during an accidental release (0196). </w:t>
      </w:r>
    </w:p>
    <w:p w:rsidR="00F41FFB" w:rsidRPr="006F68E9" w:rsidP="00F41FFB" w14:paraId="4C8F05FB" w14:textId="201AC54F">
      <w:pPr>
        <w:rPr>
          <w:rFonts w:ascii="Times New Roman" w:hAnsi="Times New Roman"/>
          <w:sz w:val="24"/>
        </w:rPr>
      </w:pPr>
      <w:r w:rsidRPr="77BC6811">
        <w:rPr>
          <w:rFonts w:ascii="Times New Roman" w:hAnsi="Times New Roman"/>
          <w:sz w:val="24"/>
        </w:rPr>
        <w:t>A couple of commenters suggested that this requirement would discourage facility leaders from encouraging audit teams to identify potential hazards to limit the information that must be reported to EPA. The commenters also suggested that audit findings are already readily available to EPA (0181, 0233). Several commenters requested that EPA not mandate that facilities make declined findings publicly available online due to security concerns of releasing highly sensitive information (0229, 0230, 0232 0233, 0267).</w:t>
      </w:r>
    </w:p>
    <w:p w:rsidR="00F41FFB" w:rsidRPr="006F68E9" w:rsidP="00F41FFB" w14:paraId="25E55581" w14:textId="77777777">
      <w:pPr>
        <w:rPr>
          <w:rFonts w:ascii="Times New Roman" w:hAnsi="Times New Roman"/>
          <w:sz w:val="24"/>
        </w:rPr>
      </w:pPr>
      <w:r w:rsidRPr="006F68E9">
        <w:rPr>
          <w:rFonts w:ascii="Times New Roman" w:hAnsi="Times New Roman"/>
          <w:sz w:val="24"/>
        </w:rPr>
        <w:t>One commenter suggested that EPA amend the proposed provisions requiring that declined findings reports be provided to the regulated facility’s board of directors. The commenter suggested that the reports should be delivered to the responsible official of the regulated facility (0224).</w:t>
      </w:r>
    </w:p>
    <w:p w:rsidR="00F41FFB" w:rsidP="00F41FFB" w14:paraId="6A0DEC8F" w14:textId="77777777">
      <w:pPr>
        <w:rPr>
          <w:rFonts w:ascii="Times New Roman" w:hAnsi="Times New Roman"/>
          <w:sz w:val="24"/>
        </w:rPr>
      </w:pPr>
      <w:bookmarkStart w:id="114" w:name="_Hlk148083634"/>
      <w:r w:rsidRPr="6D3F9CC5">
        <w:rPr>
          <w:rFonts w:ascii="Times New Roman" w:hAnsi="Times New Roman"/>
          <w:sz w:val="24"/>
        </w:rPr>
        <w:t xml:space="preserve">One commenter noted that is not clear how or why a facility would decline an audit finding. </w:t>
      </w:r>
      <w:bookmarkEnd w:id="114"/>
      <w:r w:rsidRPr="6D3F9CC5">
        <w:rPr>
          <w:rFonts w:ascii="Times New Roman" w:hAnsi="Times New Roman"/>
          <w:sz w:val="24"/>
        </w:rPr>
        <w:t xml:space="preserve">The commenter also suggested that there is no language in </w:t>
      </w:r>
      <w:r>
        <w:rPr>
          <w:rFonts w:ascii="Times New Roman" w:hAnsi="Times New Roman"/>
          <w:sz w:val="24"/>
        </w:rPr>
        <w:t xml:space="preserve">40 CFR </w:t>
      </w:r>
      <w:r w:rsidRPr="6D3F9CC5">
        <w:rPr>
          <w:rFonts w:ascii="Times New Roman" w:hAnsi="Times New Roman"/>
          <w:sz w:val="24"/>
        </w:rPr>
        <w:t xml:space="preserve">68.175 to codify such a requirement to report on declined audit findings. The commenter suggested that the proposed amendment to 40 CFR </w:t>
      </w:r>
      <w:r>
        <w:rPr>
          <w:rFonts w:ascii="Times New Roman" w:hAnsi="Times New Roman"/>
          <w:sz w:val="24"/>
        </w:rPr>
        <w:t>Section</w:t>
      </w:r>
      <w:r w:rsidRPr="6D3F9CC5">
        <w:rPr>
          <w:rFonts w:ascii="Times New Roman" w:hAnsi="Times New Roman"/>
          <w:sz w:val="24"/>
        </w:rPr>
        <w:t xml:space="preserve"> 68.170(i) (Program 2 plan requirements) could be read to require the reporting of findings declined from voluntary third-party compliance audits—not just those required to be conducted under </w:t>
      </w:r>
      <w:r>
        <w:rPr>
          <w:rFonts w:ascii="Times New Roman" w:hAnsi="Times New Roman"/>
          <w:sz w:val="24"/>
        </w:rPr>
        <w:t xml:space="preserve">40 CFR </w:t>
      </w:r>
      <w:r w:rsidRPr="6D3F9CC5">
        <w:rPr>
          <w:rFonts w:ascii="Times New Roman" w:hAnsi="Times New Roman"/>
          <w:sz w:val="24"/>
        </w:rPr>
        <w:t xml:space="preserve">68.58 and 68.59 (0233). </w:t>
      </w:r>
    </w:p>
    <w:p w:rsidR="00840EDC" w:rsidP="00F41FFB" w14:paraId="227E6DDD" w14:textId="6029F424">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noted that requiring the publishing of incomplete or un-vetted audit reports will only create unnecessary confusion and the potential for litigation</w:t>
      </w:r>
      <w:r>
        <w:rPr>
          <w:rFonts w:ascii="Times New Roman" w:hAnsi="Times New Roman"/>
          <w:sz w:val="24"/>
        </w:rPr>
        <w:t>.</w:t>
      </w:r>
    </w:p>
    <w:p w:rsidR="00A1351F" w:rsidP="00F41FFB" w14:paraId="508516B3" w14:textId="6A37E16E">
      <w:pPr>
        <w:rPr>
          <w:rFonts w:ascii="Times New Roman" w:hAnsi="Times New Roman"/>
          <w:sz w:val="24"/>
        </w:rPr>
      </w:pPr>
      <w:r w:rsidRPr="006F68E9">
        <w:rPr>
          <w:rFonts w:ascii="Times New Roman" w:hAnsi="Times New Roman"/>
          <w:sz w:val="24"/>
        </w:rPr>
        <w:t xml:space="preserve">A few commenters recommended that audit findings not be made available to the public (0184, 0203, 0268). One of the commenters noted that this would be overly burdensome and would result in security concerns (0184). </w:t>
      </w:r>
    </w:p>
    <w:p w:rsidR="00F41FFB" w:rsidP="00F41FFB" w14:paraId="33391AB8" w14:textId="296CCC6D">
      <w:pPr>
        <w:ind w:left="720"/>
        <w:rPr>
          <w:rFonts w:ascii="Times New Roman" w:hAnsi="Times New Roman"/>
          <w:sz w:val="24"/>
          <w:szCs w:val="28"/>
        </w:rPr>
      </w:pPr>
      <w:r w:rsidRPr="00ED5790">
        <w:rPr>
          <w:rFonts w:ascii="Times New Roman" w:hAnsi="Times New Roman"/>
          <w:b/>
          <w:sz w:val="24"/>
          <w:szCs w:val="28"/>
        </w:rPr>
        <w:t>EPA Response:</w:t>
      </w:r>
      <w:r w:rsidRPr="00D84F57">
        <w:rPr>
          <w:rFonts w:ascii="Times New Roman" w:hAnsi="Times New Roman"/>
          <w:sz w:val="24"/>
          <w:szCs w:val="28"/>
        </w:rPr>
        <w:t xml:space="preserve"> </w:t>
      </w:r>
      <w:r w:rsidR="00E04CE7">
        <w:rPr>
          <w:rFonts w:ascii="Times New Roman" w:hAnsi="Times New Roman"/>
          <w:sz w:val="24"/>
          <w:szCs w:val="28"/>
        </w:rPr>
        <w:t xml:space="preserve">Similar to the requirement to report declined recommendations from </w:t>
      </w:r>
      <w:r w:rsidR="00A72926">
        <w:rPr>
          <w:rFonts w:ascii="Times New Roman" w:hAnsi="Times New Roman"/>
          <w:sz w:val="24"/>
          <w:szCs w:val="28"/>
        </w:rPr>
        <w:t xml:space="preserve">natural hazard, power loss and stationary source siting hazard </w:t>
      </w:r>
      <w:r w:rsidR="00203083">
        <w:rPr>
          <w:rFonts w:ascii="Times New Roman" w:hAnsi="Times New Roman"/>
          <w:sz w:val="24"/>
          <w:szCs w:val="28"/>
        </w:rPr>
        <w:t xml:space="preserve">evaluations, </w:t>
      </w:r>
      <w:r w:rsidRPr="008F799F" w:rsidR="008F799F">
        <w:rPr>
          <w:rFonts w:ascii="Times New Roman" w:hAnsi="Times New Roman"/>
          <w:sz w:val="24"/>
          <w:szCs w:val="28"/>
        </w:rPr>
        <w:t xml:space="preserve">EPA believes </w:t>
      </w:r>
      <w:r w:rsidR="007C353C">
        <w:rPr>
          <w:rFonts w:ascii="Times New Roman" w:hAnsi="Times New Roman"/>
          <w:sz w:val="24"/>
          <w:szCs w:val="28"/>
        </w:rPr>
        <w:t xml:space="preserve">public disclosure of </w:t>
      </w:r>
      <w:r w:rsidR="00EA7837">
        <w:rPr>
          <w:rFonts w:ascii="Times New Roman" w:hAnsi="Times New Roman"/>
          <w:sz w:val="24"/>
          <w:szCs w:val="28"/>
        </w:rPr>
        <w:t>recommendations</w:t>
      </w:r>
      <w:r w:rsidR="00B63FA8">
        <w:rPr>
          <w:rFonts w:ascii="Times New Roman" w:hAnsi="Times New Roman"/>
          <w:sz w:val="24"/>
          <w:szCs w:val="28"/>
        </w:rPr>
        <w:t xml:space="preserve"> declined from third-party audits </w:t>
      </w:r>
      <w:r w:rsidRPr="008F799F" w:rsidR="008F799F">
        <w:rPr>
          <w:rFonts w:ascii="Times New Roman" w:hAnsi="Times New Roman"/>
          <w:sz w:val="24"/>
          <w:szCs w:val="28"/>
        </w:rPr>
        <w:t xml:space="preserve">are important to help the public understand how facilities address </w:t>
      </w:r>
      <w:bookmarkStart w:id="115" w:name="_Hlk148364253"/>
      <w:r w:rsidR="00B92264">
        <w:rPr>
          <w:rFonts w:ascii="Times New Roman" w:hAnsi="Times New Roman"/>
          <w:sz w:val="24"/>
          <w:szCs w:val="28"/>
        </w:rPr>
        <w:t>potential</w:t>
      </w:r>
      <w:bookmarkEnd w:id="115"/>
      <w:r w:rsidR="00B92264">
        <w:rPr>
          <w:rFonts w:ascii="Times New Roman" w:hAnsi="Times New Roman"/>
          <w:sz w:val="24"/>
          <w:szCs w:val="28"/>
        </w:rPr>
        <w:t xml:space="preserve"> </w:t>
      </w:r>
      <w:r w:rsidR="00426BEF">
        <w:rPr>
          <w:rFonts w:ascii="Times New Roman" w:hAnsi="Times New Roman"/>
          <w:sz w:val="24"/>
          <w:szCs w:val="28"/>
        </w:rPr>
        <w:t>shortcomings in a source’s</w:t>
      </w:r>
      <w:r w:rsidR="00B92264">
        <w:rPr>
          <w:rFonts w:ascii="Times New Roman" w:hAnsi="Times New Roman"/>
          <w:sz w:val="24"/>
          <w:szCs w:val="28"/>
        </w:rPr>
        <w:t xml:space="preserve"> accident prevention and preparedness </w:t>
      </w:r>
      <w:r w:rsidR="00426BEF">
        <w:rPr>
          <w:rFonts w:ascii="Times New Roman" w:hAnsi="Times New Roman"/>
          <w:sz w:val="24"/>
          <w:szCs w:val="28"/>
        </w:rPr>
        <w:t>program</w:t>
      </w:r>
      <w:r w:rsidR="00DF6261">
        <w:rPr>
          <w:rFonts w:ascii="Times New Roman" w:hAnsi="Times New Roman"/>
          <w:sz w:val="24"/>
          <w:szCs w:val="28"/>
        </w:rPr>
        <w:t xml:space="preserve">, one </w:t>
      </w:r>
      <w:r w:rsidRPr="008F799F" w:rsidR="008F799F">
        <w:rPr>
          <w:rFonts w:ascii="Times New Roman" w:hAnsi="Times New Roman"/>
          <w:sz w:val="24"/>
          <w:szCs w:val="28"/>
        </w:rPr>
        <w:t>that may affect their community, and the</w:t>
      </w:r>
      <w:r w:rsidR="00BC5C17">
        <w:rPr>
          <w:rFonts w:ascii="Times New Roman" w:hAnsi="Times New Roman"/>
          <w:sz w:val="24"/>
          <w:szCs w:val="28"/>
        </w:rPr>
        <w:t xml:space="preserve"> other</w:t>
      </w:r>
      <w:r w:rsidRPr="008F799F" w:rsidR="008F799F">
        <w:rPr>
          <w:rFonts w:ascii="Times New Roman" w:hAnsi="Times New Roman"/>
          <w:sz w:val="24"/>
          <w:szCs w:val="28"/>
        </w:rPr>
        <w:t xml:space="preserve"> reasonable judgments and efforts </w:t>
      </w:r>
      <w:r w:rsidR="00C90398">
        <w:rPr>
          <w:rFonts w:ascii="Times New Roman" w:hAnsi="Times New Roman"/>
          <w:sz w:val="24"/>
          <w:szCs w:val="28"/>
        </w:rPr>
        <w:t xml:space="preserve">to address the </w:t>
      </w:r>
      <w:r w:rsidRPr="001033FF" w:rsidR="001033FF">
        <w:rPr>
          <w:rFonts w:ascii="Times New Roman" w:hAnsi="Times New Roman"/>
          <w:sz w:val="24"/>
          <w:szCs w:val="28"/>
        </w:rPr>
        <w:t xml:space="preserve">potential </w:t>
      </w:r>
      <w:r w:rsidR="00C90398">
        <w:rPr>
          <w:rFonts w:ascii="Times New Roman" w:hAnsi="Times New Roman"/>
          <w:sz w:val="24"/>
          <w:szCs w:val="28"/>
        </w:rPr>
        <w:t>shortcomings</w:t>
      </w:r>
      <w:r w:rsidRPr="008F799F" w:rsidR="008F799F">
        <w:rPr>
          <w:rFonts w:ascii="Times New Roman" w:hAnsi="Times New Roman"/>
          <w:sz w:val="24"/>
          <w:szCs w:val="28"/>
        </w:rPr>
        <w:t>.</w:t>
      </w:r>
      <w:r w:rsidR="009B0BA5">
        <w:rPr>
          <w:rFonts w:ascii="Times New Roman" w:hAnsi="Times New Roman"/>
          <w:sz w:val="24"/>
          <w:szCs w:val="28"/>
        </w:rPr>
        <w:t xml:space="preserve"> </w:t>
      </w:r>
      <w:r w:rsidRPr="008F799F" w:rsidR="008F799F">
        <w:rPr>
          <w:rFonts w:ascii="Times New Roman" w:hAnsi="Times New Roman"/>
          <w:sz w:val="24"/>
          <w:szCs w:val="28"/>
        </w:rPr>
        <w:t xml:space="preserve">EPA believes that when local citizens have adequate information and knowledge about the </w:t>
      </w:r>
      <w:r w:rsidR="00091B75">
        <w:rPr>
          <w:rFonts w:ascii="Times New Roman" w:hAnsi="Times New Roman"/>
          <w:sz w:val="24"/>
          <w:szCs w:val="28"/>
        </w:rPr>
        <w:t xml:space="preserve">chemical accident </w:t>
      </w:r>
      <w:r w:rsidRPr="008F799F" w:rsidR="008F799F">
        <w:rPr>
          <w:rFonts w:ascii="Times New Roman" w:hAnsi="Times New Roman"/>
          <w:sz w:val="24"/>
          <w:szCs w:val="28"/>
        </w:rPr>
        <w:t>risks</w:t>
      </w:r>
      <w:r w:rsidR="00091B75">
        <w:rPr>
          <w:rFonts w:ascii="Times New Roman" w:hAnsi="Times New Roman"/>
          <w:sz w:val="24"/>
          <w:szCs w:val="28"/>
        </w:rPr>
        <w:t xml:space="preserve"> to them</w:t>
      </w:r>
      <w:r w:rsidRPr="008F799F" w:rsidR="008F799F">
        <w:rPr>
          <w:rFonts w:ascii="Times New Roman" w:hAnsi="Times New Roman"/>
          <w:sz w:val="24"/>
          <w:szCs w:val="28"/>
        </w:rPr>
        <w:t xml:space="preserve">, facility owners and operators may be motivated to further improve their safety performance in response to community oversight. </w:t>
      </w:r>
    </w:p>
    <w:p w:rsidR="00EC5DE3" w:rsidP="00F41FFB" w14:paraId="0CC32249" w14:textId="5AD0645F">
      <w:pPr>
        <w:ind w:left="720"/>
        <w:rPr>
          <w:rFonts w:ascii="Times New Roman" w:hAnsi="Times New Roman"/>
          <w:sz w:val="24"/>
          <w:szCs w:val="28"/>
        </w:rPr>
      </w:pPr>
      <w:r w:rsidRPr="00EC5DE3">
        <w:rPr>
          <w:rFonts w:ascii="Times New Roman" w:hAnsi="Times New Roman"/>
          <w:sz w:val="24"/>
          <w:szCs w:val="28"/>
        </w:rPr>
        <w:t xml:space="preserve">EPA believes the flexibility permitted in </w:t>
      </w:r>
      <w:r w:rsidR="009229F5">
        <w:rPr>
          <w:rFonts w:ascii="Times New Roman" w:hAnsi="Times New Roman"/>
          <w:sz w:val="24"/>
          <w:szCs w:val="28"/>
        </w:rPr>
        <w:t xml:space="preserve">compliance audits, </w:t>
      </w:r>
      <w:r w:rsidRPr="00EC5DE3">
        <w:rPr>
          <w:rFonts w:ascii="Times New Roman" w:hAnsi="Times New Roman"/>
          <w:sz w:val="24"/>
          <w:szCs w:val="28"/>
        </w:rPr>
        <w:t xml:space="preserve">that is, allowing facility owners and operators to choose which recommendations will be implemented, is the best approach for exercising reasonable judgement to determine </w:t>
      </w:r>
      <w:r w:rsidR="00EB7219">
        <w:rPr>
          <w:rFonts w:ascii="Times New Roman" w:hAnsi="Times New Roman"/>
          <w:sz w:val="24"/>
          <w:szCs w:val="28"/>
        </w:rPr>
        <w:t xml:space="preserve">how best </w:t>
      </w:r>
      <w:r w:rsidR="00177C23">
        <w:rPr>
          <w:rFonts w:ascii="Times New Roman" w:hAnsi="Times New Roman"/>
          <w:sz w:val="24"/>
          <w:szCs w:val="28"/>
        </w:rPr>
        <w:t>facilities</w:t>
      </w:r>
      <w:r w:rsidR="00EB7219">
        <w:rPr>
          <w:rFonts w:ascii="Times New Roman" w:hAnsi="Times New Roman"/>
          <w:sz w:val="24"/>
          <w:szCs w:val="28"/>
        </w:rPr>
        <w:t xml:space="preserve"> can prevent</w:t>
      </w:r>
      <w:r w:rsidR="00DA031F">
        <w:rPr>
          <w:rFonts w:ascii="Times New Roman" w:hAnsi="Times New Roman"/>
          <w:sz w:val="24"/>
          <w:szCs w:val="28"/>
        </w:rPr>
        <w:t xml:space="preserve"> and mitigate accide</w:t>
      </w:r>
      <w:r w:rsidR="00177C23">
        <w:rPr>
          <w:rFonts w:ascii="Times New Roman" w:hAnsi="Times New Roman"/>
          <w:sz w:val="24"/>
          <w:szCs w:val="28"/>
        </w:rPr>
        <w:t>ntal releases</w:t>
      </w:r>
      <w:r w:rsidRPr="00EC5DE3">
        <w:rPr>
          <w:rFonts w:ascii="Times New Roman" w:hAnsi="Times New Roman"/>
          <w:sz w:val="24"/>
          <w:szCs w:val="28"/>
        </w:rPr>
        <w:t xml:space="preserve">. However, EPA views choosing to leave </w:t>
      </w:r>
      <w:r w:rsidR="00177C23">
        <w:rPr>
          <w:rFonts w:ascii="Times New Roman" w:hAnsi="Times New Roman"/>
          <w:sz w:val="24"/>
          <w:szCs w:val="28"/>
        </w:rPr>
        <w:t>noncompliance</w:t>
      </w:r>
      <w:r w:rsidRPr="00EC5DE3">
        <w:rPr>
          <w:rFonts w:ascii="Times New Roman" w:hAnsi="Times New Roman"/>
          <w:sz w:val="24"/>
          <w:szCs w:val="28"/>
        </w:rPr>
        <w:t xml:space="preserve"> unaddressed out of fear of public scrutiny as not exercising reasonable judgement, particularly when it may leave the process more vulnerable to accidental releases.  </w:t>
      </w:r>
    </w:p>
    <w:p w:rsidR="00E04CE7" w:rsidRPr="00D84F57" w:rsidP="00F41FFB" w14:paraId="6ED712CA" w14:textId="12CE415A">
      <w:pPr>
        <w:ind w:left="720"/>
        <w:rPr>
          <w:rFonts w:ascii="Times New Roman" w:hAnsi="Times New Roman"/>
          <w:sz w:val="24"/>
          <w:szCs w:val="28"/>
        </w:rPr>
      </w:pPr>
      <w:r>
        <w:rPr>
          <w:rFonts w:ascii="Times New Roman" w:hAnsi="Times New Roman"/>
          <w:sz w:val="24"/>
          <w:szCs w:val="28"/>
        </w:rPr>
        <w:t xml:space="preserve">When </w:t>
      </w:r>
      <w:r w:rsidR="006C5F70">
        <w:rPr>
          <w:rFonts w:ascii="Times New Roman" w:hAnsi="Times New Roman"/>
          <w:sz w:val="24"/>
          <w:szCs w:val="28"/>
        </w:rPr>
        <w:t xml:space="preserve">reporting declined recommendations, </w:t>
      </w:r>
      <w:r w:rsidRPr="00E04CE7">
        <w:rPr>
          <w:rFonts w:ascii="Times New Roman" w:hAnsi="Times New Roman"/>
          <w:sz w:val="24"/>
          <w:szCs w:val="28"/>
        </w:rPr>
        <w:t xml:space="preserve">EPA is not requiring narrative explanations to be reported as there is concern that such explanations may be greatly inconsistent as they would require large amounts of technically challenging and varying information to be comparably condensed. </w:t>
      </w:r>
      <w:r w:rsidR="001F29CF">
        <w:rPr>
          <w:rFonts w:ascii="Times New Roman" w:hAnsi="Times New Roman"/>
          <w:sz w:val="24"/>
          <w:szCs w:val="28"/>
        </w:rPr>
        <w:t xml:space="preserve">EPA also </w:t>
      </w:r>
      <w:r w:rsidR="002A7F73">
        <w:rPr>
          <w:rFonts w:ascii="Times New Roman" w:hAnsi="Times New Roman"/>
          <w:sz w:val="24"/>
          <w:szCs w:val="28"/>
        </w:rPr>
        <w:t xml:space="preserve">believes this reduces security concerns. </w:t>
      </w:r>
      <w:r w:rsidRPr="00E04CE7">
        <w:rPr>
          <w:rFonts w:ascii="Times New Roman" w:hAnsi="Times New Roman"/>
          <w:sz w:val="24"/>
          <w:szCs w:val="28"/>
        </w:rPr>
        <w:t>The Agency believes the four pre-selected categories</w:t>
      </w:r>
      <w:r w:rsidR="00E64343">
        <w:rPr>
          <w:rFonts w:ascii="Times New Roman" w:hAnsi="Times New Roman"/>
          <w:sz w:val="24"/>
          <w:szCs w:val="28"/>
        </w:rPr>
        <w:t xml:space="preserve">, </w:t>
      </w:r>
      <w:r w:rsidRPr="00E64343" w:rsidR="00E64343">
        <w:rPr>
          <w:rFonts w:ascii="Times New Roman" w:hAnsi="Times New Roman"/>
          <w:sz w:val="24"/>
          <w:szCs w:val="28"/>
        </w:rPr>
        <w:t>similar to those in OSHA’s 1994 Compliance Directive,</w:t>
      </w:r>
      <w:r w:rsidRPr="00E04CE7">
        <w:rPr>
          <w:rFonts w:ascii="Times New Roman" w:hAnsi="Times New Roman"/>
          <w:sz w:val="24"/>
          <w:szCs w:val="28"/>
        </w:rPr>
        <w:t xml:space="preserve"> ensures a balanced approach to providing beneficial data to the public as well as a straightforward method of reporting for facility owners/operators.</w:t>
      </w:r>
    </w:p>
    <w:p w:rsidR="00F41FFB" w:rsidRPr="0079443B" w:rsidP="005417D5" w14:paraId="30C2C67B" w14:textId="77777777">
      <w:pPr>
        <w:pStyle w:val="Heading2"/>
        <w:spacing w:before="120"/>
        <w:rPr>
          <w:rFonts w:ascii="Times New Roman" w:hAnsi="Times New Roman" w:cs="Times New Roman"/>
          <w:b/>
          <w:bCs/>
          <w:color w:val="auto"/>
          <w:sz w:val="24"/>
          <w:szCs w:val="24"/>
        </w:rPr>
      </w:pPr>
      <w:bookmarkStart w:id="116" w:name="_Toc153373809"/>
      <w:r w:rsidRPr="0079443B">
        <w:rPr>
          <w:rFonts w:ascii="Times New Roman" w:hAnsi="Times New Roman" w:cs="Times New Roman"/>
          <w:b/>
          <w:bCs/>
          <w:color w:val="auto"/>
          <w:sz w:val="24"/>
          <w:szCs w:val="24"/>
        </w:rPr>
        <w:t xml:space="preserve">Reporting </w:t>
      </w:r>
      <w:r>
        <w:rPr>
          <w:rFonts w:ascii="Times New Roman" w:hAnsi="Times New Roman" w:cs="Times New Roman"/>
          <w:b/>
          <w:bCs/>
          <w:color w:val="auto"/>
          <w:sz w:val="24"/>
          <w:szCs w:val="24"/>
        </w:rPr>
        <w:t>r</w:t>
      </w:r>
      <w:r w:rsidRPr="0079443B">
        <w:rPr>
          <w:rFonts w:ascii="Times New Roman" w:hAnsi="Times New Roman" w:cs="Times New Roman"/>
          <w:b/>
          <w:bCs/>
          <w:color w:val="auto"/>
          <w:sz w:val="24"/>
          <w:szCs w:val="24"/>
        </w:rPr>
        <w:t>equirements</w:t>
      </w:r>
      <w:bookmarkEnd w:id="116"/>
    </w:p>
    <w:p w:rsidR="00F41FFB" w:rsidP="00F41FFB" w14:paraId="3B453B05" w14:textId="77777777">
      <w:pPr>
        <w:rPr>
          <w:rFonts w:ascii="Times New Roman" w:hAnsi="Times New Roman"/>
          <w:sz w:val="24"/>
        </w:rPr>
      </w:pPr>
      <w:r>
        <w:rPr>
          <w:rFonts w:ascii="Times New Roman" w:hAnsi="Times New Roman"/>
          <w:b/>
          <w:bCs/>
          <w:sz w:val="24"/>
        </w:rPr>
        <w:t xml:space="preserve">Comment 8.4-01: </w:t>
      </w:r>
      <w:r w:rsidRPr="5C7E4D94">
        <w:rPr>
          <w:rFonts w:ascii="Times New Roman" w:hAnsi="Times New Roman"/>
          <w:sz w:val="24"/>
        </w:rPr>
        <w:t>A</w:t>
      </w:r>
      <w:r w:rsidRPr="1F784CF8">
        <w:rPr>
          <w:rFonts w:ascii="Times New Roman" w:hAnsi="Times New Roman"/>
          <w:sz w:val="24"/>
        </w:rPr>
        <w:t xml:space="preserve"> commenter suggested that EPA ensure that the reporting requirements for Program 3 facilities match those for Program 2 facilities; </w:t>
      </w:r>
      <w:r>
        <w:rPr>
          <w:rFonts w:ascii="Times New Roman" w:hAnsi="Times New Roman"/>
          <w:sz w:val="24"/>
        </w:rPr>
        <w:t>the commenter asserted that 40 CFR </w:t>
      </w:r>
      <w:r w:rsidRPr="1F784CF8">
        <w:rPr>
          <w:rFonts w:ascii="Times New Roman" w:hAnsi="Times New Roman"/>
          <w:sz w:val="24"/>
        </w:rPr>
        <w:t xml:space="preserve">68.175(k) is missing the key language in proposed </w:t>
      </w:r>
      <w:r>
        <w:rPr>
          <w:rFonts w:ascii="Times New Roman" w:hAnsi="Times New Roman"/>
          <w:sz w:val="24"/>
        </w:rPr>
        <w:t>Section</w:t>
      </w:r>
      <w:r w:rsidRPr="1F784CF8">
        <w:rPr>
          <w:rFonts w:ascii="Times New Roman" w:hAnsi="Times New Roman"/>
          <w:sz w:val="24"/>
        </w:rPr>
        <w:t xml:space="preserve"> 68.170(i): “and findings declined from third-party compliance audits and justifications” (0460).</w:t>
      </w:r>
    </w:p>
    <w:p w:rsidR="00F41FFB" w:rsidP="005417D5" w14:paraId="69F5FC97" w14:textId="77777777">
      <w:pPr>
        <w:ind w:left="720"/>
        <w:rPr>
          <w:rFonts w:ascii="Times New Roman" w:eastAsia="Times New Roman" w:hAnsi="Times New Roman"/>
          <w:color w:val="000000" w:themeColor="text1"/>
          <w:sz w:val="24"/>
        </w:rPr>
      </w:pPr>
      <w:r w:rsidRPr="1F6F6353">
        <w:rPr>
          <w:rFonts w:ascii="Times New Roman" w:hAnsi="Times New Roman"/>
          <w:b/>
          <w:bCs/>
          <w:sz w:val="24"/>
        </w:rPr>
        <w:t>EPA Response</w:t>
      </w:r>
      <w:r>
        <w:rPr>
          <w:rFonts w:ascii="Times New Roman" w:hAnsi="Times New Roman"/>
          <w:b/>
          <w:bCs/>
          <w:sz w:val="24"/>
        </w:rPr>
        <w:t xml:space="preserve">: </w:t>
      </w:r>
      <w:r w:rsidRPr="1F6F6353">
        <w:rPr>
          <w:rFonts w:ascii="Times New Roman" w:eastAsia="Times New Roman" w:hAnsi="Times New Roman"/>
          <w:color w:val="000000" w:themeColor="text1"/>
          <w:sz w:val="24"/>
        </w:rPr>
        <w:t>EPA notes that this was an error, and this has been corrected in the final rule.</w:t>
      </w:r>
    </w:p>
    <w:p w:rsidR="005417D5" w:rsidP="005417D5" w14:paraId="7B135276" w14:textId="77777777">
      <w:pPr>
        <w:rPr>
          <w:rFonts w:ascii="Times New Roman" w:eastAsia="Times New Roman" w:hAnsi="Times New Roman"/>
          <w:sz w:val="24"/>
        </w:rPr>
      </w:pPr>
    </w:p>
    <w:p w:rsidR="00C52FE2" w:rsidP="005417D5" w14:paraId="6936FA81" w14:textId="77777777">
      <w:pPr>
        <w:pStyle w:val="Heading1"/>
        <w:spacing w:before="120"/>
      </w:pPr>
      <w:bookmarkStart w:id="117" w:name="_Toc146880021"/>
      <w:bookmarkStart w:id="118" w:name="_Toc153373810"/>
      <w:r w:rsidRPr="006F68E9">
        <w:t>Employee Participation</w:t>
      </w:r>
      <w:bookmarkEnd w:id="117"/>
      <w:bookmarkEnd w:id="118"/>
    </w:p>
    <w:p w:rsidR="00C52FE2" w:rsidP="00C52FE2" w14:paraId="7D3508F1" w14:textId="77777777">
      <w:pPr>
        <w:rPr>
          <w:rFonts w:ascii="Times New Roman" w:hAnsi="Times New Roman"/>
          <w:i/>
          <w:sz w:val="24"/>
        </w:rPr>
      </w:pPr>
      <w:r w:rsidRPr="0016467E">
        <w:rPr>
          <w:rFonts w:ascii="Times New Roman" w:hAnsi="Times New Roman"/>
          <w:i/>
          <w:sz w:val="24"/>
        </w:rPr>
        <w:t>Comments associated with this issue are discussed in the sub-issues below</w:t>
      </w:r>
    </w:p>
    <w:p w:rsidR="00C52FE2" w:rsidRPr="006F68E9" w:rsidP="005417D5" w14:paraId="76A4FCD5" w14:textId="77777777">
      <w:pPr>
        <w:pStyle w:val="Heading2"/>
        <w:spacing w:before="120"/>
        <w:rPr>
          <w:rFonts w:ascii="Times New Roman" w:hAnsi="Times New Roman"/>
          <w:b/>
          <w:bCs/>
          <w:sz w:val="24"/>
        </w:rPr>
      </w:pPr>
      <w:bookmarkStart w:id="119" w:name="_Toc153373811"/>
      <w:r w:rsidRPr="005129C2">
        <w:rPr>
          <w:rFonts w:ascii="Times New Roman" w:hAnsi="Times New Roman" w:cs="Times New Roman"/>
          <w:b/>
          <w:color w:val="auto"/>
          <w:sz w:val="24"/>
          <w:szCs w:val="24"/>
        </w:rPr>
        <w:t>Proposed approach</w:t>
      </w:r>
      <w:bookmarkEnd w:id="119"/>
    </w:p>
    <w:p w:rsidR="00C52FE2" w:rsidRPr="0087148D" w:rsidP="00C52FE2" w14:paraId="32847E2D" w14:textId="77777777">
      <w:pPr>
        <w:rPr>
          <w:rFonts w:ascii="Times New Roman" w:hAnsi="Times New Roman"/>
          <w:i/>
          <w:iCs/>
          <w:sz w:val="24"/>
        </w:rPr>
      </w:pPr>
      <w:r>
        <w:rPr>
          <w:rFonts w:ascii="Times New Roman" w:hAnsi="Times New Roman"/>
          <w:i/>
          <w:iCs/>
          <w:sz w:val="24"/>
        </w:rPr>
        <w:t>Opposition to employee participation provisions</w:t>
      </w:r>
    </w:p>
    <w:p w:rsidR="00C52FE2" w:rsidP="00C52FE2" w14:paraId="1FE9557F" w14:textId="77777777">
      <w:pPr>
        <w:rPr>
          <w:rFonts w:ascii="Times New Roman" w:hAnsi="Times New Roman"/>
          <w:sz w:val="24"/>
        </w:rPr>
      </w:pPr>
      <w:r>
        <w:rPr>
          <w:rFonts w:ascii="Times New Roman" w:hAnsi="Times New Roman"/>
          <w:b/>
          <w:bCs/>
          <w:sz w:val="24"/>
        </w:rPr>
        <w:t xml:space="preserve">Comment 9.1-01: </w:t>
      </w:r>
      <w:r w:rsidRPr="7D7ADABB">
        <w:rPr>
          <w:rFonts w:ascii="Times New Roman" w:hAnsi="Times New Roman"/>
          <w:sz w:val="24"/>
        </w:rPr>
        <w:t xml:space="preserve">Two commenters opposed the </w:t>
      </w:r>
      <w:r>
        <w:rPr>
          <w:rFonts w:ascii="Times New Roman" w:hAnsi="Times New Roman"/>
          <w:sz w:val="24"/>
        </w:rPr>
        <w:t xml:space="preserve">recommendation decisions </w:t>
      </w:r>
      <w:r w:rsidRPr="7D7ADABB">
        <w:rPr>
          <w:rFonts w:ascii="Times New Roman" w:hAnsi="Times New Roman"/>
          <w:sz w:val="24"/>
        </w:rPr>
        <w:t>provision, stating that transferring decision making authority to employees presents additional legal issues in terms of employee responsibility and accountability, such as in the event an incident occurs, is investigated, and results in disciplinary action or legal liability (0232, 0253).</w:t>
      </w:r>
    </w:p>
    <w:p w:rsidR="00C52FE2" w:rsidP="00C52FE2" w14:paraId="5581B81C" w14:textId="77777777">
      <w:pPr>
        <w:rPr>
          <w:rFonts w:ascii="Times New Roman" w:hAnsi="Times New Roman"/>
          <w:sz w:val="24"/>
        </w:rPr>
      </w:pPr>
      <w:r w:rsidRPr="006F68E9">
        <w:rPr>
          <w:rFonts w:ascii="Times New Roman" w:hAnsi="Times New Roman"/>
          <w:sz w:val="24"/>
        </w:rPr>
        <w:t xml:space="preserve">One commenter expressed concern that EPA lacks the statutory authority to impose employee participation plans, citing that the CAA does not authorize delegating regulatory authority to workers (0207). Another commenter expressed concern that EPA does not have authority to investigate and prosecute workplace disciplinary disputes between an employee and employer, and this is within OSHA’s purview (0232). A couple of commenters </w:t>
      </w:r>
      <w:r>
        <w:rPr>
          <w:rFonts w:ascii="Times New Roman" w:hAnsi="Times New Roman"/>
          <w:sz w:val="24"/>
        </w:rPr>
        <w:t>said</w:t>
      </w:r>
      <w:r w:rsidRPr="006F68E9">
        <w:rPr>
          <w:rFonts w:ascii="Times New Roman" w:hAnsi="Times New Roman"/>
          <w:sz w:val="24"/>
        </w:rPr>
        <w:t xml:space="preserve"> that OSHA has exclusive authority to address worker safety issues, which the CAA explicitly prohibited EPA from regulating (0232, 0253</w:t>
      </w:r>
      <w:r>
        <w:rPr>
          <w:rFonts w:ascii="Times New Roman" w:hAnsi="Times New Roman"/>
          <w:sz w:val="24"/>
        </w:rPr>
        <w:t xml:space="preserve">, </w:t>
      </w:r>
      <w:r w:rsidRPr="006F68E9">
        <w:rPr>
          <w:rFonts w:ascii="Times New Roman" w:hAnsi="Times New Roman"/>
          <w:sz w:val="24"/>
        </w:rPr>
        <w:t>0239).</w:t>
      </w:r>
      <w:r w:rsidRPr="006A4AC1">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interferes with OSHA</w:t>
      </w:r>
      <w:r>
        <w:rPr>
          <w:rFonts w:ascii="Times New Roman" w:hAnsi="Times New Roman"/>
          <w:sz w:val="24"/>
        </w:rPr>
        <w:t>’s</w:t>
      </w:r>
      <w:r w:rsidRPr="006F68E9">
        <w:rPr>
          <w:rFonts w:ascii="Times New Roman" w:hAnsi="Times New Roman"/>
          <w:sz w:val="24"/>
        </w:rPr>
        <w:t xml:space="preserve"> existing regulations (0263).</w:t>
      </w:r>
      <w:r>
        <w:rPr>
          <w:rFonts w:ascii="Times New Roman" w:hAnsi="Times New Roman"/>
          <w:sz w:val="24"/>
        </w:rPr>
        <w:t xml:space="preserve"> </w:t>
      </w:r>
    </w:p>
    <w:p w:rsidR="00C52FE2" w:rsidP="00C52FE2" w14:paraId="6C80F53E" w14:textId="0E331510">
      <w:pPr>
        <w:rPr>
          <w:rFonts w:ascii="Times New Roman" w:hAnsi="Times New Roman"/>
          <w:sz w:val="24"/>
        </w:rPr>
      </w:pPr>
      <w:r w:rsidRPr="006F68E9">
        <w:rPr>
          <w:rFonts w:ascii="Times New Roman" w:hAnsi="Times New Roman"/>
          <w:sz w:val="24"/>
        </w:rPr>
        <w:t xml:space="preserve">Another commenter stated that EPA </w:t>
      </w:r>
      <w:r w:rsidR="009B1B72">
        <w:rPr>
          <w:rFonts w:ascii="Times New Roman" w:hAnsi="Times New Roman"/>
          <w:sz w:val="24"/>
        </w:rPr>
        <w:t>does not have</w:t>
      </w:r>
      <w:r w:rsidRPr="006F68E9">
        <w:rPr>
          <w:rFonts w:ascii="Times New Roman" w:hAnsi="Times New Roman"/>
          <w:sz w:val="24"/>
        </w:rPr>
        <w:t xml:space="preserve"> authority to investigate and prosecute workplace disciplinary disputes between an employee and employer. </w:t>
      </w:r>
      <w:r w:rsidR="009B1B72">
        <w:rPr>
          <w:rFonts w:ascii="Times New Roman" w:hAnsi="Times New Roman"/>
          <w:sz w:val="24"/>
        </w:rPr>
        <w:t>The comment</w:t>
      </w:r>
      <w:r w:rsidR="00173F5E">
        <w:rPr>
          <w:rFonts w:ascii="Times New Roman" w:hAnsi="Times New Roman"/>
          <w:sz w:val="24"/>
        </w:rPr>
        <w:t>e</w:t>
      </w:r>
      <w:r w:rsidR="009B1B72">
        <w:rPr>
          <w:rFonts w:ascii="Times New Roman" w:hAnsi="Times New Roman"/>
          <w:sz w:val="24"/>
        </w:rPr>
        <w:t xml:space="preserve">r further stated </w:t>
      </w:r>
      <w:r w:rsidRPr="009B1B72" w:rsidR="009B1B72">
        <w:rPr>
          <w:rFonts w:ascii="Times New Roman" w:hAnsi="Times New Roman"/>
          <w:sz w:val="24"/>
        </w:rPr>
        <w:t xml:space="preserve">OSHA already </w:t>
      </w:r>
      <w:r w:rsidR="00173F5E">
        <w:rPr>
          <w:rFonts w:ascii="Times New Roman" w:hAnsi="Times New Roman"/>
          <w:sz w:val="24"/>
        </w:rPr>
        <w:t>governs</w:t>
      </w:r>
      <w:r w:rsidRPr="009B1B72" w:rsidR="00173F5E">
        <w:rPr>
          <w:rFonts w:ascii="Times New Roman" w:hAnsi="Times New Roman"/>
          <w:sz w:val="24"/>
        </w:rPr>
        <w:t xml:space="preserve"> </w:t>
      </w:r>
      <w:r w:rsidRPr="009B1B72" w:rsidR="009B1B72">
        <w:rPr>
          <w:rFonts w:ascii="Times New Roman" w:hAnsi="Times New Roman"/>
          <w:sz w:val="24"/>
        </w:rPr>
        <w:t xml:space="preserve">a complaint resolution process </w:t>
      </w:r>
      <w:r w:rsidR="00173F5E">
        <w:rPr>
          <w:rFonts w:ascii="Times New Roman" w:hAnsi="Times New Roman"/>
          <w:sz w:val="24"/>
        </w:rPr>
        <w:t>through its</w:t>
      </w:r>
      <w:r w:rsidRPr="009B1B72" w:rsidR="009B1B72">
        <w:rPr>
          <w:rFonts w:ascii="Times New Roman" w:hAnsi="Times New Roman"/>
          <w:sz w:val="24"/>
        </w:rPr>
        <w:t xml:space="preserve"> statutory authorities. </w:t>
      </w:r>
      <w:r w:rsidRPr="006F68E9">
        <w:rPr>
          <w:rFonts w:ascii="Times New Roman" w:hAnsi="Times New Roman"/>
          <w:sz w:val="24"/>
        </w:rPr>
        <w:t xml:space="preserve">The commenter </w:t>
      </w:r>
      <w:r w:rsidR="0036428E">
        <w:rPr>
          <w:rFonts w:ascii="Times New Roman" w:hAnsi="Times New Roman"/>
          <w:sz w:val="24"/>
        </w:rPr>
        <w:t>also stated that</w:t>
      </w:r>
      <w:r w:rsidRPr="009B1B72" w:rsidR="009B1B72">
        <w:rPr>
          <w:rFonts w:ascii="Times New Roman" w:hAnsi="Times New Roman"/>
          <w:sz w:val="24"/>
        </w:rPr>
        <w:t xml:space="preserve"> disciplinary disputes often implicate</w:t>
      </w:r>
      <w:r w:rsidRPr="006F68E9">
        <w:rPr>
          <w:rFonts w:ascii="Times New Roman" w:hAnsi="Times New Roman"/>
          <w:sz w:val="24"/>
        </w:rPr>
        <w:t xml:space="preserve"> collective bargaining</w:t>
      </w:r>
      <w:r w:rsidR="0036428E">
        <w:rPr>
          <w:rFonts w:ascii="Times New Roman" w:hAnsi="Times New Roman"/>
          <w:sz w:val="24"/>
        </w:rPr>
        <w:t xml:space="preserve">, </w:t>
      </w:r>
      <w:r w:rsidRPr="009B1B72" w:rsidR="009B1B72">
        <w:rPr>
          <w:rFonts w:ascii="Times New Roman" w:hAnsi="Times New Roman"/>
          <w:sz w:val="24"/>
        </w:rPr>
        <w:t>governed by</w:t>
      </w:r>
      <w:r w:rsidRPr="006F68E9">
        <w:rPr>
          <w:rFonts w:ascii="Times New Roman" w:hAnsi="Times New Roman"/>
          <w:sz w:val="24"/>
        </w:rPr>
        <w:t xml:space="preserve"> the National Labor Relations Act </w:t>
      </w:r>
      <w:r w:rsidR="0036428E">
        <w:rPr>
          <w:rFonts w:ascii="Times New Roman" w:hAnsi="Times New Roman"/>
          <w:sz w:val="24"/>
        </w:rPr>
        <w:t xml:space="preserve">and </w:t>
      </w:r>
      <w:r w:rsidRPr="009B1B72" w:rsidR="009B1B72">
        <w:rPr>
          <w:rFonts w:ascii="Times New Roman" w:hAnsi="Times New Roman"/>
          <w:sz w:val="24"/>
        </w:rPr>
        <w:t>such disputes fall outside its statutory authority.</w:t>
      </w:r>
      <w:r w:rsidRPr="006F68E9">
        <w:rPr>
          <w:rFonts w:ascii="Times New Roman" w:hAnsi="Times New Roman"/>
          <w:sz w:val="24"/>
        </w:rPr>
        <w:t xml:space="preserve"> (0272). </w:t>
      </w:r>
    </w:p>
    <w:p w:rsidR="00C52FE2" w:rsidP="00C52FE2" w14:paraId="2A4D3B05" w14:textId="49A959A8">
      <w:pPr>
        <w:ind w:left="720"/>
        <w:rPr>
          <w:rFonts w:ascii="Times New Roman" w:eastAsia="Times New Roman" w:hAnsi="Times New Roman"/>
          <w:color w:val="000000" w:themeColor="text1"/>
          <w:sz w:val="24"/>
        </w:rPr>
      </w:pPr>
      <w:r w:rsidRPr="00CA0324">
        <w:rPr>
          <w:rFonts w:ascii="Times New Roman" w:hAnsi="Times New Roman"/>
          <w:b/>
          <w:bCs/>
          <w:sz w:val="24"/>
        </w:rPr>
        <w:t xml:space="preserve">EPA Response: </w:t>
      </w:r>
      <w:r>
        <w:rPr>
          <w:rFonts w:ascii="Times New Roman" w:eastAsia="Times New Roman" w:hAnsi="Times New Roman"/>
          <w:color w:val="000000" w:themeColor="text1"/>
          <w:sz w:val="24"/>
        </w:rPr>
        <w:t xml:space="preserve"> </w:t>
      </w:r>
      <w:r w:rsidRPr="00DA345E" w:rsidR="00DA345E">
        <w:rPr>
          <w:rFonts w:ascii="Times New Roman" w:eastAsia="Times New Roman" w:hAnsi="Times New Roman"/>
          <w:color w:val="000000" w:themeColor="text1"/>
          <w:sz w:val="24"/>
        </w:rPr>
        <w:t xml:space="preserve">EPA disagrees that this provision presents additional legal issues. </w:t>
      </w:r>
      <w:r w:rsidRPr="002E0915" w:rsidR="002E0915">
        <w:rPr>
          <w:rFonts w:ascii="Times New Roman" w:eastAsia="Times New Roman" w:hAnsi="Times New Roman"/>
          <w:color w:val="000000" w:themeColor="text1"/>
          <w:sz w:val="24"/>
        </w:rPr>
        <w:t xml:space="preserve">This provision does not transfer decision-making responsibility to employees and their representatives. The provision also does not attempt to shift ultimate accountability to the employee for decisions that the owner or operator is responsible for. For example, at 40 CFR 68.67(e), the PHA provision indicates the owner or operator shall establish a system to promptly address the team's findings and recommendations, to assure that the recommendations are resolved in a timely manner, and that the resolutions are documented. </w:t>
      </w:r>
      <w:r w:rsidRPr="212D6991" w:rsidR="44E12E78">
        <w:rPr>
          <w:rFonts w:ascii="Times New Roman" w:eastAsia="Times New Roman" w:hAnsi="Times New Roman"/>
          <w:color w:val="000000" w:themeColor="text1"/>
          <w:sz w:val="24"/>
        </w:rPr>
        <w:t>Under</w:t>
      </w:r>
      <w:r w:rsidRPr="002E0915" w:rsidR="002E0915">
        <w:rPr>
          <w:rFonts w:ascii="Times New Roman" w:eastAsia="Times New Roman" w:hAnsi="Times New Roman"/>
          <w:color w:val="000000" w:themeColor="text1"/>
          <w:sz w:val="24"/>
        </w:rPr>
        <w:t xml:space="preserve"> this provision, the regulated entity remains the owner or operator of the stationary source. The requirement to consult with employees and their representatives does not make employees the decision-making authority. This provision does, however, provide for consultation that gives employees the opportunity to provide their input and perspective, based on their firsthand knowledge of specific process safety </w:t>
      </w:r>
      <w:r w:rsidRPr="002E0915" w:rsidR="008C265A">
        <w:rPr>
          <w:rFonts w:ascii="Times New Roman" w:eastAsia="Times New Roman" w:hAnsi="Times New Roman"/>
          <w:color w:val="000000" w:themeColor="text1"/>
          <w:sz w:val="24"/>
        </w:rPr>
        <w:t>concerns before</w:t>
      </w:r>
      <w:r w:rsidRPr="002E0915" w:rsidR="002E0915">
        <w:rPr>
          <w:rFonts w:ascii="Times New Roman" w:eastAsia="Times New Roman" w:hAnsi="Times New Roman"/>
          <w:color w:val="000000" w:themeColor="text1"/>
          <w:sz w:val="24"/>
        </w:rPr>
        <w:t xml:space="preserve"> final decisions are made regarding whether to implement recommended process safety solutions. This provision helps ensure that a well-informed approach is applied when finalizing resolutions for reducing hazards and mitigating process safety risks</w:t>
      </w:r>
      <w:r w:rsidR="008C265A">
        <w:rPr>
          <w:rFonts w:ascii="Times New Roman" w:eastAsia="Times New Roman" w:hAnsi="Times New Roman"/>
          <w:color w:val="000000" w:themeColor="text1"/>
          <w:sz w:val="24"/>
        </w:rPr>
        <w:t xml:space="preserve">. </w:t>
      </w:r>
      <w:r w:rsidR="004E31DA">
        <w:rPr>
          <w:rFonts w:ascii="Times New Roman" w:hAnsi="Times New Roman"/>
          <w:sz w:val="24"/>
        </w:rPr>
        <w:t>As such, t</w:t>
      </w:r>
      <w:r w:rsidRPr="00DC3F27" w:rsidR="004E31DA">
        <w:rPr>
          <w:rFonts w:ascii="Times New Roman" w:hAnsi="Times New Roman"/>
          <w:sz w:val="24"/>
        </w:rPr>
        <w:t>hes</w:t>
      </w:r>
      <w:r w:rsidRPr="00DC3F27" w:rsidR="008C265A">
        <w:rPr>
          <w:rFonts w:ascii="Times New Roman" w:hAnsi="Times New Roman"/>
          <w:sz w:val="24"/>
        </w:rPr>
        <w:t xml:space="preserve">e </w:t>
      </w:r>
      <w:r w:rsidR="003C27E7">
        <w:rPr>
          <w:rFonts w:ascii="Times New Roman" w:eastAsia="Times New Roman" w:hAnsi="Times New Roman"/>
          <w:color w:val="000000" w:themeColor="text1"/>
          <w:sz w:val="24"/>
        </w:rPr>
        <w:t>RMP employee participation provisions</w:t>
      </w:r>
      <w:r w:rsidR="004E31DA">
        <w:rPr>
          <w:rFonts w:ascii="Times New Roman" w:eastAsia="Times New Roman" w:hAnsi="Times New Roman"/>
          <w:color w:val="000000" w:themeColor="text1"/>
          <w:sz w:val="24"/>
        </w:rPr>
        <w:t xml:space="preserve"> do not es</w:t>
      </w:r>
      <w:r w:rsidR="00AE22DD">
        <w:rPr>
          <w:rFonts w:ascii="Times New Roman" w:eastAsia="Times New Roman" w:hAnsi="Times New Roman"/>
          <w:color w:val="000000" w:themeColor="text1"/>
          <w:sz w:val="24"/>
        </w:rPr>
        <w:t>tablish regulations t</w:t>
      </w:r>
      <w:r w:rsidR="00BE3E8A">
        <w:rPr>
          <w:rFonts w:ascii="Times New Roman" w:eastAsia="Times New Roman" w:hAnsi="Times New Roman"/>
          <w:color w:val="000000" w:themeColor="text1"/>
          <w:sz w:val="24"/>
        </w:rPr>
        <w:t xml:space="preserve">o investigate or prosecute workplace disciplinary disputes and therefore </w:t>
      </w:r>
      <w:r w:rsidR="004E31DA">
        <w:rPr>
          <w:rFonts w:ascii="Times New Roman" w:eastAsia="Times New Roman" w:hAnsi="Times New Roman"/>
          <w:color w:val="000000" w:themeColor="text1"/>
          <w:sz w:val="24"/>
        </w:rPr>
        <w:t>would not be</w:t>
      </w:r>
      <w:r w:rsidR="009C764B">
        <w:rPr>
          <w:rFonts w:ascii="Times New Roman" w:eastAsia="Times New Roman" w:hAnsi="Times New Roman"/>
          <w:color w:val="000000" w:themeColor="text1"/>
          <w:sz w:val="24"/>
        </w:rPr>
        <w:t xml:space="preserve"> governed by the National Labor Relations Act. </w:t>
      </w:r>
    </w:p>
    <w:p w:rsidR="0FE866A9" w:rsidP="6E1AF50A" w14:paraId="71BB83FD" w14:textId="0B79EB11">
      <w:pPr>
        <w:ind w:left="720"/>
        <w:rPr>
          <w:rFonts w:ascii="Times New Roman" w:eastAsia="Times New Roman" w:hAnsi="Times New Roman"/>
          <w:color w:val="000000" w:themeColor="text1"/>
          <w:sz w:val="24"/>
        </w:rPr>
      </w:pPr>
      <w:r w:rsidRPr="5F8D63F4">
        <w:rPr>
          <w:rFonts w:ascii="Times New Roman" w:eastAsia="Times New Roman" w:hAnsi="Times New Roman"/>
          <w:color w:val="000000" w:themeColor="text1"/>
          <w:sz w:val="24"/>
        </w:rPr>
        <w:t>Regarding the assertion that EPA employee participation provisions i</w:t>
      </w:r>
      <w:r w:rsidRPr="5F8D63F4" w:rsidR="48EB9491">
        <w:rPr>
          <w:rFonts w:ascii="Times New Roman" w:eastAsia="Times New Roman" w:hAnsi="Times New Roman"/>
          <w:color w:val="000000" w:themeColor="text1"/>
          <w:sz w:val="24"/>
        </w:rPr>
        <w:t xml:space="preserve">mpermissibly </w:t>
      </w:r>
      <w:r w:rsidRPr="5F8D63F4" w:rsidR="20DA7A94">
        <w:rPr>
          <w:rFonts w:ascii="Times New Roman" w:eastAsia="Times New Roman" w:hAnsi="Times New Roman"/>
          <w:color w:val="000000" w:themeColor="text1"/>
          <w:sz w:val="24"/>
        </w:rPr>
        <w:t xml:space="preserve">regulates the </w:t>
      </w:r>
      <w:r w:rsidRPr="6AC75FC7" w:rsidR="20DA7A94">
        <w:rPr>
          <w:rFonts w:ascii="Times New Roman" w:eastAsia="Times New Roman" w:hAnsi="Times New Roman"/>
          <w:color w:val="000000" w:themeColor="text1"/>
          <w:sz w:val="24"/>
        </w:rPr>
        <w:t xml:space="preserve">workplace, worker safety issues, or is otherwise explicitly prohibited, </w:t>
      </w:r>
      <w:r w:rsidRPr="71CE7001" w:rsidR="5306E3EA">
        <w:rPr>
          <w:rFonts w:ascii="Times New Roman" w:eastAsia="Times New Roman" w:hAnsi="Times New Roman"/>
          <w:color w:val="000000" w:themeColor="text1"/>
          <w:sz w:val="24"/>
        </w:rPr>
        <w:t>we refer the commenters to the response to comment 1.3-03</w:t>
      </w:r>
      <w:r w:rsidRPr="19C5CABA" w:rsidR="5306E3EA">
        <w:rPr>
          <w:rFonts w:ascii="Times New Roman" w:eastAsia="Times New Roman" w:hAnsi="Times New Roman"/>
          <w:color w:val="000000" w:themeColor="text1"/>
          <w:sz w:val="24"/>
        </w:rPr>
        <w:t xml:space="preserve"> in this document, which discusses </w:t>
      </w:r>
      <w:r w:rsidRPr="19C5CABA" w:rsidR="779DF89C">
        <w:rPr>
          <w:rFonts w:ascii="Times New Roman" w:eastAsia="Times New Roman" w:hAnsi="Times New Roman"/>
          <w:color w:val="000000" w:themeColor="text1"/>
          <w:sz w:val="24"/>
        </w:rPr>
        <w:t xml:space="preserve">the relationship between OSHA’s and EPA’s statutory authority in this area, how </w:t>
      </w:r>
      <w:r w:rsidRPr="58ABC85D" w:rsidR="41D715B0">
        <w:rPr>
          <w:rFonts w:ascii="Times New Roman" w:eastAsia="Times New Roman" w:hAnsi="Times New Roman"/>
          <w:color w:val="000000" w:themeColor="text1"/>
          <w:sz w:val="24"/>
        </w:rPr>
        <w:t>enhancing</w:t>
      </w:r>
      <w:r w:rsidRPr="58ABC85D" w:rsidR="779DF89C">
        <w:rPr>
          <w:rFonts w:ascii="Times New Roman" w:eastAsia="Times New Roman" w:hAnsi="Times New Roman"/>
          <w:color w:val="000000" w:themeColor="text1"/>
          <w:sz w:val="24"/>
        </w:rPr>
        <w:t xml:space="preserve"> </w:t>
      </w:r>
      <w:r w:rsidRPr="19C5CABA" w:rsidR="779DF89C">
        <w:rPr>
          <w:rFonts w:ascii="Times New Roman" w:eastAsia="Times New Roman" w:hAnsi="Times New Roman"/>
          <w:color w:val="000000" w:themeColor="text1"/>
          <w:sz w:val="24"/>
        </w:rPr>
        <w:t xml:space="preserve">employee participation </w:t>
      </w:r>
      <w:r w:rsidRPr="58ABC85D" w:rsidR="6CB9EFB3">
        <w:rPr>
          <w:rFonts w:ascii="Times New Roman" w:eastAsia="Times New Roman" w:hAnsi="Times New Roman"/>
          <w:color w:val="000000" w:themeColor="text1"/>
          <w:sz w:val="24"/>
        </w:rPr>
        <w:t xml:space="preserve">enhances protection of </w:t>
      </w:r>
      <w:r w:rsidRPr="19C5CABA" w:rsidR="779DF89C">
        <w:rPr>
          <w:rFonts w:ascii="Times New Roman" w:eastAsia="Times New Roman" w:hAnsi="Times New Roman"/>
          <w:color w:val="000000" w:themeColor="text1"/>
          <w:sz w:val="24"/>
        </w:rPr>
        <w:t xml:space="preserve">the </w:t>
      </w:r>
      <w:r w:rsidRPr="58ABC85D" w:rsidR="6CB9EFB3">
        <w:rPr>
          <w:rFonts w:ascii="Times New Roman" w:eastAsia="Times New Roman" w:hAnsi="Times New Roman"/>
          <w:color w:val="000000" w:themeColor="text1"/>
          <w:sz w:val="24"/>
        </w:rPr>
        <w:t>public from the impacts</w:t>
      </w:r>
      <w:r w:rsidRPr="19C5CABA" w:rsidR="779DF89C">
        <w:rPr>
          <w:rFonts w:ascii="Times New Roman" w:eastAsia="Times New Roman" w:hAnsi="Times New Roman"/>
          <w:color w:val="000000" w:themeColor="text1"/>
          <w:sz w:val="24"/>
        </w:rPr>
        <w:t xml:space="preserve"> of </w:t>
      </w:r>
      <w:r w:rsidRPr="58ABC85D" w:rsidR="6CB9EFB3">
        <w:rPr>
          <w:rFonts w:ascii="Times New Roman" w:eastAsia="Times New Roman" w:hAnsi="Times New Roman"/>
          <w:color w:val="000000" w:themeColor="text1"/>
          <w:sz w:val="24"/>
        </w:rPr>
        <w:t>chemical accidents</w:t>
      </w:r>
      <w:r w:rsidRPr="58ABC85D" w:rsidR="61DC5DD2">
        <w:rPr>
          <w:rFonts w:ascii="Times New Roman" w:eastAsia="Times New Roman" w:hAnsi="Times New Roman"/>
          <w:color w:val="000000" w:themeColor="text1"/>
          <w:sz w:val="24"/>
        </w:rPr>
        <w:t>, and the origin</w:t>
      </w:r>
      <w:r w:rsidRPr="34850C0D" w:rsidR="6841B237">
        <w:rPr>
          <w:rFonts w:ascii="Times New Roman" w:eastAsia="Times New Roman" w:hAnsi="Times New Roman"/>
          <w:color w:val="000000" w:themeColor="text1"/>
          <w:sz w:val="24"/>
        </w:rPr>
        <w:t>,</w:t>
      </w:r>
      <w:r w:rsidRPr="34850C0D" w:rsidR="61DC5DD2">
        <w:rPr>
          <w:rFonts w:ascii="Times New Roman" w:eastAsia="Times New Roman" w:hAnsi="Times New Roman"/>
          <w:color w:val="000000" w:themeColor="text1"/>
          <w:sz w:val="24"/>
        </w:rPr>
        <w:t xml:space="preserve"> purpose </w:t>
      </w:r>
      <w:r w:rsidRPr="34850C0D" w:rsidR="39A5C64C">
        <w:rPr>
          <w:rFonts w:ascii="Times New Roman" w:eastAsia="Times New Roman" w:hAnsi="Times New Roman"/>
          <w:color w:val="000000" w:themeColor="text1"/>
          <w:sz w:val="24"/>
        </w:rPr>
        <w:t>and meaning</w:t>
      </w:r>
      <w:r w:rsidRPr="58ABC85D" w:rsidR="61DC5DD2">
        <w:rPr>
          <w:rFonts w:ascii="Times New Roman" w:eastAsia="Times New Roman" w:hAnsi="Times New Roman"/>
          <w:color w:val="000000" w:themeColor="text1"/>
          <w:sz w:val="24"/>
        </w:rPr>
        <w:t xml:space="preserve"> of </w:t>
      </w:r>
      <w:r w:rsidRPr="34850C0D" w:rsidR="61DC5DD2">
        <w:rPr>
          <w:rFonts w:ascii="Times New Roman" w:eastAsia="Times New Roman" w:hAnsi="Times New Roman"/>
          <w:color w:val="000000" w:themeColor="text1"/>
          <w:sz w:val="24"/>
        </w:rPr>
        <w:t xml:space="preserve">CAA 112(r)(7)(G), </w:t>
      </w:r>
      <w:r w:rsidRPr="34850C0D" w:rsidR="18DC205C">
        <w:rPr>
          <w:rFonts w:ascii="Times New Roman" w:eastAsia="Times New Roman" w:hAnsi="Times New Roman"/>
          <w:color w:val="000000" w:themeColor="text1"/>
          <w:sz w:val="24"/>
        </w:rPr>
        <w:t xml:space="preserve">regarding whether EPA’s exercise </w:t>
      </w:r>
      <w:r w:rsidRPr="574DCBAE" w:rsidR="18DC205C">
        <w:rPr>
          <w:rFonts w:ascii="Times New Roman" w:eastAsia="Times New Roman" w:hAnsi="Times New Roman"/>
          <w:color w:val="000000" w:themeColor="text1"/>
          <w:sz w:val="24"/>
        </w:rPr>
        <w:t xml:space="preserve">of CAA 112(r) authority may </w:t>
      </w:r>
      <w:r w:rsidRPr="574DCBAE" w:rsidR="244B390D">
        <w:rPr>
          <w:rFonts w:ascii="Times New Roman" w:eastAsia="Times New Roman" w:hAnsi="Times New Roman"/>
          <w:color w:val="000000" w:themeColor="text1"/>
          <w:sz w:val="24"/>
        </w:rPr>
        <w:t xml:space="preserve">be deemed to be </w:t>
      </w:r>
      <w:r w:rsidRPr="62A05866" w:rsidR="6D962793">
        <w:rPr>
          <w:rFonts w:ascii="Times New Roman" w:eastAsia="Times New Roman" w:hAnsi="Times New Roman"/>
          <w:color w:val="000000" w:themeColor="text1"/>
          <w:sz w:val="24"/>
        </w:rPr>
        <w:t>exercising</w:t>
      </w:r>
      <w:r w:rsidRPr="574DCBAE" w:rsidR="244B390D">
        <w:rPr>
          <w:rFonts w:ascii="Times New Roman" w:eastAsia="Times New Roman" w:hAnsi="Times New Roman"/>
          <w:color w:val="000000" w:themeColor="text1"/>
          <w:sz w:val="24"/>
        </w:rPr>
        <w:t xml:space="preserve"> authority </w:t>
      </w:r>
      <w:r w:rsidRPr="5BF5A110" w:rsidR="6D962793">
        <w:rPr>
          <w:rFonts w:ascii="Times New Roman" w:eastAsia="Times New Roman" w:hAnsi="Times New Roman"/>
          <w:color w:val="000000" w:themeColor="text1"/>
          <w:sz w:val="24"/>
        </w:rPr>
        <w:t>over occupational safety</w:t>
      </w:r>
      <w:r w:rsidRPr="5BF5A110" w:rsidR="67CDC48D">
        <w:rPr>
          <w:rFonts w:ascii="Times New Roman" w:eastAsia="Times New Roman" w:hAnsi="Times New Roman"/>
          <w:color w:val="000000" w:themeColor="text1"/>
          <w:sz w:val="24"/>
        </w:rPr>
        <w:t xml:space="preserve"> and health. </w:t>
      </w:r>
    </w:p>
    <w:p w:rsidR="00AF00CF" w:rsidRPr="00AF00CF" w:rsidP="00C52FE2" w14:paraId="44E7DDEA" w14:textId="06D898B2">
      <w:pPr>
        <w:ind w:left="720"/>
        <w:rPr>
          <w:rFonts w:ascii="Times New Roman" w:hAnsi="Times New Roman"/>
          <w:sz w:val="24"/>
        </w:rPr>
      </w:pPr>
      <w:r w:rsidRPr="00AF00CF">
        <w:rPr>
          <w:rFonts w:ascii="Times New Roman" w:hAnsi="Times New Roman"/>
          <w:sz w:val="24"/>
        </w:rPr>
        <w:t xml:space="preserve">Further, for many years, including rulemakings finalized in 2017 and 2019, 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Appendix A to this document), staff from the agencies discussed the development of the RMP SCCAP Rule and potential issues to be addressed by EPA. These discussions included the </w:t>
      </w:r>
      <w:r>
        <w:rPr>
          <w:rFonts w:ascii="Times New Roman" w:hAnsi="Times New Roman"/>
          <w:sz w:val="24"/>
        </w:rPr>
        <w:t>employee participation</w:t>
      </w:r>
      <w:r w:rsidRPr="00AF00CF">
        <w:rPr>
          <w:rFonts w:ascii="Times New Roman" w:hAnsi="Times New Roman"/>
          <w:sz w:val="24"/>
        </w:rPr>
        <w:t xml:space="preserve"> requirements to ensure the RMP regulations do not create conflicting requirements with OSHA’s PSM standard.</w:t>
      </w:r>
    </w:p>
    <w:p w:rsidR="00C52FE2" w:rsidRPr="006F68E9" w:rsidP="00C52FE2" w14:paraId="6FDDED14" w14:textId="77777777">
      <w:pPr>
        <w:rPr>
          <w:rFonts w:ascii="Times New Roman" w:hAnsi="Times New Roman"/>
          <w:sz w:val="24"/>
        </w:rPr>
      </w:pPr>
      <w:r w:rsidRPr="00F23901">
        <w:rPr>
          <w:rFonts w:ascii="Times New Roman" w:hAnsi="Times New Roman"/>
          <w:b/>
          <w:bCs/>
          <w:sz w:val="24"/>
        </w:rPr>
        <w:t>Comment</w:t>
      </w:r>
      <w:r>
        <w:rPr>
          <w:rFonts w:ascii="Times New Roman" w:hAnsi="Times New Roman"/>
          <w:b/>
          <w:bCs/>
          <w:sz w:val="24"/>
        </w:rPr>
        <w:t xml:space="preserve"> 9.1-02</w:t>
      </w:r>
      <w:r w:rsidRPr="00F23901">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Several commenters </w:t>
      </w:r>
      <w:r>
        <w:rPr>
          <w:rFonts w:ascii="Times New Roman" w:hAnsi="Times New Roman"/>
          <w:sz w:val="24"/>
        </w:rPr>
        <w:t>said</w:t>
      </w:r>
      <w:r w:rsidRPr="006F68E9">
        <w:rPr>
          <w:rFonts w:ascii="Times New Roman" w:hAnsi="Times New Roman"/>
          <w:sz w:val="24"/>
        </w:rPr>
        <w:t xml:space="preserve">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is duplicative to PSM requirements under OSHA (0184, 0205, 0223, 0237). One of the commenters stated that the RMP and PSM should be complimentary of each other to avoid duplicative work (0205). A couple of commenters echoed that OSHA’s PSM policy sufficiently covers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text (0184, 0237). Several commenters stated that requirements to include employees in written plans of action in the proposal is duplicative of PSM as it is already required in PHAs (0180, 0217, 0226, 0234, 0275, 0458). Another commenter </w:t>
      </w:r>
      <w:r>
        <w:rPr>
          <w:rFonts w:ascii="Times New Roman" w:hAnsi="Times New Roman"/>
          <w:sz w:val="24"/>
        </w:rPr>
        <w:t>said</w:t>
      </w:r>
      <w:r w:rsidRPr="006F68E9">
        <w:rPr>
          <w:rFonts w:ascii="Times New Roman" w:hAnsi="Times New Roman"/>
          <w:sz w:val="24"/>
        </w:rPr>
        <w:t xml:space="preserve"> that PSM and RMP regulations already </w:t>
      </w:r>
      <w:r w:rsidRPr="006F68E9">
        <w:rPr>
          <w:rFonts w:ascii="Times New Roman" w:hAnsi="Times New Roman"/>
          <w:sz w:val="24"/>
        </w:rPr>
        <w:t>include employee participation requirements</w:t>
      </w:r>
      <w:r>
        <w:rPr>
          <w:rFonts w:ascii="Times New Roman" w:hAnsi="Times New Roman"/>
          <w:sz w:val="24"/>
        </w:rPr>
        <w:t xml:space="preserve"> and asserted</w:t>
      </w:r>
      <w:r w:rsidRPr="006F68E9">
        <w:rPr>
          <w:rFonts w:ascii="Times New Roman" w:hAnsi="Times New Roman"/>
          <w:sz w:val="24"/>
        </w:rPr>
        <w:t xml:space="preserve"> that the proposed requirements exceed EPA authority (0268).</w:t>
      </w:r>
      <w:r w:rsidRPr="006F68E9">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EPA should further consult with OSHA about adopting information and training provisions (0203). </w:t>
      </w:r>
      <w:r w:rsidRPr="006F68E9">
        <w:rPr>
          <w:rFonts w:ascii="Times New Roman" w:eastAsia="Times New Roman" w:hAnsi="Times New Roman"/>
          <w:sz w:val="24"/>
        </w:rPr>
        <w:t xml:space="preserve">Another commenter </w:t>
      </w:r>
      <w:r>
        <w:rPr>
          <w:rFonts w:ascii="Times New Roman" w:eastAsia="Times New Roman" w:hAnsi="Times New Roman"/>
          <w:sz w:val="24"/>
        </w:rPr>
        <w:t>stated</w:t>
      </w:r>
      <w:r w:rsidRPr="006F68E9">
        <w:rPr>
          <w:rFonts w:ascii="Times New Roman" w:eastAsia="Times New Roman" w:hAnsi="Times New Roman"/>
          <w:sz w:val="24"/>
        </w:rPr>
        <w:t xml:space="preserve"> that EPA should defer to OSHA when deciding the appropriate level of employee participation (0233</w:t>
      </w:r>
      <w:r>
        <w:rPr>
          <w:rFonts w:ascii="Times New Roman" w:eastAsia="Times New Roman" w:hAnsi="Times New Roman"/>
          <w:sz w:val="24"/>
        </w:rPr>
        <w:t>).</w:t>
      </w:r>
    </w:p>
    <w:p w:rsidR="00C52FE2" w:rsidP="00C52FE2" w14:paraId="2FDD164C"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stated</w:t>
      </w:r>
      <w:r w:rsidRPr="006F68E9">
        <w:rPr>
          <w:rFonts w:ascii="Times New Roman" w:hAnsi="Times New Roman"/>
          <w:sz w:val="24"/>
        </w:rPr>
        <w:t xml:space="preserve"> that at RCRA regulated facilities</w:t>
      </w:r>
      <w:r>
        <w:rPr>
          <w:rFonts w:ascii="Times New Roman" w:hAnsi="Times New Roman"/>
          <w:sz w:val="24"/>
        </w:rPr>
        <w:t>,</w:t>
      </w:r>
      <w:r w:rsidRPr="006F68E9">
        <w:rPr>
          <w:rFonts w:ascii="Times New Roman" w:hAnsi="Times New Roman"/>
          <w:sz w:val="24"/>
        </w:rPr>
        <w:t xml:space="preserve"> provisions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are already taking place and therefore more efforts would be duplicative (0262).</w:t>
      </w:r>
    </w:p>
    <w:p w:rsidR="00C52FE2" w:rsidP="00C52FE2" w14:paraId="4FAD292A" w14:textId="77777777">
      <w:pPr>
        <w:rPr>
          <w:rFonts w:ascii="Times New Roman" w:eastAsia="Times New Roman" w:hAnsi="Times New Roman"/>
          <w:sz w:val="24"/>
        </w:rPr>
      </w:pPr>
      <w:r w:rsidRPr="006F68E9">
        <w:rPr>
          <w:rFonts w:ascii="Times New Roman" w:eastAsia="Times New Roman" w:hAnsi="Times New Roman"/>
          <w:sz w:val="24"/>
        </w:rPr>
        <w:t xml:space="preserve">One commenter </w:t>
      </w:r>
      <w:r>
        <w:rPr>
          <w:rFonts w:ascii="Times New Roman" w:eastAsia="Times New Roman" w:hAnsi="Times New Roman"/>
          <w:sz w:val="24"/>
        </w:rPr>
        <w:t>said</w:t>
      </w:r>
      <w:r w:rsidRPr="006F68E9">
        <w:rPr>
          <w:rFonts w:ascii="Times New Roman" w:eastAsia="Times New Roman" w:hAnsi="Times New Roman"/>
          <w:sz w:val="24"/>
        </w:rPr>
        <w:t xml:space="preserve"> that employees are notified of PSM and RMP changes through SOPs, PHAs, and other pertinent information and participate in SOP creation, PHA review, and other sub-elements already. As such, the commenter stated that they believe this proposed regulation change is not necessary (0181).</w:t>
      </w:r>
    </w:p>
    <w:p w:rsidR="00B83957" w:rsidRPr="00522B80" w:rsidP="00C52FE2" w14:paraId="3CB27C8A" w14:textId="6D6C41E9">
      <w:pPr>
        <w:ind w:left="720"/>
        <w:rPr>
          <w:rFonts w:ascii="Times New Roman" w:hAnsi="Times New Roman"/>
          <w:sz w:val="24"/>
        </w:rPr>
      </w:pPr>
      <w:r w:rsidRPr="000F6AE3">
        <w:rPr>
          <w:rFonts w:ascii="Times New Roman" w:hAnsi="Times New Roman"/>
          <w:b/>
          <w:bCs/>
          <w:sz w:val="24"/>
        </w:rPr>
        <w:t>EPA Response:</w:t>
      </w:r>
      <w:r w:rsidRPr="000F6AE3">
        <w:rPr>
          <w:rFonts w:ascii="Times New Roman" w:hAnsi="Times New Roman"/>
          <w:sz w:val="24"/>
        </w:rPr>
        <w:t xml:space="preserve"> </w:t>
      </w:r>
      <w:r w:rsidRPr="00577BF3" w:rsidR="00577BF3">
        <w:t xml:space="preserve"> </w:t>
      </w:r>
      <w:r w:rsidRPr="00522B80">
        <w:rPr>
          <w:rFonts w:ascii="Times New Roman" w:eastAsia="Times New Roman" w:hAnsi="Times New Roman"/>
          <w:color w:val="000000" w:themeColor="text1"/>
          <w:sz w:val="24"/>
        </w:rPr>
        <w:t>With regard</w:t>
      </w:r>
      <w:r w:rsidRPr="00522B80" w:rsidR="001A0EF6">
        <w:rPr>
          <w:rFonts w:ascii="Times New Roman" w:eastAsia="Times New Roman" w:hAnsi="Times New Roman"/>
          <w:color w:val="000000" w:themeColor="text1"/>
          <w:sz w:val="24"/>
        </w:rPr>
        <w:t xml:space="preserve"> to comments </w:t>
      </w:r>
      <w:r w:rsidRPr="00522B80">
        <w:rPr>
          <w:rFonts w:ascii="Times New Roman" w:eastAsia="Times New Roman" w:hAnsi="Times New Roman"/>
          <w:color w:val="000000" w:themeColor="text1"/>
          <w:sz w:val="24"/>
        </w:rPr>
        <w:t>that noted potential overlap</w:t>
      </w:r>
      <w:r w:rsidRPr="00522B80" w:rsidR="00D676A1">
        <w:rPr>
          <w:rFonts w:ascii="Times New Roman" w:eastAsia="Times New Roman" w:hAnsi="Times New Roman"/>
          <w:color w:val="000000" w:themeColor="text1"/>
          <w:sz w:val="24"/>
        </w:rPr>
        <w:t xml:space="preserve"> with </w:t>
      </w:r>
      <w:r w:rsidRPr="00522B80">
        <w:rPr>
          <w:rFonts w:ascii="Times New Roman" w:eastAsia="Times New Roman" w:hAnsi="Times New Roman"/>
          <w:color w:val="000000" w:themeColor="text1"/>
          <w:sz w:val="24"/>
        </w:rPr>
        <w:t xml:space="preserve">existing regulations, EPA notes that a regulated source already subject to another requirement that duplicates the </w:t>
      </w:r>
      <w:r w:rsidRPr="00522B80" w:rsidR="00522B80">
        <w:rPr>
          <w:rFonts w:ascii="Times New Roman" w:eastAsia="Times New Roman" w:hAnsi="Times New Roman"/>
          <w:color w:val="000000" w:themeColor="text1"/>
          <w:sz w:val="24"/>
        </w:rPr>
        <w:t>RMP employee participation</w:t>
      </w:r>
      <w:r w:rsidRPr="00522B80">
        <w:rPr>
          <w:rFonts w:ascii="Times New Roman" w:eastAsia="Times New Roman" w:hAnsi="Times New Roman"/>
          <w:color w:val="000000" w:themeColor="text1"/>
          <w:sz w:val="24"/>
        </w:rPr>
        <w:t xml:space="preserve"> requirement</w:t>
      </w:r>
      <w:r w:rsidRPr="00522B80" w:rsidR="00522B80">
        <w:rPr>
          <w:rFonts w:ascii="Times New Roman" w:eastAsia="Times New Roman" w:hAnsi="Times New Roman"/>
          <w:color w:val="000000" w:themeColor="text1"/>
          <w:sz w:val="24"/>
        </w:rPr>
        <w:t>s</w:t>
      </w:r>
      <w:r w:rsidRPr="00522B80">
        <w:rPr>
          <w:rFonts w:ascii="Times New Roman" w:eastAsia="Times New Roman" w:hAnsi="Times New Roman"/>
          <w:color w:val="000000" w:themeColor="text1"/>
          <w:sz w:val="24"/>
        </w:rPr>
        <w:t xml:space="preserve"> may use its compliance with the other requirement to demonstrate compliance with the equivalent RMP </w:t>
      </w:r>
      <w:r w:rsidRPr="00522B80" w:rsidR="00522B80">
        <w:rPr>
          <w:rFonts w:ascii="Times New Roman" w:eastAsia="Times New Roman" w:hAnsi="Times New Roman"/>
          <w:color w:val="000000" w:themeColor="text1"/>
          <w:sz w:val="24"/>
        </w:rPr>
        <w:t>employee participation provisions</w:t>
      </w:r>
      <w:r w:rsidRPr="00522B80">
        <w:rPr>
          <w:rFonts w:ascii="Times New Roman" w:eastAsia="Times New Roman" w:hAnsi="Times New Roman"/>
          <w:color w:val="000000" w:themeColor="text1"/>
          <w:sz w:val="24"/>
        </w:rPr>
        <w:t>.</w:t>
      </w:r>
    </w:p>
    <w:p w:rsidR="00450337" w:rsidP="00C52FE2" w14:paraId="6749FB38" w14:textId="7A8A1917">
      <w:pPr>
        <w:ind w:left="720"/>
        <w:rPr>
          <w:rFonts w:ascii="Times New Roman" w:hAnsi="Times New Roman"/>
          <w:sz w:val="24"/>
        </w:rPr>
      </w:pPr>
      <w:r w:rsidRPr="00522B80">
        <w:rPr>
          <w:rFonts w:ascii="Times New Roman" w:hAnsi="Times New Roman"/>
          <w:sz w:val="24"/>
        </w:rPr>
        <w:t>In regard to</w:t>
      </w:r>
      <w:r w:rsidRPr="00522B80" w:rsidR="00177B1C">
        <w:rPr>
          <w:rFonts w:ascii="Times New Roman" w:hAnsi="Times New Roman"/>
          <w:sz w:val="24"/>
        </w:rPr>
        <w:t xml:space="preserve"> comments </w:t>
      </w:r>
      <w:r w:rsidR="009C2760">
        <w:rPr>
          <w:rFonts w:ascii="Times New Roman" w:hAnsi="Times New Roman"/>
          <w:sz w:val="24"/>
        </w:rPr>
        <w:t>of</w:t>
      </w:r>
      <w:r w:rsidRPr="00522B80" w:rsidR="00177B1C">
        <w:rPr>
          <w:rFonts w:ascii="Times New Roman" w:hAnsi="Times New Roman"/>
          <w:sz w:val="24"/>
        </w:rPr>
        <w:t xml:space="preserve"> </w:t>
      </w:r>
      <w:r w:rsidRPr="00522B80" w:rsidR="00D676A1">
        <w:rPr>
          <w:rFonts w:ascii="Times New Roman" w:hAnsi="Times New Roman"/>
          <w:sz w:val="24"/>
        </w:rPr>
        <w:t>OSHA</w:t>
      </w:r>
      <w:r w:rsidR="00D676A1">
        <w:rPr>
          <w:rFonts w:ascii="Times New Roman" w:hAnsi="Times New Roman"/>
          <w:sz w:val="24"/>
        </w:rPr>
        <w:t xml:space="preserve"> </w:t>
      </w:r>
      <w:r w:rsidRPr="00522B80" w:rsidR="00D676A1">
        <w:rPr>
          <w:rFonts w:ascii="Times New Roman" w:hAnsi="Times New Roman"/>
          <w:sz w:val="24"/>
        </w:rPr>
        <w:t>PSM regulations</w:t>
      </w:r>
      <w:r w:rsidR="009C2760">
        <w:rPr>
          <w:rFonts w:ascii="Times New Roman" w:hAnsi="Times New Roman"/>
          <w:sz w:val="24"/>
        </w:rPr>
        <w:t xml:space="preserve"> </w:t>
      </w:r>
      <w:r w:rsidRPr="00522B80" w:rsidR="00522B80">
        <w:rPr>
          <w:rFonts w:ascii="Times New Roman" w:hAnsi="Times New Roman"/>
          <w:sz w:val="24"/>
        </w:rPr>
        <w:t>being complimentary</w:t>
      </w:r>
      <w:r w:rsidRPr="00522B80" w:rsidR="00D676A1">
        <w:rPr>
          <w:rFonts w:ascii="Times New Roman" w:hAnsi="Times New Roman"/>
          <w:sz w:val="24"/>
        </w:rPr>
        <w:t xml:space="preserve">, EPA notes that </w:t>
      </w:r>
      <w:r w:rsidRPr="00522B80" w:rsidR="00177B1C">
        <w:rPr>
          <w:rFonts w:ascii="Times New Roman" w:hAnsi="Times New Roman"/>
          <w:sz w:val="24"/>
        </w:rPr>
        <w:t>e</w:t>
      </w:r>
      <w:r w:rsidRPr="00522B80" w:rsidR="00577BF3">
        <w:rPr>
          <w:rFonts w:ascii="Times New Roman" w:hAnsi="Times New Roman"/>
          <w:sz w:val="24"/>
        </w:rPr>
        <w:t>ach</w:t>
      </w:r>
      <w:r w:rsidRPr="00577BF3" w:rsidR="00577BF3">
        <w:rPr>
          <w:rFonts w:ascii="Times New Roman" w:hAnsi="Times New Roman"/>
          <w:sz w:val="24"/>
        </w:rPr>
        <w:t xml:space="preserve"> agency has distinct rulemaking procedures and the statute itself contemplates that the rulemakings may proceed on different schedules. OSHA’s rulemaking under section 304 of the CAAA of 1990 was due within 1 year of enactment, while EPA’s list rule was due 2 years after enactment and the RMP rule was due 3 years after enactment. Due to the statutory structure, it is not unreasonable for there to be some lack of synchronous process. Nevertheless, EPA has coordinated, and will continue to coordinate, with OSHA on revisions to the RMP rule and PSM standard to ensure RMP provisions do not contradict OSHA PSM requirements.  </w:t>
      </w:r>
    </w:p>
    <w:p w:rsidR="00C52FE2" w:rsidRPr="00DC14C4" w:rsidP="00C52FE2" w14:paraId="41111C01" w14:textId="65A95C78">
      <w:pPr>
        <w:ind w:left="720"/>
        <w:rPr>
          <w:rFonts w:ascii="Times New Roman" w:hAnsi="Times New Roman"/>
          <w:sz w:val="24"/>
        </w:rPr>
      </w:pPr>
      <w:r>
        <w:rPr>
          <w:rFonts w:ascii="Times New Roman" w:hAnsi="Times New Roman"/>
          <w:sz w:val="24"/>
        </w:rPr>
        <w:t>Lastly</w:t>
      </w:r>
      <w:r w:rsidRPr="000F6AE3">
        <w:rPr>
          <w:rFonts w:ascii="Times New Roman" w:hAnsi="Times New Roman"/>
          <w:sz w:val="24"/>
        </w:rPr>
        <w:t xml:space="preserve">, the Agency continues to believe that involving directly affected employees and their representatives in recommendation discussions and decisions will help ensure that the most effective recommendations for reducing hazards and mitigating risks to employees and the public are given the proper consideration. EPA is finalizing the proposed provision with the modification, for clarity, that those employees who are to be consulted on addressing, correcting, resolving, documenting, and implementing the recommendations and findings of PHAs, compliance audits, and incident investigations must be those knowledgeable in the process.  </w:t>
      </w:r>
    </w:p>
    <w:p w:rsidR="00C52FE2" w:rsidP="00C52FE2" w14:paraId="486C33D8" w14:textId="77777777">
      <w:pPr>
        <w:rPr>
          <w:rFonts w:ascii="Times New Roman" w:hAnsi="Times New Roman"/>
          <w:sz w:val="24"/>
        </w:rPr>
      </w:pPr>
      <w:r w:rsidRPr="00DC14C4">
        <w:rPr>
          <w:rFonts w:ascii="Times New Roman" w:eastAsia="Times New Roman" w:hAnsi="Times New Roman"/>
          <w:b/>
          <w:bCs/>
          <w:sz w:val="24"/>
        </w:rPr>
        <w:t>Comment</w:t>
      </w:r>
      <w:r>
        <w:rPr>
          <w:rFonts w:ascii="Times New Roman" w:eastAsia="Times New Roman" w:hAnsi="Times New Roman"/>
          <w:b/>
          <w:bCs/>
          <w:sz w:val="24"/>
        </w:rPr>
        <w:t xml:space="preserve"> 9.1-03</w:t>
      </w:r>
      <w:r w:rsidRPr="00DC14C4">
        <w:rPr>
          <w:rFonts w:ascii="Times New Roman" w:eastAsia="Times New Roman" w:hAnsi="Times New Roman"/>
          <w:b/>
          <w:bCs/>
          <w:sz w:val="24"/>
        </w:rPr>
        <w:t>:</w:t>
      </w:r>
      <w:r>
        <w:rPr>
          <w:rFonts w:ascii="Times New Roman" w:eastAsia="Times New Roman" w:hAnsi="Times New Roman"/>
          <w:sz w:val="24"/>
        </w:rPr>
        <w:t xml:space="preserve"> </w:t>
      </w:r>
      <w:r w:rsidRPr="006F68E9">
        <w:rPr>
          <w:rFonts w:ascii="Times New Roman" w:hAnsi="Times New Roman"/>
          <w:sz w:val="24"/>
        </w:rPr>
        <w:t xml:space="preserve">Another commenter expressed opposition to </w:t>
      </w:r>
      <w:r>
        <w:rPr>
          <w:rFonts w:ascii="Times New Roman" w:hAnsi="Times New Roman"/>
          <w:sz w:val="24"/>
        </w:rPr>
        <w:t>requiring</w:t>
      </w:r>
      <w:r w:rsidRPr="006F68E9">
        <w:rPr>
          <w:rFonts w:ascii="Times New Roman" w:hAnsi="Times New Roman"/>
          <w:sz w:val="24"/>
        </w:rPr>
        <w:t xml:space="preserve"> employee representatives </w:t>
      </w:r>
      <w:r>
        <w:rPr>
          <w:rFonts w:ascii="Times New Roman" w:hAnsi="Times New Roman"/>
          <w:sz w:val="24"/>
        </w:rPr>
        <w:t xml:space="preserve">to be included </w:t>
      </w:r>
      <w:r w:rsidRPr="006F68E9">
        <w:rPr>
          <w:rFonts w:ascii="Times New Roman" w:hAnsi="Times New Roman"/>
          <w:sz w:val="24"/>
        </w:rPr>
        <w:t>in facility hazard evaluations and other compliance activities (0233).</w:t>
      </w:r>
      <w:r>
        <w:rPr>
          <w:rFonts w:ascii="Times New Roman" w:hAnsi="Times New Roman"/>
          <w:sz w:val="24"/>
        </w:rPr>
        <w:t xml:space="preserve"> </w:t>
      </w:r>
      <w:r w:rsidRPr="006F68E9">
        <w:rPr>
          <w:rFonts w:ascii="Times New Roman" w:hAnsi="Times New Roman"/>
          <w:sz w:val="24"/>
        </w:rPr>
        <w:t>Another commenter stated that third parties are not likely to have a deep enough understanding of the facility or processes in the facility to assess the appropriate level of employee participation (0275).</w:t>
      </w:r>
    </w:p>
    <w:p w:rsidR="00C52FE2" w:rsidRPr="00E14219" w:rsidP="00C52FE2" w14:paraId="7A0DCB5E" w14:textId="319959B4">
      <w:pPr>
        <w:ind w:left="720"/>
        <w:rPr>
          <w:rFonts w:ascii="Times New Roman" w:hAnsi="Times New Roman"/>
          <w:sz w:val="24"/>
        </w:rPr>
      </w:pPr>
      <w:r w:rsidRPr="000F6AE3">
        <w:rPr>
          <w:rFonts w:ascii="Times New Roman" w:hAnsi="Times New Roman"/>
          <w:b/>
          <w:bCs/>
          <w:sz w:val="24"/>
        </w:rPr>
        <w:t>EPA Response:</w:t>
      </w:r>
      <w:r w:rsidRPr="000F6AE3">
        <w:rPr>
          <w:rFonts w:ascii="Times New Roman" w:hAnsi="Times New Roman"/>
          <w:sz w:val="24"/>
        </w:rPr>
        <w:t xml:space="preserve"> </w:t>
      </w:r>
      <w:r w:rsidR="004F47EC">
        <w:rPr>
          <w:rFonts w:ascii="Times New Roman" w:hAnsi="Times New Roman"/>
          <w:sz w:val="24"/>
        </w:rPr>
        <w:t xml:space="preserve">EPA </w:t>
      </w:r>
      <w:r w:rsidR="00115813">
        <w:rPr>
          <w:rFonts w:ascii="Times New Roman" w:hAnsi="Times New Roman"/>
          <w:sz w:val="24"/>
        </w:rPr>
        <w:t>disagrees</w:t>
      </w:r>
      <w:r w:rsidR="004F47EC">
        <w:rPr>
          <w:rFonts w:ascii="Times New Roman" w:hAnsi="Times New Roman"/>
          <w:sz w:val="24"/>
        </w:rPr>
        <w:t xml:space="preserve"> with opposition to requiring employee </w:t>
      </w:r>
      <w:r w:rsidR="00115813">
        <w:rPr>
          <w:rFonts w:ascii="Times New Roman" w:hAnsi="Times New Roman"/>
          <w:sz w:val="24"/>
        </w:rPr>
        <w:t xml:space="preserve">representatives to be included in hazard evaluation recommendation decisions. </w:t>
      </w:r>
      <w:r w:rsidR="009A44B6">
        <w:rPr>
          <w:rFonts w:ascii="Times New Roman" w:hAnsi="Times New Roman"/>
          <w:sz w:val="24"/>
        </w:rPr>
        <w:t xml:space="preserve">EPA believes </w:t>
      </w:r>
      <w:r w:rsidRPr="00595644" w:rsidR="00595644">
        <w:rPr>
          <w:rFonts w:ascii="Times New Roman" w:hAnsi="Times New Roman"/>
          <w:sz w:val="24"/>
        </w:rPr>
        <w:t xml:space="preserve">it is prudent to apply at least the same qualification criterion to employees who </w:t>
      </w:r>
      <w:r w:rsidR="008E6FB3">
        <w:rPr>
          <w:rFonts w:ascii="Times New Roman" w:hAnsi="Times New Roman"/>
          <w:sz w:val="24"/>
        </w:rPr>
        <w:t xml:space="preserve">should be </w:t>
      </w:r>
      <w:r w:rsidRPr="008E6FB3" w:rsidR="008E6FB3">
        <w:rPr>
          <w:rFonts w:ascii="Times New Roman" w:hAnsi="Times New Roman"/>
          <w:sz w:val="24"/>
        </w:rPr>
        <w:t>consult</w:t>
      </w:r>
      <w:r w:rsidR="008E6FB3">
        <w:rPr>
          <w:rFonts w:ascii="Times New Roman" w:hAnsi="Times New Roman"/>
          <w:sz w:val="24"/>
        </w:rPr>
        <w:t xml:space="preserve">ed </w:t>
      </w:r>
      <w:r w:rsidRPr="008E6FB3" w:rsidR="008E6FB3">
        <w:rPr>
          <w:rFonts w:ascii="Times New Roman" w:hAnsi="Times New Roman"/>
          <w:sz w:val="24"/>
        </w:rPr>
        <w:t xml:space="preserve">on the conduct and development of process hazards analyses and on the development of the other elements of process safety management </w:t>
      </w:r>
      <w:r w:rsidR="008E6FB3">
        <w:rPr>
          <w:rFonts w:ascii="Times New Roman" w:hAnsi="Times New Roman"/>
          <w:sz w:val="24"/>
        </w:rPr>
        <w:t>as required by</w:t>
      </w:r>
      <w:r w:rsidR="00B33BEC">
        <w:rPr>
          <w:rFonts w:ascii="Times New Roman" w:hAnsi="Times New Roman"/>
          <w:sz w:val="24"/>
        </w:rPr>
        <w:t xml:space="preserve"> 68.83(b)</w:t>
      </w:r>
      <w:r w:rsidR="008E6FB3">
        <w:rPr>
          <w:rFonts w:ascii="Times New Roman" w:hAnsi="Times New Roman"/>
          <w:sz w:val="24"/>
        </w:rPr>
        <w:t xml:space="preserve"> provision established in the initial 1996 RMP rulemaking</w:t>
      </w:r>
      <w:r w:rsidR="007655F9">
        <w:rPr>
          <w:rFonts w:ascii="Times New Roman" w:hAnsi="Times New Roman"/>
          <w:sz w:val="24"/>
        </w:rPr>
        <w:t>.</w:t>
      </w:r>
    </w:p>
    <w:p w:rsidR="00C52FE2" w:rsidP="00C52FE2" w14:paraId="7E3FD68C" w14:textId="77777777">
      <w:pPr>
        <w:rPr>
          <w:rFonts w:ascii="Times New Roman" w:hAnsi="Times New Roman"/>
          <w:i/>
          <w:iCs/>
          <w:sz w:val="24"/>
        </w:rPr>
      </w:pPr>
      <w:r>
        <w:rPr>
          <w:rFonts w:ascii="Times New Roman" w:hAnsi="Times New Roman"/>
          <w:i/>
          <w:iCs/>
          <w:sz w:val="24"/>
        </w:rPr>
        <w:t>General support for employee participation provisions</w:t>
      </w:r>
    </w:p>
    <w:p w:rsidR="00C52FE2" w:rsidRPr="006F68E9" w:rsidP="00C52FE2" w14:paraId="7216AD5F" w14:textId="77777777">
      <w:pPr>
        <w:rPr>
          <w:rFonts w:ascii="Times New Roman" w:hAnsi="Times New Roman"/>
          <w:sz w:val="24"/>
        </w:rPr>
      </w:pPr>
      <w:r>
        <w:rPr>
          <w:rFonts w:ascii="Times New Roman" w:hAnsi="Times New Roman"/>
          <w:b/>
          <w:bCs/>
          <w:sz w:val="24"/>
        </w:rPr>
        <w:t xml:space="preserve">Comment 9.1-04: </w:t>
      </w:r>
      <w:r w:rsidRPr="006F68E9">
        <w:rPr>
          <w:rFonts w:ascii="Times New Roman" w:hAnsi="Times New Roman"/>
          <w:sz w:val="24"/>
        </w:rPr>
        <w:t>A few commenters expressed support for the efforts of collaboration of employees and management representatives (0219, 0252). Several commenters expressed support for the efforts to strengthen worker participation and protection through meaningful collaboration of employees and management (0157, 0250, 0269, 0270, 0409</w:t>
      </w:r>
      <w:r>
        <w:rPr>
          <w:rFonts w:ascii="Times New Roman" w:hAnsi="Times New Roman"/>
          <w:sz w:val="24"/>
        </w:rPr>
        <w:t xml:space="preserve">, </w:t>
      </w:r>
      <w:r w:rsidRPr="006F68E9">
        <w:rPr>
          <w:rFonts w:ascii="Times New Roman" w:hAnsi="Times New Roman"/>
          <w:sz w:val="24"/>
        </w:rPr>
        <w:t>0248). A few commenters urged EPA to mandate inclusion of workers and their representatives in safety preparedness and response (0413, 0448, 0449</w:t>
      </w:r>
      <w:r>
        <w:rPr>
          <w:rFonts w:ascii="Times New Roman" w:hAnsi="Times New Roman"/>
          <w:sz w:val="24"/>
        </w:rPr>
        <w:t xml:space="preserve">, </w:t>
      </w:r>
      <w:r w:rsidRPr="006F68E9">
        <w:rPr>
          <w:rFonts w:ascii="Times New Roman" w:hAnsi="Times New Roman"/>
          <w:sz w:val="24"/>
        </w:rPr>
        <w:t xml:space="preserve">0250). One of the commenters also stated that they support requiring common rights and authorities (0409). </w:t>
      </w:r>
    </w:p>
    <w:p w:rsidR="00C52FE2" w:rsidRPr="006F68E9" w:rsidP="00C52FE2" w14:paraId="6B0600BB"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cited media and opinion articles that documented support for stronger worker involvement to prepare for and respond to natural hazards (0258). A few commenters </w:t>
      </w:r>
      <w:r>
        <w:rPr>
          <w:rFonts w:ascii="Times New Roman" w:hAnsi="Times New Roman"/>
          <w:sz w:val="24"/>
        </w:rPr>
        <w:t>said</w:t>
      </w:r>
      <w:r w:rsidRPr="006F68E9">
        <w:rPr>
          <w:rFonts w:ascii="Times New Roman" w:hAnsi="Times New Roman"/>
          <w:sz w:val="24"/>
        </w:rPr>
        <w:t xml:space="preserve"> that workers are often the most knowledgeable about process safety concerns (0191, 0194, 0208</w:t>
      </w:r>
      <w:r>
        <w:rPr>
          <w:rFonts w:ascii="Times New Roman" w:hAnsi="Times New Roman"/>
          <w:sz w:val="24"/>
        </w:rPr>
        <w:t xml:space="preserve">, </w:t>
      </w:r>
      <w:r w:rsidRPr="006F68E9">
        <w:rPr>
          <w:rFonts w:ascii="Times New Roman" w:hAnsi="Times New Roman"/>
          <w:sz w:val="24"/>
        </w:rPr>
        <w:t>0441).</w:t>
      </w:r>
      <w:r>
        <w:rPr>
          <w:rFonts w:ascii="Times New Roman" w:hAnsi="Times New Roman"/>
          <w:sz w:val="24"/>
        </w:rPr>
        <w:t xml:space="preserve"> </w:t>
      </w:r>
      <w:r w:rsidRPr="006F68E9">
        <w:rPr>
          <w:rFonts w:ascii="Times New Roman" w:hAnsi="Times New Roman"/>
          <w:sz w:val="24"/>
        </w:rPr>
        <w:t xml:space="preserve">One commenter added that input from workers can be significant for disaster prevention (0191). One commenter </w:t>
      </w:r>
      <w:r>
        <w:rPr>
          <w:rFonts w:ascii="Times New Roman" w:hAnsi="Times New Roman"/>
          <w:sz w:val="24"/>
        </w:rPr>
        <w:t>stated</w:t>
      </w:r>
      <w:r w:rsidRPr="006F68E9">
        <w:rPr>
          <w:rFonts w:ascii="Times New Roman" w:hAnsi="Times New Roman"/>
          <w:sz w:val="24"/>
        </w:rPr>
        <w:t xml:space="preserve"> that in 2019 in Waukegan, Illinois, the AB Specialty Silicone plant had an explosion that resulted in the loss of four community members. The commenter believed this could have been preventable if employees were a part of the disaster prevention and planning process (0157).</w:t>
      </w:r>
    </w:p>
    <w:p w:rsidR="00C52FE2" w:rsidRPr="006F68E9" w:rsidP="00C52FE2" w14:paraId="60570370"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worker participation is vital to increasing public safety in this area. The commenter added that the damages estimated from chemical releases and or worker accidents can be in the millions of dollars (0235). </w:t>
      </w:r>
    </w:p>
    <w:p w:rsidR="00C52FE2" w:rsidRPr="006F68E9" w:rsidP="00C52FE2" w14:paraId="052BC31F" w14:textId="77777777">
      <w:pPr>
        <w:rPr>
          <w:rFonts w:ascii="Times New Roman" w:hAnsi="Times New Roman"/>
          <w:sz w:val="24"/>
        </w:rPr>
      </w:pPr>
      <w:r w:rsidRPr="006F68E9">
        <w:rPr>
          <w:rFonts w:ascii="Times New Roman" w:hAnsi="Times New Roman"/>
          <w:sz w:val="24"/>
        </w:rPr>
        <w:t xml:space="preserve">One commenter highlighted the importance of a just transition for facility workers. The commenter encouraged facilities to utilize the skills and knowledge of facility workers to implement safer alternatives. The commenter </w:t>
      </w:r>
      <w:r>
        <w:rPr>
          <w:rFonts w:ascii="Times New Roman" w:hAnsi="Times New Roman"/>
          <w:sz w:val="24"/>
        </w:rPr>
        <w:t>said</w:t>
      </w:r>
      <w:r w:rsidRPr="006F68E9">
        <w:rPr>
          <w:rFonts w:ascii="Times New Roman" w:hAnsi="Times New Roman"/>
          <w:sz w:val="24"/>
        </w:rPr>
        <w:t xml:space="preserve"> that the transition should not have an adverse impact on their jobs (0158).</w:t>
      </w:r>
    </w:p>
    <w:p w:rsidR="00C52FE2" w:rsidP="00C52FE2" w14:paraId="7AE93128" w14:textId="77777777">
      <w:pPr>
        <w:rPr>
          <w:rFonts w:ascii="Times New Roman" w:hAnsi="Times New Roman"/>
          <w:sz w:val="24"/>
        </w:rPr>
      </w:pPr>
      <w:r w:rsidRPr="006F68E9">
        <w:rPr>
          <w:rFonts w:ascii="Times New Roman" w:hAnsi="Times New Roman"/>
          <w:sz w:val="24"/>
        </w:rPr>
        <w:t>One commenter highlighted that workers are the first to be impacted by chemical exposures and related health impacts</w:t>
      </w:r>
      <w:r>
        <w:rPr>
          <w:rFonts w:ascii="Times New Roman" w:hAnsi="Times New Roman"/>
          <w:sz w:val="24"/>
        </w:rPr>
        <w:t xml:space="preserve"> and concluded</w:t>
      </w:r>
      <w:r w:rsidRPr="006F68E9">
        <w:rPr>
          <w:rFonts w:ascii="Times New Roman" w:hAnsi="Times New Roman"/>
          <w:sz w:val="24"/>
        </w:rPr>
        <w:t xml:space="preserve"> they should have access to the highest level of safety precautions and be empowered to actively participate in identifying potential hazards and mitigating potential accidents. The commenter worries that some workers may not push for stronger safety precautions for fear of losing their jobs (1057). </w:t>
      </w:r>
    </w:p>
    <w:p w:rsidR="00C52FE2" w:rsidP="00C52FE2" w14:paraId="5F0FD4E0" w14:textId="77777777">
      <w:pPr>
        <w:rPr>
          <w:rFonts w:ascii="Times New Roman" w:hAnsi="Times New Roman"/>
          <w:sz w:val="24"/>
        </w:rPr>
      </w:pPr>
      <w:r w:rsidRPr="00E44C3B">
        <w:rPr>
          <w:rFonts w:ascii="Times New Roman" w:hAnsi="Times New Roman"/>
          <w:sz w:val="24"/>
        </w:rPr>
        <w:t xml:space="preserve">A few commenters </w:t>
      </w:r>
      <w:r>
        <w:rPr>
          <w:rFonts w:ascii="Times New Roman" w:hAnsi="Times New Roman"/>
          <w:sz w:val="24"/>
        </w:rPr>
        <w:t>said</w:t>
      </w:r>
      <w:r w:rsidRPr="00E44C3B">
        <w:rPr>
          <w:rFonts w:ascii="Times New Roman" w:hAnsi="Times New Roman"/>
          <w:sz w:val="24"/>
        </w:rPr>
        <w:t xml:space="preserve"> that CSB recommendations have shown that employee participation in safety planning and implementation is an essential component of incident prevention (0453, 0456, 0460). Another commenter cited a CSB report that lays out an effective worker participation program that includes participation, safety committees, and evaluation (0194).</w:t>
      </w:r>
    </w:p>
    <w:p w:rsidR="00C52FE2" w:rsidRPr="000F6AE3" w:rsidP="00C52FE2" w14:paraId="7D666D43" w14:textId="77777777">
      <w:pPr>
        <w:ind w:left="720"/>
        <w:rPr>
          <w:rFonts w:ascii="Times New Roman" w:hAnsi="Times New Roman"/>
          <w:sz w:val="24"/>
        </w:rPr>
      </w:pPr>
      <w:r w:rsidRPr="002930DD">
        <w:rPr>
          <w:rFonts w:ascii="Times New Roman" w:hAnsi="Times New Roman"/>
          <w:b/>
          <w:bCs/>
          <w:sz w:val="24"/>
        </w:rPr>
        <w:t>EPA Response:</w:t>
      </w:r>
      <w:r w:rsidRPr="000F6AE3">
        <w:rPr>
          <w:rFonts w:ascii="Times New Roman" w:hAnsi="Times New Roman"/>
          <w:sz w:val="24"/>
        </w:rPr>
        <w:t xml:space="preserve"> </w:t>
      </w:r>
      <w:r w:rsidRPr="00F40EE9">
        <w:rPr>
          <w:rFonts w:ascii="Times New Roman" w:hAnsi="Times New Roman"/>
          <w:sz w:val="24"/>
        </w:rPr>
        <w:t>After review of the comments, the Agency continues to believe that involving directly affected employees and their representatives in recommendation discussions and decisions will help ensure that the most effective recommendations for reducing hazards and mitigating risks to employees and the public are given the proper consideration. EPA is finalizing the proposed provision with the modification, for clarity, that those employees who are to be consulted on addressing, correcting, resolving, documenting, and implementing the recommendations and findings of PHAs, compliance audits, and incident investigations must be those knowledgeable in the process.</w:t>
      </w:r>
      <w:r w:rsidRPr="000F6AE3">
        <w:rPr>
          <w:rFonts w:ascii="Times New Roman" w:hAnsi="Times New Roman"/>
          <w:sz w:val="24"/>
        </w:rPr>
        <w:t xml:space="preserve">  </w:t>
      </w:r>
    </w:p>
    <w:p w:rsidR="00C52FE2" w:rsidRPr="00234EAD" w:rsidP="00C52FE2" w14:paraId="5D7AA603" w14:textId="77777777">
      <w:pPr>
        <w:rPr>
          <w:rFonts w:ascii="Times New Roman" w:hAnsi="Times New Roman"/>
          <w:i/>
          <w:iCs/>
          <w:sz w:val="24"/>
        </w:rPr>
      </w:pPr>
      <w:r>
        <w:rPr>
          <w:rFonts w:ascii="Times New Roman" w:hAnsi="Times New Roman"/>
          <w:i/>
          <w:iCs/>
          <w:sz w:val="24"/>
        </w:rPr>
        <w:t>Proposed changes to employee participation provisions</w:t>
      </w:r>
    </w:p>
    <w:p w:rsidR="00C52FE2" w:rsidP="00C52FE2" w14:paraId="453FB8E6" w14:textId="77777777">
      <w:pPr>
        <w:rPr>
          <w:rFonts w:ascii="Times New Roman" w:hAnsi="Times New Roman"/>
          <w:sz w:val="24"/>
        </w:rPr>
      </w:pPr>
      <w:r>
        <w:rPr>
          <w:rFonts w:ascii="Times New Roman" w:hAnsi="Times New Roman"/>
          <w:b/>
          <w:bCs/>
          <w:sz w:val="24"/>
        </w:rPr>
        <w:t xml:space="preserve">Comment 9.1-05: </w:t>
      </w:r>
      <w:r>
        <w:rPr>
          <w:rFonts w:ascii="Times New Roman" w:hAnsi="Times New Roman"/>
          <w:sz w:val="24"/>
        </w:rPr>
        <w:t xml:space="preserve">Several commenters proposed revisions to the employee participation provisions. </w:t>
      </w:r>
    </w:p>
    <w:p w:rsidR="00C52FE2" w:rsidP="00C52FE2" w14:paraId="38A53A67" w14:textId="77777777">
      <w:pPr>
        <w:rPr>
          <w:rFonts w:ascii="Times New Roman" w:hAnsi="Times New Roman"/>
          <w:sz w:val="24"/>
        </w:rPr>
      </w:pPr>
      <w:r w:rsidRPr="006F68E9">
        <w:rPr>
          <w:rFonts w:ascii="Times New Roman" w:hAnsi="Times New Roman"/>
          <w:sz w:val="24"/>
        </w:rPr>
        <w:t xml:space="preserve">Two of the commenters suggested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require owners and operators to implement a written program to help ensure that there is no discrimination against any employee or employee representative for exercising authorities under this rule (0252, 0269).</w:t>
      </w:r>
      <w:r>
        <w:rPr>
          <w:rFonts w:ascii="Times New Roman" w:hAnsi="Times New Roman"/>
          <w:sz w:val="24"/>
        </w:rPr>
        <w:t xml:space="preserve"> Another commenter echoed that</w:t>
      </w:r>
      <w:r w:rsidRPr="006F68E9">
        <w:rPr>
          <w:rFonts w:ascii="Times New Roman" w:hAnsi="Times New Roman"/>
          <w:sz w:val="24"/>
        </w:rPr>
        <w:t xml:space="preserve"> workers need anti-retaliation protections, requiring immediate response by RMP facilities (0240). </w:t>
      </w:r>
    </w:p>
    <w:p w:rsidR="00C52FE2" w:rsidRPr="006F68E9" w:rsidP="00C52FE2" w14:paraId="35BE5C02" w14:textId="77777777">
      <w:pPr>
        <w:rPr>
          <w:rFonts w:ascii="Times New Roman" w:hAnsi="Times New Roman"/>
          <w:sz w:val="24"/>
        </w:rPr>
      </w:pPr>
      <w:r w:rsidRPr="006F68E9">
        <w:rPr>
          <w:rFonts w:ascii="Times New Roman" w:hAnsi="Times New Roman"/>
          <w:sz w:val="24"/>
        </w:rPr>
        <w:t xml:space="preserve">One commenter suggested that for a submittal to be accepted, the safety plan should demonstrate employee input and explain any disagreements (0402). </w:t>
      </w:r>
    </w:p>
    <w:p w:rsidR="00C52FE2" w:rsidP="00C52FE2" w14:paraId="62DC835A" w14:textId="77777777">
      <w:pPr>
        <w:rPr>
          <w:rFonts w:ascii="Times New Roman" w:hAnsi="Times New Roman"/>
          <w:sz w:val="24"/>
        </w:rPr>
      </w:pPr>
      <w:r w:rsidRPr="006F68E9">
        <w:rPr>
          <w:rFonts w:ascii="Times New Roman" w:hAnsi="Times New Roman"/>
          <w:sz w:val="24"/>
        </w:rPr>
        <w:t xml:space="preserve">One commenter suggested involving employees in developing risk management plans (0444). </w:t>
      </w:r>
    </w:p>
    <w:p w:rsidR="00C52FE2" w:rsidP="00C52FE2" w14:paraId="40A8109A" w14:textId="77777777">
      <w:pPr>
        <w:rPr>
          <w:rFonts w:ascii="Times New Roman" w:eastAsia="Times New Roman" w:hAnsi="Times New Roman"/>
          <w:sz w:val="24"/>
        </w:rPr>
      </w:pPr>
      <w:r w:rsidRPr="006F68E9">
        <w:rPr>
          <w:rFonts w:ascii="Times New Roman" w:eastAsia="Times New Roman" w:hAnsi="Times New Roman"/>
          <w:sz w:val="24"/>
        </w:rPr>
        <w:t xml:space="preserve">Another commenter </w:t>
      </w:r>
      <w:r>
        <w:rPr>
          <w:rFonts w:ascii="Times New Roman" w:eastAsia="Times New Roman" w:hAnsi="Times New Roman"/>
          <w:sz w:val="24"/>
        </w:rPr>
        <w:t>stated</w:t>
      </w:r>
      <w:r w:rsidRPr="006F68E9">
        <w:rPr>
          <w:rFonts w:ascii="Times New Roman" w:eastAsia="Times New Roman" w:hAnsi="Times New Roman"/>
          <w:sz w:val="24"/>
        </w:rPr>
        <w:t xml:space="preserve"> that EPA should defer to OSHA when deciding the appropriate level of employee participation and undergo employee consultation at the beginning of the PHA, incident investigation, and compliance audit processes (0233). </w:t>
      </w:r>
    </w:p>
    <w:p w:rsidR="00C52FE2" w:rsidRPr="009C34E5" w:rsidP="00C52FE2" w14:paraId="0A91B5EC" w14:textId="77777777">
      <w:pPr>
        <w:rPr>
          <w:rFonts w:ascii="Times New Roman" w:hAnsi="Times New Roman"/>
          <w:bCs/>
          <w:color w:val="000000" w:themeColor="text1"/>
          <w:sz w:val="24"/>
        </w:rPr>
      </w:pPr>
      <w:r w:rsidRPr="00C20853">
        <w:rPr>
          <w:rFonts w:ascii="Times New Roman" w:hAnsi="Times New Roman"/>
          <w:bCs/>
          <w:color w:val="000000" w:themeColor="text1"/>
          <w:sz w:val="24"/>
        </w:rPr>
        <w:t>One commenter added that wherever possible, the proposal should require, not just recommend, critical prevention measures to support a safety culture, such as engagement management, active worker committees, contractors, and communities (0255).</w:t>
      </w:r>
    </w:p>
    <w:p w:rsidR="00C52FE2" w:rsidP="00C52FE2" w14:paraId="12FCC746" w14:textId="77777777">
      <w:pPr>
        <w:rPr>
          <w:rFonts w:ascii="Times New Roman" w:eastAsia="Times New Roman" w:hAnsi="Times New Roman"/>
          <w:sz w:val="24"/>
        </w:rPr>
      </w:pPr>
      <w:r w:rsidRPr="006F68E9">
        <w:rPr>
          <w:rFonts w:ascii="Times New Roman" w:eastAsia="Times New Roman" w:hAnsi="Times New Roman"/>
          <w:sz w:val="24"/>
        </w:rPr>
        <w:t xml:space="preserve">Another commenter </w:t>
      </w:r>
      <w:r>
        <w:rPr>
          <w:rFonts w:ascii="Times New Roman" w:eastAsia="Times New Roman" w:hAnsi="Times New Roman"/>
          <w:sz w:val="24"/>
        </w:rPr>
        <w:t>recommended</w:t>
      </w:r>
      <w:r w:rsidRPr="006F68E9">
        <w:rPr>
          <w:rFonts w:ascii="Times New Roman" w:eastAsia="Times New Roman" w:hAnsi="Times New Roman"/>
          <w:sz w:val="24"/>
        </w:rPr>
        <w:t xml:space="preserve"> employee consultation at the beginning of the PHA, incident investigation, and compliance audit processes (0233</w:t>
      </w:r>
      <w:r>
        <w:rPr>
          <w:rFonts w:ascii="Times New Roman" w:eastAsia="Times New Roman" w:hAnsi="Times New Roman"/>
          <w:sz w:val="24"/>
        </w:rPr>
        <w:t>).</w:t>
      </w:r>
    </w:p>
    <w:p w:rsidR="00C52FE2" w:rsidRPr="006F68E9" w:rsidP="00C52FE2" w14:paraId="65A9133C"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they reviewed N</w:t>
      </w:r>
      <w:r>
        <w:rPr>
          <w:rFonts w:ascii="Times New Roman" w:hAnsi="Times New Roman"/>
          <w:sz w:val="24"/>
        </w:rPr>
        <w:t>ational Response Center</w:t>
      </w:r>
      <w:r w:rsidRPr="006F68E9">
        <w:rPr>
          <w:rFonts w:ascii="Times New Roman" w:hAnsi="Times New Roman"/>
          <w:sz w:val="24"/>
        </w:rPr>
        <w:t xml:space="preserve"> data and request</w:t>
      </w:r>
      <w:r>
        <w:rPr>
          <w:rFonts w:ascii="Times New Roman" w:hAnsi="Times New Roman"/>
          <w:sz w:val="24"/>
        </w:rPr>
        <w:t>ed</w:t>
      </w:r>
      <w:r w:rsidRPr="006F68E9">
        <w:rPr>
          <w:rFonts w:ascii="Times New Roman" w:hAnsi="Times New Roman"/>
          <w:sz w:val="24"/>
        </w:rPr>
        <w:t xml:space="preserve"> that EPA specifically include contractors as well as employees. The commenter stated that contractors are more likely to be tasked with running emergency power during storms, which is critical to pollution prevention, but that they can often be blamed in the </w:t>
      </w:r>
      <w:r>
        <w:rPr>
          <w:rFonts w:ascii="Times New Roman" w:hAnsi="Times New Roman"/>
          <w:sz w:val="24"/>
        </w:rPr>
        <w:t>NRC</w:t>
      </w:r>
      <w:r w:rsidRPr="006F68E9">
        <w:rPr>
          <w:rFonts w:ascii="Times New Roman" w:hAnsi="Times New Roman"/>
          <w:sz w:val="24"/>
        </w:rPr>
        <w:t xml:space="preserve"> reports that the companies give to EPA. The commenter suggested that EPA directly communicate with contractors. Additionally, the commenter </w:t>
      </w:r>
      <w:r>
        <w:rPr>
          <w:rFonts w:ascii="Times New Roman" w:hAnsi="Times New Roman"/>
          <w:sz w:val="24"/>
        </w:rPr>
        <w:t>stated</w:t>
      </w:r>
      <w:r w:rsidRPr="006F68E9">
        <w:rPr>
          <w:rFonts w:ascii="Times New Roman" w:hAnsi="Times New Roman"/>
          <w:sz w:val="24"/>
        </w:rPr>
        <w:t xml:space="preserve"> that Black residents are more likely to be contractors rather than full time employees even though they have an outsized role in emergency management (0158).</w:t>
      </w:r>
    </w:p>
    <w:p w:rsidR="008247FB" w:rsidRPr="00162A46" w:rsidP="00C97D8E" w14:paraId="3DDF5854" w14:textId="27299EC6">
      <w:pPr>
        <w:ind w:left="720"/>
        <w:rPr>
          <w:rFonts w:ascii="Times New Roman" w:hAnsi="Times New Roman"/>
          <w:sz w:val="24"/>
        </w:rPr>
      </w:pPr>
      <w:r w:rsidRPr="002D56C9">
        <w:rPr>
          <w:rFonts w:ascii="Times New Roman" w:hAnsi="Times New Roman"/>
          <w:b/>
          <w:sz w:val="24"/>
        </w:rPr>
        <w:t>EPA Response:</w:t>
      </w:r>
      <w:r w:rsidRPr="008247FB">
        <w:rPr>
          <w:rFonts w:ascii="Times New Roman" w:hAnsi="Times New Roman"/>
          <w:sz w:val="24"/>
        </w:rPr>
        <w:t xml:space="preserve"> </w:t>
      </w:r>
      <w:r w:rsidR="00B952C8">
        <w:rPr>
          <w:rFonts w:ascii="Times New Roman" w:hAnsi="Times New Roman"/>
          <w:sz w:val="24"/>
        </w:rPr>
        <w:t xml:space="preserve">Regarding comments about </w:t>
      </w:r>
      <w:r w:rsidR="00A61110">
        <w:rPr>
          <w:rFonts w:ascii="Times New Roman" w:hAnsi="Times New Roman"/>
          <w:sz w:val="24"/>
        </w:rPr>
        <w:t>discrimination</w:t>
      </w:r>
      <w:r w:rsidR="006D59B0">
        <w:rPr>
          <w:rFonts w:ascii="Times New Roman" w:hAnsi="Times New Roman"/>
          <w:sz w:val="24"/>
        </w:rPr>
        <w:t>, disagreements and a</w:t>
      </w:r>
      <w:r w:rsidR="00A61110">
        <w:rPr>
          <w:rFonts w:ascii="Times New Roman" w:hAnsi="Times New Roman"/>
          <w:sz w:val="24"/>
        </w:rPr>
        <w:t>nti-retaliation protections, t</w:t>
      </w:r>
      <w:r w:rsidRPr="00642256">
        <w:rPr>
          <w:rFonts w:ascii="Times New Roman" w:hAnsi="Times New Roman"/>
          <w:sz w:val="24"/>
        </w:rPr>
        <w:t>he Agency notes that</w:t>
      </w:r>
      <w:r>
        <w:rPr>
          <w:rFonts w:ascii="Times New Roman" w:hAnsi="Times New Roman"/>
          <w:sz w:val="24"/>
        </w:rPr>
        <w:t xml:space="preserve"> this final rule does not establish </w:t>
      </w:r>
      <w:r w:rsidRPr="5E4AFE2C" w:rsidR="7BAB2DDB">
        <w:rPr>
          <w:rFonts w:ascii="Times New Roman" w:hAnsi="Times New Roman"/>
          <w:sz w:val="24"/>
        </w:rPr>
        <w:t>new</w:t>
      </w:r>
      <w:r w:rsidRPr="7169ADF7">
        <w:rPr>
          <w:rFonts w:ascii="Times New Roman" w:hAnsi="Times New Roman"/>
          <w:sz w:val="24"/>
        </w:rPr>
        <w:t xml:space="preserve"> </w:t>
      </w:r>
      <w:r>
        <w:rPr>
          <w:rFonts w:ascii="Times New Roman" w:hAnsi="Times New Roman"/>
          <w:sz w:val="24"/>
        </w:rPr>
        <w:t xml:space="preserve">whistleblower </w:t>
      </w:r>
      <w:r w:rsidR="00A61110">
        <w:rPr>
          <w:rFonts w:ascii="Times New Roman" w:hAnsi="Times New Roman"/>
          <w:sz w:val="24"/>
        </w:rPr>
        <w:t xml:space="preserve">or similar </w:t>
      </w:r>
      <w:r>
        <w:rPr>
          <w:rFonts w:ascii="Times New Roman" w:hAnsi="Times New Roman"/>
          <w:sz w:val="24"/>
        </w:rPr>
        <w:t xml:space="preserve">protections. Rather, </w:t>
      </w:r>
      <w:r w:rsidRPr="00642256">
        <w:rPr>
          <w:rFonts w:ascii="Times New Roman" w:hAnsi="Times New Roman"/>
          <w:sz w:val="24"/>
        </w:rPr>
        <w:t xml:space="preserve">OSHA enforces whistleblower protections provided under the CAA, the Occupational Safety and Health Act, and other Federal laws. Further information about those rights can be found at </w:t>
      </w:r>
      <w:hyperlink r:id="rId13">
        <w:r w:rsidRPr="7169ADF7">
          <w:rPr>
            <w:rStyle w:val="Hyperlink"/>
            <w:rFonts w:ascii="Times New Roman" w:hAnsi="Times New Roman"/>
            <w:sz w:val="24"/>
          </w:rPr>
          <w:t>https://www.whistleblowers.gov</w:t>
        </w:r>
      </w:hyperlink>
      <w:r w:rsidRPr="7169ADF7">
        <w:rPr>
          <w:rFonts w:ascii="Times New Roman" w:hAnsi="Times New Roman"/>
          <w:sz w:val="24"/>
        </w:rPr>
        <w:t>.</w:t>
      </w:r>
      <w:r>
        <w:rPr>
          <w:rFonts w:ascii="Times New Roman" w:hAnsi="Times New Roman"/>
          <w:sz w:val="24"/>
        </w:rPr>
        <w:t xml:space="preserve"> </w:t>
      </w:r>
      <w:r w:rsidRPr="00644C32">
        <w:rPr>
          <w:rFonts w:ascii="Times New Roman" w:hAnsi="Times New Roman"/>
          <w:sz w:val="24"/>
        </w:rPr>
        <w:t xml:space="preserve">These employee participation provisions for reporting non-compliance simply establish a minimum standard for </w:t>
      </w:r>
      <w:r w:rsidRPr="5E4AFE2C" w:rsidR="525EC019">
        <w:rPr>
          <w:rFonts w:ascii="Times New Roman" w:hAnsi="Times New Roman"/>
          <w:sz w:val="24"/>
        </w:rPr>
        <w:t>owners and operators</w:t>
      </w:r>
      <w:r w:rsidRPr="00644C32">
        <w:rPr>
          <w:rFonts w:ascii="Times New Roman" w:hAnsi="Times New Roman"/>
          <w:sz w:val="24"/>
        </w:rPr>
        <w:t xml:space="preserve"> to </w:t>
      </w:r>
      <w:r w:rsidRPr="5E4AFE2C" w:rsidR="525EC019">
        <w:rPr>
          <w:rFonts w:ascii="Times New Roman" w:hAnsi="Times New Roman"/>
          <w:sz w:val="24"/>
        </w:rPr>
        <w:t>involve</w:t>
      </w:r>
      <w:r w:rsidRPr="00644C32">
        <w:rPr>
          <w:rFonts w:ascii="Times New Roman" w:hAnsi="Times New Roman"/>
          <w:sz w:val="24"/>
        </w:rPr>
        <w:t xml:space="preserve"> employees </w:t>
      </w:r>
      <w:r w:rsidRPr="5E4AFE2C" w:rsidR="464CF5D4">
        <w:rPr>
          <w:rFonts w:ascii="Times New Roman" w:hAnsi="Times New Roman"/>
          <w:sz w:val="24"/>
        </w:rPr>
        <w:t xml:space="preserve">in </w:t>
      </w:r>
      <w:r w:rsidRPr="5E4AFE2C">
        <w:rPr>
          <w:rFonts w:ascii="Times New Roman" w:hAnsi="Times New Roman"/>
          <w:sz w:val="24"/>
        </w:rPr>
        <w:t>discuss</w:t>
      </w:r>
      <w:r w:rsidRPr="5E4AFE2C" w:rsidR="3BD8F529">
        <w:rPr>
          <w:rFonts w:ascii="Times New Roman" w:hAnsi="Times New Roman"/>
          <w:sz w:val="24"/>
        </w:rPr>
        <w:t>ions of</w:t>
      </w:r>
      <w:r w:rsidRPr="00644C32">
        <w:rPr>
          <w:rFonts w:ascii="Times New Roman" w:hAnsi="Times New Roman"/>
          <w:sz w:val="24"/>
        </w:rPr>
        <w:t xml:space="preserve"> safety concerns internally to promote process safety</w:t>
      </w:r>
      <w:r w:rsidRPr="1B18060D" w:rsidR="1E465883">
        <w:rPr>
          <w:rFonts w:ascii="Times New Roman" w:hAnsi="Times New Roman"/>
          <w:sz w:val="24"/>
        </w:rPr>
        <w:t>, which will</w:t>
      </w:r>
      <w:r w:rsidRPr="00644C32">
        <w:rPr>
          <w:rFonts w:ascii="Times New Roman" w:hAnsi="Times New Roman"/>
          <w:sz w:val="24"/>
        </w:rPr>
        <w:t xml:space="preserve"> protect the employee</w:t>
      </w:r>
      <w:r w:rsidRPr="1B18060D" w:rsidR="196D25E4">
        <w:rPr>
          <w:rFonts w:ascii="Times New Roman" w:hAnsi="Times New Roman"/>
          <w:sz w:val="24"/>
        </w:rPr>
        <w:t xml:space="preserve"> while</w:t>
      </w:r>
      <w:r w:rsidR="00643602">
        <w:rPr>
          <w:rFonts w:ascii="Times New Roman" w:hAnsi="Times New Roman"/>
          <w:sz w:val="24"/>
        </w:rPr>
        <w:t xml:space="preserve"> </w:t>
      </w:r>
      <w:r w:rsidRPr="1B18060D">
        <w:rPr>
          <w:rFonts w:ascii="Times New Roman" w:hAnsi="Times New Roman"/>
          <w:sz w:val="24"/>
        </w:rPr>
        <w:t>keep</w:t>
      </w:r>
      <w:r w:rsidRPr="1B18060D" w:rsidR="1D80F4D3">
        <w:rPr>
          <w:rFonts w:ascii="Times New Roman" w:hAnsi="Times New Roman"/>
          <w:sz w:val="24"/>
        </w:rPr>
        <w:t>ing</w:t>
      </w:r>
      <w:r w:rsidRPr="00644C32">
        <w:rPr>
          <w:rFonts w:ascii="Times New Roman" w:hAnsi="Times New Roman"/>
          <w:sz w:val="24"/>
        </w:rPr>
        <w:t xml:space="preserve"> communities safe as well</w:t>
      </w:r>
      <w:r w:rsidR="002A47AB">
        <w:rPr>
          <w:rFonts w:ascii="Times New Roman" w:hAnsi="Times New Roman"/>
          <w:sz w:val="24"/>
        </w:rPr>
        <w:t>.</w:t>
      </w:r>
    </w:p>
    <w:p w:rsidR="00C52FE2" w:rsidRPr="00B12810" w:rsidP="00C52FE2" w14:paraId="2253C90E" w14:textId="52713F18">
      <w:pPr>
        <w:ind w:left="720"/>
        <w:rPr>
          <w:rFonts w:ascii="Times New Roman" w:hAnsi="Times New Roman"/>
          <w:sz w:val="24"/>
        </w:rPr>
      </w:pPr>
      <w:r>
        <w:rPr>
          <w:rFonts w:ascii="Times New Roman" w:hAnsi="Times New Roman"/>
          <w:sz w:val="24"/>
        </w:rPr>
        <w:t>In response to other employee participation in the R</w:t>
      </w:r>
      <w:r w:rsidR="002A47AB">
        <w:rPr>
          <w:rFonts w:ascii="Times New Roman" w:hAnsi="Times New Roman"/>
          <w:sz w:val="24"/>
        </w:rPr>
        <w:t>MP provisions</w:t>
      </w:r>
      <w:r w:rsidRPr="00B12810" w:rsidR="00545BC0">
        <w:rPr>
          <w:rFonts w:ascii="Times New Roman" w:hAnsi="Times New Roman"/>
          <w:sz w:val="24"/>
        </w:rPr>
        <w:t xml:space="preserve">, </w:t>
      </w:r>
      <w:r w:rsidR="002A47AB">
        <w:rPr>
          <w:rFonts w:ascii="Times New Roman" w:hAnsi="Times New Roman"/>
          <w:sz w:val="24"/>
        </w:rPr>
        <w:t xml:space="preserve">EPA notes </w:t>
      </w:r>
      <w:r w:rsidRPr="00B12810" w:rsidR="00545BC0">
        <w:rPr>
          <w:rFonts w:ascii="Times New Roman" w:hAnsi="Times New Roman"/>
          <w:sz w:val="24"/>
        </w:rPr>
        <w:t xml:space="preserve">there </w:t>
      </w:r>
      <w:r w:rsidRPr="00B12810" w:rsidR="007E5FC9">
        <w:rPr>
          <w:rFonts w:ascii="Times New Roman" w:hAnsi="Times New Roman"/>
          <w:sz w:val="24"/>
        </w:rPr>
        <w:t xml:space="preserve">are </w:t>
      </w:r>
      <w:r w:rsidRPr="00B12810" w:rsidR="00545BC0">
        <w:rPr>
          <w:rFonts w:ascii="Times New Roman" w:hAnsi="Times New Roman"/>
          <w:sz w:val="24"/>
        </w:rPr>
        <w:t>already provision</w:t>
      </w:r>
      <w:r w:rsidRPr="00B12810" w:rsidR="007E5FC9">
        <w:rPr>
          <w:rFonts w:ascii="Times New Roman" w:hAnsi="Times New Roman"/>
          <w:sz w:val="24"/>
        </w:rPr>
        <w:t>s</w:t>
      </w:r>
      <w:r w:rsidRPr="00B12810" w:rsidR="00545BC0">
        <w:rPr>
          <w:rFonts w:ascii="Times New Roman" w:hAnsi="Times New Roman"/>
          <w:sz w:val="24"/>
        </w:rPr>
        <w:t xml:space="preserve"> established by the initial 1996 RMP that requires </w:t>
      </w:r>
      <w:r w:rsidRPr="00B12810" w:rsidR="004D7AC7">
        <w:rPr>
          <w:rFonts w:ascii="Times New Roman" w:hAnsi="Times New Roman"/>
          <w:sz w:val="24"/>
        </w:rPr>
        <w:t>employees to participate as a team member when developing recommendations from incident investigations under 40 CFR 68.81(c), compliance audits under 40 CFR 68.79(b), and PHAs under 40 CFR 68.67(d). At 40 CFR 68.67(d), the PHA provision indicates that the PHA shall be performed by a team with expertise in engineering and process operations, and the team shall include at least one employee who has experience and knowledge specific to the process being evaluated.</w:t>
      </w:r>
    </w:p>
    <w:p w:rsidR="00545BC0" w:rsidRPr="00C12444" w:rsidP="00C52FE2" w14:paraId="1C6B411C" w14:textId="5571E635">
      <w:pPr>
        <w:ind w:left="720"/>
        <w:rPr>
          <w:rFonts w:ascii="Times New Roman" w:hAnsi="Times New Roman"/>
          <w:sz w:val="24"/>
        </w:rPr>
      </w:pPr>
      <w:r w:rsidRPr="00C12444">
        <w:rPr>
          <w:rFonts w:ascii="Times New Roman" w:hAnsi="Times New Roman"/>
          <w:sz w:val="24"/>
        </w:rPr>
        <w:t xml:space="preserve">Regarding comments suggesting </w:t>
      </w:r>
      <w:r w:rsidRPr="00C12444" w:rsidR="00C12444">
        <w:rPr>
          <w:rFonts w:ascii="Times New Roman" w:hAnsi="Times New Roman"/>
          <w:sz w:val="24"/>
        </w:rPr>
        <w:t>implementation</w:t>
      </w:r>
      <w:r w:rsidRPr="00C12444" w:rsidR="009D3EB3">
        <w:rPr>
          <w:rFonts w:ascii="Times New Roman" w:hAnsi="Times New Roman"/>
          <w:sz w:val="24"/>
        </w:rPr>
        <w:t xml:space="preserve"> </w:t>
      </w:r>
      <w:r w:rsidRPr="1B18060D" w:rsidR="2377C1DD">
        <w:rPr>
          <w:rFonts w:ascii="Times New Roman" w:hAnsi="Times New Roman"/>
          <w:sz w:val="24"/>
        </w:rPr>
        <w:t>of specific prevention measures,</w:t>
      </w:r>
      <w:r w:rsidRPr="00C12444" w:rsidR="009D3EB3">
        <w:rPr>
          <w:rFonts w:ascii="Times New Roman" w:hAnsi="Times New Roman"/>
          <w:sz w:val="24"/>
        </w:rPr>
        <w:t xml:space="preserve"> </w:t>
      </w:r>
      <w:r w:rsidRPr="00C12444">
        <w:rPr>
          <w:rFonts w:ascii="Times New Roman" w:hAnsi="Times New Roman"/>
          <w:sz w:val="24"/>
        </w:rPr>
        <w:t xml:space="preserve">EPA continues to believe the performance-based nature of both this provision and the overall </w:t>
      </w:r>
      <w:r w:rsidRPr="00C12444">
        <w:rPr>
          <w:rFonts w:ascii="Times New Roman" w:hAnsi="Times New Roman"/>
          <w:sz w:val="24"/>
        </w:rPr>
        <w:t>rule allow facility owners and operators the discretion to determine what risk reduction measures work best for their particular chemical use, process, or facility.</w:t>
      </w:r>
    </w:p>
    <w:p w:rsidR="007F1490" w:rsidRPr="00C12444" w:rsidP="00C52FE2" w14:paraId="2FE89E29" w14:textId="6CEC8DDF">
      <w:pPr>
        <w:ind w:left="720"/>
        <w:rPr>
          <w:rFonts w:ascii="Times New Roman" w:hAnsi="Times New Roman"/>
          <w:sz w:val="24"/>
        </w:rPr>
      </w:pPr>
      <w:r w:rsidRPr="00C12444">
        <w:rPr>
          <w:rFonts w:ascii="Times New Roman" w:hAnsi="Times New Roman"/>
          <w:sz w:val="24"/>
        </w:rPr>
        <w:t xml:space="preserve">Regarding contractors, EPA </w:t>
      </w:r>
      <w:r w:rsidRPr="00C12444" w:rsidR="00CD16B0">
        <w:rPr>
          <w:rFonts w:ascii="Times New Roman" w:hAnsi="Times New Roman"/>
          <w:sz w:val="24"/>
        </w:rPr>
        <w:t xml:space="preserve">believes owners and operators can use their best judgement as to when to involve contractors in the process, however EPA does not believe it necessary to be a requirement. </w:t>
      </w:r>
    </w:p>
    <w:p w:rsidR="00C52FE2" w:rsidP="00C52FE2" w14:paraId="0354D2EA" w14:textId="77777777">
      <w:pPr>
        <w:rPr>
          <w:rFonts w:ascii="Times New Roman" w:hAnsi="Times New Roman"/>
          <w:sz w:val="24"/>
        </w:rPr>
      </w:pPr>
      <w:r>
        <w:rPr>
          <w:rFonts w:ascii="Times New Roman" w:hAnsi="Times New Roman"/>
          <w:b/>
          <w:bCs/>
          <w:sz w:val="24"/>
        </w:rPr>
        <w:t xml:space="preserve">Comment 9.1-06: </w:t>
      </w:r>
      <w:r w:rsidRPr="7D7ADABB">
        <w:rPr>
          <w:rFonts w:ascii="Times New Roman" w:hAnsi="Times New Roman"/>
          <w:sz w:val="24"/>
        </w:rPr>
        <w:t xml:space="preserve">Another commenter </w:t>
      </w:r>
      <w:r>
        <w:rPr>
          <w:rFonts w:ascii="Times New Roman" w:hAnsi="Times New Roman"/>
          <w:sz w:val="24"/>
        </w:rPr>
        <w:t>stated</w:t>
      </w:r>
      <w:r w:rsidRPr="7D7ADABB">
        <w:rPr>
          <w:rFonts w:ascii="Times New Roman" w:hAnsi="Times New Roman"/>
          <w:sz w:val="24"/>
        </w:rPr>
        <w:t xml:space="preserve"> that EPA’s use of “employees and their representatives” can be viewed too broadly. The commenter provided a clarification to be refined to specifically target personnel who</w:t>
      </w:r>
      <w:r>
        <w:rPr>
          <w:rFonts w:ascii="Times New Roman" w:hAnsi="Times New Roman"/>
          <w:sz w:val="24"/>
        </w:rPr>
        <w:t xml:space="preserve"> are</w:t>
      </w:r>
      <w:r w:rsidRPr="7D7ADABB">
        <w:rPr>
          <w:rFonts w:ascii="Times New Roman" w:hAnsi="Times New Roman"/>
          <w:sz w:val="24"/>
        </w:rPr>
        <w:t xml:space="preserve"> directly involved in operating, maintaining, and managing the stationary source (0193).</w:t>
      </w:r>
    </w:p>
    <w:p w:rsidR="00C52FE2" w:rsidRPr="00E92FEC" w:rsidP="00C52FE2" w14:paraId="682C10A8" w14:textId="77777777">
      <w:pPr>
        <w:ind w:left="720"/>
        <w:rPr>
          <w:rFonts w:ascii="Times New Roman" w:hAnsi="Times New Roman"/>
          <w:sz w:val="24"/>
        </w:rPr>
      </w:pPr>
      <w:r w:rsidRPr="7D7ADABB">
        <w:rPr>
          <w:rFonts w:ascii="Times New Roman" w:hAnsi="Times New Roman"/>
          <w:b/>
          <w:bCs/>
          <w:sz w:val="24"/>
        </w:rPr>
        <w:t>EPA Response</w:t>
      </w:r>
      <w:r>
        <w:rPr>
          <w:rFonts w:ascii="Times New Roman" w:hAnsi="Times New Roman"/>
          <w:sz w:val="24"/>
        </w:rPr>
        <w:t xml:space="preserve">: </w:t>
      </w:r>
      <w:r w:rsidRPr="7D7ADABB">
        <w:rPr>
          <w:rFonts w:ascii="Times New Roman" w:eastAsia="Times New Roman" w:hAnsi="Times New Roman"/>
          <w:color w:val="000000" w:themeColor="text1"/>
          <w:sz w:val="24"/>
        </w:rPr>
        <w:t>In response to the comment that the term “employees and their representatives” can be viewed too broadly, EPA has amended the language to specify that the provision only applies to employees knowledgeable in the process and their representatives. EPA expects employees involved in the consultation to be knowledgeable in the process, as these employees are expected to have a better firsthand understanding of the process than employees who do not work in</w:t>
      </w:r>
      <w:r w:rsidRPr="003F12C3">
        <w:rPr>
          <w:rFonts w:ascii="Times New Roman" w:eastAsia="Times New Roman" w:hAnsi="Times New Roman"/>
          <w:color w:val="000000" w:themeColor="text1"/>
          <w:sz w:val="24"/>
        </w:rPr>
        <w:t xml:space="preserve"> the process</w:t>
      </w:r>
      <w:r w:rsidRPr="7D7ADABB">
        <w:rPr>
          <w:rFonts w:ascii="Times New Roman" w:eastAsia="Times New Roman" w:hAnsi="Times New Roman"/>
          <w:color w:val="000000" w:themeColor="text1"/>
          <w:sz w:val="24"/>
        </w:rPr>
        <w:t xml:space="preserve">, who are new to the process, or who do not understand the process. EPA expects that these employees are likely to also be the employees that have the qualifications to participate as a team member when developing recommendations from incident investigations under </w:t>
      </w:r>
      <w:r w:rsidRPr="003F12C3">
        <w:rPr>
          <w:rFonts w:ascii="Times New Roman" w:eastAsia="Times New Roman" w:hAnsi="Times New Roman"/>
          <w:color w:val="000000" w:themeColor="text1"/>
          <w:sz w:val="24"/>
        </w:rPr>
        <w:t xml:space="preserve">40 CFR </w:t>
      </w:r>
      <w:r w:rsidRPr="7D7ADABB">
        <w:rPr>
          <w:rFonts w:ascii="Times New Roman" w:eastAsia="Times New Roman" w:hAnsi="Times New Roman"/>
          <w:color w:val="000000" w:themeColor="text1"/>
          <w:sz w:val="24"/>
        </w:rPr>
        <w:t xml:space="preserve">68.81(c), compliance audits under </w:t>
      </w:r>
      <w:r w:rsidRPr="003F12C3">
        <w:rPr>
          <w:rFonts w:ascii="Times New Roman" w:eastAsia="Times New Roman" w:hAnsi="Times New Roman"/>
          <w:color w:val="000000" w:themeColor="text1"/>
          <w:sz w:val="24"/>
        </w:rPr>
        <w:t>40 CFR</w:t>
      </w:r>
      <w:r w:rsidRPr="7D7ADABB">
        <w:rPr>
          <w:rFonts w:ascii="Times New Roman" w:eastAsia="Times New Roman" w:hAnsi="Times New Roman"/>
          <w:color w:val="000000" w:themeColor="text1"/>
          <w:sz w:val="24"/>
        </w:rPr>
        <w:t xml:space="preserve"> 68.79(b), and </w:t>
      </w:r>
      <w:r w:rsidRPr="003F12C3">
        <w:rPr>
          <w:rFonts w:ascii="Times New Roman" w:eastAsia="Times New Roman" w:hAnsi="Times New Roman"/>
          <w:color w:val="000000" w:themeColor="text1"/>
          <w:sz w:val="24"/>
        </w:rPr>
        <w:t>PHAs</w:t>
      </w:r>
      <w:r w:rsidRPr="7D7ADABB">
        <w:rPr>
          <w:rFonts w:ascii="Times New Roman" w:eastAsia="Times New Roman" w:hAnsi="Times New Roman"/>
          <w:color w:val="000000" w:themeColor="text1"/>
          <w:sz w:val="24"/>
        </w:rPr>
        <w:t xml:space="preserve"> under </w:t>
      </w:r>
      <w:r w:rsidRPr="003F12C3">
        <w:rPr>
          <w:rFonts w:ascii="Times New Roman" w:eastAsia="Times New Roman" w:hAnsi="Times New Roman"/>
          <w:color w:val="000000" w:themeColor="text1"/>
          <w:sz w:val="24"/>
        </w:rPr>
        <w:t>40 CFR</w:t>
      </w:r>
      <w:r w:rsidRPr="7D7ADABB">
        <w:rPr>
          <w:rFonts w:ascii="Times New Roman" w:eastAsia="Times New Roman" w:hAnsi="Times New Roman"/>
          <w:color w:val="000000" w:themeColor="text1"/>
          <w:sz w:val="24"/>
        </w:rPr>
        <w:t xml:space="preserve"> 68.67(d). At </w:t>
      </w:r>
      <w:r w:rsidRPr="003F12C3">
        <w:rPr>
          <w:rFonts w:ascii="Times New Roman" w:eastAsia="Times New Roman" w:hAnsi="Times New Roman"/>
          <w:color w:val="000000" w:themeColor="text1"/>
          <w:sz w:val="24"/>
        </w:rPr>
        <w:t>40 CFR</w:t>
      </w:r>
      <w:r w:rsidRPr="7D7ADABB">
        <w:rPr>
          <w:rFonts w:ascii="Times New Roman" w:eastAsia="Times New Roman" w:hAnsi="Times New Roman"/>
          <w:color w:val="000000" w:themeColor="text1"/>
          <w:sz w:val="24"/>
        </w:rPr>
        <w:t xml:space="preserve"> 68.67(d), the </w:t>
      </w:r>
      <w:r w:rsidRPr="003F12C3">
        <w:rPr>
          <w:rFonts w:ascii="Times New Roman" w:eastAsia="Times New Roman" w:hAnsi="Times New Roman"/>
          <w:color w:val="000000" w:themeColor="text1"/>
          <w:sz w:val="24"/>
        </w:rPr>
        <w:t>PHA</w:t>
      </w:r>
      <w:r w:rsidRPr="7D7ADABB">
        <w:rPr>
          <w:rFonts w:ascii="Times New Roman" w:eastAsia="Times New Roman" w:hAnsi="Times New Roman"/>
          <w:color w:val="000000" w:themeColor="text1"/>
          <w:sz w:val="24"/>
        </w:rPr>
        <w:t xml:space="preserve"> provision indicates that the </w:t>
      </w:r>
      <w:r w:rsidRPr="003F12C3">
        <w:rPr>
          <w:rFonts w:ascii="Times New Roman" w:eastAsia="Times New Roman" w:hAnsi="Times New Roman"/>
          <w:color w:val="000000" w:themeColor="text1"/>
          <w:sz w:val="24"/>
        </w:rPr>
        <w:t>PHA</w:t>
      </w:r>
      <w:r w:rsidRPr="7D7ADABB">
        <w:rPr>
          <w:rFonts w:ascii="Times New Roman" w:eastAsia="Times New Roman" w:hAnsi="Times New Roman"/>
          <w:color w:val="000000" w:themeColor="text1"/>
          <w:sz w:val="24"/>
        </w:rPr>
        <w:t xml:space="preserve"> shall be performed by a team with expertise in engineering and process operations, and the team shall include at least one employee who has experience and knowledge specific to the process being evaluated. EPA believes it is prudent to apply at least the same qualification criterion to employees who can participate in developing recommendations as to those who can assist in deciding whether those recommendations will be implemented.</w:t>
      </w:r>
      <w:r>
        <w:rPr>
          <w:rFonts w:ascii="Times New Roman" w:eastAsia="Times New Roman" w:hAnsi="Times New Roman"/>
          <w:color w:val="000000" w:themeColor="text1"/>
          <w:sz w:val="24"/>
        </w:rPr>
        <w:t xml:space="preserve"> </w:t>
      </w:r>
    </w:p>
    <w:p w:rsidR="00C52FE2" w:rsidP="00C52FE2" w14:paraId="7D87D8F8" w14:textId="77777777">
      <w:pPr>
        <w:rPr>
          <w:rFonts w:ascii="Times New Roman" w:hAnsi="Times New Roman"/>
          <w:i/>
          <w:iCs/>
          <w:sz w:val="24"/>
        </w:rPr>
      </w:pPr>
      <w:r w:rsidRPr="00411C77">
        <w:rPr>
          <w:rFonts w:ascii="Times New Roman" w:hAnsi="Times New Roman"/>
          <w:i/>
          <w:iCs/>
          <w:sz w:val="24"/>
        </w:rPr>
        <w:t xml:space="preserve">Applicability of employee participation provisions </w:t>
      </w:r>
    </w:p>
    <w:p w:rsidR="00C52FE2" w:rsidP="00C52FE2" w14:paraId="5F9B8E10" w14:textId="77777777">
      <w:pPr>
        <w:rPr>
          <w:rFonts w:ascii="Times New Roman" w:hAnsi="Times New Roman"/>
          <w:sz w:val="24"/>
        </w:rPr>
      </w:pPr>
      <w:r w:rsidRPr="00783B24">
        <w:rPr>
          <w:rFonts w:ascii="Times New Roman" w:hAnsi="Times New Roman"/>
          <w:b/>
          <w:bCs/>
          <w:sz w:val="24"/>
        </w:rPr>
        <w:t>Comment</w:t>
      </w:r>
      <w:r>
        <w:rPr>
          <w:rFonts w:ascii="Times New Roman" w:hAnsi="Times New Roman"/>
          <w:b/>
          <w:bCs/>
          <w:sz w:val="24"/>
        </w:rPr>
        <w:t xml:space="preserve"> 9.1-07</w:t>
      </w:r>
      <w:r w:rsidRPr="00783B24">
        <w:rPr>
          <w:rFonts w:ascii="Times New Roman" w:hAnsi="Times New Roman"/>
          <w:b/>
          <w:bCs/>
          <w:sz w:val="24"/>
        </w:rPr>
        <w:t>:</w:t>
      </w:r>
      <w:r>
        <w:rPr>
          <w:rFonts w:ascii="Times New Roman" w:hAnsi="Times New Roman"/>
          <w:sz w:val="24"/>
        </w:rPr>
        <w:t xml:space="preserve"> Several </w:t>
      </w:r>
      <w:r w:rsidRPr="006F68E9">
        <w:rPr>
          <w:rFonts w:ascii="Times New Roman" w:hAnsi="Times New Roman"/>
          <w:sz w:val="24"/>
        </w:rPr>
        <w:t xml:space="preserve">commenters </w:t>
      </w:r>
      <w:r>
        <w:rPr>
          <w:rFonts w:ascii="Times New Roman" w:hAnsi="Times New Roman"/>
          <w:sz w:val="24"/>
        </w:rPr>
        <w:t>stated</w:t>
      </w:r>
      <w:r w:rsidRPr="006F68E9">
        <w:rPr>
          <w:rFonts w:ascii="Times New Roman" w:hAnsi="Times New Roman"/>
          <w:sz w:val="24"/>
        </w:rPr>
        <w:t xml:space="preserve"> that EPA should expand the employee participation requirements to cover all program levels (</w:t>
      </w:r>
      <w:r>
        <w:rPr>
          <w:rFonts w:ascii="Times New Roman" w:hAnsi="Times New Roman"/>
          <w:sz w:val="24"/>
        </w:rPr>
        <w:t xml:space="preserve">0160, 0203, </w:t>
      </w:r>
      <w:r w:rsidRPr="006F68E9">
        <w:rPr>
          <w:rFonts w:ascii="Times New Roman" w:hAnsi="Times New Roman"/>
          <w:sz w:val="24"/>
        </w:rPr>
        <w:t>0251, 0460</w:t>
      </w:r>
      <w:r>
        <w:rPr>
          <w:rFonts w:ascii="Times New Roman" w:hAnsi="Times New Roman"/>
          <w:sz w:val="24"/>
        </w:rPr>
        <w:t>, 0183</w:t>
      </w:r>
      <w:r w:rsidRPr="006F68E9">
        <w:rPr>
          <w:rFonts w:ascii="Times New Roman" w:hAnsi="Times New Roman"/>
          <w:sz w:val="24"/>
        </w:rPr>
        <w:t xml:space="preserve">). One commenter </w:t>
      </w:r>
      <w:r>
        <w:rPr>
          <w:rFonts w:ascii="Times New Roman" w:hAnsi="Times New Roman"/>
          <w:sz w:val="24"/>
        </w:rPr>
        <w:t>stated this proposed change would</w:t>
      </w:r>
      <w:r w:rsidRPr="006F68E9">
        <w:rPr>
          <w:rFonts w:ascii="Times New Roman" w:hAnsi="Times New Roman"/>
          <w:sz w:val="24"/>
        </w:rPr>
        <w:t xml:space="preserve"> promote employee engagement</w:t>
      </w:r>
      <w:r>
        <w:rPr>
          <w:rFonts w:ascii="Times New Roman" w:hAnsi="Times New Roman"/>
          <w:sz w:val="24"/>
        </w:rPr>
        <w:t xml:space="preserve"> </w:t>
      </w:r>
      <w:r w:rsidRPr="006F68E9">
        <w:rPr>
          <w:rFonts w:ascii="Times New Roman" w:hAnsi="Times New Roman"/>
          <w:sz w:val="24"/>
        </w:rPr>
        <w:t xml:space="preserve">and address process safety issues (0183). </w:t>
      </w:r>
      <w:r>
        <w:rPr>
          <w:rFonts w:ascii="Times New Roman" w:hAnsi="Times New Roman"/>
          <w:sz w:val="24"/>
        </w:rPr>
        <w:t>Another commenter</w:t>
      </w:r>
      <w:r w:rsidRPr="006F68E9">
        <w:rPr>
          <w:rFonts w:ascii="Times New Roman" w:hAnsi="Times New Roman"/>
          <w:sz w:val="24"/>
        </w:rPr>
        <w:t xml:space="preserve"> </w:t>
      </w:r>
      <w:r>
        <w:rPr>
          <w:rFonts w:ascii="Times New Roman" w:hAnsi="Times New Roman"/>
          <w:sz w:val="24"/>
        </w:rPr>
        <w:t>said expansion of applicability</w:t>
      </w:r>
      <w:r w:rsidRPr="006F68E9">
        <w:rPr>
          <w:rFonts w:ascii="Times New Roman" w:hAnsi="Times New Roman"/>
          <w:sz w:val="24"/>
        </w:rPr>
        <w:t xml:space="preserve"> to all program levels </w:t>
      </w:r>
      <w:r>
        <w:rPr>
          <w:rFonts w:ascii="Times New Roman" w:hAnsi="Times New Roman"/>
          <w:sz w:val="24"/>
        </w:rPr>
        <w:t xml:space="preserve">is warranted </w:t>
      </w:r>
      <w:r w:rsidRPr="006F68E9">
        <w:rPr>
          <w:rFonts w:ascii="Times New Roman" w:hAnsi="Times New Roman"/>
          <w:sz w:val="24"/>
        </w:rPr>
        <w:t>because EPA’s current data indicates that between 2004-2015, there were three worker deaths and 38 worker injuries in program level 1 facilities (0160).</w:t>
      </w:r>
    </w:p>
    <w:p w:rsidR="00C52FE2" w:rsidP="00C52FE2" w14:paraId="6DA5F246" w14:textId="77777777">
      <w:pPr>
        <w:rPr>
          <w:rFonts w:ascii="Times New Roman" w:hAnsi="Times New Roman"/>
          <w:sz w:val="24"/>
        </w:rPr>
      </w:pPr>
      <w:r w:rsidRPr="006F68E9">
        <w:rPr>
          <w:rFonts w:ascii="Times New Roman" w:hAnsi="Times New Roman"/>
          <w:sz w:val="24"/>
        </w:rPr>
        <w:t>Another commenter suggested EPA adopt worker participation requirements, including PSM, and to extend these rights to workers in all RMP-covered facilities and support mandatory worker participation in all phases of the RMP (0216).</w:t>
      </w:r>
    </w:p>
    <w:p w:rsidR="0084563D" w:rsidRPr="0084563D" w:rsidP="0084563D" w14:paraId="536E06D2" w14:textId="7D1DEE5A">
      <w:pPr>
        <w:ind w:left="720"/>
        <w:rPr>
          <w:rFonts w:ascii="Times New Roman" w:hAnsi="Times New Roman"/>
          <w:b/>
          <w:bCs/>
          <w:sz w:val="24"/>
        </w:rPr>
      </w:pPr>
      <w:r w:rsidRPr="00916F68">
        <w:rPr>
          <w:rFonts w:ascii="Times New Roman" w:hAnsi="Times New Roman"/>
          <w:b/>
          <w:sz w:val="24"/>
        </w:rPr>
        <w:t>EPA Response:</w:t>
      </w:r>
      <w:r w:rsidRPr="00916F68">
        <w:rPr>
          <w:rFonts w:ascii="Times New Roman" w:hAnsi="Times New Roman"/>
          <w:b/>
          <w:bCs/>
          <w:sz w:val="24"/>
        </w:rPr>
        <w:t xml:space="preserve"> </w:t>
      </w:r>
      <w:r w:rsidRPr="00916F68">
        <w:rPr>
          <w:rFonts w:ascii="Times New Roman" w:hAnsi="Times New Roman"/>
          <w:sz w:val="24"/>
        </w:rPr>
        <w:t xml:space="preserve">At this time, EPA believes this provision is most appropriate for Program 2 and 3 processes because facilities with these processes have RMP-reportable accidents more often (Program 2 = 15 percent, Program 3 = 83 percent of total accidents from 2004-2020) and pose a greater risk to the public because their worst-case scenario distance would affect public receptors. Program 1 processes only account for few of the total RMP-reportable accidents (3 percent of total accidents from 2004-2020), do not </w:t>
      </w:r>
      <w:r w:rsidRPr="00916F68">
        <w:rPr>
          <w:rFonts w:ascii="Times New Roman" w:hAnsi="Times New Roman"/>
          <w:sz w:val="24"/>
        </w:rPr>
        <w:t>have recent accident history with specific offsite consequences, and have no public receptors within the worst-case release scenario distance.</w:t>
      </w:r>
      <w:r>
        <w:rPr>
          <w:rFonts w:ascii="Times New Roman" w:hAnsi="Times New Roman"/>
          <w:sz w:val="24"/>
          <w:vertAlign w:val="superscript"/>
        </w:rPr>
        <w:footnoteReference w:id="139"/>
      </w:r>
    </w:p>
    <w:p w:rsidR="00C52FE2" w:rsidRPr="00F14B89" w:rsidP="00C52FE2" w14:paraId="13709A3B" w14:textId="77777777">
      <w:pPr>
        <w:rPr>
          <w:rFonts w:ascii="Times New Roman" w:hAnsi="Times New Roman"/>
          <w:i/>
          <w:iCs/>
          <w:sz w:val="24"/>
        </w:rPr>
      </w:pPr>
      <w:r>
        <w:rPr>
          <w:rFonts w:ascii="Times New Roman" w:hAnsi="Times New Roman"/>
          <w:i/>
          <w:iCs/>
          <w:sz w:val="24"/>
        </w:rPr>
        <w:t>Burden</w:t>
      </w:r>
      <w:r w:rsidRPr="00B97AD7">
        <w:rPr>
          <w:rFonts w:ascii="Times New Roman" w:hAnsi="Times New Roman"/>
          <w:i/>
          <w:iCs/>
          <w:sz w:val="24"/>
        </w:rPr>
        <w:t xml:space="preserve"> </w:t>
      </w:r>
      <w:r w:rsidRPr="00411C77">
        <w:rPr>
          <w:rFonts w:ascii="Times New Roman" w:hAnsi="Times New Roman"/>
          <w:i/>
          <w:iCs/>
          <w:sz w:val="24"/>
        </w:rPr>
        <w:t xml:space="preserve">of employee participation provisions </w:t>
      </w:r>
    </w:p>
    <w:p w:rsidR="00C52FE2" w:rsidRPr="006F68E9" w:rsidP="00C52FE2" w14:paraId="61D98D51" w14:textId="77777777">
      <w:pPr>
        <w:rPr>
          <w:rFonts w:ascii="Times New Roman" w:eastAsia="Times New Roman" w:hAnsi="Times New Roman"/>
          <w:sz w:val="24"/>
          <w:highlight w:val="green"/>
        </w:rPr>
      </w:pPr>
      <w:r>
        <w:rPr>
          <w:rFonts w:ascii="Times New Roman" w:hAnsi="Times New Roman"/>
          <w:b/>
          <w:bCs/>
          <w:sz w:val="24"/>
        </w:rPr>
        <w:t xml:space="preserve">Comment 9.1-08: </w:t>
      </w:r>
      <w:r w:rsidRPr="006F68E9">
        <w:rPr>
          <w:rFonts w:ascii="Times New Roman" w:hAnsi="Times New Roman"/>
          <w:sz w:val="24"/>
        </w:rPr>
        <w:t>A couple of commenters expressed opposition to quota systems that would require a specific percentage of employees to be involved in decision processes (0215, 0267). One of the</w:t>
      </w:r>
      <w:r w:rsidRPr="006F68E9">
        <w:rPr>
          <w:rFonts w:ascii="Times New Roman" w:eastAsia="Times New Roman" w:hAnsi="Times New Roman"/>
          <w:sz w:val="24"/>
        </w:rPr>
        <w:t xml:space="preserve"> commenters stated that the employee participation provision should </w:t>
      </w:r>
      <w:r w:rsidRPr="006F68E9">
        <w:rPr>
          <w:rFonts w:ascii="Times New Roman" w:hAnsi="Times New Roman"/>
          <w:sz w:val="24"/>
        </w:rPr>
        <w:t>not set a certain number or percentage requirement for employee participation</w:t>
      </w:r>
      <w:r w:rsidRPr="006F68E9">
        <w:rPr>
          <w:rFonts w:ascii="Times New Roman" w:eastAsia="Times New Roman" w:hAnsi="Times New Roman"/>
          <w:sz w:val="24"/>
        </w:rPr>
        <w:t xml:space="preserve"> </w:t>
      </w:r>
      <w:r w:rsidRPr="006F68E9">
        <w:rPr>
          <w:rFonts w:ascii="Times New Roman" w:eastAsia="Times New Roman" w:hAnsi="Times New Roman"/>
          <w:sz w:val="24"/>
        </w:rPr>
        <w:t xml:space="preserve">as it can lead to a waste of resources (0267). One commenter </w:t>
      </w:r>
      <w:r>
        <w:rPr>
          <w:rFonts w:ascii="Times New Roman" w:eastAsia="Times New Roman" w:hAnsi="Times New Roman"/>
          <w:sz w:val="24"/>
        </w:rPr>
        <w:t>said</w:t>
      </w:r>
      <w:r w:rsidRPr="006F68E9">
        <w:rPr>
          <w:rFonts w:ascii="Times New Roman" w:eastAsia="Times New Roman" w:hAnsi="Times New Roman"/>
          <w:sz w:val="24"/>
        </w:rPr>
        <w:t xml:space="preserve"> that RMP regulated sources need clarification on the proposed language to require a representative number of employee participation (0229). </w:t>
      </w:r>
    </w:p>
    <w:p w:rsidR="00C52FE2" w:rsidP="00C52FE2" w14:paraId="720F4BFE" w14:textId="77777777">
      <w:pPr>
        <w:rPr>
          <w:rFonts w:ascii="Times New Roman" w:hAnsi="Times New Roman"/>
          <w:sz w:val="24"/>
        </w:rPr>
      </w:pPr>
      <w:r w:rsidRPr="006F68E9">
        <w:rPr>
          <w:rFonts w:ascii="Times New Roman" w:hAnsi="Times New Roman"/>
          <w:sz w:val="24"/>
        </w:rPr>
        <w:t xml:space="preserve">One commenter provided a case study of a facility in California to note that a requirement to participate in all aspects of a prevention program could be an unnecessary burden (0173). Another commenter </w:t>
      </w:r>
      <w:r>
        <w:rPr>
          <w:rFonts w:ascii="Times New Roman" w:hAnsi="Times New Roman"/>
          <w:sz w:val="24"/>
        </w:rPr>
        <w:t>said</w:t>
      </w:r>
      <w:r w:rsidRPr="006F68E9">
        <w:rPr>
          <w:rFonts w:ascii="Times New Roman" w:hAnsi="Times New Roman"/>
          <w:sz w:val="24"/>
        </w:rPr>
        <w:t xml:space="preserve"> that it is not prudent to regulate the number or percentage of employees involved in these decision-making teams (0230).</w:t>
      </w:r>
    </w:p>
    <w:p w:rsidR="00C52FE2" w:rsidP="00C52FE2" w14:paraId="4FE33ADF" w14:textId="77777777">
      <w:pPr>
        <w:rPr>
          <w:rFonts w:ascii="Times New Roman" w:hAnsi="Times New Roman"/>
          <w:sz w:val="24"/>
        </w:rPr>
      </w:pPr>
      <w:r w:rsidRPr="6D3F9CC5">
        <w:rPr>
          <w:rFonts w:ascii="Times New Roman" w:hAnsi="Times New Roman"/>
          <w:sz w:val="24"/>
        </w:rPr>
        <w:t xml:space="preserve">One commenter </w:t>
      </w:r>
      <w:r>
        <w:rPr>
          <w:rFonts w:ascii="Times New Roman" w:hAnsi="Times New Roman"/>
          <w:sz w:val="24"/>
        </w:rPr>
        <w:t>said</w:t>
      </w:r>
      <w:r w:rsidRPr="6D3F9CC5">
        <w:rPr>
          <w:rFonts w:ascii="Times New Roman" w:hAnsi="Times New Roman"/>
          <w:sz w:val="24"/>
        </w:rPr>
        <w:t xml:space="preserve"> that EPA should provide simple guidance to avoid unnecessary burdens (0197). Another commenter expressed concern that the documentation and response requirements proposed under § 68.83(d) are overly burdensome and only serve to increase administrative compliance functions on the part of regulated sources (0229).</w:t>
      </w:r>
    </w:p>
    <w:p w:rsidR="00C52FE2" w:rsidRPr="006F68E9" w:rsidP="00C52FE2" w14:paraId="5B56508E"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EPA should not impose a one-size-fits-all approach to employee involvement, noting that facilities of various sizes and types require varied actions for addressing a given situation. The commenter added that employee participation should be tailored to the situation; and therefore, the proposed regulations can be burdensome, specifically on smaller facilities (0242). </w:t>
      </w:r>
    </w:p>
    <w:p w:rsidR="00C52FE2" w:rsidP="00C52FE2" w14:paraId="195D45BC"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EPA is placing an unjust burden on communities by relying on workers to enforce rules (0254).</w:t>
      </w:r>
    </w:p>
    <w:p w:rsidR="00C52FE2" w:rsidRPr="00632732" w:rsidP="00C52FE2" w14:paraId="2A48F139" w14:textId="77777777">
      <w:pPr>
        <w:ind w:left="720"/>
        <w:rPr>
          <w:rFonts w:ascii="Times New Roman" w:hAnsi="Times New Roman"/>
          <w:sz w:val="24"/>
        </w:rPr>
      </w:pPr>
      <w:r w:rsidRPr="00632732">
        <w:rPr>
          <w:rFonts w:ascii="Times New Roman" w:hAnsi="Times New Roman"/>
          <w:b/>
          <w:bCs/>
          <w:sz w:val="24"/>
        </w:rPr>
        <w:t>EPA Response:</w:t>
      </w:r>
      <w:r w:rsidRPr="00632732">
        <w:rPr>
          <w:rFonts w:ascii="Times New Roman" w:hAnsi="Times New Roman"/>
          <w:sz w:val="24"/>
        </w:rPr>
        <w:t xml:space="preserve"> Regarding the concern that reporting could create a burden or be performed by misinformed employees, EPA notes that the current Program 3 employee participation provisions under 40 CFR 68.83 already provide employees access to all RMP-related information. The new requirement for Program 2 processes under 40 CFR 68.62(c) will allow this as well.</w:t>
      </w:r>
    </w:p>
    <w:p w:rsidR="00F3792C" w:rsidRPr="00F3792C" w:rsidP="00F3792C" w14:paraId="6753A949" w14:textId="1204CAD3">
      <w:pPr>
        <w:ind w:left="720"/>
        <w:rPr>
          <w:rFonts w:ascii="Times New Roman" w:hAnsi="Times New Roman"/>
          <w:sz w:val="24"/>
        </w:rPr>
      </w:pPr>
      <w:r w:rsidRPr="00F3792C">
        <w:rPr>
          <w:rFonts w:ascii="Times New Roman" w:hAnsi="Times New Roman"/>
          <w:sz w:val="24"/>
        </w:rPr>
        <w:t>EPA does not expect to see a “one-size fits-all” plan developed by sources for reporting areas of non-compliance</w:t>
      </w:r>
      <w:r w:rsidR="00677115">
        <w:rPr>
          <w:rFonts w:ascii="Times New Roman" w:hAnsi="Times New Roman"/>
          <w:sz w:val="24"/>
        </w:rPr>
        <w:t>, the other employee participation provisions due to its performance-based nature</w:t>
      </w:r>
      <w:r w:rsidRPr="00F3792C">
        <w:rPr>
          <w:rFonts w:ascii="Times New Roman" w:hAnsi="Times New Roman"/>
          <w:sz w:val="24"/>
        </w:rPr>
        <w:t xml:space="preserve">. </w:t>
      </w:r>
      <w:r w:rsidR="00677115">
        <w:rPr>
          <w:rFonts w:ascii="Times New Roman" w:hAnsi="Times New Roman"/>
          <w:sz w:val="24"/>
        </w:rPr>
        <w:t>EPA recognizes s</w:t>
      </w:r>
      <w:r w:rsidRPr="00F3792C">
        <w:rPr>
          <w:rFonts w:ascii="Times New Roman" w:hAnsi="Times New Roman"/>
          <w:sz w:val="24"/>
        </w:rPr>
        <w:t xml:space="preserve">ome RMP facilities are less complex, operating with a handful of employees, while other RMP facilities have very complex processes that involve hundreds of employees. Like other provisions of the RMP regulation, the employee participation provisions allow facility owners and operators the flexibility to exercise reasonable judgement in determining how to best engage their employees and make them aware of their facility’s efforts to apply the RMP rule to process operations. In the absence of a more specific performance standard like RAGAGEP or a specific direction, the RMP rule relies on the reasonable judgments and efforts of regulated entities in designing compliance programs that are aimed at </w:t>
      </w:r>
      <w:r w:rsidRPr="00F3792C">
        <w:rPr>
          <w:rFonts w:ascii="Times New Roman" w:hAnsi="Times New Roman"/>
          <w:sz w:val="24"/>
        </w:rPr>
        <w:t xml:space="preserve">preventing or mitigating accidental releases. EPA </w:t>
      </w:r>
      <w:r w:rsidR="00677115">
        <w:rPr>
          <w:rFonts w:ascii="Times New Roman" w:hAnsi="Times New Roman"/>
          <w:sz w:val="24"/>
        </w:rPr>
        <w:t xml:space="preserve">believes </w:t>
      </w:r>
      <w:r w:rsidRPr="00F3792C">
        <w:rPr>
          <w:rFonts w:ascii="Times New Roman" w:hAnsi="Times New Roman"/>
          <w:sz w:val="24"/>
        </w:rPr>
        <w:t>it is useful for individual RMP facility owners and operators to continually improve their efforts to enhance safety cultures, strengthen safety teams, and foster employee communication. EPA also agrees that the most effective programs probably already comply with most aspects of the provision. EPA believes that sources should create a welcoming atmosphere for employees to discuss safety concerns internally. However, commenters, particularly commenters from labor organizations who supported the provision, stated that this is not always the case. Therefore, EPA maintains that t</w:t>
      </w:r>
      <w:r w:rsidR="00677115">
        <w:rPr>
          <w:rFonts w:ascii="Times New Roman" w:hAnsi="Times New Roman"/>
          <w:sz w:val="24"/>
        </w:rPr>
        <w:t>hese employee participation</w:t>
      </w:r>
      <w:r w:rsidRPr="00F3792C">
        <w:rPr>
          <w:rFonts w:ascii="Times New Roman" w:hAnsi="Times New Roman"/>
          <w:sz w:val="24"/>
        </w:rPr>
        <w:t xml:space="preserve"> provision</w:t>
      </w:r>
      <w:r w:rsidR="00677115">
        <w:rPr>
          <w:rFonts w:ascii="Times New Roman" w:hAnsi="Times New Roman"/>
          <w:sz w:val="24"/>
        </w:rPr>
        <w:t xml:space="preserve">s are </w:t>
      </w:r>
      <w:r w:rsidRPr="00F3792C">
        <w:rPr>
          <w:rFonts w:ascii="Times New Roman" w:hAnsi="Times New Roman"/>
          <w:sz w:val="24"/>
        </w:rPr>
        <w:t xml:space="preserve">necessary to establish a minimum standard for conduct. </w:t>
      </w:r>
    </w:p>
    <w:p w:rsidR="00F3792C" w:rsidRPr="00632732" w:rsidP="00C52FE2" w14:paraId="2BA9B572" w14:textId="7BBB7133">
      <w:pPr>
        <w:ind w:left="720"/>
        <w:rPr>
          <w:rFonts w:ascii="Times New Roman" w:hAnsi="Times New Roman"/>
          <w:sz w:val="24"/>
        </w:rPr>
      </w:pPr>
      <w:r>
        <w:rPr>
          <w:rFonts w:ascii="Times New Roman" w:hAnsi="Times New Roman"/>
          <w:sz w:val="24"/>
        </w:rPr>
        <w:t>Lastly, in the SCCAP proposal EPA took comment on</w:t>
      </w:r>
      <w:r w:rsidRPr="00B55757" w:rsidR="00B958B7">
        <w:rPr>
          <w:rFonts w:ascii="Times New Roman" w:hAnsi="Times New Roman"/>
          <w:sz w:val="24"/>
        </w:rPr>
        <w:t xml:space="preserve"> requiring </w:t>
      </w:r>
      <w:r w:rsidRPr="00B55757">
        <w:rPr>
          <w:rFonts w:ascii="Times New Roman" w:hAnsi="Times New Roman" w:eastAsiaTheme="minorHAnsi"/>
          <w:sz w:val="24"/>
          <w14:ligatures w14:val="standardContextual"/>
        </w:rPr>
        <w:t>a representative number or percentage of employees and their representatives involved in these recommendations decision teams as well as the development of other process safety elements as outlined in 40 CFR 68.83(b).</w:t>
      </w:r>
      <w:r>
        <w:rPr>
          <w:rFonts w:ascii="Times New Roman" w:hAnsi="Times New Roman" w:eastAsiaTheme="minorHAnsi"/>
          <w:sz w:val="24"/>
          <w14:ligatures w14:val="standardContextual"/>
        </w:rPr>
        <w:t xml:space="preserve"> For the final rule, EPA is not finalizing a requirement for this issue</w:t>
      </w:r>
      <w:r w:rsidR="005D172F">
        <w:rPr>
          <w:rFonts w:ascii="Times New Roman" w:hAnsi="Times New Roman" w:eastAsiaTheme="minorHAnsi"/>
          <w:sz w:val="24"/>
          <w14:ligatures w14:val="standardContextual"/>
        </w:rPr>
        <w:t xml:space="preserve"> and expect owners and operators to make sound judgements in these scenarios. </w:t>
      </w:r>
    </w:p>
    <w:p w:rsidR="00C52FE2" w:rsidRPr="006F68E9" w:rsidP="00EC3D81" w14:paraId="4B5AECD3" w14:textId="77777777">
      <w:pPr>
        <w:pStyle w:val="Heading2"/>
        <w:spacing w:before="120"/>
        <w:rPr>
          <w:rFonts w:ascii="Times New Roman" w:hAnsi="Times New Roman" w:cs="Times New Roman"/>
          <w:b/>
          <w:bCs/>
          <w:color w:val="auto"/>
          <w:sz w:val="24"/>
          <w:szCs w:val="24"/>
        </w:rPr>
      </w:pPr>
      <w:bookmarkStart w:id="120" w:name="_Toc146880023"/>
      <w:bookmarkStart w:id="121" w:name="_Toc153373812"/>
      <w:r w:rsidRPr="6D3F9CC5">
        <w:rPr>
          <w:rFonts w:ascii="Times New Roman" w:hAnsi="Times New Roman" w:cs="Times New Roman"/>
          <w:b/>
          <w:bCs/>
          <w:color w:val="auto"/>
          <w:sz w:val="24"/>
          <w:szCs w:val="24"/>
        </w:rPr>
        <w:t>Relevant sources in making risk decisions</w:t>
      </w:r>
      <w:bookmarkEnd w:id="120"/>
      <w:bookmarkEnd w:id="121"/>
    </w:p>
    <w:p w:rsidR="00C52FE2" w:rsidRPr="00B031EA" w:rsidP="00C52FE2" w14:paraId="7A3C41AD" w14:textId="77777777">
      <w:pPr>
        <w:rPr>
          <w:rFonts w:ascii="Times New Roman" w:eastAsia="Times New Roman" w:hAnsi="Times New Roman"/>
          <w:i/>
          <w:iCs/>
          <w:sz w:val="24"/>
        </w:rPr>
      </w:pPr>
      <w:r>
        <w:rPr>
          <w:rFonts w:ascii="Times New Roman" w:eastAsia="Times New Roman" w:hAnsi="Times New Roman"/>
          <w:i/>
          <w:iCs/>
          <w:sz w:val="24"/>
        </w:rPr>
        <w:t>No comments were coded to this issue.</w:t>
      </w:r>
    </w:p>
    <w:p w:rsidR="00C52FE2" w:rsidRPr="006F68E9" w:rsidP="00EC3D81" w14:paraId="74B080AE" w14:textId="77777777">
      <w:pPr>
        <w:pStyle w:val="Heading2"/>
        <w:spacing w:before="120"/>
        <w:rPr>
          <w:rFonts w:ascii="Times New Roman" w:hAnsi="Times New Roman" w:cs="Times New Roman"/>
          <w:b/>
          <w:bCs/>
          <w:color w:val="auto"/>
          <w:sz w:val="24"/>
          <w:szCs w:val="24"/>
        </w:rPr>
      </w:pPr>
      <w:bookmarkStart w:id="122" w:name="_Toc146880024"/>
      <w:bookmarkStart w:id="123" w:name="_Toc153373813"/>
      <w:r w:rsidRPr="6D3F9CC5">
        <w:rPr>
          <w:rFonts w:ascii="Times New Roman" w:hAnsi="Times New Roman" w:cs="Times New Roman"/>
          <w:b/>
          <w:bCs/>
          <w:color w:val="auto"/>
          <w:sz w:val="24"/>
          <w:szCs w:val="24"/>
        </w:rPr>
        <w:t xml:space="preserve">Stop </w:t>
      </w:r>
      <w:r>
        <w:rPr>
          <w:rFonts w:ascii="Times New Roman" w:hAnsi="Times New Roman" w:cs="Times New Roman"/>
          <w:b/>
          <w:bCs/>
          <w:color w:val="auto"/>
          <w:sz w:val="24"/>
          <w:szCs w:val="24"/>
        </w:rPr>
        <w:t>w</w:t>
      </w:r>
      <w:r w:rsidRPr="6D3F9CC5">
        <w:rPr>
          <w:rFonts w:ascii="Times New Roman" w:hAnsi="Times New Roman" w:cs="Times New Roman"/>
          <w:b/>
          <w:bCs/>
          <w:color w:val="auto"/>
          <w:sz w:val="24"/>
          <w:szCs w:val="24"/>
        </w:rPr>
        <w:t xml:space="preserve">ork </w:t>
      </w:r>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uthority provision</w:t>
      </w:r>
      <w:bookmarkEnd w:id="122"/>
      <w:bookmarkEnd w:id="123"/>
    </w:p>
    <w:p w:rsidR="00C52FE2" w:rsidRPr="00B44C08" w:rsidP="00C52FE2" w14:paraId="324596B6" w14:textId="77777777">
      <w:pPr>
        <w:rPr>
          <w:rFonts w:ascii="Times New Roman" w:hAnsi="Times New Roman"/>
          <w:i/>
          <w:iCs/>
          <w:sz w:val="24"/>
        </w:rPr>
      </w:pPr>
      <w:r>
        <w:rPr>
          <w:rFonts w:ascii="Times New Roman" w:hAnsi="Times New Roman"/>
          <w:i/>
          <w:iCs/>
          <w:sz w:val="24"/>
        </w:rPr>
        <w:t>General support for stop work authority provision</w:t>
      </w:r>
    </w:p>
    <w:p w:rsidR="00C52FE2" w:rsidP="00C52FE2" w14:paraId="32B39591" w14:textId="77777777">
      <w:pPr>
        <w:rPr>
          <w:rFonts w:ascii="Times New Roman" w:hAnsi="Times New Roman"/>
          <w:sz w:val="24"/>
        </w:rPr>
      </w:pPr>
      <w:r>
        <w:rPr>
          <w:rFonts w:ascii="Times New Roman" w:hAnsi="Times New Roman"/>
          <w:b/>
          <w:bCs/>
          <w:sz w:val="24"/>
        </w:rPr>
        <w:t xml:space="preserve">Comment 9.3-01: </w:t>
      </w:r>
      <w:r w:rsidRPr="6D3F9CC5">
        <w:rPr>
          <w:rFonts w:ascii="Times New Roman" w:hAnsi="Times New Roman"/>
          <w:sz w:val="24"/>
        </w:rPr>
        <w:t>Several commenters supported the proposed stop work authority provision of the employee participation plan under 40 CFR 68.83(d), and some recommended changes</w:t>
      </w:r>
      <w:r>
        <w:rPr>
          <w:rFonts w:ascii="Times New Roman" w:hAnsi="Times New Roman"/>
          <w:sz w:val="24"/>
        </w:rPr>
        <w:t>, as described further below</w:t>
      </w:r>
      <w:r w:rsidRPr="6D3F9CC5">
        <w:rPr>
          <w:rFonts w:ascii="Times New Roman" w:hAnsi="Times New Roman"/>
          <w:sz w:val="24"/>
        </w:rPr>
        <w:t xml:space="preserve"> (</w:t>
      </w:r>
      <w:r>
        <w:rPr>
          <w:rFonts w:ascii="Times New Roman" w:hAnsi="Times New Roman"/>
          <w:sz w:val="24"/>
        </w:rPr>
        <w:t xml:space="preserve">0139, </w:t>
      </w:r>
      <w:r w:rsidRPr="6D3F9CC5">
        <w:rPr>
          <w:rFonts w:ascii="Times New Roman" w:hAnsi="Times New Roman"/>
          <w:sz w:val="24"/>
        </w:rPr>
        <w:t>1716, 0203, 0216, 0219, 0250, 0252, 0255, 0264, 0269, 0270, 0409</w:t>
      </w:r>
      <w:r>
        <w:rPr>
          <w:rFonts w:ascii="Times New Roman" w:hAnsi="Times New Roman"/>
          <w:sz w:val="24"/>
        </w:rPr>
        <w:t xml:space="preserve">, 0456, </w:t>
      </w:r>
      <w:r w:rsidRPr="00E44C3B">
        <w:rPr>
          <w:rFonts w:ascii="Times New Roman" w:hAnsi="Times New Roman"/>
          <w:sz w:val="24"/>
        </w:rPr>
        <w:t>0255</w:t>
      </w:r>
      <w:r>
        <w:rPr>
          <w:rFonts w:ascii="Times New Roman" w:hAnsi="Times New Roman"/>
          <w:sz w:val="24"/>
        </w:rPr>
        <w:t xml:space="preserve">, </w:t>
      </w:r>
      <w:r w:rsidRPr="006F68E9">
        <w:rPr>
          <w:rFonts w:ascii="Times New Roman" w:hAnsi="Times New Roman"/>
          <w:sz w:val="24"/>
        </w:rPr>
        <w:t>0177</w:t>
      </w:r>
      <w:r w:rsidRPr="6D3F9CC5">
        <w:rPr>
          <w:rFonts w:ascii="Times New Roman" w:hAnsi="Times New Roman"/>
          <w:sz w:val="24"/>
        </w:rPr>
        <w:t xml:space="preserve">). </w:t>
      </w:r>
    </w:p>
    <w:p w:rsidR="00C52FE2" w:rsidRPr="00EB157A" w:rsidP="00C52FE2" w14:paraId="2E7DA029" w14:textId="77777777">
      <w:pPr>
        <w:ind w:left="720"/>
        <w:rPr>
          <w:rFonts w:ascii="Times New Roman" w:hAnsi="Times New Roman"/>
          <w:sz w:val="24"/>
        </w:rPr>
      </w:pPr>
      <w:r w:rsidRPr="00EB157A">
        <w:rPr>
          <w:rFonts w:ascii="Times New Roman" w:hAnsi="Times New Roman"/>
          <w:b/>
          <w:bCs/>
          <w:sz w:val="24"/>
        </w:rPr>
        <w:t>EPA Response:</w:t>
      </w:r>
      <w:r w:rsidRPr="00EB157A">
        <w:rPr>
          <w:rFonts w:ascii="Times New Roman" w:hAnsi="Times New Roman"/>
          <w:sz w:val="24"/>
        </w:rPr>
        <w:t xml:space="preserve"> </w:t>
      </w:r>
      <w:r>
        <w:rPr>
          <w:rFonts w:ascii="Times New Roman" w:hAnsi="Times New Roman"/>
          <w:sz w:val="24"/>
        </w:rPr>
        <w:t>EPA appreciates the commenters’ support.</w:t>
      </w:r>
    </w:p>
    <w:p w:rsidR="00C52FE2" w:rsidRPr="001C6B81" w:rsidP="00C52FE2" w14:paraId="24761F7C" w14:textId="77777777">
      <w:pPr>
        <w:rPr>
          <w:rFonts w:ascii="Times New Roman" w:hAnsi="Times New Roman"/>
          <w:i/>
          <w:iCs/>
          <w:sz w:val="24"/>
        </w:rPr>
      </w:pPr>
      <w:r>
        <w:rPr>
          <w:rFonts w:ascii="Times New Roman" w:hAnsi="Times New Roman"/>
          <w:i/>
          <w:iCs/>
          <w:sz w:val="24"/>
        </w:rPr>
        <w:t>Opposition</w:t>
      </w:r>
      <w:r w:rsidRPr="00752419">
        <w:rPr>
          <w:rFonts w:ascii="Times New Roman" w:hAnsi="Times New Roman"/>
          <w:i/>
          <w:iCs/>
          <w:sz w:val="24"/>
        </w:rPr>
        <w:t xml:space="preserve"> to stop work authority provision</w:t>
      </w:r>
    </w:p>
    <w:p w:rsidR="00C52FE2" w:rsidP="00C52FE2" w14:paraId="62A2A2AC" w14:textId="77777777">
      <w:pPr>
        <w:rPr>
          <w:rFonts w:ascii="Times New Roman" w:hAnsi="Times New Roman"/>
          <w:sz w:val="24"/>
        </w:rPr>
      </w:pPr>
      <w:r>
        <w:rPr>
          <w:rFonts w:ascii="Times New Roman" w:hAnsi="Times New Roman"/>
          <w:b/>
          <w:bCs/>
          <w:sz w:val="24"/>
        </w:rPr>
        <w:t xml:space="preserve">Comment 9.3-02: </w:t>
      </w:r>
      <w:r w:rsidRPr="6D3F9CC5">
        <w:rPr>
          <w:rFonts w:ascii="Times New Roman" w:hAnsi="Times New Roman"/>
          <w:sz w:val="24"/>
        </w:rPr>
        <w:t xml:space="preserve">Many commenters did not support the stop work authority provision of the employee participation plan (0180, 0184, 0215, 0217, 0226, 0228, 0230, 0232, 0233, 0234, 0237, 0238, 0253, 0268, 0272, 0458). </w:t>
      </w:r>
    </w:p>
    <w:p w:rsidR="00C52FE2" w:rsidP="00C52FE2" w14:paraId="14479D65" w14:textId="77777777">
      <w:pPr>
        <w:rPr>
          <w:rFonts w:ascii="Times New Roman" w:hAnsi="Times New Roman"/>
          <w:sz w:val="24"/>
        </w:rPr>
      </w:pPr>
      <w:r w:rsidRPr="6D3F9CC5">
        <w:rPr>
          <w:rFonts w:ascii="Times New Roman" w:hAnsi="Times New Roman"/>
          <w:sz w:val="24"/>
        </w:rPr>
        <w:t>Another commenter asserted that the underlying intent of the provision can be better addressed by establishing clear written guidelines on how employees can raise such concerns in “real time” (0230).</w:t>
      </w:r>
    </w:p>
    <w:p w:rsidR="00C52FE2" w:rsidP="00C52FE2" w14:paraId="1A6DD74D" w14:textId="77777777">
      <w:pPr>
        <w:rPr>
          <w:rFonts w:ascii="Times New Roman" w:hAnsi="Times New Roman"/>
          <w:sz w:val="24"/>
        </w:rPr>
      </w:pPr>
      <w:r>
        <w:rPr>
          <w:rFonts w:ascii="Times New Roman" w:hAnsi="Times New Roman"/>
          <w:sz w:val="24"/>
        </w:rPr>
        <w:t xml:space="preserve">A </w:t>
      </w:r>
      <w:r w:rsidRPr="00085A48">
        <w:rPr>
          <w:rFonts w:ascii="Times New Roman" w:hAnsi="Times New Roman"/>
          <w:sz w:val="24"/>
        </w:rPr>
        <w:t>couple of commenters</w:t>
      </w:r>
      <w:r>
        <w:rPr>
          <w:rFonts w:ascii="Times New Roman" w:hAnsi="Times New Roman"/>
          <w:sz w:val="24"/>
        </w:rPr>
        <w:t xml:space="preserve"> stated</w:t>
      </w:r>
      <w:r w:rsidRPr="00085A48">
        <w:rPr>
          <w:rFonts w:ascii="Times New Roman" w:hAnsi="Times New Roman"/>
          <w:sz w:val="24"/>
        </w:rPr>
        <w:t xml:space="preserve"> that EPA does not have the authority nor did they justify the regulation of </w:t>
      </w:r>
      <w:r>
        <w:rPr>
          <w:rFonts w:ascii="Times New Roman" w:hAnsi="Times New Roman"/>
          <w:sz w:val="24"/>
        </w:rPr>
        <w:t>s</w:t>
      </w:r>
      <w:r w:rsidRPr="00085A48">
        <w:rPr>
          <w:rFonts w:ascii="Times New Roman" w:hAnsi="Times New Roman"/>
          <w:sz w:val="24"/>
        </w:rPr>
        <w:t xml:space="preserve">top </w:t>
      </w:r>
      <w:r>
        <w:rPr>
          <w:rFonts w:ascii="Times New Roman" w:hAnsi="Times New Roman"/>
          <w:sz w:val="24"/>
        </w:rPr>
        <w:t>w</w:t>
      </w:r>
      <w:r w:rsidRPr="00085A48">
        <w:rPr>
          <w:rFonts w:ascii="Times New Roman" w:hAnsi="Times New Roman"/>
          <w:sz w:val="24"/>
        </w:rPr>
        <w:t xml:space="preserve">ork </w:t>
      </w:r>
      <w:r>
        <w:rPr>
          <w:rFonts w:ascii="Times New Roman" w:hAnsi="Times New Roman"/>
          <w:sz w:val="24"/>
        </w:rPr>
        <w:t>a</w:t>
      </w:r>
      <w:r w:rsidRPr="00085A48">
        <w:rPr>
          <w:rFonts w:ascii="Times New Roman" w:hAnsi="Times New Roman"/>
          <w:sz w:val="24"/>
        </w:rPr>
        <w:t>uthorities and interactions between an employer and an employee (0237, 0268).</w:t>
      </w:r>
    </w:p>
    <w:p w:rsidR="00C52FE2" w:rsidP="00C52FE2" w14:paraId="02E973E0" w14:textId="69E7DAAB">
      <w:pPr>
        <w:rPr>
          <w:rFonts w:ascii="Times New Roman" w:hAnsi="Times New Roman"/>
          <w:sz w:val="24"/>
        </w:rPr>
      </w:pPr>
      <w:r w:rsidRPr="00C43CEA">
        <w:rPr>
          <w:rFonts w:ascii="Times New Roman" w:hAnsi="Times New Roman"/>
          <w:sz w:val="24"/>
        </w:rPr>
        <w:t xml:space="preserve">Some commenters </w:t>
      </w:r>
      <w:r>
        <w:rPr>
          <w:rFonts w:ascii="Times New Roman" w:hAnsi="Times New Roman"/>
          <w:sz w:val="24"/>
        </w:rPr>
        <w:t>stated</w:t>
      </w:r>
      <w:r w:rsidRPr="00C43CEA">
        <w:rPr>
          <w:rFonts w:ascii="Times New Roman" w:hAnsi="Times New Roman"/>
          <w:sz w:val="24"/>
        </w:rPr>
        <w:t xml:space="preserve"> that these types of interactions, including whistleblower complaints, are already regulated by OSHA so adding them in this rule is duplicative rather than additive (0181, 0223, 0262, 0268). One commenter argued that a </w:t>
      </w:r>
      <w:r>
        <w:rPr>
          <w:rFonts w:ascii="Times New Roman" w:hAnsi="Times New Roman"/>
          <w:sz w:val="24"/>
        </w:rPr>
        <w:t>st</w:t>
      </w:r>
      <w:r w:rsidRPr="00C43CEA">
        <w:rPr>
          <w:rFonts w:ascii="Times New Roman" w:hAnsi="Times New Roman"/>
          <w:sz w:val="24"/>
        </w:rPr>
        <w:t xml:space="preserve">op </w:t>
      </w:r>
      <w:r>
        <w:rPr>
          <w:rFonts w:ascii="Times New Roman" w:hAnsi="Times New Roman"/>
          <w:sz w:val="24"/>
        </w:rPr>
        <w:t>w</w:t>
      </w:r>
      <w:r w:rsidRPr="00C43CEA">
        <w:rPr>
          <w:rFonts w:ascii="Times New Roman" w:hAnsi="Times New Roman"/>
          <w:sz w:val="24"/>
        </w:rPr>
        <w:t xml:space="preserve">ork </w:t>
      </w:r>
      <w:r>
        <w:rPr>
          <w:rFonts w:ascii="Times New Roman" w:hAnsi="Times New Roman"/>
          <w:sz w:val="24"/>
        </w:rPr>
        <w:t>a</w:t>
      </w:r>
      <w:r w:rsidRPr="00C43CEA">
        <w:rPr>
          <w:rFonts w:ascii="Times New Roman" w:hAnsi="Times New Roman"/>
          <w:sz w:val="24"/>
        </w:rPr>
        <w:t>uthority would not provide an additional benefit to facilities because it would be duplicative of existing policies and existing practices (0207).</w:t>
      </w:r>
    </w:p>
    <w:p w:rsidR="006E049E" w:rsidRPr="006E049E" w:rsidP="006E049E" w14:paraId="128B55D4" w14:textId="36A4312D">
      <w:pPr>
        <w:ind w:left="720"/>
        <w:rPr>
          <w:rFonts w:ascii="Times New Roman" w:hAnsi="Times New Roman"/>
          <w:sz w:val="24"/>
        </w:rPr>
      </w:pPr>
      <w:r w:rsidRPr="00CD0F9E">
        <w:rPr>
          <w:rFonts w:ascii="Times New Roman" w:hAnsi="Times New Roman"/>
          <w:b/>
          <w:bCs/>
          <w:sz w:val="24"/>
        </w:rPr>
        <w:t>EPA Response:</w:t>
      </w:r>
      <w:r>
        <w:rPr>
          <w:rFonts w:ascii="Times New Roman" w:hAnsi="Times New Roman"/>
          <w:sz w:val="24"/>
        </w:rPr>
        <w:t xml:space="preserve"> </w:t>
      </w:r>
      <w:r w:rsidRPr="006E049E">
        <w:t xml:space="preserve"> </w:t>
      </w:r>
      <w:r w:rsidRPr="006E049E">
        <w:rPr>
          <w:rFonts w:ascii="Times New Roman" w:hAnsi="Times New Roman"/>
          <w:sz w:val="24"/>
        </w:rPr>
        <w:t>EPA is finalizing the proposed employee participation</w:t>
      </w:r>
      <w:r>
        <w:rPr>
          <w:rFonts w:ascii="Times New Roman" w:hAnsi="Times New Roman"/>
          <w:sz w:val="24"/>
        </w:rPr>
        <w:t xml:space="preserve"> plan stop work provisions</w:t>
      </w:r>
      <w:r w:rsidRPr="006E049E">
        <w:rPr>
          <w:rFonts w:ascii="Times New Roman" w:hAnsi="Times New Roman"/>
          <w:sz w:val="24"/>
        </w:rPr>
        <w:t xml:space="preserve"> with the following modifications: </w:t>
      </w:r>
    </w:p>
    <w:p w:rsidR="006E049E" w:rsidP="00E57324" w14:paraId="542A6993" w14:textId="77777777">
      <w:pPr>
        <w:pStyle w:val="ListParagraph"/>
        <w:numPr>
          <w:ilvl w:val="0"/>
          <w:numId w:val="23"/>
        </w:numPr>
        <w:rPr>
          <w:rFonts w:ascii="Times New Roman" w:hAnsi="Times New Roman"/>
          <w:sz w:val="24"/>
        </w:rPr>
      </w:pPr>
      <w:r w:rsidRPr="006E049E">
        <w:rPr>
          <w:rFonts w:ascii="Times New Roman" w:hAnsi="Times New Roman"/>
          <w:sz w:val="24"/>
        </w:rPr>
        <w:t xml:space="preserve">Revising 40 CFR 68.83(c) to specifically apply only to those employees knowledgeable in the process.  </w:t>
      </w:r>
    </w:p>
    <w:p w:rsidR="006E049E" w:rsidP="00E57324" w14:paraId="3B14F28C" w14:textId="77777777">
      <w:pPr>
        <w:pStyle w:val="ListParagraph"/>
        <w:numPr>
          <w:ilvl w:val="0"/>
          <w:numId w:val="23"/>
        </w:numPr>
        <w:rPr>
          <w:rFonts w:ascii="Times New Roman" w:hAnsi="Times New Roman"/>
          <w:sz w:val="24"/>
        </w:rPr>
      </w:pPr>
      <w:r w:rsidRPr="006E049E">
        <w:rPr>
          <w:rFonts w:ascii="Times New Roman" w:hAnsi="Times New Roman"/>
          <w:sz w:val="24"/>
        </w:rPr>
        <w:t>Removing from 40 CFR 68.83(d) the stop work criterion allowing an employee to refuse to perform a task when doing so could reasonably result in a catastrophic release.</w:t>
      </w:r>
    </w:p>
    <w:p w:rsidR="006E049E" w:rsidP="00E57324" w14:paraId="0A98C172" w14:textId="77777777">
      <w:pPr>
        <w:pStyle w:val="ListParagraph"/>
        <w:numPr>
          <w:ilvl w:val="0"/>
          <w:numId w:val="23"/>
        </w:numPr>
        <w:rPr>
          <w:rFonts w:ascii="Times New Roman" w:hAnsi="Times New Roman"/>
          <w:sz w:val="24"/>
        </w:rPr>
      </w:pPr>
      <w:r w:rsidRPr="006E049E">
        <w:rPr>
          <w:rFonts w:ascii="Times New Roman" w:hAnsi="Times New Roman"/>
          <w:sz w:val="24"/>
        </w:rPr>
        <w:t>Revising 40 CFR 68.83(d) so that the two remaining stop work criteria specifically apply only to those employees knowledgeable in the process.</w:t>
      </w:r>
    </w:p>
    <w:p w:rsidR="006E049E" w:rsidP="00E57324" w14:paraId="75B6092C" w14:textId="77777777">
      <w:pPr>
        <w:pStyle w:val="ListParagraph"/>
        <w:numPr>
          <w:ilvl w:val="0"/>
          <w:numId w:val="23"/>
        </w:numPr>
        <w:rPr>
          <w:rFonts w:ascii="Times New Roman" w:hAnsi="Times New Roman"/>
          <w:sz w:val="24"/>
        </w:rPr>
      </w:pPr>
      <w:r w:rsidRPr="006E049E">
        <w:rPr>
          <w:rFonts w:ascii="Times New Roman" w:hAnsi="Times New Roman"/>
          <w:sz w:val="24"/>
        </w:rPr>
        <w:t xml:space="preserve">Removing from 40 CFR 68.83(d) the requirement to document and respond in writing within 30 days of the stop work authority being exercised.  </w:t>
      </w:r>
    </w:p>
    <w:p w:rsidR="00C52FE2" w:rsidP="00C52FE2" w14:paraId="51E57428" w14:textId="5F2DD9A1">
      <w:pPr>
        <w:ind w:left="720"/>
        <w:rPr>
          <w:rFonts w:ascii="Times New Roman" w:hAnsi="Times New Roman"/>
          <w:sz w:val="24"/>
        </w:rPr>
      </w:pPr>
      <w:r w:rsidRPr="006E049E">
        <w:rPr>
          <w:rFonts w:ascii="Times New Roman" w:hAnsi="Times New Roman"/>
          <w:sz w:val="24"/>
        </w:rPr>
        <w:t>The</w:t>
      </w:r>
      <w:r w:rsidRPr="00CD0F9E">
        <w:rPr>
          <w:rFonts w:ascii="Times New Roman" w:hAnsi="Times New Roman"/>
          <w:sz w:val="24"/>
        </w:rPr>
        <w:t xml:space="preserve"> stop work provision within the employee participation section of this final rule is intended only to include the stop work authorities established by the operating procedure provisions under 40 CFR 68.69(a), into the written employee participation plan. This provision is not intended to create new authorities or require additional components to those already developed. The final rule conforms the amendments to this intent. Therefore, while EPA believes that it is useful to evaluate any stop work authority exercised, EPA expects these internal evaluations to already be occurring in the owner or operator’s annual review of operating procedures, through training activities, or when conducting compliance audits. </w:t>
      </w:r>
      <w:r w:rsidR="007972B3">
        <w:rPr>
          <w:rFonts w:ascii="Times New Roman" w:hAnsi="Times New Roman"/>
          <w:sz w:val="24"/>
        </w:rPr>
        <w:t xml:space="preserve">To that extent, </w:t>
      </w:r>
      <w:r w:rsidRPr="002E00F8" w:rsidR="002E00F8">
        <w:rPr>
          <w:rFonts w:ascii="Times New Roman" w:hAnsi="Times New Roman"/>
          <w:sz w:val="24"/>
        </w:rPr>
        <w:t xml:space="preserve">this final rule does not establish </w:t>
      </w:r>
      <w:r w:rsidRPr="7C15F477" w:rsidR="28E18A9C">
        <w:rPr>
          <w:rFonts w:ascii="Times New Roman" w:hAnsi="Times New Roman"/>
          <w:sz w:val="24"/>
        </w:rPr>
        <w:t>new</w:t>
      </w:r>
      <w:r w:rsidRPr="748D6789" w:rsidR="002E00F8">
        <w:rPr>
          <w:rFonts w:ascii="Times New Roman" w:hAnsi="Times New Roman"/>
          <w:sz w:val="24"/>
        </w:rPr>
        <w:t xml:space="preserve"> </w:t>
      </w:r>
      <w:r w:rsidRPr="002E00F8" w:rsidR="002E00F8">
        <w:rPr>
          <w:rFonts w:ascii="Times New Roman" w:hAnsi="Times New Roman"/>
          <w:sz w:val="24"/>
        </w:rPr>
        <w:t xml:space="preserve">whistleblower protections. Rather, OSHA enforces whistleblower protections provided under the CAA, the Occupational Safety and Health Act, and other Federal laws. Further information about those rights can be found at https://www.whistleblowers.gov. </w:t>
      </w:r>
    </w:p>
    <w:p w:rsidR="00C52FE2" w:rsidRPr="006F68E9" w:rsidP="00C52FE2" w14:paraId="4AD04A27" w14:textId="45B7C47A">
      <w:pPr>
        <w:rPr>
          <w:rFonts w:ascii="Times New Roman" w:hAnsi="Times New Roman"/>
          <w:sz w:val="24"/>
        </w:rPr>
      </w:pPr>
      <w:r w:rsidRPr="00514B2B">
        <w:rPr>
          <w:rFonts w:ascii="Times New Roman" w:hAnsi="Times New Roman"/>
          <w:b/>
          <w:bCs/>
          <w:sz w:val="24"/>
        </w:rPr>
        <w:t>Comment</w:t>
      </w:r>
      <w:r>
        <w:rPr>
          <w:rFonts w:ascii="Times New Roman" w:hAnsi="Times New Roman"/>
          <w:b/>
          <w:bCs/>
          <w:sz w:val="24"/>
        </w:rPr>
        <w:t xml:space="preserve"> 9.3-03</w:t>
      </w:r>
      <w:r w:rsidRPr="00514B2B">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Several commenters claimed that</w:t>
      </w:r>
      <w:r>
        <w:rPr>
          <w:rFonts w:ascii="Times New Roman" w:hAnsi="Times New Roman"/>
          <w:sz w:val="24"/>
        </w:rPr>
        <w:t xml:space="preserve"> </w:t>
      </w:r>
      <w:r w:rsidRPr="6D3F9CC5">
        <w:rPr>
          <w:rFonts w:ascii="Times New Roman" w:hAnsi="Times New Roman"/>
          <w:sz w:val="24"/>
        </w:rPr>
        <w:t xml:space="preserve">the stop work authority could result in </w:t>
      </w:r>
      <w:r>
        <w:rPr>
          <w:rFonts w:ascii="Times New Roman" w:hAnsi="Times New Roman"/>
          <w:sz w:val="24"/>
        </w:rPr>
        <w:t xml:space="preserve">other </w:t>
      </w:r>
      <w:r w:rsidRPr="6D3F9CC5">
        <w:rPr>
          <w:rFonts w:ascii="Times New Roman" w:hAnsi="Times New Roman"/>
          <w:sz w:val="24"/>
        </w:rPr>
        <w:t>increased safety risks, indicating the potential for employees to lack adequate knowledge or training to make such a decision.</w:t>
      </w:r>
      <w:r>
        <w:rPr>
          <w:rFonts w:ascii="Times New Roman" w:hAnsi="Times New Roman"/>
          <w:sz w:val="24"/>
        </w:rPr>
        <w:t xml:space="preserve"> </w:t>
      </w:r>
      <w:r w:rsidRPr="6D3F9CC5">
        <w:rPr>
          <w:rFonts w:ascii="Times New Roman" w:hAnsi="Times New Roman"/>
          <w:sz w:val="24"/>
        </w:rPr>
        <w:t>The commenters expressed further concern that the frequency of transient operations could increase</w:t>
      </w:r>
      <w:r w:rsidRPr="50B04357">
        <w:rPr>
          <w:rFonts w:ascii="Times New Roman" w:hAnsi="Times New Roman"/>
          <w:sz w:val="24"/>
        </w:rPr>
        <w:t>,</w:t>
      </w:r>
      <w:r w:rsidRPr="6D3F9CC5">
        <w:rPr>
          <w:rFonts w:ascii="Times New Roman" w:hAnsi="Times New Roman"/>
          <w:sz w:val="24"/>
        </w:rPr>
        <w:t xml:space="preserve"> and that more unplanned or abrupt shutdowns could occur, which are often dangerous (0158, 0180, 0205, 0217, 0226, 0233, 0234, 0237, 0268</w:t>
      </w:r>
      <w:r>
        <w:rPr>
          <w:rFonts w:ascii="Times New Roman" w:hAnsi="Times New Roman"/>
          <w:sz w:val="24"/>
        </w:rPr>
        <w:t xml:space="preserve">, </w:t>
      </w:r>
      <w:r w:rsidRPr="6D3F9CC5">
        <w:rPr>
          <w:rFonts w:ascii="Times New Roman" w:hAnsi="Times New Roman"/>
          <w:sz w:val="24"/>
        </w:rPr>
        <w:t xml:space="preserve">0215). One </w:t>
      </w:r>
      <w:r>
        <w:rPr>
          <w:rFonts w:ascii="Times New Roman" w:hAnsi="Times New Roman"/>
          <w:sz w:val="24"/>
        </w:rPr>
        <w:t xml:space="preserve">of these </w:t>
      </w:r>
      <w:r w:rsidRPr="13388551">
        <w:rPr>
          <w:rFonts w:ascii="Times New Roman" w:hAnsi="Times New Roman"/>
          <w:sz w:val="24"/>
        </w:rPr>
        <w:t>commenter</w:t>
      </w:r>
      <w:r w:rsidRPr="13388551" w:rsidR="10F6A8F0">
        <w:rPr>
          <w:rFonts w:ascii="Times New Roman" w:hAnsi="Times New Roman"/>
          <w:sz w:val="24"/>
        </w:rPr>
        <w:t>s</w:t>
      </w:r>
      <w:r w:rsidRPr="6D3F9CC5">
        <w:rPr>
          <w:rFonts w:ascii="Times New Roman" w:hAnsi="Times New Roman"/>
          <w:sz w:val="24"/>
        </w:rPr>
        <w:t xml:space="preserve"> </w:t>
      </w:r>
      <w:r>
        <w:rPr>
          <w:rFonts w:ascii="Times New Roman" w:hAnsi="Times New Roman"/>
          <w:sz w:val="24"/>
        </w:rPr>
        <w:t>stated</w:t>
      </w:r>
      <w:r w:rsidRPr="6D3F9CC5">
        <w:rPr>
          <w:rFonts w:ascii="Times New Roman" w:hAnsi="Times New Roman"/>
          <w:sz w:val="24"/>
        </w:rPr>
        <w:t xml:space="preserve"> that having uniform requirements and procedures for an operation shutdown ignores the diverse array of regulated facilities in terms of industry and process. A few of the commenters </w:t>
      </w:r>
      <w:r>
        <w:rPr>
          <w:rFonts w:ascii="Times New Roman" w:hAnsi="Times New Roman"/>
          <w:sz w:val="24"/>
        </w:rPr>
        <w:t>said</w:t>
      </w:r>
      <w:r w:rsidRPr="6D3F9CC5">
        <w:rPr>
          <w:rFonts w:ascii="Times New Roman" w:hAnsi="Times New Roman"/>
          <w:sz w:val="24"/>
        </w:rPr>
        <w:t xml:space="preserve"> that giving this authority to all employees would leave facilities more susceptible to RMP incidents occurring and make the processes at RMP-covered facilities less safe (0180, 0205, 0226, 0234</w:t>
      </w:r>
      <w:r>
        <w:rPr>
          <w:rFonts w:ascii="Times New Roman" w:hAnsi="Times New Roman"/>
          <w:sz w:val="24"/>
        </w:rPr>
        <w:t xml:space="preserve">, </w:t>
      </w:r>
      <w:r w:rsidRPr="6D3F9CC5">
        <w:rPr>
          <w:rFonts w:ascii="Times New Roman" w:hAnsi="Times New Roman"/>
          <w:sz w:val="24"/>
        </w:rPr>
        <w:t xml:space="preserve">0458). </w:t>
      </w:r>
    </w:p>
    <w:p w:rsidR="00C52FE2" w:rsidP="00C52FE2" w14:paraId="33B98F10" w14:textId="77777777">
      <w:pPr>
        <w:spacing w:line="259" w:lineRule="auto"/>
        <w:rPr>
          <w:rFonts w:ascii="Times New Roman" w:hAnsi="Times New Roman"/>
          <w:sz w:val="24"/>
        </w:rPr>
      </w:pPr>
      <w:r w:rsidRPr="6D3F9CC5">
        <w:rPr>
          <w:rFonts w:ascii="Times New Roman" w:hAnsi="Times New Roman"/>
          <w:sz w:val="24"/>
        </w:rPr>
        <w:t xml:space="preserve">One commenter stated that while many process operators know how to operate the process and have been trained on the methods that shut the process down under emergency situations, the shutdown may lead to additional hazards if not done properly. The commenter requested that EPA consider modifying 40 CFR 68.83(d)(2) and (3) to include a notification to operations management to ensure a smooth and systematic shutdown with no negative consequences (0158). </w:t>
      </w:r>
    </w:p>
    <w:p w:rsidR="00C52FE2" w:rsidP="00C52FE2" w14:paraId="70B22AEE" w14:textId="77777777">
      <w:pPr>
        <w:rPr>
          <w:rFonts w:ascii="Times New Roman" w:hAnsi="Times New Roman"/>
          <w:sz w:val="24"/>
        </w:rPr>
      </w:pPr>
      <w:r w:rsidRPr="006F68E9">
        <w:rPr>
          <w:rFonts w:ascii="Times New Roman" w:hAnsi="Times New Roman"/>
          <w:sz w:val="24"/>
        </w:rPr>
        <w:t>Another commenter expressed concern that requiring procedures for employees to report hazards could result in investigation delays and potentially result in contradictory or incorrect information leading to misunderstandings between the Agency and the company (0267).</w:t>
      </w:r>
    </w:p>
    <w:p w:rsidR="00C52FE2" w:rsidRPr="007418D2" w:rsidP="00C52FE2" w14:paraId="7E25EFA8" w14:textId="77777777">
      <w:pPr>
        <w:ind w:left="720"/>
        <w:rPr>
          <w:rFonts w:ascii="Times New Roman" w:hAnsi="Times New Roman"/>
          <w:b/>
          <w:sz w:val="24"/>
        </w:rPr>
      </w:pPr>
      <w:r>
        <w:rPr>
          <w:rFonts w:ascii="Times New Roman" w:hAnsi="Times New Roman"/>
          <w:b/>
          <w:bCs/>
          <w:sz w:val="24"/>
        </w:rPr>
        <w:t>EPA Response</w:t>
      </w:r>
      <w:r>
        <w:rPr>
          <w:rFonts w:ascii="Times New Roman" w:hAnsi="Times New Roman"/>
          <w:b/>
          <w:sz w:val="24"/>
        </w:rPr>
        <w:t xml:space="preserve">: </w:t>
      </w:r>
      <w:r w:rsidRPr="007418D2">
        <w:rPr>
          <w:rFonts w:ascii="Times New Roman" w:hAnsi="Times New Roman"/>
          <w:sz w:val="24"/>
        </w:rPr>
        <w:t>The proposed rule provided an extensive discussion of the stop work authority that is already inherent in the current RMP rule.</w:t>
      </w:r>
      <w:r>
        <w:rPr>
          <w:rStyle w:val="FootnoteReference"/>
          <w:rFonts w:ascii="Times New Roman" w:hAnsi="Times New Roman"/>
          <w:sz w:val="24"/>
        </w:rPr>
        <w:footnoteReference w:id="140"/>
      </w:r>
      <w:r w:rsidRPr="007418D2">
        <w:rPr>
          <w:rFonts w:ascii="Times New Roman" w:hAnsi="Times New Roman"/>
          <w:sz w:val="24"/>
        </w:rPr>
        <w:t xml:space="preserve"> As the proposed rule </w:t>
      </w:r>
      <w:r w:rsidRPr="007418D2">
        <w:rPr>
          <w:rFonts w:ascii="Times New Roman" w:hAnsi="Times New Roman"/>
          <w:sz w:val="24"/>
        </w:rPr>
        <w:t>explained, the current RMP rule already addresses many aspects of a stop work authority that provides means for employees to identify and resolve imminent operational risks before they occur. Operating procedures, maintenance/mechanical integrity, and their associated training requirements, which are already mandatory under the rule, create a stop work authority as they address the circumstances and procedures to identify unsafe operations. EPA believes each facility’s individual operating procedures and approach to correcting equipment deficiencies give owners and operators the flexibility to design a stop work authority for their process operations that remains adaptable to the procedures already in place. Therefore, EPA disagrees with the comments that a stop work authority documented in the employee participation plan would cause more shutdowns and possibly more accidents, as the authority that is being provided by the final rule’s provisions leverages existing operating procedure and maintenance requirements. In reference to the comment citing the potential for an increase in safety risks when an employee lacks adequate knowledge to make a stop work decision, EPA has amended the provision to specify that this authority should be exercised only by employees knowledgeable in the process and their representatives.</w:t>
      </w:r>
    </w:p>
    <w:p w:rsidR="00C52FE2" w:rsidP="00C52FE2" w14:paraId="10680256" w14:textId="77777777">
      <w:pPr>
        <w:rPr>
          <w:rFonts w:ascii="Times New Roman" w:hAnsi="Times New Roman"/>
          <w:sz w:val="24"/>
        </w:rPr>
      </w:pPr>
      <w:r>
        <w:rPr>
          <w:rFonts w:ascii="Times New Roman" w:hAnsi="Times New Roman"/>
          <w:b/>
          <w:bCs/>
          <w:sz w:val="24"/>
        </w:rPr>
        <w:t xml:space="preserve">Comment 9.3-04: </w:t>
      </w:r>
      <w:r w:rsidRPr="6D3F9CC5">
        <w:rPr>
          <w:rFonts w:ascii="Times New Roman" w:hAnsi="Times New Roman"/>
          <w:sz w:val="24"/>
        </w:rPr>
        <w:t xml:space="preserve">A couple of commenters opposed the provision and </w:t>
      </w:r>
      <w:r>
        <w:rPr>
          <w:rFonts w:ascii="Times New Roman" w:hAnsi="Times New Roman"/>
          <w:sz w:val="24"/>
        </w:rPr>
        <w:t>stated</w:t>
      </w:r>
      <w:r w:rsidRPr="6D3F9CC5">
        <w:rPr>
          <w:rFonts w:ascii="Times New Roman" w:hAnsi="Times New Roman"/>
          <w:sz w:val="24"/>
        </w:rPr>
        <w:t xml:space="preserve"> that the language in the stop work authority provision would be too general, inevitably allowing every RMP covered process to be shut down by an employee. The commenters </w:t>
      </w:r>
      <w:r>
        <w:rPr>
          <w:rFonts w:ascii="Times New Roman" w:hAnsi="Times New Roman"/>
          <w:sz w:val="24"/>
        </w:rPr>
        <w:t>said</w:t>
      </w:r>
      <w:r w:rsidRPr="6D3F9CC5">
        <w:rPr>
          <w:rFonts w:ascii="Times New Roman" w:hAnsi="Times New Roman"/>
          <w:sz w:val="24"/>
        </w:rPr>
        <w:t xml:space="preserve"> that this does not align with EPA’s stated purpose of the RMP rule, which is to improve safety at facilities (0228, 0238). A couple of commenters called for clarification and specificity on what level of event would trigger action under § 68.83(d) (0184, 0232). </w:t>
      </w:r>
    </w:p>
    <w:p w:rsidR="00C52FE2" w:rsidRPr="00BA1DF3" w:rsidP="00C52FE2" w14:paraId="012E4BED" w14:textId="77777777">
      <w:pPr>
        <w:ind w:left="720"/>
        <w:rPr>
          <w:rFonts w:ascii="Times New Roman" w:hAnsi="Times New Roman"/>
          <w:b/>
          <w:sz w:val="24"/>
        </w:rPr>
      </w:pPr>
      <w:r>
        <w:rPr>
          <w:rFonts w:ascii="Times New Roman" w:hAnsi="Times New Roman"/>
          <w:b/>
          <w:bCs/>
          <w:sz w:val="24"/>
        </w:rPr>
        <w:t>EPA Response</w:t>
      </w:r>
      <w:r>
        <w:rPr>
          <w:rFonts w:ascii="Times New Roman" w:hAnsi="Times New Roman"/>
          <w:b/>
          <w:sz w:val="24"/>
        </w:rPr>
        <w:t xml:space="preserve">: </w:t>
      </w:r>
      <w:r w:rsidRPr="00BA1DF3">
        <w:rPr>
          <w:rFonts w:ascii="Times New Roman" w:hAnsi="Times New Roman"/>
          <w:sz w:val="24"/>
        </w:rPr>
        <w:t xml:space="preserve">EPA disagrees that the new stop work authority provision does not align with the purpose of the RMP rule. Under the existing RMP rule, operating procedures are designed for, and assigned to, employees who will be trained on performing the tasks described, thereby producing employees knowledgeable in the process they are working in. However, because of the significant disruption to process operations that can occur when stop work authority is exercised, EPA agrees that it is useful to explicitly state that these authorities are applicable only to employees who are knowledgeable in the process. Further, EPA believes a work culture that promotes process safety allows for opportunities for employees to refuse to perform work. In a scenario where there is a potential for a catastrophic release, EPA believes it is important to take further steps to shutdown a process to prevent an accident. Rather than refusing to perform work only, steps necessary to shut down the process should be set in motion. Therefore, the Agency is deleting the change noted below from 40 CFR 68.83(d) to ensure that potentially imminent catastrophic releases are followed through with properly. The basis for including stop work authorities in the employee participation plan is to enhance authorities already provided to employees under the rule. </w:t>
      </w:r>
    </w:p>
    <w:p w:rsidR="00C52FE2" w:rsidP="00C52FE2" w14:paraId="68237CCA" w14:textId="77777777">
      <w:pPr>
        <w:rPr>
          <w:rFonts w:ascii="Times New Roman" w:hAnsi="Times New Roman"/>
          <w:sz w:val="24"/>
        </w:rPr>
      </w:pPr>
      <w:r>
        <w:rPr>
          <w:rFonts w:ascii="Times New Roman" w:hAnsi="Times New Roman"/>
          <w:b/>
          <w:bCs/>
          <w:sz w:val="24"/>
        </w:rPr>
        <w:t xml:space="preserve">Comment 9.3-05: </w:t>
      </w:r>
      <w:r w:rsidRPr="006F68E9">
        <w:rPr>
          <w:rFonts w:ascii="Times New Roman" w:hAnsi="Times New Roman"/>
          <w:sz w:val="24"/>
        </w:rPr>
        <w:t xml:space="preserve">Several commenters </w:t>
      </w:r>
      <w:r>
        <w:rPr>
          <w:rFonts w:ascii="Times New Roman" w:hAnsi="Times New Roman"/>
          <w:sz w:val="24"/>
        </w:rPr>
        <w:t>opposed the stop work authority for the reason</w:t>
      </w:r>
      <w:r w:rsidRPr="006F68E9">
        <w:rPr>
          <w:rFonts w:ascii="Times New Roman" w:hAnsi="Times New Roman"/>
          <w:sz w:val="24"/>
        </w:rPr>
        <w:t xml:space="preserve"> that employees should or do already receive training on existing procedures (0184, 0228, 0253, 0272). One of the commenters </w:t>
      </w:r>
      <w:r>
        <w:rPr>
          <w:rFonts w:ascii="Times New Roman" w:hAnsi="Times New Roman"/>
          <w:sz w:val="24"/>
        </w:rPr>
        <w:t>stated</w:t>
      </w:r>
      <w:r w:rsidRPr="006F68E9">
        <w:rPr>
          <w:rFonts w:ascii="Times New Roman" w:hAnsi="Times New Roman"/>
          <w:sz w:val="24"/>
        </w:rPr>
        <w:t xml:space="preserve"> that many businesses already have a culture where employees know not to start working until conditions are safe to do so (0253). One commenter objected to EPA expanding stop work authority, stating that not all employees have the training to be able to make reasonable judgments about safety. The same commenter has a similar concern about EPA’s version of anonymous reporting (0237).</w:t>
      </w:r>
      <w:r w:rsidRPr="001B11AD">
        <w:rPr>
          <w:rFonts w:ascii="Times New Roman" w:hAnsi="Times New Roman"/>
          <w:sz w:val="24"/>
        </w:rPr>
        <w:t xml:space="preserve"> </w:t>
      </w:r>
    </w:p>
    <w:p w:rsidR="00C52FE2" w:rsidRPr="006F68E9" w:rsidP="00C52FE2" w14:paraId="34774C58" w14:textId="77777777">
      <w:pPr>
        <w:rPr>
          <w:rFonts w:ascii="Times New Roman" w:hAnsi="Times New Roman"/>
          <w:sz w:val="24"/>
        </w:rPr>
      </w:pPr>
      <w:r w:rsidRPr="6D3F9CC5">
        <w:rPr>
          <w:rFonts w:ascii="Times New Roman" w:hAnsi="Times New Roman"/>
          <w:sz w:val="24"/>
        </w:rPr>
        <w:t>One of the commenters asserted that employees would need training if the stop work authority provision were to be put in place</w:t>
      </w:r>
      <w:r>
        <w:rPr>
          <w:rFonts w:ascii="Times New Roman" w:hAnsi="Times New Roman"/>
          <w:sz w:val="24"/>
        </w:rPr>
        <w:t xml:space="preserve">, including </w:t>
      </w:r>
      <w:r w:rsidRPr="6D3F9CC5">
        <w:rPr>
          <w:rFonts w:ascii="Times New Roman" w:hAnsi="Times New Roman"/>
          <w:sz w:val="24"/>
        </w:rPr>
        <w:t>what is included in their job duties (0184).</w:t>
      </w:r>
    </w:p>
    <w:p w:rsidR="00C52FE2" w:rsidRPr="00C65244" w:rsidP="00C52FE2" w14:paraId="5FB88DAE" w14:textId="77777777">
      <w:pPr>
        <w:ind w:left="720"/>
        <w:rPr>
          <w:rFonts w:ascii="Times New Roman" w:hAnsi="Times New Roman"/>
          <w:b/>
          <w:bCs/>
          <w:sz w:val="24"/>
        </w:rPr>
      </w:pPr>
      <w:r w:rsidRPr="6D3F9CC5">
        <w:rPr>
          <w:rFonts w:ascii="Times New Roman" w:hAnsi="Times New Roman"/>
          <w:b/>
          <w:bCs/>
          <w:sz w:val="24"/>
        </w:rPr>
        <w:t>EPA Responses</w:t>
      </w:r>
      <w:r>
        <w:rPr>
          <w:rFonts w:ascii="Times New Roman" w:hAnsi="Times New Roman"/>
          <w:b/>
          <w:bCs/>
          <w:sz w:val="24"/>
        </w:rPr>
        <w:t xml:space="preserve">: </w:t>
      </w:r>
      <w:r w:rsidRPr="6D3F9CC5">
        <w:rPr>
          <w:rFonts w:ascii="Times New Roman" w:eastAsia="Times New Roman" w:hAnsi="Times New Roman"/>
          <w:color w:val="000000" w:themeColor="text1"/>
          <w:sz w:val="24"/>
        </w:rPr>
        <w:t xml:space="preserve">After review of comments, EPA </w:t>
      </w:r>
      <w:r w:rsidRPr="00CB6B9E">
        <w:rPr>
          <w:rFonts w:ascii="Times New Roman" w:eastAsia="Times New Roman" w:hAnsi="Times New Roman"/>
          <w:color w:val="000000" w:themeColor="text1"/>
          <w:sz w:val="24"/>
        </w:rPr>
        <w:t>maintains that</w:t>
      </w:r>
      <w:r w:rsidRPr="6D3F9CC5">
        <w:rPr>
          <w:rFonts w:ascii="Times New Roman" w:eastAsia="Times New Roman" w:hAnsi="Times New Roman"/>
          <w:color w:val="000000" w:themeColor="text1"/>
          <w:sz w:val="24"/>
        </w:rPr>
        <w:t xml:space="preserve"> it is important to ensure facilities’ employees</w:t>
      </w:r>
      <w:r w:rsidRPr="00CB6B9E">
        <w:rPr>
          <w:rFonts w:ascii="Times New Roman" w:eastAsia="Times New Roman" w:hAnsi="Times New Roman"/>
          <w:color w:val="000000" w:themeColor="text1"/>
          <w:sz w:val="24"/>
        </w:rPr>
        <w:t xml:space="preserve"> have authorities to manage unsafe work as they are</w:t>
      </w:r>
      <w:r w:rsidRPr="6D3F9CC5">
        <w:rPr>
          <w:rFonts w:ascii="Times New Roman" w:eastAsia="Times New Roman" w:hAnsi="Times New Roman"/>
          <w:color w:val="000000" w:themeColor="text1"/>
          <w:sz w:val="24"/>
        </w:rPr>
        <w:t xml:space="preserve"> one of the last lines of defense to protect human health and the environment from a catastrophic release. EPA, however, does agree with some recommendations offered in the comments to enhance the provision. Therefore, EPA is finalizing the proposed provision with the following modifications as discussed above:</w:t>
      </w:r>
    </w:p>
    <w:p w:rsidR="00C52FE2" w:rsidP="00EC3D81" w14:paraId="46203184" w14:textId="77777777">
      <w:pPr>
        <w:pStyle w:val="ListParagraph"/>
        <w:numPr>
          <w:ilvl w:val="0"/>
          <w:numId w:val="6"/>
        </w:numPr>
        <w:tabs>
          <w:tab w:val="left" w:pos="720"/>
          <w:tab w:val="left" w:pos="1627"/>
          <w:tab w:val="left" w:pos="2160"/>
          <w:tab w:val="left" w:pos="2880"/>
        </w:tabs>
        <w:rPr>
          <w:rFonts w:ascii="Times New Roman" w:eastAsia="Times New Roman" w:hAnsi="Times New Roman"/>
          <w:color w:val="000000" w:themeColor="text1"/>
          <w:sz w:val="24"/>
        </w:rPr>
      </w:pPr>
      <w:r w:rsidRPr="6D3F9CC5">
        <w:rPr>
          <w:rFonts w:ascii="Times New Roman" w:eastAsia="Times New Roman" w:hAnsi="Times New Roman"/>
          <w:color w:val="000000" w:themeColor="text1"/>
          <w:sz w:val="24"/>
        </w:rPr>
        <w:t xml:space="preserve">Removing from </w:t>
      </w:r>
      <w:r w:rsidRPr="00DE7BF1">
        <w:rPr>
          <w:rFonts w:ascii="Times New Roman" w:eastAsia="Times New Roman" w:hAnsi="Times New Roman"/>
          <w:color w:val="000000" w:themeColor="text1"/>
          <w:sz w:val="24"/>
        </w:rPr>
        <w:t>40 CFR</w:t>
      </w:r>
      <w:r w:rsidRPr="6D3F9CC5">
        <w:rPr>
          <w:rFonts w:ascii="Times New Roman" w:eastAsia="Times New Roman" w:hAnsi="Times New Roman"/>
          <w:color w:val="000000" w:themeColor="text1"/>
          <w:sz w:val="24"/>
        </w:rPr>
        <w:t xml:space="preserve"> 68.83(d) the requirement to document and respond in writing within 30 days of the stop work authority being exercised. </w:t>
      </w:r>
    </w:p>
    <w:p w:rsidR="00C52FE2" w:rsidP="00EC3D81" w14:paraId="5C185E9B" w14:textId="77777777">
      <w:pPr>
        <w:pStyle w:val="ListParagraph"/>
        <w:numPr>
          <w:ilvl w:val="0"/>
          <w:numId w:val="6"/>
        </w:numPr>
        <w:tabs>
          <w:tab w:val="left" w:pos="720"/>
          <w:tab w:val="left" w:pos="1627"/>
          <w:tab w:val="left" w:pos="2160"/>
          <w:tab w:val="left" w:pos="2880"/>
        </w:tabs>
        <w:rPr>
          <w:rFonts w:ascii="Times New Roman" w:eastAsia="Times New Roman" w:hAnsi="Times New Roman"/>
          <w:color w:val="000000" w:themeColor="text1"/>
          <w:sz w:val="24"/>
        </w:rPr>
      </w:pPr>
      <w:r w:rsidRPr="6D3F9CC5">
        <w:rPr>
          <w:rFonts w:ascii="Times New Roman" w:eastAsia="Times New Roman" w:hAnsi="Times New Roman"/>
          <w:color w:val="000000" w:themeColor="text1"/>
          <w:sz w:val="24"/>
        </w:rPr>
        <w:t xml:space="preserve">Removing from </w:t>
      </w:r>
      <w:r w:rsidRPr="00DE7BF1">
        <w:rPr>
          <w:rFonts w:ascii="Times New Roman" w:eastAsia="Times New Roman" w:hAnsi="Times New Roman"/>
          <w:color w:val="000000" w:themeColor="text1"/>
          <w:sz w:val="24"/>
        </w:rPr>
        <w:t>40 CFR</w:t>
      </w:r>
      <w:r w:rsidRPr="6D3F9CC5">
        <w:rPr>
          <w:rFonts w:ascii="Times New Roman" w:eastAsia="Times New Roman" w:hAnsi="Times New Roman"/>
          <w:color w:val="000000" w:themeColor="text1"/>
          <w:sz w:val="24"/>
        </w:rPr>
        <w:t xml:space="preserve"> 68.83(d) the stop work criterion allowing an employee to refuse to perform a task when doing so could reasonably result in a catastrophic release.</w:t>
      </w:r>
    </w:p>
    <w:p w:rsidR="00C52FE2" w:rsidRPr="004E1FE0" w:rsidP="00EC3D81" w14:paraId="2DF24F5B" w14:textId="77777777">
      <w:pPr>
        <w:pStyle w:val="ListParagraph"/>
        <w:numPr>
          <w:ilvl w:val="0"/>
          <w:numId w:val="6"/>
        </w:numPr>
        <w:tabs>
          <w:tab w:val="left" w:pos="720"/>
          <w:tab w:val="left" w:pos="1627"/>
          <w:tab w:val="left" w:pos="2160"/>
          <w:tab w:val="left" w:pos="2880"/>
        </w:tabs>
        <w:rPr>
          <w:rFonts w:ascii="Times New Roman" w:eastAsia="Times New Roman" w:hAnsi="Times New Roman"/>
          <w:color w:val="000000" w:themeColor="text1"/>
          <w:sz w:val="24"/>
        </w:rPr>
      </w:pPr>
      <w:r w:rsidRPr="6D3F9CC5">
        <w:rPr>
          <w:rFonts w:ascii="Times New Roman" w:eastAsia="Times New Roman" w:hAnsi="Times New Roman"/>
          <w:color w:val="000000" w:themeColor="text1"/>
          <w:sz w:val="24"/>
        </w:rPr>
        <w:t xml:space="preserve">Revising </w:t>
      </w:r>
      <w:r w:rsidRPr="00DE7BF1">
        <w:rPr>
          <w:rFonts w:ascii="Times New Roman" w:eastAsia="Times New Roman" w:hAnsi="Times New Roman"/>
          <w:color w:val="000000" w:themeColor="text1"/>
          <w:sz w:val="24"/>
        </w:rPr>
        <w:t>40 CFR</w:t>
      </w:r>
      <w:r w:rsidRPr="6D3F9CC5">
        <w:rPr>
          <w:rFonts w:ascii="Times New Roman" w:eastAsia="Times New Roman" w:hAnsi="Times New Roman"/>
          <w:color w:val="000000" w:themeColor="text1"/>
          <w:sz w:val="24"/>
        </w:rPr>
        <w:t xml:space="preserve"> 68.83(d) so that the two remaining stop work criteria specifically apply to those employees knowledgeable in the process and their representatives.</w:t>
      </w:r>
    </w:p>
    <w:p w:rsidR="00C52FE2" w:rsidRPr="00752419" w:rsidP="00C52FE2" w14:paraId="43DB10E1" w14:textId="77777777">
      <w:pPr>
        <w:rPr>
          <w:rFonts w:ascii="Times New Roman" w:hAnsi="Times New Roman"/>
          <w:i/>
          <w:iCs/>
          <w:sz w:val="24"/>
        </w:rPr>
      </w:pPr>
      <w:r w:rsidRPr="00752419">
        <w:rPr>
          <w:rFonts w:ascii="Times New Roman" w:hAnsi="Times New Roman"/>
          <w:i/>
          <w:iCs/>
          <w:sz w:val="24"/>
        </w:rPr>
        <w:t>Recommended revisions to stop work authority provision</w:t>
      </w:r>
    </w:p>
    <w:p w:rsidR="00C52FE2" w:rsidP="00C52FE2" w14:paraId="462351C4" w14:textId="77777777">
      <w:pPr>
        <w:rPr>
          <w:rFonts w:ascii="Times New Roman" w:hAnsi="Times New Roman"/>
          <w:sz w:val="24"/>
        </w:rPr>
      </w:pPr>
      <w:r w:rsidRPr="00752419">
        <w:rPr>
          <w:rFonts w:ascii="Times New Roman" w:hAnsi="Times New Roman"/>
          <w:b/>
          <w:bCs/>
          <w:sz w:val="24"/>
        </w:rPr>
        <w:t>Comment</w:t>
      </w:r>
      <w:r>
        <w:rPr>
          <w:rFonts w:ascii="Times New Roman" w:hAnsi="Times New Roman"/>
          <w:b/>
          <w:bCs/>
          <w:sz w:val="24"/>
        </w:rPr>
        <w:t xml:space="preserve"> 9.3-06</w:t>
      </w:r>
      <w:r w:rsidRPr="00752419">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recommended that the proposed rule</w:t>
      </w:r>
      <w:r w:rsidRPr="006F68E9">
        <w:rPr>
          <w:rFonts w:ascii="Times New Roman" w:hAnsi="Times New Roman"/>
          <w:sz w:val="24"/>
        </w:rPr>
        <w:t xml:space="preserve"> also have a method for stop-work authority under dangerous circumstances (0177). </w:t>
      </w:r>
      <w:r w:rsidRPr="00E44C3B">
        <w:rPr>
          <w:rFonts w:ascii="Times New Roman" w:hAnsi="Times New Roman"/>
          <w:sz w:val="24"/>
        </w:rPr>
        <w:t>One commenter cited the CSB report that recommends that employees have the authority to stop work that is perceived to be unsafe until the employer resolves the matter or the regulator intervenes (</w:t>
      </w:r>
      <w:r>
        <w:rPr>
          <w:rFonts w:ascii="Times New Roman" w:hAnsi="Times New Roman"/>
          <w:sz w:val="24"/>
        </w:rPr>
        <w:t>0003</w:t>
      </w:r>
      <w:r w:rsidRPr="00E44C3B">
        <w:rPr>
          <w:rFonts w:ascii="Times New Roman" w:hAnsi="Times New Roman"/>
          <w:sz w:val="24"/>
        </w:rPr>
        <w:t>).</w:t>
      </w:r>
    </w:p>
    <w:p w:rsidR="00C52FE2" w:rsidRPr="0003427C" w:rsidP="00C52FE2" w14:paraId="5404B7B9" w14:textId="24074D60">
      <w:pPr>
        <w:ind w:left="720"/>
        <w:rPr>
          <w:rFonts w:ascii="Times New Roman" w:hAnsi="Times New Roman"/>
          <w:sz w:val="24"/>
        </w:rPr>
      </w:pPr>
      <w:r w:rsidRPr="0003427C">
        <w:rPr>
          <w:rFonts w:ascii="Times New Roman" w:hAnsi="Times New Roman"/>
          <w:b/>
          <w:bCs/>
          <w:sz w:val="24"/>
        </w:rPr>
        <w:t>EPA Response:</w:t>
      </w:r>
      <w:r w:rsidRPr="0003427C">
        <w:rPr>
          <w:rFonts w:ascii="Times New Roman" w:hAnsi="Times New Roman"/>
          <w:sz w:val="24"/>
        </w:rPr>
        <w:t xml:space="preserve"> The stop work provision within the employee participation section of this final rule is intended only to include the stop work authorities, established by the operating procedure provisions under 40 CFR 68.69(a), into the written employee participation plan. This provision is not intended to create new authorities or require additional components to those already developed. The final rule conforms the amendments to this intent. Therefore, while EPA believes that it is useful to evaluate any stop work authority exercised, EPA expects these internal evaluations to already be occurring in the owner or operator’s annual review of operating procedures, through training activities, or when conducting compliance audits. The final rule does not add a provision to require evaluations be included in the written plan. </w:t>
      </w:r>
    </w:p>
    <w:p w:rsidR="00C52FE2" w:rsidP="00C52FE2" w14:paraId="54092725" w14:textId="77777777">
      <w:pPr>
        <w:rPr>
          <w:rFonts w:ascii="Times New Roman" w:hAnsi="Times New Roman"/>
          <w:sz w:val="24"/>
        </w:rPr>
      </w:pPr>
      <w:r w:rsidRPr="001E4A14">
        <w:rPr>
          <w:rFonts w:ascii="Times New Roman" w:hAnsi="Times New Roman"/>
          <w:b/>
          <w:bCs/>
          <w:sz w:val="24"/>
        </w:rPr>
        <w:t>Comment</w:t>
      </w:r>
      <w:r>
        <w:rPr>
          <w:rFonts w:ascii="Times New Roman" w:hAnsi="Times New Roman"/>
          <w:b/>
          <w:bCs/>
          <w:sz w:val="24"/>
        </w:rPr>
        <w:t xml:space="preserve"> 9.3-07</w:t>
      </w:r>
      <w:r w:rsidRPr="001E4A14">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w:t>
      </w:r>
      <w:r>
        <w:rPr>
          <w:rFonts w:ascii="Times New Roman" w:hAnsi="Times New Roman"/>
          <w:sz w:val="24"/>
        </w:rPr>
        <w:t xml:space="preserve"> supported</w:t>
      </w:r>
      <w:r w:rsidRPr="006F68E9">
        <w:rPr>
          <w:rFonts w:ascii="Times New Roman" w:hAnsi="Times New Roman"/>
          <w:sz w:val="24"/>
        </w:rPr>
        <w:t xml:space="preserve"> requiring all Program 2 and 3 facilities to implement stop work processes (0444). </w:t>
      </w:r>
      <w:r w:rsidRPr="6D3F9CC5">
        <w:rPr>
          <w:rFonts w:ascii="Times New Roman" w:hAnsi="Times New Roman"/>
          <w:sz w:val="24"/>
        </w:rPr>
        <w:t>Another commenter stated that it should be extended to Program 1 and 2 level facilities (0250).</w:t>
      </w:r>
    </w:p>
    <w:p w:rsidR="00C52FE2" w:rsidRPr="00757CC0" w:rsidP="00CA6530" w14:paraId="7E2FA8B4" w14:textId="601E9FA7">
      <w:pPr>
        <w:ind w:left="720"/>
        <w:rPr>
          <w:rFonts w:ascii="Times New Roman" w:hAnsi="Times New Roman"/>
          <w:b/>
          <w:bCs/>
          <w:sz w:val="24"/>
        </w:rPr>
      </w:pPr>
      <w:r w:rsidRPr="0028302C">
        <w:rPr>
          <w:rFonts w:ascii="Times New Roman" w:hAnsi="Times New Roman"/>
          <w:b/>
          <w:bCs/>
          <w:sz w:val="24"/>
        </w:rPr>
        <w:t>EPA Response:</w:t>
      </w:r>
      <w:r w:rsidRPr="00757CC0">
        <w:rPr>
          <w:rFonts w:ascii="Times New Roman" w:hAnsi="Times New Roman"/>
          <w:b/>
          <w:bCs/>
          <w:sz w:val="24"/>
        </w:rPr>
        <w:t xml:space="preserve"> </w:t>
      </w:r>
      <w:r w:rsidRPr="00CA6530" w:rsidR="00CA6530">
        <w:rPr>
          <w:rFonts w:ascii="Times New Roman" w:hAnsi="Times New Roman"/>
          <w:sz w:val="24"/>
        </w:rPr>
        <w:t xml:space="preserve">The stop work provision within the employee participation section of this final rule is intended only to include the stop work authorities, established by the </w:t>
      </w:r>
      <w:r w:rsidR="00FE4D2C">
        <w:rPr>
          <w:rFonts w:ascii="Times New Roman" w:hAnsi="Times New Roman"/>
          <w:sz w:val="24"/>
        </w:rPr>
        <w:t xml:space="preserve">Program 3 </w:t>
      </w:r>
      <w:r w:rsidRPr="00CA6530" w:rsidR="00CA6530">
        <w:rPr>
          <w:rFonts w:ascii="Times New Roman" w:hAnsi="Times New Roman"/>
          <w:sz w:val="24"/>
        </w:rPr>
        <w:t>operating procedure provisions under 40 CFR 68.69(a)</w:t>
      </w:r>
      <w:r w:rsidR="00BF7E6E">
        <w:rPr>
          <w:rFonts w:ascii="Times New Roman" w:hAnsi="Times New Roman"/>
          <w:sz w:val="24"/>
        </w:rPr>
        <w:t xml:space="preserve">, </w:t>
      </w:r>
      <w:r w:rsidRPr="00CA6530" w:rsidR="00CA6530">
        <w:rPr>
          <w:rFonts w:ascii="Times New Roman" w:hAnsi="Times New Roman"/>
          <w:sz w:val="24"/>
        </w:rPr>
        <w:t>into the written employee participation plan. This provision is not intended to create new authorities or require additional components to those already developed.</w:t>
      </w:r>
      <w:r w:rsidR="009F2ED0">
        <w:rPr>
          <w:rFonts w:ascii="Times New Roman" w:hAnsi="Times New Roman"/>
          <w:sz w:val="24"/>
        </w:rPr>
        <w:t xml:space="preserve"> </w:t>
      </w:r>
      <w:r w:rsidR="006E3790">
        <w:rPr>
          <w:rFonts w:ascii="Times New Roman" w:hAnsi="Times New Roman"/>
          <w:sz w:val="24"/>
        </w:rPr>
        <w:t xml:space="preserve">While EPA encourages owners and operators of Program 1 and 2 processes </w:t>
      </w:r>
      <w:r w:rsidR="003561FA">
        <w:rPr>
          <w:rFonts w:ascii="Times New Roman" w:hAnsi="Times New Roman"/>
          <w:sz w:val="24"/>
        </w:rPr>
        <w:t xml:space="preserve">to identify these details </w:t>
      </w:r>
      <w:r w:rsidR="00FE4D2C">
        <w:rPr>
          <w:rFonts w:ascii="Times New Roman" w:hAnsi="Times New Roman"/>
          <w:sz w:val="24"/>
        </w:rPr>
        <w:t xml:space="preserve">when developing </w:t>
      </w:r>
      <w:r w:rsidR="003561FA">
        <w:rPr>
          <w:rFonts w:ascii="Times New Roman" w:hAnsi="Times New Roman"/>
          <w:sz w:val="24"/>
        </w:rPr>
        <w:t xml:space="preserve">operating procedures </w:t>
      </w:r>
      <w:r w:rsidR="007E2870">
        <w:rPr>
          <w:rFonts w:ascii="Times New Roman" w:hAnsi="Times New Roman"/>
          <w:sz w:val="24"/>
        </w:rPr>
        <w:t xml:space="preserve">for their processes, the RMP regulations </w:t>
      </w:r>
      <w:r w:rsidR="006E3790">
        <w:rPr>
          <w:rFonts w:ascii="Times New Roman" w:hAnsi="Times New Roman"/>
          <w:sz w:val="24"/>
        </w:rPr>
        <w:t xml:space="preserve">do not require that level of detail </w:t>
      </w:r>
      <w:r w:rsidR="007E2870">
        <w:rPr>
          <w:rFonts w:ascii="Times New Roman" w:hAnsi="Times New Roman"/>
          <w:sz w:val="24"/>
        </w:rPr>
        <w:t>to comply</w:t>
      </w:r>
      <w:r w:rsidR="005C59BA">
        <w:rPr>
          <w:rFonts w:ascii="Times New Roman" w:hAnsi="Times New Roman"/>
          <w:sz w:val="24"/>
        </w:rPr>
        <w:t xml:space="preserve"> with their Program level requirements</w:t>
      </w:r>
      <w:r w:rsidR="006E3790">
        <w:rPr>
          <w:rFonts w:ascii="Times New Roman" w:hAnsi="Times New Roman"/>
          <w:sz w:val="24"/>
        </w:rPr>
        <w:t xml:space="preserve">. </w:t>
      </w:r>
      <w:r w:rsidRPr="429DA5A0" w:rsidR="5CDAE69B">
        <w:rPr>
          <w:rFonts w:ascii="Times New Roman" w:hAnsi="Times New Roman"/>
          <w:sz w:val="24"/>
        </w:rPr>
        <w:t xml:space="preserve">Consistent with the general focuses of PSM on worker </w:t>
      </w:r>
      <w:r w:rsidRPr="422C48A7" w:rsidR="5CDAE69B">
        <w:rPr>
          <w:rFonts w:ascii="Times New Roman" w:hAnsi="Times New Roman"/>
          <w:sz w:val="24"/>
        </w:rPr>
        <w:t>safety</w:t>
      </w:r>
      <w:r w:rsidRPr="429DA5A0" w:rsidR="5CDAE69B">
        <w:rPr>
          <w:rFonts w:ascii="Times New Roman" w:hAnsi="Times New Roman"/>
          <w:sz w:val="24"/>
        </w:rPr>
        <w:t xml:space="preserve"> and RMP on public safety, processes in Program 1 do not ha</w:t>
      </w:r>
      <w:r w:rsidRPr="429DA5A0" w:rsidR="7302F6E6">
        <w:rPr>
          <w:rFonts w:ascii="Times New Roman" w:hAnsi="Times New Roman"/>
          <w:sz w:val="24"/>
        </w:rPr>
        <w:t xml:space="preserve">ve detailed prevention requirements because the </w:t>
      </w:r>
      <w:r w:rsidRPr="5E042B13" w:rsidR="7302F6E6">
        <w:rPr>
          <w:rFonts w:ascii="Times New Roman" w:hAnsi="Times New Roman"/>
          <w:sz w:val="24"/>
        </w:rPr>
        <w:t xml:space="preserve">processes do not </w:t>
      </w:r>
      <w:r w:rsidRPr="5E042B13" w:rsidR="7302F6E6">
        <w:rPr>
          <w:rFonts w:ascii="Times New Roman" w:hAnsi="Times New Roman"/>
          <w:sz w:val="24"/>
        </w:rPr>
        <w:t xml:space="preserve">have public impacts (no WCS reaching the public </w:t>
      </w:r>
      <w:r w:rsidRPr="65F7438B" w:rsidR="7302F6E6">
        <w:rPr>
          <w:rFonts w:ascii="Times New Roman" w:hAnsi="Times New Roman"/>
          <w:sz w:val="24"/>
        </w:rPr>
        <w:t>an</w:t>
      </w:r>
      <w:r w:rsidRPr="65F7438B" w:rsidR="5AF8BD8A">
        <w:rPr>
          <w:rFonts w:ascii="Times New Roman" w:hAnsi="Times New Roman"/>
          <w:sz w:val="24"/>
        </w:rPr>
        <w:t xml:space="preserve">d no </w:t>
      </w:r>
      <w:r w:rsidRPr="08CFDD3E" w:rsidR="257EC3D3">
        <w:rPr>
          <w:rFonts w:ascii="Times New Roman" w:hAnsi="Times New Roman"/>
          <w:sz w:val="24"/>
        </w:rPr>
        <w:t>release within the prio</w:t>
      </w:r>
      <w:r w:rsidR="00C52007">
        <w:rPr>
          <w:rFonts w:ascii="Times New Roman" w:hAnsi="Times New Roman"/>
          <w:sz w:val="24"/>
        </w:rPr>
        <w:t>r</w:t>
      </w:r>
      <w:r w:rsidRPr="08CFDD3E" w:rsidR="257EC3D3">
        <w:rPr>
          <w:rFonts w:ascii="Times New Roman" w:hAnsi="Times New Roman"/>
          <w:sz w:val="24"/>
        </w:rPr>
        <w:t xml:space="preserve"> 5 years resulting in offsite death, injury, or </w:t>
      </w:r>
      <w:r w:rsidRPr="422C48A7" w:rsidR="257EC3D3">
        <w:rPr>
          <w:rFonts w:ascii="Times New Roman" w:hAnsi="Times New Roman"/>
          <w:sz w:val="24"/>
        </w:rPr>
        <w:t xml:space="preserve">damage to environmental receptors). </w:t>
      </w:r>
      <w:r w:rsidRPr="029585C7" w:rsidR="7ED5F05F">
        <w:rPr>
          <w:rFonts w:ascii="Times New Roman" w:hAnsi="Times New Roman"/>
          <w:sz w:val="24"/>
        </w:rPr>
        <w:t xml:space="preserve">The purpose of the </w:t>
      </w:r>
      <w:r w:rsidRPr="029585C7" w:rsidR="4980A1FD">
        <w:rPr>
          <w:rFonts w:ascii="Times New Roman" w:hAnsi="Times New Roman"/>
          <w:sz w:val="24"/>
        </w:rPr>
        <w:t xml:space="preserve">RMP and </w:t>
      </w:r>
      <w:r w:rsidRPr="029585C7" w:rsidR="7ED5F05F">
        <w:rPr>
          <w:rFonts w:ascii="Times New Roman" w:hAnsi="Times New Roman"/>
          <w:sz w:val="24"/>
        </w:rPr>
        <w:t xml:space="preserve">SCCAP employee participation </w:t>
      </w:r>
      <w:r w:rsidRPr="029585C7" w:rsidR="00C52007">
        <w:rPr>
          <w:rFonts w:ascii="Times New Roman" w:hAnsi="Times New Roman"/>
          <w:sz w:val="24"/>
        </w:rPr>
        <w:t>requirements</w:t>
      </w:r>
      <w:r w:rsidRPr="029585C7" w:rsidR="4F18DF58">
        <w:rPr>
          <w:rFonts w:ascii="Times New Roman" w:hAnsi="Times New Roman"/>
          <w:sz w:val="24"/>
        </w:rPr>
        <w:t xml:space="preserve"> is to protect the public from accidental releases. </w:t>
      </w:r>
      <w:r w:rsidRPr="0DBB47CE" w:rsidR="4F18DF58">
        <w:rPr>
          <w:rFonts w:ascii="Times New Roman" w:hAnsi="Times New Roman"/>
          <w:sz w:val="24"/>
        </w:rPr>
        <w:t>Including Program 1 in the emp</w:t>
      </w:r>
      <w:r w:rsidRPr="0DBB47CE" w:rsidR="15F918B1">
        <w:rPr>
          <w:rFonts w:ascii="Times New Roman" w:hAnsi="Times New Roman"/>
          <w:sz w:val="24"/>
        </w:rPr>
        <w:t xml:space="preserve">loyee participation requirements would not further public protection due to the nature of how a process qualifies for Program 1. </w:t>
      </w:r>
      <w:r w:rsidRPr="00CA6530" w:rsidR="00CA6530">
        <w:rPr>
          <w:rFonts w:ascii="Times New Roman" w:hAnsi="Times New Roman"/>
          <w:sz w:val="24"/>
        </w:rPr>
        <w:t>Therefore, while EPA believes that it is useful to evaluate any stop work authority exercised, EPA expects these internal evaluations to already be occurring in the owner or operator’s</w:t>
      </w:r>
      <w:r w:rsidR="00A243E3">
        <w:rPr>
          <w:rFonts w:ascii="Times New Roman" w:hAnsi="Times New Roman"/>
          <w:sz w:val="24"/>
        </w:rPr>
        <w:t xml:space="preserve"> Program 3 process</w:t>
      </w:r>
      <w:r w:rsidR="00044859">
        <w:rPr>
          <w:rFonts w:ascii="Times New Roman" w:hAnsi="Times New Roman"/>
          <w:sz w:val="24"/>
        </w:rPr>
        <w:t>es’</w:t>
      </w:r>
      <w:r w:rsidRPr="00CA6530" w:rsidR="00CA6530">
        <w:rPr>
          <w:rFonts w:ascii="Times New Roman" w:hAnsi="Times New Roman"/>
          <w:sz w:val="24"/>
        </w:rPr>
        <w:t xml:space="preserve"> annual review of operating procedures, through training activities, or when conducting compliance audits.</w:t>
      </w:r>
    </w:p>
    <w:p w:rsidR="00C52FE2" w:rsidRPr="006F68E9" w:rsidP="00C52FE2" w14:paraId="056801AC" w14:textId="77777777">
      <w:pPr>
        <w:rPr>
          <w:rFonts w:ascii="Times New Roman" w:hAnsi="Times New Roman"/>
          <w:sz w:val="24"/>
        </w:rPr>
      </w:pPr>
      <w:r>
        <w:rPr>
          <w:rFonts w:ascii="Times New Roman" w:hAnsi="Times New Roman"/>
          <w:b/>
          <w:bCs/>
          <w:sz w:val="24"/>
        </w:rPr>
        <w:t xml:space="preserve">Comment 9.3-08: </w:t>
      </w:r>
      <w:r w:rsidRPr="6D3F9CC5">
        <w:rPr>
          <w:rFonts w:ascii="Times New Roman" w:hAnsi="Times New Roman"/>
          <w:sz w:val="24"/>
        </w:rPr>
        <w:t xml:space="preserve">A few commenters asserted that EPA should also require prompt reports of all stop-work authority usage so that EPA and the public are made aware and can evaluate if additional quick action is needed to support the workers, assure compliance, and save lives (0208, 0413, 0456). </w:t>
      </w:r>
    </w:p>
    <w:p w:rsidR="00C52FE2" w:rsidRPr="00B56EBC" w:rsidP="00C52FE2" w14:paraId="0214D5C4" w14:textId="77777777">
      <w:pPr>
        <w:ind w:left="720"/>
        <w:rPr>
          <w:rFonts w:ascii="Times New Roman" w:hAnsi="Times New Roman"/>
          <w:b/>
          <w:sz w:val="24"/>
        </w:rPr>
      </w:pPr>
      <w:r>
        <w:rPr>
          <w:rFonts w:ascii="Times New Roman" w:hAnsi="Times New Roman"/>
          <w:b/>
          <w:bCs/>
          <w:sz w:val="24"/>
        </w:rPr>
        <w:t>EPA Response</w:t>
      </w:r>
      <w:r>
        <w:rPr>
          <w:rFonts w:ascii="Times New Roman" w:hAnsi="Times New Roman"/>
          <w:b/>
          <w:sz w:val="24"/>
        </w:rPr>
        <w:t xml:space="preserve">: </w:t>
      </w:r>
      <w:r w:rsidRPr="00A013F7">
        <w:rPr>
          <w:rFonts w:ascii="Times New Roman" w:hAnsi="Times New Roman"/>
          <w:sz w:val="24"/>
        </w:rPr>
        <w:t xml:space="preserve">Regarding providing reports of stop work to EPA, the Agency disagrees that this is necessary because stop work should be exercised to prevent imminently dangerous situations from resulting in catastrophic releases and therefore should not be contingent on or require quick action by outside parties. Furthermore, the Agency does not have the capability or resources to immediately respond to all instances of stop work being exercised. If, for some reason, quick action by outside parties was needed, EPA believes that the emergency response plans required by the rule should already outline a plan for responding to dangerous situations by the facility and/or local responders as they will be the most familiar with the source’s processes and hazards. </w:t>
      </w:r>
    </w:p>
    <w:p w:rsidR="00C52FE2" w:rsidP="00C52FE2" w14:paraId="74596F1B" w14:textId="77777777">
      <w:pPr>
        <w:rPr>
          <w:rFonts w:ascii="Times New Roman" w:hAnsi="Times New Roman"/>
          <w:sz w:val="24"/>
        </w:rPr>
      </w:pPr>
      <w:r>
        <w:rPr>
          <w:rFonts w:ascii="Times New Roman" w:hAnsi="Times New Roman"/>
          <w:b/>
          <w:bCs/>
          <w:sz w:val="24"/>
        </w:rPr>
        <w:t xml:space="preserve">Comment 9.3-09: </w:t>
      </w:r>
      <w:r w:rsidRPr="006F68E9">
        <w:rPr>
          <w:rFonts w:ascii="Times New Roman" w:hAnsi="Times New Roman"/>
          <w:sz w:val="24"/>
        </w:rPr>
        <w:t>A couple of commenters recommended removing the 30-day response period given that it should not be necessary when the authority is primarily used in imminently dangerous situations (0183, 0203). Another commenter was also concerned about the 30-day written response to the authority being exercised (0223).</w:t>
      </w:r>
    </w:p>
    <w:p w:rsidR="00C52FE2" w:rsidP="00C52FE2" w14:paraId="260853C7" w14:textId="77777777">
      <w:pPr>
        <w:rPr>
          <w:rFonts w:ascii="Times New Roman" w:hAnsi="Times New Roman"/>
          <w:sz w:val="24"/>
        </w:rPr>
      </w:pPr>
      <w:r w:rsidRPr="002F2E07">
        <w:rPr>
          <w:rFonts w:ascii="Times New Roman" w:hAnsi="Times New Roman"/>
          <w:sz w:val="24"/>
        </w:rPr>
        <w:t>One commenter stated that EPA should clarify why the 30-day response requirement accomplishes the goal of improving facility and community safety, expressing concerns that the requirement is overly broad and could be construed to include everything from significant acute hazards requiring</w:t>
      </w:r>
      <w:r w:rsidRPr="00DD68F7">
        <w:rPr>
          <w:rFonts w:ascii="Times New Roman" w:hAnsi="Times New Roman"/>
          <w:sz w:val="24"/>
        </w:rPr>
        <w:t xml:space="preserve"> immediate unit shutdown, to leading indicators such as near misses, safety observations, and other behavioral-based safety identifications (0215).</w:t>
      </w:r>
    </w:p>
    <w:p w:rsidR="00C52FE2" w:rsidRPr="007B5A20" w:rsidP="00C52FE2" w14:paraId="2882B22A" w14:textId="77777777">
      <w:pPr>
        <w:ind w:left="720"/>
        <w:rPr>
          <w:rFonts w:ascii="Times New Roman" w:hAnsi="Times New Roman"/>
        </w:rPr>
      </w:pPr>
      <w:r>
        <w:rPr>
          <w:rFonts w:ascii="Times New Roman" w:hAnsi="Times New Roman"/>
          <w:b/>
          <w:bCs/>
          <w:sz w:val="24"/>
        </w:rPr>
        <w:t>EPA Response</w:t>
      </w:r>
      <w:r>
        <w:rPr>
          <w:rFonts w:ascii="Times New Roman" w:hAnsi="Times New Roman"/>
          <w:b/>
          <w:sz w:val="24"/>
        </w:rPr>
        <w:t xml:space="preserve">: </w:t>
      </w:r>
      <w:r w:rsidRPr="007B5A20">
        <w:rPr>
          <w:rFonts w:ascii="Times New Roman" w:hAnsi="Times New Roman"/>
          <w:sz w:val="24"/>
        </w:rPr>
        <w:t>EPA agrees that stop work authorities are expected to be carried out in imminently dangerous situations such that a 30-day response to an authority being exercised long after the threat has passed may not be practical. In the final rule, EPA is removing from 40 CFR 68.83(d) the requirement to document and respond in writing within 30 days of the stop work authority being exercised.</w:t>
      </w:r>
      <w:r w:rsidRPr="00D91623">
        <w:t xml:space="preserve">  </w:t>
      </w:r>
    </w:p>
    <w:p w:rsidR="00C52FE2" w:rsidP="00C52FE2" w14:paraId="38F9C9ED" w14:textId="77777777">
      <w:pPr>
        <w:rPr>
          <w:rFonts w:ascii="Times New Roman" w:hAnsi="Times New Roman"/>
          <w:sz w:val="24"/>
        </w:rPr>
      </w:pPr>
      <w:r>
        <w:rPr>
          <w:rFonts w:ascii="Times New Roman" w:hAnsi="Times New Roman"/>
          <w:b/>
          <w:bCs/>
          <w:sz w:val="24"/>
        </w:rPr>
        <w:t>Comment 9.3-10:</w:t>
      </w:r>
      <w:r w:rsidRPr="6D3F9CC5">
        <w:rPr>
          <w:rFonts w:ascii="Times New Roman" w:hAnsi="Times New Roman"/>
          <w:sz w:val="24"/>
        </w:rPr>
        <w:t xml:space="preserve"> </w:t>
      </w:r>
      <w:r w:rsidRPr="006F68E9">
        <w:rPr>
          <w:rFonts w:ascii="Times New Roman" w:hAnsi="Times New Roman"/>
          <w:sz w:val="24"/>
        </w:rPr>
        <w:t xml:space="preserve">One commenter recommended EPA adopt the California refinery rule’s </w:t>
      </w:r>
      <w:r>
        <w:rPr>
          <w:rFonts w:ascii="Times New Roman" w:hAnsi="Times New Roman"/>
          <w:sz w:val="24"/>
        </w:rPr>
        <w:t>s</w:t>
      </w:r>
      <w:r w:rsidRPr="006F68E9">
        <w:rPr>
          <w:rFonts w:ascii="Times New Roman" w:hAnsi="Times New Roman"/>
          <w:sz w:val="24"/>
        </w:rPr>
        <w:t xml:space="preserve">top </w:t>
      </w:r>
      <w:r>
        <w:rPr>
          <w:rFonts w:ascii="Times New Roman" w:hAnsi="Times New Roman"/>
          <w:sz w:val="24"/>
        </w:rPr>
        <w:t>w</w:t>
      </w:r>
      <w:r w:rsidRPr="006F68E9">
        <w:rPr>
          <w:rFonts w:ascii="Times New Roman" w:hAnsi="Times New Roman"/>
          <w:sz w:val="24"/>
        </w:rPr>
        <w:t>ork provision, so that employees can recommend to the operator to shut down operations, rather than making the executive decision themselves (0456).</w:t>
      </w:r>
    </w:p>
    <w:p w:rsidR="00375865" w:rsidRPr="005B5973" w:rsidP="00EC3D81" w14:paraId="582D0C9E" w14:textId="710AAA47">
      <w:pPr>
        <w:ind w:left="720"/>
        <w:rPr>
          <w:rFonts w:ascii="Times New Roman" w:hAnsi="Times New Roman"/>
          <w:sz w:val="24"/>
        </w:rPr>
      </w:pPr>
      <w:r w:rsidRPr="005B5973">
        <w:rPr>
          <w:rFonts w:ascii="Times New Roman" w:hAnsi="Times New Roman"/>
          <w:b/>
          <w:bCs/>
          <w:sz w:val="24"/>
        </w:rPr>
        <w:t>EPA Response:</w:t>
      </w:r>
      <w:r>
        <w:rPr>
          <w:rFonts w:ascii="Times New Roman" w:hAnsi="Times New Roman"/>
          <w:b/>
          <w:bCs/>
          <w:sz w:val="24"/>
        </w:rPr>
        <w:t xml:space="preserve"> </w:t>
      </w:r>
      <w:r w:rsidRPr="005B5973" w:rsidR="005B5973">
        <w:rPr>
          <w:rFonts w:ascii="Times New Roman" w:hAnsi="Times New Roman"/>
          <w:sz w:val="24"/>
        </w:rPr>
        <w:t xml:space="preserve">The SCCAP final rule requires the </w:t>
      </w:r>
      <w:r w:rsidRPr="005B5973" w:rsidR="00C4588D">
        <w:rPr>
          <w:rFonts w:ascii="Times New Roman" w:hAnsi="Times New Roman"/>
          <w:sz w:val="24"/>
        </w:rPr>
        <w:t xml:space="preserve">owner or operator </w:t>
      </w:r>
      <w:r w:rsidRPr="005B5973" w:rsidR="005B5973">
        <w:rPr>
          <w:rFonts w:ascii="Times New Roman" w:hAnsi="Times New Roman"/>
          <w:sz w:val="24"/>
        </w:rPr>
        <w:t xml:space="preserve">to </w:t>
      </w:r>
      <w:r w:rsidRPr="005B5973" w:rsidR="00C4588D">
        <w:rPr>
          <w:rFonts w:ascii="Times New Roman" w:hAnsi="Times New Roman"/>
          <w:sz w:val="24"/>
        </w:rPr>
        <w:t xml:space="preserve">provide </w:t>
      </w:r>
      <w:r w:rsidR="003F5AAC">
        <w:rPr>
          <w:rFonts w:ascii="Times New Roman" w:hAnsi="Times New Roman"/>
          <w:sz w:val="24"/>
        </w:rPr>
        <w:t xml:space="preserve">in the employee participation written plan of action, </w:t>
      </w:r>
      <w:r w:rsidRPr="005B5973" w:rsidR="00C4588D">
        <w:rPr>
          <w:rFonts w:ascii="Times New Roman" w:hAnsi="Times New Roman"/>
          <w:sz w:val="24"/>
        </w:rPr>
        <w:t>the following authorities to employees knowledgeable in the process and their representatives:</w:t>
      </w:r>
    </w:p>
    <w:p w:rsidR="00C4588D" w:rsidRPr="005B5973" w:rsidP="00375865" w14:paraId="1FCA7744" w14:textId="77777777">
      <w:pPr>
        <w:spacing w:before="0" w:after="0"/>
        <w:ind w:left="1440"/>
        <w:rPr>
          <w:rFonts w:ascii="Times New Roman" w:hAnsi="Times New Roman"/>
          <w:sz w:val="24"/>
        </w:rPr>
      </w:pPr>
      <w:r w:rsidRPr="005B5973">
        <w:rPr>
          <w:rFonts w:ascii="Times New Roman" w:hAnsi="Times New Roman"/>
          <w:sz w:val="24"/>
        </w:rPr>
        <w:t>(1) Recommend to the operator in charge of a unit that an operation or process be partially or completely shut down, in accordance with procedures established in § 68.69(a), based on the potential for a catastrophic release; and</w:t>
      </w:r>
    </w:p>
    <w:p w:rsidR="00375865" w:rsidP="00EC3D81" w14:paraId="1757B776" w14:textId="12EAD5AF">
      <w:pPr>
        <w:ind w:left="1440"/>
        <w:rPr>
          <w:rFonts w:ascii="Times New Roman" w:hAnsi="Times New Roman"/>
          <w:sz w:val="24"/>
        </w:rPr>
      </w:pPr>
      <w:r w:rsidRPr="005B5973">
        <w:rPr>
          <w:rFonts w:ascii="Times New Roman" w:hAnsi="Times New Roman"/>
          <w:sz w:val="24"/>
        </w:rPr>
        <w:t>(2) Allow a qualified operator in charge of a unit to partially or completely shut down an operation or process, in accordance with procedures established in § 68.69(a), based on the potential for a catastrophic release.</w:t>
      </w:r>
    </w:p>
    <w:p w:rsidR="00375865" w:rsidRPr="00E36C05" w:rsidP="00EC3D81" w14:paraId="1AD97A68" w14:textId="465ACE69">
      <w:pPr>
        <w:ind w:left="720"/>
        <w:rPr>
          <w:rFonts w:ascii="Times New Roman" w:hAnsi="Times New Roman"/>
          <w:sz w:val="24"/>
        </w:rPr>
      </w:pPr>
      <w:r>
        <w:rPr>
          <w:rFonts w:ascii="Times New Roman" w:hAnsi="Times New Roman"/>
          <w:sz w:val="24"/>
        </w:rPr>
        <w:t>California’s</w:t>
      </w:r>
      <w:r w:rsidR="003E2C56">
        <w:rPr>
          <w:rFonts w:ascii="Times New Roman" w:hAnsi="Times New Roman"/>
          <w:sz w:val="24"/>
        </w:rPr>
        <w:t xml:space="preserve"> </w:t>
      </w:r>
      <w:r w:rsidRPr="00A43839" w:rsidR="00A43839">
        <w:rPr>
          <w:rFonts w:ascii="Times New Roman" w:hAnsi="Times New Roman"/>
          <w:sz w:val="24"/>
        </w:rPr>
        <w:t>Department of Industrial</w:t>
      </w:r>
      <w:r w:rsidRPr="00EB219F">
        <w:rPr>
          <w:rFonts w:ascii="Times New Roman" w:hAnsi="Times New Roman"/>
          <w:sz w:val="24"/>
        </w:rPr>
        <w:t xml:space="preserve"> </w:t>
      </w:r>
      <w:r>
        <w:rPr>
          <w:rFonts w:ascii="Times New Roman" w:hAnsi="Times New Roman"/>
          <w:sz w:val="24"/>
        </w:rPr>
        <w:t>Relation’s P</w:t>
      </w:r>
      <w:r w:rsidRPr="00EB219F">
        <w:rPr>
          <w:rFonts w:ascii="Times New Roman" w:hAnsi="Times New Roman"/>
          <w:sz w:val="24"/>
        </w:rPr>
        <w:t>rocess Safety Management for Petroleum Refinerie</w:t>
      </w:r>
      <w:r>
        <w:rPr>
          <w:rFonts w:ascii="Times New Roman" w:hAnsi="Times New Roman"/>
          <w:sz w:val="24"/>
        </w:rPr>
        <w:t xml:space="preserve">s </w:t>
      </w:r>
      <w:r w:rsidR="00931C6F">
        <w:rPr>
          <w:rFonts w:ascii="Times New Roman" w:hAnsi="Times New Roman"/>
          <w:sz w:val="24"/>
        </w:rPr>
        <w:t>s</w:t>
      </w:r>
      <w:r w:rsidRPr="00E36C05" w:rsidR="00E36C05">
        <w:rPr>
          <w:rFonts w:ascii="Times New Roman" w:hAnsi="Times New Roman"/>
          <w:sz w:val="24"/>
        </w:rPr>
        <w:t xml:space="preserve">top </w:t>
      </w:r>
      <w:r w:rsidR="00931C6F">
        <w:rPr>
          <w:rFonts w:ascii="Times New Roman" w:hAnsi="Times New Roman"/>
          <w:sz w:val="24"/>
        </w:rPr>
        <w:t>w</w:t>
      </w:r>
      <w:r w:rsidRPr="00E36C05" w:rsidR="00E36C05">
        <w:rPr>
          <w:rFonts w:ascii="Times New Roman" w:hAnsi="Times New Roman"/>
          <w:sz w:val="24"/>
        </w:rPr>
        <w:t>ork procedures</w:t>
      </w:r>
      <w:r>
        <w:rPr>
          <w:rStyle w:val="FootnoteReference"/>
          <w:rFonts w:ascii="Times New Roman" w:hAnsi="Times New Roman"/>
          <w:sz w:val="24"/>
        </w:rPr>
        <w:footnoteReference w:id="141"/>
      </w:r>
      <w:r w:rsidRPr="00E36C05" w:rsidR="00E36C05">
        <w:rPr>
          <w:rFonts w:ascii="Times New Roman" w:hAnsi="Times New Roman"/>
          <w:sz w:val="24"/>
        </w:rPr>
        <w:t xml:space="preserve"> </w:t>
      </w:r>
      <w:r w:rsidR="001D5D22">
        <w:rPr>
          <w:rFonts w:ascii="Times New Roman" w:hAnsi="Times New Roman"/>
          <w:sz w:val="24"/>
        </w:rPr>
        <w:t xml:space="preserve">provide similar authorities: </w:t>
      </w:r>
    </w:p>
    <w:p w:rsidR="00E36C05" w:rsidRPr="00E36C05" w:rsidP="00EC3D81" w14:paraId="112E26AC" w14:textId="77777777">
      <w:pPr>
        <w:ind w:left="1440"/>
        <w:rPr>
          <w:rFonts w:ascii="Times New Roman" w:hAnsi="Times New Roman"/>
          <w:sz w:val="24"/>
        </w:rPr>
      </w:pPr>
      <w:r w:rsidRPr="00E36C05">
        <w:rPr>
          <w:rFonts w:ascii="Times New Roman" w:hAnsi="Times New Roman"/>
          <w:sz w:val="24"/>
        </w:rPr>
        <w:t>1. The authority of all employees, including employees of contractors, to refuse to perform a task where doing so could reasonably result in death or serious physical harm;</w:t>
      </w:r>
    </w:p>
    <w:p w:rsidR="00E36C05" w:rsidRPr="00E36C05" w:rsidP="00EC3D81" w14:paraId="328E43EA" w14:textId="77777777">
      <w:pPr>
        <w:ind w:left="1440"/>
        <w:rPr>
          <w:rFonts w:ascii="Times New Roman" w:hAnsi="Times New Roman"/>
          <w:sz w:val="24"/>
        </w:rPr>
      </w:pPr>
      <w:r w:rsidRPr="00E36C05">
        <w:rPr>
          <w:rFonts w:ascii="Times New Roman" w:hAnsi="Times New Roman"/>
          <w:sz w:val="24"/>
        </w:rPr>
        <w:t>2. The authority of all employees, including employees of contractors, to recommend to the operator in charge of a unit that an operation or process be partially or completely shut-down, based on a process safety hazard; and,</w:t>
      </w:r>
    </w:p>
    <w:p w:rsidR="00E36C05" w:rsidRPr="005B5973" w:rsidP="00EC3D81" w14:paraId="0160BB46" w14:textId="16D04107">
      <w:pPr>
        <w:ind w:left="1440"/>
        <w:rPr>
          <w:rFonts w:ascii="Times New Roman" w:hAnsi="Times New Roman"/>
          <w:sz w:val="24"/>
        </w:rPr>
      </w:pPr>
      <w:r w:rsidRPr="00E36C05">
        <w:rPr>
          <w:rFonts w:ascii="Times New Roman" w:hAnsi="Times New Roman"/>
          <w:sz w:val="24"/>
        </w:rPr>
        <w:t>3. The authority of the qualified operator in charge of a unit to partially or completely shut-down an operation or process, based on a process safety hazard.</w:t>
      </w:r>
    </w:p>
    <w:p w:rsidR="00EC3D81" w:rsidRPr="005B5973" w:rsidP="00EC3D81" w14:paraId="593A5EE2" w14:textId="77777777">
      <w:pPr>
        <w:rPr>
          <w:rFonts w:ascii="Times New Roman" w:hAnsi="Times New Roman"/>
          <w:sz w:val="24"/>
        </w:rPr>
      </w:pPr>
    </w:p>
    <w:p w:rsidR="00C52FE2" w:rsidP="00EC3D81" w14:paraId="478A120C" w14:textId="77777777">
      <w:pPr>
        <w:pStyle w:val="Heading1"/>
        <w:spacing w:before="120"/>
      </w:pPr>
      <w:bookmarkStart w:id="124" w:name="_Toc146880025"/>
      <w:bookmarkStart w:id="125" w:name="_Toc153373814"/>
      <w:r w:rsidRPr="6D3F9CC5">
        <w:t>Accident and Non-Compliance Reporting</w:t>
      </w:r>
      <w:bookmarkEnd w:id="124"/>
      <w:bookmarkEnd w:id="125"/>
    </w:p>
    <w:p w:rsidR="00C52FE2" w:rsidP="00C52FE2" w14:paraId="16E3311A" w14:textId="77777777">
      <w:pPr>
        <w:rPr>
          <w:rFonts w:ascii="Times New Roman" w:eastAsia="Times New Roman" w:hAnsi="Times New Roman"/>
          <w:i/>
          <w:iCs/>
          <w:sz w:val="24"/>
        </w:rPr>
      </w:pPr>
      <w:r>
        <w:rPr>
          <w:rFonts w:ascii="Times New Roman" w:eastAsia="Times New Roman" w:hAnsi="Times New Roman"/>
          <w:i/>
          <w:iCs/>
          <w:sz w:val="24"/>
        </w:rPr>
        <w:t xml:space="preserve">Support for accident and noncompliance reporting provisions </w:t>
      </w:r>
    </w:p>
    <w:p w:rsidR="00C52FE2" w:rsidP="00C52FE2" w14:paraId="24DF64A6" w14:textId="77777777">
      <w:pPr>
        <w:rPr>
          <w:rFonts w:ascii="Times New Roman" w:hAnsi="Times New Roman"/>
          <w:sz w:val="24"/>
        </w:rPr>
      </w:pPr>
      <w:r w:rsidRPr="00A55119">
        <w:rPr>
          <w:rFonts w:ascii="Times New Roman" w:hAnsi="Times New Roman"/>
          <w:b/>
          <w:bCs/>
          <w:sz w:val="24"/>
        </w:rPr>
        <w:t>Comment</w:t>
      </w:r>
      <w:r>
        <w:rPr>
          <w:rFonts w:ascii="Times New Roman" w:hAnsi="Times New Roman"/>
          <w:b/>
          <w:bCs/>
          <w:sz w:val="24"/>
        </w:rPr>
        <w:t xml:space="preserve"> 10-01</w:t>
      </w:r>
      <w:r w:rsidRPr="00A55119">
        <w:rPr>
          <w:rFonts w:ascii="Times New Roman" w:hAnsi="Times New Roman"/>
          <w:b/>
          <w:bCs/>
          <w:sz w:val="24"/>
        </w:rPr>
        <w:t>:</w:t>
      </w:r>
      <w:r w:rsidRPr="00523A11">
        <w:rPr>
          <w:rFonts w:ascii="Times New Roman" w:hAnsi="Times New Roman"/>
          <w:sz w:val="24"/>
        </w:rPr>
        <w:t xml:space="preserve"> </w:t>
      </w:r>
      <w:r w:rsidRPr="006F68E9">
        <w:rPr>
          <w:rFonts w:ascii="Times New Roman" w:hAnsi="Times New Roman"/>
          <w:sz w:val="24"/>
        </w:rPr>
        <w:t xml:space="preserve">A couple of commenters </w:t>
      </w:r>
      <w:r>
        <w:rPr>
          <w:rFonts w:ascii="Times New Roman" w:hAnsi="Times New Roman"/>
          <w:sz w:val="24"/>
        </w:rPr>
        <w:t>supported a requirement to provide means for</w:t>
      </w:r>
      <w:r w:rsidRPr="006F68E9">
        <w:rPr>
          <w:rFonts w:ascii="Times New Roman" w:hAnsi="Times New Roman"/>
          <w:sz w:val="24"/>
        </w:rPr>
        <w:t xml:space="preserve"> anonymous reporting of accidents, non-compliance, safety hazards, or near-miss incidents (0177, 0240</w:t>
      </w:r>
      <w:r>
        <w:rPr>
          <w:rFonts w:ascii="Times New Roman" w:hAnsi="Times New Roman"/>
          <w:sz w:val="24"/>
        </w:rPr>
        <w:t>, 2041, 0456</w:t>
      </w:r>
      <w:r w:rsidRPr="006F68E9">
        <w:rPr>
          <w:rFonts w:ascii="Times New Roman" w:hAnsi="Times New Roman"/>
          <w:sz w:val="24"/>
        </w:rPr>
        <w:t>).</w:t>
      </w:r>
      <w:r w:rsidRPr="00A55119">
        <w:rPr>
          <w:rFonts w:ascii="Times New Roman" w:hAnsi="Times New Roman"/>
          <w:b/>
          <w:bCs/>
          <w:sz w:val="24"/>
        </w:rPr>
        <w:t xml:space="preserve"> </w:t>
      </w:r>
      <w:r>
        <w:rPr>
          <w:rFonts w:ascii="Times New Roman" w:hAnsi="Times New Roman"/>
          <w:sz w:val="24"/>
        </w:rPr>
        <w:t xml:space="preserve">Several </w:t>
      </w:r>
      <w:r w:rsidRPr="006F68E9">
        <w:rPr>
          <w:rFonts w:ascii="Times New Roman" w:hAnsi="Times New Roman"/>
          <w:sz w:val="24"/>
        </w:rPr>
        <w:t xml:space="preserve">commenters </w:t>
      </w:r>
      <w:r>
        <w:rPr>
          <w:rFonts w:ascii="Times New Roman" w:hAnsi="Times New Roman"/>
          <w:sz w:val="24"/>
        </w:rPr>
        <w:t>emphasized</w:t>
      </w:r>
      <w:r w:rsidRPr="006F68E9">
        <w:rPr>
          <w:rFonts w:ascii="Times New Roman" w:hAnsi="Times New Roman"/>
          <w:sz w:val="24"/>
        </w:rPr>
        <w:t xml:space="preserve"> the need to strengthen worker participation through collaborations, anonymous reporting, and documenting reports by workers of safety issues (0157, 0264, 0269, 0450). One of these commenters stated that an anonymous reporting system would protect the identity of employees and contractors and encourage honest reports (0157). One commenter added that reporting of unpermitted emissions is a critical safety benefit of employee participation (0255).</w:t>
      </w:r>
      <w:r>
        <w:rPr>
          <w:rFonts w:ascii="Times New Roman" w:hAnsi="Times New Roman"/>
          <w:sz w:val="24"/>
        </w:rPr>
        <w:t xml:space="preserve"> </w:t>
      </w:r>
      <w:r w:rsidRPr="6D3F9CC5">
        <w:rPr>
          <w:rFonts w:ascii="Times New Roman" w:hAnsi="Times New Roman"/>
          <w:sz w:val="24"/>
        </w:rPr>
        <w:t xml:space="preserve">One commenter urged EPA to finalize a rule that provides workers whistleblower protection (0139). </w:t>
      </w:r>
    </w:p>
    <w:p w:rsidR="00C52FE2" w:rsidP="00C52FE2" w14:paraId="2925029B" w14:textId="77777777">
      <w:pPr>
        <w:rPr>
          <w:rFonts w:ascii="Times New Roman" w:hAnsi="Times New Roman"/>
          <w:sz w:val="24"/>
        </w:rPr>
      </w:pPr>
      <w:r w:rsidRPr="006F68E9">
        <w:rPr>
          <w:rFonts w:ascii="Times New Roman" w:hAnsi="Times New Roman"/>
          <w:sz w:val="24"/>
        </w:rPr>
        <w:t xml:space="preserve">Another commenter stated that it is also critically important to track and investigate precursors to RMP events, and near-miss reporting is a critical safety benefit of employee participation. The commenter </w:t>
      </w:r>
      <w:r>
        <w:rPr>
          <w:rFonts w:ascii="Times New Roman" w:hAnsi="Times New Roman"/>
          <w:sz w:val="24"/>
        </w:rPr>
        <w:t>stated</w:t>
      </w:r>
      <w:r w:rsidRPr="006F68E9">
        <w:rPr>
          <w:rFonts w:ascii="Times New Roman" w:hAnsi="Times New Roman"/>
          <w:sz w:val="24"/>
        </w:rPr>
        <w:t xml:space="preserve"> that tracking these events will allow EPA to predict and prevent incidents. The commenter suggested that EPA provide a hotline to invite anonymous reporting. The commenter also requested that RMP inspections be conducted by government instead of contractors, and inspectors should be technically qualified and able to challenge industry claims as needed (0255).</w:t>
      </w:r>
    </w:p>
    <w:p w:rsidR="007E5596" w:rsidRPr="002B630A" w:rsidP="00EC3D81" w14:paraId="5A6C8A84" w14:textId="2D9E0D2C">
      <w:pPr>
        <w:ind w:left="630"/>
        <w:rPr>
          <w:rFonts w:ascii="Times New Roman" w:hAnsi="Times New Roman"/>
          <w:sz w:val="24"/>
        </w:rPr>
      </w:pPr>
      <w:r w:rsidRPr="002B630A">
        <w:rPr>
          <w:rFonts w:ascii="Times New Roman" w:hAnsi="Times New Roman"/>
          <w:b/>
          <w:bCs/>
          <w:sz w:val="24"/>
        </w:rPr>
        <w:t xml:space="preserve">EPA Response: </w:t>
      </w:r>
      <w:r w:rsidRPr="002B630A">
        <w:rPr>
          <w:rFonts w:ascii="Times New Roman" w:hAnsi="Times New Roman"/>
          <w:sz w:val="24"/>
        </w:rPr>
        <w:t xml:space="preserve">After review of EPA’s preferred approach, options, and comments, the Agency maintains that workers can play an important role in promoting process safety through reporting noncompliance. EPA, however, does agree with some recommendations offered in the comments to enhance the clarity of the provision. Therefore, EPA is </w:t>
      </w:r>
      <w:r w:rsidRPr="002B630A">
        <w:rPr>
          <w:rFonts w:ascii="Times New Roman" w:hAnsi="Times New Roman"/>
          <w:sz w:val="24"/>
        </w:rPr>
        <w:t xml:space="preserve">finalizing the </w:t>
      </w:r>
      <w:r w:rsidR="00AB1641">
        <w:rPr>
          <w:rFonts w:ascii="Times New Roman" w:hAnsi="Times New Roman"/>
          <w:sz w:val="24"/>
        </w:rPr>
        <w:t>accident and non-compliance employee participation</w:t>
      </w:r>
      <w:r w:rsidRPr="002B630A">
        <w:rPr>
          <w:rFonts w:ascii="Times New Roman" w:hAnsi="Times New Roman"/>
          <w:sz w:val="24"/>
        </w:rPr>
        <w:t xml:space="preserve"> proposed provision with the following modifications as previously discussed:</w:t>
      </w:r>
    </w:p>
    <w:p w:rsidR="00C52FE2" w:rsidRPr="002B630A" w:rsidP="00EC3D81" w14:paraId="6F9D45C3" w14:textId="77777777">
      <w:pPr>
        <w:pStyle w:val="ListParagraph"/>
        <w:numPr>
          <w:ilvl w:val="0"/>
          <w:numId w:val="21"/>
        </w:numPr>
        <w:tabs>
          <w:tab w:val="left" w:pos="720"/>
          <w:tab w:val="left" w:pos="1627"/>
          <w:tab w:val="left" w:pos="2160"/>
          <w:tab w:val="left" w:pos="2880"/>
        </w:tabs>
        <w:rPr>
          <w:rFonts w:ascii="Times New Roman" w:hAnsi="Times New Roman"/>
          <w:sz w:val="24"/>
        </w:rPr>
      </w:pPr>
      <w:r w:rsidRPr="002B630A">
        <w:rPr>
          <w:rFonts w:ascii="Times New Roman" w:hAnsi="Times New Roman"/>
          <w:sz w:val="24"/>
        </w:rPr>
        <w:t>Revising 40 CFR 68.62(b) and 68.83(e) to specify the report methods to either or both the owner and operator and EPA.</w:t>
      </w:r>
    </w:p>
    <w:p w:rsidR="00C52FE2" w:rsidRPr="002B630A" w:rsidP="00EC3D81" w14:paraId="7F8A2B18" w14:textId="77777777">
      <w:pPr>
        <w:pStyle w:val="ListParagraph"/>
        <w:numPr>
          <w:ilvl w:val="0"/>
          <w:numId w:val="21"/>
        </w:numPr>
        <w:tabs>
          <w:tab w:val="left" w:pos="720"/>
          <w:tab w:val="left" w:pos="1627"/>
          <w:tab w:val="left" w:pos="2160"/>
          <w:tab w:val="left" w:pos="2880"/>
        </w:tabs>
        <w:rPr>
          <w:rFonts w:ascii="Times New Roman" w:hAnsi="Times New Roman"/>
          <w:sz w:val="24"/>
        </w:rPr>
      </w:pPr>
      <w:r w:rsidRPr="002B630A">
        <w:rPr>
          <w:rFonts w:ascii="Times New Roman" w:hAnsi="Times New Roman"/>
          <w:sz w:val="24"/>
        </w:rPr>
        <w:t>Revising 40 CFR 68.62(b) and 68.83(e) to let anonymity be decided by the reporter.</w:t>
      </w:r>
    </w:p>
    <w:p w:rsidR="00E93328" w:rsidP="00EC3D81" w14:paraId="39CE23D3" w14:textId="09B5489D">
      <w:pPr>
        <w:pStyle w:val="ListParagraph"/>
        <w:numPr>
          <w:ilvl w:val="0"/>
          <w:numId w:val="21"/>
        </w:numPr>
        <w:tabs>
          <w:tab w:val="left" w:pos="720"/>
          <w:tab w:val="left" w:pos="1627"/>
          <w:tab w:val="left" w:pos="2160"/>
          <w:tab w:val="left" w:pos="2880"/>
        </w:tabs>
        <w:rPr>
          <w:rFonts w:ascii="Times New Roman" w:hAnsi="Times New Roman"/>
          <w:sz w:val="24"/>
        </w:rPr>
      </w:pPr>
      <w:r w:rsidRPr="002B630A">
        <w:rPr>
          <w:rFonts w:ascii="Times New Roman" w:hAnsi="Times New Roman"/>
          <w:sz w:val="24"/>
        </w:rPr>
        <w:t xml:space="preserve">Adding a provision to 40 CFR 68.62(b) and 68.83(e) to require the owner or operator to keep a written record of the report of noncompliance. </w:t>
      </w:r>
    </w:p>
    <w:p w:rsidR="006A7A4E" w:rsidP="00EC3D81" w14:paraId="71C7F17A" w14:textId="25F19854">
      <w:pPr>
        <w:tabs>
          <w:tab w:val="left" w:pos="720"/>
          <w:tab w:val="left" w:pos="1627"/>
          <w:tab w:val="left" w:pos="2160"/>
          <w:tab w:val="left" w:pos="2880"/>
        </w:tabs>
        <w:ind w:left="720"/>
        <w:rPr>
          <w:rFonts w:ascii="Times New Roman" w:hAnsi="Times New Roman"/>
          <w:sz w:val="24"/>
        </w:rPr>
      </w:pPr>
      <w:r w:rsidRPr="00BE2981">
        <w:rPr>
          <w:rFonts w:ascii="Times New Roman" w:hAnsi="Times New Roman"/>
          <w:sz w:val="24"/>
        </w:rPr>
        <w:t>Reporting areas of non-compliance to the owner or operator allows employers to become aware of areas of concern and/or opportunities to improve process safety. EPA believes it is in the owner or operator’s best interest for the necessary follow-up to address employees’ process safety concerns and/or areas where the owner or operator may have fallen short on compliance with the rule. When an employer is engaged first and does not resolve an issue, it is expected that the next step for reporting noncompliance will be to report to EPA. Reporting areas of non-compliance to EPA will allow the Agency’s Office of Enforcement and Compliance Assurance to determine the validity of the report received through appropriate levels of follow-up, investigation, and enforcement, if necessary.</w:t>
      </w:r>
    </w:p>
    <w:p w:rsidR="0004733A" w:rsidP="00EC3D81" w14:paraId="6346C082" w14:textId="19028414">
      <w:pPr>
        <w:tabs>
          <w:tab w:val="left" w:pos="720"/>
          <w:tab w:val="left" w:pos="1627"/>
          <w:tab w:val="left" w:pos="2160"/>
          <w:tab w:val="left" w:pos="2880"/>
        </w:tabs>
        <w:ind w:left="720"/>
        <w:rPr>
          <w:rFonts w:ascii="Times New Roman" w:hAnsi="Times New Roman"/>
          <w:sz w:val="24"/>
        </w:rPr>
      </w:pPr>
      <w:r w:rsidRPr="006A7A4E">
        <w:rPr>
          <w:rFonts w:ascii="Times New Roman" w:hAnsi="Times New Roman"/>
          <w:sz w:val="24"/>
        </w:rPr>
        <w:t>EPA does not expect to see a “one-size fits-all” plan developed by sources for reporting areas of non-compliance. Some RMP facilities are less complex, operating with a handful of employees, while other RMP facilities have very complex processes that involve hundreds of employees. Like other provisions of the RMP regulation, the employee participation provisions allow facility owners and operators the flexibility to exercise reasonable judgement in determining how to best engage their employees and make them aware of their facility’s efforts to apply the RMP rule to process operations.</w:t>
      </w:r>
    </w:p>
    <w:p w:rsidR="00E93328" w:rsidRPr="00E93328" w:rsidP="00EC3D81" w14:paraId="1625F1DE" w14:textId="3DEFDF40">
      <w:pPr>
        <w:ind w:left="720"/>
        <w:rPr>
          <w:rFonts w:ascii="Times New Roman" w:hAnsi="Times New Roman"/>
          <w:sz w:val="24"/>
        </w:rPr>
      </w:pPr>
      <w:r w:rsidRPr="00642256">
        <w:rPr>
          <w:rFonts w:ascii="Times New Roman" w:hAnsi="Times New Roman"/>
          <w:sz w:val="24"/>
        </w:rPr>
        <w:t>The Agency notes that</w:t>
      </w:r>
      <w:r>
        <w:rPr>
          <w:rFonts w:ascii="Times New Roman" w:hAnsi="Times New Roman"/>
          <w:sz w:val="24"/>
        </w:rPr>
        <w:t xml:space="preserve"> this final rule does not establish whistleblower protections. Rather, </w:t>
      </w:r>
      <w:r w:rsidRPr="00642256">
        <w:rPr>
          <w:rFonts w:ascii="Times New Roman" w:hAnsi="Times New Roman"/>
          <w:sz w:val="24"/>
        </w:rPr>
        <w:t xml:space="preserve">OSHA enforces whistleblower protections provided under the CAA, the Occupational Safety and Health Act, and other Federal laws. Further information about those rights can be found at </w:t>
      </w:r>
      <w:hyperlink r:id="rId13" w:history="1">
        <w:r w:rsidRPr="00BF7A8F">
          <w:rPr>
            <w:rStyle w:val="Hyperlink"/>
            <w:rFonts w:ascii="Times New Roman" w:hAnsi="Times New Roman"/>
            <w:sz w:val="24"/>
          </w:rPr>
          <w:t>https://www.whistleblowers.gov</w:t>
        </w:r>
      </w:hyperlink>
      <w:r w:rsidRPr="00642256">
        <w:rPr>
          <w:rFonts w:ascii="Times New Roman" w:hAnsi="Times New Roman"/>
          <w:sz w:val="24"/>
        </w:rPr>
        <w:t>.</w:t>
      </w:r>
      <w:r>
        <w:rPr>
          <w:rFonts w:ascii="Times New Roman" w:hAnsi="Times New Roman"/>
          <w:sz w:val="24"/>
        </w:rPr>
        <w:t xml:space="preserve"> </w:t>
      </w:r>
      <w:r w:rsidRPr="00644C32">
        <w:rPr>
          <w:rFonts w:ascii="Times New Roman" w:hAnsi="Times New Roman"/>
          <w:sz w:val="24"/>
        </w:rPr>
        <w:t>These employee participation provisions for reporting non-compliance simply establish a minimum standard for conduct for employees to discuss safety concerns internally to promote process safety to protect the employee’s own welfare, which in turn help keep communities safe as well.</w:t>
      </w:r>
    </w:p>
    <w:p w:rsidR="00C52FE2" w:rsidRPr="00B7368B" w:rsidP="00C52FE2" w14:paraId="764BA572" w14:textId="77777777">
      <w:pPr>
        <w:rPr>
          <w:rFonts w:ascii="Times New Roman" w:hAnsi="Times New Roman"/>
          <w:i/>
          <w:iCs/>
          <w:sz w:val="24"/>
        </w:rPr>
      </w:pPr>
      <w:r w:rsidRPr="00B7368B">
        <w:rPr>
          <w:rFonts w:ascii="Times New Roman" w:hAnsi="Times New Roman"/>
          <w:i/>
          <w:iCs/>
          <w:sz w:val="24"/>
        </w:rPr>
        <w:t>Opposition to accident and noncompliance reporting provisions</w:t>
      </w:r>
    </w:p>
    <w:p w:rsidR="00C52FE2" w:rsidP="00C52FE2" w14:paraId="4F170DCF" w14:textId="77777777">
      <w:pPr>
        <w:rPr>
          <w:rFonts w:ascii="Times New Roman" w:hAnsi="Times New Roman"/>
          <w:sz w:val="24"/>
        </w:rPr>
      </w:pPr>
      <w:r w:rsidRPr="00D04269">
        <w:rPr>
          <w:rFonts w:ascii="Times New Roman" w:hAnsi="Times New Roman"/>
          <w:b/>
          <w:bCs/>
          <w:sz w:val="24"/>
        </w:rPr>
        <w:t>Comment</w:t>
      </w:r>
      <w:r>
        <w:rPr>
          <w:rFonts w:ascii="Times New Roman" w:hAnsi="Times New Roman"/>
          <w:b/>
          <w:bCs/>
          <w:sz w:val="24"/>
        </w:rPr>
        <w:t xml:space="preserve"> 10-02</w:t>
      </w:r>
      <w:r w:rsidRPr="00D04269">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 xml:space="preserve">Several commenters expressed concern regarding anonymous reports and whistleblower protections (0183, 0184, 0207, 0237, 0262, 0456). </w:t>
      </w:r>
    </w:p>
    <w:p w:rsidR="00C52FE2" w:rsidP="00C52FE2" w14:paraId="4279A0BB" w14:textId="77777777">
      <w:pPr>
        <w:rPr>
          <w:rFonts w:ascii="Times New Roman" w:hAnsi="Times New Roman"/>
          <w:sz w:val="24"/>
        </w:rPr>
      </w:pPr>
      <w:r w:rsidRPr="006F68E9">
        <w:rPr>
          <w:rFonts w:ascii="Times New Roman" w:hAnsi="Times New Roman"/>
          <w:sz w:val="24"/>
        </w:rPr>
        <w:t xml:space="preserve">One commenter expressed concern that employees should be able to utilize internal policies and procedures to communicate and mitigate concerns of non-compliance prior to reporting to EPA (0257). Another commenter </w:t>
      </w:r>
      <w:r>
        <w:rPr>
          <w:rFonts w:ascii="Times New Roman" w:hAnsi="Times New Roman"/>
          <w:sz w:val="24"/>
        </w:rPr>
        <w:t>said</w:t>
      </w:r>
      <w:r w:rsidRPr="006F68E9">
        <w:rPr>
          <w:rFonts w:ascii="Times New Roman" w:hAnsi="Times New Roman"/>
          <w:sz w:val="24"/>
        </w:rPr>
        <w:t xml:space="preserve"> that the proposed regulation for anonymous reporting is not necessary, given that employees have access to RMP information under current rules (0181).</w:t>
      </w:r>
    </w:p>
    <w:p w:rsidR="00C52FE2" w:rsidP="00C52FE2" w14:paraId="4F17FA4D" w14:textId="77777777">
      <w:pPr>
        <w:rPr>
          <w:rFonts w:ascii="Times New Roman" w:hAnsi="Times New Roman"/>
          <w:sz w:val="24"/>
        </w:rPr>
      </w:pPr>
      <w:r w:rsidRPr="6D3F9CC5">
        <w:rPr>
          <w:rFonts w:ascii="Times New Roman" w:hAnsi="Times New Roman"/>
          <w:sz w:val="24"/>
        </w:rPr>
        <w:t xml:space="preserve">One commenter stated that follow-up reporting and outreach should be given additional flexibility, and resource intensive actions like public meetings should be an option but wide discretion should be given regarding the necessity of resource intensive actions versus alternatives. The commenter stated that adequate time is needed for follow-up reporting and </w:t>
      </w:r>
      <w:r w:rsidRPr="6D3F9CC5">
        <w:rPr>
          <w:rFonts w:ascii="Times New Roman" w:hAnsi="Times New Roman"/>
          <w:sz w:val="24"/>
        </w:rPr>
        <w:t>outreach. The commenter stated that these issues are better served by additional guidance tools than a regulatory approach (0197).</w:t>
      </w:r>
    </w:p>
    <w:p w:rsidR="00C52FE2" w:rsidRPr="00F40C0F" w:rsidP="00C52FE2" w14:paraId="65EA4A0A" w14:textId="77777777">
      <w:pPr>
        <w:rPr>
          <w:rFonts w:ascii="Times New Roman" w:hAnsi="Times New Roman"/>
          <w:sz w:val="24"/>
        </w:rPr>
      </w:pPr>
      <w:r w:rsidRPr="00F266FB">
        <w:rPr>
          <w:rFonts w:ascii="Times New Roman" w:hAnsi="Times New Roman"/>
          <w:sz w:val="24"/>
        </w:rPr>
        <w:t>One of the commenters stated that a better approach to anonymous reports is to allow RMP-regulated entities to continue efforts to improve safety cultures, strengthen safety teams and foster employee communication in lieu of expending resources on anonymous reporting features (0237).</w:t>
      </w:r>
    </w:p>
    <w:p w:rsidR="00C52FE2" w:rsidP="00C52FE2" w14:paraId="68275B50" w14:textId="145458FE">
      <w:pPr>
        <w:ind w:left="720"/>
        <w:rPr>
          <w:rFonts w:ascii="Times New Roman" w:hAnsi="Times New Roman"/>
          <w:sz w:val="24"/>
        </w:rPr>
      </w:pPr>
      <w:r w:rsidRPr="001E2019">
        <w:rPr>
          <w:rFonts w:ascii="Times New Roman" w:hAnsi="Times New Roman"/>
          <w:b/>
          <w:bCs/>
          <w:sz w:val="24"/>
        </w:rPr>
        <w:t>EPA Response:</w:t>
      </w:r>
      <w:r w:rsidRPr="001E2019">
        <w:rPr>
          <w:rFonts w:ascii="Times New Roman" w:hAnsi="Times New Roman"/>
          <w:sz w:val="24"/>
        </w:rPr>
        <w:t xml:space="preserve"> </w:t>
      </w:r>
      <w:r w:rsidR="008079DF">
        <w:rPr>
          <w:rFonts w:ascii="Times New Roman" w:hAnsi="Times New Roman"/>
          <w:sz w:val="24"/>
        </w:rPr>
        <w:t xml:space="preserve">As mentioned previously, </w:t>
      </w:r>
      <w:r w:rsidRPr="001E2019">
        <w:rPr>
          <w:rFonts w:ascii="Times New Roman" w:hAnsi="Times New Roman"/>
          <w:sz w:val="24"/>
        </w:rPr>
        <w:t xml:space="preserve">EPA does not expect to see a “one-size fits-all” plan developed by sources for reporting areas of non-compliance. </w:t>
      </w:r>
      <w:r w:rsidR="008079DF">
        <w:rPr>
          <w:rFonts w:ascii="Times New Roman" w:hAnsi="Times New Roman"/>
          <w:sz w:val="24"/>
        </w:rPr>
        <w:t>For example, s</w:t>
      </w:r>
      <w:r w:rsidRPr="001E2019">
        <w:rPr>
          <w:rFonts w:ascii="Times New Roman" w:hAnsi="Times New Roman"/>
          <w:sz w:val="24"/>
        </w:rPr>
        <w:t xml:space="preserve">ome RMP facilities are less complex, operating with a handful of employees, while other RMP facilities have very complex processes that involve hundreds of employees. Like other provisions of the RMP regulation, the employee participation provisions allow facility owners and operators the flexibility to exercise reasonable judgement in determining how to best engage their employees and make them aware of their facility’s efforts to apply the RMP rule to process operations. In the absence of a more specific performance standard like RAGAGEP or a specific direction, the RMP rule relies on the reasonable judgments and efforts of regulated entities in designing compliance programs that are aimed at preventing or mitigating accidental releases. EPA agrees with commenters that it is useful for individual RMP facility owners and operators to continually improve their efforts to enhance safety cultures, strengthen safety teams, and foster employee communication. EPA also agrees that the most effective programs probably already comply with most aspects of the provision. EPA believes that sources should create a welcoming atmosphere for employees to discuss safety concerns internally. </w:t>
      </w:r>
    </w:p>
    <w:p w:rsidR="005D2952" w:rsidP="00C52FE2" w14:paraId="3CA6D6A0" w14:textId="59100248">
      <w:pPr>
        <w:ind w:left="720"/>
        <w:rPr>
          <w:rFonts w:ascii="Times New Roman" w:hAnsi="Times New Roman"/>
          <w:sz w:val="24"/>
        </w:rPr>
      </w:pPr>
      <w:bookmarkStart w:id="126" w:name="_Hlk149575218"/>
      <w:r>
        <w:rPr>
          <w:rFonts w:ascii="Times New Roman" w:hAnsi="Times New Roman"/>
          <w:sz w:val="24"/>
        </w:rPr>
        <w:t>Additionally,</w:t>
      </w:r>
      <w:r>
        <w:rPr>
          <w:rFonts w:ascii="Times New Roman" w:hAnsi="Times New Roman"/>
          <w:sz w:val="24"/>
        </w:rPr>
        <w:t xml:space="preserve"> this final rule does not establish whistleblower protections. Rather, </w:t>
      </w:r>
      <w:r w:rsidRPr="00642256">
        <w:rPr>
          <w:rFonts w:ascii="Times New Roman" w:hAnsi="Times New Roman"/>
          <w:sz w:val="24"/>
        </w:rPr>
        <w:t xml:space="preserve">OSHA enforces whistleblower protections </w:t>
      </w:r>
      <w:r w:rsidR="0092327E">
        <w:rPr>
          <w:rFonts w:ascii="Times New Roman" w:hAnsi="Times New Roman"/>
          <w:sz w:val="24"/>
        </w:rPr>
        <w:t xml:space="preserve">already </w:t>
      </w:r>
      <w:r w:rsidRPr="00642256">
        <w:rPr>
          <w:rFonts w:ascii="Times New Roman" w:hAnsi="Times New Roman"/>
          <w:sz w:val="24"/>
        </w:rPr>
        <w:t xml:space="preserve">provided </w:t>
      </w:r>
      <w:r w:rsidR="0092327E">
        <w:rPr>
          <w:rFonts w:ascii="Times New Roman" w:hAnsi="Times New Roman"/>
          <w:sz w:val="24"/>
        </w:rPr>
        <w:t>for</w:t>
      </w:r>
      <w:r w:rsidRPr="00642256">
        <w:rPr>
          <w:rFonts w:ascii="Times New Roman" w:hAnsi="Times New Roman"/>
          <w:sz w:val="24"/>
        </w:rPr>
        <w:t xml:space="preserve"> under the CAA, the Occupational Safety and Health Act, and other Federal laws. Further information about those rights can be found at </w:t>
      </w:r>
      <w:hyperlink r:id="rId13" w:history="1">
        <w:r w:rsidRPr="00BF7A8F">
          <w:rPr>
            <w:rStyle w:val="Hyperlink"/>
            <w:rFonts w:ascii="Times New Roman" w:hAnsi="Times New Roman"/>
            <w:sz w:val="24"/>
          </w:rPr>
          <w:t>https://www.whistleblowers.gov</w:t>
        </w:r>
      </w:hyperlink>
      <w:r w:rsidRPr="00642256">
        <w:rPr>
          <w:rFonts w:ascii="Times New Roman" w:hAnsi="Times New Roman"/>
          <w:sz w:val="24"/>
        </w:rPr>
        <w:t>.</w:t>
      </w:r>
      <w:r>
        <w:rPr>
          <w:rFonts w:ascii="Times New Roman" w:hAnsi="Times New Roman"/>
          <w:sz w:val="24"/>
        </w:rPr>
        <w:t xml:space="preserve"> </w:t>
      </w:r>
      <w:r w:rsidRPr="00644C32">
        <w:rPr>
          <w:rFonts w:ascii="Times New Roman" w:hAnsi="Times New Roman"/>
          <w:sz w:val="24"/>
        </w:rPr>
        <w:t>These employee participation provisions for reporting non-compliance simply establish a minimum standard for conduct for employees to discuss safety concerns internally to promote process safety to protect the employee’s own welfare, which in turn help keep communities safe as well.</w:t>
      </w:r>
      <w:bookmarkEnd w:id="126"/>
    </w:p>
    <w:p w:rsidR="00C52FE2" w:rsidRPr="000030A3" w:rsidP="00C52FE2" w14:paraId="48E70BAA" w14:textId="77777777">
      <w:pPr>
        <w:rPr>
          <w:rFonts w:ascii="Times New Roman" w:hAnsi="Times New Roman"/>
          <w:sz w:val="24"/>
        </w:rPr>
      </w:pPr>
      <w:r w:rsidRPr="00A332B6">
        <w:rPr>
          <w:rFonts w:ascii="Times New Roman" w:hAnsi="Times New Roman"/>
          <w:b/>
          <w:bCs/>
          <w:sz w:val="24"/>
        </w:rPr>
        <w:t>Comment</w:t>
      </w:r>
      <w:r>
        <w:rPr>
          <w:rFonts w:ascii="Times New Roman" w:hAnsi="Times New Roman"/>
          <w:b/>
          <w:bCs/>
          <w:sz w:val="24"/>
        </w:rPr>
        <w:t xml:space="preserve"> 10-03</w:t>
      </w:r>
      <w:r w:rsidRPr="00A332B6">
        <w:rPr>
          <w:rFonts w:ascii="Times New Roman" w:hAnsi="Times New Roman"/>
          <w:b/>
          <w:bCs/>
          <w:sz w:val="24"/>
        </w:rPr>
        <w:t>:</w:t>
      </w:r>
      <w:r>
        <w:rPr>
          <w:rFonts w:ascii="Times New Roman" w:hAnsi="Times New Roman"/>
          <w:sz w:val="24"/>
        </w:rPr>
        <w:t xml:space="preserve"> </w:t>
      </w:r>
      <w:r w:rsidRPr="6D3F9CC5">
        <w:rPr>
          <w:rFonts w:ascii="Times New Roman" w:hAnsi="Times New Roman"/>
          <w:sz w:val="24"/>
        </w:rPr>
        <w:t>One of the commenters expressed concern that the language proposed for Levels 2 and 3 does not adequately specify what the reporting process should be. The commenter also stated that the provision is of limited value since an employee could report anonymously without a formal process. The commenter likewise stated that the provision is restrictive since, as written, the requirement excludes reporting in situations where the reporter does not wish to remain anonymous (0183).</w:t>
      </w:r>
    </w:p>
    <w:p w:rsidR="00C52FE2" w:rsidP="00C52FE2" w14:paraId="62B75F68" w14:textId="5EBAA4C0">
      <w:pPr>
        <w:ind w:left="720"/>
        <w:rPr>
          <w:rFonts w:ascii="Times New Roman" w:hAnsi="Times New Roman"/>
          <w:sz w:val="24"/>
        </w:rPr>
      </w:pPr>
      <w:r>
        <w:rPr>
          <w:rFonts w:ascii="Times New Roman" w:hAnsi="Times New Roman"/>
          <w:b/>
          <w:bCs/>
          <w:sz w:val="24"/>
        </w:rPr>
        <w:t xml:space="preserve">EPA Response: </w:t>
      </w:r>
      <w:r w:rsidRPr="003511EF">
        <w:rPr>
          <w:rFonts w:ascii="Times New Roman" w:hAnsi="Times New Roman"/>
          <w:sz w:val="24"/>
        </w:rPr>
        <w:t xml:space="preserve">To clarify EPA’s intent in the proposal, EPA is specifically defining in this final rule that the process developed </w:t>
      </w:r>
      <w:r w:rsidR="00630E6C">
        <w:rPr>
          <w:rFonts w:ascii="Times New Roman" w:hAnsi="Times New Roman"/>
          <w:sz w:val="24"/>
        </w:rPr>
        <w:t>by</w:t>
      </w:r>
      <w:r w:rsidRPr="003511EF">
        <w:rPr>
          <w:rFonts w:ascii="Times New Roman" w:hAnsi="Times New Roman"/>
          <w:sz w:val="24"/>
        </w:rPr>
        <w:t xml:space="preserve"> the </w:t>
      </w:r>
      <w:r w:rsidR="00630E6C">
        <w:rPr>
          <w:rFonts w:ascii="Times New Roman" w:hAnsi="Times New Roman"/>
          <w:sz w:val="24"/>
        </w:rPr>
        <w:t>facilities</w:t>
      </w:r>
      <w:r w:rsidRPr="003511EF">
        <w:rPr>
          <w:rFonts w:ascii="Times New Roman" w:hAnsi="Times New Roman"/>
          <w:sz w:val="24"/>
        </w:rPr>
        <w:t xml:space="preserve"> to report noncompliance must detail how to report to the owner or operator and/or EPA. It is understandable that in some instances employees will feel more comfortable reporting to one or the other entity (or both), which will be up to the reporter, but the details provided in the plan should provide clear instructions for how to report to both entities. Reporting areas of non-compliance to the owner or operator allows employers to become aware of areas of </w:t>
      </w:r>
      <w:r w:rsidRPr="003511EF">
        <w:rPr>
          <w:rFonts w:ascii="Times New Roman" w:hAnsi="Times New Roman"/>
          <w:sz w:val="24"/>
        </w:rPr>
        <w:t>concern and/or opportunities to improve process safety. It is expected that validating reports will not impose a heavy burden on the owner or operator as they should already be familiar with their level of compliance with the rule through regular compliance monitoring activities, such as triennial compliance audits. While EPA is not prescribing details of how a facility needs to follow-up with the report, the owner or operator will be required to at least maintain a record of the report. EPA believes it is in the owner or operator’s best interest for the necessary follow-up to address employees’ process safety concerns and/or areas where the owner or operator may have fallen short on compliance with the rule. When an employer is engaged first and does not resolve an issue, it is expected that the next step for reporting noncompliance will be to report to EPA. Reporting areas of non-compliance to EPA will allow the Agency’s Office of Enforcement and Compliance Assurance to determine the validity of the report received through appropriate levels of follow-up, investigation, and enforcement, if necessary.</w:t>
      </w:r>
    </w:p>
    <w:p w:rsidR="00C52FE2" w:rsidP="00C52FE2" w14:paraId="2FD41324" w14:textId="147A0B5D">
      <w:pPr>
        <w:ind w:left="720"/>
        <w:rPr>
          <w:rFonts w:ascii="Times New Roman" w:hAnsi="Times New Roman"/>
          <w:sz w:val="24"/>
        </w:rPr>
      </w:pPr>
      <w:r w:rsidRPr="00F70499">
        <w:rPr>
          <w:rFonts w:ascii="Times New Roman" w:hAnsi="Times New Roman"/>
          <w:sz w:val="24"/>
        </w:rPr>
        <w:t xml:space="preserve">Regarding anonymous reporting, EPA recognizes both the concern for anonymity and the desire from employees wanting to identify themselves as the reporter. EPA believes </w:t>
      </w:r>
      <w:r w:rsidRPr="00F70499" w:rsidR="00630E6C">
        <w:rPr>
          <w:rFonts w:ascii="Times New Roman" w:hAnsi="Times New Roman"/>
          <w:sz w:val="24"/>
        </w:rPr>
        <w:t>th</w:t>
      </w:r>
      <w:r w:rsidR="00630E6C">
        <w:rPr>
          <w:rFonts w:ascii="Times New Roman" w:hAnsi="Times New Roman"/>
          <w:sz w:val="24"/>
        </w:rPr>
        <w:t>e</w:t>
      </w:r>
      <w:r w:rsidRPr="00F70499">
        <w:rPr>
          <w:rFonts w:ascii="Times New Roman" w:hAnsi="Times New Roman"/>
          <w:sz w:val="24"/>
        </w:rPr>
        <w:t xml:space="preserve"> option </w:t>
      </w:r>
      <w:r w:rsidR="00630E6C">
        <w:rPr>
          <w:rFonts w:ascii="Times New Roman" w:hAnsi="Times New Roman"/>
          <w:sz w:val="24"/>
        </w:rPr>
        <w:t>in the final rule</w:t>
      </w:r>
      <w:r w:rsidRPr="00F70499">
        <w:rPr>
          <w:rFonts w:ascii="Times New Roman" w:hAnsi="Times New Roman"/>
          <w:sz w:val="24"/>
        </w:rPr>
        <w:t xml:space="preserve"> to remain anonymous or not will be particularly useful if there are additional follow-up steps that the reporter and or the owner/operator must take in order to resolve an issue.</w:t>
      </w:r>
    </w:p>
    <w:p w:rsidR="00C52FE2" w:rsidRPr="006F68E9" w:rsidP="00C52FE2" w14:paraId="75EF174E" w14:textId="567E7DAF">
      <w:pPr>
        <w:rPr>
          <w:rFonts w:ascii="Times New Roman" w:hAnsi="Times New Roman"/>
          <w:sz w:val="24"/>
        </w:rPr>
      </w:pPr>
      <w:r>
        <w:rPr>
          <w:rFonts w:ascii="Times New Roman" w:hAnsi="Times New Roman"/>
          <w:b/>
          <w:bCs/>
          <w:sz w:val="24"/>
        </w:rPr>
        <w:t xml:space="preserve">Comment 10-04: </w:t>
      </w:r>
      <w:r w:rsidRPr="6D3F9CC5">
        <w:rPr>
          <w:rFonts w:ascii="Times New Roman" w:hAnsi="Times New Roman"/>
          <w:sz w:val="24"/>
        </w:rPr>
        <w:t xml:space="preserve">Although a couple of commenters agreed that it is important that employees can voice concern without fear of repercussions, these commenters stated that anonymous reports require someone to judge the validity of the report. Some of the industry commenters also stated that anonymous reports could create a burden. The commenters expressed further concern that, for example, reports could be filed by misinformed persons, thus necessitating the development of methods and time frames to determine the credibility of reports as well as when appropriate action should be taken (0184, 0237). </w:t>
      </w:r>
    </w:p>
    <w:p w:rsidR="00C52FE2" w:rsidP="00C52FE2" w14:paraId="705DF342" w14:textId="54D91F77">
      <w:pPr>
        <w:spacing w:line="259" w:lineRule="auto"/>
        <w:ind w:left="720"/>
        <w:rPr>
          <w:rFonts w:ascii="Times New Roman" w:hAnsi="Times New Roman"/>
          <w:sz w:val="24"/>
        </w:rPr>
      </w:pPr>
      <w:r>
        <w:rPr>
          <w:rFonts w:ascii="Times New Roman" w:hAnsi="Times New Roman"/>
          <w:b/>
          <w:bCs/>
          <w:sz w:val="24"/>
        </w:rPr>
        <w:t xml:space="preserve">EPA Response: </w:t>
      </w:r>
      <w:r w:rsidRPr="00FB4FAD">
        <w:rPr>
          <w:rFonts w:ascii="Times New Roman" w:hAnsi="Times New Roman"/>
          <w:sz w:val="24"/>
        </w:rPr>
        <w:t xml:space="preserve">Regarding the concern that reporting could create a burden or be performed by misinformed employees, EPA notes that the current Program 3 employee participation provisions under 40 CFR 68.83 already provide employees access to all RMP-related information. The new requirement for Program 2 processes under 40 CFR 68.62(c) will allow this as well. However, EPA is concerned that some sources may provide RMP-related information to their employees without providing details or explanations of the information. EPA agrees with comments stating that workers without required information and training may be unaware of their opportunities and authorities to participate in hazard prevention, and that the lack of worker understanding will inevitably lead to less participation. Therefore, to ensure that employees are regularly reminded that RMP information is available to them, owners and operators of all Program 2 and Program 3 processes will be required to provide an annual written or electronic notice to employees indicating that RMP information is available. </w:t>
      </w:r>
    </w:p>
    <w:p w:rsidR="00B629DE" w:rsidRPr="00B629DE" w:rsidP="00B629DE" w14:paraId="36CABB94" w14:textId="77777777">
      <w:pPr>
        <w:tabs>
          <w:tab w:val="left" w:pos="720"/>
          <w:tab w:val="left" w:pos="1627"/>
          <w:tab w:val="left" w:pos="2160"/>
          <w:tab w:val="left" w:pos="2880"/>
        </w:tabs>
        <w:spacing w:before="0" w:after="0"/>
        <w:ind w:left="1080" w:hanging="360"/>
        <w:rPr>
          <w:rFonts w:ascii="Times New Roman" w:hAnsi="Times New Roman"/>
          <w:sz w:val="24"/>
        </w:rPr>
      </w:pPr>
      <w:r w:rsidRPr="00B629DE">
        <w:rPr>
          <w:rFonts w:ascii="Times New Roman" w:hAnsi="Times New Roman"/>
          <w:sz w:val="24"/>
        </w:rPr>
        <w:t xml:space="preserve">The SCCAP final rule </w:t>
      </w:r>
      <w:r w:rsidRPr="00B629DE" w:rsidR="008C5D7F">
        <w:rPr>
          <w:rFonts w:ascii="Times New Roman" w:hAnsi="Times New Roman"/>
          <w:sz w:val="24"/>
        </w:rPr>
        <w:t xml:space="preserve">adds a provision </w:t>
      </w:r>
      <w:r w:rsidRPr="00B629DE" w:rsidR="00346B09">
        <w:rPr>
          <w:rFonts w:ascii="Times New Roman" w:hAnsi="Times New Roman"/>
          <w:sz w:val="24"/>
        </w:rPr>
        <w:t>for Program 2 and Program 3 process owners and</w:t>
      </w:r>
      <w:r w:rsidRPr="00B629DE">
        <w:rPr>
          <w:rFonts w:ascii="Times New Roman" w:hAnsi="Times New Roman"/>
          <w:sz w:val="24"/>
        </w:rPr>
        <w:t xml:space="preserve"> </w:t>
      </w:r>
    </w:p>
    <w:p w:rsidR="00D44CD7" w:rsidP="003F2AFF" w14:paraId="3572755E" w14:textId="77777777">
      <w:pPr>
        <w:tabs>
          <w:tab w:val="left" w:pos="720"/>
          <w:tab w:val="left" w:pos="1627"/>
          <w:tab w:val="left" w:pos="2160"/>
          <w:tab w:val="left" w:pos="2880"/>
        </w:tabs>
        <w:spacing w:before="0" w:after="0"/>
        <w:ind w:left="1080" w:hanging="360"/>
        <w:rPr>
          <w:rFonts w:ascii="Times New Roman" w:hAnsi="Times New Roman"/>
          <w:sz w:val="24"/>
        </w:rPr>
      </w:pPr>
      <w:r w:rsidRPr="00B629DE">
        <w:rPr>
          <w:rFonts w:ascii="Times New Roman" w:hAnsi="Times New Roman"/>
          <w:sz w:val="24"/>
        </w:rPr>
        <w:t xml:space="preserve">operators </w:t>
      </w:r>
      <w:r w:rsidR="003F2AFF">
        <w:rPr>
          <w:rFonts w:ascii="Times New Roman" w:hAnsi="Times New Roman"/>
          <w:sz w:val="24"/>
        </w:rPr>
        <w:t xml:space="preserve">to provide </w:t>
      </w:r>
      <w:r w:rsidRPr="00B629DE" w:rsidR="008C5D7F">
        <w:rPr>
          <w:rFonts w:ascii="Times New Roman" w:hAnsi="Times New Roman"/>
          <w:sz w:val="24"/>
        </w:rPr>
        <w:t xml:space="preserve">training on the written employee participation plan. </w:t>
      </w:r>
      <w:r w:rsidRPr="00A15865" w:rsidR="00C52FE2">
        <w:rPr>
          <w:rFonts w:ascii="Times New Roman" w:hAnsi="Times New Roman"/>
          <w:sz w:val="24"/>
        </w:rPr>
        <w:t xml:space="preserve">The Agency </w:t>
      </w:r>
    </w:p>
    <w:p w:rsidR="00D44CD7" w:rsidP="003F2AFF" w14:paraId="2879339D" w14:textId="0D8B5617">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 xml:space="preserve">believes that management, employees, and their representatives involved in the process </w:t>
      </w:r>
    </w:p>
    <w:p w:rsidR="00510AB6" w:rsidP="003F2AFF" w14:paraId="324F72A1" w14:textId="77777777">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 xml:space="preserve">could benefit from training on employee participation plans to ensure facility </w:t>
      </w:r>
    </w:p>
    <w:p w:rsidR="003F2AFF" w:rsidP="003F2AFF" w14:paraId="1560DEB4" w14:textId="22BFC759">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 xml:space="preserve">stakeholders are aware of the information included in the plans or otherwise available. A </w:t>
      </w:r>
    </w:p>
    <w:p w:rsidR="003F2AFF" w:rsidP="003F2AFF" w14:paraId="4B925AA1" w14:textId="77777777">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more thorough understanding through the training may help reduce unvalidated non-</w:t>
      </w:r>
    </w:p>
    <w:p w:rsidR="003F2AFF" w:rsidP="003F2AFF" w14:paraId="7E8012DB" w14:textId="77777777">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 xml:space="preserve">compliance reports, some of which commenters indicated could become a concern </w:t>
      </w:r>
    </w:p>
    <w:p w:rsidR="00D44CD7" w:rsidP="003F2AFF" w14:paraId="2C8B4D1E" w14:textId="0EF1B0A5">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associated with this noncompliance reporting provision. Ultimately</w:t>
      </w:r>
      <w:r w:rsidR="00602BE0">
        <w:rPr>
          <w:rFonts w:ascii="Times New Roman" w:hAnsi="Times New Roman"/>
          <w:sz w:val="24"/>
        </w:rPr>
        <w:t>,</w:t>
      </w:r>
      <w:r w:rsidRPr="00A15865">
        <w:rPr>
          <w:rFonts w:ascii="Times New Roman" w:hAnsi="Times New Roman"/>
          <w:sz w:val="24"/>
        </w:rPr>
        <w:t xml:space="preserve"> EPA expects training </w:t>
      </w:r>
    </w:p>
    <w:p w:rsidR="00D44CD7" w:rsidP="003F2AFF" w14:paraId="46AA9DBF" w14:textId="77777777">
      <w:pPr>
        <w:tabs>
          <w:tab w:val="left" w:pos="720"/>
          <w:tab w:val="left" w:pos="1627"/>
          <w:tab w:val="left" w:pos="2160"/>
          <w:tab w:val="left" w:pos="2880"/>
        </w:tabs>
        <w:spacing w:before="0" w:after="0"/>
        <w:ind w:left="1080" w:hanging="360"/>
        <w:rPr>
          <w:rFonts w:ascii="Times New Roman" w:hAnsi="Times New Roman"/>
          <w:sz w:val="24"/>
        </w:rPr>
      </w:pPr>
      <w:r w:rsidRPr="00A15865">
        <w:rPr>
          <w:rFonts w:ascii="Times New Roman" w:hAnsi="Times New Roman"/>
          <w:sz w:val="24"/>
        </w:rPr>
        <w:t xml:space="preserve">on employee participation plans will help employees identify, and owners and operators </w:t>
      </w:r>
    </w:p>
    <w:p w:rsidR="00C52FE2" w:rsidRPr="00883F22" w:rsidP="00516C3F" w14:paraId="5F4A28C8" w14:textId="771A4A8B">
      <w:pPr>
        <w:tabs>
          <w:tab w:val="left" w:pos="720"/>
          <w:tab w:val="left" w:pos="1627"/>
          <w:tab w:val="left" w:pos="2160"/>
          <w:tab w:val="left" w:pos="2880"/>
        </w:tabs>
        <w:spacing w:before="0"/>
        <w:ind w:left="1080" w:hanging="360"/>
        <w:rPr>
          <w:rFonts w:ascii="Times New Roman" w:hAnsi="Times New Roman"/>
          <w:sz w:val="24"/>
        </w:rPr>
      </w:pPr>
      <w:r w:rsidRPr="00A15865">
        <w:rPr>
          <w:rFonts w:ascii="Times New Roman" w:hAnsi="Times New Roman"/>
          <w:sz w:val="24"/>
        </w:rPr>
        <w:t>correct, issues that may prevent and mitigate accidents.</w:t>
      </w:r>
    </w:p>
    <w:p w:rsidR="00C52FE2" w:rsidP="00C52FE2" w14:paraId="3B0B5999" w14:textId="77777777">
      <w:pPr>
        <w:rPr>
          <w:rFonts w:ascii="Times New Roman" w:hAnsi="Times New Roman"/>
          <w:sz w:val="24"/>
        </w:rPr>
      </w:pPr>
      <w:r>
        <w:rPr>
          <w:rFonts w:ascii="Times New Roman" w:hAnsi="Times New Roman"/>
          <w:b/>
          <w:bCs/>
          <w:sz w:val="24"/>
        </w:rPr>
        <w:t xml:space="preserve">Comment 10-05: </w:t>
      </w:r>
      <w:r w:rsidRPr="006F68E9">
        <w:rPr>
          <w:rFonts w:ascii="Times New Roman" w:hAnsi="Times New Roman"/>
          <w:sz w:val="24"/>
        </w:rPr>
        <w:t xml:space="preserve">A couple of commenters discussed how EPA lacks the legal authority to establish whistleblower protections and anonymous reporting, that OSHA has exclusive authority to address worker safety issues and the CAA prohibits EPA from regulating worker safety, and EPA does not have the legal authority to and should not finalize these provisions (0207, 0237). Although one commenter agreed that employees should know that they can voice a concern verbally or in writing without fear of repercussions, EPA’s proposed provisions impede on OSHA’s authority, even in collective bargaining and information required to provide to employee representatives and disputes, and EPA should not finalize them (0237). One commenter stated that it is unclear how facilities will have access to anonymous reports or unreported RMP accidents, and employee access to RMP information is already covered under 40 CFR 68.93(c) (0262). </w:t>
      </w:r>
    </w:p>
    <w:p w:rsidR="00842826" w:rsidRPr="00162A46" w:rsidP="009B52B7" w14:paraId="60FC47FF" w14:textId="77777777">
      <w:pPr>
        <w:ind w:left="720"/>
        <w:rPr>
          <w:rFonts w:ascii="Times New Roman" w:hAnsi="Times New Roman"/>
          <w:sz w:val="24"/>
        </w:rPr>
      </w:pPr>
      <w:r w:rsidRPr="00C21FB6">
        <w:rPr>
          <w:rFonts w:ascii="Times New Roman" w:hAnsi="Times New Roman"/>
          <w:b/>
          <w:bCs/>
          <w:sz w:val="24"/>
        </w:rPr>
        <w:t>EPA Response:</w:t>
      </w:r>
      <w:r w:rsidRPr="0065785D">
        <w:rPr>
          <w:rFonts w:ascii="Times New Roman" w:hAnsi="Times New Roman"/>
          <w:b/>
          <w:bCs/>
          <w:sz w:val="24"/>
        </w:rPr>
        <w:t xml:space="preserve"> </w:t>
      </w:r>
      <w:r w:rsidRPr="00642256">
        <w:rPr>
          <w:rFonts w:ascii="Times New Roman" w:hAnsi="Times New Roman"/>
          <w:sz w:val="24"/>
        </w:rPr>
        <w:t>The Agency notes that</w:t>
      </w:r>
      <w:r>
        <w:rPr>
          <w:rFonts w:ascii="Times New Roman" w:hAnsi="Times New Roman"/>
          <w:sz w:val="24"/>
        </w:rPr>
        <w:t xml:space="preserve"> this final rule does not establish whistleblower protections. Rather, </w:t>
      </w:r>
      <w:r w:rsidRPr="00642256">
        <w:rPr>
          <w:rFonts w:ascii="Times New Roman" w:hAnsi="Times New Roman"/>
          <w:sz w:val="24"/>
        </w:rPr>
        <w:t xml:space="preserve">OSHA enforces whistleblower protections provided under the CAA, the Occupational Safety and Health Act, and other Federal laws. Further information about those rights can be found at </w:t>
      </w:r>
      <w:hyperlink r:id="rId13" w:history="1">
        <w:r w:rsidRPr="00BF7A8F" w:rsidR="00EA45D1">
          <w:rPr>
            <w:rStyle w:val="Hyperlink"/>
            <w:rFonts w:ascii="Times New Roman" w:hAnsi="Times New Roman"/>
            <w:sz w:val="24"/>
          </w:rPr>
          <w:t>https://www.whistleblowers.gov</w:t>
        </w:r>
      </w:hyperlink>
      <w:r w:rsidRPr="00642256">
        <w:rPr>
          <w:rFonts w:ascii="Times New Roman" w:hAnsi="Times New Roman"/>
          <w:sz w:val="24"/>
        </w:rPr>
        <w:t>.</w:t>
      </w:r>
      <w:r w:rsidR="00EA45D1">
        <w:rPr>
          <w:rFonts w:ascii="Times New Roman" w:hAnsi="Times New Roman"/>
          <w:sz w:val="24"/>
        </w:rPr>
        <w:t xml:space="preserve"> </w:t>
      </w:r>
      <w:r w:rsidR="009B6B5E">
        <w:rPr>
          <w:rFonts w:ascii="Times New Roman" w:hAnsi="Times New Roman"/>
          <w:sz w:val="24"/>
        </w:rPr>
        <w:t>The final rule also does not establish or</w:t>
      </w:r>
      <w:r w:rsidR="00A536A3">
        <w:rPr>
          <w:rFonts w:ascii="Times New Roman" w:hAnsi="Times New Roman"/>
          <w:sz w:val="24"/>
        </w:rPr>
        <w:t xml:space="preserve"> amend collective bargaining </w:t>
      </w:r>
      <w:r w:rsidR="009E0AD7">
        <w:rPr>
          <w:rFonts w:ascii="Times New Roman" w:hAnsi="Times New Roman"/>
          <w:sz w:val="24"/>
        </w:rPr>
        <w:t>or dispute regulation authorities or provision</w:t>
      </w:r>
      <w:r w:rsidR="00A53BC2">
        <w:rPr>
          <w:rFonts w:ascii="Times New Roman" w:hAnsi="Times New Roman"/>
          <w:sz w:val="24"/>
        </w:rPr>
        <w:t>s.</w:t>
      </w:r>
      <w:r w:rsidRPr="00807208" w:rsidR="00807208">
        <w:t xml:space="preserve"> </w:t>
      </w:r>
      <w:r w:rsidRPr="00644C32" w:rsidR="00AC22B4">
        <w:rPr>
          <w:rFonts w:ascii="Times New Roman" w:hAnsi="Times New Roman"/>
          <w:sz w:val="24"/>
        </w:rPr>
        <w:t>These employee participat</w:t>
      </w:r>
      <w:r w:rsidRPr="00644C32" w:rsidR="008A37EA">
        <w:rPr>
          <w:rFonts w:ascii="Times New Roman" w:hAnsi="Times New Roman"/>
          <w:sz w:val="24"/>
        </w:rPr>
        <w:t>ion</w:t>
      </w:r>
      <w:r w:rsidRPr="00644C32" w:rsidR="00AC22B4">
        <w:rPr>
          <w:rFonts w:ascii="Times New Roman" w:hAnsi="Times New Roman"/>
          <w:sz w:val="24"/>
        </w:rPr>
        <w:t xml:space="preserve"> provisions</w:t>
      </w:r>
      <w:r w:rsidRPr="00644C32" w:rsidR="008A37EA">
        <w:rPr>
          <w:rFonts w:ascii="Times New Roman" w:hAnsi="Times New Roman"/>
          <w:sz w:val="24"/>
        </w:rPr>
        <w:t xml:space="preserve"> for reporting non-compliance </w:t>
      </w:r>
      <w:r w:rsidRPr="00644C32" w:rsidR="007522E5">
        <w:rPr>
          <w:rFonts w:ascii="Times New Roman" w:hAnsi="Times New Roman"/>
          <w:sz w:val="24"/>
        </w:rPr>
        <w:t xml:space="preserve">simply </w:t>
      </w:r>
      <w:r w:rsidRPr="00644C32" w:rsidR="009511E5">
        <w:rPr>
          <w:rFonts w:ascii="Times New Roman" w:hAnsi="Times New Roman"/>
          <w:sz w:val="24"/>
        </w:rPr>
        <w:t xml:space="preserve">establish a minimum standard for conduct for employees to discuss safety concerns internally </w:t>
      </w:r>
      <w:r w:rsidRPr="00644C32" w:rsidR="00C328F7">
        <w:rPr>
          <w:rFonts w:ascii="Times New Roman" w:hAnsi="Times New Roman"/>
          <w:sz w:val="24"/>
        </w:rPr>
        <w:t xml:space="preserve">to promote </w:t>
      </w:r>
      <w:r w:rsidRPr="00644C32" w:rsidR="004A1AC5">
        <w:rPr>
          <w:rFonts w:ascii="Times New Roman" w:hAnsi="Times New Roman"/>
          <w:sz w:val="24"/>
        </w:rPr>
        <w:t xml:space="preserve">process safety </w:t>
      </w:r>
      <w:r w:rsidRPr="00644C32" w:rsidR="00387050">
        <w:rPr>
          <w:rFonts w:ascii="Times New Roman" w:hAnsi="Times New Roman"/>
          <w:sz w:val="24"/>
        </w:rPr>
        <w:t>to</w:t>
      </w:r>
      <w:r w:rsidRPr="00644C32" w:rsidR="00DB0C5A">
        <w:rPr>
          <w:rFonts w:ascii="Times New Roman" w:hAnsi="Times New Roman"/>
          <w:sz w:val="24"/>
        </w:rPr>
        <w:t xml:space="preserve"> </w:t>
      </w:r>
      <w:r w:rsidRPr="00644C32" w:rsidR="00387050">
        <w:rPr>
          <w:rFonts w:ascii="Times New Roman" w:hAnsi="Times New Roman"/>
          <w:sz w:val="24"/>
        </w:rPr>
        <w:t>protect the</w:t>
      </w:r>
      <w:r w:rsidRPr="00644C32" w:rsidR="00AC6195">
        <w:rPr>
          <w:rFonts w:ascii="Times New Roman" w:hAnsi="Times New Roman"/>
          <w:sz w:val="24"/>
        </w:rPr>
        <w:t xml:space="preserve"> </w:t>
      </w:r>
      <w:r w:rsidRPr="00644C32" w:rsidR="00162A46">
        <w:rPr>
          <w:rFonts w:ascii="Times New Roman" w:hAnsi="Times New Roman"/>
          <w:sz w:val="24"/>
        </w:rPr>
        <w:t>employee’s</w:t>
      </w:r>
      <w:r w:rsidRPr="00644C32" w:rsidR="00387050">
        <w:rPr>
          <w:rFonts w:ascii="Times New Roman" w:hAnsi="Times New Roman"/>
          <w:sz w:val="24"/>
        </w:rPr>
        <w:t xml:space="preserve"> own welfare</w:t>
      </w:r>
      <w:r w:rsidRPr="00644C32" w:rsidR="00DB0C5A">
        <w:rPr>
          <w:rFonts w:ascii="Times New Roman" w:hAnsi="Times New Roman"/>
          <w:sz w:val="24"/>
        </w:rPr>
        <w:t>, which</w:t>
      </w:r>
      <w:r w:rsidRPr="00644C32" w:rsidR="00AC6195">
        <w:rPr>
          <w:rFonts w:ascii="Times New Roman" w:hAnsi="Times New Roman"/>
          <w:sz w:val="24"/>
        </w:rPr>
        <w:t xml:space="preserve"> in turn </w:t>
      </w:r>
      <w:r w:rsidRPr="00644C32" w:rsidR="00387050">
        <w:rPr>
          <w:rFonts w:ascii="Times New Roman" w:hAnsi="Times New Roman"/>
          <w:sz w:val="24"/>
        </w:rPr>
        <w:t>help keep communities safe as</w:t>
      </w:r>
      <w:r w:rsidRPr="00644C32" w:rsidR="00DB0C5A">
        <w:rPr>
          <w:rFonts w:ascii="Times New Roman" w:hAnsi="Times New Roman"/>
          <w:sz w:val="24"/>
        </w:rPr>
        <w:t xml:space="preserve"> </w:t>
      </w:r>
      <w:r w:rsidRPr="00644C32" w:rsidR="00387050">
        <w:rPr>
          <w:rFonts w:ascii="Times New Roman" w:hAnsi="Times New Roman"/>
          <w:sz w:val="24"/>
        </w:rPr>
        <w:t>well.</w:t>
      </w:r>
    </w:p>
    <w:p w:rsidR="00D85798" w:rsidRPr="00574539" w:rsidP="009B52B7" w14:paraId="4D88B708" w14:textId="15F4876E">
      <w:pPr>
        <w:ind w:left="720"/>
        <w:rPr>
          <w:rFonts w:ascii="Times New Roman" w:hAnsi="Times New Roman"/>
          <w:sz w:val="24"/>
        </w:rPr>
      </w:pPr>
      <w:r>
        <w:rPr>
          <w:rFonts w:ascii="Times New Roman" w:hAnsi="Times New Roman"/>
          <w:sz w:val="24"/>
        </w:rPr>
        <w:t>Further, n</w:t>
      </w:r>
      <w:r w:rsidRPr="00C00267" w:rsidR="00C00267">
        <w:rPr>
          <w:rFonts w:ascii="Times New Roman" w:hAnsi="Times New Roman"/>
          <w:sz w:val="24"/>
        </w:rPr>
        <w:t xml:space="preserve">othing in the structure of the 1990 CAA Amendments nor its legislative history suggests that only one agency is the exclusive, proper, or prime authority for chemical process safety. The statute required both EPA and OSHA to proceed with provisions to prevent chemical accidents. The Senate Report discusses the relationship and expertise of both agencies in the field of accident prevention, including the issue of whether OSHA should be the lead agency in the area, and noted that “EPA has developed considerable expertise in the area of accident prevention.” (Senate Report at 244 -45). The approach of the bill was to require coordination among agencies rather than primacy or preemption. Sections 129(f)(1) and (2) of the Senate bill closely parallel section 112(r)(7)(A) and (B)(i), and section 129(f)(3) has the same consultation and coordination requirement for EPA with U.S. Department of Labor (DOL) and OSHA as CAA section 112(r)(7)(D). </w:t>
      </w:r>
    </w:p>
    <w:p w:rsidR="00D85798" w:rsidRPr="009B52B7" w:rsidP="009B52B7" w14:paraId="4633A8A3" w14:textId="7D9DCD65">
      <w:pPr>
        <w:ind w:left="720"/>
        <w:rPr>
          <w:rFonts w:ascii="Times New Roman" w:hAnsi="Times New Roman"/>
          <w:sz w:val="24"/>
        </w:rPr>
      </w:pPr>
      <w:r w:rsidRPr="00213141">
        <w:rPr>
          <w:rFonts w:ascii="Times New Roman" w:hAnsi="Times New Roman"/>
          <w:sz w:val="24"/>
        </w:rPr>
        <w:t xml:space="preserve">Today’s rule maintains EPA’s focus on minimizing the public impacts of accidental releases even as it also reduces impacts on facilities and workers. As explained throughout the proposal and in this final action, the OSHA PSM standard and EPA RMP regulations are closely aligned in content, policy interpretations, and enforcement. This is not surprising, as accident prevention steps that make a process safe for workers often will be similar, or the same as, steps that would prevent deleterious impacts on the public. Thus, enhancing additional employee participation authority will enhance the chemical accident safety of the public. Congress recognized the RMP-PSM relationship by requiring EPA to coordinate its requirements with those of OSHA in developing accident prevention regulations and requiring OSHA to coordinate with EPA when developing its </w:t>
      </w:r>
      <w:r w:rsidRPr="00213141">
        <w:rPr>
          <w:rFonts w:ascii="Times New Roman" w:hAnsi="Times New Roman"/>
          <w:sz w:val="24"/>
        </w:rPr>
        <w:t>PSM standard (see CAA section 112(r)((7)(D) and CAAA section 304(a)). Therefore, since the inception of these regulations, EPA and OSHA have coordinated closely on their implementation in order to minimize regulatory burden and avoid conflicting requirements for regulated facilities. This coordination has continued throughout the development of this rule. Appendix A documents a series of meetings among staff from EPA and OSHA during SCCAP rule development.</w:t>
      </w:r>
    </w:p>
    <w:p w:rsidR="00A66D98" w:rsidRPr="00A66D98" w:rsidP="009B52B7" w14:paraId="38BB5D34" w14:textId="69386EDD">
      <w:pPr>
        <w:ind w:left="720"/>
        <w:rPr>
          <w:rFonts w:ascii="Times New Roman" w:hAnsi="Times New Roman"/>
          <w:sz w:val="24"/>
        </w:rPr>
      </w:pPr>
      <w:r>
        <w:rPr>
          <w:rFonts w:ascii="Times New Roman" w:hAnsi="Times New Roman"/>
          <w:sz w:val="24"/>
        </w:rPr>
        <w:t xml:space="preserve">Lastly, </w:t>
      </w:r>
      <w:r w:rsidRPr="00A66D98">
        <w:rPr>
          <w:rFonts w:ascii="Times New Roman" w:hAnsi="Times New Roman"/>
          <w:sz w:val="24"/>
        </w:rPr>
        <w:t>EPA does not expect to see a “one-size fits-all” plan developed by sources for reporting areas of non-compliance. Some RMP facilities are less complex, operating with a handful of employees, while other RMP facilities have very complex processes that involve hundreds of employees. Like other provisions of the RMP regulation, the employee participation provisions allow facility owners and operators the flexibility to exercise reasonable judgement in determining how to best engage their employees and make them aware of their facility’s efforts to apply the RMP rule to process operations. In the absence of a more specific performance standard like RAGAGEP or a specific direction, the RMP rule relies on the reasonable judgments and efforts of regulated entities in designing compliance programs that are aimed at preventing or mitigating accidental releases.</w:t>
      </w:r>
    </w:p>
    <w:p w:rsidR="00C52FE2" w:rsidRPr="00232BB6" w:rsidP="009B52B7" w14:paraId="680266E6" w14:textId="77777777">
      <w:pPr>
        <w:rPr>
          <w:rFonts w:ascii="Times New Roman" w:hAnsi="Times New Roman"/>
          <w:i/>
          <w:iCs/>
          <w:sz w:val="24"/>
        </w:rPr>
      </w:pPr>
      <w:r>
        <w:rPr>
          <w:rFonts w:ascii="Times New Roman" w:hAnsi="Times New Roman"/>
          <w:i/>
          <w:iCs/>
          <w:sz w:val="24"/>
        </w:rPr>
        <w:t>Suggested revisions to accident and non-compliance reporting provisions</w:t>
      </w:r>
    </w:p>
    <w:p w:rsidR="00C52FE2" w:rsidP="00C52FE2" w14:paraId="3F3275A6" w14:textId="2AA99A33">
      <w:pPr>
        <w:rPr>
          <w:rFonts w:ascii="Times New Roman" w:hAnsi="Times New Roman"/>
          <w:sz w:val="24"/>
        </w:rPr>
      </w:pPr>
      <w:r w:rsidRPr="00D04269">
        <w:rPr>
          <w:rFonts w:ascii="Times New Roman" w:hAnsi="Times New Roman"/>
          <w:b/>
          <w:bCs/>
          <w:sz w:val="24"/>
        </w:rPr>
        <w:t>Comment</w:t>
      </w:r>
      <w:r>
        <w:rPr>
          <w:rFonts w:ascii="Times New Roman" w:hAnsi="Times New Roman"/>
          <w:b/>
          <w:bCs/>
          <w:sz w:val="24"/>
        </w:rPr>
        <w:t xml:space="preserve"> 10-06</w:t>
      </w:r>
      <w:r w:rsidRPr="00D04269">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 couple of commenters </w:t>
      </w:r>
      <w:r>
        <w:rPr>
          <w:rFonts w:ascii="Times New Roman" w:hAnsi="Times New Roman"/>
          <w:sz w:val="24"/>
        </w:rPr>
        <w:t>requested that</w:t>
      </w:r>
      <w:r w:rsidRPr="006F68E9">
        <w:rPr>
          <w:rFonts w:ascii="Times New Roman" w:hAnsi="Times New Roman"/>
          <w:sz w:val="24"/>
        </w:rPr>
        <w:t xml:space="preserve"> EPA provide an anonymous reporting hotline (</w:t>
      </w:r>
      <w:r w:rsidR="003E175F">
        <w:rPr>
          <w:rFonts w:ascii="Times New Roman" w:hAnsi="Times New Roman"/>
          <w:sz w:val="24"/>
        </w:rPr>
        <w:t xml:space="preserve">0254, </w:t>
      </w:r>
      <w:r w:rsidRPr="006F68E9">
        <w:rPr>
          <w:rFonts w:ascii="Times New Roman" w:hAnsi="Times New Roman"/>
          <w:sz w:val="24"/>
        </w:rPr>
        <w:t xml:space="preserve">0255, 0456). One commenter stated that the hotline should allow for anonymous near-miss and safety reporting directly to the Agency (0456). </w:t>
      </w:r>
      <w:r>
        <w:rPr>
          <w:rFonts w:ascii="Times New Roman" w:hAnsi="Times New Roman"/>
          <w:sz w:val="24"/>
        </w:rPr>
        <w:t xml:space="preserve">Another commenter asserted that </w:t>
      </w:r>
      <w:r w:rsidRPr="6D3F9CC5">
        <w:rPr>
          <w:rFonts w:ascii="Times New Roman" w:hAnsi="Times New Roman"/>
          <w:sz w:val="24"/>
        </w:rPr>
        <w:t>anonymous worker reports should go directly to EPA (0255).</w:t>
      </w:r>
    </w:p>
    <w:p w:rsidR="00C52FE2" w:rsidRPr="001E2019" w:rsidP="00C52FE2" w14:paraId="0DD830F5" w14:textId="602F47BA">
      <w:pPr>
        <w:ind w:left="720"/>
        <w:rPr>
          <w:rFonts w:ascii="Times New Roman" w:hAnsi="Times New Roman"/>
          <w:sz w:val="24"/>
        </w:rPr>
      </w:pPr>
      <w:r w:rsidRPr="001E2019">
        <w:rPr>
          <w:rFonts w:ascii="Times New Roman" w:hAnsi="Times New Roman"/>
          <w:b/>
          <w:bCs/>
          <w:sz w:val="24"/>
        </w:rPr>
        <w:t>EPA Response:</w:t>
      </w:r>
      <w:r w:rsidRPr="001E2019">
        <w:rPr>
          <w:rFonts w:ascii="Times New Roman" w:hAnsi="Times New Roman"/>
          <w:sz w:val="24"/>
        </w:rPr>
        <w:t xml:space="preserve"> When an employer is engaged first and does not resolve an issue, it is expected that the next step for reporting noncompliance will be to report to EPA. </w:t>
      </w:r>
      <w:r w:rsidR="00C35728">
        <w:rPr>
          <w:rFonts w:ascii="Times New Roman" w:hAnsi="Times New Roman"/>
          <w:sz w:val="24"/>
        </w:rPr>
        <w:t xml:space="preserve">There are already EPA resources in place to report RMP noncompliance. For example, </w:t>
      </w:r>
      <w:r w:rsidR="0077189E">
        <w:rPr>
          <w:rFonts w:ascii="Times New Roman" w:hAnsi="Times New Roman"/>
          <w:sz w:val="24"/>
        </w:rPr>
        <w:t xml:space="preserve">there is an existing </w:t>
      </w:r>
      <w:r w:rsidR="00C35728">
        <w:rPr>
          <w:rFonts w:ascii="Times New Roman" w:hAnsi="Times New Roman"/>
          <w:sz w:val="24"/>
        </w:rPr>
        <w:t>EPA website where people can report environmental violations.</w:t>
      </w:r>
      <w:r>
        <w:rPr>
          <w:rStyle w:val="FootnoteReference"/>
          <w:rFonts w:ascii="Times New Roman" w:hAnsi="Times New Roman"/>
          <w:sz w:val="24"/>
        </w:rPr>
        <w:footnoteReference w:id="142"/>
      </w:r>
      <w:r w:rsidR="00C35728">
        <w:rPr>
          <w:rFonts w:ascii="Times New Roman" w:hAnsi="Times New Roman"/>
          <w:sz w:val="24"/>
        </w:rPr>
        <w:t xml:space="preserve"> On that website, there are </w:t>
      </w:r>
      <w:r w:rsidR="0077189E">
        <w:rPr>
          <w:rFonts w:ascii="Times New Roman" w:hAnsi="Times New Roman"/>
          <w:sz w:val="24"/>
        </w:rPr>
        <w:t xml:space="preserve">also </w:t>
      </w:r>
      <w:r w:rsidR="00C35728">
        <w:rPr>
          <w:rFonts w:ascii="Times New Roman" w:hAnsi="Times New Roman"/>
          <w:sz w:val="24"/>
        </w:rPr>
        <w:t>resources to learn the difference between a possible violation and an emergency, and also provides the phone number to the National Response Center.</w:t>
      </w:r>
      <w:r>
        <w:rPr>
          <w:rStyle w:val="FootnoteReference"/>
          <w:rFonts w:ascii="Times New Roman" w:hAnsi="Times New Roman"/>
          <w:sz w:val="24"/>
        </w:rPr>
        <w:footnoteReference w:id="143"/>
      </w:r>
      <w:r w:rsidR="00C35728">
        <w:rPr>
          <w:rFonts w:ascii="Times New Roman" w:hAnsi="Times New Roman"/>
          <w:sz w:val="24"/>
        </w:rPr>
        <w:t xml:space="preserve"> </w:t>
      </w:r>
      <w:r w:rsidR="0077189E">
        <w:rPr>
          <w:rFonts w:ascii="Times New Roman" w:hAnsi="Times New Roman"/>
          <w:sz w:val="24"/>
        </w:rPr>
        <w:t>Another resource would be to contact the EPA region covering that particular area.</w:t>
      </w:r>
      <w:r>
        <w:rPr>
          <w:rStyle w:val="FootnoteReference"/>
          <w:rFonts w:ascii="Times New Roman" w:hAnsi="Times New Roman"/>
          <w:sz w:val="24"/>
        </w:rPr>
        <w:footnoteReference w:id="144"/>
      </w:r>
      <w:r w:rsidR="0077189E">
        <w:rPr>
          <w:rFonts w:ascii="Times New Roman" w:hAnsi="Times New Roman"/>
          <w:sz w:val="24"/>
        </w:rPr>
        <w:t xml:space="preserve"> </w:t>
      </w:r>
      <w:r w:rsidRPr="001E2019">
        <w:rPr>
          <w:rFonts w:ascii="Times New Roman" w:hAnsi="Times New Roman"/>
          <w:sz w:val="24"/>
        </w:rPr>
        <w:t>Reporting areas of non-compliance to EPA</w:t>
      </w:r>
      <w:r>
        <w:rPr>
          <w:rFonts w:ascii="Times New Roman" w:hAnsi="Times New Roman"/>
          <w:sz w:val="24"/>
        </w:rPr>
        <w:t xml:space="preserve"> </w:t>
      </w:r>
      <w:r w:rsidRPr="001E2019">
        <w:rPr>
          <w:rFonts w:ascii="Times New Roman" w:hAnsi="Times New Roman"/>
          <w:sz w:val="24"/>
        </w:rPr>
        <w:t xml:space="preserve">will allow the Agency’s Office of Enforcement and Compliance Assurance to determine the validity of the report received through appropriate levels of follow-up, investigation, and enforcement, if necessary. </w:t>
      </w:r>
    </w:p>
    <w:p w:rsidR="00C52FE2" w:rsidP="00C52FE2" w14:paraId="39DADDB4" w14:textId="77777777">
      <w:pPr>
        <w:rPr>
          <w:rFonts w:ascii="Times New Roman" w:hAnsi="Times New Roman"/>
          <w:sz w:val="24"/>
        </w:rPr>
      </w:pPr>
      <w:r>
        <w:rPr>
          <w:rFonts w:ascii="Times New Roman" w:hAnsi="Times New Roman"/>
          <w:b/>
          <w:bCs/>
          <w:sz w:val="24"/>
        </w:rPr>
        <w:t xml:space="preserve">Comment 10-07: </w:t>
      </w:r>
      <w:r w:rsidRPr="006F68E9">
        <w:rPr>
          <w:rFonts w:ascii="Times New Roman" w:hAnsi="Times New Roman"/>
          <w:sz w:val="24"/>
        </w:rPr>
        <w:t xml:space="preserve">A couple of commenters stated that EPA should acknowledge that delays in reporting lead to significant under-counting, and the commenters stressed the importance of compliance-focused design. The commenters stated that the assumption that a delay in reporting would not lead to significant undercounting is incorrect, based on data on reported incidents. The commenters </w:t>
      </w:r>
      <w:r>
        <w:rPr>
          <w:rFonts w:ascii="Times New Roman" w:hAnsi="Times New Roman"/>
          <w:sz w:val="24"/>
        </w:rPr>
        <w:t>said</w:t>
      </w:r>
      <w:r w:rsidRPr="006F68E9">
        <w:rPr>
          <w:rFonts w:ascii="Times New Roman" w:hAnsi="Times New Roman"/>
          <w:sz w:val="24"/>
        </w:rPr>
        <w:t xml:space="preserve"> that the reportable harm incidents EPA evaluated does not include some of the incidents that caused harm or measure some of the harm caused because impacts like toxic exposure and hospitalization are not tracked, even though this indicates harm to public health and well-being that EPA should recognize in its analysis. The commenters stressed the importance of strong compliance-focused design and urged EPA to build in sufficient reporting, </w:t>
      </w:r>
      <w:r w:rsidRPr="006F68E9">
        <w:rPr>
          <w:rFonts w:ascii="Times New Roman" w:hAnsi="Times New Roman"/>
          <w:sz w:val="24"/>
        </w:rPr>
        <w:t xml:space="preserve">monitoring, and automatic penalties so that it is easy for workers and the public to be able to tell at any time whether a facility is meeting the regulatory requirements or is in violation (0456, 0460). </w:t>
      </w:r>
    </w:p>
    <w:p w:rsidR="00A0799B" w:rsidP="009B52B7" w14:paraId="535FA59B" w14:textId="201FA065">
      <w:pPr>
        <w:ind w:left="720"/>
        <w:rPr>
          <w:rFonts w:ascii="Times New Roman" w:hAnsi="Times New Roman"/>
          <w:sz w:val="24"/>
        </w:rPr>
      </w:pPr>
      <w:r>
        <w:rPr>
          <w:rFonts w:ascii="Times New Roman" w:hAnsi="Times New Roman"/>
          <w:b/>
          <w:bCs/>
          <w:sz w:val="24"/>
        </w:rPr>
        <w:t xml:space="preserve">EPA Response: </w:t>
      </w:r>
      <w:r w:rsidRPr="00285371" w:rsidR="00285371">
        <w:t xml:space="preserve"> </w:t>
      </w:r>
      <w:r w:rsidRPr="00A525B5" w:rsidR="00A525B5">
        <w:rPr>
          <w:rFonts w:ascii="Times New Roman" w:hAnsi="Times New Roman"/>
          <w:sz w:val="24"/>
        </w:rPr>
        <w:t>EPA believes that accidental releases required to be reported in the five-year accident history required under § 68.42 of the existing rule, those that result in deaths, injuries, or significant property damage on-site, or known offsite deaths, injuries, evacuations, sheltering in place, property damage, or environmental damage are all potential indicators of noncompliance with RMP prevention program requirements.</w:t>
      </w:r>
      <w:r w:rsidR="00A525B5">
        <w:t xml:space="preserve"> </w:t>
      </w:r>
      <w:r w:rsidR="00223EAF">
        <w:rPr>
          <w:rFonts w:ascii="Times New Roman" w:hAnsi="Times New Roman"/>
          <w:sz w:val="24"/>
        </w:rPr>
        <w:t>Nevertheless, in the proposal</w:t>
      </w:r>
      <w:r w:rsidRPr="00943A32" w:rsidR="007E1D87">
        <w:rPr>
          <w:rFonts w:ascii="Times New Roman" w:hAnsi="Times New Roman"/>
          <w:sz w:val="24"/>
        </w:rPr>
        <w:t>, EPA acknowledged the likelihood of late-reported accidents affecting the last few years of data</w:t>
      </w:r>
      <w:r w:rsidR="00223EAF">
        <w:rPr>
          <w:rFonts w:ascii="Times New Roman" w:hAnsi="Times New Roman"/>
          <w:sz w:val="24"/>
        </w:rPr>
        <w:t xml:space="preserve"> as based on </w:t>
      </w:r>
      <w:r w:rsidRPr="00943A32" w:rsidR="007E1D87">
        <w:rPr>
          <w:rFonts w:ascii="Times New Roman" w:hAnsi="Times New Roman"/>
          <w:sz w:val="24"/>
        </w:rPr>
        <w:t>prior experience, EPA judged that there would be a slight increase in the number of accidents in the last few years of data.</w:t>
      </w:r>
      <w:r w:rsidRPr="00943A32" w:rsidR="00790586">
        <w:rPr>
          <w:rFonts w:ascii="Times New Roman" w:hAnsi="Times New Roman"/>
          <w:sz w:val="24"/>
        </w:rPr>
        <w:t xml:space="preserve"> </w:t>
      </w:r>
      <w:r w:rsidRPr="004D7A7B" w:rsidR="004D7A7B">
        <w:rPr>
          <w:rFonts w:ascii="Times New Roman" w:hAnsi="Times New Roman"/>
          <w:sz w:val="24"/>
        </w:rPr>
        <w:t>The proposal further discussed that the more current accident data since the 2019 analyses shows that reliance on a declining trend in accidents and impacts to conduct selective, often post-incident oversight may prove insufficiently effective over time and make it difficult to stay ahead of reversals in trends (87 FR 53565).</w:t>
      </w:r>
      <w:r>
        <w:rPr>
          <w:rFonts w:ascii="Times New Roman" w:hAnsi="Times New Roman"/>
          <w:sz w:val="24"/>
        </w:rPr>
        <w:t xml:space="preserve"> </w:t>
      </w:r>
    </w:p>
    <w:p w:rsidR="00607653" w:rsidP="009B52B7" w14:paraId="1B61150D" w14:textId="7B09673E">
      <w:pPr>
        <w:ind w:left="720"/>
        <w:rPr>
          <w:rFonts w:ascii="Times New Roman" w:hAnsi="Times New Roman"/>
          <w:sz w:val="24"/>
        </w:rPr>
      </w:pPr>
      <w:r w:rsidRPr="00607653">
        <w:rPr>
          <w:rFonts w:ascii="Times New Roman" w:hAnsi="Times New Roman"/>
          <w:sz w:val="24"/>
        </w:rPr>
        <w:t>EPA does not expect to see a “one-size fits-all” plan developed by sources for reporting areas of non-compliance</w:t>
      </w:r>
      <w:r w:rsidR="00215984">
        <w:rPr>
          <w:rFonts w:ascii="Times New Roman" w:hAnsi="Times New Roman"/>
          <w:sz w:val="24"/>
        </w:rPr>
        <w:t xml:space="preserve"> such as late accident reporting</w:t>
      </w:r>
      <w:r w:rsidRPr="00607653">
        <w:rPr>
          <w:rFonts w:ascii="Times New Roman" w:hAnsi="Times New Roman"/>
          <w:sz w:val="24"/>
        </w:rPr>
        <w:t xml:space="preserve">. Some RMP facilities are less complex, operating with a handful of employees, while other RMP facilities have very complex processes that involve hundreds of employees. Like other provisions of the RMP regulation, the employee participation provisions allow facility owners and operators the flexibility to exercise reasonable judgement in determining how to best engage their employees and make them aware of their facility’s efforts to apply the RMP rule to process operations. </w:t>
      </w:r>
    </w:p>
    <w:p w:rsidR="00B71403" w:rsidP="009B52B7" w14:paraId="1378821D" w14:textId="17E16042">
      <w:pPr>
        <w:ind w:left="720"/>
        <w:rPr>
          <w:rFonts w:ascii="Times New Roman" w:hAnsi="Times New Roman"/>
          <w:sz w:val="24"/>
        </w:rPr>
      </w:pPr>
      <w:r>
        <w:rPr>
          <w:rFonts w:ascii="Times New Roman" w:hAnsi="Times New Roman"/>
          <w:sz w:val="24"/>
        </w:rPr>
        <w:t xml:space="preserve">Nevertheless, </w:t>
      </w:r>
      <w:r w:rsidRPr="00481722" w:rsidR="00481722">
        <w:rPr>
          <w:rFonts w:ascii="Times New Roman" w:hAnsi="Times New Roman"/>
          <w:sz w:val="24"/>
        </w:rPr>
        <w:t xml:space="preserve">EPA believes assistance, outreach, and enforcement will </w:t>
      </w:r>
      <w:r w:rsidRPr="00D34F6E" w:rsidR="00D34F6E">
        <w:rPr>
          <w:rFonts w:ascii="Times New Roman" w:hAnsi="Times New Roman"/>
          <w:sz w:val="24"/>
        </w:rPr>
        <w:t xml:space="preserve">reduce undercounting of RMP reportable accidents </w:t>
      </w:r>
      <w:r w:rsidRPr="6EDC2149" w:rsidR="65808EE6">
        <w:rPr>
          <w:rFonts w:ascii="Times New Roman" w:hAnsi="Times New Roman"/>
          <w:sz w:val="24"/>
        </w:rPr>
        <w:t>and</w:t>
      </w:r>
      <w:r w:rsidRPr="6EDC2149" w:rsidR="00D34F6E">
        <w:rPr>
          <w:rFonts w:ascii="Times New Roman" w:hAnsi="Times New Roman"/>
          <w:sz w:val="24"/>
        </w:rPr>
        <w:t xml:space="preserve"> </w:t>
      </w:r>
      <w:r w:rsidRPr="00481722" w:rsidR="00481722">
        <w:rPr>
          <w:rFonts w:ascii="Times New Roman" w:hAnsi="Times New Roman"/>
          <w:sz w:val="24"/>
        </w:rPr>
        <w:t>help ensure compliance with</w:t>
      </w:r>
      <w:r w:rsidR="003064CF">
        <w:rPr>
          <w:rFonts w:ascii="Times New Roman" w:hAnsi="Times New Roman"/>
          <w:sz w:val="24"/>
        </w:rPr>
        <w:t xml:space="preserve"> this provision</w:t>
      </w:r>
      <w:r w:rsidR="00376C81">
        <w:rPr>
          <w:rFonts w:ascii="Times New Roman" w:hAnsi="Times New Roman"/>
          <w:sz w:val="24"/>
        </w:rPr>
        <w:t>,</w:t>
      </w:r>
      <w:r w:rsidR="003064CF">
        <w:rPr>
          <w:rFonts w:ascii="Times New Roman" w:hAnsi="Times New Roman"/>
          <w:sz w:val="24"/>
        </w:rPr>
        <w:t xml:space="preserve"> as all </w:t>
      </w:r>
      <w:r w:rsidRPr="00481722" w:rsidR="00481722">
        <w:rPr>
          <w:rFonts w:ascii="Times New Roman" w:hAnsi="Times New Roman"/>
          <w:sz w:val="24"/>
        </w:rPr>
        <w:t xml:space="preserve">provisions of the rule. Because </w:t>
      </w:r>
      <w:r w:rsidRPr="00481722" w:rsidR="00786529">
        <w:rPr>
          <w:rFonts w:ascii="Times New Roman" w:hAnsi="Times New Roman"/>
          <w:sz w:val="24"/>
        </w:rPr>
        <w:t>enforcement of the RMP regulation has and will continue to occur</w:t>
      </w:r>
      <w:r w:rsidRPr="00481722" w:rsidR="00481722">
        <w:rPr>
          <w:rFonts w:ascii="Times New Roman" w:hAnsi="Times New Roman"/>
          <w:sz w:val="24"/>
        </w:rPr>
        <w:t xml:space="preserve">, EPA expects most facilities will proactively make the necessary prevention improvements in order to comply with the rule and thus avoid enforcement. Enforcement of RMP facilities remains an Agency priority, as indicated by its adoption as a National Enforcement and Compliance Initiative (NECI) since 2017. The goal of this NECI is to reduce the risk to human health and the environment by decreasing the likelihood of chemical accidents. Activities under the initiative include having regulated facilities and industry associations work to improve safety; increase compliance with RMP; and promote coordination and communication with State and local responders and communities. The capacity built by the NECI will continue to benefit oversight by EPA and its partner implementing agencies even after the </w:t>
      </w:r>
      <w:r w:rsidRPr="00481722" w:rsidR="00717F50">
        <w:rPr>
          <w:rFonts w:ascii="Times New Roman" w:hAnsi="Times New Roman"/>
          <w:sz w:val="24"/>
        </w:rPr>
        <w:t>NECI.</w:t>
      </w:r>
    </w:p>
    <w:p w:rsidR="00C52FE2" w:rsidRPr="006F68E9" w:rsidP="00C52FE2" w14:paraId="448FAFBF" w14:textId="77777777">
      <w:pPr>
        <w:rPr>
          <w:rFonts w:ascii="Times New Roman" w:hAnsi="Times New Roman"/>
          <w:sz w:val="24"/>
        </w:rPr>
      </w:pPr>
      <w:r>
        <w:rPr>
          <w:rFonts w:ascii="Times New Roman" w:hAnsi="Times New Roman"/>
          <w:b/>
          <w:bCs/>
          <w:sz w:val="24"/>
        </w:rPr>
        <w:t xml:space="preserve">Comment 10-08: </w:t>
      </w:r>
      <w:r w:rsidRPr="006F68E9">
        <w:rPr>
          <w:rFonts w:ascii="Times New Roman" w:hAnsi="Times New Roman"/>
          <w:sz w:val="24"/>
        </w:rPr>
        <w:t xml:space="preserve">Regarding the anonymous reporting of hazards, another commenter recommended the following language (0183): </w:t>
      </w:r>
    </w:p>
    <w:p w:rsidR="00C52FE2" w:rsidRPr="006F68E9" w:rsidP="00C52FE2" w14:paraId="575610B8" w14:textId="5E7E3087">
      <w:pPr>
        <w:pStyle w:val="ListParagraph"/>
        <w:rPr>
          <w:rFonts w:ascii="Times New Roman" w:eastAsia="Times New Roman" w:hAnsi="Times New Roman"/>
          <w:sz w:val="24"/>
        </w:rPr>
      </w:pPr>
      <w:r w:rsidRPr="006F68E9">
        <w:rPr>
          <w:rFonts w:ascii="Times New Roman" w:eastAsia="Times New Roman" w:hAnsi="Times New Roman"/>
          <w:sz w:val="24"/>
        </w:rPr>
        <w:t xml:space="preserve">The owner or operator shall collaborate with employees and their representatives to develop, implement, and evaluate a process for employees and their representatives to report, unaddressed RMP related hazards to the owner or operator and EPA including but not limited to those that could lead to a catastrophic release, unreported RMP reportable accidents, or any noncompliance with this rule. Those who report should have the option to remain anonymous or </w:t>
      </w:r>
      <w:r w:rsidRPr="006F68E9">
        <w:rPr>
          <w:rFonts w:ascii="Times New Roman" w:eastAsia="Times New Roman" w:hAnsi="Times New Roman"/>
          <w:sz w:val="24"/>
        </w:rPr>
        <w:t>not to with no consequences to them for either choice. Anonymous and identified reports should be treated with equal seriousness</w:t>
      </w:r>
      <w:r w:rsidR="00127924">
        <w:rPr>
          <w:rFonts w:ascii="Times New Roman" w:eastAsia="Times New Roman" w:hAnsi="Times New Roman"/>
          <w:sz w:val="24"/>
        </w:rPr>
        <w:t>.</w:t>
      </w:r>
      <w:r w:rsidRPr="006F68E9">
        <w:rPr>
          <w:rFonts w:ascii="Times New Roman" w:eastAsia="Times New Roman" w:hAnsi="Times New Roman"/>
          <w:sz w:val="24"/>
        </w:rPr>
        <w:t xml:space="preserve"> </w:t>
      </w:r>
    </w:p>
    <w:p w:rsidR="00C52FE2" w:rsidRPr="006F68E9" w:rsidP="00C52FE2" w14:paraId="1BCC56FC" w14:textId="77777777">
      <w:pPr>
        <w:pStyle w:val="ListParagraph"/>
        <w:rPr>
          <w:rFonts w:ascii="Times New Roman" w:eastAsia="Times New Roman" w:hAnsi="Times New Roman"/>
          <w:sz w:val="24"/>
        </w:rPr>
      </w:pPr>
      <w:r w:rsidRPr="006F68E9">
        <w:rPr>
          <w:rFonts w:ascii="Times New Roman" w:eastAsia="Times New Roman" w:hAnsi="Times New Roman"/>
          <w:sz w:val="24"/>
        </w:rPr>
        <w:t xml:space="preserve">In addition: </w:t>
      </w:r>
    </w:p>
    <w:p w:rsidR="00C52FE2" w:rsidRPr="006F68E9" w:rsidP="00C52FE2" w14:paraId="0931C9DB" w14:textId="77777777">
      <w:pPr>
        <w:pStyle w:val="ListParagraph"/>
        <w:numPr>
          <w:ilvl w:val="1"/>
          <w:numId w:val="2"/>
        </w:numPr>
        <w:rPr>
          <w:rFonts w:ascii="Times New Roman" w:eastAsia="Times New Roman" w:hAnsi="Times New Roman"/>
          <w:sz w:val="24"/>
        </w:rPr>
      </w:pPr>
      <w:r w:rsidRPr="006F68E9">
        <w:rPr>
          <w:rFonts w:ascii="Times New Roman" w:eastAsia="Times New Roman" w:hAnsi="Times New Roman"/>
          <w:sz w:val="24"/>
        </w:rPr>
        <w:t>The owner or operator shall:</w:t>
      </w:r>
    </w:p>
    <w:p w:rsidR="00C52FE2" w:rsidRPr="006F68E9" w:rsidP="00C52FE2" w14:paraId="561994E6" w14:textId="77777777">
      <w:pPr>
        <w:pStyle w:val="ListParagraph"/>
        <w:numPr>
          <w:ilvl w:val="1"/>
          <w:numId w:val="2"/>
        </w:numPr>
        <w:rPr>
          <w:rFonts w:ascii="Times New Roman" w:eastAsia="Times New Roman" w:hAnsi="Times New Roman"/>
          <w:sz w:val="24"/>
        </w:rPr>
      </w:pPr>
      <w:r w:rsidRPr="006F68E9">
        <w:rPr>
          <w:rFonts w:ascii="Times New Roman" w:eastAsia="Times New Roman" w:hAnsi="Times New Roman"/>
          <w:sz w:val="24"/>
        </w:rPr>
        <w:t>1) document and maintain reports of all RMP-related safety issues reported by workers and their representatives, including near-miss events;</w:t>
      </w:r>
    </w:p>
    <w:p w:rsidR="00C52FE2" w:rsidRPr="006F68E9" w:rsidP="00C52FE2" w14:paraId="2E721A31" w14:textId="77777777">
      <w:pPr>
        <w:pStyle w:val="ListParagraph"/>
        <w:numPr>
          <w:ilvl w:val="1"/>
          <w:numId w:val="2"/>
        </w:numPr>
        <w:rPr>
          <w:rFonts w:ascii="Times New Roman" w:eastAsia="Times New Roman" w:hAnsi="Times New Roman"/>
          <w:sz w:val="24"/>
        </w:rPr>
      </w:pPr>
      <w:r w:rsidRPr="006F68E9">
        <w:rPr>
          <w:rFonts w:ascii="Times New Roman" w:eastAsia="Times New Roman" w:hAnsi="Times New Roman"/>
          <w:sz w:val="24"/>
        </w:rPr>
        <w:t>2) respond in writing within seven days indicating their response to the submitted information to the worker(s) and employee representatives submitting the information and their representatives; and</w:t>
      </w:r>
    </w:p>
    <w:p w:rsidR="00C52FE2" w:rsidRPr="006F68E9" w:rsidP="00C52FE2" w14:paraId="6A638D16" w14:textId="77777777">
      <w:pPr>
        <w:pStyle w:val="ListParagraph"/>
        <w:numPr>
          <w:ilvl w:val="1"/>
          <w:numId w:val="2"/>
        </w:numPr>
        <w:rPr>
          <w:rFonts w:ascii="Times New Roman" w:hAnsi="Times New Roman"/>
          <w:sz w:val="24"/>
        </w:rPr>
      </w:pPr>
      <w:r w:rsidRPr="006F68E9">
        <w:rPr>
          <w:rFonts w:ascii="Times New Roman" w:eastAsia="Times New Roman" w:hAnsi="Times New Roman"/>
          <w:sz w:val="24"/>
        </w:rPr>
        <w:t>3) disclose all information developed under this rule to implementing agencies and third-party auditors, including during RMP inspections, safety audits, or incident investigations (0183).</w:t>
      </w:r>
    </w:p>
    <w:p w:rsidR="00C52FE2" w:rsidRPr="006F68E9" w:rsidP="00C52FE2" w14:paraId="0828632E" w14:textId="77777777">
      <w:pPr>
        <w:pStyle w:val="ListParagraph"/>
        <w:rPr>
          <w:rFonts w:ascii="Times New Roman" w:hAnsi="Times New Roman"/>
          <w:sz w:val="24"/>
        </w:rPr>
      </w:pPr>
      <w:r w:rsidRPr="006F68E9">
        <w:rPr>
          <w:rFonts w:ascii="Times New Roman" w:eastAsia="Times New Roman" w:hAnsi="Times New Roman"/>
          <w:sz w:val="24"/>
        </w:rPr>
        <w:t>The commenter recommended a response time of 7 days.</w:t>
      </w:r>
    </w:p>
    <w:p w:rsidR="00C52FE2" w:rsidRPr="006F68E9" w:rsidP="00C52FE2" w14:paraId="10719B8E" w14:textId="77777777">
      <w:pPr>
        <w:rPr>
          <w:rFonts w:ascii="Times New Roman" w:hAnsi="Times New Roman"/>
          <w:sz w:val="24"/>
        </w:rPr>
      </w:pPr>
      <w:r w:rsidRPr="006F68E9">
        <w:rPr>
          <w:rFonts w:ascii="Times New Roman" w:hAnsi="Times New Roman"/>
          <w:sz w:val="24"/>
        </w:rPr>
        <w:t>One commenter suggested that the reminder that OSHA enforces whistleblower protections is insufficient to prevent employer retaliation and urged EPA to adopt the following text in the Final Rule (0183):</w:t>
      </w:r>
    </w:p>
    <w:p w:rsidR="00C52FE2" w:rsidRPr="006F68E9" w:rsidP="00C52FE2" w14:paraId="716940C5" w14:textId="77777777">
      <w:pPr>
        <w:pStyle w:val="ListParagraph"/>
        <w:numPr>
          <w:ilvl w:val="0"/>
          <w:numId w:val="0"/>
        </w:numPr>
        <w:ind w:left="720"/>
        <w:rPr>
          <w:rFonts w:ascii="Times New Roman" w:hAnsi="Times New Roman"/>
          <w:sz w:val="24"/>
        </w:rPr>
      </w:pPr>
      <w:r w:rsidRPr="006F68E9">
        <w:rPr>
          <w:rFonts w:ascii="Times New Roman" w:eastAsia="Times New Roman" w:hAnsi="Times New Roman"/>
          <w:sz w:val="24"/>
        </w:rPr>
        <w:t>The owner or operator shall collaborate with employees and their representatives to develop, implement, and periodically update a written program to ensure that there is no discrimination against any employee or contractor or employee representative for exercising their rights under the Clean Air Act or this rule.</w:t>
      </w:r>
    </w:p>
    <w:p w:rsidR="00C52FE2" w:rsidRPr="006F68E9" w:rsidP="00C52FE2" w14:paraId="6DE6A985" w14:textId="77777777">
      <w:pPr>
        <w:rPr>
          <w:rFonts w:ascii="Times New Roman" w:hAnsi="Times New Roman"/>
          <w:sz w:val="24"/>
        </w:rPr>
      </w:pPr>
      <w:r w:rsidRPr="006F68E9">
        <w:rPr>
          <w:rFonts w:ascii="Times New Roman" w:hAnsi="Times New Roman"/>
          <w:sz w:val="24"/>
        </w:rPr>
        <w:t xml:space="preserve">Another commenter stated that it is unclear to whom anonymous reporting is directed, and suggested revising § 68.83(e) as follows (0193): </w:t>
      </w:r>
    </w:p>
    <w:p w:rsidR="00C52FE2" w:rsidP="00C52FE2" w14:paraId="45023925" w14:textId="77777777">
      <w:pPr>
        <w:pStyle w:val="ListParagraph"/>
        <w:numPr>
          <w:ilvl w:val="0"/>
          <w:numId w:val="0"/>
        </w:numPr>
        <w:ind w:left="720"/>
        <w:rPr>
          <w:rFonts w:ascii="Times New Roman" w:hAnsi="Times New Roman"/>
          <w:sz w:val="24"/>
        </w:rPr>
      </w:pPr>
      <w:r w:rsidRPr="6D3F9CC5">
        <w:rPr>
          <w:rFonts w:ascii="Times New Roman" w:hAnsi="Times New Roman"/>
          <w:sz w:val="24"/>
        </w:rPr>
        <w:t xml:space="preserve">(e) The owner or operator process to allow employees and their representatives to anonymously report </w:t>
      </w:r>
      <w:r w:rsidRPr="6D3F9CC5">
        <w:rPr>
          <w:rFonts w:ascii="Times New Roman" w:hAnsi="Times New Roman"/>
          <w:sz w:val="24"/>
          <w:u w:val="single"/>
        </w:rPr>
        <w:t>to the senior manager of the facility or their representative</w:t>
      </w:r>
      <w:r w:rsidRPr="6D3F9CC5">
        <w:rPr>
          <w:rFonts w:ascii="Times New Roman" w:hAnsi="Times New Roman"/>
          <w:sz w:val="24"/>
        </w:rPr>
        <w:t xml:space="preserve"> unaddressed hazards that could lead to a catastrophic release, unreported RMP reportable accidents, or any other noncompliance with this part.</w:t>
      </w:r>
      <w:r w:rsidRPr="6D3F9CC5">
        <w:rPr>
          <w:rFonts w:ascii="Times New Roman" w:hAnsi="Times New Roman"/>
          <w:sz w:val="24"/>
          <w:u w:val="single"/>
        </w:rPr>
        <w:t xml:space="preserve"> A record of anonymous reports shall be kept for three years.</w:t>
      </w:r>
      <w:r w:rsidRPr="6D3F9CC5">
        <w:rPr>
          <w:rFonts w:ascii="Times New Roman" w:hAnsi="Times New Roman"/>
          <w:sz w:val="24"/>
        </w:rPr>
        <w:t xml:space="preserve"> </w:t>
      </w:r>
    </w:p>
    <w:p w:rsidR="00C52FE2" w:rsidRPr="006157E1" w:rsidP="00C52FE2" w14:paraId="01571497" w14:textId="77777777">
      <w:pPr>
        <w:ind w:left="720"/>
        <w:rPr>
          <w:rFonts w:ascii="Times New Roman" w:hAnsi="Times New Roman"/>
          <w:sz w:val="24"/>
        </w:rPr>
      </w:pPr>
      <w:r w:rsidRPr="000D5DEB">
        <w:rPr>
          <w:rFonts w:ascii="Times New Roman" w:hAnsi="Times New Roman"/>
          <w:b/>
          <w:bCs/>
          <w:sz w:val="24"/>
        </w:rPr>
        <w:t xml:space="preserve">EPA Response: </w:t>
      </w:r>
      <w:r w:rsidRPr="006157E1">
        <w:rPr>
          <w:rFonts w:ascii="Times New Roman" w:hAnsi="Times New Roman"/>
          <w:sz w:val="24"/>
        </w:rPr>
        <w:t>After review of EPA’s preferred approach, options, and comments, the Agency maintains that workers can play an important role in promoting process safety through reporting noncompliance. EPA, however, does agree with some recommendations offered in the comments to enhance the clarity of the provision. Therefore, EPA is finalizing the proposed provision with the following modifications as previously discussed:</w:t>
      </w:r>
    </w:p>
    <w:p w:rsidR="00C52FE2" w:rsidRPr="006157E1" w:rsidP="009B52B7" w14:paraId="04BD97A9" w14:textId="77777777">
      <w:pPr>
        <w:pStyle w:val="ListParagraph"/>
        <w:numPr>
          <w:ilvl w:val="0"/>
          <w:numId w:val="21"/>
        </w:numPr>
        <w:tabs>
          <w:tab w:val="left" w:pos="1440"/>
          <w:tab w:val="left" w:pos="1627"/>
          <w:tab w:val="left" w:pos="2160"/>
          <w:tab w:val="left" w:pos="2880"/>
        </w:tabs>
        <w:ind w:left="1440"/>
        <w:rPr>
          <w:rFonts w:ascii="Times New Roman" w:hAnsi="Times New Roman"/>
          <w:sz w:val="24"/>
        </w:rPr>
      </w:pPr>
      <w:r w:rsidRPr="006157E1">
        <w:rPr>
          <w:rFonts w:ascii="Times New Roman" w:hAnsi="Times New Roman"/>
          <w:sz w:val="24"/>
        </w:rPr>
        <w:t>Revising 40 CFR 68.62(b) and 68.83(e) to specify the report methods to either or both the owner and operator and EPA.</w:t>
      </w:r>
    </w:p>
    <w:p w:rsidR="00C52FE2" w:rsidRPr="006157E1" w:rsidP="009B52B7" w14:paraId="786FE7B6" w14:textId="77777777">
      <w:pPr>
        <w:pStyle w:val="ListParagraph"/>
        <w:numPr>
          <w:ilvl w:val="0"/>
          <w:numId w:val="21"/>
        </w:numPr>
        <w:tabs>
          <w:tab w:val="left" w:pos="1440"/>
          <w:tab w:val="left" w:pos="1627"/>
          <w:tab w:val="left" w:pos="2160"/>
          <w:tab w:val="left" w:pos="2880"/>
        </w:tabs>
        <w:ind w:left="1440"/>
        <w:rPr>
          <w:rFonts w:ascii="Times New Roman" w:hAnsi="Times New Roman"/>
          <w:sz w:val="24"/>
        </w:rPr>
      </w:pPr>
      <w:r w:rsidRPr="006157E1">
        <w:rPr>
          <w:rFonts w:ascii="Times New Roman" w:hAnsi="Times New Roman"/>
          <w:sz w:val="24"/>
        </w:rPr>
        <w:t>Revising 40 CFR 68.62(b) and 68.83(e) to let anonymity be decided by the reporter.</w:t>
      </w:r>
    </w:p>
    <w:p w:rsidR="00C52FE2" w:rsidRPr="006157E1" w:rsidP="009B52B7" w14:paraId="78193B17" w14:textId="77777777">
      <w:pPr>
        <w:pStyle w:val="ListParagraph"/>
        <w:numPr>
          <w:ilvl w:val="0"/>
          <w:numId w:val="21"/>
        </w:numPr>
        <w:tabs>
          <w:tab w:val="left" w:pos="1440"/>
          <w:tab w:val="left" w:pos="1627"/>
          <w:tab w:val="left" w:pos="2160"/>
          <w:tab w:val="left" w:pos="2880"/>
        </w:tabs>
        <w:ind w:left="1440"/>
        <w:rPr>
          <w:rFonts w:ascii="Times New Roman" w:hAnsi="Times New Roman"/>
          <w:sz w:val="24"/>
        </w:rPr>
      </w:pPr>
      <w:r w:rsidRPr="006157E1">
        <w:rPr>
          <w:rFonts w:ascii="Times New Roman" w:hAnsi="Times New Roman"/>
          <w:sz w:val="24"/>
        </w:rPr>
        <w:t xml:space="preserve">Adding a provision to 40 CFR 68.62(b) and 68.83(e) to require the owner or operator to keep a written record of the report of noncompliance. </w:t>
      </w:r>
    </w:p>
    <w:p w:rsidR="00C52FE2" w:rsidRPr="006157E1" w:rsidP="009B52B7" w14:paraId="7AFCD99D" w14:textId="77777777">
      <w:pPr>
        <w:pStyle w:val="ListParagraph"/>
        <w:numPr>
          <w:ilvl w:val="0"/>
          <w:numId w:val="21"/>
        </w:numPr>
        <w:tabs>
          <w:tab w:val="left" w:pos="1440"/>
          <w:tab w:val="left" w:pos="1627"/>
          <w:tab w:val="left" w:pos="2160"/>
          <w:tab w:val="left" w:pos="2880"/>
        </w:tabs>
        <w:ind w:left="1440"/>
        <w:rPr>
          <w:rFonts w:ascii="Times New Roman" w:hAnsi="Times New Roman"/>
          <w:sz w:val="24"/>
        </w:rPr>
      </w:pPr>
      <w:r w:rsidRPr="006157E1">
        <w:rPr>
          <w:rFonts w:ascii="Times New Roman" w:hAnsi="Times New Roman"/>
          <w:sz w:val="24"/>
        </w:rPr>
        <w:t xml:space="preserve">Adding a provision to 40 CFR 68.62(a)(1) and 68.83(a)(1) for the owner or operator to provide an annual written or electronic notice to employees indicating RMP information is available.  </w:t>
      </w:r>
    </w:p>
    <w:p w:rsidR="008203FB" w:rsidP="009B52B7" w14:paraId="187B0A18" w14:textId="0A6B7FB3">
      <w:pPr>
        <w:pStyle w:val="ListParagraph"/>
        <w:numPr>
          <w:ilvl w:val="0"/>
          <w:numId w:val="21"/>
        </w:numPr>
        <w:tabs>
          <w:tab w:val="left" w:pos="1440"/>
          <w:tab w:val="left" w:pos="1627"/>
          <w:tab w:val="left" w:pos="2160"/>
          <w:tab w:val="left" w:pos="2880"/>
        </w:tabs>
        <w:ind w:left="1440"/>
        <w:rPr>
          <w:rFonts w:ascii="Times New Roman" w:hAnsi="Times New Roman"/>
          <w:sz w:val="24"/>
        </w:rPr>
      </w:pPr>
      <w:r w:rsidRPr="006157E1">
        <w:rPr>
          <w:rFonts w:ascii="Times New Roman" w:hAnsi="Times New Roman"/>
          <w:sz w:val="24"/>
        </w:rPr>
        <w:t xml:space="preserve">Adding a provision to 40 CFR 68.62(a)(2) and 68.83(a)(2) for training on the written employee participation plan. </w:t>
      </w:r>
    </w:p>
    <w:p w:rsidR="008203FB" w:rsidRPr="008203FB" w:rsidP="009B52B7" w14:paraId="6D9C0F94" w14:textId="63B0897D">
      <w:pPr>
        <w:tabs>
          <w:tab w:val="left" w:pos="1440"/>
          <w:tab w:val="left" w:pos="1627"/>
          <w:tab w:val="left" w:pos="2160"/>
          <w:tab w:val="left" w:pos="2880"/>
        </w:tabs>
        <w:ind w:left="720"/>
        <w:rPr>
          <w:rFonts w:ascii="Times New Roman" w:hAnsi="Times New Roman"/>
          <w:sz w:val="24"/>
        </w:rPr>
      </w:pPr>
      <w:r w:rsidRPr="008203FB">
        <w:rPr>
          <w:rFonts w:ascii="Times New Roman" w:hAnsi="Times New Roman"/>
          <w:sz w:val="24"/>
        </w:rPr>
        <w:t xml:space="preserve">The Agency notes that this final rule does not establish whistleblower protections. </w:t>
      </w:r>
      <w:r w:rsidRPr="00F14207" w:rsidR="00F14207">
        <w:rPr>
          <w:rFonts w:ascii="Times New Roman" w:hAnsi="Times New Roman"/>
          <w:sz w:val="24"/>
        </w:rPr>
        <w:t xml:space="preserve">The existing whistleblower protection provisions of the CAA and other applicable laws should be sufficient to protect employees from discharge or discrimination resulting from their involvement in an incident investigation. </w:t>
      </w:r>
      <w:r w:rsidRPr="008203FB">
        <w:rPr>
          <w:rFonts w:ascii="Times New Roman" w:hAnsi="Times New Roman"/>
          <w:sz w:val="24"/>
        </w:rPr>
        <w:t xml:space="preserve">Further information about those rights can be found at </w:t>
      </w:r>
      <w:hyperlink r:id="rId13" w:history="1">
        <w:r w:rsidRPr="00873322" w:rsidR="00F14207">
          <w:rPr>
            <w:rStyle w:val="Hyperlink"/>
            <w:rFonts w:ascii="Times New Roman" w:hAnsi="Times New Roman"/>
            <w:sz w:val="24"/>
          </w:rPr>
          <w:t>https://www.whistleblowers.gov</w:t>
        </w:r>
      </w:hyperlink>
      <w:r w:rsidRPr="008203FB">
        <w:rPr>
          <w:rFonts w:ascii="Times New Roman" w:hAnsi="Times New Roman"/>
          <w:sz w:val="24"/>
        </w:rPr>
        <w:t>. These employee participation provisions for reporting non-compliance simply establish a minimum standard for conduct for employees to discuss safety concerns internally to promote process safety to protect the employee’s own welfare, which in turn help keep communities safe as well.</w:t>
      </w:r>
    </w:p>
    <w:p w:rsidR="00C52FE2" w:rsidP="00C52FE2" w14:paraId="047440B1" w14:textId="77777777">
      <w:pPr>
        <w:rPr>
          <w:rFonts w:ascii="Times New Roman" w:hAnsi="Times New Roman"/>
          <w:i/>
          <w:iCs/>
          <w:sz w:val="24"/>
        </w:rPr>
      </w:pPr>
      <w:r>
        <w:rPr>
          <w:rFonts w:ascii="Times New Roman" w:hAnsi="Times New Roman"/>
          <w:i/>
          <w:iCs/>
          <w:sz w:val="24"/>
        </w:rPr>
        <w:t>Support for training and information access requirements</w:t>
      </w:r>
    </w:p>
    <w:p w:rsidR="00C52FE2" w:rsidP="00C52FE2" w14:paraId="7AE26FA8" w14:textId="77777777">
      <w:pPr>
        <w:rPr>
          <w:rFonts w:ascii="Times New Roman" w:hAnsi="Times New Roman"/>
          <w:sz w:val="24"/>
        </w:rPr>
      </w:pPr>
      <w:r>
        <w:rPr>
          <w:rFonts w:ascii="Times New Roman" w:eastAsia="Times New Roman" w:hAnsi="Times New Roman"/>
          <w:b/>
          <w:bCs/>
          <w:sz w:val="24"/>
        </w:rPr>
        <w:t xml:space="preserve">Comment 10-09: </w:t>
      </w:r>
      <w:r w:rsidRPr="006F68E9">
        <w:rPr>
          <w:rFonts w:ascii="Times New Roman" w:eastAsia="Times New Roman" w:hAnsi="Times New Roman"/>
          <w:sz w:val="24"/>
        </w:rPr>
        <w:t>Several commenters asserted the importance of training employees on RMP rule provisions and</w:t>
      </w:r>
      <w:r w:rsidRPr="006F68E9">
        <w:rPr>
          <w:rFonts w:ascii="Times New Roman" w:hAnsi="Times New Roman"/>
          <w:sz w:val="24"/>
        </w:rPr>
        <w:t xml:space="preserve"> suggested that the </w:t>
      </w:r>
      <w:r w:rsidRPr="6BAEF86B">
        <w:rPr>
          <w:rFonts w:ascii="Times New Roman" w:hAnsi="Times New Roman"/>
          <w:sz w:val="24"/>
        </w:rPr>
        <w:t>final r</w:t>
      </w:r>
      <w:r w:rsidRPr="006F68E9">
        <w:rPr>
          <w:rFonts w:ascii="Times New Roman" w:hAnsi="Times New Roman"/>
          <w:sz w:val="24"/>
        </w:rPr>
        <w:t xml:space="preserve">ule should strengthen employee training provisions (0183, 0252, 0269, 0409, 0460, 0456). </w:t>
      </w:r>
      <w:r w:rsidRPr="6D3F9CC5">
        <w:rPr>
          <w:rFonts w:ascii="Times New Roman" w:hAnsi="Times New Roman"/>
          <w:sz w:val="24"/>
        </w:rPr>
        <w:t xml:space="preserve">Another commenter stated </w:t>
      </w:r>
      <w:r>
        <w:rPr>
          <w:rFonts w:ascii="Times New Roman" w:hAnsi="Times New Roman"/>
          <w:sz w:val="24"/>
        </w:rPr>
        <w:t xml:space="preserve">that owners and operators </w:t>
      </w:r>
      <w:r w:rsidRPr="6D3F9CC5">
        <w:rPr>
          <w:rFonts w:ascii="Times New Roman" w:hAnsi="Times New Roman"/>
          <w:sz w:val="24"/>
        </w:rPr>
        <w:t>should be required to provide annual training, at minimum, to facility employees (0241).</w:t>
      </w:r>
      <w:r w:rsidRPr="00F9772C">
        <w:rPr>
          <w:rFonts w:ascii="Times New Roman" w:hAnsi="Times New Roman"/>
          <w:sz w:val="24"/>
        </w:rPr>
        <w:t xml:space="preserve"> </w:t>
      </w:r>
    </w:p>
    <w:p w:rsidR="00C52FE2" w:rsidP="00C52FE2" w14:paraId="5BE28A6C" w14:textId="77777777">
      <w:pPr>
        <w:rPr>
          <w:rFonts w:ascii="Times New Roman" w:hAnsi="Times New Roman"/>
          <w:sz w:val="24"/>
        </w:rPr>
      </w:pPr>
      <w:r>
        <w:rPr>
          <w:rFonts w:ascii="Times New Roman" w:hAnsi="Times New Roman"/>
          <w:sz w:val="24"/>
        </w:rPr>
        <w:t>Several commenters supported providing employees with access and information about facility’s RMP (0178, 0444, 0160, 0241). One</w:t>
      </w:r>
      <w:r w:rsidRPr="006F68E9">
        <w:rPr>
          <w:rFonts w:ascii="Times New Roman" w:hAnsi="Times New Roman"/>
          <w:sz w:val="24"/>
        </w:rPr>
        <w:t xml:space="preserve"> commenter </w:t>
      </w:r>
      <w:r>
        <w:rPr>
          <w:rFonts w:ascii="Times New Roman" w:hAnsi="Times New Roman"/>
          <w:sz w:val="24"/>
        </w:rPr>
        <w:t>supported</w:t>
      </w:r>
      <w:r w:rsidRPr="006F68E9">
        <w:rPr>
          <w:rFonts w:ascii="Times New Roman" w:hAnsi="Times New Roman"/>
          <w:sz w:val="24"/>
        </w:rPr>
        <w:t xml:space="preserve"> </w:t>
      </w:r>
      <w:r>
        <w:rPr>
          <w:rFonts w:ascii="Times New Roman" w:hAnsi="Times New Roman"/>
          <w:sz w:val="24"/>
        </w:rPr>
        <w:t xml:space="preserve">requiring </w:t>
      </w:r>
      <w:r w:rsidRPr="006F68E9">
        <w:rPr>
          <w:rFonts w:ascii="Times New Roman" w:hAnsi="Times New Roman"/>
          <w:sz w:val="24"/>
        </w:rPr>
        <w:t>owners or operators to distribute the RMP to workers</w:t>
      </w:r>
      <w:r>
        <w:rPr>
          <w:rFonts w:ascii="Times New Roman" w:hAnsi="Times New Roman"/>
          <w:sz w:val="24"/>
        </w:rPr>
        <w:t xml:space="preserve"> (0178).</w:t>
      </w:r>
    </w:p>
    <w:p w:rsidR="00C52FE2" w:rsidRPr="002D7BA6" w:rsidP="00C52FE2" w14:paraId="2186A8FC" w14:textId="0E10B3ED">
      <w:pPr>
        <w:ind w:left="720"/>
        <w:rPr>
          <w:rFonts w:ascii="Times New Roman" w:hAnsi="Times New Roman"/>
          <w:sz w:val="24"/>
        </w:rPr>
      </w:pPr>
      <w:r w:rsidRPr="002D7BA6">
        <w:rPr>
          <w:rFonts w:ascii="Times New Roman" w:hAnsi="Times New Roman"/>
          <w:b/>
          <w:bCs/>
          <w:sz w:val="24"/>
        </w:rPr>
        <w:t>EPA Response:</w:t>
      </w:r>
      <w:r w:rsidRPr="002D7BA6">
        <w:rPr>
          <w:rFonts w:ascii="Times New Roman" w:hAnsi="Times New Roman"/>
          <w:sz w:val="24"/>
        </w:rPr>
        <w:t xml:space="preserve"> EPA is concerned that some sources may provide RMP-related information to their employees without providing details or explanations of the information. EPA </w:t>
      </w:r>
      <w:r w:rsidR="00907798">
        <w:rPr>
          <w:rFonts w:ascii="Times New Roman" w:hAnsi="Times New Roman"/>
          <w:sz w:val="24"/>
        </w:rPr>
        <w:t>therefore</w:t>
      </w:r>
      <w:r w:rsidRPr="002D7BA6">
        <w:rPr>
          <w:rFonts w:ascii="Times New Roman" w:hAnsi="Times New Roman"/>
          <w:sz w:val="24"/>
        </w:rPr>
        <w:t xml:space="preserve"> agrees with comments stating that workers without required information and training may be unaware of their opportunities and authorities to participate in hazard prevention, and that the lack of worker understanding will inevitably lead to less participation. Therefore, to ensure that employees are regularly reminded that RMP information is available to them, owners and operators of all Program 2 and Program 3 processes will be required to provide an annual written or electronic notice to employees indicating that RMP information is available.</w:t>
      </w:r>
    </w:p>
    <w:p w:rsidR="00C52FE2" w:rsidRPr="00AB6811" w:rsidP="00C52FE2" w14:paraId="460DA23D" w14:textId="42263E5F">
      <w:pPr>
        <w:ind w:left="720"/>
        <w:rPr>
          <w:rFonts w:ascii="Times New Roman" w:hAnsi="Times New Roman"/>
          <w:sz w:val="24"/>
        </w:rPr>
      </w:pPr>
      <w:r w:rsidRPr="002D7BA6">
        <w:rPr>
          <w:rFonts w:ascii="Times New Roman" w:hAnsi="Times New Roman"/>
          <w:sz w:val="24"/>
        </w:rPr>
        <w:t>The Agency also believes that management, employees, and their representatives involved in the process could benefit from training on employee participation plans to ensure these facility stakeholders are aware of the information included in the plans or otherwise available. A more thorough understanding through the training may help reduce unvalidated non-compliance reports, some of which commenters indicated could become a concern associated with this noncompliance reporting provision. Ultimately</w:t>
      </w:r>
      <w:r w:rsidR="00907798">
        <w:rPr>
          <w:rFonts w:ascii="Times New Roman" w:hAnsi="Times New Roman"/>
          <w:sz w:val="24"/>
        </w:rPr>
        <w:t>,</w:t>
      </w:r>
      <w:r w:rsidRPr="002D7BA6">
        <w:rPr>
          <w:rFonts w:ascii="Times New Roman" w:hAnsi="Times New Roman"/>
          <w:sz w:val="24"/>
        </w:rPr>
        <w:t xml:space="preserve"> EPA expects training on employee participation plans will help employees identify, and owners and operators correct, issues that may prevent and mitigate accidents.  </w:t>
      </w:r>
    </w:p>
    <w:p w:rsidR="00127924" w:rsidRPr="00AB6811" w:rsidP="00127924" w14:paraId="3E27BE3A" w14:textId="77777777">
      <w:pPr>
        <w:rPr>
          <w:rFonts w:ascii="Times New Roman" w:hAnsi="Times New Roman"/>
          <w:sz w:val="24"/>
        </w:rPr>
      </w:pPr>
    </w:p>
    <w:p w:rsidR="00C52FE2" w:rsidP="00127924" w14:paraId="1415DE12" w14:textId="77777777">
      <w:pPr>
        <w:pStyle w:val="Heading1"/>
        <w:spacing w:before="120"/>
      </w:pPr>
      <w:bookmarkStart w:id="127" w:name="_Toc146880026"/>
      <w:bookmarkStart w:id="128" w:name="_Toc153373815"/>
      <w:r w:rsidRPr="006F68E9">
        <w:t>Proposed Modifications and Amplifications to Emergency Response Requirements</w:t>
      </w:r>
      <w:bookmarkEnd w:id="127"/>
      <w:bookmarkEnd w:id="128"/>
    </w:p>
    <w:p w:rsidR="00C52FE2" w:rsidP="00127924" w14:paraId="25F51F33" w14:textId="77777777">
      <w:pPr>
        <w:pStyle w:val="Heading2"/>
        <w:tabs>
          <w:tab w:val="clear" w:pos="8684"/>
        </w:tabs>
        <w:spacing w:before="120"/>
        <w:rPr>
          <w:rFonts w:ascii="Times New Roman" w:hAnsi="Times New Roman" w:cs="Times New Roman"/>
          <w:b/>
          <w:bCs/>
          <w:color w:val="auto"/>
          <w:sz w:val="24"/>
          <w:szCs w:val="24"/>
        </w:rPr>
      </w:pPr>
      <w:bookmarkStart w:id="129" w:name="_Toc146880027"/>
      <w:bookmarkStart w:id="130" w:name="_Toc153373816"/>
      <w:r w:rsidRPr="006F68E9">
        <w:rPr>
          <w:rFonts w:ascii="Times New Roman" w:hAnsi="Times New Roman" w:cs="Times New Roman"/>
          <w:b/>
          <w:bCs/>
          <w:color w:val="auto"/>
          <w:sz w:val="24"/>
          <w:szCs w:val="24"/>
        </w:rPr>
        <w:t xml:space="preserve">Proposed </w:t>
      </w:r>
      <w:bookmarkEnd w:id="129"/>
      <w:r>
        <w:rPr>
          <w:rFonts w:ascii="Times New Roman" w:hAnsi="Times New Roman" w:cs="Times New Roman"/>
          <w:b/>
          <w:bCs/>
          <w:color w:val="auto"/>
          <w:sz w:val="24"/>
          <w:szCs w:val="24"/>
        </w:rPr>
        <w:t>a</w:t>
      </w:r>
      <w:r w:rsidRPr="006F68E9">
        <w:rPr>
          <w:rFonts w:ascii="Times New Roman" w:hAnsi="Times New Roman" w:cs="Times New Roman"/>
          <w:b/>
          <w:bCs/>
          <w:color w:val="auto"/>
          <w:sz w:val="24"/>
          <w:szCs w:val="24"/>
        </w:rPr>
        <w:t>pproach</w:t>
      </w:r>
      <w:bookmarkEnd w:id="130"/>
    </w:p>
    <w:p w:rsidR="00C52FE2" w:rsidRPr="002A4547" w:rsidP="00C52FE2" w14:paraId="47BAA604" w14:textId="77777777">
      <w:pPr>
        <w:rPr>
          <w:rFonts w:ascii="Times New Roman" w:hAnsi="Times New Roman"/>
          <w:i/>
          <w:iCs/>
          <w:sz w:val="24"/>
        </w:rPr>
      </w:pPr>
      <w:r w:rsidRPr="002A4547">
        <w:rPr>
          <w:rFonts w:ascii="Times New Roman" w:hAnsi="Times New Roman"/>
          <w:i/>
          <w:iCs/>
          <w:sz w:val="24"/>
        </w:rPr>
        <w:t>Comments related to proposed community notification of RMP accident requirements are reflected in Section 11.2 below, and comments related to community emergency response plan amplifications are reflected in Section 11.4 below.</w:t>
      </w:r>
    </w:p>
    <w:p w:rsidR="00C52FE2" w:rsidP="00C52FE2" w14:paraId="5E7FD406" w14:textId="1FA8A271">
      <w:pPr>
        <w:rPr>
          <w:rFonts w:ascii="Times New Roman" w:hAnsi="Times New Roman"/>
          <w:i/>
          <w:sz w:val="24"/>
        </w:rPr>
      </w:pPr>
      <w:r>
        <w:rPr>
          <w:rFonts w:ascii="Times New Roman" w:hAnsi="Times New Roman"/>
          <w:i/>
          <w:sz w:val="24"/>
        </w:rPr>
        <w:t>General comments on emergency response not related to EPA’s proposal</w:t>
      </w:r>
    </w:p>
    <w:p w:rsidR="00C52FE2" w:rsidP="00C52FE2" w14:paraId="68F5CB96" w14:textId="77777777">
      <w:pPr>
        <w:rPr>
          <w:rFonts w:ascii="Times New Roman" w:hAnsi="Times New Roman"/>
          <w:iCs/>
          <w:sz w:val="24"/>
        </w:rPr>
      </w:pPr>
      <w:r>
        <w:rPr>
          <w:rFonts w:ascii="Times New Roman" w:hAnsi="Times New Roman"/>
          <w:b/>
          <w:bCs/>
          <w:iCs/>
          <w:sz w:val="24"/>
        </w:rPr>
        <w:t>Comment 11.1-01:</w:t>
      </w:r>
      <w:r>
        <w:rPr>
          <w:rFonts w:ascii="Times New Roman" w:hAnsi="Times New Roman"/>
          <w:iCs/>
          <w:sz w:val="24"/>
        </w:rPr>
        <w:t xml:space="preserve"> Several commenters provided suggestions to EPA related to emergency response without referencing EPA’s proposed rule. </w:t>
      </w:r>
    </w:p>
    <w:p w:rsidR="00C52FE2" w:rsidP="00C52FE2" w14:paraId="3890186D"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 urged EPA to communicate directly and provide information and training to local health departments, health care providers and facilities, and hospital systems, particularly around RMP facilities, to ensure front-line responders can protect themselves and prevent further exposure to the surrounding communities, and to strengthen disaster readiness and enhance national health security (0209).</w:t>
      </w:r>
    </w:p>
    <w:p w:rsidR="00C52FE2" w:rsidP="00C52FE2" w14:paraId="0B05ECC3"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stated facilities should be required to be involved in community response planning and reiterated the need for an element of accountability through enforcement for non-compliant facilities (0403). Another commenter </w:t>
      </w:r>
      <w:r>
        <w:rPr>
          <w:rFonts w:ascii="Times New Roman" w:hAnsi="Times New Roman"/>
          <w:sz w:val="24"/>
        </w:rPr>
        <w:t>stated</w:t>
      </w:r>
      <w:r w:rsidRPr="006F68E9">
        <w:rPr>
          <w:rFonts w:ascii="Times New Roman" w:hAnsi="Times New Roman"/>
          <w:sz w:val="24"/>
        </w:rPr>
        <w:t xml:space="preserve"> the emergency response procedures should be developed with community input to assist facilities in learning what public engagement measures are most accessible and timely, as facilities have historically not accounted for accessibility and timing needs of nearby communities (0444). Another commenter emphasized the importance of public engagement to ensure the community’s needs for notification are met (0444). </w:t>
      </w:r>
    </w:p>
    <w:p w:rsidR="00C52FE2" w:rsidRPr="006F68E9" w:rsidP="00C52FE2" w14:paraId="7D589C2C" w14:textId="77777777">
      <w:pPr>
        <w:rPr>
          <w:rFonts w:ascii="Times New Roman" w:hAnsi="Times New Roman"/>
          <w:sz w:val="24"/>
        </w:rPr>
      </w:pPr>
      <w:r w:rsidRPr="006F68E9">
        <w:rPr>
          <w:rFonts w:ascii="Times New Roman" w:hAnsi="Times New Roman"/>
          <w:sz w:val="24"/>
        </w:rPr>
        <w:t>One commenter shared that one of the things they see over and over again when dealing with emergency responses is the lack of evacuation orders. The commenter highlighted that every time they have responded and tried to help local communities, they notice that the evacuation orders come late and are not comprehensive enough. The commenter believes that local governments are not providing enough protections during and after the disaster to protect public health (0157).</w:t>
      </w:r>
    </w:p>
    <w:p w:rsidR="00C52FE2" w:rsidP="00C52FE2" w14:paraId="4B6C520C" w14:textId="77777777">
      <w:pPr>
        <w:rPr>
          <w:rFonts w:ascii="Times New Roman" w:hAnsi="Times New Roman"/>
          <w:sz w:val="24"/>
        </w:rPr>
      </w:pPr>
      <w:r w:rsidRPr="006F68E9">
        <w:rPr>
          <w:rFonts w:ascii="Times New Roman" w:hAnsi="Times New Roman"/>
          <w:sz w:val="24"/>
        </w:rPr>
        <w:t>A couple commenters shared examples of the impact the delayed emergency responses had on them. One commenter shared how the Environmental Protection Division</w:t>
      </w:r>
      <w:r>
        <w:rPr>
          <w:rFonts w:ascii="Times New Roman" w:hAnsi="Times New Roman"/>
          <w:sz w:val="24"/>
        </w:rPr>
        <w:t xml:space="preserve"> of the Georgia Department of Natural Resources</w:t>
      </w:r>
      <w:r w:rsidRPr="006F68E9">
        <w:rPr>
          <w:rFonts w:ascii="Times New Roman" w:hAnsi="Times New Roman"/>
          <w:sz w:val="24"/>
        </w:rPr>
        <w:t xml:space="preserve"> has failed to respond to the release of toxic chemicals from the Georgia Pacific Cellulose pulp mill. One commenter stated that they have requested updated emergency plans that include catastrophe event drills for new community members, but have not received a response from the local government authorities. One commenter highlighted the poor emergency response after the Chemtool disaster (0157).</w:t>
      </w:r>
    </w:p>
    <w:p w:rsidR="00C52FE2" w:rsidP="00C52FE2" w14:paraId="15947F30" w14:textId="77777777">
      <w:pPr>
        <w:rPr>
          <w:rFonts w:ascii="Times New Roman" w:hAnsi="Times New Roman"/>
          <w:sz w:val="24"/>
        </w:rPr>
      </w:pPr>
      <w:r w:rsidRPr="006F68E9">
        <w:rPr>
          <w:rFonts w:ascii="Times New Roman" w:hAnsi="Times New Roman"/>
          <w:sz w:val="24"/>
        </w:rPr>
        <w:t xml:space="preserve">One commenter stated RMP facilities should be required to evaluate and fix aging </w:t>
      </w:r>
      <w:r>
        <w:rPr>
          <w:rFonts w:ascii="Times New Roman" w:hAnsi="Times New Roman"/>
          <w:sz w:val="24"/>
        </w:rPr>
        <w:t>i</w:t>
      </w:r>
      <w:r w:rsidRPr="006F68E9">
        <w:rPr>
          <w:rFonts w:ascii="Times New Roman" w:hAnsi="Times New Roman"/>
          <w:sz w:val="24"/>
        </w:rPr>
        <w:t>nfrastructure to ensure an effective incident management and emergency response</w:t>
      </w:r>
      <w:r>
        <w:rPr>
          <w:rFonts w:ascii="Times New Roman" w:hAnsi="Times New Roman"/>
          <w:sz w:val="24"/>
        </w:rPr>
        <w:t xml:space="preserve"> (0456)</w:t>
      </w:r>
      <w:r w:rsidRPr="006F68E9">
        <w:rPr>
          <w:rFonts w:ascii="Times New Roman" w:hAnsi="Times New Roman"/>
          <w:sz w:val="24"/>
        </w:rPr>
        <w:t xml:space="preserve">. </w:t>
      </w:r>
    </w:p>
    <w:p w:rsidR="00C52FE2" w:rsidP="00C52FE2" w14:paraId="7CE00C55" w14:textId="77777777">
      <w:pPr>
        <w:rPr>
          <w:rFonts w:ascii="Times New Roman" w:hAnsi="Times New Roman"/>
          <w:sz w:val="24"/>
        </w:rPr>
      </w:pPr>
      <w:r>
        <w:rPr>
          <w:rFonts w:ascii="Times New Roman" w:hAnsi="Times New Roman"/>
          <w:sz w:val="24"/>
        </w:rPr>
        <w:t>O</w:t>
      </w:r>
      <w:r w:rsidRPr="00072A40">
        <w:rPr>
          <w:rFonts w:ascii="Times New Roman" w:hAnsi="Times New Roman"/>
          <w:sz w:val="24"/>
        </w:rPr>
        <w:t>ne commenter suggested that an owner or operator should be required to conduct an exercise of the stationary source’s emergency response notification mechanisms (0148).</w:t>
      </w:r>
    </w:p>
    <w:p w:rsidR="00C52FE2" w:rsidP="00C52FE2" w14:paraId="3A46060D" w14:textId="77777777">
      <w:pPr>
        <w:rPr>
          <w:rFonts w:ascii="Times New Roman" w:hAnsi="Times New Roman"/>
          <w:sz w:val="24"/>
        </w:rPr>
      </w:pPr>
      <w:r w:rsidRPr="6D3F9CC5">
        <w:rPr>
          <w:rFonts w:ascii="Times New Roman" w:hAnsi="Times New Roman"/>
          <w:sz w:val="24"/>
        </w:rPr>
        <w:t xml:space="preserve">One commenter stated the </w:t>
      </w:r>
      <w:r>
        <w:rPr>
          <w:rFonts w:ascii="Times New Roman" w:hAnsi="Times New Roman"/>
          <w:sz w:val="24"/>
        </w:rPr>
        <w:t>p</w:t>
      </w:r>
      <w:r w:rsidRPr="6D3F9CC5">
        <w:rPr>
          <w:rFonts w:ascii="Times New Roman" w:hAnsi="Times New Roman"/>
          <w:sz w:val="24"/>
        </w:rPr>
        <w:t xml:space="preserve">roposed </w:t>
      </w:r>
      <w:r>
        <w:rPr>
          <w:rFonts w:ascii="Times New Roman" w:hAnsi="Times New Roman"/>
          <w:sz w:val="24"/>
        </w:rPr>
        <w:t>r</w:t>
      </w:r>
      <w:r w:rsidRPr="6D3F9CC5">
        <w:rPr>
          <w:rFonts w:ascii="Times New Roman" w:hAnsi="Times New Roman"/>
          <w:sz w:val="24"/>
        </w:rPr>
        <w:t>ule fails address good emergency response practices to minimize onsite and offsite impacts to human health, safety, and the environment, and suggested including the Ammonia Safety and Training Institute One Plane emergency response best practices in EPA guidance to establish a bare minimum emergency response best practice (0137).</w:t>
      </w:r>
    </w:p>
    <w:p w:rsidR="00C52FE2" w:rsidP="00C52FE2" w14:paraId="2B62ED3A" w14:textId="77777777">
      <w:pPr>
        <w:rPr>
          <w:rFonts w:ascii="Times New Roman" w:hAnsi="Times New Roman"/>
          <w:sz w:val="24"/>
        </w:rPr>
      </w:pPr>
      <w:r>
        <w:rPr>
          <w:rFonts w:ascii="Times New Roman" w:hAnsi="Times New Roman"/>
          <w:sz w:val="24"/>
        </w:rPr>
        <w:t>Another</w:t>
      </w:r>
      <w:r w:rsidRPr="006F68E9">
        <w:rPr>
          <w:rFonts w:ascii="Times New Roman" w:hAnsi="Times New Roman"/>
          <w:sz w:val="24"/>
        </w:rPr>
        <w:t xml:space="preserve"> commenter </w:t>
      </w:r>
      <w:r>
        <w:rPr>
          <w:rFonts w:ascii="Times New Roman" w:hAnsi="Times New Roman"/>
          <w:sz w:val="24"/>
        </w:rPr>
        <w:t>said</w:t>
      </w:r>
      <w:r w:rsidRPr="006F68E9">
        <w:rPr>
          <w:rFonts w:ascii="Times New Roman" w:hAnsi="Times New Roman"/>
          <w:sz w:val="24"/>
        </w:rPr>
        <w:t xml:space="preserve"> that while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does list key measures to enhance emergency response coordination (e.g., within the structure of the LEPCs at the community level), it fails to take the next step to address good emergency response best practices. The commenter suggested EPA work with the Ammonia Safety and Training Institute (ASTI), who, over the last 34 years, has worked with industry, emergency responders, and government regulatory agencies to set up good emergency response best practices (0158).</w:t>
      </w:r>
    </w:p>
    <w:p w:rsidR="0060293C" w:rsidRPr="0060293C" w:rsidP="00C52FE2" w14:paraId="0486DA0C" w14:textId="35BBD62F">
      <w:pPr>
        <w:rPr>
          <w:rFonts w:ascii="Times New Roman" w:eastAsia="Times New Roman" w:hAnsi="Times New Roman"/>
          <w:sz w:val="24"/>
        </w:rPr>
      </w:pPr>
      <w:r w:rsidRPr="006F68E9">
        <w:rPr>
          <w:rFonts w:ascii="Times New Roman" w:eastAsia="Times New Roman" w:hAnsi="Times New Roman"/>
          <w:sz w:val="24"/>
        </w:rPr>
        <w:t xml:space="preserve">Another commenter </w:t>
      </w:r>
      <w:r>
        <w:rPr>
          <w:rFonts w:ascii="Times New Roman" w:eastAsia="Times New Roman" w:hAnsi="Times New Roman"/>
          <w:sz w:val="24"/>
        </w:rPr>
        <w:t xml:space="preserve">stated </w:t>
      </w:r>
      <w:r w:rsidRPr="006F68E9">
        <w:rPr>
          <w:rFonts w:ascii="Times New Roman" w:eastAsia="Times New Roman" w:hAnsi="Times New Roman"/>
          <w:sz w:val="24"/>
        </w:rPr>
        <w:t>that the language for EPA</w:t>
      </w:r>
      <w:r>
        <w:rPr>
          <w:rFonts w:ascii="Times New Roman" w:eastAsia="Times New Roman" w:hAnsi="Times New Roman"/>
          <w:sz w:val="24"/>
        </w:rPr>
        <w:t>’</w:t>
      </w:r>
      <w:r w:rsidRPr="006F68E9">
        <w:rPr>
          <w:rFonts w:ascii="Times New Roman" w:eastAsia="Times New Roman" w:hAnsi="Times New Roman"/>
          <w:sz w:val="24"/>
        </w:rPr>
        <w:t xml:space="preserve">s RMP </w:t>
      </w:r>
      <w:r>
        <w:rPr>
          <w:rFonts w:ascii="Times New Roman" w:eastAsia="Times New Roman" w:hAnsi="Times New Roman"/>
          <w:sz w:val="24"/>
        </w:rPr>
        <w:t>p</w:t>
      </w:r>
      <w:r w:rsidRPr="006F68E9">
        <w:rPr>
          <w:rFonts w:ascii="Times New Roman" w:eastAsia="Times New Roman" w:hAnsi="Times New Roman"/>
          <w:sz w:val="24"/>
        </w:rPr>
        <w:t>rogram versus AWIA conflicts on the type of plans required for water facilities. The commenter explained that AWIA requires that no later than six months after certifying completion of its risk and resilience assessment, each system must prepare or revise an emergency response plan that incorporates the findings of the assessment. The commenter stated that the RMP rule indicates a stationary source stationary source</w:t>
      </w:r>
      <w:r>
        <w:rPr>
          <w:rFonts w:ascii="Times New Roman" w:eastAsia="Times New Roman" w:hAnsi="Times New Roman"/>
          <w:sz w:val="24"/>
        </w:rPr>
        <w:t>’</w:t>
      </w:r>
      <w:r w:rsidRPr="006F68E9">
        <w:rPr>
          <w:rFonts w:ascii="Times New Roman" w:eastAsia="Times New Roman" w:hAnsi="Times New Roman"/>
          <w:sz w:val="24"/>
        </w:rPr>
        <w:t>s emergency response plan if one exists (</w:t>
      </w:r>
      <w:r>
        <w:rPr>
          <w:rFonts w:ascii="Times New Roman" w:eastAsia="Times New Roman" w:hAnsi="Times New Roman"/>
          <w:sz w:val="24"/>
        </w:rPr>
        <w:t>40 CFR</w:t>
      </w:r>
      <w:r w:rsidRPr="006F68E9">
        <w:rPr>
          <w:rFonts w:ascii="Times New Roman" w:eastAsia="Times New Roman" w:hAnsi="Times New Roman"/>
          <w:sz w:val="24"/>
        </w:rPr>
        <w:t xml:space="preserve"> 68.93(b)). Since water facilities are often subject to RMP, the commenter recommended that the emergency planning requirements for AWIA and RMP align (0165).</w:t>
      </w:r>
    </w:p>
    <w:p w:rsidR="00C52FE2" w:rsidRPr="00162BB9" w:rsidP="00C52FE2" w14:paraId="0D338F02" w14:textId="3E5D4387">
      <w:pPr>
        <w:ind w:left="720"/>
        <w:rPr>
          <w:rFonts w:ascii="Times New Roman" w:hAnsi="Times New Roman"/>
          <w:b/>
          <w:bCs/>
          <w:sz w:val="24"/>
        </w:rPr>
      </w:pPr>
      <w:r w:rsidRPr="00166AF8">
        <w:rPr>
          <w:rFonts w:ascii="Times New Roman" w:hAnsi="Times New Roman"/>
          <w:b/>
          <w:bCs/>
          <w:sz w:val="24"/>
        </w:rPr>
        <w:t>EPA Response:</w:t>
      </w:r>
      <w:r w:rsidR="00A07A78">
        <w:rPr>
          <w:rFonts w:ascii="Times New Roman" w:hAnsi="Times New Roman"/>
          <w:b/>
          <w:bCs/>
          <w:sz w:val="24"/>
        </w:rPr>
        <w:t xml:space="preserve"> </w:t>
      </w:r>
      <w:r w:rsidR="009F609F">
        <w:rPr>
          <w:rFonts w:ascii="Times New Roman" w:hAnsi="Times New Roman"/>
          <w:sz w:val="24"/>
        </w:rPr>
        <w:t>The Agency</w:t>
      </w:r>
      <w:r w:rsidRPr="00DE09EC" w:rsidR="00A07A78">
        <w:rPr>
          <w:rFonts w:ascii="Times New Roman" w:hAnsi="Times New Roman"/>
          <w:sz w:val="24"/>
        </w:rPr>
        <w:t xml:space="preserve"> appreciates the comments </w:t>
      </w:r>
      <w:r w:rsidRPr="00DE09EC" w:rsidR="002D2929">
        <w:rPr>
          <w:rFonts w:ascii="Times New Roman" w:hAnsi="Times New Roman"/>
          <w:sz w:val="24"/>
        </w:rPr>
        <w:t>on</w:t>
      </w:r>
      <w:r w:rsidR="009F609F">
        <w:rPr>
          <w:rFonts w:ascii="Times New Roman" w:hAnsi="Times New Roman"/>
          <w:sz w:val="24"/>
        </w:rPr>
        <w:t xml:space="preserve"> the RMP </w:t>
      </w:r>
      <w:r w:rsidRPr="00DE09EC" w:rsidR="002D2929">
        <w:rPr>
          <w:rFonts w:ascii="Times New Roman" w:hAnsi="Times New Roman"/>
          <w:sz w:val="24"/>
        </w:rPr>
        <w:t xml:space="preserve">emergency response </w:t>
      </w:r>
      <w:r w:rsidRPr="00DE09EC" w:rsidR="00DE09EC">
        <w:rPr>
          <w:rFonts w:ascii="Times New Roman" w:hAnsi="Times New Roman"/>
          <w:sz w:val="24"/>
        </w:rPr>
        <w:t>provisions</w:t>
      </w:r>
      <w:r w:rsidRPr="00DE09EC" w:rsidR="00A07A78">
        <w:rPr>
          <w:rFonts w:ascii="Times New Roman" w:hAnsi="Times New Roman"/>
          <w:sz w:val="24"/>
        </w:rPr>
        <w:t>.</w:t>
      </w:r>
      <w:r w:rsidRPr="00DE09EC" w:rsidR="00676F64">
        <w:rPr>
          <w:rFonts w:ascii="Times New Roman" w:hAnsi="Times New Roman"/>
          <w:sz w:val="24"/>
        </w:rPr>
        <w:t xml:space="preserve"> While these comments are </w:t>
      </w:r>
      <w:r w:rsidR="00A46961">
        <w:rPr>
          <w:rFonts w:ascii="Times New Roman" w:hAnsi="Times New Roman"/>
          <w:sz w:val="24"/>
        </w:rPr>
        <w:t>not specific to</w:t>
      </w:r>
      <w:r w:rsidRPr="00DE09EC" w:rsidR="00676F64">
        <w:rPr>
          <w:rFonts w:ascii="Times New Roman" w:hAnsi="Times New Roman"/>
          <w:sz w:val="24"/>
        </w:rPr>
        <w:t xml:space="preserve"> scope of the proposal, EPA</w:t>
      </w:r>
      <w:r w:rsidRPr="00DE09EC" w:rsidR="00DE09EC">
        <w:rPr>
          <w:rFonts w:ascii="Times New Roman" w:hAnsi="Times New Roman"/>
          <w:sz w:val="24"/>
        </w:rPr>
        <w:t xml:space="preserve"> will consider these areas for future enhancements to the RMP regulations</w:t>
      </w:r>
      <w:r w:rsidR="007606C8">
        <w:rPr>
          <w:rFonts w:ascii="Times New Roman" w:hAnsi="Times New Roman"/>
          <w:sz w:val="24"/>
        </w:rPr>
        <w:t xml:space="preserve"> or</w:t>
      </w:r>
      <w:r w:rsidR="00885DD2">
        <w:rPr>
          <w:rFonts w:ascii="Times New Roman" w:hAnsi="Times New Roman"/>
          <w:sz w:val="24"/>
        </w:rPr>
        <w:t xml:space="preserve"> guidance</w:t>
      </w:r>
      <w:r w:rsidRPr="00DE09EC" w:rsidR="00DE09EC">
        <w:rPr>
          <w:rFonts w:ascii="Times New Roman" w:hAnsi="Times New Roman"/>
          <w:sz w:val="24"/>
        </w:rPr>
        <w:t>.</w:t>
      </w:r>
      <w:r w:rsidR="00676F64">
        <w:rPr>
          <w:rFonts w:ascii="Times New Roman" w:hAnsi="Times New Roman"/>
          <w:b/>
          <w:bCs/>
          <w:sz w:val="24"/>
        </w:rPr>
        <w:t xml:space="preserve"> </w:t>
      </w:r>
      <w:r w:rsidR="00A07A78">
        <w:rPr>
          <w:rFonts w:ascii="Times New Roman" w:hAnsi="Times New Roman"/>
          <w:b/>
          <w:bCs/>
          <w:sz w:val="24"/>
        </w:rPr>
        <w:t xml:space="preserve"> </w:t>
      </w:r>
    </w:p>
    <w:p w:rsidR="00C52FE2" w:rsidP="00C52FE2" w14:paraId="0E01F767" w14:textId="3D018947">
      <w:pPr>
        <w:rPr>
          <w:rFonts w:ascii="Times New Roman" w:hAnsi="Times New Roman"/>
          <w:i/>
          <w:iCs/>
          <w:sz w:val="24"/>
        </w:rPr>
      </w:pPr>
      <w:r>
        <w:rPr>
          <w:rFonts w:ascii="Times New Roman" w:hAnsi="Times New Roman"/>
          <w:i/>
          <w:iCs/>
          <w:sz w:val="24"/>
        </w:rPr>
        <w:t xml:space="preserve">General comments on emergency response requirements </w:t>
      </w:r>
    </w:p>
    <w:p w:rsidR="00C52FE2" w:rsidP="00C52FE2" w14:paraId="7C7CDC51" w14:textId="77777777">
      <w:pPr>
        <w:rPr>
          <w:rFonts w:ascii="Times New Roman" w:hAnsi="Times New Roman"/>
          <w:sz w:val="24"/>
        </w:rPr>
      </w:pPr>
      <w:r w:rsidRPr="00EB76B1">
        <w:rPr>
          <w:rFonts w:ascii="Times New Roman" w:hAnsi="Times New Roman"/>
          <w:b/>
          <w:bCs/>
          <w:sz w:val="24"/>
        </w:rPr>
        <w:t>Comment 11.1-0</w:t>
      </w:r>
      <w:r>
        <w:rPr>
          <w:rFonts w:ascii="Times New Roman" w:hAnsi="Times New Roman"/>
          <w:b/>
          <w:bCs/>
          <w:sz w:val="24"/>
        </w:rPr>
        <w:t>2</w:t>
      </w:r>
      <w:r w:rsidRPr="00EB76B1">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Multiple commenters expressed </w:t>
      </w:r>
      <w:r>
        <w:rPr>
          <w:rFonts w:ascii="Times New Roman" w:hAnsi="Times New Roman"/>
          <w:sz w:val="24"/>
        </w:rPr>
        <w:t xml:space="preserve">general </w:t>
      </w:r>
      <w:r w:rsidRPr="006F68E9">
        <w:rPr>
          <w:rFonts w:ascii="Times New Roman" w:hAnsi="Times New Roman"/>
          <w:sz w:val="24"/>
        </w:rPr>
        <w:t xml:space="preserve">support for the proposed modifications of emergency response requirements (0151, 0209, 0250, 0257, 0444, 0456, 0460). </w:t>
      </w:r>
    </w:p>
    <w:p w:rsidR="00C52FE2" w:rsidRPr="00451971" w:rsidP="00C52FE2" w14:paraId="5D1D0E94" w14:textId="77777777">
      <w:pPr>
        <w:rPr>
          <w:rFonts w:ascii="Times New Roman" w:hAnsi="Times New Roman"/>
          <w:b/>
          <w:bCs/>
          <w:sz w:val="24"/>
        </w:rPr>
      </w:pPr>
      <w:r w:rsidRPr="006F68E9">
        <w:rPr>
          <w:rFonts w:ascii="Times New Roman" w:hAnsi="Times New Roman"/>
          <w:sz w:val="24"/>
        </w:rPr>
        <w:t>One commenter supported the response planning provisions to cover at a minimum all Program 2 and Program 3 facilities (0460).</w:t>
      </w:r>
    </w:p>
    <w:p w:rsidR="00C52FE2" w:rsidRPr="004E4BD1" w:rsidP="00C52FE2" w14:paraId="3EC5270C" w14:textId="77777777">
      <w:pPr>
        <w:ind w:left="720"/>
        <w:rPr>
          <w:rFonts w:ascii="Times New Roman" w:hAnsi="Times New Roman"/>
          <w:b/>
          <w:bCs/>
          <w:sz w:val="24"/>
        </w:rPr>
      </w:pPr>
      <w:r>
        <w:rPr>
          <w:rFonts w:ascii="Times New Roman" w:hAnsi="Times New Roman"/>
          <w:b/>
          <w:bCs/>
          <w:sz w:val="24"/>
        </w:rPr>
        <w:t xml:space="preserve">EPA Response: </w:t>
      </w:r>
      <w:r w:rsidRPr="00451971">
        <w:rPr>
          <w:rFonts w:ascii="Times New Roman" w:hAnsi="Times New Roman"/>
          <w:sz w:val="24"/>
        </w:rPr>
        <w:t>EPA appreciates the commenter</w:t>
      </w:r>
      <w:r>
        <w:rPr>
          <w:rFonts w:ascii="Times New Roman" w:hAnsi="Times New Roman"/>
          <w:sz w:val="24"/>
        </w:rPr>
        <w:t>s’</w:t>
      </w:r>
      <w:r w:rsidRPr="00451971">
        <w:rPr>
          <w:rFonts w:ascii="Times New Roman" w:hAnsi="Times New Roman"/>
          <w:sz w:val="24"/>
        </w:rPr>
        <w:t xml:space="preserve"> support.</w:t>
      </w:r>
    </w:p>
    <w:p w:rsidR="00C52FE2" w:rsidRPr="00685055" w:rsidP="00C52FE2" w14:paraId="2C77C4B0" w14:textId="5B4576DF">
      <w:pPr>
        <w:rPr>
          <w:rFonts w:ascii="Times New Roman" w:hAnsi="Times New Roman"/>
          <w:i/>
          <w:iCs/>
          <w:sz w:val="24"/>
        </w:rPr>
      </w:pPr>
      <w:r w:rsidRPr="00685055">
        <w:rPr>
          <w:rFonts w:ascii="Times New Roman" w:hAnsi="Times New Roman"/>
          <w:i/>
          <w:iCs/>
          <w:sz w:val="24"/>
        </w:rPr>
        <w:t>Release detection</w:t>
      </w:r>
    </w:p>
    <w:p w:rsidR="00C52FE2" w:rsidP="00C52FE2" w14:paraId="09C158CD" w14:textId="7A22BDFF">
      <w:pPr>
        <w:rPr>
          <w:rFonts w:ascii="Times New Roman" w:hAnsi="Times New Roman"/>
          <w:sz w:val="24"/>
        </w:rPr>
      </w:pPr>
      <w:r>
        <w:rPr>
          <w:rFonts w:ascii="Times New Roman" w:hAnsi="Times New Roman"/>
          <w:b/>
          <w:bCs/>
          <w:sz w:val="24"/>
        </w:rPr>
        <w:t xml:space="preserve">Comment 11.1-03: </w:t>
      </w:r>
      <w:r w:rsidR="00437801">
        <w:rPr>
          <w:rFonts w:ascii="Times New Roman" w:hAnsi="Times New Roman"/>
          <w:sz w:val="24"/>
        </w:rPr>
        <w:t>Two</w:t>
      </w:r>
      <w:r w:rsidRPr="006F68E9">
        <w:rPr>
          <w:rFonts w:ascii="Times New Roman" w:hAnsi="Times New Roman"/>
          <w:sz w:val="24"/>
        </w:rPr>
        <w:t xml:space="preserve"> commenter</w:t>
      </w:r>
      <w:r w:rsidR="00437801">
        <w:rPr>
          <w:rFonts w:ascii="Times New Roman" w:hAnsi="Times New Roman"/>
          <w:sz w:val="24"/>
        </w:rPr>
        <w:t>s</w:t>
      </w:r>
      <w:r w:rsidRPr="006F68E9">
        <w:rPr>
          <w:rFonts w:ascii="Times New Roman" w:hAnsi="Times New Roman"/>
          <w:sz w:val="24"/>
        </w:rPr>
        <w:t xml:space="preserve"> suggested deleting “perimeter monitor technologies” or rewording “their process area detectors and perimeter monitor technologies and models in use to detect” to “effective means to monitor levels of” (</w:t>
      </w:r>
      <w:r w:rsidR="00437801">
        <w:rPr>
          <w:rFonts w:ascii="Times New Roman" w:hAnsi="Times New Roman"/>
          <w:sz w:val="24"/>
        </w:rPr>
        <w:t xml:space="preserve">0184, </w:t>
      </w:r>
      <w:r w:rsidRPr="006F68E9">
        <w:rPr>
          <w:rFonts w:ascii="Times New Roman" w:hAnsi="Times New Roman"/>
          <w:sz w:val="24"/>
        </w:rPr>
        <w:t>0237).</w:t>
      </w:r>
      <w:r>
        <w:rPr>
          <w:rFonts w:ascii="Times New Roman" w:hAnsi="Times New Roman"/>
          <w:sz w:val="24"/>
        </w:rPr>
        <w:t xml:space="preserve"> </w:t>
      </w:r>
    </w:p>
    <w:p w:rsidR="00B44491" w:rsidRPr="00C913ED" w:rsidP="00E00B2E" w14:paraId="663705AA" w14:textId="43EFC82B">
      <w:pPr>
        <w:spacing w:after="0"/>
        <w:ind w:left="720"/>
        <w:rPr>
          <w:rFonts w:ascii="Times New Roman" w:hAnsi="Times New Roman"/>
          <w:sz w:val="24"/>
        </w:rPr>
      </w:pPr>
      <w:r w:rsidRPr="00C913ED">
        <w:rPr>
          <w:rFonts w:ascii="Times New Roman" w:hAnsi="Times New Roman"/>
          <w:sz w:val="24"/>
        </w:rPr>
        <w:t xml:space="preserve">EPA Response: </w:t>
      </w:r>
      <w:r w:rsidRPr="00C913ED" w:rsidR="00CD71FD">
        <w:rPr>
          <w:rFonts w:ascii="Times New Roman" w:hAnsi="Times New Roman"/>
          <w:sz w:val="24"/>
        </w:rPr>
        <w:t xml:space="preserve">The </w:t>
      </w:r>
      <w:r w:rsidRPr="00C913ED" w:rsidR="006B2B9B">
        <w:rPr>
          <w:rFonts w:ascii="Times New Roman" w:hAnsi="Times New Roman"/>
          <w:sz w:val="24"/>
        </w:rPr>
        <w:t>language described by the commenter was language</w:t>
      </w:r>
      <w:r w:rsidRPr="00C913ED" w:rsidR="00D724C8">
        <w:rPr>
          <w:rFonts w:ascii="Times New Roman" w:hAnsi="Times New Roman"/>
          <w:sz w:val="24"/>
        </w:rPr>
        <w:t xml:space="preserve"> EPA</w:t>
      </w:r>
      <w:r w:rsidRPr="00C913ED" w:rsidR="006B2B9B">
        <w:rPr>
          <w:rFonts w:ascii="Times New Roman" w:hAnsi="Times New Roman"/>
          <w:sz w:val="24"/>
        </w:rPr>
        <w:t xml:space="preserve"> used </w:t>
      </w:r>
      <w:r w:rsidRPr="00C913ED" w:rsidR="00AB4B95">
        <w:rPr>
          <w:rFonts w:ascii="Times New Roman" w:hAnsi="Times New Roman"/>
          <w:sz w:val="24"/>
        </w:rPr>
        <w:t xml:space="preserve">in the SCCAP preamble </w:t>
      </w:r>
      <w:r w:rsidRPr="00C913ED" w:rsidR="006B2B9B">
        <w:rPr>
          <w:rFonts w:ascii="Times New Roman" w:hAnsi="Times New Roman"/>
          <w:sz w:val="24"/>
        </w:rPr>
        <w:t>to describe</w:t>
      </w:r>
      <w:r w:rsidRPr="00C913ED">
        <w:rPr>
          <w:rFonts w:ascii="Times New Roman" w:hAnsi="Times New Roman"/>
          <w:sz w:val="24"/>
        </w:rPr>
        <w:t xml:space="preserve"> </w:t>
      </w:r>
      <w:r>
        <w:rPr>
          <w:rFonts w:ascii="Times New Roman" w:hAnsi="Times New Roman"/>
          <w:sz w:val="24"/>
        </w:rPr>
        <w:t>more detailed</w:t>
      </w:r>
      <w:r w:rsidRPr="00C913ED" w:rsidR="006B2B9B">
        <w:rPr>
          <w:rFonts w:ascii="Times New Roman" w:hAnsi="Times New Roman"/>
          <w:sz w:val="24"/>
        </w:rPr>
        <w:t xml:space="preserve"> </w:t>
      </w:r>
      <w:r w:rsidRPr="00C913ED" w:rsidR="001D5560">
        <w:rPr>
          <w:rFonts w:ascii="Times New Roman" w:hAnsi="Times New Roman"/>
          <w:sz w:val="24"/>
        </w:rPr>
        <w:t xml:space="preserve">information </w:t>
      </w:r>
      <w:r w:rsidRPr="00C913ED" w:rsidR="00E00B2E">
        <w:rPr>
          <w:rFonts w:ascii="Times New Roman" w:hAnsi="Times New Roman"/>
          <w:sz w:val="24"/>
        </w:rPr>
        <w:t>EPA</w:t>
      </w:r>
      <w:r w:rsidRPr="00C913ED" w:rsidR="003D738E">
        <w:rPr>
          <w:rFonts w:ascii="Times New Roman" w:hAnsi="Times New Roman"/>
          <w:sz w:val="24"/>
        </w:rPr>
        <w:t xml:space="preserve"> intends to collect </w:t>
      </w:r>
      <w:r w:rsidRPr="00C913ED">
        <w:rPr>
          <w:rFonts w:ascii="Times New Roman" w:hAnsi="Times New Roman"/>
          <w:sz w:val="24"/>
        </w:rPr>
        <w:t xml:space="preserve">in response to the regulatory requirement at </w:t>
      </w:r>
      <w:r w:rsidRPr="00C913ED" w:rsidR="00E00B2E">
        <w:rPr>
          <w:rFonts w:ascii="Times New Roman" w:hAnsi="Times New Roman"/>
          <w:sz w:val="24"/>
        </w:rPr>
        <w:t xml:space="preserve">40 CFR 68.170(e)(5) and 68.175(e)(5) </w:t>
      </w:r>
      <w:r>
        <w:rPr>
          <w:rFonts w:ascii="Times New Roman" w:hAnsi="Times New Roman"/>
          <w:sz w:val="24"/>
        </w:rPr>
        <w:t xml:space="preserve">for </w:t>
      </w:r>
      <w:r w:rsidRPr="00C913ED" w:rsidR="00E00B2E">
        <w:rPr>
          <w:rFonts w:ascii="Times New Roman" w:hAnsi="Times New Roman"/>
          <w:sz w:val="24"/>
        </w:rPr>
        <w:t xml:space="preserve">respective Program 2 and Program 3 processes to report in the RMP, “monitoring and detection systems in use.” </w:t>
      </w:r>
      <w:r w:rsidR="00747C91">
        <w:rPr>
          <w:rFonts w:ascii="Times New Roman" w:hAnsi="Times New Roman"/>
          <w:sz w:val="24"/>
        </w:rPr>
        <w:t xml:space="preserve">EPA did not propose and therefore is not finalizing changes to the regulatory text at </w:t>
      </w:r>
      <w:r w:rsidRPr="00524EB9" w:rsidR="00747C91">
        <w:rPr>
          <w:rFonts w:ascii="Times New Roman" w:hAnsi="Times New Roman"/>
          <w:sz w:val="24"/>
        </w:rPr>
        <w:t>40 CFR 68.170(e)(5) and 68.175(e)(5)</w:t>
      </w:r>
      <w:r w:rsidR="00747C91">
        <w:rPr>
          <w:rFonts w:ascii="Times New Roman" w:hAnsi="Times New Roman"/>
          <w:sz w:val="24"/>
        </w:rPr>
        <w:t>.</w:t>
      </w:r>
    </w:p>
    <w:p w:rsidR="00C52FE2" w:rsidP="00C913ED" w14:paraId="5978612D" w14:textId="0804D833">
      <w:pPr>
        <w:spacing w:after="0"/>
        <w:ind w:left="720"/>
        <w:rPr>
          <w:rFonts w:ascii="Times New Roman" w:hAnsi="Times New Roman"/>
          <w:sz w:val="24"/>
        </w:rPr>
      </w:pPr>
      <w:r w:rsidRPr="00355C06">
        <w:rPr>
          <w:rFonts w:ascii="Times New Roman" w:hAnsi="Times New Roman"/>
          <w:sz w:val="24"/>
        </w:rPr>
        <w:t xml:space="preserve">To better understand electronic detection methodologies available and in use among RMP facilities, EPA will plan to revise its online RMP submission </w:t>
      </w:r>
      <w:r w:rsidRPr="00355C06" w:rsidR="00C913ED">
        <w:rPr>
          <w:rFonts w:ascii="Times New Roman" w:hAnsi="Times New Roman"/>
          <w:sz w:val="24"/>
        </w:rPr>
        <w:t>system, RMP</w:t>
      </w:r>
      <w:r w:rsidRPr="00355C06">
        <w:rPr>
          <w:rFonts w:ascii="Times New Roman" w:hAnsi="Times New Roman"/>
          <w:sz w:val="24"/>
        </w:rPr>
        <w:t xml:space="preserve">*eSubmit, for owners and operators to simply input, in an open text field in the risk management plan, specific information on their process area detectors and perimeter monitor technologies and models in use to detect RMP-regulated substances.  </w:t>
      </w:r>
    </w:p>
    <w:p w:rsidR="00C52FE2" w:rsidP="00C52FE2" w14:paraId="7A34D7BB" w14:textId="77777777">
      <w:pPr>
        <w:rPr>
          <w:rFonts w:ascii="Times New Roman" w:hAnsi="Times New Roman"/>
          <w:sz w:val="24"/>
        </w:rPr>
      </w:pPr>
      <w:r>
        <w:rPr>
          <w:rFonts w:ascii="Times New Roman" w:hAnsi="Times New Roman"/>
          <w:b/>
          <w:sz w:val="24"/>
        </w:rPr>
        <w:t xml:space="preserve">Comment 11.1-04: </w:t>
      </w:r>
      <w:r w:rsidRPr="006F68E9">
        <w:rPr>
          <w:rFonts w:ascii="Times New Roman" w:hAnsi="Times New Roman"/>
          <w:sz w:val="24"/>
        </w:rPr>
        <w:t>Some of the commenters</w:t>
      </w:r>
      <w:r>
        <w:rPr>
          <w:rFonts w:ascii="Times New Roman" w:hAnsi="Times New Roman"/>
          <w:sz w:val="24"/>
        </w:rPr>
        <w:t xml:space="preserve"> discussed</w:t>
      </w:r>
      <w:r w:rsidRPr="006F68E9">
        <w:rPr>
          <w:rFonts w:ascii="Times New Roman" w:hAnsi="Times New Roman"/>
          <w:sz w:val="24"/>
        </w:rPr>
        <w:t xml:space="preserve"> the need for leak detection (0250, 0252, 0264, 0269).</w:t>
      </w:r>
      <w:r>
        <w:rPr>
          <w:rFonts w:ascii="Times New Roman" w:hAnsi="Times New Roman"/>
          <w:sz w:val="24"/>
        </w:rPr>
        <w:t xml:space="preserve"> </w:t>
      </w:r>
      <w:r w:rsidRPr="006F68E9">
        <w:rPr>
          <w:rFonts w:ascii="Times New Roman" w:hAnsi="Times New Roman"/>
          <w:sz w:val="24"/>
        </w:rPr>
        <w:t xml:space="preserve">A couple of commenters </w:t>
      </w:r>
      <w:r>
        <w:rPr>
          <w:rFonts w:ascii="Times New Roman" w:hAnsi="Times New Roman"/>
          <w:sz w:val="24"/>
        </w:rPr>
        <w:t>stated</w:t>
      </w:r>
      <w:r w:rsidRPr="006F68E9">
        <w:rPr>
          <w:rFonts w:ascii="Times New Roman" w:hAnsi="Times New Roman"/>
          <w:sz w:val="24"/>
        </w:rPr>
        <w:t xml:space="preserve"> that EPA should require process monitoring, real-time fenceline air monitoring, and leak detection at facilities with the most hazardous chemicals on-site, with real-time monitoring reports online and directly to EPA (0151, 0456).</w:t>
      </w:r>
    </w:p>
    <w:p w:rsidR="00C52FE2" w:rsidP="00C52FE2" w14:paraId="58451FB6" w14:textId="77777777">
      <w:pPr>
        <w:rPr>
          <w:rFonts w:ascii="Times New Roman" w:hAnsi="Times New Roman"/>
          <w:sz w:val="24"/>
        </w:rPr>
      </w:pPr>
      <w:r w:rsidRPr="00C97006">
        <w:rPr>
          <w:rFonts w:ascii="Times New Roman" w:hAnsi="Times New Roman"/>
          <w:sz w:val="24"/>
        </w:rPr>
        <w:t>Conversely, several</w:t>
      </w:r>
      <w:r w:rsidRPr="006F68E9">
        <w:rPr>
          <w:rFonts w:ascii="Times New Roman" w:hAnsi="Times New Roman"/>
          <w:sz w:val="24"/>
        </w:rPr>
        <w:t xml:space="preserve"> commenters also expressed concern about release detection provisions related to emergency response (0184, 0233, 0262, 0275). One of the commenters stated that the current RMP program sufficiently addresses the need for detector and perimeter monitors and requiring outside “perimeter monitor technologies” would not result in actionable information especially for chemicals that are lighter than air such as ammonia, and the requirement should be removed from the Proposed Rule (0184). Another commenter stated that EPA provides no </w:t>
      </w:r>
      <w:r w:rsidRPr="006F68E9">
        <w:rPr>
          <w:rFonts w:ascii="Times New Roman" w:hAnsi="Times New Roman"/>
          <w:sz w:val="24"/>
        </w:rPr>
        <w:t xml:space="preserve">proposed regulatory text to indicate how the requirement for Program 2 and 3 facilities to input specific information on process area detectors and perimeter monitors and models will be incorporated into existing requirements. The commenter </w:t>
      </w:r>
      <w:r>
        <w:rPr>
          <w:rFonts w:ascii="Times New Roman" w:hAnsi="Times New Roman"/>
          <w:sz w:val="24"/>
        </w:rPr>
        <w:t>said</w:t>
      </w:r>
      <w:r w:rsidRPr="006F68E9">
        <w:rPr>
          <w:rFonts w:ascii="Times New Roman" w:hAnsi="Times New Roman"/>
          <w:sz w:val="24"/>
        </w:rPr>
        <w:t xml:space="preserve"> that EPA articulates that facilities would identify the most effective method of release detection of their specific substances from their specific process operations “based upon RAGAGEP.” The commenter urged EPA not to finalize a regulatory requirement to identify specific release detection technologies in the Risk Management Plan (0233). One commenter stated that the proposal to require facilities to input specific information on process area detectors and perimeter monitor technologies and models is unclear as to whether EPA is proposing a new requirement or simply requiring facilities to include in their RMP specific information on the facility’s existing monitoring technologies. The commenter </w:t>
      </w:r>
      <w:r>
        <w:rPr>
          <w:rFonts w:ascii="Times New Roman" w:hAnsi="Times New Roman"/>
          <w:sz w:val="24"/>
        </w:rPr>
        <w:t>stated</w:t>
      </w:r>
      <w:r w:rsidRPr="006F68E9">
        <w:rPr>
          <w:rFonts w:ascii="Times New Roman" w:hAnsi="Times New Roman"/>
          <w:sz w:val="24"/>
        </w:rPr>
        <w:t xml:space="preserve"> that they would support the latter option, but they would oppose a new requirement to have process area detectors and perimeter monitoring technologies installed. The commenter stated that such a requirement would be duplicative, leak detection and repair systems are already required under RCRA air standards, and OSHA regulations require monitoring technologies for OSHA regulated chemicals (0262). Another commenter </w:t>
      </w:r>
      <w:r>
        <w:rPr>
          <w:rFonts w:ascii="Times New Roman" w:hAnsi="Times New Roman"/>
          <w:sz w:val="24"/>
        </w:rPr>
        <w:t>said</w:t>
      </w:r>
      <w:r w:rsidRPr="006F68E9">
        <w:rPr>
          <w:rFonts w:ascii="Times New Roman" w:hAnsi="Times New Roman"/>
          <w:sz w:val="24"/>
        </w:rPr>
        <w:t xml:space="preserve"> that they would oppose provisions that require a facility to install and operate process area or perimeter monitoring equipment since in many cases, reportable releases can be detected by other means. The commenter had no objection if facilities were required to report on such capabilities when they exist but </w:t>
      </w:r>
      <w:r>
        <w:rPr>
          <w:rFonts w:ascii="Times New Roman" w:hAnsi="Times New Roman"/>
          <w:sz w:val="24"/>
        </w:rPr>
        <w:t>stated</w:t>
      </w:r>
      <w:r w:rsidRPr="006F68E9">
        <w:rPr>
          <w:rFonts w:ascii="Times New Roman" w:hAnsi="Times New Roman"/>
          <w:sz w:val="24"/>
        </w:rPr>
        <w:t xml:space="preserve"> that the proposal is unclear (0275). </w:t>
      </w:r>
    </w:p>
    <w:p w:rsidR="00B204A4" w:rsidP="00A07823" w14:paraId="5BB2A072" w14:textId="0BFECAD7">
      <w:pPr>
        <w:ind w:left="720"/>
        <w:rPr>
          <w:rFonts w:ascii="Times New Roman" w:hAnsi="Times New Roman"/>
          <w:sz w:val="24"/>
        </w:rPr>
      </w:pPr>
      <w:r w:rsidRPr="00A07823">
        <w:rPr>
          <w:rFonts w:ascii="Times New Roman" w:hAnsi="Times New Roman"/>
          <w:b/>
          <w:sz w:val="24"/>
        </w:rPr>
        <w:t>EPA Response:</w:t>
      </w:r>
      <w:r w:rsidRPr="00A07823" w:rsidR="00A07823">
        <w:rPr>
          <w:rFonts w:ascii="Times New Roman" w:hAnsi="Times New Roman"/>
          <w:sz w:val="24"/>
        </w:rPr>
        <w:t xml:space="preserve"> </w:t>
      </w:r>
      <w:r w:rsidRPr="00B204A4">
        <w:rPr>
          <w:rFonts w:ascii="Times New Roman" w:hAnsi="Times New Roman"/>
          <w:sz w:val="24"/>
        </w:rPr>
        <w:t>Conforming to the performance-based nature of the RMP rule, the existing RMP regulations allow facility owners or operators to choose how they will detect releases at their facility.</w:t>
      </w:r>
      <w:r>
        <w:rPr>
          <w:rFonts w:ascii="Times New Roman" w:hAnsi="Times New Roman"/>
          <w:sz w:val="24"/>
          <w:vertAlign w:val="superscript"/>
        </w:rPr>
        <w:footnoteReference w:id="145"/>
      </w:r>
      <w:r w:rsidRPr="00B204A4">
        <w:rPr>
          <w:rFonts w:ascii="Times New Roman" w:hAnsi="Times New Roman"/>
          <w:sz w:val="24"/>
        </w:rPr>
        <w:t xml:space="preserve"> Due to the numerous RMP-regulated substances—and different technologies and methods available of accurately detecting those substances—EPA expects facilities to identify the most effective method of detecting releases of their specific substances, from their specific process operations, based on RAGAGEP. For example, EPA would expect facilities with anhydrous ammonia in ammonia refrigeration systems to adopt IIAR 9–2020, ‘‘Minimum System Safety Requirements for Existing Closed-Circuit Ammonia Refrigeration Systems’’ (specifically, section 7.3.12)</w:t>
      </w:r>
      <w:r>
        <w:rPr>
          <w:rFonts w:ascii="Times New Roman" w:hAnsi="Times New Roman"/>
          <w:sz w:val="24"/>
          <w:vertAlign w:val="superscript"/>
        </w:rPr>
        <w:footnoteReference w:id="146"/>
      </w:r>
      <w:r w:rsidRPr="00B204A4">
        <w:rPr>
          <w:rFonts w:ascii="Times New Roman" w:hAnsi="Times New Roman"/>
          <w:sz w:val="24"/>
        </w:rPr>
        <w:t>, to address the specific requirements for ammonia detection and alarms in machinery rooms. For water and wastewater treatment facilities using gaseous chlorine, EPA would expect adoption of the Chlorine Institute’s ‘‘Pamphlet 73, Atmospheric Monitoring Equipment for Chlorine.</w:t>
      </w:r>
      <w:r>
        <w:rPr>
          <w:rFonts w:ascii="Times New Roman" w:hAnsi="Times New Roman"/>
          <w:sz w:val="24"/>
          <w:vertAlign w:val="superscript"/>
        </w:rPr>
        <w:footnoteReference w:id="147"/>
      </w:r>
    </w:p>
    <w:p w:rsidR="00A07823" w:rsidP="00A07823" w14:paraId="12DFE58C" w14:textId="1CB59D9A">
      <w:pPr>
        <w:ind w:left="720"/>
        <w:rPr>
          <w:rFonts w:ascii="Times New Roman" w:hAnsi="Times New Roman"/>
          <w:bCs/>
          <w:sz w:val="24"/>
        </w:rPr>
      </w:pPr>
      <w:r>
        <w:rPr>
          <w:rFonts w:ascii="Times New Roman" w:hAnsi="Times New Roman"/>
          <w:bCs/>
          <w:sz w:val="24"/>
        </w:rPr>
        <w:t>As explained in the SCCAP proposal, w</w:t>
      </w:r>
      <w:r w:rsidRPr="00A07823">
        <w:rPr>
          <w:rFonts w:ascii="Times New Roman" w:hAnsi="Times New Roman"/>
          <w:bCs/>
          <w:sz w:val="24"/>
        </w:rPr>
        <w:t xml:space="preserve">hen </w:t>
      </w:r>
      <w:r w:rsidRPr="00AA51B5">
        <w:rPr>
          <w:rFonts w:ascii="Times New Roman" w:hAnsi="Times New Roman"/>
          <w:bCs/>
          <w:sz w:val="24"/>
        </w:rPr>
        <w:t>reporting in their risk management</w:t>
      </w:r>
      <w:r w:rsidRPr="00A07823">
        <w:rPr>
          <w:rFonts w:ascii="Times New Roman" w:hAnsi="Times New Roman"/>
          <w:bCs/>
          <w:sz w:val="24"/>
        </w:rPr>
        <w:t xml:space="preserve"> </w:t>
      </w:r>
      <w:r w:rsidRPr="00AA51B5">
        <w:rPr>
          <w:rFonts w:ascii="Times New Roman" w:hAnsi="Times New Roman"/>
          <w:bCs/>
          <w:sz w:val="24"/>
        </w:rPr>
        <w:t>plans, owners and operators can select</w:t>
      </w:r>
      <w:r w:rsidRPr="00A07823">
        <w:rPr>
          <w:rFonts w:ascii="Times New Roman" w:hAnsi="Times New Roman"/>
          <w:bCs/>
          <w:sz w:val="24"/>
        </w:rPr>
        <w:t xml:space="preserve"> </w:t>
      </w:r>
      <w:r w:rsidRPr="00AA51B5">
        <w:rPr>
          <w:rFonts w:ascii="Times New Roman" w:hAnsi="Times New Roman"/>
          <w:bCs/>
          <w:sz w:val="24"/>
        </w:rPr>
        <w:t>up to four categories that apply to how</w:t>
      </w:r>
      <w:r w:rsidRPr="00A07823">
        <w:rPr>
          <w:rFonts w:ascii="Times New Roman" w:hAnsi="Times New Roman"/>
          <w:bCs/>
          <w:sz w:val="24"/>
        </w:rPr>
        <w:t xml:space="preserve"> </w:t>
      </w:r>
      <w:r w:rsidRPr="00AA51B5">
        <w:rPr>
          <w:rFonts w:ascii="Times New Roman" w:hAnsi="Times New Roman"/>
          <w:bCs/>
          <w:sz w:val="24"/>
        </w:rPr>
        <w:t>releases are detected from their</w:t>
      </w:r>
      <w:r w:rsidRPr="00A07823">
        <w:rPr>
          <w:rFonts w:ascii="Times New Roman" w:hAnsi="Times New Roman"/>
          <w:bCs/>
          <w:sz w:val="24"/>
        </w:rPr>
        <w:t xml:space="preserve"> </w:t>
      </w:r>
      <w:r w:rsidRPr="00AA51B5">
        <w:rPr>
          <w:rFonts w:ascii="Times New Roman" w:hAnsi="Times New Roman"/>
          <w:bCs/>
          <w:sz w:val="24"/>
        </w:rPr>
        <w:t>processes: ‘‘process area detectors’’,</w:t>
      </w:r>
      <w:r w:rsidRPr="00A07823">
        <w:rPr>
          <w:rFonts w:ascii="Times New Roman" w:hAnsi="Times New Roman"/>
          <w:bCs/>
          <w:sz w:val="24"/>
        </w:rPr>
        <w:t xml:space="preserve"> </w:t>
      </w:r>
      <w:r w:rsidRPr="00AA51B5">
        <w:rPr>
          <w:rFonts w:ascii="Times New Roman" w:hAnsi="Times New Roman"/>
          <w:bCs/>
          <w:sz w:val="24"/>
        </w:rPr>
        <w:t>‘‘perimeter monitors’’, ‘‘none’’, or ‘‘other</w:t>
      </w:r>
      <w:r w:rsidRPr="00A07823">
        <w:rPr>
          <w:rFonts w:ascii="Times New Roman" w:hAnsi="Times New Roman"/>
          <w:bCs/>
          <w:sz w:val="24"/>
        </w:rPr>
        <w:t xml:space="preserve"> </w:t>
      </w:r>
      <w:r w:rsidRPr="00AA51B5">
        <w:rPr>
          <w:rFonts w:ascii="Times New Roman" w:hAnsi="Times New Roman"/>
          <w:bCs/>
          <w:sz w:val="24"/>
        </w:rPr>
        <w:t>monitoring/detection system in use’’.</w:t>
      </w:r>
      <w:r w:rsidRPr="00A07823">
        <w:rPr>
          <w:rFonts w:ascii="Times New Roman" w:hAnsi="Times New Roman"/>
          <w:bCs/>
          <w:sz w:val="24"/>
        </w:rPr>
        <w:t xml:space="preserve"> </w:t>
      </w:r>
      <w:r w:rsidRPr="00AA51B5">
        <w:rPr>
          <w:rFonts w:ascii="Times New Roman" w:hAnsi="Times New Roman"/>
          <w:bCs/>
          <w:sz w:val="24"/>
        </w:rPr>
        <w:t>When process area detectors or</w:t>
      </w:r>
      <w:r w:rsidRPr="00A07823">
        <w:rPr>
          <w:rFonts w:ascii="Times New Roman" w:hAnsi="Times New Roman"/>
          <w:bCs/>
          <w:sz w:val="24"/>
        </w:rPr>
        <w:t xml:space="preserve"> </w:t>
      </w:r>
      <w:r w:rsidRPr="00AA51B5">
        <w:rPr>
          <w:rFonts w:ascii="Times New Roman" w:hAnsi="Times New Roman"/>
          <w:bCs/>
          <w:sz w:val="24"/>
        </w:rPr>
        <w:t>perimeter monitors are selected, no</w:t>
      </w:r>
      <w:r w:rsidRPr="00A07823">
        <w:rPr>
          <w:rFonts w:ascii="Times New Roman" w:hAnsi="Times New Roman"/>
          <w:bCs/>
          <w:sz w:val="24"/>
        </w:rPr>
        <w:t xml:space="preserve"> further information is collected. To </w:t>
      </w:r>
      <w:r w:rsidRPr="00072FDA">
        <w:rPr>
          <w:rFonts w:ascii="Times New Roman" w:hAnsi="Times New Roman"/>
          <w:bCs/>
          <w:sz w:val="24"/>
        </w:rPr>
        <w:t>better understand electronic detection</w:t>
      </w:r>
      <w:r w:rsidRPr="00A07823">
        <w:rPr>
          <w:rFonts w:ascii="Times New Roman" w:hAnsi="Times New Roman"/>
          <w:bCs/>
          <w:sz w:val="24"/>
        </w:rPr>
        <w:t xml:space="preserve"> </w:t>
      </w:r>
      <w:r w:rsidRPr="00072FDA">
        <w:rPr>
          <w:rFonts w:ascii="Times New Roman" w:hAnsi="Times New Roman"/>
          <w:bCs/>
          <w:sz w:val="24"/>
        </w:rPr>
        <w:t>methodologies available and in use</w:t>
      </w:r>
      <w:r w:rsidRPr="00A07823">
        <w:rPr>
          <w:rFonts w:ascii="Times New Roman" w:hAnsi="Times New Roman"/>
          <w:bCs/>
          <w:sz w:val="24"/>
        </w:rPr>
        <w:t xml:space="preserve"> </w:t>
      </w:r>
      <w:r w:rsidRPr="00072FDA">
        <w:rPr>
          <w:rFonts w:ascii="Times New Roman" w:hAnsi="Times New Roman"/>
          <w:bCs/>
          <w:sz w:val="24"/>
        </w:rPr>
        <w:t xml:space="preserve">among RMP facilities, </w:t>
      </w:r>
      <w:r w:rsidRPr="00A07823">
        <w:rPr>
          <w:rFonts w:ascii="Times New Roman" w:hAnsi="Times New Roman"/>
          <w:bCs/>
          <w:sz w:val="24"/>
        </w:rPr>
        <w:t>EPA will plan to revise its online RMP submission system, RMP*eSubmit,</w:t>
      </w:r>
      <w:r>
        <w:rPr>
          <w:rFonts w:ascii="Times New Roman" w:hAnsi="Times New Roman"/>
          <w:bCs/>
          <w:sz w:val="24"/>
          <w:vertAlign w:val="superscript"/>
        </w:rPr>
        <w:footnoteReference w:id="148"/>
      </w:r>
      <w:r w:rsidRPr="00A07823">
        <w:rPr>
          <w:rFonts w:ascii="Times New Roman" w:hAnsi="Times New Roman"/>
          <w:bCs/>
          <w:sz w:val="24"/>
        </w:rPr>
        <w:t xml:space="preserve"> for</w:t>
      </w:r>
      <w:r w:rsidRPr="00072FDA">
        <w:rPr>
          <w:rFonts w:ascii="Times New Roman" w:hAnsi="Times New Roman"/>
          <w:bCs/>
          <w:sz w:val="24"/>
        </w:rPr>
        <w:t xml:space="preserve"> owners and operators to</w:t>
      </w:r>
      <w:r w:rsidRPr="00A07823">
        <w:rPr>
          <w:rFonts w:ascii="Times New Roman" w:hAnsi="Times New Roman"/>
          <w:bCs/>
          <w:sz w:val="24"/>
        </w:rPr>
        <w:t xml:space="preserve"> simply </w:t>
      </w:r>
      <w:r w:rsidRPr="00072FDA">
        <w:rPr>
          <w:rFonts w:ascii="Times New Roman" w:hAnsi="Times New Roman"/>
          <w:bCs/>
          <w:sz w:val="24"/>
        </w:rPr>
        <w:t>input, in an open text field in the risk</w:t>
      </w:r>
      <w:r w:rsidRPr="00A07823">
        <w:rPr>
          <w:rFonts w:ascii="Times New Roman" w:hAnsi="Times New Roman"/>
          <w:bCs/>
          <w:sz w:val="24"/>
        </w:rPr>
        <w:t xml:space="preserve"> </w:t>
      </w:r>
      <w:r w:rsidRPr="00072FDA">
        <w:rPr>
          <w:rFonts w:ascii="Times New Roman" w:hAnsi="Times New Roman"/>
          <w:bCs/>
          <w:sz w:val="24"/>
        </w:rPr>
        <w:t>management plan, specific information</w:t>
      </w:r>
      <w:r w:rsidRPr="00A07823">
        <w:rPr>
          <w:rFonts w:ascii="Times New Roman" w:hAnsi="Times New Roman"/>
          <w:bCs/>
          <w:sz w:val="24"/>
        </w:rPr>
        <w:t xml:space="preserve"> </w:t>
      </w:r>
      <w:r w:rsidRPr="00072FDA">
        <w:rPr>
          <w:rFonts w:ascii="Times New Roman" w:hAnsi="Times New Roman"/>
          <w:bCs/>
          <w:sz w:val="24"/>
        </w:rPr>
        <w:t xml:space="preserve">on </w:t>
      </w:r>
      <w:r w:rsidRPr="00072FDA">
        <w:rPr>
          <w:rFonts w:ascii="Times New Roman" w:hAnsi="Times New Roman"/>
          <w:bCs/>
          <w:sz w:val="24"/>
        </w:rPr>
        <w:t>their process area detectors and</w:t>
      </w:r>
      <w:r w:rsidRPr="00A07823">
        <w:rPr>
          <w:rFonts w:ascii="Times New Roman" w:hAnsi="Times New Roman"/>
          <w:bCs/>
          <w:sz w:val="24"/>
        </w:rPr>
        <w:t xml:space="preserve"> </w:t>
      </w:r>
      <w:r w:rsidRPr="00072FDA">
        <w:rPr>
          <w:rFonts w:ascii="Times New Roman" w:hAnsi="Times New Roman"/>
          <w:bCs/>
          <w:sz w:val="24"/>
        </w:rPr>
        <w:t>perimeter monitor technologies and</w:t>
      </w:r>
      <w:r w:rsidRPr="00A07823">
        <w:rPr>
          <w:rFonts w:ascii="Times New Roman" w:hAnsi="Times New Roman"/>
          <w:bCs/>
          <w:sz w:val="24"/>
        </w:rPr>
        <w:t xml:space="preserve"> </w:t>
      </w:r>
      <w:r w:rsidRPr="00072FDA">
        <w:rPr>
          <w:rFonts w:ascii="Times New Roman" w:hAnsi="Times New Roman"/>
          <w:bCs/>
          <w:sz w:val="24"/>
        </w:rPr>
        <w:t>models in use to detect RMP-regulated</w:t>
      </w:r>
      <w:r w:rsidRPr="00A07823">
        <w:rPr>
          <w:rFonts w:ascii="Times New Roman" w:hAnsi="Times New Roman"/>
          <w:bCs/>
          <w:sz w:val="24"/>
        </w:rPr>
        <w:t xml:space="preserve"> substances. This final rule will not change the regulatory text (40 CFR68.170(e)(5) and 68.175(e)(5)) which require respective Program 2 and Program 3 processes to report in the RMP, “monitoring and detection systems in use.”</w:t>
      </w:r>
    </w:p>
    <w:p w:rsidR="00C52FE2" w:rsidRPr="00B867A3" w:rsidP="00C52FE2" w14:paraId="66758C6E" w14:textId="5C20DE0C">
      <w:pPr>
        <w:ind w:left="720"/>
        <w:rPr>
          <w:rFonts w:ascii="Times New Roman" w:hAnsi="Times New Roman"/>
          <w:sz w:val="24"/>
        </w:rPr>
      </w:pPr>
      <w:r>
        <w:rPr>
          <w:rFonts w:ascii="Times New Roman" w:hAnsi="Times New Roman"/>
          <w:bCs/>
          <w:sz w:val="24"/>
        </w:rPr>
        <w:t>Lastly, r</w:t>
      </w:r>
      <w:r w:rsidRPr="004817AC" w:rsidR="004817AC">
        <w:rPr>
          <w:rFonts w:ascii="Times New Roman" w:hAnsi="Times New Roman"/>
          <w:bCs/>
          <w:sz w:val="24"/>
        </w:rPr>
        <w:t>egarding providing real time air quality data to the public, EPA acknowledges the need to consider expanding fenceline monitoring requirements for RMP-regulated facilities to provide real time data to local responders and the public. EPA took comment on this in the proposal and is reviewing the comments received in consideration for a future rulemaking.</w:t>
      </w:r>
    </w:p>
    <w:p w:rsidR="00C52FE2" w:rsidP="00C52FE2" w14:paraId="46994595" w14:textId="77777777">
      <w:pPr>
        <w:pStyle w:val="Heading2"/>
        <w:tabs>
          <w:tab w:val="clear" w:pos="8684"/>
        </w:tabs>
        <w:spacing w:before="120"/>
        <w:ind w:left="403" w:hanging="403"/>
        <w:rPr>
          <w:rFonts w:ascii="Times New Roman" w:hAnsi="Times New Roman" w:cs="Times New Roman"/>
          <w:b/>
          <w:bCs/>
          <w:color w:val="auto"/>
          <w:sz w:val="24"/>
          <w:szCs w:val="24"/>
        </w:rPr>
      </w:pPr>
      <w:bookmarkStart w:id="131" w:name="_Toc153373817"/>
      <w:r>
        <w:rPr>
          <w:rFonts w:ascii="Times New Roman" w:hAnsi="Times New Roman" w:cs="Times New Roman"/>
          <w:b/>
          <w:bCs/>
          <w:color w:val="auto"/>
          <w:sz w:val="24"/>
          <w:szCs w:val="24"/>
        </w:rPr>
        <w:t>Community notification of RMP accidents and i</w:t>
      </w:r>
      <w:r w:rsidRPr="006F68E9">
        <w:rPr>
          <w:rFonts w:ascii="Times New Roman" w:hAnsi="Times New Roman" w:cs="Times New Roman"/>
          <w:b/>
          <w:bCs/>
          <w:color w:val="auto"/>
          <w:sz w:val="24"/>
          <w:szCs w:val="24"/>
        </w:rPr>
        <w:t xml:space="preserve">nformation for notifying </w:t>
      </w:r>
      <w:r>
        <w:rPr>
          <w:rFonts w:ascii="Times New Roman" w:hAnsi="Times New Roman" w:cs="Times New Roman"/>
          <w:b/>
          <w:bCs/>
          <w:color w:val="auto"/>
          <w:sz w:val="24"/>
          <w:szCs w:val="24"/>
        </w:rPr>
        <w:t xml:space="preserve">the </w:t>
      </w:r>
      <w:r w:rsidRPr="006F68E9">
        <w:rPr>
          <w:rFonts w:ascii="Times New Roman" w:hAnsi="Times New Roman" w:cs="Times New Roman"/>
          <w:b/>
          <w:bCs/>
          <w:color w:val="auto"/>
          <w:sz w:val="24"/>
          <w:szCs w:val="24"/>
        </w:rPr>
        <w:t xml:space="preserve">public </w:t>
      </w:r>
      <w:bookmarkEnd w:id="131"/>
    </w:p>
    <w:p w:rsidR="00C52FE2" w:rsidP="00C52FE2" w14:paraId="010F3502" w14:textId="77777777">
      <w:pPr>
        <w:rPr>
          <w:rFonts w:ascii="Times New Roman" w:hAnsi="Times New Roman"/>
          <w:i/>
          <w:iCs/>
          <w:sz w:val="24"/>
        </w:rPr>
      </w:pPr>
      <w:r w:rsidRPr="00A47A05">
        <w:rPr>
          <w:rFonts w:ascii="Times New Roman" w:hAnsi="Times New Roman"/>
          <w:i/>
          <w:iCs/>
          <w:sz w:val="24"/>
        </w:rPr>
        <w:t>Support</w:t>
      </w:r>
      <w:r w:rsidRPr="001005DE">
        <w:rPr>
          <w:rFonts w:ascii="Times New Roman" w:hAnsi="Times New Roman"/>
          <w:i/>
          <w:iCs/>
          <w:sz w:val="24"/>
        </w:rPr>
        <w:t xml:space="preserve"> for</w:t>
      </w:r>
      <w:r>
        <w:rPr>
          <w:rFonts w:ascii="Times New Roman" w:hAnsi="Times New Roman"/>
          <w:i/>
          <w:iCs/>
          <w:sz w:val="24"/>
        </w:rPr>
        <w:t xml:space="preserve"> proposed</w:t>
      </w:r>
      <w:r w:rsidRPr="001005DE">
        <w:rPr>
          <w:rFonts w:ascii="Times New Roman" w:hAnsi="Times New Roman"/>
          <w:i/>
          <w:iCs/>
          <w:sz w:val="24"/>
        </w:rPr>
        <w:t xml:space="preserve"> </w:t>
      </w:r>
      <w:r>
        <w:rPr>
          <w:rFonts w:ascii="Times New Roman" w:hAnsi="Times New Roman"/>
          <w:i/>
          <w:iCs/>
          <w:sz w:val="24"/>
        </w:rPr>
        <w:t xml:space="preserve">requirement to provide timely data to first responders </w:t>
      </w:r>
    </w:p>
    <w:p w:rsidR="00C52FE2" w:rsidP="00C52FE2" w14:paraId="3F7132F7" w14:textId="4CA5FC1D">
      <w:pPr>
        <w:rPr>
          <w:rFonts w:ascii="Times New Roman" w:hAnsi="Times New Roman"/>
          <w:sz w:val="24"/>
        </w:rPr>
      </w:pPr>
      <w:r w:rsidRPr="00A47A05">
        <w:rPr>
          <w:rFonts w:ascii="Times New Roman" w:hAnsi="Times New Roman"/>
          <w:b/>
          <w:bCs/>
          <w:sz w:val="24"/>
        </w:rPr>
        <w:t>Comment</w:t>
      </w:r>
      <w:r>
        <w:rPr>
          <w:rFonts w:ascii="Times New Roman" w:hAnsi="Times New Roman"/>
          <w:b/>
          <w:bCs/>
          <w:sz w:val="24"/>
        </w:rPr>
        <w:t xml:space="preserve"> 11.2-01</w:t>
      </w:r>
      <w:r w:rsidRPr="00A47A0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A couple of the commenters specified supporting the requirement of facilities to develop procedures to inform the public and appropriate authorities about accidental releases (0257, 0444</w:t>
      </w:r>
      <w:r w:rsidR="003671A9">
        <w:rPr>
          <w:rFonts w:ascii="Times New Roman" w:hAnsi="Times New Roman"/>
          <w:sz w:val="24"/>
        </w:rPr>
        <w:t>, 0451</w:t>
      </w:r>
      <w:r w:rsidRPr="006F68E9">
        <w:rPr>
          <w:rFonts w:ascii="Times New Roman" w:hAnsi="Times New Roman"/>
          <w:sz w:val="24"/>
        </w:rPr>
        <w:t xml:space="preserve">). </w:t>
      </w:r>
    </w:p>
    <w:p w:rsidR="00C52FE2" w:rsidRPr="00D65104" w:rsidP="00C52FE2" w14:paraId="74BD1222" w14:textId="77777777">
      <w:pPr>
        <w:rPr>
          <w:rFonts w:ascii="Times New Roman" w:hAnsi="Times New Roman"/>
          <w:b/>
          <w:bCs/>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any stationary source subject to EPA RMP rule has the responsibility to ensure the capability of the emergency response actions exist to address an accidental release from their site and must ensure that either local emergency response agency can respond. The commenter added that the burden solely needs to be on the stationary source (0173).</w:t>
      </w:r>
    </w:p>
    <w:p w:rsidR="00C52FE2" w:rsidRPr="008B63F2" w:rsidP="00C95B55" w14:paraId="146D96F1" w14:textId="696227D5">
      <w:pPr>
        <w:ind w:left="720"/>
        <w:rPr>
          <w:rFonts w:ascii="Times New Roman" w:hAnsi="Times New Roman"/>
          <w:b/>
          <w:bCs/>
          <w:sz w:val="24"/>
        </w:rPr>
      </w:pPr>
      <w:r w:rsidRPr="008B63F2">
        <w:rPr>
          <w:rFonts w:ascii="Times New Roman" w:hAnsi="Times New Roman"/>
          <w:b/>
          <w:bCs/>
          <w:sz w:val="24"/>
        </w:rPr>
        <w:t>EPA Response:</w:t>
      </w:r>
      <w:r>
        <w:rPr>
          <w:rFonts w:ascii="Times New Roman" w:hAnsi="Times New Roman"/>
          <w:b/>
          <w:bCs/>
          <w:sz w:val="24"/>
        </w:rPr>
        <w:t xml:space="preserve"> </w:t>
      </w:r>
      <w:r w:rsidRPr="003D75FE">
        <w:rPr>
          <w:rFonts w:ascii="Times New Roman" w:hAnsi="Times New Roman"/>
          <w:sz w:val="24"/>
        </w:rPr>
        <w:t>EPA appreciates the commenter’s support.</w:t>
      </w:r>
      <w:r>
        <w:rPr>
          <w:rFonts w:ascii="Times New Roman" w:hAnsi="Times New Roman"/>
          <w:sz w:val="24"/>
        </w:rPr>
        <w:t xml:space="preserve"> </w:t>
      </w:r>
      <w:r w:rsidR="00C95B55">
        <w:rPr>
          <w:rFonts w:ascii="Times New Roman" w:hAnsi="Times New Roman"/>
          <w:sz w:val="24"/>
        </w:rPr>
        <w:t>F</w:t>
      </w:r>
      <w:r w:rsidRPr="00C95B55" w:rsidR="00C95B55">
        <w:rPr>
          <w:rFonts w:ascii="Times New Roman" w:hAnsi="Times New Roman"/>
          <w:sz w:val="24"/>
        </w:rPr>
        <w:t>or the purposes of this rule, regulated facilities which have accidental releases are responsible for ensuring a prompt emergency response to any release at their facility’s covered processes in order to protect human health and the environment. As discussed in the proposal, if local public responders are not capable of providing such a response, the owner or operator is ultimately responsible for ensuring effective emergency response to any release at their facility occurs.</w:t>
      </w:r>
    </w:p>
    <w:p w:rsidR="00C52FE2" w:rsidP="00C52FE2" w14:paraId="4B44674E" w14:textId="0BE31D6C">
      <w:pPr>
        <w:rPr>
          <w:rFonts w:ascii="Times New Roman" w:hAnsi="Times New Roman"/>
          <w:i/>
          <w:iCs/>
          <w:sz w:val="24"/>
        </w:rPr>
      </w:pPr>
      <w:r>
        <w:rPr>
          <w:rFonts w:ascii="Times New Roman" w:hAnsi="Times New Roman"/>
          <w:i/>
          <w:iCs/>
          <w:sz w:val="24"/>
        </w:rPr>
        <w:t xml:space="preserve">Opposition </w:t>
      </w:r>
      <w:r w:rsidR="000859CC">
        <w:rPr>
          <w:rFonts w:ascii="Times New Roman" w:hAnsi="Times New Roman"/>
          <w:i/>
          <w:iCs/>
          <w:sz w:val="24"/>
        </w:rPr>
        <w:t xml:space="preserve">or suggested revisions </w:t>
      </w:r>
      <w:r>
        <w:rPr>
          <w:rFonts w:ascii="Times New Roman" w:hAnsi="Times New Roman"/>
          <w:i/>
          <w:iCs/>
          <w:sz w:val="24"/>
        </w:rPr>
        <w:t xml:space="preserve">to proposed requirement to provide timely data to first responders </w:t>
      </w:r>
    </w:p>
    <w:p w:rsidR="00654F3F" w:rsidP="00654F3F" w14:paraId="0B42AC49" w14:textId="54373CE7">
      <w:pPr>
        <w:rPr>
          <w:rFonts w:ascii="Times New Roman" w:hAnsi="Times New Roman"/>
          <w:sz w:val="24"/>
        </w:rPr>
      </w:pPr>
      <w:r>
        <w:rPr>
          <w:rFonts w:ascii="Times New Roman" w:hAnsi="Times New Roman"/>
          <w:b/>
          <w:bCs/>
          <w:sz w:val="24"/>
        </w:rPr>
        <w:t xml:space="preserve">Comment 11.2-02: </w:t>
      </w:r>
      <w:r w:rsidRPr="006F68E9">
        <w:rPr>
          <w:rFonts w:ascii="Times New Roman" w:hAnsi="Times New Roman"/>
          <w:sz w:val="24"/>
        </w:rPr>
        <w:t>A few commenters stated that the requirement to provide “necessary entities” with “accurate and timely data” is duplicative and vague, and urged EPA to remove this provision</w:t>
      </w:r>
      <w:r w:rsidR="00402293">
        <w:rPr>
          <w:rFonts w:ascii="Times New Roman" w:hAnsi="Times New Roman"/>
          <w:sz w:val="24"/>
        </w:rPr>
        <w:t xml:space="preserve"> </w:t>
      </w:r>
      <w:r w:rsidRPr="6D3F9CC5" w:rsidR="00402293">
        <w:rPr>
          <w:rFonts w:ascii="Times New Roman" w:hAnsi="Times New Roman"/>
          <w:sz w:val="24"/>
        </w:rPr>
        <w:t xml:space="preserve">(0180, </w:t>
      </w:r>
      <w:r w:rsidR="00402293">
        <w:rPr>
          <w:rFonts w:ascii="Times New Roman" w:hAnsi="Times New Roman"/>
          <w:sz w:val="24"/>
        </w:rPr>
        <w:t xml:space="preserve">0205, </w:t>
      </w:r>
      <w:r w:rsidRPr="6D3F9CC5" w:rsidR="00402293">
        <w:rPr>
          <w:rFonts w:ascii="Times New Roman" w:hAnsi="Times New Roman"/>
          <w:sz w:val="24"/>
        </w:rPr>
        <w:t>0226, 0458)</w:t>
      </w:r>
      <w:r w:rsidRPr="006F68E9">
        <w:rPr>
          <w:rFonts w:ascii="Times New Roman" w:hAnsi="Times New Roman"/>
          <w:sz w:val="24"/>
        </w:rPr>
        <w:t xml:space="preserve">. </w:t>
      </w:r>
      <w:r w:rsidR="00402293">
        <w:rPr>
          <w:rFonts w:ascii="Times New Roman" w:hAnsi="Times New Roman"/>
          <w:sz w:val="24"/>
        </w:rPr>
        <w:t>Some</w:t>
      </w:r>
      <w:r w:rsidRPr="006F68E9">
        <w:rPr>
          <w:rFonts w:ascii="Times New Roman" w:hAnsi="Times New Roman"/>
          <w:sz w:val="24"/>
        </w:rPr>
        <w:t xml:space="preserve"> commenters added facilities are already required to notify and provide information of certain releases to the </w:t>
      </w:r>
      <w:r w:rsidRPr="50B04357">
        <w:rPr>
          <w:rFonts w:ascii="Times New Roman" w:hAnsi="Times New Roman"/>
          <w:sz w:val="24"/>
        </w:rPr>
        <w:t>National Response Center (</w:t>
      </w:r>
      <w:r w:rsidRPr="006F68E9">
        <w:rPr>
          <w:rFonts w:ascii="Times New Roman" w:hAnsi="Times New Roman"/>
          <w:sz w:val="24"/>
        </w:rPr>
        <w:t>NRC</w:t>
      </w:r>
      <w:r w:rsidRPr="50B04357">
        <w:rPr>
          <w:rFonts w:ascii="Times New Roman" w:hAnsi="Times New Roman"/>
          <w:sz w:val="24"/>
        </w:rPr>
        <w:t>),</w:t>
      </w:r>
      <w:r w:rsidRPr="006F68E9">
        <w:rPr>
          <w:rFonts w:ascii="Times New Roman" w:hAnsi="Times New Roman"/>
          <w:sz w:val="24"/>
        </w:rPr>
        <w:t xml:space="preserve"> SERCs, and LEPCs in Title Ill of Superfund Amendments and Reauthorization Act under the Emergency Planning and Community Right-to-Know Act and Comprehensive Environmental Response, Compensation, and Liability Act (0205, 0217, 0234). A couple commenters </w:t>
      </w:r>
      <w:r>
        <w:rPr>
          <w:rFonts w:ascii="Times New Roman" w:hAnsi="Times New Roman"/>
          <w:sz w:val="24"/>
        </w:rPr>
        <w:t>stated</w:t>
      </w:r>
      <w:r w:rsidRPr="006F68E9">
        <w:rPr>
          <w:rFonts w:ascii="Times New Roman" w:hAnsi="Times New Roman"/>
          <w:sz w:val="24"/>
        </w:rPr>
        <w:t xml:space="preserve"> that under existing regulations, facilities are already coordinating their </w:t>
      </w:r>
      <w:r>
        <w:rPr>
          <w:rFonts w:ascii="Times New Roman" w:hAnsi="Times New Roman"/>
          <w:sz w:val="24"/>
        </w:rPr>
        <w:t>e</w:t>
      </w:r>
      <w:r w:rsidRPr="006F68E9">
        <w:rPr>
          <w:rFonts w:ascii="Times New Roman" w:hAnsi="Times New Roman"/>
          <w:sz w:val="24"/>
        </w:rPr>
        <w:t xml:space="preserve">mergency </w:t>
      </w:r>
      <w:r>
        <w:rPr>
          <w:rFonts w:ascii="Times New Roman" w:hAnsi="Times New Roman"/>
          <w:sz w:val="24"/>
        </w:rPr>
        <w:t>a</w:t>
      </w:r>
      <w:r w:rsidRPr="006F68E9">
        <w:rPr>
          <w:rFonts w:ascii="Times New Roman" w:hAnsi="Times New Roman"/>
          <w:sz w:val="24"/>
        </w:rPr>
        <w:t>ction plan with local emergency responders and under the Emergency Planning and Community Right-to-Know Act, they are submitting Tier 1 and/or Tier 2 reports to SERCs, LEPCs, and local fire departments (0202, 0227).</w:t>
      </w:r>
    </w:p>
    <w:p w:rsidR="00C52FE2" w:rsidP="00C52FE2" w14:paraId="4F9AC06F" w14:textId="7CC9C58B">
      <w:pPr>
        <w:rPr>
          <w:rFonts w:ascii="Times New Roman" w:hAnsi="Times New Roman"/>
          <w:sz w:val="24"/>
        </w:rPr>
      </w:pPr>
      <w:r w:rsidRPr="006F68E9">
        <w:rPr>
          <w:rFonts w:ascii="Times New Roman" w:hAnsi="Times New Roman"/>
          <w:sz w:val="24"/>
        </w:rPr>
        <w:t xml:space="preserve">Another commenter stated that these provisions lack justification. The commenter added that EPA does not explain how RMP facilities can ensure a community notification system is available or how community emergency notification systems function (0272). </w:t>
      </w:r>
    </w:p>
    <w:p w:rsidR="00C52FE2" w:rsidP="00C52FE2" w14:paraId="7ED537F7" w14:textId="3C283878">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 xml:space="preserve">stated </w:t>
      </w:r>
      <w:r w:rsidRPr="006F68E9">
        <w:rPr>
          <w:rFonts w:ascii="Times New Roman" w:hAnsi="Times New Roman"/>
          <w:sz w:val="24"/>
        </w:rPr>
        <w:t>that the provision to provide necessary entities with accurate and time</w:t>
      </w:r>
      <w:r>
        <w:rPr>
          <w:rFonts w:ascii="Times New Roman" w:hAnsi="Times New Roman"/>
          <w:sz w:val="24"/>
        </w:rPr>
        <w:t>ly</w:t>
      </w:r>
      <w:r w:rsidRPr="006F68E9">
        <w:rPr>
          <w:rFonts w:ascii="Times New Roman" w:hAnsi="Times New Roman"/>
          <w:sz w:val="24"/>
        </w:rPr>
        <w:t xml:space="preserve"> data related to accidental release information is vague and duplicative of the requirement to provide this release information to the National Response Center (NRC), State Emergency Response Commissions (SERC), and LEPCs in Title III of Superfund Amendments and Reauthorization Act (SARA) under the Emergency Planning and Community Right-to- Know Act (EPCRA) and Comprehensive Environmental Response, Compensation, and Liability Act (CERCLA). The commenters urged EPA to remove this provision (0217, 0234). </w:t>
      </w:r>
    </w:p>
    <w:p w:rsidR="00C52FE2" w:rsidRPr="00624A6E" w:rsidP="00C52FE2" w14:paraId="6E9AA21F" w14:textId="751B8424">
      <w:pPr>
        <w:ind w:left="720"/>
        <w:rPr>
          <w:rFonts w:ascii="Times New Roman" w:hAnsi="Times New Roman"/>
          <w:sz w:val="24"/>
        </w:rPr>
      </w:pPr>
      <w:r w:rsidRPr="003B4C86">
        <w:rPr>
          <w:rFonts w:ascii="Times New Roman" w:hAnsi="Times New Roman"/>
          <w:b/>
          <w:sz w:val="24"/>
        </w:rPr>
        <w:t>EPA Response:</w:t>
      </w:r>
      <w:r>
        <w:rPr>
          <w:rFonts w:ascii="Times New Roman" w:hAnsi="Times New Roman"/>
          <w:b/>
          <w:bCs/>
          <w:sz w:val="24"/>
        </w:rPr>
        <w:t xml:space="preserve"> </w:t>
      </w:r>
      <w:r w:rsidRPr="00AC7608">
        <w:rPr>
          <w:rFonts w:ascii="Times New Roman" w:hAnsi="Times New Roman"/>
          <w:sz w:val="24"/>
        </w:rPr>
        <w:t>EPA disagrees that the provision is duplicative and vague. EPA believes that the provision offers the appropriate level of flexibility that may be needed during accidental release events. As stated in the proposal, the expectation for this provision is for owners and operators to provide initial information about their release to local responders as soon as possible, and to provide more accurate data or correct erroneous data that had been previously relayed when new information is available. EPA acknowledges that the time to gather and update release information can vary widely depending on the circumstances, extent and consequences of the release, and the status of individuals conducting the investigation during the accident. EPA also acknowledges that local responders may be different entities (e.g., fire department, Hazmat team, police, etc.) depending on the community. The initial and follow-up information required by this provision will help facilitate proper communication among responders and the facility to ensure the appropriate type and level of response is provided during a release.</w:t>
      </w:r>
      <w:r>
        <w:rPr>
          <w:rFonts w:ascii="Times New Roman" w:hAnsi="Times New Roman"/>
          <w:sz w:val="24"/>
        </w:rPr>
        <w:t xml:space="preserve"> </w:t>
      </w:r>
    </w:p>
    <w:p w:rsidR="00C52FE2" w:rsidRPr="00AC7608" w:rsidP="00C52FE2" w14:paraId="3D4A6CCF" w14:textId="752A2F25">
      <w:pPr>
        <w:ind w:left="720"/>
        <w:rPr>
          <w:rFonts w:ascii="Times New Roman" w:hAnsi="Times New Roman"/>
          <w:sz w:val="24"/>
        </w:rPr>
      </w:pPr>
      <w:r w:rsidRPr="00AC7608">
        <w:rPr>
          <w:rFonts w:ascii="Times New Roman" w:hAnsi="Times New Roman"/>
          <w:sz w:val="24"/>
        </w:rPr>
        <w:t>In response to the comment that facilities are already required to notify and provide information about imminent releases to the NRC, SERCs, and LEPCs under CERCLA and EPCRA, EPA has amended the language in the final rule to allow existing release notification requirements to satisfy this provision, if applicable. EPA acknowledges that EPCRA section 304, CERCLA section 103, and the CSB have similar Federal reporting requirements, and that there may also be State-only requirements for release notification and reporting that could meet this requirement. Therefore, EPA believes the amendment to this provision can help prevent any undue burden in complying with multiple requirements when a chemical release occurs. EPA believes this provision is particularly useful in closing regulatory gaps for chemical release notification where other statutory requirements do not apply. For example, reporting under EPCRA section 304 is required only to the SERC and LEPC, and reporting under CERCLA section 103 is required only to the NRC. Additionally, not all RMP regulated substances are EPCRA extremely hazardous substances and/or CERCLA hazardous substances (e.g., propane, butane, pentane, and hydrogen are regulated under RMP, but not under EPCRA section 304 or CERCLA section 103); thus, while there might be some overlap, some chemicals will require only Federal release reporting under RMP.</w:t>
      </w:r>
      <w:r>
        <w:rPr>
          <w:rFonts w:ascii="Times New Roman" w:hAnsi="Times New Roman"/>
          <w:sz w:val="24"/>
        </w:rPr>
        <w:t xml:space="preserve"> </w:t>
      </w:r>
      <w:r w:rsidR="00796C2E">
        <w:rPr>
          <w:rFonts w:ascii="Times New Roman" w:hAnsi="Times New Roman"/>
          <w:sz w:val="24"/>
        </w:rPr>
        <w:t>Therefore</w:t>
      </w:r>
      <w:r w:rsidRPr="00AC7608" w:rsidR="00796C2E">
        <w:rPr>
          <w:rFonts w:ascii="Times New Roman" w:hAnsi="Times New Roman"/>
          <w:sz w:val="24"/>
        </w:rPr>
        <w:t>, EPA does agree with the recommendation offered in the comments to</w:t>
      </w:r>
      <w:r w:rsidR="00365ADF">
        <w:rPr>
          <w:rFonts w:ascii="Times New Roman" w:hAnsi="Times New Roman"/>
          <w:sz w:val="24"/>
        </w:rPr>
        <w:t xml:space="preserve"> prevent undue burden in complying with multiple requirements when a chemical release occurs</w:t>
      </w:r>
      <w:r w:rsidRPr="00AC7608" w:rsidR="00796C2E">
        <w:rPr>
          <w:rFonts w:ascii="Times New Roman" w:hAnsi="Times New Roman"/>
          <w:sz w:val="24"/>
        </w:rPr>
        <w:t>. EPA is therefore finalizing the proposed provision with the following modification—revising the proposed provisions for 40 CFR 68.90(b)(3) and 68.95(c) to allow existing notification mechanisms or regulations to satisfy the RMP release notification requirements if applicable.</w:t>
      </w:r>
    </w:p>
    <w:p w:rsidR="00C52FE2" w:rsidRPr="00DB28E8" w:rsidP="00C52FE2" w14:paraId="6B3D0A41" w14:textId="0B8F56EF">
      <w:pPr>
        <w:ind w:left="720"/>
        <w:rPr>
          <w:rFonts w:ascii="Times New Roman" w:hAnsi="Times New Roman"/>
          <w:sz w:val="24"/>
        </w:rPr>
      </w:pPr>
      <w:r>
        <w:rPr>
          <w:rFonts w:ascii="Times New Roman" w:hAnsi="Times New Roman"/>
          <w:sz w:val="24"/>
        </w:rPr>
        <w:t xml:space="preserve">In response to the comment that </w:t>
      </w:r>
      <w:r w:rsidR="00796C2E">
        <w:rPr>
          <w:rFonts w:ascii="Times New Roman" w:hAnsi="Times New Roman"/>
          <w:sz w:val="24"/>
        </w:rPr>
        <w:t>these provisions lack justification</w:t>
      </w:r>
      <w:r w:rsidRPr="00AC7608">
        <w:rPr>
          <w:rFonts w:ascii="Times New Roman" w:hAnsi="Times New Roman"/>
          <w:sz w:val="24"/>
        </w:rPr>
        <w:t xml:space="preserve">, EPA maintains that the requirement to provide timely release data to responders in the case of an accidental </w:t>
      </w:r>
      <w:r w:rsidRPr="00AC7608">
        <w:rPr>
          <w:rFonts w:ascii="Times New Roman" w:hAnsi="Times New Roman"/>
          <w:sz w:val="24"/>
        </w:rPr>
        <w:t xml:space="preserve">release will help ensure that local responders have sufficient information to make the best decision on whether community notification is appropriate. </w:t>
      </w:r>
      <w:r w:rsidR="005153C9">
        <w:rPr>
          <w:rFonts w:ascii="Times New Roman" w:hAnsi="Times New Roman"/>
          <w:sz w:val="24"/>
        </w:rPr>
        <w:t xml:space="preserve">Further, while </w:t>
      </w:r>
      <w:r w:rsidRPr="00187424" w:rsidR="00187424">
        <w:rPr>
          <w:rFonts w:ascii="Times New Roman" w:hAnsi="Times New Roman"/>
          <w:sz w:val="24"/>
        </w:rPr>
        <w:t>EPA acknowledges that EPCRA section 304, CERCLA section 103, and the CSB have similar Federal reporting requirements, and that there may also be State-only requirements for release notification and reporting that could meet this requirement</w:t>
      </w:r>
      <w:r w:rsidR="005153C9">
        <w:rPr>
          <w:rFonts w:ascii="Times New Roman" w:hAnsi="Times New Roman"/>
          <w:sz w:val="24"/>
        </w:rPr>
        <w:t xml:space="preserve">, </w:t>
      </w:r>
      <w:r w:rsidRPr="00187424" w:rsidR="00187424">
        <w:rPr>
          <w:rFonts w:ascii="Times New Roman" w:hAnsi="Times New Roman"/>
          <w:sz w:val="24"/>
        </w:rPr>
        <w:t>EPA believes this provision is particularly useful in closing regulatory gaps for chemical release notification where other statutory requirements do not apply.</w:t>
      </w:r>
    </w:p>
    <w:p w:rsidR="00C52FE2" w:rsidRPr="006F68E9" w:rsidP="00C52FE2" w14:paraId="1FBF3D47" w14:textId="77777777">
      <w:pPr>
        <w:rPr>
          <w:rFonts w:ascii="Times New Roman" w:hAnsi="Times New Roman"/>
          <w:sz w:val="24"/>
        </w:rPr>
      </w:pPr>
      <w:r>
        <w:rPr>
          <w:rFonts w:ascii="Times New Roman" w:hAnsi="Times New Roman"/>
          <w:b/>
          <w:bCs/>
          <w:sz w:val="24"/>
        </w:rPr>
        <w:t xml:space="preserve">Comment 11.2-03: </w:t>
      </w:r>
      <w:r w:rsidRPr="006F68E9">
        <w:rPr>
          <w:rFonts w:ascii="Times New Roman" w:hAnsi="Times New Roman"/>
          <w:sz w:val="24"/>
        </w:rPr>
        <w:t xml:space="preserve">Several commenters expressed concern that requirements to coordinate with LEPCs in the regulation will conflict with current OSHA regulations. The commenters added that multiple standards create opportunities for uneven enforcement between agencies and confusion among facilities (0180, 0217, 0226, 0234, 0458). </w:t>
      </w:r>
    </w:p>
    <w:p w:rsidR="00227F91" w:rsidP="00C52FE2" w14:paraId="0E120740" w14:textId="77777777">
      <w:pPr>
        <w:ind w:left="720"/>
        <w:rPr>
          <w:rFonts w:ascii="Times New Roman" w:hAnsi="Times New Roman"/>
          <w:sz w:val="24"/>
        </w:rPr>
      </w:pPr>
      <w:r w:rsidRPr="00DF23B9">
        <w:rPr>
          <w:rFonts w:ascii="Times New Roman" w:hAnsi="Times New Roman"/>
          <w:b/>
          <w:bCs/>
          <w:sz w:val="24"/>
        </w:rPr>
        <w:t>EPA Response:</w:t>
      </w:r>
      <w:r>
        <w:rPr>
          <w:rFonts w:ascii="Times New Roman" w:hAnsi="Times New Roman"/>
          <w:sz w:val="24"/>
        </w:rPr>
        <w:t xml:space="preserve"> </w:t>
      </w:r>
      <w:bookmarkStart w:id="132" w:name="_Hlk149635344"/>
      <w:r w:rsidRPr="00AC5BB8" w:rsidR="00AC5BB8">
        <w:rPr>
          <w:rFonts w:ascii="Times New Roman" w:hAnsi="Times New Roman"/>
          <w:sz w:val="24"/>
        </w:rPr>
        <w:t>Under 40 CFR 68.93, owners and operators are</w:t>
      </w:r>
      <w:r w:rsidR="00362F91">
        <w:rPr>
          <w:rFonts w:ascii="Times New Roman" w:hAnsi="Times New Roman"/>
          <w:sz w:val="24"/>
        </w:rPr>
        <w:t xml:space="preserve"> already</w:t>
      </w:r>
      <w:r w:rsidRPr="00AC5BB8" w:rsidR="00AC5BB8">
        <w:rPr>
          <w:rFonts w:ascii="Times New Roman" w:hAnsi="Times New Roman"/>
          <w:sz w:val="24"/>
        </w:rPr>
        <w:t xml:space="preserve"> required, among others, to annually coordinate response needs with local emergency planning and response organizations to determine how the facility is addressed in the community emergency response plan.</w:t>
      </w:r>
      <w:bookmarkEnd w:id="132"/>
    </w:p>
    <w:p w:rsidR="00C52FE2" w:rsidP="00C52FE2" w14:paraId="069E825F" w14:textId="0E5FFBCA">
      <w:pPr>
        <w:ind w:left="720"/>
        <w:rPr>
          <w:rFonts w:ascii="Times New Roman" w:hAnsi="Times New Roman"/>
          <w:sz w:val="24"/>
        </w:rPr>
      </w:pPr>
      <w:r w:rsidRPr="001D66DC">
        <w:rPr>
          <w:rFonts w:ascii="Times New Roman" w:hAnsi="Times New Roman"/>
          <w:sz w:val="24"/>
        </w:rPr>
        <w:t>Further, f</w:t>
      </w:r>
      <w:r w:rsidRPr="001D66DC" w:rsidR="00826ACD">
        <w:rPr>
          <w:rFonts w:ascii="Times New Roman" w:hAnsi="Times New Roman"/>
          <w:sz w:val="24"/>
        </w:rPr>
        <w:t>or many years,</w:t>
      </w:r>
      <w:r w:rsidRPr="001D66DC">
        <w:rPr>
          <w:rFonts w:ascii="Times New Roman" w:hAnsi="Times New Roman"/>
          <w:sz w:val="24"/>
        </w:rPr>
        <w:t xml:space="preserve"> including</w:t>
      </w:r>
      <w:r w:rsidRPr="001D66DC" w:rsidR="00C37BCD">
        <w:rPr>
          <w:rFonts w:ascii="Times New Roman" w:hAnsi="Times New Roman"/>
          <w:sz w:val="24"/>
        </w:rPr>
        <w:t xml:space="preserve"> </w:t>
      </w:r>
      <w:r w:rsidRPr="001D66DC">
        <w:rPr>
          <w:rFonts w:ascii="Times New Roman" w:hAnsi="Times New Roman"/>
          <w:sz w:val="24"/>
        </w:rPr>
        <w:t xml:space="preserve">rulemakings finalized </w:t>
      </w:r>
      <w:r w:rsidRPr="001D66DC" w:rsidR="00DF23B9">
        <w:rPr>
          <w:rFonts w:ascii="Times New Roman" w:hAnsi="Times New Roman"/>
          <w:sz w:val="24"/>
        </w:rPr>
        <w:t>in</w:t>
      </w:r>
      <w:r w:rsidRPr="001D66DC">
        <w:rPr>
          <w:rFonts w:ascii="Times New Roman" w:hAnsi="Times New Roman"/>
          <w:sz w:val="24"/>
        </w:rPr>
        <w:t xml:space="preserve"> 2017</w:t>
      </w:r>
      <w:r w:rsidRPr="001D66DC" w:rsidR="00826ACD">
        <w:rPr>
          <w:rFonts w:ascii="Times New Roman" w:hAnsi="Times New Roman"/>
          <w:sz w:val="24"/>
        </w:rPr>
        <w:t xml:space="preserve"> </w:t>
      </w:r>
      <w:r w:rsidRPr="001D66DC" w:rsidR="00DF23B9">
        <w:rPr>
          <w:rFonts w:ascii="Times New Roman" w:hAnsi="Times New Roman"/>
          <w:sz w:val="24"/>
        </w:rPr>
        <w:t xml:space="preserve">and 2019, </w:t>
      </w:r>
      <w:r w:rsidRPr="001D66DC" w:rsidR="00826ACD">
        <w:rPr>
          <w:rFonts w:ascii="Times New Roman" w:hAnsi="Times New Roman"/>
          <w:sz w:val="24"/>
        </w:rPr>
        <w:t xml:space="preserve">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Appendix A to this document), staff from the agencies discussed the development of the RMP SCCAP Rule and potential issues to be addressed by EPA. These discussions included the </w:t>
      </w:r>
      <w:r w:rsidRPr="001D66DC" w:rsidR="00C84B4D">
        <w:rPr>
          <w:rFonts w:ascii="Times New Roman" w:hAnsi="Times New Roman"/>
          <w:sz w:val="24"/>
        </w:rPr>
        <w:t>emergency response</w:t>
      </w:r>
      <w:r w:rsidRPr="001D66DC" w:rsidR="00826ACD">
        <w:rPr>
          <w:rFonts w:ascii="Times New Roman" w:hAnsi="Times New Roman"/>
          <w:sz w:val="24"/>
        </w:rPr>
        <w:t xml:space="preserve"> requirement</w:t>
      </w:r>
      <w:r w:rsidRPr="001D66DC" w:rsidR="00DE0617">
        <w:rPr>
          <w:rFonts w:ascii="Times New Roman" w:hAnsi="Times New Roman"/>
          <w:sz w:val="24"/>
        </w:rPr>
        <w:t xml:space="preserve">s to ensure </w:t>
      </w:r>
      <w:r w:rsidRPr="001D66DC" w:rsidR="00B3613A">
        <w:rPr>
          <w:rFonts w:ascii="Times New Roman" w:hAnsi="Times New Roman"/>
          <w:sz w:val="24"/>
        </w:rPr>
        <w:t>the RMP regulations do not create conflicting requirements with OSHA’s PSM standard</w:t>
      </w:r>
      <w:r w:rsidRPr="001D66DC" w:rsidR="00DE0617">
        <w:rPr>
          <w:rFonts w:ascii="Times New Roman" w:hAnsi="Times New Roman"/>
          <w:sz w:val="24"/>
        </w:rPr>
        <w:t>.</w:t>
      </w:r>
    </w:p>
    <w:p w:rsidR="00703E90" w:rsidP="00703E90" w14:paraId="72E4D641" w14:textId="447F09D5">
      <w:pPr>
        <w:rPr>
          <w:rFonts w:ascii="Times New Roman" w:hAnsi="Times New Roman"/>
          <w:sz w:val="24"/>
        </w:rPr>
      </w:pPr>
      <w:r w:rsidRPr="00D63265">
        <w:rPr>
          <w:rFonts w:ascii="Times New Roman" w:hAnsi="Times New Roman"/>
          <w:b/>
          <w:bCs/>
          <w:sz w:val="24"/>
        </w:rPr>
        <w:t>Comment</w:t>
      </w:r>
      <w:r>
        <w:rPr>
          <w:rFonts w:ascii="Times New Roman" w:hAnsi="Times New Roman"/>
          <w:b/>
          <w:bCs/>
          <w:sz w:val="24"/>
        </w:rPr>
        <w:t xml:space="preserve"> 11.2-0</w:t>
      </w:r>
      <w:r w:rsidR="00A16F37">
        <w:rPr>
          <w:rFonts w:ascii="Times New Roman" w:hAnsi="Times New Roman"/>
          <w:b/>
          <w:bCs/>
          <w:sz w:val="24"/>
        </w:rPr>
        <w:t>4</w:t>
      </w:r>
      <w:r w:rsidRPr="00D63265">
        <w:rPr>
          <w:rFonts w:ascii="Times New Roman" w:hAnsi="Times New Roman"/>
          <w:b/>
          <w:bCs/>
          <w:sz w:val="24"/>
        </w:rPr>
        <w:t xml:space="preserve">: </w:t>
      </w:r>
      <w:r w:rsidRPr="006D26C3">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stated that</w:t>
      </w:r>
      <w:r w:rsidRPr="006F68E9">
        <w:rPr>
          <w:rFonts w:ascii="Times New Roman" w:hAnsi="Times New Roman"/>
          <w:sz w:val="24"/>
        </w:rPr>
        <w:t xml:space="preserve">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should only require notification of releases potentially impacting an offsite community (0238). </w:t>
      </w:r>
    </w:p>
    <w:p w:rsidR="00703E90" w:rsidP="00703E90" w14:paraId="4FFC6F01" w14:textId="77777777">
      <w:pPr>
        <w:ind w:left="720"/>
        <w:rPr>
          <w:rFonts w:ascii="Times New Roman" w:hAnsi="Times New Roman"/>
          <w:sz w:val="24"/>
        </w:rPr>
      </w:pPr>
      <w:r w:rsidRPr="00A73A7D">
        <w:rPr>
          <w:rFonts w:ascii="Times New Roman" w:hAnsi="Times New Roman"/>
          <w:b/>
          <w:bCs/>
          <w:sz w:val="24"/>
        </w:rPr>
        <w:t>EPA Response:</w:t>
      </w:r>
      <w:r w:rsidRPr="00A73A7D">
        <w:t xml:space="preserve"> </w:t>
      </w:r>
      <w:r w:rsidRPr="0091601A">
        <w:rPr>
          <w:rFonts w:ascii="Times New Roman" w:hAnsi="Times New Roman"/>
          <w:sz w:val="24"/>
        </w:rPr>
        <w:t>After review of comments, EPA maintains that the requirement to provide timely release data to responders in the case of an accidental release will help ensure that local responders have sufficient information to make the best decision on whether community notification is appropriate.</w:t>
      </w:r>
      <w:r>
        <w:rPr>
          <w:rFonts w:ascii="Times New Roman" w:hAnsi="Times New Roman"/>
          <w:sz w:val="24"/>
        </w:rPr>
        <w:t xml:space="preserve"> </w:t>
      </w:r>
      <w:r w:rsidRPr="00A73A7D">
        <w:rPr>
          <w:rFonts w:ascii="Times New Roman" w:hAnsi="Times New Roman"/>
          <w:sz w:val="24"/>
        </w:rPr>
        <w:t xml:space="preserve">EPA realizes that when facility owners and operators first detect a release, they may not have all the details of the situation. However, EPA expects RMP facility owners and operators to be familiar enough with their regulated substances, processes, and potential release scenarios to promptly notify the public to support timely protective actions. EPA would also expect owners and operators to provide follow-up information about the release to local responders as soon as possible, to either provide more accurate data or to correct erroneous data that had been previously relayed. EPA expects that the annual emergency response coordination meetings (40 CFR 68.93) and notification exercises (40 CFR 68.96(a)) will help to ensure that these plans and procedures are discussed and practiced. </w:t>
      </w:r>
    </w:p>
    <w:p w:rsidR="00703E90" w:rsidP="00703E90" w14:paraId="32110FA1" w14:textId="77D86FF0">
      <w:pPr>
        <w:ind w:left="720"/>
        <w:rPr>
          <w:rFonts w:ascii="Times New Roman" w:hAnsi="Times New Roman"/>
          <w:sz w:val="24"/>
        </w:rPr>
      </w:pPr>
      <w:r w:rsidRPr="00A73A7D">
        <w:rPr>
          <w:rFonts w:ascii="Times New Roman" w:hAnsi="Times New Roman"/>
          <w:sz w:val="24"/>
        </w:rPr>
        <w:t xml:space="preserve">The Agency recognizes the possible tradeoff between early notification and accuracy. In some cases, a potential or actual release may be averted or mitigated within the facility well before any exposure to toxic fumes, intense heat, or blast overpressure occurs to the community. Early notification, or even ‘‘false positives’’ have the potential to disrupt communities and divert public response resources. Nevertheless, given the gravity of </w:t>
      </w:r>
      <w:r w:rsidRPr="00A73A7D">
        <w:rPr>
          <w:rFonts w:ascii="Times New Roman" w:hAnsi="Times New Roman"/>
          <w:sz w:val="24"/>
        </w:rPr>
        <w:t>potential accidental releases of regulated substances from processes subject to the RMP rule—and in light of repeated expressions of concern heard at the 2021 listening sessions</w:t>
      </w:r>
      <w:r>
        <w:rPr>
          <w:rFonts w:ascii="Times New Roman" w:hAnsi="Times New Roman"/>
          <w:sz w:val="24"/>
        </w:rPr>
        <w:t xml:space="preserve"> and 2022 public hearings</w:t>
      </w:r>
      <w:r w:rsidRPr="00A73A7D">
        <w:rPr>
          <w:rFonts w:ascii="Times New Roman" w:hAnsi="Times New Roman"/>
          <w:sz w:val="24"/>
        </w:rPr>
        <w:t xml:space="preserve">—EPA believes its </w:t>
      </w:r>
      <w:r>
        <w:rPr>
          <w:rFonts w:ascii="Times New Roman" w:hAnsi="Times New Roman"/>
          <w:sz w:val="24"/>
        </w:rPr>
        <w:t>final</w:t>
      </w:r>
      <w:r w:rsidRPr="00A73A7D">
        <w:rPr>
          <w:rFonts w:ascii="Times New Roman" w:hAnsi="Times New Roman"/>
          <w:sz w:val="24"/>
        </w:rPr>
        <w:t xml:space="preserve"> amendments will provide a greater level of comfort and overall safety to communities surrounding RMP facilities. </w:t>
      </w:r>
    </w:p>
    <w:p w:rsidR="000859CC" w:rsidRPr="00116C46" w:rsidP="000859CC" w14:paraId="2F80FD29" w14:textId="2D13FE8D">
      <w:pPr>
        <w:rPr>
          <w:rFonts w:ascii="Times New Roman" w:hAnsi="Times New Roman"/>
          <w:b/>
          <w:bCs/>
          <w:sz w:val="24"/>
        </w:rPr>
      </w:pPr>
      <w:r w:rsidRPr="00116C46">
        <w:rPr>
          <w:rFonts w:ascii="Times New Roman" w:hAnsi="Times New Roman"/>
          <w:b/>
          <w:sz w:val="24"/>
        </w:rPr>
        <w:t>Comment 11.2-</w:t>
      </w:r>
      <w:r>
        <w:rPr>
          <w:rFonts w:ascii="Times New Roman" w:hAnsi="Times New Roman"/>
          <w:b/>
          <w:sz w:val="24"/>
        </w:rPr>
        <w:t>05</w:t>
      </w:r>
      <w:r w:rsidRPr="00116C46">
        <w:rPr>
          <w:rFonts w:ascii="Times New Roman" w:hAnsi="Times New Roman"/>
          <w:b/>
          <w:sz w:val="24"/>
        </w:rPr>
        <w:t xml:space="preserve">: </w:t>
      </w:r>
      <w:r w:rsidRPr="00116C46">
        <w:rPr>
          <w:rFonts w:ascii="Times New Roman" w:hAnsi="Times New Roman"/>
          <w:sz w:val="24"/>
        </w:rPr>
        <w:t>One commenter listed specific information that should be included in a public notification: chemical(s) released; estimated time it began; estimated quantity released; potential quantity to be released; and potential consequences to human health and the environment (0223).</w:t>
      </w:r>
    </w:p>
    <w:p w:rsidR="000859CC" w:rsidRPr="000859CC" w:rsidP="000859CC" w14:paraId="476767E1" w14:textId="53218C39">
      <w:pPr>
        <w:ind w:left="720"/>
        <w:rPr>
          <w:rFonts w:ascii="Times New Roman" w:hAnsi="Times New Roman"/>
          <w:b/>
          <w:sz w:val="24"/>
        </w:rPr>
      </w:pPr>
      <w:r w:rsidRPr="008F2F0E">
        <w:rPr>
          <w:rFonts w:ascii="Times New Roman" w:hAnsi="Times New Roman"/>
          <w:b/>
          <w:sz w:val="24"/>
        </w:rPr>
        <w:t>EPA Response:</w:t>
      </w:r>
      <w:r w:rsidRPr="00801FBD">
        <w:t xml:space="preserve"> </w:t>
      </w:r>
      <w:r w:rsidRPr="00793546">
        <w:rPr>
          <w:rFonts w:ascii="Times New Roman" w:hAnsi="Times New Roman"/>
          <w:sz w:val="24"/>
        </w:rPr>
        <w:t>For emergency response provisions</w:t>
      </w:r>
      <w:r>
        <w:rPr>
          <w:rFonts w:ascii="Times New Roman" w:hAnsi="Times New Roman"/>
          <w:sz w:val="24"/>
        </w:rPr>
        <w:t xml:space="preserve"> finalized in this rule</w:t>
      </w:r>
      <w:r w:rsidRPr="00793546">
        <w:rPr>
          <w:rFonts w:ascii="Times New Roman" w:hAnsi="Times New Roman"/>
          <w:sz w:val="24"/>
        </w:rPr>
        <w:t xml:space="preserve"> related to timely data being provided to emergency responders at 68.90(b)(3) and 68.95(c), </w:t>
      </w:r>
      <w:r w:rsidRPr="00793546">
        <w:rPr>
          <w:rFonts w:ascii="Times New Roman" w:hAnsi="Times New Roman"/>
          <w:bCs/>
          <w:sz w:val="24"/>
        </w:rPr>
        <w:t>EPA agrees with commentors. Appropriate, timely data and information to local responders, detailing the current understanding and best estimates of the nature of the release should include the regulated substance released, estimated time the release began, estimated quantity already released and potential quantity to be released, and potential consequences of the release to human health and the environment. EPA realizes that when facility owners and operators first detect a release, they may not have all the details of the situation. However, EPA expects RMP facility owners and operators to be familiar enough with their regulated substances, processes, and potential release scenarios to promptly notify the public to support timely protective actions. EPA would also expect owners and operators to provide follow-up information about the release to local responders as soon as possible, to either provide more accurate data or to correct erroneous data that had been previously relayed.</w:t>
      </w:r>
    </w:p>
    <w:p w:rsidR="00C52FE2" w:rsidRPr="001005DE" w:rsidP="00C52FE2" w14:paraId="09FC251F" w14:textId="77777777">
      <w:pPr>
        <w:rPr>
          <w:rFonts w:ascii="Times New Roman" w:hAnsi="Times New Roman"/>
          <w:i/>
          <w:iCs/>
          <w:sz w:val="24"/>
        </w:rPr>
      </w:pPr>
      <w:r>
        <w:rPr>
          <w:rFonts w:ascii="Times New Roman" w:hAnsi="Times New Roman"/>
          <w:i/>
          <w:iCs/>
          <w:sz w:val="24"/>
        </w:rPr>
        <w:t>Support for proposed requirements for ensuring a community notification system is in place</w:t>
      </w:r>
    </w:p>
    <w:p w:rsidR="00C52FE2" w:rsidP="00C52FE2" w14:paraId="2928C8FD" w14:textId="7722635A">
      <w:pPr>
        <w:rPr>
          <w:rFonts w:ascii="Times New Roman" w:hAnsi="Times New Roman"/>
          <w:sz w:val="24"/>
        </w:rPr>
      </w:pPr>
      <w:r>
        <w:rPr>
          <w:rFonts w:ascii="Times New Roman" w:hAnsi="Times New Roman"/>
          <w:b/>
          <w:bCs/>
          <w:sz w:val="24"/>
        </w:rPr>
        <w:t>Comment 11.2-0</w:t>
      </w:r>
      <w:r w:rsidR="000859CC">
        <w:rPr>
          <w:rFonts w:ascii="Times New Roman" w:hAnsi="Times New Roman"/>
          <w:b/>
          <w:bCs/>
          <w:sz w:val="24"/>
        </w:rPr>
        <w:t>6</w:t>
      </w:r>
      <w:r>
        <w:rPr>
          <w:rFonts w:ascii="Times New Roman" w:hAnsi="Times New Roman"/>
          <w:b/>
          <w:bCs/>
          <w:sz w:val="24"/>
        </w:rPr>
        <w:t xml:space="preserve">: </w:t>
      </w:r>
      <w:r w:rsidRPr="006F68E9">
        <w:rPr>
          <w:rFonts w:ascii="Times New Roman" w:hAnsi="Times New Roman"/>
          <w:sz w:val="24"/>
        </w:rPr>
        <w:t xml:space="preserve">Several commenters supported a public emergency notification system provision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(0141, 0143, 0151, 0179, 0191, 0208, 0209, 0211, 0240, 0243, 0252, 0255, </w:t>
      </w:r>
      <w:r>
        <w:rPr>
          <w:rFonts w:ascii="Times New Roman" w:hAnsi="Times New Roman"/>
          <w:sz w:val="24"/>
        </w:rPr>
        <w:t xml:space="preserve">0257, </w:t>
      </w:r>
      <w:r w:rsidRPr="006F68E9">
        <w:rPr>
          <w:rFonts w:ascii="Times New Roman" w:hAnsi="Times New Roman"/>
          <w:sz w:val="24"/>
        </w:rPr>
        <w:t>0264, 0269, 0383, 0413, 0444</w:t>
      </w:r>
      <w:r>
        <w:rPr>
          <w:rFonts w:ascii="Times New Roman" w:hAnsi="Times New Roman"/>
          <w:sz w:val="24"/>
        </w:rPr>
        <w:t>, 0460</w:t>
      </w:r>
      <w:r w:rsidRPr="006F68E9">
        <w:rPr>
          <w:rFonts w:ascii="Times New Roman" w:hAnsi="Times New Roman"/>
          <w:sz w:val="24"/>
        </w:rPr>
        <w:t>).</w:t>
      </w:r>
      <w:r>
        <w:rPr>
          <w:rFonts w:ascii="Times New Roman" w:hAnsi="Times New Roman"/>
          <w:sz w:val="24"/>
        </w:rPr>
        <w:t xml:space="preserve"> </w:t>
      </w:r>
      <w:r w:rsidRPr="006F68E9">
        <w:rPr>
          <w:rFonts w:ascii="Times New Roman" w:hAnsi="Times New Roman"/>
          <w:sz w:val="24"/>
        </w:rPr>
        <w:t>One commenter explained current notification procedures are inadequate, with some community members not learning about a release until hours afterward (0444).</w:t>
      </w:r>
    </w:p>
    <w:p w:rsidR="00C52FE2" w:rsidP="00C52FE2" w14:paraId="1CB36AA1" w14:textId="77777777">
      <w:pPr>
        <w:rPr>
          <w:rFonts w:ascii="Times New Roman" w:hAnsi="Times New Roman"/>
          <w:sz w:val="24"/>
        </w:rPr>
      </w:pPr>
      <w:r w:rsidRPr="006F68E9">
        <w:rPr>
          <w:rFonts w:ascii="Times New Roman" w:hAnsi="Times New Roman"/>
          <w:sz w:val="24"/>
        </w:rPr>
        <w:t xml:space="preserve">One commenter specified they do not oppose a requirement that nonresponding facilities work with local, state, and federal officials to ensure a community notification system is in place (0275). One commenter </w:t>
      </w:r>
      <w:r>
        <w:rPr>
          <w:rFonts w:ascii="Times New Roman" w:hAnsi="Times New Roman"/>
          <w:sz w:val="24"/>
        </w:rPr>
        <w:t>said</w:t>
      </w:r>
      <w:r w:rsidRPr="006F68E9">
        <w:rPr>
          <w:rFonts w:ascii="Times New Roman" w:hAnsi="Times New Roman"/>
          <w:sz w:val="24"/>
        </w:rPr>
        <w:t xml:space="preserve"> these requirements to strengthen emergency notification are critical to saving the lives of workers and fenceline communities and are necessary to advance EPA’s environmental justice goals and provide these communities with the tools and information they need to prepare for dangerous incidents (0456).</w:t>
      </w:r>
    </w:p>
    <w:p w:rsidR="00C52FE2" w:rsidP="00C52FE2" w14:paraId="2A0E585D" w14:textId="77777777">
      <w:pPr>
        <w:rPr>
          <w:rFonts w:ascii="Times New Roman" w:hAnsi="Times New Roman"/>
          <w:sz w:val="24"/>
        </w:rPr>
      </w:pPr>
      <w:r>
        <w:rPr>
          <w:rFonts w:ascii="Times New Roman" w:hAnsi="Times New Roman"/>
          <w:sz w:val="24"/>
        </w:rPr>
        <w:t>O</w:t>
      </w:r>
      <w:r w:rsidRPr="006F68E9">
        <w:rPr>
          <w:rFonts w:ascii="Times New Roman" w:hAnsi="Times New Roman"/>
          <w:sz w:val="24"/>
        </w:rPr>
        <w:t xml:space="preserve">ne commenter requested insurances that workers and community members are not only adequately informed of accident risks and measures to take when accidents occur, but also involved in the design of accident education and response programs. The commenter </w:t>
      </w:r>
      <w:r>
        <w:rPr>
          <w:rFonts w:ascii="Times New Roman" w:hAnsi="Times New Roman"/>
          <w:sz w:val="24"/>
        </w:rPr>
        <w:t>suggested</w:t>
      </w:r>
      <w:r w:rsidRPr="006F68E9">
        <w:rPr>
          <w:rFonts w:ascii="Times New Roman" w:hAnsi="Times New Roman"/>
          <w:sz w:val="24"/>
        </w:rPr>
        <w:t xml:space="preserve"> education programs for workers and the public, public online access to facility emissions monitoring and accident reports, continuous accident monitoring and detection systems, and a rapid accident warning system within the facility and in the surrounding community (0151).</w:t>
      </w:r>
    </w:p>
    <w:p w:rsidR="00C52FE2" w:rsidP="00C52FE2" w14:paraId="0360B245" w14:textId="77777777">
      <w:pPr>
        <w:rPr>
          <w:rFonts w:ascii="Times New Roman" w:hAnsi="Times New Roman"/>
          <w:sz w:val="24"/>
        </w:rPr>
      </w:pPr>
      <w:r w:rsidRPr="006F68E9">
        <w:rPr>
          <w:rFonts w:ascii="Times New Roman" w:hAnsi="Times New Roman"/>
          <w:sz w:val="24"/>
        </w:rPr>
        <w:t xml:space="preserve">One commenter suggested that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should require enhanced community notification and emergency response. The commenter stated that this will enhance post-incidence response and should be done without waiting for more disasters to occur (0139).</w:t>
      </w:r>
    </w:p>
    <w:p w:rsidR="00F37DD0" w:rsidP="00C52FE2" w14:paraId="23A79B1B" w14:textId="3D170239">
      <w:pPr>
        <w:rPr>
          <w:rFonts w:ascii="Times New Roman" w:hAnsi="Times New Roman"/>
          <w:sz w:val="24"/>
        </w:rPr>
      </w:pPr>
      <w:r w:rsidRPr="006F68E9">
        <w:rPr>
          <w:rFonts w:ascii="Times New Roman" w:eastAsia="Times New Roman" w:hAnsi="Times New Roman"/>
          <w:sz w:val="24"/>
        </w:rPr>
        <w:t>One commenter offered examples from New Castle, Delaware, and Houston, Texas, where environmental justice communities were not adequately notified of emergency events (0270).</w:t>
      </w:r>
      <w:r w:rsidRPr="00E1035E">
        <w:rPr>
          <w:rFonts w:ascii="Times New Roman" w:eastAsia="Times New Roman" w:hAnsi="Times New Roman"/>
          <w:sz w:val="24"/>
        </w:rPr>
        <w:t xml:space="preserve"> </w:t>
      </w:r>
    </w:p>
    <w:p w:rsidR="00C26530" w:rsidP="00522820" w14:paraId="443A948A" w14:textId="039BFB59">
      <w:pPr>
        <w:ind w:left="720"/>
        <w:rPr>
          <w:rFonts w:ascii="Times New Roman" w:hAnsi="Times New Roman"/>
          <w:sz w:val="24"/>
        </w:rPr>
      </w:pPr>
      <w:r w:rsidRPr="001C63C8">
        <w:rPr>
          <w:rFonts w:ascii="Times New Roman" w:hAnsi="Times New Roman"/>
          <w:b/>
          <w:bCs/>
          <w:sz w:val="24"/>
        </w:rPr>
        <w:t>EPA Response:</w:t>
      </w:r>
      <w:r w:rsidRPr="001C63C8">
        <w:rPr>
          <w:rFonts w:ascii="Times New Roman" w:hAnsi="Times New Roman"/>
          <w:sz w:val="24"/>
        </w:rPr>
        <w:t xml:space="preserve"> </w:t>
      </w:r>
      <w:r w:rsidRPr="00583CBF" w:rsidR="004B41C6">
        <w:rPr>
          <w:rFonts w:ascii="Times New Roman" w:hAnsi="Times New Roman"/>
          <w:sz w:val="24"/>
        </w:rPr>
        <w:t xml:space="preserve">After review of comments, EPA maintains that the requirement to ensure that, during a release, all necessary resources are in place for a community notification system to function and operate as expected will help protect the public from accidental releases. </w:t>
      </w:r>
      <w:r w:rsidRPr="00583CBF" w:rsidR="00913103">
        <w:rPr>
          <w:rFonts w:ascii="Times New Roman" w:hAnsi="Times New Roman"/>
          <w:sz w:val="24"/>
        </w:rPr>
        <w:t xml:space="preserve">EPA’s intention for this provision has always been for facility owners and operators to work with the local responders to ensure that, during a release, a notification system is in place that will notify the public of the impending situation. </w:t>
      </w:r>
      <w:r w:rsidRPr="00583CBF" w:rsidR="004B41C6">
        <w:rPr>
          <w:rFonts w:ascii="Times New Roman" w:hAnsi="Times New Roman"/>
          <w:sz w:val="24"/>
        </w:rPr>
        <w:t xml:space="preserve">EPA is therefore finalizing the proposed provision with the following modification—revising the proposed provisions for 40 CFR 68.90(b)(6) and 68.95(a)(1)(i) to specify that the owner or operator should partner with local response agencies to ensure a community notification system is in place and to document the collaboration. </w:t>
      </w:r>
      <w:r w:rsidRPr="00152B54" w:rsidR="00152B54">
        <w:rPr>
          <w:rFonts w:ascii="Times New Roman" w:hAnsi="Times New Roman"/>
          <w:sz w:val="24"/>
        </w:rPr>
        <w:t xml:space="preserve">EPA is not requiring the use of this specific system to be the one solely used to notify the public. </w:t>
      </w:r>
      <w:r w:rsidR="00D0714F">
        <w:rPr>
          <w:rFonts w:ascii="Times New Roman" w:hAnsi="Times New Roman"/>
          <w:sz w:val="24"/>
        </w:rPr>
        <w:t>At this time</w:t>
      </w:r>
      <w:r w:rsidR="0064147D">
        <w:rPr>
          <w:rFonts w:ascii="Times New Roman" w:hAnsi="Times New Roman"/>
          <w:sz w:val="24"/>
        </w:rPr>
        <w:t xml:space="preserve">, </w:t>
      </w:r>
      <w:r w:rsidR="00D97039">
        <w:rPr>
          <w:rFonts w:ascii="Times New Roman" w:hAnsi="Times New Roman"/>
          <w:sz w:val="24"/>
        </w:rPr>
        <w:t xml:space="preserve">EPA is also not </w:t>
      </w:r>
      <w:r w:rsidR="00A0450C">
        <w:rPr>
          <w:rFonts w:ascii="Times New Roman" w:hAnsi="Times New Roman"/>
          <w:sz w:val="24"/>
        </w:rPr>
        <w:t xml:space="preserve">requiring further </w:t>
      </w:r>
      <w:r w:rsidR="004616B0">
        <w:rPr>
          <w:rFonts w:ascii="Times New Roman" w:hAnsi="Times New Roman"/>
          <w:sz w:val="24"/>
        </w:rPr>
        <w:t>specifics</w:t>
      </w:r>
      <w:r w:rsidR="00B9710E">
        <w:rPr>
          <w:rFonts w:ascii="Times New Roman" w:hAnsi="Times New Roman"/>
          <w:sz w:val="24"/>
        </w:rPr>
        <w:t xml:space="preserve"> for working wi</w:t>
      </w:r>
      <w:r w:rsidR="00515772">
        <w:rPr>
          <w:rFonts w:ascii="Times New Roman" w:hAnsi="Times New Roman"/>
          <w:sz w:val="24"/>
        </w:rPr>
        <w:t xml:space="preserve">th and keeping the </w:t>
      </w:r>
      <w:r w:rsidR="00E7644B">
        <w:rPr>
          <w:rFonts w:ascii="Times New Roman" w:hAnsi="Times New Roman"/>
          <w:sz w:val="24"/>
        </w:rPr>
        <w:t xml:space="preserve">community informed of potential releases at the facility. </w:t>
      </w:r>
      <w:r w:rsidRPr="00152B54" w:rsidR="00152B54">
        <w:rPr>
          <w:rFonts w:ascii="Times New Roman" w:hAnsi="Times New Roman"/>
          <w:sz w:val="24"/>
        </w:rPr>
        <w:t xml:space="preserve">EPA </w:t>
      </w:r>
      <w:r w:rsidR="00E7644B">
        <w:rPr>
          <w:rFonts w:ascii="Times New Roman" w:hAnsi="Times New Roman"/>
          <w:sz w:val="24"/>
        </w:rPr>
        <w:t xml:space="preserve">does however </w:t>
      </w:r>
      <w:r w:rsidRPr="00152B54" w:rsidR="00E7644B">
        <w:rPr>
          <w:rFonts w:ascii="Times New Roman" w:hAnsi="Times New Roman"/>
          <w:sz w:val="24"/>
        </w:rPr>
        <w:t>encourage</w:t>
      </w:r>
      <w:r w:rsidRPr="00152B54" w:rsidR="00152B54">
        <w:rPr>
          <w:rFonts w:ascii="Times New Roman" w:hAnsi="Times New Roman"/>
          <w:sz w:val="24"/>
        </w:rPr>
        <w:t xml:space="preserve"> facility owners and operators to work with response agencies to determine how best to alert a potentially affected community about impending chemical releases.</w:t>
      </w:r>
      <w:r w:rsidRPr="00583CBF" w:rsidR="004B41C6">
        <w:rPr>
          <w:rFonts w:ascii="Times New Roman" w:hAnsi="Times New Roman"/>
          <w:sz w:val="24"/>
        </w:rPr>
        <w:t xml:space="preserve"> </w:t>
      </w:r>
    </w:p>
    <w:p w:rsidR="00C52FE2" w:rsidRPr="001005DE" w:rsidP="00C52FE2" w14:paraId="33BCE7EA" w14:textId="77777777">
      <w:pPr>
        <w:rPr>
          <w:rFonts w:ascii="Times New Roman" w:hAnsi="Times New Roman"/>
          <w:i/>
          <w:iCs/>
          <w:sz w:val="24"/>
        </w:rPr>
      </w:pPr>
      <w:r>
        <w:rPr>
          <w:rFonts w:ascii="Times New Roman" w:hAnsi="Times New Roman"/>
          <w:i/>
          <w:iCs/>
          <w:sz w:val="24"/>
        </w:rPr>
        <w:t>Revisions to proposed requirements for ensuring a community notification system is in place</w:t>
      </w:r>
    </w:p>
    <w:p w:rsidR="00C52FE2" w:rsidP="00C52FE2" w14:paraId="7119CA28" w14:textId="218CE429">
      <w:pPr>
        <w:rPr>
          <w:rFonts w:ascii="Times New Roman" w:hAnsi="Times New Roman"/>
          <w:sz w:val="24"/>
        </w:rPr>
      </w:pPr>
      <w:r>
        <w:rPr>
          <w:rFonts w:ascii="Times New Roman" w:hAnsi="Times New Roman"/>
          <w:b/>
          <w:bCs/>
          <w:sz w:val="24"/>
        </w:rPr>
        <w:t>Comment 11.2-0</w:t>
      </w:r>
      <w:r w:rsidR="00326248">
        <w:rPr>
          <w:rFonts w:ascii="Times New Roman" w:hAnsi="Times New Roman"/>
          <w:b/>
          <w:bCs/>
          <w:sz w:val="24"/>
        </w:rPr>
        <w:t>7</w:t>
      </w:r>
      <w:r>
        <w:rPr>
          <w:rFonts w:ascii="Times New Roman" w:hAnsi="Times New Roman"/>
          <w:b/>
          <w:bCs/>
          <w:sz w:val="24"/>
        </w:rPr>
        <w:t xml:space="preserve">: </w:t>
      </w:r>
      <w:r w:rsidRPr="10E61CF2">
        <w:rPr>
          <w:rFonts w:ascii="Times New Roman" w:hAnsi="Times New Roman"/>
          <w:sz w:val="24"/>
        </w:rPr>
        <w:t xml:space="preserve">One commenter </w:t>
      </w:r>
      <w:r>
        <w:rPr>
          <w:rFonts w:ascii="Times New Roman" w:hAnsi="Times New Roman"/>
          <w:sz w:val="24"/>
        </w:rPr>
        <w:t>stated</w:t>
      </w:r>
      <w:r w:rsidRPr="10E61CF2">
        <w:rPr>
          <w:rFonts w:ascii="Times New Roman" w:hAnsi="Times New Roman"/>
          <w:sz w:val="24"/>
        </w:rPr>
        <w:t xml:space="preserve"> that while they support the presence of State and/or local alerting authorities, EPA should consider that this notification system may not be appropriate for all communities, especially those that are dealing with systemic barriers to safety and justice (0444). A few commenters suggested that, to remove the burden on facilities to ensure the notification systems of local responders, EPA should change “and ensure that” to “and </w:t>
      </w:r>
      <w:r w:rsidRPr="00907D0D">
        <w:rPr>
          <w:rFonts w:ascii="Times New Roman" w:hAnsi="Times New Roman"/>
          <w:i/>
          <w:iCs/>
          <w:sz w:val="24"/>
        </w:rPr>
        <w:t>partner</w:t>
      </w:r>
      <w:r w:rsidRPr="10E61CF2">
        <w:rPr>
          <w:rFonts w:ascii="Times New Roman" w:hAnsi="Times New Roman"/>
          <w:sz w:val="24"/>
        </w:rPr>
        <w:t xml:space="preserve"> to ensure that” (0184, 0237).</w:t>
      </w:r>
    </w:p>
    <w:p w:rsidR="00C52FE2" w:rsidP="00C52FE2" w14:paraId="056D4BAF" w14:textId="77777777">
      <w:pPr>
        <w:ind w:left="720"/>
        <w:rPr>
          <w:rFonts w:ascii="Times New Roman" w:hAnsi="Times New Roman"/>
          <w:sz w:val="24"/>
        </w:rPr>
      </w:pPr>
      <w:r w:rsidRPr="007F4368">
        <w:rPr>
          <w:rFonts w:ascii="Times New Roman" w:hAnsi="Times New Roman"/>
          <w:b/>
          <w:bCs/>
          <w:sz w:val="24"/>
        </w:rPr>
        <w:t>EPA Response:</w:t>
      </w:r>
      <w:r w:rsidRPr="007F4368">
        <w:rPr>
          <w:rFonts w:ascii="Times New Roman" w:hAnsi="Times New Roman"/>
          <w:sz w:val="24"/>
        </w:rPr>
        <w:t xml:space="preserve"> In response to comments that the language in this provision should be changed from “and ensure that” to “and partner to ensure that” a community notification system is in place, EPA has amended the language as suggested. It was not EPA’s intention in the proposed provision to transfer inherent government responsibilities to RMP regulated facilities. Rather, EPA’s intention for this provision has always been for facility owners and operators to work with the local responders to ensure that, during a release, a notification system is in place that will notify the public of the impending situation. The Agency expects that in most cases government emergency response officials will be the entities providing the notice. However, for the purposes of this rule, regulated facilities which have accidental releases are responsible for ensuring a prompt emergency response to any release at their facility’s covered processes in order to protect human health and the environment. As discussed in the proposal, if local public responders are not capable of providing such a response, the owner or operator is ultimately responsible for ensuring effective emergency response to any release at their facility occurs.</w:t>
      </w:r>
    </w:p>
    <w:p w:rsidR="00C52FE2" w:rsidRPr="006F68E9" w:rsidP="00C52FE2" w14:paraId="2D9FCA14" w14:textId="4B044E16">
      <w:pPr>
        <w:rPr>
          <w:rFonts w:ascii="Times New Roman" w:hAnsi="Times New Roman"/>
          <w:sz w:val="24"/>
        </w:rPr>
      </w:pPr>
      <w:r w:rsidRPr="00D63265">
        <w:rPr>
          <w:rFonts w:ascii="Times New Roman" w:hAnsi="Times New Roman"/>
          <w:b/>
          <w:bCs/>
          <w:sz w:val="24"/>
        </w:rPr>
        <w:t>Comment</w:t>
      </w:r>
      <w:r>
        <w:rPr>
          <w:rFonts w:ascii="Times New Roman" w:hAnsi="Times New Roman"/>
          <w:b/>
          <w:bCs/>
          <w:sz w:val="24"/>
        </w:rPr>
        <w:t xml:space="preserve"> 11.2-0</w:t>
      </w:r>
      <w:r w:rsidR="00326248">
        <w:rPr>
          <w:rFonts w:ascii="Times New Roman" w:hAnsi="Times New Roman"/>
          <w:b/>
          <w:bCs/>
          <w:sz w:val="24"/>
        </w:rPr>
        <w:t>8</w:t>
      </w:r>
      <w:r w:rsidRPr="00D63265">
        <w:rPr>
          <w:rFonts w:ascii="Times New Roman" w:hAnsi="Times New Roman"/>
          <w:b/>
          <w:bCs/>
          <w:sz w:val="24"/>
        </w:rPr>
        <w:t xml:space="preserve">: </w:t>
      </w:r>
      <w:r w:rsidRPr="006F68E9">
        <w:rPr>
          <w:rFonts w:ascii="Times New Roman" w:hAnsi="Times New Roman"/>
          <w:sz w:val="24"/>
        </w:rPr>
        <w:t xml:space="preserve">Instead of the responsibility for notifying the public, several commenters </w:t>
      </w:r>
      <w:r>
        <w:rPr>
          <w:rFonts w:ascii="Times New Roman" w:hAnsi="Times New Roman"/>
          <w:sz w:val="24"/>
        </w:rPr>
        <w:t>stated that</w:t>
      </w:r>
      <w:r w:rsidRPr="006F68E9">
        <w:rPr>
          <w:rFonts w:ascii="Times New Roman" w:hAnsi="Times New Roman"/>
          <w:sz w:val="24"/>
        </w:rPr>
        <w:t xml:space="preserve"> facilities should continue to only be required to notify emergency responders and alert the community notification system in the event of an emergency (0184, 0207, 0217, 0223, 0224, 0234, 0237, 0238, 0275). </w:t>
      </w:r>
    </w:p>
    <w:p w:rsidR="006E5B31" w:rsidP="00C52FE2" w14:paraId="3973D03F" w14:textId="77777777">
      <w:pPr>
        <w:ind w:left="720"/>
        <w:rPr>
          <w:rFonts w:ascii="Times New Roman" w:hAnsi="Times New Roman"/>
          <w:sz w:val="24"/>
        </w:rPr>
      </w:pPr>
      <w:r w:rsidRPr="002524D7">
        <w:rPr>
          <w:rFonts w:ascii="Times New Roman" w:hAnsi="Times New Roman"/>
          <w:b/>
          <w:bCs/>
          <w:sz w:val="24"/>
        </w:rPr>
        <w:t>EPA Response</w:t>
      </w:r>
      <w:r>
        <w:rPr>
          <w:rFonts w:ascii="Times New Roman" w:hAnsi="Times New Roman"/>
          <w:b/>
          <w:bCs/>
          <w:sz w:val="24"/>
        </w:rPr>
        <w:t xml:space="preserve">: </w:t>
      </w:r>
      <w:r w:rsidRPr="007F4368">
        <w:rPr>
          <w:rFonts w:ascii="Times New Roman" w:hAnsi="Times New Roman"/>
          <w:sz w:val="24"/>
        </w:rPr>
        <w:t>The Agency expects that in most cases government emergency response officials will be the entities providing the notice. However, for the purposes of this rule, regulated facilities which have accidental releases are responsible for ensuring a prompt emergency response to any release at their facility’s covered processes in order to protect human health and the environment. As discussed in the proposal, if local public responders are not capable of providing such a response, the owner or operator is ultimately responsible for ensuring effective emergency response to any release at their facility occurs</w:t>
      </w:r>
      <w:r>
        <w:rPr>
          <w:rFonts w:ascii="Times New Roman" w:hAnsi="Times New Roman"/>
          <w:sz w:val="24"/>
        </w:rPr>
        <w:t>, which includes notifying both emergency responders and the public</w:t>
      </w:r>
      <w:r w:rsidRPr="007F4368">
        <w:rPr>
          <w:rFonts w:ascii="Times New Roman" w:hAnsi="Times New Roman"/>
          <w:sz w:val="24"/>
        </w:rPr>
        <w:t>.</w:t>
      </w:r>
      <w:r>
        <w:rPr>
          <w:rFonts w:ascii="Times New Roman" w:hAnsi="Times New Roman"/>
          <w:sz w:val="24"/>
        </w:rPr>
        <w:t xml:space="preserve"> </w:t>
      </w:r>
    </w:p>
    <w:p w:rsidR="00C52FE2" w:rsidRPr="007F4368" w:rsidP="00C52FE2" w14:paraId="661825E6" w14:textId="39743075">
      <w:pPr>
        <w:ind w:left="720"/>
        <w:rPr>
          <w:rFonts w:ascii="Times New Roman" w:hAnsi="Times New Roman"/>
          <w:sz w:val="24"/>
        </w:rPr>
      </w:pPr>
      <w:r w:rsidRPr="00DB2EED">
        <w:rPr>
          <w:rFonts w:ascii="Times New Roman" w:hAnsi="Times New Roman"/>
          <w:sz w:val="24"/>
        </w:rPr>
        <w:t>EPA expects the partnership between facility owners and operators and emergency response officials to ensure a public notification system is in place should occur at least during annual coordination discussions under 40 CFR 68.93. Under 40 CFR 68.93, owners and operators are required, among others, to annually coordinate response needs with local emergency planning and response organizations to determine how the facility is addressed in the community emergency response plan. A component of the community emergency response plan is public notification of chemical releases, and it is expected that this component will be discussed and documented by the facility owner or operator as part of the annual coordination obligations.</w:t>
      </w:r>
    </w:p>
    <w:p w:rsidR="00C52FE2" w:rsidP="00C52FE2" w14:paraId="4772D114" w14:textId="09378ED6">
      <w:pPr>
        <w:rPr>
          <w:rFonts w:ascii="Times New Roman" w:hAnsi="Times New Roman"/>
          <w:sz w:val="24"/>
        </w:rPr>
      </w:pPr>
      <w:r w:rsidRPr="00822F77">
        <w:rPr>
          <w:rFonts w:ascii="Times New Roman" w:hAnsi="Times New Roman"/>
          <w:b/>
          <w:bCs/>
          <w:sz w:val="24"/>
        </w:rPr>
        <w:t>Comment</w:t>
      </w:r>
      <w:r>
        <w:rPr>
          <w:rFonts w:ascii="Times New Roman" w:hAnsi="Times New Roman"/>
          <w:b/>
          <w:bCs/>
          <w:sz w:val="24"/>
        </w:rPr>
        <w:t xml:space="preserve"> 11.2-0</w:t>
      </w:r>
      <w:r w:rsidR="00326248">
        <w:rPr>
          <w:rFonts w:ascii="Times New Roman" w:hAnsi="Times New Roman"/>
          <w:b/>
          <w:bCs/>
          <w:sz w:val="24"/>
        </w:rPr>
        <w:t>9</w:t>
      </w:r>
      <w:r w:rsidRPr="00822F7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A few commenters specified facilities designated non-responding should be exempt from the requirement to develop or implement a community notification system (0188, 0237, 0261). One commenter added, however, that this may be appropriate for locations without resources and staff to establish and maintain a plan (0261). A couple commenters specified small businesses tend to be non-responding facilities (0188, 0237). One commenter added these facilities do not have the control or authority to impose a notification system (0188).</w:t>
      </w:r>
      <w:r>
        <w:rPr>
          <w:rFonts w:ascii="Times New Roman" w:hAnsi="Times New Roman"/>
          <w:sz w:val="24"/>
        </w:rPr>
        <w:t xml:space="preserve"> </w:t>
      </w:r>
    </w:p>
    <w:p w:rsidR="00D15EE6" w:rsidRPr="00D15EE6" w:rsidP="00B867A3" w14:paraId="34A2A8D7" w14:textId="4E2ADD59">
      <w:pPr>
        <w:autoSpaceDE w:val="0"/>
        <w:autoSpaceDN w:val="0"/>
        <w:adjustRightInd w:val="0"/>
        <w:ind w:left="720"/>
        <w:rPr>
          <w:rFonts w:ascii="Times New Roman" w:hAnsi="Times New Roman" w:eastAsiaTheme="minorHAnsi"/>
          <w:sz w:val="24"/>
          <w14:ligatures w14:val="standardContextual"/>
        </w:rPr>
      </w:pPr>
      <w:r w:rsidRPr="008D7350">
        <w:rPr>
          <w:rFonts w:ascii="Times New Roman" w:hAnsi="Times New Roman"/>
          <w:b/>
          <w:bCs/>
          <w:sz w:val="24"/>
        </w:rPr>
        <w:t>EPA Response:</w:t>
      </w:r>
      <w:r w:rsidRPr="00980A6B" w:rsidR="00980A6B">
        <w:rPr>
          <w:rFonts w:ascii="Melior" w:hAnsi="Melior" w:eastAsiaTheme="minorHAnsi" w:cs="Melior"/>
          <w:sz w:val="18"/>
          <w:szCs w:val="18"/>
          <w14:ligatures w14:val="standardContextual"/>
        </w:rPr>
        <w:t xml:space="preserve"> </w:t>
      </w:r>
      <w:r w:rsidRPr="00D15EE6">
        <w:rPr>
          <w:rFonts w:ascii="Times New Roman" w:hAnsi="Times New Roman" w:eastAsiaTheme="minorHAnsi"/>
          <w:sz w:val="24"/>
          <w14:ligatures w14:val="standardContextual"/>
        </w:rPr>
        <w:t>EPA’s intention for this provision</w:t>
      </w:r>
      <w:r w:rsidR="00F607A2">
        <w:rPr>
          <w:rFonts w:ascii="Times New Roman" w:hAnsi="Times New Roman" w:eastAsiaTheme="minorHAnsi"/>
          <w:sz w:val="24"/>
          <w14:ligatures w14:val="standardContextual"/>
        </w:rPr>
        <w:t xml:space="preserve">, for responding and non-responding facilities, </w:t>
      </w:r>
      <w:r w:rsidR="006E5B31">
        <w:rPr>
          <w:rFonts w:ascii="Times New Roman" w:hAnsi="Times New Roman" w:eastAsiaTheme="minorHAnsi"/>
          <w:sz w:val="24"/>
          <w14:ligatures w14:val="standardContextual"/>
        </w:rPr>
        <w:t>regardless of size</w:t>
      </w:r>
      <w:r w:rsidR="00F607A2">
        <w:rPr>
          <w:rFonts w:ascii="Times New Roman" w:hAnsi="Times New Roman" w:eastAsiaTheme="minorHAnsi"/>
          <w:sz w:val="24"/>
          <w14:ligatures w14:val="standardContextual"/>
        </w:rPr>
        <w:t xml:space="preserve">, </w:t>
      </w:r>
      <w:r w:rsidRPr="00D15EE6">
        <w:rPr>
          <w:rFonts w:ascii="Times New Roman" w:hAnsi="Times New Roman" w:eastAsiaTheme="minorHAnsi"/>
          <w:sz w:val="24"/>
          <w14:ligatures w14:val="standardContextual"/>
        </w:rPr>
        <w:t xml:space="preserve">has always been for facility owners and operators to work with the local responders to ensure that, during a release, a notification system is in place that will notify the public of the impending situation. </w:t>
      </w:r>
      <w:r w:rsidRPr="00051EC3" w:rsidR="00051EC3">
        <w:rPr>
          <w:rFonts w:ascii="Times New Roman" w:hAnsi="Times New Roman" w:eastAsiaTheme="minorHAnsi"/>
          <w:sz w:val="24"/>
          <w14:ligatures w14:val="standardContextual"/>
        </w:rPr>
        <w:t>EPA is therefore finalizing the proposed provision with the following modification</w:t>
      </w:r>
      <w:r w:rsidR="00051EC3">
        <w:rPr>
          <w:rFonts w:ascii="Times New Roman" w:hAnsi="Times New Roman" w:eastAsiaTheme="minorHAnsi"/>
          <w:sz w:val="24"/>
          <w14:ligatures w14:val="standardContextual"/>
        </w:rPr>
        <w:t xml:space="preserve"> – revising </w:t>
      </w:r>
      <w:r w:rsidRPr="00051EC3" w:rsidR="00051EC3">
        <w:rPr>
          <w:rFonts w:ascii="Times New Roman" w:hAnsi="Times New Roman" w:eastAsiaTheme="minorHAnsi"/>
          <w:sz w:val="24"/>
          <w14:ligatures w14:val="standardContextual"/>
        </w:rPr>
        <w:t xml:space="preserve">40 CFR 68.90(b)(6) and 68.95(a)(1)(i) to specify that the owner or operator should </w:t>
      </w:r>
      <w:r w:rsidRPr="00051EC3" w:rsidR="00051EC3">
        <w:rPr>
          <w:rFonts w:ascii="Times New Roman" w:hAnsi="Times New Roman" w:eastAsiaTheme="minorHAnsi"/>
          <w:i/>
          <w:iCs/>
          <w:sz w:val="24"/>
          <w14:ligatures w14:val="standardContextual"/>
        </w:rPr>
        <w:t>partner</w:t>
      </w:r>
      <w:r w:rsidRPr="00051EC3" w:rsidR="00051EC3">
        <w:rPr>
          <w:rFonts w:ascii="Times New Roman" w:hAnsi="Times New Roman" w:eastAsiaTheme="minorHAnsi"/>
          <w:sz w:val="24"/>
          <w14:ligatures w14:val="standardContextual"/>
        </w:rPr>
        <w:t xml:space="preserve"> with local response agencies to ensure a community notification system is in place and to document the collaboration. </w:t>
      </w:r>
      <w:r w:rsidRPr="00D15EE6">
        <w:rPr>
          <w:rFonts w:ascii="Times New Roman" w:hAnsi="Times New Roman" w:eastAsiaTheme="minorHAnsi"/>
          <w:sz w:val="24"/>
          <w14:ligatures w14:val="standardContextual"/>
        </w:rPr>
        <w:t>The Agency expects that in most cases government emergency response officials will be the entities providing the notice. However, for the purposes of this rule, regulated facilities which have accidental releases are responsible for ensuring a prompt emergency response to any release at their facility’s covered processes in order to protect human health and the environment. As discussed in the proposal, if local public responders are not capable of providing such a response, the owner or operator is ultimately responsible for ensuring effective emergency response to any release at their facility occurs.</w:t>
      </w:r>
    </w:p>
    <w:p w:rsidR="00C52FE2" w:rsidP="00B867A3" w14:paraId="1ACBD505" w14:textId="1509D0F9">
      <w:pPr>
        <w:autoSpaceDE w:val="0"/>
        <w:autoSpaceDN w:val="0"/>
        <w:adjustRightInd w:val="0"/>
        <w:ind w:left="720"/>
        <w:rPr>
          <w:rFonts w:ascii="Times New Roman" w:hAnsi="Times New Roman"/>
          <w:sz w:val="24"/>
        </w:rPr>
      </w:pPr>
      <w:r w:rsidRPr="00D15EE6">
        <w:rPr>
          <w:rFonts w:ascii="Times New Roman" w:hAnsi="Times New Roman" w:eastAsiaTheme="minorHAnsi"/>
          <w:sz w:val="24"/>
          <w14:ligatures w14:val="standardContextual"/>
        </w:rPr>
        <w:t xml:space="preserve">EPA expects the partnership between facility owners and operators and emergency response officials to ensure a public notification system is in place should occur at least during annual coordination discussions under 40 CFR 68.93. Under 40 CFR 68.93, owners and operators are required, among others, to annually coordinate response needs with local emergency planning and response organizations to determine how the facility is addressed in the community emergency response plan. A component of the community emergency response plan is public notification of chemical releases, and it is expected </w:t>
      </w:r>
      <w:r w:rsidRPr="00D15EE6">
        <w:rPr>
          <w:rFonts w:ascii="Times New Roman" w:hAnsi="Times New Roman" w:eastAsiaTheme="minorHAnsi"/>
          <w:sz w:val="24"/>
          <w14:ligatures w14:val="standardContextual"/>
        </w:rPr>
        <w:t>that this component will be discussed and documented by the facility owner or operator as part of the annual coordination obligations.</w:t>
      </w:r>
    </w:p>
    <w:p w:rsidR="00C52FE2" w:rsidRPr="006F68E9" w:rsidP="00C52FE2" w14:paraId="18B7D1BF" w14:textId="1F048100">
      <w:pPr>
        <w:rPr>
          <w:rFonts w:ascii="Times New Roman" w:hAnsi="Times New Roman"/>
          <w:sz w:val="24"/>
        </w:rPr>
      </w:pPr>
      <w:r>
        <w:rPr>
          <w:rFonts w:ascii="Times New Roman" w:hAnsi="Times New Roman"/>
          <w:b/>
          <w:bCs/>
          <w:sz w:val="24"/>
        </w:rPr>
        <w:t>Comment 11.2-</w:t>
      </w:r>
      <w:r w:rsidR="00326248">
        <w:rPr>
          <w:rFonts w:ascii="Times New Roman" w:hAnsi="Times New Roman"/>
          <w:b/>
          <w:bCs/>
          <w:sz w:val="24"/>
        </w:rPr>
        <w:t>10</w:t>
      </w:r>
      <w:r>
        <w:rPr>
          <w:rFonts w:ascii="Times New Roman" w:hAnsi="Times New Roman"/>
          <w:b/>
          <w:bCs/>
          <w:sz w:val="24"/>
        </w:rPr>
        <w:t xml:space="preserve">: </w:t>
      </w:r>
      <w:r w:rsidRPr="006F68E9">
        <w:rPr>
          <w:rFonts w:ascii="Times New Roman" w:hAnsi="Times New Roman"/>
          <w:sz w:val="24"/>
        </w:rPr>
        <w:t>One commenter stated EPA should require facilities to broadcast timely, multilingual community notifications in emergency situations to fenceline communities, as current notifications are inadequate and too delayed. The commenter stated the proposal fails to require fenceline monitoring, a critical tool for detecting unplanned released and monitoring incident emissions. The commenter added that RMP facilities must be accountable to the fenceline communities that are most vulnerable to a chemical incident (0219).</w:t>
      </w:r>
    </w:p>
    <w:p w:rsidR="00EF29BC" w:rsidRPr="00EF29BC" w:rsidP="00B867A3" w14:paraId="49443797" w14:textId="1C7C305C">
      <w:pPr>
        <w:ind w:left="720"/>
        <w:rPr>
          <w:rFonts w:ascii="Times New Roman" w:hAnsi="Times New Roman"/>
          <w:sz w:val="24"/>
        </w:rPr>
      </w:pPr>
      <w:r>
        <w:rPr>
          <w:rFonts w:ascii="Times New Roman" w:hAnsi="Times New Roman"/>
          <w:b/>
          <w:bCs/>
          <w:sz w:val="24"/>
        </w:rPr>
        <w:t xml:space="preserve">EPA Response: </w:t>
      </w:r>
      <w:r w:rsidRPr="00EF29BC" w:rsidR="001F2DF8">
        <w:rPr>
          <w:rFonts w:ascii="Times New Roman" w:hAnsi="Times New Roman"/>
          <w:sz w:val="24"/>
        </w:rPr>
        <w:t>In this rule, EPA is finalizing provision</w:t>
      </w:r>
      <w:r w:rsidRPr="00EF29BC" w:rsidR="00C239B1">
        <w:rPr>
          <w:rFonts w:ascii="Times New Roman" w:hAnsi="Times New Roman"/>
          <w:sz w:val="24"/>
        </w:rPr>
        <w:t>s</w:t>
      </w:r>
      <w:r w:rsidRPr="00EF29BC" w:rsidR="001F2DF8">
        <w:rPr>
          <w:rFonts w:ascii="Times New Roman" w:hAnsi="Times New Roman"/>
          <w:sz w:val="24"/>
        </w:rPr>
        <w:t xml:space="preserve"> to </w:t>
      </w:r>
      <w:r w:rsidRPr="00EF29BC" w:rsidR="00C239B1">
        <w:rPr>
          <w:rFonts w:ascii="Times New Roman" w:hAnsi="Times New Roman"/>
          <w:sz w:val="24"/>
        </w:rPr>
        <w:t xml:space="preserve">provide timely data and information detailing the current understanding and best estimates of the nature of the accidental release and to </w:t>
      </w:r>
      <w:r w:rsidRPr="00EF29BC" w:rsidR="0064076D">
        <w:rPr>
          <w:rFonts w:ascii="Times New Roman" w:hAnsi="Times New Roman"/>
          <w:sz w:val="24"/>
        </w:rPr>
        <w:t>partner with these response agencies to ensure that a community notification system is in place to warn the public within the area potentially threatened by the accidental release.</w:t>
      </w:r>
      <w:r w:rsidRPr="00EF29BC">
        <w:rPr>
          <w:rFonts w:ascii="Times New Roman" w:hAnsi="Times New Roman"/>
          <w:sz w:val="24"/>
        </w:rPr>
        <w:t xml:space="preserve"> </w:t>
      </w:r>
      <w:bookmarkStart w:id="133" w:name="_Hlk153291788"/>
      <w:r w:rsidRPr="004C5D9A" w:rsidR="007F128D">
        <w:rPr>
          <w:rFonts w:ascii="Times New Roman" w:hAnsi="Times New Roman"/>
          <w:sz w:val="24"/>
        </w:rPr>
        <w:t>EPA expec</w:t>
      </w:r>
      <w:r w:rsidRPr="004C5D9A" w:rsidR="00BC73F1">
        <w:rPr>
          <w:rFonts w:ascii="Times New Roman" w:hAnsi="Times New Roman"/>
          <w:sz w:val="24"/>
        </w:rPr>
        <w:t>ts notification</w:t>
      </w:r>
      <w:r w:rsidR="007033E0">
        <w:rPr>
          <w:rFonts w:ascii="Times New Roman" w:hAnsi="Times New Roman"/>
          <w:sz w:val="24"/>
        </w:rPr>
        <w:t>s</w:t>
      </w:r>
      <w:r w:rsidRPr="004C5D9A" w:rsidR="00BC73F1">
        <w:rPr>
          <w:rFonts w:ascii="Times New Roman" w:hAnsi="Times New Roman"/>
          <w:sz w:val="24"/>
        </w:rPr>
        <w:t xml:space="preserve"> to be </w:t>
      </w:r>
      <w:r w:rsidRPr="004C5D9A" w:rsidR="001E5C01">
        <w:rPr>
          <w:rFonts w:ascii="Times New Roman" w:hAnsi="Times New Roman"/>
          <w:sz w:val="24"/>
        </w:rPr>
        <w:t>understood by community members</w:t>
      </w:r>
      <w:r w:rsidRPr="004C5D9A" w:rsidR="00F27062">
        <w:rPr>
          <w:rFonts w:ascii="Times New Roman" w:hAnsi="Times New Roman"/>
          <w:sz w:val="24"/>
        </w:rPr>
        <w:t xml:space="preserve"> </w:t>
      </w:r>
      <w:r w:rsidRPr="004C5D9A" w:rsidR="009A1B8B">
        <w:rPr>
          <w:rFonts w:ascii="Times New Roman" w:hAnsi="Times New Roman"/>
          <w:sz w:val="24"/>
        </w:rPr>
        <w:t xml:space="preserve">potentially affected </w:t>
      </w:r>
      <w:r w:rsidRPr="004C5D9A" w:rsidR="00031649">
        <w:rPr>
          <w:rFonts w:ascii="Times New Roman" w:hAnsi="Times New Roman"/>
          <w:sz w:val="24"/>
        </w:rPr>
        <w:t xml:space="preserve">and </w:t>
      </w:r>
      <w:r w:rsidRPr="004C5D9A" w:rsidR="00CE198F">
        <w:rPr>
          <w:rFonts w:ascii="Times New Roman" w:hAnsi="Times New Roman"/>
          <w:sz w:val="24"/>
        </w:rPr>
        <w:t>therefore</w:t>
      </w:r>
      <w:r w:rsidRPr="004C5D9A" w:rsidR="00EC0408">
        <w:rPr>
          <w:rFonts w:ascii="Times New Roman" w:hAnsi="Times New Roman"/>
          <w:sz w:val="24"/>
        </w:rPr>
        <w:t xml:space="preserve"> </w:t>
      </w:r>
      <w:r w:rsidRPr="004C5D9A" w:rsidR="005614B6">
        <w:rPr>
          <w:rFonts w:ascii="Times New Roman" w:hAnsi="Times New Roman"/>
          <w:sz w:val="24"/>
        </w:rPr>
        <w:t>would expect multilingual</w:t>
      </w:r>
      <w:r w:rsidRPr="004C5D9A" w:rsidR="00EC0408">
        <w:rPr>
          <w:rFonts w:ascii="Times New Roman" w:hAnsi="Times New Roman"/>
          <w:sz w:val="24"/>
        </w:rPr>
        <w:t xml:space="preserve"> </w:t>
      </w:r>
      <w:r w:rsidRPr="004C5D9A" w:rsidR="005614B6">
        <w:rPr>
          <w:rFonts w:ascii="Times New Roman" w:hAnsi="Times New Roman"/>
          <w:sz w:val="24"/>
        </w:rPr>
        <w:t xml:space="preserve">notifications if necessary. </w:t>
      </w:r>
      <w:bookmarkEnd w:id="133"/>
      <w:r w:rsidRPr="00031649" w:rsidR="00031649">
        <w:rPr>
          <w:rFonts w:ascii="Times New Roman" w:hAnsi="Times New Roman"/>
          <w:sz w:val="24"/>
        </w:rPr>
        <w:t>EPA encourages facility owners and operators to work with response agencies to determine how best to alert a potentially affected community about impending chemical releases.</w:t>
      </w:r>
      <w:r w:rsidR="00EC0408">
        <w:rPr>
          <w:rFonts w:ascii="Times New Roman" w:hAnsi="Times New Roman"/>
          <w:sz w:val="24"/>
        </w:rPr>
        <w:t xml:space="preserve"> </w:t>
      </w:r>
      <w:r w:rsidRPr="004B186B" w:rsidR="004B186B">
        <w:rPr>
          <w:rFonts w:ascii="Times New Roman" w:hAnsi="Times New Roman"/>
          <w:sz w:val="24"/>
        </w:rPr>
        <w:t>The Agency notes that IPAWS is a well-known option as a notification system compliant with this provision. This system provides authenticated emergency and life-saving information to the public through mobile phones using wireless emergency alerts. It also provides alerts to radio and television via the Emergency Alert System and on the National Oceanic and Atmospheric Administration’s Weather Radio.</w:t>
      </w:r>
      <w:r>
        <w:rPr>
          <w:rFonts w:ascii="Times New Roman" w:hAnsi="Times New Roman"/>
          <w:sz w:val="24"/>
          <w:vertAlign w:val="superscript"/>
        </w:rPr>
        <w:footnoteReference w:id="149"/>
      </w:r>
      <w:r w:rsidRPr="004B186B" w:rsidR="004B186B">
        <w:rPr>
          <w:rFonts w:ascii="Times New Roman" w:hAnsi="Times New Roman"/>
          <w:sz w:val="24"/>
        </w:rPr>
        <w:t xml:space="preserve"> Further, the Emergency Alert System devices found at radio, TV and cable stations can support multiple languages and wireless Emergency Alerts can support both English and Spanish.</w:t>
      </w:r>
      <w:r>
        <w:rPr>
          <w:rFonts w:ascii="Times New Roman" w:hAnsi="Times New Roman"/>
          <w:sz w:val="24"/>
          <w:vertAlign w:val="superscript"/>
        </w:rPr>
        <w:footnoteReference w:id="150"/>
      </w:r>
    </w:p>
    <w:p w:rsidR="00C52FE2" w:rsidRPr="00EF29BC" w:rsidP="00B867A3" w14:paraId="5EF65750" w14:textId="3C33A3E7">
      <w:pPr>
        <w:ind w:left="720"/>
        <w:rPr>
          <w:rFonts w:ascii="Times New Roman" w:hAnsi="Times New Roman"/>
          <w:sz w:val="24"/>
        </w:rPr>
      </w:pPr>
      <w:r w:rsidRPr="00FB392E">
        <w:rPr>
          <w:rFonts w:ascii="Times New Roman" w:hAnsi="Times New Roman"/>
          <w:sz w:val="24"/>
        </w:rPr>
        <w:t>Regarding providing real time air quality data to the public, EPA acknowledges the need to consider expanding fenceline monitoring requirements for RMP-regulated facilities to provide real time data to local responders and the public. EPA took comment on this in the proposal and is reviewing the comments received in consideration for a future rulemaking.</w:t>
      </w:r>
    </w:p>
    <w:p w:rsidR="00C52FE2" w:rsidP="00C52FE2" w14:paraId="2B808A7B" w14:textId="3C3D4098">
      <w:pPr>
        <w:rPr>
          <w:rFonts w:ascii="Times New Roman" w:hAnsi="Times New Roman"/>
          <w:sz w:val="24"/>
        </w:rPr>
      </w:pPr>
      <w:r w:rsidRPr="00A47A05">
        <w:rPr>
          <w:rFonts w:ascii="Times New Roman" w:hAnsi="Times New Roman"/>
          <w:b/>
          <w:bCs/>
          <w:sz w:val="24"/>
        </w:rPr>
        <w:t>Comment</w:t>
      </w:r>
      <w:r>
        <w:rPr>
          <w:rFonts w:ascii="Times New Roman" w:hAnsi="Times New Roman"/>
          <w:b/>
          <w:bCs/>
          <w:sz w:val="24"/>
        </w:rPr>
        <w:t xml:space="preserve"> 11.2-1</w:t>
      </w:r>
      <w:r w:rsidR="00326248">
        <w:rPr>
          <w:rFonts w:ascii="Times New Roman" w:hAnsi="Times New Roman"/>
          <w:b/>
          <w:bCs/>
          <w:sz w:val="24"/>
        </w:rPr>
        <w:t>1</w:t>
      </w:r>
      <w:r w:rsidRPr="00A47A05">
        <w:rPr>
          <w:rFonts w:ascii="Times New Roman" w:hAnsi="Times New Roman"/>
          <w:b/>
          <w:bCs/>
          <w:sz w:val="24"/>
        </w:rPr>
        <w:t>:</w:t>
      </w:r>
      <w:r>
        <w:rPr>
          <w:rFonts w:ascii="Times New Roman" w:hAnsi="Times New Roman"/>
          <w:sz w:val="24"/>
        </w:rPr>
        <w:t xml:space="preserve"> Further, a</w:t>
      </w:r>
      <w:r w:rsidRPr="006F68E9">
        <w:rPr>
          <w:rFonts w:ascii="Times New Roman" w:hAnsi="Times New Roman"/>
          <w:sz w:val="24"/>
        </w:rPr>
        <w:t xml:space="preserve"> commenter suggested that EPA require a follow-up notice of the actual final release information in the short-term in addition to the public meeting requirement (0211). </w:t>
      </w:r>
    </w:p>
    <w:p w:rsidR="00C52FE2" w:rsidP="00C52FE2" w14:paraId="7D4D522B" w14:textId="2CC5D079">
      <w:pPr>
        <w:ind w:left="720"/>
        <w:rPr>
          <w:rFonts w:ascii="Times New Roman" w:hAnsi="Times New Roman"/>
          <w:sz w:val="24"/>
        </w:rPr>
      </w:pPr>
      <w:r w:rsidRPr="00B0368E">
        <w:rPr>
          <w:rFonts w:ascii="Times New Roman" w:hAnsi="Times New Roman"/>
          <w:b/>
          <w:bCs/>
          <w:sz w:val="24"/>
        </w:rPr>
        <w:t>EPA Response:</w:t>
      </w:r>
      <w:r>
        <w:rPr>
          <w:rFonts w:ascii="Times New Roman" w:hAnsi="Times New Roman"/>
          <w:sz w:val="24"/>
        </w:rPr>
        <w:t xml:space="preserve"> </w:t>
      </w:r>
      <w:r w:rsidRPr="00B0368E">
        <w:rPr>
          <w:rFonts w:ascii="Times New Roman" w:hAnsi="Times New Roman"/>
          <w:sz w:val="24"/>
        </w:rPr>
        <w:t xml:space="preserve">While EPA encourages follow-up communication with local responders and the public after conclusion of response activities, EPA does not believe that an interim written follow-up- notice of the actual final release information should be required after the response ends. EPA believes that the public meeting requirement at 40 CFR 68.210 and the five-year accident history requirement at 40 CFR 68.42 provide adequate time for the facility to gather and finalize information to share with the public. </w:t>
      </w:r>
      <w:r w:rsidR="00B56BD4">
        <w:rPr>
          <w:rFonts w:ascii="Times New Roman" w:hAnsi="Times New Roman"/>
          <w:sz w:val="24"/>
        </w:rPr>
        <w:t>That being said, t</w:t>
      </w:r>
      <w:r w:rsidRPr="00B0368E">
        <w:rPr>
          <w:rFonts w:ascii="Times New Roman" w:hAnsi="Times New Roman"/>
          <w:sz w:val="24"/>
        </w:rPr>
        <w:t xml:space="preserve">he Agency notes that sources are required to update their accident </w:t>
      </w:r>
      <w:r w:rsidRPr="00B0368E">
        <w:rPr>
          <w:rFonts w:ascii="Times New Roman" w:hAnsi="Times New Roman"/>
          <w:sz w:val="24"/>
        </w:rPr>
        <w:t>histories in their RMPs within 6 months of an RMP-reportable accident (40 CFR 68.195(a)). Additionally, many States separately require follow-up release reporting within a short time after response activities are concluded (e.g., 30 days), and this information may be publicly available.</w:t>
      </w:r>
    </w:p>
    <w:p w:rsidR="00C52FE2" w:rsidP="00C52FE2" w14:paraId="1A563263" w14:textId="2D4CE18E">
      <w:pPr>
        <w:rPr>
          <w:rFonts w:ascii="Times New Roman" w:hAnsi="Times New Roman"/>
          <w:sz w:val="24"/>
        </w:rPr>
      </w:pPr>
      <w:r w:rsidRPr="00321698">
        <w:rPr>
          <w:rFonts w:ascii="Times New Roman" w:hAnsi="Times New Roman"/>
          <w:b/>
          <w:bCs/>
          <w:sz w:val="24"/>
        </w:rPr>
        <w:t>Comment</w:t>
      </w:r>
      <w:r>
        <w:rPr>
          <w:rFonts w:ascii="Times New Roman" w:hAnsi="Times New Roman"/>
          <w:b/>
          <w:bCs/>
          <w:sz w:val="24"/>
        </w:rPr>
        <w:t xml:space="preserve"> 11.2-1</w:t>
      </w:r>
      <w:r w:rsidR="00326248">
        <w:rPr>
          <w:rFonts w:ascii="Times New Roman" w:hAnsi="Times New Roman"/>
          <w:b/>
          <w:bCs/>
          <w:sz w:val="24"/>
        </w:rPr>
        <w:t>2</w:t>
      </w:r>
      <w:r>
        <w:rPr>
          <w:rFonts w:ascii="Times New Roman" w:hAnsi="Times New Roman"/>
          <w:sz w:val="24"/>
        </w:rPr>
        <w:t xml:space="preserve"> </w:t>
      </w:r>
      <w:r w:rsidRPr="006F68E9">
        <w:rPr>
          <w:rFonts w:ascii="Times New Roman" w:hAnsi="Times New Roman"/>
          <w:sz w:val="24"/>
        </w:rPr>
        <w:t>One commenter suggested an air siren could notify the immediate area in case of an accidental release, allowing first responders to prepare, schools to keep children inside, and residents to close their windows and take other precautions (0191).</w:t>
      </w:r>
    </w:p>
    <w:p w:rsidR="00C52FE2" w:rsidP="00476A96" w14:paraId="77D7AFB1" w14:textId="0CC5DA1E">
      <w:pPr>
        <w:ind w:left="720"/>
        <w:rPr>
          <w:rFonts w:ascii="Times New Roman" w:hAnsi="Times New Roman"/>
          <w:b/>
          <w:bCs/>
          <w:sz w:val="24"/>
        </w:rPr>
      </w:pPr>
      <w:r w:rsidRPr="00476A96">
        <w:rPr>
          <w:rFonts w:ascii="Times New Roman" w:hAnsi="Times New Roman"/>
          <w:b/>
          <w:bCs/>
          <w:sz w:val="24"/>
        </w:rPr>
        <w:t>EPA Response:</w:t>
      </w:r>
      <w:r w:rsidRPr="00476A96" w:rsidR="00476A96">
        <w:t xml:space="preserve"> </w:t>
      </w:r>
      <w:r w:rsidRPr="00476A96" w:rsidR="00476A96">
        <w:rPr>
          <w:rFonts w:ascii="Times New Roman" w:hAnsi="Times New Roman"/>
          <w:sz w:val="24"/>
        </w:rPr>
        <w:t>EPA is not requiring the use of this specific system to be the one</w:t>
      </w:r>
      <w:r w:rsidR="00B56BD4">
        <w:rPr>
          <w:rFonts w:ascii="Times New Roman" w:hAnsi="Times New Roman"/>
          <w:sz w:val="24"/>
        </w:rPr>
        <w:t>,</w:t>
      </w:r>
      <w:r w:rsidRPr="00476A96" w:rsidR="00476A96">
        <w:rPr>
          <w:rFonts w:ascii="Times New Roman" w:hAnsi="Times New Roman"/>
          <w:sz w:val="24"/>
        </w:rPr>
        <w:t xml:space="preserve"> solely used to notify the public. EPA encourages facility owners and operators to work with response agencies to determine how best to alert a potentially affected community about impending chemical releases.</w:t>
      </w:r>
    </w:p>
    <w:p w:rsidR="00C52FE2" w:rsidRPr="00D81F93" w:rsidP="00C52FE2" w14:paraId="287C0E31" w14:textId="77777777">
      <w:pPr>
        <w:rPr>
          <w:rFonts w:ascii="Times New Roman" w:hAnsi="Times New Roman"/>
          <w:i/>
          <w:iCs/>
          <w:sz w:val="24"/>
        </w:rPr>
      </w:pPr>
      <w:r>
        <w:rPr>
          <w:rFonts w:ascii="Times New Roman" w:hAnsi="Times New Roman"/>
          <w:i/>
          <w:iCs/>
          <w:sz w:val="24"/>
        </w:rPr>
        <w:t>Opposition to</w:t>
      </w:r>
      <w:r w:rsidRPr="00E4286E">
        <w:rPr>
          <w:rFonts w:ascii="Times New Roman" w:hAnsi="Times New Roman"/>
          <w:i/>
          <w:iCs/>
          <w:sz w:val="24"/>
        </w:rPr>
        <w:t xml:space="preserve"> </w:t>
      </w:r>
      <w:r>
        <w:rPr>
          <w:rFonts w:ascii="Times New Roman" w:hAnsi="Times New Roman"/>
          <w:i/>
          <w:iCs/>
          <w:sz w:val="24"/>
        </w:rPr>
        <w:t>proposed requirements for ensuring a community notification system is in place</w:t>
      </w:r>
    </w:p>
    <w:p w:rsidR="00C52FE2" w:rsidP="00C52FE2" w14:paraId="3A392F10" w14:textId="612AFE99">
      <w:pPr>
        <w:rPr>
          <w:rFonts w:ascii="Times New Roman" w:hAnsi="Times New Roman"/>
          <w:sz w:val="24"/>
        </w:rPr>
      </w:pPr>
      <w:r w:rsidRPr="00D81F93">
        <w:rPr>
          <w:rFonts w:ascii="Times New Roman" w:hAnsi="Times New Roman"/>
          <w:b/>
          <w:bCs/>
          <w:sz w:val="24"/>
        </w:rPr>
        <w:t>Comment</w:t>
      </w:r>
      <w:r>
        <w:rPr>
          <w:rFonts w:ascii="Times New Roman" w:hAnsi="Times New Roman"/>
          <w:b/>
          <w:bCs/>
          <w:sz w:val="24"/>
        </w:rPr>
        <w:t xml:space="preserve"> 11.2-1</w:t>
      </w:r>
      <w:r w:rsidR="00116C46">
        <w:rPr>
          <w:rFonts w:ascii="Times New Roman" w:hAnsi="Times New Roman"/>
          <w:b/>
          <w:bCs/>
          <w:sz w:val="24"/>
        </w:rPr>
        <w:t>3</w:t>
      </w:r>
      <w:r>
        <w:rPr>
          <w:rFonts w:ascii="Times New Roman" w:hAnsi="Times New Roman"/>
          <w:b/>
          <w:bCs/>
          <w:sz w:val="24"/>
        </w:rPr>
        <w:t xml:space="preserve">: </w:t>
      </w:r>
      <w:r w:rsidRPr="10E61CF2">
        <w:rPr>
          <w:rFonts w:ascii="Times New Roman" w:hAnsi="Times New Roman"/>
          <w:sz w:val="24"/>
        </w:rPr>
        <w:t xml:space="preserve">Numerous commenters opposed the language requiring RMP facilities to be responsible for community warning systems and notification of emergencies to the local community (0184, 0188, 0193, 0202, 0205, 0207, 0210, 0215, 0217, 0223, 0224, 0229, 0232, 0233, 0234, 0237, 0238, 0253, 0261, 0275). </w:t>
      </w:r>
      <w:r>
        <w:rPr>
          <w:rFonts w:ascii="Times New Roman" w:hAnsi="Times New Roman"/>
          <w:sz w:val="24"/>
        </w:rPr>
        <w:t>Numerous</w:t>
      </w:r>
      <w:r w:rsidRPr="10E61CF2">
        <w:rPr>
          <w:rFonts w:ascii="Times New Roman" w:hAnsi="Times New Roman"/>
          <w:sz w:val="24"/>
        </w:rPr>
        <w:t xml:space="preserve"> commenters stated the requirements of public notification are better suited to third parties, LEPCs, and government agencies already tasked with this coordination (</w:t>
      </w:r>
      <w:r>
        <w:rPr>
          <w:rFonts w:ascii="Times New Roman" w:hAnsi="Times New Roman"/>
          <w:sz w:val="24"/>
        </w:rPr>
        <w:t xml:space="preserve">0180, </w:t>
      </w:r>
      <w:r w:rsidRPr="10E61CF2">
        <w:rPr>
          <w:rFonts w:ascii="Times New Roman" w:hAnsi="Times New Roman"/>
          <w:sz w:val="24"/>
        </w:rPr>
        <w:t xml:space="preserve">0184, </w:t>
      </w:r>
      <w:r>
        <w:rPr>
          <w:rFonts w:ascii="Times New Roman" w:hAnsi="Times New Roman"/>
          <w:sz w:val="24"/>
        </w:rPr>
        <w:t xml:space="preserve">0193, </w:t>
      </w:r>
      <w:r w:rsidRPr="10E61CF2">
        <w:rPr>
          <w:rFonts w:ascii="Times New Roman" w:hAnsi="Times New Roman"/>
          <w:sz w:val="24"/>
        </w:rPr>
        <w:t xml:space="preserve">0202, </w:t>
      </w:r>
      <w:r>
        <w:rPr>
          <w:rFonts w:ascii="Times New Roman" w:hAnsi="Times New Roman"/>
          <w:sz w:val="24"/>
        </w:rPr>
        <w:t xml:space="preserve">0205, </w:t>
      </w:r>
      <w:r w:rsidRPr="10E61CF2">
        <w:rPr>
          <w:rFonts w:ascii="Times New Roman" w:hAnsi="Times New Roman"/>
          <w:sz w:val="24"/>
        </w:rPr>
        <w:t xml:space="preserve">0207, 0210, 0215, 0217, 0223, </w:t>
      </w:r>
      <w:r>
        <w:rPr>
          <w:rFonts w:ascii="Times New Roman" w:hAnsi="Times New Roman"/>
          <w:sz w:val="24"/>
        </w:rPr>
        <w:t xml:space="preserve">0226, 0230, </w:t>
      </w:r>
      <w:r w:rsidRPr="10E61CF2">
        <w:rPr>
          <w:rFonts w:ascii="Times New Roman" w:hAnsi="Times New Roman"/>
          <w:sz w:val="24"/>
        </w:rPr>
        <w:t>0232, 0233, 0234, 0237, 0238, 0253, 0261</w:t>
      </w:r>
      <w:r>
        <w:rPr>
          <w:rFonts w:ascii="Times New Roman" w:hAnsi="Times New Roman"/>
          <w:sz w:val="24"/>
        </w:rPr>
        <w:t>, 0262, 0458</w:t>
      </w:r>
      <w:r w:rsidRPr="10E61CF2">
        <w:rPr>
          <w:rFonts w:ascii="Times New Roman" w:hAnsi="Times New Roman"/>
          <w:sz w:val="24"/>
        </w:rPr>
        <w:t xml:space="preserve">). </w:t>
      </w:r>
      <w:r>
        <w:rPr>
          <w:rFonts w:ascii="Times New Roman" w:hAnsi="Times New Roman"/>
          <w:sz w:val="24"/>
        </w:rPr>
        <w:t xml:space="preserve">Several </w:t>
      </w:r>
      <w:r w:rsidRPr="10E61CF2">
        <w:rPr>
          <w:rFonts w:ascii="Times New Roman" w:hAnsi="Times New Roman"/>
          <w:sz w:val="24"/>
        </w:rPr>
        <w:t>stated these agencies have the resources and infrastructure needed for disseminating emergency information to a community and coordinating local response (</w:t>
      </w:r>
      <w:r w:rsidRPr="006F68E9">
        <w:rPr>
          <w:rFonts w:ascii="Times New Roman" w:hAnsi="Times New Roman"/>
          <w:sz w:val="24"/>
        </w:rPr>
        <w:t>0180, 0205, 0226, 0230, 0458</w:t>
      </w:r>
      <w:r>
        <w:rPr>
          <w:rFonts w:ascii="Times New Roman" w:hAnsi="Times New Roman"/>
          <w:sz w:val="24"/>
        </w:rPr>
        <w:t xml:space="preserve">, </w:t>
      </w:r>
      <w:r w:rsidRPr="10E61CF2">
        <w:rPr>
          <w:rFonts w:ascii="Times New Roman" w:hAnsi="Times New Roman"/>
          <w:sz w:val="24"/>
        </w:rPr>
        <w:t xml:space="preserve">0233, 0234). </w:t>
      </w: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would improperly place responsibility on facilities for response requirements that are outside of their control (0215).</w:t>
      </w:r>
    </w:p>
    <w:p w:rsidR="00437801" w:rsidP="00C52FE2" w14:paraId="7E812848" w14:textId="6BA547B1">
      <w:pPr>
        <w:rPr>
          <w:rFonts w:ascii="Times New Roman" w:hAnsi="Times New Roman"/>
          <w:sz w:val="24"/>
        </w:rPr>
      </w:pPr>
      <w:r w:rsidRPr="006F68E9">
        <w:rPr>
          <w:rFonts w:ascii="Times New Roman" w:hAnsi="Times New Roman"/>
          <w:sz w:val="24"/>
        </w:rPr>
        <w:t>Several commenters opposed the language requiring RMP facilities to be responsible for community warning systems and notification of emergencies to the local community (0180, 0181, 0193, 0205, 0226, 0262, 0458). For instance, one commenter asserted that the language makes it seem like the RMP facilities would need to notify the public of any incidences of an RMP chemical release, even those contained on site (0262).</w:t>
      </w:r>
    </w:p>
    <w:p w:rsidR="00C52FE2" w:rsidRPr="006F68E9" w:rsidP="00C52FE2" w14:paraId="3ECF5AAB" w14:textId="77777777">
      <w:pPr>
        <w:rPr>
          <w:rFonts w:ascii="Times New Roman" w:hAnsi="Times New Roman"/>
          <w:sz w:val="24"/>
        </w:rPr>
      </w:pPr>
      <w:r w:rsidRPr="006F68E9">
        <w:rPr>
          <w:rFonts w:ascii="Times New Roman" w:hAnsi="Times New Roman"/>
          <w:sz w:val="24"/>
        </w:rPr>
        <w:t xml:space="preserve">Some commenters </w:t>
      </w:r>
      <w:r>
        <w:rPr>
          <w:rFonts w:ascii="Times New Roman" w:hAnsi="Times New Roman"/>
          <w:sz w:val="24"/>
        </w:rPr>
        <w:t>stated</w:t>
      </w:r>
      <w:r w:rsidRPr="006F68E9">
        <w:rPr>
          <w:rFonts w:ascii="Times New Roman" w:hAnsi="Times New Roman"/>
          <w:sz w:val="24"/>
        </w:rPr>
        <w:t xml:space="preserve"> that multiple alerts coming from RMP facilities in addition to local response and government agencies is duplicative and may cause unnecessary confusion, reduce effectiveness, and cause coordination issues in communities (0184, 0232, 0233, 0229, 0237, 0238). </w:t>
      </w:r>
    </w:p>
    <w:p w:rsidR="00C52FE2" w:rsidP="00C52FE2" w14:paraId="33D63481" w14:textId="77777777">
      <w:pPr>
        <w:rPr>
          <w:rFonts w:ascii="Times New Roman" w:hAnsi="Times New Roman"/>
          <w:sz w:val="24"/>
        </w:rPr>
      </w:pPr>
      <w:r w:rsidRPr="006F68E9">
        <w:rPr>
          <w:rFonts w:ascii="Times New Roman" w:hAnsi="Times New Roman"/>
          <w:sz w:val="24"/>
        </w:rPr>
        <w:t xml:space="preserve">One commenter expressed that the requirement of RMP facilities to notify the public and local emergency response of any release of RMP regulated substances would cause unnecessary public disruption and risk normalization, to the point that notifications may start to be ignored, since release events are currently reported based on facility permits, threshold quantities, and/or offsite consequences (0210). </w:t>
      </w:r>
    </w:p>
    <w:p w:rsidR="00C52FE2" w:rsidP="00C52FE2" w14:paraId="3BA8FF4C" w14:textId="77777777">
      <w:pPr>
        <w:rPr>
          <w:rFonts w:ascii="Times New Roman" w:hAnsi="Times New Roman"/>
          <w:sz w:val="24"/>
        </w:rPr>
      </w:pPr>
      <w:r w:rsidRPr="006F68E9">
        <w:rPr>
          <w:rFonts w:ascii="Times New Roman" w:hAnsi="Times New Roman"/>
          <w:sz w:val="24"/>
        </w:rPr>
        <w:t xml:space="preserve">Another commenter expressed concern that EPA lacks a meaningful justification for the community notification provisions. The commenter </w:t>
      </w:r>
      <w:r>
        <w:rPr>
          <w:rFonts w:ascii="Times New Roman" w:hAnsi="Times New Roman"/>
          <w:sz w:val="24"/>
        </w:rPr>
        <w:t>stated</w:t>
      </w:r>
      <w:r w:rsidRPr="006F68E9">
        <w:rPr>
          <w:rFonts w:ascii="Times New Roman" w:hAnsi="Times New Roman"/>
          <w:sz w:val="24"/>
        </w:rPr>
        <w:t xml:space="preserve"> that it is impractical to make facilities responsible to ensure that community notification systems are working and how the proposed community notification provisions would be implemented (0268).</w:t>
      </w:r>
    </w:p>
    <w:p w:rsidR="006647E7" w:rsidP="006647E7" w14:paraId="317AF34D" w14:textId="77777777">
      <w:pPr>
        <w:rPr>
          <w:rFonts w:ascii="Times New Roman" w:hAnsi="Times New Roman"/>
          <w:sz w:val="24"/>
        </w:rPr>
      </w:pPr>
      <w:r w:rsidRPr="006F68E9">
        <w:rPr>
          <w:rFonts w:ascii="Times New Roman" w:hAnsi="Times New Roman"/>
          <w:sz w:val="24"/>
        </w:rPr>
        <w:t>Another commenter cited that facility notification to the community is not well-defined and that should be the responsibility of the LEPC to initiate any community warning message (0181).</w:t>
      </w:r>
    </w:p>
    <w:p w:rsidR="004E2F98" w:rsidRPr="00624A6E" w:rsidP="004E2F98" w14:paraId="28A9B06C" w14:textId="0113402C">
      <w:pPr>
        <w:ind w:left="720"/>
        <w:rPr>
          <w:rFonts w:ascii="Times New Roman" w:hAnsi="Times New Roman"/>
          <w:sz w:val="24"/>
        </w:rPr>
      </w:pPr>
      <w:r w:rsidRPr="00FB392E">
        <w:rPr>
          <w:rFonts w:ascii="Times New Roman" w:hAnsi="Times New Roman"/>
          <w:b/>
          <w:bCs/>
          <w:sz w:val="24"/>
        </w:rPr>
        <w:t>EPA Response:</w:t>
      </w:r>
      <w:r w:rsidRPr="004F7B36">
        <w:t xml:space="preserve"> </w:t>
      </w:r>
      <w:r w:rsidRPr="00181477" w:rsidR="00181477">
        <w:t xml:space="preserve"> </w:t>
      </w:r>
      <w:r w:rsidRPr="00624A6E">
        <w:rPr>
          <w:rFonts w:ascii="Times New Roman" w:hAnsi="Times New Roman"/>
          <w:sz w:val="24"/>
        </w:rPr>
        <w:t xml:space="preserve">It was not EPA’s intention in the proposed </w:t>
      </w:r>
      <w:r>
        <w:rPr>
          <w:rFonts w:ascii="Times New Roman" w:hAnsi="Times New Roman"/>
          <w:sz w:val="24"/>
        </w:rPr>
        <w:t xml:space="preserve">community notification system </w:t>
      </w:r>
      <w:r w:rsidRPr="00624A6E">
        <w:rPr>
          <w:rFonts w:ascii="Times New Roman" w:hAnsi="Times New Roman"/>
          <w:sz w:val="24"/>
        </w:rPr>
        <w:t xml:space="preserve">provision to </w:t>
      </w:r>
      <w:r w:rsidR="00805045">
        <w:rPr>
          <w:rFonts w:ascii="Times New Roman" w:hAnsi="Times New Roman"/>
          <w:sz w:val="24"/>
        </w:rPr>
        <w:t xml:space="preserve">completely </w:t>
      </w:r>
      <w:r w:rsidRPr="00624A6E">
        <w:rPr>
          <w:rFonts w:ascii="Times New Roman" w:hAnsi="Times New Roman"/>
          <w:sz w:val="24"/>
        </w:rPr>
        <w:t xml:space="preserve">transfer inherent government responsibilities to RMP regulated facilities. Rather, EPA’s intention for this provision has always been for facility owners and operators to work with the local responders to ensure that, during a release, a notification system is in place that will notify the public of the impending situation. </w:t>
      </w:r>
      <w:r w:rsidR="00805045">
        <w:rPr>
          <w:rFonts w:ascii="Times New Roman" w:hAnsi="Times New Roman"/>
          <w:sz w:val="24"/>
        </w:rPr>
        <w:t xml:space="preserve">However, </w:t>
      </w:r>
      <w:r w:rsidRPr="00181477" w:rsidR="00805045">
        <w:rPr>
          <w:rFonts w:ascii="Times New Roman" w:hAnsi="Times New Roman"/>
          <w:sz w:val="24"/>
        </w:rPr>
        <w:t xml:space="preserve">EPA maintains that the requirement to ensure that, during a release, all necessary resources are in place for a community notification system to function and operate as expected will help protect the public from accidental releases. </w:t>
      </w:r>
      <w:r>
        <w:rPr>
          <w:rFonts w:ascii="Times New Roman" w:hAnsi="Times New Roman"/>
          <w:sz w:val="24"/>
        </w:rPr>
        <w:t xml:space="preserve">For that reason, the final rule is revised from the proposal in that </w:t>
      </w:r>
      <w:r w:rsidRPr="004A54D7">
        <w:rPr>
          <w:rFonts w:ascii="Times New Roman" w:hAnsi="Times New Roman"/>
          <w:sz w:val="24"/>
        </w:rPr>
        <w:t xml:space="preserve">40 CFR 68.90(b)(6) and 68.95(a)(1)(i) specify that the owner or operator should </w:t>
      </w:r>
      <w:r w:rsidRPr="007726EA">
        <w:rPr>
          <w:rFonts w:ascii="Times New Roman" w:hAnsi="Times New Roman"/>
          <w:i/>
          <w:iCs/>
          <w:sz w:val="24"/>
        </w:rPr>
        <w:t>partner</w:t>
      </w:r>
      <w:r w:rsidRPr="004A54D7">
        <w:rPr>
          <w:rFonts w:ascii="Times New Roman" w:hAnsi="Times New Roman"/>
          <w:sz w:val="24"/>
        </w:rPr>
        <w:t xml:space="preserve"> with local response agencies to ensure a community notification system is in place, and to document the collaboration. </w:t>
      </w:r>
      <w:r w:rsidRPr="00624A6E">
        <w:rPr>
          <w:rFonts w:ascii="Times New Roman" w:hAnsi="Times New Roman"/>
          <w:sz w:val="24"/>
        </w:rPr>
        <w:t>The Agency expects that in most cases government emergency response officials will be the entities providing the notice. However, for the purposes of this rule, regulated facilities which have accidental releases are responsible for ensuring a prompt emergency response to any release at their facility’s covered processes in order to protect human health and the environment. As discussed in the proposal, if local public responders are not capable of providing such a response, the owner or operator is ultimately responsible for ensuring effective emergency response to any release at their facility occurs.</w:t>
      </w:r>
    </w:p>
    <w:p w:rsidR="004E2F98" w:rsidP="003D3A10" w14:paraId="10E1F2EF" w14:textId="77777777">
      <w:pPr>
        <w:ind w:left="720"/>
        <w:rPr>
          <w:rFonts w:ascii="Times New Roman" w:hAnsi="Times New Roman"/>
          <w:sz w:val="24"/>
        </w:rPr>
      </w:pPr>
      <w:r w:rsidRPr="00624A6E">
        <w:rPr>
          <w:rFonts w:ascii="Times New Roman" w:hAnsi="Times New Roman"/>
          <w:sz w:val="24"/>
        </w:rPr>
        <w:t>EPA expects the partnership between facility owners and operators and emergency response officials to ensure a public notification system is in place should occur at least during annual coordination discussions under 40 CFR 68.93. Under 40 CFR 68.93, owners and operators are required, among others, to annually coordinate response needs with local emergency planning and response organizations to determine how the facility is addressed in the community emergency response plan. A component of the community emergency response plan is public notification of chemical releases, and it is expected that this component will be discussed and documented by the facility owner or operator as part of the annual coordination obligations.</w:t>
      </w:r>
    </w:p>
    <w:p w:rsidR="00C52FE2" w:rsidP="00C52FE2" w14:paraId="6771FE85" w14:textId="70929E0E">
      <w:pPr>
        <w:rPr>
          <w:rFonts w:ascii="Times New Roman" w:hAnsi="Times New Roman"/>
          <w:sz w:val="24"/>
        </w:rPr>
      </w:pPr>
      <w:r>
        <w:rPr>
          <w:rFonts w:ascii="Times New Roman" w:hAnsi="Times New Roman"/>
          <w:b/>
          <w:bCs/>
          <w:sz w:val="24"/>
        </w:rPr>
        <w:t>Comment 11.2-1</w:t>
      </w:r>
      <w:r w:rsidR="00116C46">
        <w:rPr>
          <w:rFonts w:ascii="Times New Roman" w:hAnsi="Times New Roman"/>
          <w:b/>
          <w:bCs/>
          <w:sz w:val="24"/>
        </w:rPr>
        <w:t>4</w:t>
      </w:r>
      <w:r>
        <w:rPr>
          <w:rFonts w:ascii="Times New Roman" w:hAnsi="Times New Roman"/>
          <w:b/>
          <w:bCs/>
          <w:sz w:val="24"/>
        </w:rPr>
        <w:t xml:space="preserve">: </w:t>
      </w:r>
      <w:r w:rsidRPr="006F68E9">
        <w:rPr>
          <w:rFonts w:ascii="Times New Roman" w:hAnsi="Times New Roman"/>
          <w:sz w:val="24"/>
        </w:rPr>
        <w:t xml:space="preserve">One commenter suggested that EPA provide additional clarification on the extent of facilities’ obligations. The commenter </w:t>
      </w:r>
      <w:r>
        <w:rPr>
          <w:rFonts w:ascii="Times New Roman" w:hAnsi="Times New Roman"/>
          <w:sz w:val="24"/>
        </w:rPr>
        <w:t>said</w:t>
      </w:r>
      <w:r w:rsidRPr="006F68E9">
        <w:rPr>
          <w:rFonts w:ascii="Times New Roman" w:hAnsi="Times New Roman"/>
          <w:sz w:val="24"/>
        </w:rPr>
        <w:t xml:space="preserve"> that </w:t>
      </w:r>
      <w:r w:rsidR="00500AD2">
        <w:rPr>
          <w:rFonts w:ascii="Times New Roman" w:hAnsi="Times New Roman"/>
          <w:sz w:val="24"/>
        </w:rPr>
        <w:t xml:space="preserve">it is unclear whether </w:t>
      </w:r>
      <w:r w:rsidRPr="006F68E9">
        <w:rPr>
          <w:rFonts w:ascii="Times New Roman" w:hAnsi="Times New Roman"/>
          <w:sz w:val="24"/>
        </w:rPr>
        <w:t xml:space="preserve">requirements for assurance that a community notification system is in place applies to facilities’ notification system or to external community systems (0267). </w:t>
      </w:r>
    </w:p>
    <w:p w:rsidR="00500AD2" w:rsidP="003D3A10" w14:paraId="104E8CF2" w14:textId="77777777">
      <w:pPr>
        <w:ind w:left="720"/>
      </w:pPr>
      <w:r>
        <w:rPr>
          <w:rFonts w:ascii="Times New Roman" w:hAnsi="Times New Roman"/>
          <w:b/>
          <w:bCs/>
          <w:sz w:val="24"/>
        </w:rPr>
        <w:t xml:space="preserve">EPA Response: </w:t>
      </w:r>
      <w:r w:rsidRPr="00CF0877" w:rsidR="002164EA">
        <w:rPr>
          <w:rFonts w:ascii="Times New Roman" w:hAnsi="Times New Roman"/>
          <w:sz w:val="24"/>
        </w:rPr>
        <w:t xml:space="preserve">EPA’s intention for this provision has always been for facility owners and operators to work </w:t>
      </w:r>
      <w:r>
        <w:rPr>
          <w:rFonts w:ascii="Times New Roman" w:hAnsi="Times New Roman"/>
          <w:sz w:val="24"/>
        </w:rPr>
        <w:t xml:space="preserve">together </w:t>
      </w:r>
      <w:r w:rsidRPr="00CF0877" w:rsidR="002164EA">
        <w:rPr>
          <w:rFonts w:ascii="Times New Roman" w:hAnsi="Times New Roman"/>
          <w:sz w:val="24"/>
        </w:rPr>
        <w:t>with the local responders to ensure that, during a release, a notification system is in place that will notify the public of the impending situation. For that reason, the final rule is revised from the proposal in that 40 CFR 68.90(b)(6) and 68.95(a)(1)(i) specify that the owner or operator should partner with local response agencies to ensure a community notification system is in place, and to document the collaboration.</w:t>
      </w:r>
      <w:r w:rsidRPr="00CF0877" w:rsidR="00CF0877">
        <w:t xml:space="preserve"> </w:t>
      </w:r>
    </w:p>
    <w:p w:rsidR="003264AC" w:rsidRPr="003D3A10" w:rsidP="003D3A10" w14:paraId="39C45BB1" w14:textId="72D48635">
      <w:pPr>
        <w:ind w:left="720"/>
        <w:rPr>
          <w:rFonts w:ascii="Times New Roman" w:hAnsi="Times New Roman"/>
          <w:sz w:val="24"/>
        </w:rPr>
      </w:pPr>
      <w:r w:rsidRPr="00CF0877">
        <w:rPr>
          <w:rFonts w:ascii="Times New Roman" w:hAnsi="Times New Roman"/>
          <w:sz w:val="24"/>
        </w:rPr>
        <w:t xml:space="preserve">The Agency expects that in most cases government emergency response officials will be the entities providing the notice. However, for the purposes of this rule, regulated facilities which have accidental releases are responsible for ensuring a prompt emergency response to any release at their facility’s covered processes in order to protect human health and the environment. As discussed </w:t>
      </w:r>
      <w:r w:rsidR="00500AD2">
        <w:rPr>
          <w:rFonts w:ascii="Times New Roman" w:hAnsi="Times New Roman"/>
          <w:sz w:val="24"/>
        </w:rPr>
        <w:t>throughout this section and</w:t>
      </w:r>
      <w:r w:rsidRPr="00CF0877">
        <w:rPr>
          <w:rFonts w:ascii="Times New Roman" w:hAnsi="Times New Roman"/>
          <w:sz w:val="24"/>
        </w:rPr>
        <w:t xml:space="preserve"> in the proposal, if local public responders are not capable of providing such a response, the owner or </w:t>
      </w:r>
      <w:r w:rsidRPr="00CF0877">
        <w:rPr>
          <w:rFonts w:ascii="Times New Roman" w:hAnsi="Times New Roman"/>
          <w:sz w:val="24"/>
        </w:rPr>
        <w:t>operator is ultimately responsible for ensuring effective emergency response to any release at their facility occurs.</w:t>
      </w:r>
    </w:p>
    <w:p w:rsidR="001A7428" w:rsidRPr="008B072B" w:rsidP="003D3A10" w14:paraId="0692E424" w14:textId="32CB7478">
      <w:pPr>
        <w:ind w:left="720"/>
        <w:rPr>
          <w:rFonts w:ascii="Times New Roman" w:hAnsi="Times New Roman"/>
          <w:sz w:val="24"/>
        </w:rPr>
      </w:pPr>
      <w:r w:rsidRPr="008B072B">
        <w:rPr>
          <w:rFonts w:ascii="Times New Roman" w:hAnsi="Times New Roman"/>
          <w:sz w:val="24"/>
        </w:rPr>
        <w:t>EPA expects the partnership between facility owners and operators and emergency response officials to ensure a public notification system is in place should occur at least during annual coordination discussions under 40 CFR 68.93. Under 40 CFR 68.93, owners and operators are required, among others, to annually coordinate response needs with local emergency planning and response organizations to determine how the facility is addressed in the community emergency response plan. A component of the community emergency response plan is public notification of chemical releases, and it is expected that this component will be discussed and documented by the facility owner or operator as part of the annual coordination obligations.</w:t>
      </w:r>
      <w:r>
        <w:rPr>
          <w:rFonts w:ascii="Times New Roman" w:hAnsi="Times New Roman"/>
          <w:sz w:val="24"/>
        </w:rPr>
        <w:t xml:space="preserve"> </w:t>
      </w:r>
    </w:p>
    <w:p w:rsidR="00C52FE2" w:rsidRPr="006F68E9" w:rsidP="00922A1E" w14:paraId="37A91B15" w14:textId="322EDEC9">
      <w:pPr>
        <w:rPr>
          <w:rFonts w:ascii="Times New Roman" w:hAnsi="Times New Roman"/>
          <w:sz w:val="24"/>
        </w:rPr>
      </w:pPr>
      <w:r>
        <w:rPr>
          <w:rFonts w:ascii="Times New Roman" w:hAnsi="Times New Roman"/>
          <w:b/>
          <w:bCs/>
          <w:sz w:val="24"/>
        </w:rPr>
        <w:t>Comment 11.2-1</w:t>
      </w:r>
      <w:r w:rsidR="00116C46">
        <w:rPr>
          <w:rFonts w:ascii="Times New Roman" w:hAnsi="Times New Roman"/>
          <w:b/>
          <w:bCs/>
          <w:sz w:val="24"/>
        </w:rPr>
        <w:t>5</w:t>
      </w:r>
      <w:r>
        <w:rPr>
          <w:rFonts w:ascii="Times New Roman" w:hAnsi="Times New Roman"/>
          <w:b/>
          <w:bCs/>
          <w:sz w:val="24"/>
        </w:rPr>
        <w:t xml:space="preserve">: </w:t>
      </w:r>
      <w:r w:rsidRPr="10E61CF2">
        <w:rPr>
          <w:rFonts w:ascii="Times New Roman" w:hAnsi="Times New Roman"/>
          <w:sz w:val="24"/>
        </w:rPr>
        <w:t xml:space="preserve">A few commenters </w:t>
      </w:r>
      <w:r>
        <w:rPr>
          <w:rFonts w:ascii="Times New Roman" w:hAnsi="Times New Roman"/>
          <w:sz w:val="24"/>
        </w:rPr>
        <w:t>said</w:t>
      </w:r>
      <w:r w:rsidRPr="10E61CF2">
        <w:rPr>
          <w:rFonts w:ascii="Times New Roman" w:hAnsi="Times New Roman"/>
          <w:sz w:val="24"/>
        </w:rPr>
        <w:t xml:space="preserve"> that while IPAWS are in use in communities nationwide, many facilities are not in areas with these systems (0239, 0275). Furthermore, a few commenters expressed that neither the burden of ensuring IPAWS capabilities nor providing direct notification to the public should fall on RMP facilities (0238, 0239, 0275). Another commenter </w:t>
      </w:r>
      <w:r>
        <w:rPr>
          <w:rFonts w:ascii="Times New Roman" w:hAnsi="Times New Roman"/>
          <w:sz w:val="24"/>
        </w:rPr>
        <w:t>stated</w:t>
      </w:r>
      <w:r w:rsidRPr="10E61CF2">
        <w:rPr>
          <w:rFonts w:ascii="Times New Roman" w:hAnsi="Times New Roman"/>
          <w:sz w:val="24"/>
        </w:rPr>
        <w:t xml:space="preserve"> that IPAWS does not accept information from private entities, only government entities (0275). One commenter stated that while they support the need for a community notification system, they believe EPA should ensure that RMP facilities covered under this rule are in areas already covered by the IPAWS and if so, re-evaluate how this may impact local governments and their ability to allocate resources (0243).</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said that</w:t>
      </w:r>
      <w:r w:rsidRPr="006F68E9">
        <w:rPr>
          <w:rFonts w:ascii="Times New Roman" w:hAnsi="Times New Roman"/>
          <w:sz w:val="24"/>
        </w:rPr>
        <w:t xml:space="preserve"> FEMA reports 1,600 </w:t>
      </w:r>
      <w:r>
        <w:rPr>
          <w:rFonts w:ascii="Times New Roman" w:hAnsi="Times New Roman"/>
          <w:sz w:val="24"/>
        </w:rPr>
        <w:t>F</w:t>
      </w:r>
      <w:r w:rsidRPr="006F68E9">
        <w:rPr>
          <w:rFonts w:ascii="Times New Roman" w:hAnsi="Times New Roman"/>
          <w:sz w:val="24"/>
        </w:rPr>
        <w:t xml:space="preserve">ederal, </w:t>
      </w:r>
      <w:r>
        <w:rPr>
          <w:rFonts w:ascii="Times New Roman" w:hAnsi="Times New Roman"/>
          <w:sz w:val="24"/>
        </w:rPr>
        <w:t>S</w:t>
      </w:r>
      <w:r w:rsidRPr="006F68E9">
        <w:rPr>
          <w:rFonts w:ascii="Times New Roman" w:hAnsi="Times New Roman"/>
          <w:sz w:val="24"/>
        </w:rPr>
        <w:t>tate, local, tribal, and territorial authorities use IPAWS to issue alerts and warnings in their jurisdictions (0239).</w:t>
      </w:r>
    </w:p>
    <w:p w:rsidR="00C52FE2" w:rsidRPr="008B072B" w:rsidP="00C52FE2" w14:paraId="6D80C4E0" w14:textId="77777777">
      <w:pPr>
        <w:ind w:left="720"/>
        <w:rPr>
          <w:rFonts w:ascii="Times New Roman" w:hAnsi="Times New Roman"/>
          <w:b/>
          <w:sz w:val="24"/>
        </w:rPr>
      </w:pPr>
      <w:r>
        <w:rPr>
          <w:rFonts w:ascii="Times New Roman" w:hAnsi="Times New Roman"/>
          <w:b/>
          <w:bCs/>
          <w:sz w:val="24"/>
        </w:rPr>
        <w:t xml:space="preserve">EPA Response: </w:t>
      </w:r>
      <w:r w:rsidRPr="001531FA">
        <w:rPr>
          <w:rFonts w:ascii="Times New Roman" w:hAnsi="Times New Roman"/>
          <w:sz w:val="24"/>
        </w:rPr>
        <w:t>With regard to specific comments about IPAWS, EPA acknowledges that while IPAWS is not currently operational in all communities, it could be. IPAWS is available in all States statewide, and, if not currently available in certain local communities, it can be made available if the local designated government authorities apply to be an Alerting Authority.</w:t>
      </w:r>
      <w:r>
        <w:rPr>
          <w:rStyle w:val="FootnoteReference"/>
          <w:rFonts w:ascii="Times New Roman" w:hAnsi="Times New Roman"/>
          <w:sz w:val="24"/>
        </w:rPr>
        <w:footnoteReference w:id="151"/>
      </w:r>
      <w:r w:rsidRPr="001531FA">
        <w:rPr>
          <w:rFonts w:ascii="Times New Roman" w:hAnsi="Times New Roman"/>
          <w:sz w:val="24"/>
        </w:rPr>
        <w:t xml:space="preserve"> While IPAWS is a well-known option as a notification system compliant with this provision, EPA is not requiring the use of this specific system to be the one solely used to notify the public. EPA encourages facility owners and operators to work with response agencies to determine how best to alert a potentially affected community about impending chemical releases.</w:t>
      </w:r>
    </w:p>
    <w:p w:rsidR="00C52FE2" w:rsidRPr="00321698" w:rsidP="00C52FE2" w14:paraId="000DB3D3" w14:textId="77777777">
      <w:pPr>
        <w:rPr>
          <w:rFonts w:ascii="Times New Roman" w:hAnsi="Times New Roman"/>
          <w:i/>
          <w:iCs/>
          <w:sz w:val="24"/>
        </w:rPr>
      </w:pPr>
      <w:r w:rsidRPr="00321698">
        <w:rPr>
          <w:rFonts w:ascii="Times New Roman" w:hAnsi="Times New Roman"/>
          <w:i/>
          <w:iCs/>
          <w:sz w:val="24"/>
        </w:rPr>
        <w:t xml:space="preserve">Comments on information to share </w:t>
      </w:r>
      <w:r>
        <w:rPr>
          <w:rFonts w:ascii="Times New Roman" w:hAnsi="Times New Roman"/>
          <w:i/>
          <w:iCs/>
          <w:sz w:val="24"/>
        </w:rPr>
        <w:t xml:space="preserve">in public notifications </w:t>
      </w:r>
    </w:p>
    <w:p w:rsidR="00C52FE2" w:rsidP="00C52FE2" w14:paraId="52719508" w14:textId="325EF6F0">
      <w:pPr>
        <w:rPr>
          <w:rFonts w:ascii="Times New Roman" w:hAnsi="Times New Roman"/>
          <w:sz w:val="24"/>
        </w:rPr>
      </w:pPr>
      <w:r>
        <w:rPr>
          <w:rFonts w:ascii="Times New Roman" w:hAnsi="Times New Roman"/>
          <w:b/>
          <w:bCs/>
          <w:sz w:val="24"/>
        </w:rPr>
        <w:t>Comment 11.2-1</w:t>
      </w:r>
      <w:r w:rsidR="00116C46">
        <w:rPr>
          <w:rFonts w:ascii="Times New Roman" w:hAnsi="Times New Roman"/>
          <w:b/>
          <w:bCs/>
          <w:sz w:val="24"/>
        </w:rPr>
        <w:t>7</w:t>
      </w:r>
      <w:r>
        <w:rPr>
          <w:rFonts w:ascii="Times New Roman" w:hAnsi="Times New Roman"/>
          <w:b/>
          <w:bCs/>
          <w:sz w:val="24"/>
        </w:rPr>
        <w:t xml:space="preserve">: </w:t>
      </w:r>
      <w:r>
        <w:rPr>
          <w:rFonts w:ascii="Times New Roman" w:hAnsi="Times New Roman"/>
          <w:sz w:val="24"/>
        </w:rPr>
        <w:t>Several</w:t>
      </w:r>
      <w:r w:rsidRPr="6D3F9CC5">
        <w:rPr>
          <w:rFonts w:ascii="Times New Roman" w:hAnsi="Times New Roman"/>
          <w:sz w:val="24"/>
        </w:rPr>
        <w:t xml:space="preserve"> </w:t>
      </w:r>
      <w:r>
        <w:rPr>
          <w:rFonts w:ascii="Times New Roman" w:hAnsi="Times New Roman"/>
          <w:sz w:val="24"/>
        </w:rPr>
        <w:t>indicated</w:t>
      </w:r>
      <w:r w:rsidRPr="6D3F9CC5">
        <w:rPr>
          <w:rFonts w:ascii="Times New Roman" w:hAnsi="Times New Roman"/>
          <w:sz w:val="24"/>
        </w:rPr>
        <w:t xml:space="preserve"> that facilities are already required to notify and provide information of certain releases to the NRC, SERCs, and LEPCs</w:t>
      </w:r>
      <w:r>
        <w:rPr>
          <w:rFonts w:ascii="Times New Roman" w:hAnsi="Times New Roman"/>
          <w:sz w:val="24"/>
        </w:rPr>
        <w:t xml:space="preserve"> </w:t>
      </w:r>
      <w:r w:rsidRPr="6D3F9CC5">
        <w:rPr>
          <w:rFonts w:ascii="Times New Roman" w:hAnsi="Times New Roman"/>
          <w:sz w:val="24"/>
        </w:rPr>
        <w:t>under EPCRA and the CERCLA (0180, 0226, 0458).</w:t>
      </w:r>
      <w:r>
        <w:rPr>
          <w:rFonts w:ascii="Times New Roman" w:hAnsi="Times New Roman"/>
          <w:sz w:val="24"/>
        </w:rPr>
        <w:t xml:space="preserve"> </w:t>
      </w:r>
      <w:r w:rsidRPr="006F68E9">
        <w:rPr>
          <w:rFonts w:ascii="Times New Roman" w:hAnsi="Times New Roman"/>
          <w:sz w:val="24"/>
        </w:rPr>
        <w:t xml:space="preserve">Several commenters </w:t>
      </w:r>
      <w:r>
        <w:rPr>
          <w:rFonts w:ascii="Times New Roman" w:hAnsi="Times New Roman"/>
          <w:sz w:val="24"/>
        </w:rPr>
        <w:t>said</w:t>
      </w:r>
      <w:r w:rsidRPr="006F68E9">
        <w:rPr>
          <w:rFonts w:ascii="Times New Roman" w:hAnsi="Times New Roman"/>
          <w:sz w:val="24"/>
        </w:rPr>
        <w:t xml:space="preserve"> that the current notification procedures are inadequate in terms of language and timing. The commenters recommended that EPA explicitly require RMP facilities to provide emergency response notifications in all languages appropriate for the surrounding community and they take a multicultural approach in an emergency so that all, regardless of their first language, can be informed in a timely manner and have equitable access to information (0141, 0143, 0157, 0160, 0208, 0209, 0240, 0250, 0252, 0255, 0264, 0269, 0270, 0383, 0402, 0409, 0413, 0444, 0447, 0448, 0452, 0456, 0460). One commenter stated that </w:t>
      </w:r>
      <w:r w:rsidRPr="006F68E9">
        <w:rPr>
          <w:rFonts w:ascii="Times New Roman" w:hAnsi="Times New Roman"/>
          <w:sz w:val="24"/>
        </w:rPr>
        <w:t xml:space="preserve">industry needs to be required to notify residents in any manner that will reach them, whether online, by phone, by mail, or door to door. One commenter stated that if multilingual alerts are not required, the burden of translating will fall on community members, who may not be trained in best practices for these types of warning systems (0240). </w:t>
      </w:r>
    </w:p>
    <w:p w:rsidR="00C52FE2" w:rsidRPr="006F68E9" w:rsidP="00C52FE2" w14:paraId="6A6F39E2" w14:textId="77777777">
      <w:pPr>
        <w:rPr>
          <w:rFonts w:ascii="Times New Roman" w:hAnsi="Times New Roman"/>
          <w:sz w:val="24"/>
        </w:rPr>
      </w:pPr>
      <w:r w:rsidRPr="006F68E9">
        <w:rPr>
          <w:rFonts w:ascii="Times New Roman" w:hAnsi="Times New Roman"/>
          <w:sz w:val="24"/>
        </w:rPr>
        <w:t xml:space="preserve">Several commenters stressed the need for real-time, multilingual emergency notification and response plans for community members living near facilities (0156, 0270, 0273, 0331, 0402, 0409). </w:t>
      </w:r>
    </w:p>
    <w:p w:rsidR="00C52FE2" w:rsidP="00C52FE2" w14:paraId="480C751C"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said</w:t>
      </w:r>
      <w:r w:rsidRPr="006F68E9">
        <w:rPr>
          <w:rFonts w:ascii="Times New Roman" w:hAnsi="Times New Roman"/>
          <w:sz w:val="24"/>
        </w:rPr>
        <w:t xml:space="preserve"> that local communities should be given as much warning as possible to evacuate, and multilingual messaging, including evacuation instructions, is important in multilingual communities and environmental justice concerns (0402).</w:t>
      </w:r>
    </w:p>
    <w:p w:rsidR="00C52FE2" w:rsidRPr="006F68E9" w:rsidP="00C52FE2" w14:paraId="20F57D21" w14:textId="77777777">
      <w:pPr>
        <w:rPr>
          <w:rFonts w:ascii="Times New Roman" w:hAnsi="Times New Roman"/>
          <w:sz w:val="24"/>
        </w:rPr>
      </w:pPr>
      <w:r w:rsidRPr="006F68E9">
        <w:rPr>
          <w:rFonts w:ascii="Times New Roman" w:hAnsi="Times New Roman"/>
          <w:sz w:val="24"/>
        </w:rPr>
        <w:t>One commenter also stated that a list of high-risk facilities must be maintained if they encounter a catastrophic event (0164).</w:t>
      </w:r>
    </w:p>
    <w:p w:rsidR="00D25BBB" w:rsidRPr="00B16EF4" w:rsidP="00B16EF4" w14:paraId="321D5E53" w14:textId="61FD20E5">
      <w:pPr>
        <w:ind w:left="720"/>
        <w:rPr>
          <w:rFonts w:ascii="Times New Roman" w:hAnsi="Times New Roman"/>
          <w:sz w:val="24"/>
        </w:rPr>
      </w:pPr>
      <w:r w:rsidRPr="006E0F8C">
        <w:rPr>
          <w:rFonts w:ascii="Times New Roman" w:hAnsi="Times New Roman"/>
          <w:b/>
          <w:bCs/>
          <w:sz w:val="24"/>
        </w:rPr>
        <w:t>EPA Response:</w:t>
      </w:r>
      <w:r>
        <w:rPr>
          <w:rFonts w:ascii="Times New Roman" w:hAnsi="Times New Roman"/>
          <w:b/>
          <w:bCs/>
          <w:sz w:val="24"/>
        </w:rPr>
        <w:t xml:space="preserve"> </w:t>
      </w:r>
      <w:r w:rsidRPr="00691E51" w:rsidR="006E0F8C">
        <w:rPr>
          <w:rFonts w:ascii="Times New Roman" w:hAnsi="Times New Roman"/>
          <w:sz w:val="24"/>
        </w:rPr>
        <w:t>In response to the comment that facilities are already required to notify and provide information about imminent releases to the NRC, SERCs, and LEPCs under CERCLA and EPCRA, EPA has amended the language in the final rule to allow existing release notification requirements to satisfy th</w:t>
      </w:r>
      <w:r w:rsidR="002E454E">
        <w:rPr>
          <w:rFonts w:ascii="Times New Roman" w:hAnsi="Times New Roman"/>
          <w:sz w:val="24"/>
        </w:rPr>
        <w:t>e emergency response</w:t>
      </w:r>
      <w:r w:rsidRPr="00691E51" w:rsidR="006E0F8C">
        <w:rPr>
          <w:rFonts w:ascii="Times New Roman" w:hAnsi="Times New Roman"/>
          <w:sz w:val="24"/>
        </w:rPr>
        <w:t xml:space="preserve"> provision</w:t>
      </w:r>
      <w:r w:rsidR="002E454E">
        <w:rPr>
          <w:rFonts w:ascii="Times New Roman" w:hAnsi="Times New Roman"/>
          <w:sz w:val="24"/>
        </w:rPr>
        <w:t xml:space="preserve"> for providing timely release data to responders</w:t>
      </w:r>
      <w:r w:rsidRPr="00691E51" w:rsidR="006E0F8C">
        <w:rPr>
          <w:rFonts w:ascii="Times New Roman" w:hAnsi="Times New Roman"/>
          <w:sz w:val="24"/>
        </w:rPr>
        <w:t>, if applicable. EPA acknowledges that EPCRA section 304, CERCLA section 103, and the CSB have similar Federal reporting requirements, and that there may also be State-only requirements for release notification and reporting that could meet this requirement. Therefore, EPA believes the amendment to this provision can help prevent any undue burden in complying with multiple requirements when a chemical release occurs. EPA believes this provision is particularly useful in closing regulatory gaps for chemical release notification where other statutory requirements do not apply. For example, reporting under EPCRA section 304 is required only to the SERC and LEPC, and reporting under CERCLA section 103 is required only to the NRC. Additionally, not all RMP regulated substances are EPCRA extremely hazardous substances and/or CERCLA hazardous substances (e.g., propane, butane, pentane, and hydrogen are regulated under RMP, but not under EPCRA section 304 or CERCLA section 103); thus, while there might be some overlap, some chemicals will require only Federal release reporting under RMP.</w:t>
      </w:r>
    </w:p>
    <w:p w:rsidR="00326248" w:rsidRPr="00DB13EE" w:rsidP="00B16EF4" w14:paraId="3BAD55EA" w14:textId="2C185DE9">
      <w:pPr>
        <w:ind w:left="720"/>
        <w:rPr>
          <w:rFonts w:ascii="Times New Roman" w:hAnsi="Times New Roman"/>
          <w:sz w:val="24"/>
        </w:rPr>
      </w:pPr>
      <w:r w:rsidRPr="00F40B01">
        <w:rPr>
          <w:rFonts w:ascii="Times New Roman" w:hAnsi="Times New Roman"/>
          <w:sz w:val="24"/>
        </w:rPr>
        <w:t>EPA expects notification</w:t>
      </w:r>
      <w:r w:rsidR="007033E0">
        <w:rPr>
          <w:rFonts w:ascii="Times New Roman" w:hAnsi="Times New Roman"/>
          <w:sz w:val="24"/>
        </w:rPr>
        <w:t>s</w:t>
      </w:r>
      <w:r w:rsidRPr="00F40B01">
        <w:rPr>
          <w:rFonts w:ascii="Times New Roman" w:hAnsi="Times New Roman"/>
          <w:sz w:val="24"/>
        </w:rPr>
        <w:t xml:space="preserve"> to be understood by community members potentially affected and therefore would expect multilingual notifications if necessary. </w:t>
      </w:r>
      <w:r w:rsidRPr="00DB13EE" w:rsidR="00D25BBB">
        <w:rPr>
          <w:rFonts w:ascii="Times New Roman" w:hAnsi="Times New Roman"/>
          <w:sz w:val="24"/>
        </w:rPr>
        <w:t>EPA is not requiring the use of this specific system to be the one solely used to notify the public</w:t>
      </w:r>
      <w:r w:rsidRPr="00DB13EE" w:rsidR="009C008C">
        <w:rPr>
          <w:rFonts w:ascii="Times New Roman" w:hAnsi="Times New Roman"/>
          <w:sz w:val="24"/>
        </w:rPr>
        <w:t xml:space="preserve"> </w:t>
      </w:r>
      <w:r w:rsidR="0073270E">
        <w:rPr>
          <w:rFonts w:ascii="Times New Roman" w:hAnsi="Times New Roman"/>
          <w:sz w:val="24"/>
        </w:rPr>
        <w:t>n</w:t>
      </w:r>
      <w:r w:rsidR="004462F1">
        <w:rPr>
          <w:rFonts w:ascii="Times New Roman" w:hAnsi="Times New Roman"/>
          <w:sz w:val="24"/>
        </w:rPr>
        <w:t xml:space="preserve">or </w:t>
      </w:r>
      <w:r w:rsidR="00A359F1">
        <w:rPr>
          <w:rFonts w:ascii="Times New Roman" w:hAnsi="Times New Roman"/>
          <w:sz w:val="24"/>
        </w:rPr>
        <w:t xml:space="preserve">maintenance of a </w:t>
      </w:r>
      <w:r w:rsidR="00944D16">
        <w:rPr>
          <w:rFonts w:ascii="Times New Roman" w:hAnsi="Times New Roman"/>
          <w:sz w:val="24"/>
        </w:rPr>
        <w:t xml:space="preserve">high risk </w:t>
      </w:r>
      <w:r w:rsidR="0073270E">
        <w:rPr>
          <w:rFonts w:ascii="Times New Roman" w:hAnsi="Times New Roman"/>
          <w:sz w:val="24"/>
        </w:rPr>
        <w:t xml:space="preserve">list </w:t>
      </w:r>
      <w:r w:rsidR="00185D4F">
        <w:rPr>
          <w:rFonts w:ascii="Times New Roman" w:hAnsi="Times New Roman"/>
          <w:sz w:val="24"/>
        </w:rPr>
        <w:t>but</w:t>
      </w:r>
      <w:r w:rsidRPr="00DB13EE" w:rsidR="009C008C">
        <w:rPr>
          <w:rFonts w:ascii="Times New Roman" w:hAnsi="Times New Roman"/>
          <w:sz w:val="24"/>
        </w:rPr>
        <w:t xml:space="preserve"> encourages facility owners and operators to work with response agencies to determine how best to alert a potentially affected community about impending chemical releases.</w:t>
      </w:r>
      <w:r w:rsidRPr="00DB13EE" w:rsidR="008A0B22">
        <w:rPr>
          <w:rFonts w:ascii="Times New Roman" w:hAnsi="Times New Roman"/>
          <w:sz w:val="24"/>
        </w:rPr>
        <w:t xml:space="preserve"> </w:t>
      </w:r>
      <w:r w:rsidRPr="00DB13EE" w:rsidR="006637FD">
        <w:rPr>
          <w:rFonts w:ascii="Times New Roman" w:hAnsi="Times New Roman"/>
          <w:sz w:val="24"/>
        </w:rPr>
        <w:t>The Agency notes</w:t>
      </w:r>
      <w:r w:rsidRPr="00DB13EE" w:rsidR="00DB13EE">
        <w:rPr>
          <w:rFonts w:ascii="Times New Roman" w:hAnsi="Times New Roman"/>
          <w:sz w:val="24"/>
        </w:rPr>
        <w:t xml:space="preserve"> that </w:t>
      </w:r>
      <w:r w:rsidRPr="00DB13EE" w:rsidR="001D6BC5">
        <w:rPr>
          <w:rFonts w:ascii="Times New Roman" w:hAnsi="Times New Roman"/>
          <w:sz w:val="24"/>
        </w:rPr>
        <w:t>IPAWS is a well-known option as a notification system compliant with this provision</w:t>
      </w:r>
      <w:r w:rsidRPr="00DB13EE" w:rsidR="00D25BBB">
        <w:rPr>
          <w:rFonts w:ascii="Times New Roman" w:hAnsi="Times New Roman"/>
          <w:sz w:val="24"/>
        </w:rPr>
        <w:t>. This system provides authenticated emergency and life-</w:t>
      </w:r>
      <w:r w:rsidRPr="00DB13EE" w:rsidR="00476444">
        <w:rPr>
          <w:rFonts w:ascii="Times New Roman" w:hAnsi="Times New Roman"/>
          <w:sz w:val="24"/>
        </w:rPr>
        <w:t>saving information</w:t>
      </w:r>
      <w:r w:rsidRPr="00DB13EE" w:rsidR="00D25BBB">
        <w:rPr>
          <w:rFonts w:ascii="Times New Roman" w:hAnsi="Times New Roman"/>
          <w:sz w:val="24"/>
        </w:rPr>
        <w:t xml:space="preserve"> to the public through mobile phones using wireless emergency alerts. </w:t>
      </w:r>
      <w:bookmarkStart w:id="134" w:name="_Hlk153222998"/>
      <w:r w:rsidRPr="00DB13EE" w:rsidR="00D25BBB">
        <w:rPr>
          <w:rFonts w:ascii="Times New Roman" w:hAnsi="Times New Roman"/>
          <w:sz w:val="24"/>
        </w:rPr>
        <w:t>It also provides alerts to radio and television via the Emergency Alert System and on</w:t>
      </w:r>
      <w:r w:rsidRPr="00DB13EE" w:rsidR="00476444">
        <w:rPr>
          <w:rFonts w:ascii="Times New Roman" w:hAnsi="Times New Roman"/>
          <w:sz w:val="24"/>
        </w:rPr>
        <w:t xml:space="preserve"> </w:t>
      </w:r>
      <w:r w:rsidRPr="00DB13EE" w:rsidR="00D25BBB">
        <w:rPr>
          <w:rFonts w:ascii="Times New Roman" w:hAnsi="Times New Roman"/>
          <w:sz w:val="24"/>
        </w:rPr>
        <w:t>the National Oceanic and Atmospheric Administration’s Weather Radio.</w:t>
      </w:r>
      <w:r>
        <w:rPr>
          <w:rStyle w:val="FootnoteReference"/>
          <w:rFonts w:ascii="Times New Roman" w:hAnsi="Times New Roman"/>
          <w:sz w:val="24"/>
        </w:rPr>
        <w:footnoteReference w:id="152"/>
      </w:r>
      <w:r w:rsidRPr="00DB13EE" w:rsidR="00D25BBB">
        <w:rPr>
          <w:rFonts w:ascii="Times New Roman" w:hAnsi="Times New Roman"/>
          <w:sz w:val="24"/>
        </w:rPr>
        <w:t xml:space="preserve"> </w:t>
      </w:r>
      <w:r w:rsidR="00AD301A">
        <w:rPr>
          <w:rFonts w:ascii="Times New Roman" w:hAnsi="Times New Roman"/>
          <w:sz w:val="24"/>
        </w:rPr>
        <w:t>Further, t</w:t>
      </w:r>
      <w:r w:rsidRPr="00DB13EE" w:rsidR="00D25BBB">
        <w:rPr>
          <w:rFonts w:ascii="Times New Roman" w:hAnsi="Times New Roman"/>
          <w:sz w:val="24"/>
        </w:rPr>
        <w:t>he</w:t>
      </w:r>
      <w:r w:rsidRPr="00DB13EE" w:rsidR="00476444">
        <w:rPr>
          <w:rFonts w:ascii="Times New Roman" w:hAnsi="Times New Roman"/>
          <w:sz w:val="24"/>
        </w:rPr>
        <w:t xml:space="preserve"> </w:t>
      </w:r>
      <w:r w:rsidRPr="00DB13EE" w:rsidR="00D25BBB">
        <w:rPr>
          <w:rFonts w:ascii="Times New Roman" w:hAnsi="Times New Roman"/>
          <w:sz w:val="24"/>
        </w:rPr>
        <w:t xml:space="preserve">Emergency Alert System devices found at radio, TV and </w:t>
      </w:r>
      <w:r w:rsidRPr="00DB13EE" w:rsidR="00D25BBB">
        <w:rPr>
          <w:rFonts w:ascii="Times New Roman" w:hAnsi="Times New Roman"/>
          <w:sz w:val="24"/>
        </w:rPr>
        <w:t>cable stations can support multiple languages and wireless Emergency Alerts can support both English and Spanish.</w:t>
      </w:r>
      <w:r>
        <w:rPr>
          <w:rStyle w:val="FootnoteReference"/>
          <w:rFonts w:ascii="Times New Roman" w:hAnsi="Times New Roman"/>
          <w:sz w:val="24"/>
        </w:rPr>
        <w:footnoteReference w:id="153"/>
      </w:r>
      <w:r w:rsidRPr="00DB13EE" w:rsidR="00D25BBB">
        <w:rPr>
          <w:rFonts w:ascii="Times New Roman" w:hAnsi="Times New Roman"/>
          <w:sz w:val="24"/>
        </w:rPr>
        <w:t xml:space="preserve"> </w:t>
      </w:r>
      <w:bookmarkEnd w:id="134"/>
    </w:p>
    <w:p w:rsidR="00C52FE2" w:rsidRPr="006F68E9" w:rsidP="00B16EF4" w14:paraId="71A8CA68" w14:textId="407EEAF9">
      <w:pPr>
        <w:rPr>
          <w:rFonts w:ascii="Times New Roman" w:hAnsi="Times New Roman"/>
          <w:sz w:val="24"/>
        </w:rPr>
      </w:pPr>
      <w:r w:rsidRPr="00EE7F45">
        <w:rPr>
          <w:rFonts w:ascii="Times New Roman" w:hAnsi="Times New Roman"/>
          <w:b/>
          <w:bCs/>
          <w:sz w:val="24"/>
        </w:rPr>
        <w:t>Comment</w:t>
      </w:r>
      <w:r>
        <w:rPr>
          <w:rFonts w:ascii="Times New Roman" w:hAnsi="Times New Roman"/>
          <w:b/>
          <w:bCs/>
          <w:sz w:val="24"/>
        </w:rPr>
        <w:t xml:space="preserve"> 11.2-1</w:t>
      </w:r>
      <w:r w:rsidR="00116C46">
        <w:rPr>
          <w:rFonts w:ascii="Times New Roman" w:hAnsi="Times New Roman"/>
          <w:b/>
          <w:bCs/>
          <w:sz w:val="24"/>
        </w:rPr>
        <w:t>8</w:t>
      </w:r>
      <w:r w:rsidRPr="00EE7F4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while the real-time notifications are important, EPA should consider including more details on what actions need to be taken by communities. Some people may not know what it means to seek shelter, especially if they live in homes that are vulnerable to the impacts of hazards (0157).</w:t>
      </w:r>
    </w:p>
    <w:p w:rsidR="00C52FE2" w:rsidP="00C52FE2" w14:paraId="7369E9AB" w14:textId="77777777">
      <w:pPr>
        <w:rPr>
          <w:rFonts w:ascii="Times New Roman" w:hAnsi="Times New Roman"/>
          <w:sz w:val="24"/>
        </w:rPr>
      </w:pPr>
      <w:r w:rsidRPr="006F68E9">
        <w:rPr>
          <w:rFonts w:ascii="Times New Roman" w:hAnsi="Times New Roman"/>
          <w:sz w:val="24"/>
        </w:rPr>
        <w:t>Another commenter added that in addition to real-time notifications and clear directions, EPA also needs to communicate what is being done to lower the risk and prevent further incidents (0157).</w:t>
      </w:r>
      <w:r>
        <w:rPr>
          <w:rFonts w:ascii="Times New Roman" w:hAnsi="Times New Roman"/>
          <w:sz w:val="24"/>
        </w:rPr>
        <w:t xml:space="preserve"> </w:t>
      </w:r>
      <w:r w:rsidRPr="006F68E9">
        <w:rPr>
          <w:rFonts w:ascii="Times New Roman" w:hAnsi="Times New Roman"/>
          <w:sz w:val="24"/>
        </w:rPr>
        <w:t>One commenter shared an example of how they were not notified about a hazardous release until two weeks after the release. The commenter stated that the facility did not notify the commenter about the accident or give any safety directions (0157).</w:t>
      </w:r>
    </w:p>
    <w:p w:rsidR="00C52FE2" w:rsidRPr="006F68E9" w:rsidP="00C52FE2" w14:paraId="413648EC" w14:textId="77777777">
      <w:pPr>
        <w:rPr>
          <w:rFonts w:ascii="Times New Roman" w:hAnsi="Times New Roman"/>
          <w:sz w:val="24"/>
        </w:rPr>
      </w:pPr>
      <w:r w:rsidRPr="006F68E9">
        <w:rPr>
          <w:rFonts w:ascii="Times New Roman" w:hAnsi="Times New Roman"/>
          <w:sz w:val="24"/>
        </w:rPr>
        <w:t>Another commenter recommended that emergency response plans should be written to include a public information section that details instructions on how the public should respond to emergency events and recognize symptoms of hazardous substance exposure (0165).</w:t>
      </w:r>
    </w:p>
    <w:p w:rsidR="00C52FE2" w:rsidP="00C52FE2" w14:paraId="5A984CB1" w14:textId="77777777">
      <w:pPr>
        <w:rPr>
          <w:rFonts w:ascii="Times New Roman" w:hAnsi="Times New Roman"/>
          <w:sz w:val="24"/>
        </w:rPr>
      </w:pPr>
      <w:r w:rsidRPr="006F68E9">
        <w:rPr>
          <w:rFonts w:ascii="Times New Roman" w:hAnsi="Times New Roman"/>
          <w:sz w:val="24"/>
        </w:rPr>
        <w:t>One commenter recommended EPA improve their community notification systems, especially for non-RMP facilities (0157).</w:t>
      </w:r>
    </w:p>
    <w:p w:rsidR="000B6749" w:rsidRPr="00AD0399" w:rsidP="00B16EF4" w14:paraId="271198DB" w14:textId="1AA4D9E9">
      <w:pPr>
        <w:ind w:left="720"/>
        <w:rPr>
          <w:rFonts w:ascii="Times New Roman" w:hAnsi="Times New Roman"/>
          <w:sz w:val="24"/>
        </w:rPr>
      </w:pPr>
      <w:r w:rsidRPr="000E2B61">
        <w:rPr>
          <w:rFonts w:ascii="Times New Roman" w:hAnsi="Times New Roman"/>
          <w:b/>
          <w:bCs/>
          <w:sz w:val="24"/>
        </w:rPr>
        <w:t>EPA Response:</w:t>
      </w:r>
      <w:r>
        <w:rPr>
          <w:rFonts w:ascii="Times New Roman" w:hAnsi="Times New Roman"/>
          <w:b/>
          <w:bCs/>
          <w:sz w:val="24"/>
        </w:rPr>
        <w:t xml:space="preserve"> </w:t>
      </w:r>
      <w:r w:rsidRPr="00B62EDE" w:rsidR="00D83025">
        <w:rPr>
          <w:rFonts w:ascii="Times New Roman" w:hAnsi="Times New Roman"/>
          <w:sz w:val="24"/>
        </w:rPr>
        <w:t xml:space="preserve">The Agency </w:t>
      </w:r>
      <w:r w:rsidR="00275428">
        <w:rPr>
          <w:rFonts w:ascii="Times New Roman" w:hAnsi="Times New Roman"/>
          <w:sz w:val="24"/>
        </w:rPr>
        <w:t>would like to note that</w:t>
      </w:r>
      <w:r w:rsidRPr="00B62EDE" w:rsidR="00D83025">
        <w:rPr>
          <w:rFonts w:ascii="Times New Roman" w:hAnsi="Times New Roman"/>
          <w:sz w:val="24"/>
        </w:rPr>
        <w:t xml:space="preserve"> community emergency response plans contain useful information for the public to learn how RMP facility processes are accounted and planned for if there is an RMP-regulated accidental release.</w:t>
      </w:r>
      <w:r w:rsidRPr="00580647" w:rsidR="00580647">
        <w:t xml:space="preserve"> </w:t>
      </w:r>
      <w:r w:rsidRPr="00580647" w:rsidR="00580647">
        <w:rPr>
          <w:rFonts w:ascii="Times New Roman" w:hAnsi="Times New Roman"/>
          <w:sz w:val="24"/>
        </w:rPr>
        <w:t>According to 40 CFR 68.90(b)(1) and</w:t>
      </w:r>
      <w:r w:rsidR="00580647">
        <w:rPr>
          <w:rFonts w:ascii="Times New Roman" w:hAnsi="Times New Roman"/>
          <w:sz w:val="24"/>
        </w:rPr>
        <w:t xml:space="preserve"> </w:t>
      </w:r>
      <w:r w:rsidRPr="00580647" w:rsidR="00580647">
        <w:rPr>
          <w:rFonts w:ascii="Times New Roman" w:hAnsi="Times New Roman"/>
          <w:sz w:val="24"/>
        </w:rPr>
        <w:t>40 CFR 68.95(c), respective nonresponding</w:t>
      </w:r>
      <w:r w:rsidR="00580647">
        <w:rPr>
          <w:rFonts w:ascii="Times New Roman" w:hAnsi="Times New Roman"/>
          <w:sz w:val="24"/>
        </w:rPr>
        <w:t xml:space="preserve"> </w:t>
      </w:r>
      <w:r w:rsidRPr="00580647" w:rsidR="00580647">
        <w:rPr>
          <w:rFonts w:ascii="Times New Roman" w:hAnsi="Times New Roman"/>
          <w:sz w:val="24"/>
        </w:rPr>
        <w:t>and responding facilities are</w:t>
      </w:r>
      <w:r w:rsidR="00580647">
        <w:rPr>
          <w:rFonts w:ascii="Times New Roman" w:hAnsi="Times New Roman"/>
          <w:sz w:val="24"/>
        </w:rPr>
        <w:t xml:space="preserve"> </w:t>
      </w:r>
      <w:r w:rsidRPr="00AD0399" w:rsidR="00580647">
        <w:rPr>
          <w:rFonts w:ascii="Times New Roman" w:hAnsi="Times New Roman"/>
          <w:sz w:val="24"/>
        </w:rPr>
        <w:t>currently required to be coordinated with the community emergency response plan developed under EPCRA Section 303, 42 U.S.C. 11003, ‘‘Comprehensive Emergency Response Plans.’’ The plan is prepared by LEPCs/TEPCs to evaluate the need for resources necessary to develop, implement, and exercise the emergency plan.</w:t>
      </w:r>
      <w:r w:rsidRPr="00AD0399" w:rsidR="009D4014">
        <w:rPr>
          <w:rFonts w:ascii="Times New Roman" w:hAnsi="Times New Roman"/>
          <w:sz w:val="24"/>
        </w:rPr>
        <w:t xml:space="preserve"> </w:t>
      </w:r>
      <w:r w:rsidRPr="00AD0399" w:rsidR="006F6E09">
        <w:rPr>
          <w:rFonts w:ascii="Times New Roman" w:hAnsi="Times New Roman"/>
          <w:sz w:val="24"/>
        </w:rPr>
        <w:t xml:space="preserve">The plan must include the following: </w:t>
      </w:r>
    </w:p>
    <w:p w:rsidR="000B6749" w:rsidRPr="00AD0399" w:rsidP="00B16EF4" w14:paraId="75D2EE1B" w14:textId="426C1E11">
      <w:pPr>
        <w:ind w:left="1440"/>
        <w:rPr>
          <w:rFonts w:ascii="Times New Roman" w:hAnsi="Times New Roman"/>
          <w:sz w:val="24"/>
        </w:rPr>
      </w:pPr>
      <w:r w:rsidRPr="00AD0399">
        <w:rPr>
          <w:rFonts w:ascii="Times New Roman" w:hAnsi="Times New Roman"/>
          <w:sz w:val="24"/>
        </w:rPr>
        <w:t>• Identification of facilities within the</w:t>
      </w:r>
      <w:r w:rsidRPr="00AD0399" w:rsidR="00AD0399">
        <w:rPr>
          <w:rFonts w:ascii="Times New Roman" w:hAnsi="Times New Roman"/>
          <w:sz w:val="24"/>
        </w:rPr>
        <w:t xml:space="preserve"> </w:t>
      </w:r>
      <w:r w:rsidRPr="00AD0399">
        <w:rPr>
          <w:rFonts w:ascii="Times New Roman" w:hAnsi="Times New Roman"/>
          <w:sz w:val="24"/>
        </w:rPr>
        <w:t>emergency planning district,</w:t>
      </w:r>
      <w:r w:rsidRPr="00AD0399" w:rsidR="00AD0399">
        <w:rPr>
          <w:rFonts w:ascii="Times New Roman" w:hAnsi="Times New Roman"/>
          <w:sz w:val="24"/>
        </w:rPr>
        <w:t xml:space="preserve"> </w:t>
      </w:r>
      <w:r w:rsidRPr="00AD0399">
        <w:rPr>
          <w:rFonts w:ascii="Times New Roman" w:hAnsi="Times New Roman"/>
          <w:sz w:val="24"/>
        </w:rPr>
        <w:t>identification of routes likely to be used</w:t>
      </w:r>
      <w:r w:rsidRPr="00AD0399" w:rsidR="00AD0399">
        <w:rPr>
          <w:rFonts w:ascii="Times New Roman" w:hAnsi="Times New Roman"/>
          <w:sz w:val="24"/>
        </w:rPr>
        <w:t xml:space="preserve"> </w:t>
      </w:r>
      <w:r w:rsidRPr="00AD0399">
        <w:rPr>
          <w:rFonts w:ascii="Times New Roman" w:hAnsi="Times New Roman"/>
          <w:sz w:val="24"/>
        </w:rPr>
        <w:t>for the transportation of substances on</w:t>
      </w:r>
      <w:r w:rsidRPr="00AD0399" w:rsidR="00AD0399">
        <w:rPr>
          <w:rFonts w:ascii="Times New Roman" w:hAnsi="Times New Roman"/>
          <w:sz w:val="24"/>
        </w:rPr>
        <w:t xml:space="preserve"> </w:t>
      </w:r>
      <w:r w:rsidRPr="00AD0399">
        <w:rPr>
          <w:rFonts w:ascii="Times New Roman" w:hAnsi="Times New Roman"/>
          <w:sz w:val="24"/>
        </w:rPr>
        <w:t>the list of extremely hazardous</w:t>
      </w:r>
      <w:r w:rsidRPr="00AD0399" w:rsidR="00AD0399">
        <w:rPr>
          <w:rFonts w:ascii="Times New Roman" w:hAnsi="Times New Roman"/>
          <w:sz w:val="24"/>
        </w:rPr>
        <w:t xml:space="preserve"> </w:t>
      </w:r>
      <w:r w:rsidRPr="00AD0399">
        <w:rPr>
          <w:rFonts w:ascii="Times New Roman" w:hAnsi="Times New Roman"/>
          <w:sz w:val="24"/>
        </w:rPr>
        <w:t>substances, and identification of</w:t>
      </w:r>
      <w:r w:rsidRPr="00AD0399" w:rsidR="00AD0399">
        <w:rPr>
          <w:rFonts w:ascii="Times New Roman" w:hAnsi="Times New Roman"/>
          <w:sz w:val="24"/>
        </w:rPr>
        <w:t xml:space="preserve"> </w:t>
      </w:r>
      <w:r w:rsidRPr="00AD0399">
        <w:rPr>
          <w:rFonts w:ascii="Times New Roman" w:hAnsi="Times New Roman"/>
          <w:sz w:val="24"/>
        </w:rPr>
        <w:t>additional facilities contributing or</w:t>
      </w:r>
      <w:r w:rsidR="00AD0399">
        <w:rPr>
          <w:rFonts w:ascii="Times New Roman" w:hAnsi="Times New Roman"/>
          <w:sz w:val="24"/>
        </w:rPr>
        <w:t xml:space="preserve"> </w:t>
      </w:r>
      <w:r w:rsidRPr="00AD0399">
        <w:rPr>
          <w:rFonts w:ascii="Times New Roman" w:hAnsi="Times New Roman"/>
          <w:sz w:val="24"/>
        </w:rPr>
        <w:t>subjected to additional risk due to their</w:t>
      </w:r>
      <w:r w:rsidRPr="00AD0399" w:rsidR="00AD0399">
        <w:rPr>
          <w:rFonts w:ascii="Times New Roman" w:hAnsi="Times New Roman"/>
          <w:sz w:val="24"/>
        </w:rPr>
        <w:t xml:space="preserve"> </w:t>
      </w:r>
      <w:r w:rsidRPr="00AD0399">
        <w:rPr>
          <w:rFonts w:ascii="Times New Roman" w:hAnsi="Times New Roman"/>
          <w:sz w:val="24"/>
        </w:rPr>
        <w:t>proximity to facilities subject to the</w:t>
      </w:r>
      <w:r w:rsidR="00AD0399">
        <w:rPr>
          <w:rFonts w:ascii="Times New Roman" w:hAnsi="Times New Roman"/>
          <w:sz w:val="24"/>
        </w:rPr>
        <w:t xml:space="preserve"> </w:t>
      </w:r>
      <w:r w:rsidRPr="00AD0399">
        <w:rPr>
          <w:rFonts w:ascii="Times New Roman" w:hAnsi="Times New Roman"/>
          <w:sz w:val="24"/>
        </w:rPr>
        <w:t>requirements of EPCRA subchapter I</w:t>
      </w:r>
      <w:r w:rsidRPr="00AD0399" w:rsidR="00AD0399">
        <w:rPr>
          <w:rFonts w:ascii="Times New Roman" w:hAnsi="Times New Roman"/>
          <w:sz w:val="24"/>
        </w:rPr>
        <w:t xml:space="preserve"> </w:t>
      </w:r>
      <w:r w:rsidRPr="00AD0399">
        <w:rPr>
          <w:rFonts w:ascii="Times New Roman" w:hAnsi="Times New Roman"/>
          <w:sz w:val="24"/>
        </w:rPr>
        <w:t>under Title 42, Chapter 116, such as</w:t>
      </w:r>
      <w:r w:rsidR="00AD0399">
        <w:rPr>
          <w:rFonts w:ascii="Times New Roman" w:hAnsi="Times New Roman"/>
          <w:sz w:val="24"/>
        </w:rPr>
        <w:t xml:space="preserve"> </w:t>
      </w:r>
      <w:r w:rsidRPr="00AD0399">
        <w:rPr>
          <w:rFonts w:ascii="Times New Roman" w:hAnsi="Times New Roman"/>
          <w:sz w:val="24"/>
        </w:rPr>
        <w:t>hospitals or natural gas facilities.</w:t>
      </w:r>
    </w:p>
    <w:p w:rsidR="000B6749" w:rsidRPr="00AD0399" w:rsidP="00B16EF4" w14:paraId="5A8BD145" w14:textId="1C63991F">
      <w:pPr>
        <w:ind w:left="1440"/>
        <w:rPr>
          <w:rFonts w:ascii="Times New Roman" w:hAnsi="Times New Roman"/>
          <w:sz w:val="24"/>
        </w:rPr>
      </w:pPr>
      <w:r w:rsidRPr="00AD0399">
        <w:rPr>
          <w:rFonts w:ascii="Times New Roman" w:hAnsi="Times New Roman"/>
          <w:sz w:val="24"/>
        </w:rPr>
        <w:t>• Methods and procedures to be</w:t>
      </w:r>
      <w:r w:rsidRPr="00AD0399" w:rsidR="00AD0399">
        <w:rPr>
          <w:rFonts w:ascii="Times New Roman" w:hAnsi="Times New Roman"/>
          <w:sz w:val="24"/>
        </w:rPr>
        <w:t xml:space="preserve"> </w:t>
      </w:r>
      <w:r w:rsidRPr="00AD0399">
        <w:rPr>
          <w:rFonts w:ascii="Times New Roman" w:hAnsi="Times New Roman"/>
          <w:sz w:val="24"/>
        </w:rPr>
        <w:t>followed by facility owners and</w:t>
      </w:r>
      <w:r w:rsidRPr="00AD0399" w:rsidR="00AD0399">
        <w:rPr>
          <w:rFonts w:ascii="Times New Roman" w:hAnsi="Times New Roman"/>
          <w:sz w:val="24"/>
        </w:rPr>
        <w:t xml:space="preserve"> </w:t>
      </w:r>
      <w:r w:rsidRPr="00AD0399">
        <w:rPr>
          <w:rFonts w:ascii="Times New Roman" w:hAnsi="Times New Roman"/>
          <w:sz w:val="24"/>
        </w:rPr>
        <w:t>operators and local emergency and</w:t>
      </w:r>
      <w:r w:rsidRPr="00AD0399" w:rsidR="00AD0399">
        <w:rPr>
          <w:rFonts w:ascii="Times New Roman" w:hAnsi="Times New Roman"/>
          <w:sz w:val="24"/>
        </w:rPr>
        <w:t xml:space="preserve"> </w:t>
      </w:r>
      <w:r w:rsidRPr="00AD0399">
        <w:rPr>
          <w:rFonts w:ascii="Times New Roman" w:hAnsi="Times New Roman"/>
          <w:sz w:val="24"/>
        </w:rPr>
        <w:t>medical personnel to respond to any</w:t>
      </w:r>
      <w:r w:rsidR="00AD0399">
        <w:rPr>
          <w:rFonts w:ascii="Times New Roman" w:hAnsi="Times New Roman"/>
          <w:sz w:val="24"/>
        </w:rPr>
        <w:t xml:space="preserve"> </w:t>
      </w:r>
      <w:r w:rsidRPr="00AD0399">
        <w:rPr>
          <w:rFonts w:ascii="Times New Roman" w:hAnsi="Times New Roman"/>
          <w:sz w:val="24"/>
        </w:rPr>
        <w:t>release of such substances.</w:t>
      </w:r>
    </w:p>
    <w:p w:rsidR="000B6749" w:rsidRPr="00AD0399" w:rsidP="00B16EF4" w14:paraId="13B46F92" w14:textId="583383D8">
      <w:pPr>
        <w:ind w:left="1440"/>
        <w:rPr>
          <w:rFonts w:ascii="Times New Roman" w:hAnsi="Times New Roman"/>
          <w:sz w:val="24"/>
        </w:rPr>
      </w:pPr>
      <w:r w:rsidRPr="00AD0399">
        <w:rPr>
          <w:rFonts w:ascii="Times New Roman" w:hAnsi="Times New Roman"/>
          <w:sz w:val="24"/>
        </w:rPr>
        <w:t>• Designation of a community</w:t>
      </w:r>
      <w:r w:rsidR="00AD0399">
        <w:rPr>
          <w:rFonts w:ascii="Times New Roman" w:hAnsi="Times New Roman"/>
          <w:sz w:val="24"/>
        </w:rPr>
        <w:t xml:space="preserve"> </w:t>
      </w:r>
      <w:r w:rsidRPr="00AD0399">
        <w:rPr>
          <w:rFonts w:ascii="Times New Roman" w:hAnsi="Times New Roman"/>
          <w:sz w:val="24"/>
        </w:rPr>
        <w:t>emergency coordinator and facility</w:t>
      </w:r>
      <w:r w:rsidR="00AD0399">
        <w:rPr>
          <w:rFonts w:ascii="Times New Roman" w:hAnsi="Times New Roman"/>
          <w:sz w:val="24"/>
        </w:rPr>
        <w:t xml:space="preserve"> </w:t>
      </w:r>
      <w:r w:rsidRPr="00AD0399">
        <w:rPr>
          <w:rFonts w:ascii="Times New Roman" w:hAnsi="Times New Roman"/>
          <w:sz w:val="24"/>
        </w:rPr>
        <w:t>emergency coordinators, who shall</w:t>
      </w:r>
      <w:r w:rsidR="00AD0399">
        <w:rPr>
          <w:rFonts w:ascii="Times New Roman" w:hAnsi="Times New Roman"/>
          <w:sz w:val="24"/>
        </w:rPr>
        <w:t xml:space="preserve"> </w:t>
      </w:r>
      <w:r w:rsidRPr="00AD0399">
        <w:rPr>
          <w:rFonts w:ascii="Times New Roman" w:hAnsi="Times New Roman"/>
          <w:sz w:val="24"/>
        </w:rPr>
        <w:t>make determinations necessary to</w:t>
      </w:r>
      <w:r w:rsidR="00AD0399">
        <w:rPr>
          <w:rFonts w:ascii="Times New Roman" w:hAnsi="Times New Roman"/>
          <w:sz w:val="24"/>
        </w:rPr>
        <w:t xml:space="preserve"> </w:t>
      </w:r>
      <w:r w:rsidRPr="00AD0399">
        <w:rPr>
          <w:rFonts w:ascii="Times New Roman" w:hAnsi="Times New Roman"/>
          <w:sz w:val="24"/>
        </w:rPr>
        <w:t>implement the plan.</w:t>
      </w:r>
    </w:p>
    <w:p w:rsidR="000B6749" w:rsidRPr="00AD0399" w:rsidP="00B16EF4" w14:paraId="208B78F1" w14:textId="137366E1">
      <w:pPr>
        <w:ind w:left="1440"/>
        <w:rPr>
          <w:rFonts w:ascii="Times New Roman" w:hAnsi="Times New Roman"/>
          <w:sz w:val="24"/>
        </w:rPr>
      </w:pPr>
      <w:r w:rsidRPr="00AD0399">
        <w:rPr>
          <w:rFonts w:ascii="Times New Roman" w:hAnsi="Times New Roman"/>
          <w:sz w:val="24"/>
        </w:rPr>
        <w:t>• Procedures providing reliable,</w:t>
      </w:r>
      <w:r w:rsidR="00AD0399">
        <w:rPr>
          <w:rFonts w:ascii="Times New Roman" w:hAnsi="Times New Roman"/>
          <w:sz w:val="24"/>
        </w:rPr>
        <w:t xml:space="preserve"> </w:t>
      </w:r>
      <w:r w:rsidRPr="00AD0399">
        <w:rPr>
          <w:rFonts w:ascii="Times New Roman" w:hAnsi="Times New Roman"/>
          <w:sz w:val="24"/>
        </w:rPr>
        <w:t>effective, and timely notification by the</w:t>
      </w:r>
      <w:r w:rsidR="00AD0399">
        <w:rPr>
          <w:rFonts w:ascii="Times New Roman" w:hAnsi="Times New Roman"/>
          <w:sz w:val="24"/>
        </w:rPr>
        <w:t xml:space="preserve"> </w:t>
      </w:r>
      <w:r w:rsidRPr="00AD0399">
        <w:rPr>
          <w:rFonts w:ascii="Times New Roman" w:hAnsi="Times New Roman"/>
          <w:sz w:val="24"/>
        </w:rPr>
        <w:t>facility emergency coordinators and the</w:t>
      </w:r>
      <w:r w:rsidR="00AD0399">
        <w:rPr>
          <w:rFonts w:ascii="Times New Roman" w:hAnsi="Times New Roman"/>
          <w:sz w:val="24"/>
        </w:rPr>
        <w:t xml:space="preserve"> </w:t>
      </w:r>
      <w:r w:rsidRPr="00AD0399">
        <w:rPr>
          <w:rFonts w:ascii="Times New Roman" w:hAnsi="Times New Roman"/>
          <w:sz w:val="24"/>
        </w:rPr>
        <w:t>community emergency coordinator to</w:t>
      </w:r>
      <w:r w:rsidR="00AD0399">
        <w:rPr>
          <w:rFonts w:ascii="Times New Roman" w:hAnsi="Times New Roman"/>
          <w:sz w:val="24"/>
        </w:rPr>
        <w:t xml:space="preserve"> </w:t>
      </w:r>
      <w:r w:rsidRPr="00AD0399">
        <w:rPr>
          <w:rFonts w:ascii="Times New Roman" w:hAnsi="Times New Roman"/>
          <w:sz w:val="24"/>
        </w:rPr>
        <w:t>persons designated in the emergency</w:t>
      </w:r>
      <w:r w:rsidR="00AD0399">
        <w:rPr>
          <w:rFonts w:ascii="Times New Roman" w:hAnsi="Times New Roman"/>
          <w:sz w:val="24"/>
        </w:rPr>
        <w:t xml:space="preserve"> </w:t>
      </w:r>
      <w:r w:rsidRPr="00AD0399">
        <w:rPr>
          <w:rFonts w:ascii="Times New Roman" w:hAnsi="Times New Roman"/>
          <w:sz w:val="24"/>
        </w:rPr>
        <w:t>plan, and to the public, that a release</w:t>
      </w:r>
      <w:r w:rsidR="00AD0399">
        <w:rPr>
          <w:rFonts w:ascii="Times New Roman" w:hAnsi="Times New Roman"/>
          <w:sz w:val="24"/>
        </w:rPr>
        <w:t xml:space="preserve"> </w:t>
      </w:r>
      <w:r w:rsidRPr="00AD0399">
        <w:rPr>
          <w:rFonts w:ascii="Times New Roman" w:hAnsi="Times New Roman"/>
          <w:sz w:val="24"/>
        </w:rPr>
        <w:t>has occurred.</w:t>
      </w:r>
    </w:p>
    <w:p w:rsidR="000B6749" w:rsidRPr="00AD0399" w:rsidP="00B16EF4" w14:paraId="28E615D8" w14:textId="74B45A5E">
      <w:pPr>
        <w:ind w:left="1440"/>
        <w:rPr>
          <w:rFonts w:ascii="Times New Roman" w:hAnsi="Times New Roman"/>
          <w:sz w:val="24"/>
        </w:rPr>
      </w:pPr>
      <w:r w:rsidRPr="00AD0399">
        <w:rPr>
          <w:rFonts w:ascii="Times New Roman" w:hAnsi="Times New Roman"/>
          <w:sz w:val="24"/>
        </w:rPr>
        <w:t>• Methods for determining the</w:t>
      </w:r>
      <w:r w:rsidR="00AD0399">
        <w:rPr>
          <w:rFonts w:ascii="Times New Roman" w:hAnsi="Times New Roman"/>
          <w:sz w:val="24"/>
        </w:rPr>
        <w:t xml:space="preserve"> </w:t>
      </w:r>
      <w:r w:rsidRPr="00AD0399">
        <w:rPr>
          <w:rFonts w:ascii="Times New Roman" w:hAnsi="Times New Roman"/>
          <w:sz w:val="24"/>
        </w:rPr>
        <w:t>occurrence of a release, and the area or</w:t>
      </w:r>
      <w:r w:rsidR="00AD0399">
        <w:rPr>
          <w:rFonts w:ascii="Times New Roman" w:hAnsi="Times New Roman"/>
          <w:sz w:val="24"/>
        </w:rPr>
        <w:t xml:space="preserve"> </w:t>
      </w:r>
      <w:r w:rsidRPr="00AD0399">
        <w:rPr>
          <w:rFonts w:ascii="Times New Roman" w:hAnsi="Times New Roman"/>
          <w:sz w:val="24"/>
        </w:rPr>
        <w:t>population likely to be affected by such</w:t>
      </w:r>
      <w:r w:rsidR="00AD0399">
        <w:rPr>
          <w:rFonts w:ascii="Times New Roman" w:hAnsi="Times New Roman"/>
          <w:sz w:val="24"/>
        </w:rPr>
        <w:t xml:space="preserve"> </w:t>
      </w:r>
      <w:r w:rsidRPr="00AD0399">
        <w:rPr>
          <w:rFonts w:ascii="Times New Roman" w:hAnsi="Times New Roman"/>
          <w:sz w:val="24"/>
        </w:rPr>
        <w:t>release.</w:t>
      </w:r>
    </w:p>
    <w:p w:rsidR="000B6749" w:rsidRPr="00AD0399" w:rsidP="00B16EF4" w14:paraId="12BD0E6E" w14:textId="63A16172">
      <w:pPr>
        <w:ind w:left="1440"/>
        <w:rPr>
          <w:rFonts w:ascii="Times New Roman" w:hAnsi="Times New Roman"/>
          <w:sz w:val="24"/>
        </w:rPr>
      </w:pPr>
      <w:r w:rsidRPr="00AD0399">
        <w:rPr>
          <w:rFonts w:ascii="Times New Roman" w:hAnsi="Times New Roman"/>
          <w:sz w:val="24"/>
        </w:rPr>
        <w:t>• Description of emergency</w:t>
      </w:r>
      <w:r w:rsidR="00AD0399">
        <w:rPr>
          <w:rFonts w:ascii="Times New Roman" w:hAnsi="Times New Roman"/>
          <w:sz w:val="24"/>
        </w:rPr>
        <w:t xml:space="preserve"> </w:t>
      </w:r>
      <w:r w:rsidRPr="00AD0399">
        <w:rPr>
          <w:rFonts w:ascii="Times New Roman" w:hAnsi="Times New Roman"/>
          <w:sz w:val="24"/>
        </w:rPr>
        <w:t>equipment and facilities in the</w:t>
      </w:r>
      <w:r w:rsidR="00AD0399">
        <w:rPr>
          <w:rFonts w:ascii="Times New Roman" w:hAnsi="Times New Roman"/>
          <w:sz w:val="24"/>
        </w:rPr>
        <w:t xml:space="preserve"> </w:t>
      </w:r>
      <w:r w:rsidRPr="00AD0399">
        <w:rPr>
          <w:rFonts w:ascii="Times New Roman" w:hAnsi="Times New Roman"/>
          <w:sz w:val="24"/>
        </w:rPr>
        <w:t>community and at each facility in the</w:t>
      </w:r>
      <w:r w:rsidR="00AD0399">
        <w:rPr>
          <w:rFonts w:ascii="Times New Roman" w:hAnsi="Times New Roman"/>
          <w:sz w:val="24"/>
        </w:rPr>
        <w:t xml:space="preserve"> </w:t>
      </w:r>
      <w:r w:rsidRPr="00AD0399">
        <w:rPr>
          <w:rFonts w:ascii="Times New Roman" w:hAnsi="Times New Roman"/>
          <w:sz w:val="24"/>
        </w:rPr>
        <w:t>community subject to the requirements</w:t>
      </w:r>
      <w:r w:rsidR="00AD0399">
        <w:rPr>
          <w:rFonts w:ascii="Times New Roman" w:hAnsi="Times New Roman"/>
          <w:sz w:val="24"/>
        </w:rPr>
        <w:t xml:space="preserve"> </w:t>
      </w:r>
      <w:r w:rsidRPr="00AD0399">
        <w:rPr>
          <w:rFonts w:ascii="Times New Roman" w:hAnsi="Times New Roman"/>
          <w:sz w:val="24"/>
        </w:rPr>
        <w:t>of EPCRA subchapter I under Title 42,</w:t>
      </w:r>
      <w:r w:rsidR="00AD0399">
        <w:rPr>
          <w:rFonts w:ascii="Times New Roman" w:hAnsi="Times New Roman"/>
          <w:sz w:val="24"/>
        </w:rPr>
        <w:t xml:space="preserve"> </w:t>
      </w:r>
      <w:r w:rsidRPr="00AD0399">
        <w:rPr>
          <w:rFonts w:ascii="Times New Roman" w:hAnsi="Times New Roman"/>
          <w:sz w:val="24"/>
        </w:rPr>
        <w:t>Chapter 116, and an identification of the</w:t>
      </w:r>
      <w:r w:rsidR="00AD0399">
        <w:rPr>
          <w:rFonts w:ascii="Times New Roman" w:hAnsi="Times New Roman"/>
          <w:sz w:val="24"/>
        </w:rPr>
        <w:t xml:space="preserve"> </w:t>
      </w:r>
      <w:r w:rsidRPr="00AD0399">
        <w:rPr>
          <w:rFonts w:ascii="Times New Roman" w:hAnsi="Times New Roman"/>
          <w:sz w:val="24"/>
        </w:rPr>
        <w:t>persons responsible for such equipment</w:t>
      </w:r>
      <w:r w:rsidR="00AD0399">
        <w:rPr>
          <w:rFonts w:ascii="Times New Roman" w:hAnsi="Times New Roman"/>
          <w:sz w:val="24"/>
        </w:rPr>
        <w:t xml:space="preserve"> </w:t>
      </w:r>
      <w:r w:rsidRPr="00AD0399">
        <w:rPr>
          <w:rFonts w:ascii="Times New Roman" w:hAnsi="Times New Roman"/>
          <w:sz w:val="24"/>
        </w:rPr>
        <w:t>and facilities.</w:t>
      </w:r>
    </w:p>
    <w:p w:rsidR="000B6749" w:rsidRPr="00AD0399" w:rsidP="00B16EF4" w14:paraId="7C8209F6" w14:textId="0AC10945">
      <w:pPr>
        <w:ind w:left="1440"/>
        <w:rPr>
          <w:rFonts w:ascii="Times New Roman" w:hAnsi="Times New Roman"/>
          <w:sz w:val="24"/>
        </w:rPr>
      </w:pPr>
      <w:r w:rsidRPr="00AD0399">
        <w:rPr>
          <w:rFonts w:ascii="Times New Roman" w:hAnsi="Times New Roman"/>
          <w:sz w:val="24"/>
        </w:rPr>
        <w:t>• Evacuation plans, including</w:t>
      </w:r>
      <w:r w:rsidR="00AD0399">
        <w:rPr>
          <w:rFonts w:ascii="Times New Roman" w:hAnsi="Times New Roman"/>
          <w:sz w:val="24"/>
        </w:rPr>
        <w:t xml:space="preserve"> </w:t>
      </w:r>
      <w:r w:rsidRPr="00AD0399">
        <w:rPr>
          <w:rFonts w:ascii="Times New Roman" w:hAnsi="Times New Roman"/>
          <w:sz w:val="24"/>
        </w:rPr>
        <w:t>provisions for a precautionary</w:t>
      </w:r>
      <w:r w:rsidR="00AD0399">
        <w:rPr>
          <w:rFonts w:ascii="Times New Roman" w:hAnsi="Times New Roman"/>
          <w:sz w:val="24"/>
        </w:rPr>
        <w:t xml:space="preserve"> </w:t>
      </w:r>
      <w:r w:rsidRPr="00AD0399">
        <w:rPr>
          <w:rFonts w:ascii="Times New Roman" w:hAnsi="Times New Roman"/>
          <w:sz w:val="24"/>
        </w:rPr>
        <w:t>evacuation and alternative traffic routes.</w:t>
      </w:r>
    </w:p>
    <w:p w:rsidR="000B6749" w:rsidRPr="00AD0399" w:rsidP="00B16EF4" w14:paraId="65B41E18" w14:textId="510CE859">
      <w:pPr>
        <w:ind w:left="1440"/>
        <w:rPr>
          <w:rFonts w:ascii="Times New Roman" w:hAnsi="Times New Roman"/>
          <w:sz w:val="24"/>
        </w:rPr>
      </w:pPr>
      <w:r w:rsidRPr="00AD0399">
        <w:rPr>
          <w:rFonts w:ascii="Times New Roman" w:hAnsi="Times New Roman"/>
          <w:sz w:val="24"/>
        </w:rPr>
        <w:t>• Training programs, including</w:t>
      </w:r>
      <w:r w:rsidR="00AD0399">
        <w:rPr>
          <w:rFonts w:ascii="Times New Roman" w:hAnsi="Times New Roman"/>
          <w:sz w:val="24"/>
        </w:rPr>
        <w:t xml:space="preserve"> </w:t>
      </w:r>
      <w:r w:rsidRPr="00AD0399">
        <w:rPr>
          <w:rFonts w:ascii="Times New Roman" w:hAnsi="Times New Roman"/>
          <w:sz w:val="24"/>
        </w:rPr>
        <w:t>schedules for training of local</w:t>
      </w:r>
      <w:r w:rsidR="00AD0399">
        <w:rPr>
          <w:rFonts w:ascii="Times New Roman" w:hAnsi="Times New Roman"/>
          <w:sz w:val="24"/>
        </w:rPr>
        <w:t xml:space="preserve"> </w:t>
      </w:r>
      <w:r w:rsidRPr="00AD0399">
        <w:rPr>
          <w:rFonts w:ascii="Times New Roman" w:hAnsi="Times New Roman"/>
          <w:sz w:val="24"/>
        </w:rPr>
        <w:t>emergency response and medical</w:t>
      </w:r>
      <w:r w:rsidR="00AD0399">
        <w:rPr>
          <w:rFonts w:ascii="Times New Roman" w:hAnsi="Times New Roman"/>
          <w:sz w:val="24"/>
        </w:rPr>
        <w:t xml:space="preserve"> </w:t>
      </w:r>
      <w:r w:rsidRPr="00AD0399">
        <w:rPr>
          <w:rFonts w:ascii="Times New Roman" w:hAnsi="Times New Roman"/>
          <w:sz w:val="24"/>
        </w:rPr>
        <w:t>personnel.</w:t>
      </w:r>
    </w:p>
    <w:p w:rsidR="006F6E09" w:rsidRPr="00B16EF4" w:rsidP="00B16EF4" w14:paraId="7C3CE5AC" w14:textId="774AFC71">
      <w:pPr>
        <w:ind w:left="720" w:firstLine="720"/>
        <w:rPr>
          <w:rFonts w:ascii="Times New Roman" w:hAnsi="Times New Roman"/>
          <w:sz w:val="24"/>
        </w:rPr>
      </w:pPr>
      <w:r w:rsidRPr="00AD0399">
        <w:rPr>
          <w:rFonts w:ascii="Times New Roman" w:hAnsi="Times New Roman"/>
          <w:sz w:val="24"/>
        </w:rPr>
        <w:t>• Methods and schedules for</w:t>
      </w:r>
      <w:r w:rsidR="00AD0399">
        <w:rPr>
          <w:rFonts w:ascii="Times New Roman" w:hAnsi="Times New Roman"/>
          <w:sz w:val="24"/>
        </w:rPr>
        <w:t xml:space="preserve"> </w:t>
      </w:r>
      <w:r w:rsidRPr="00AD0399">
        <w:rPr>
          <w:rFonts w:ascii="Times New Roman" w:hAnsi="Times New Roman"/>
          <w:sz w:val="24"/>
        </w:rPr>
        <w:t>exercising the emergency plan.</w:t>
      </w:r>
    </w:p>
    <w:p w:rsidR="00804FAA" w:rsidP="00B16EF4" w14:paraId="73B59A09" w14:textId="1847890B">
      <w:pPr>
        <w:ind w:left="720"/>
        <w:rPr>
          <w:rFonts w:ascii="Times New Roman" w:hAnsi="Times New Roman"/>
          <w:sz w:val="24"/>
        </w:rPr>
      </w:pPr>
      <w:r w:rsidRPr="000E2B61">
        <w:rPr>
          <w:rFonts w:ascii="Times New Roman" w:hAnsi="Times New Roman"/>
          <w:sz w:val="24"/>
        </w:rPr>
        <w:t>EPA maintains that it is very important to ensure LEPCs or local emergency response officials have the information necessary for developing local emergency response plans</w:t>
      </w:r>
      <w:r w:rsidR="00E636D9">
        <w:rPr>
          <w:rFonts w:ascii="Times New Roman" w:hAnsi="Times New Roman"/>
          <w:sz w:val="24"/>
        </w:rPr>
        <w:t xml:space="preserve">. </w:t>
      </w:r>
      <w:r w:rsidRPr="000E2B61">
        <w:rPr>
          <w:rFonts w:ascii="Times New Roman" w:hAnsi="Times New Roman"/>
          <w:sz w:val="24"/>
        </w:rPr>
        <w:t xml:space="preserve"> </w:t>
      </w:r>
      <w:r w:rsidR="00E636D9">
        <w:rPr>
          <w:rFonts w:ascii="Times New Roman" w:hAnsi="Times New Roman"/>
          <w:sz w:val="24"/>
        </w:rPr>
        <w:t>H</w:t>
      </w:r>
      <w:r w:rsidRPr="000E2B61">
        <w:rPr>
          <w:rFonts w:ascii="Times New Roman" w:hAnsi="Times New Roman"/>
          <w:sz w:val="24"/>
        </w:rPr>
        <w:t xml:space="preserve">owever, EPA believes it is not necessary to specify in the RMP rule the types or format of information that LEPCs or emergency response officials may request. Section 303(d)(3) of the Emergency Planning and Community Right to Know Act already provides the necessary authority to allow LEPCs to request information needed to develop the local emergency response plan. </w:t>
      </w:r>
      <w:r w:rsidRPr="000E2B61" w:rsidR="002351D5">
        <w:rPr>
          <w:rFonts w:ascii="Times New Roman" w:hAnsi="Times New Roman"/>
          <w:sz w:val="24"/>
        </w:rPr>
        <w:t>Furthermore</w:t>
      </w:r>
      <w:r w:rsidRPr="000E2B61">
        <w:rPr>
          <w:rFonts w:ascii="Times New Roman" w:hAnsi="Times New Roman"/>
          <w:sz w:val="24"/>
        </w:rPr>
        <w:t xml:space="preserve">, as part of the annual coordination between facilities and local emergency responders, responders may obtain information on the risks presented by covered processes as appropriate. </w:t>
      </w:r>
      <w:r w:rsidRPr="00AD0399" w:rsidR="00AD0399">
        <w:rPr>
          <w:rFonts w:ascii="Times New Roman" w:hAnsi="Times New Roman"/>
          <w:sz w:val="24"/>
        </w:rPr>
        <w:t>EPA encourages owners and operators to be familiar with all the elements of the community emergency response plan to effectively consider the potential impacts of a chemical release from their facility on the community.</w:t>
      </w:r>
    </w:p>
    <w:p w:rsidR="00C52FE2" w:rsidP="00C52FE2" w14:paraId="1663E1D9" w14:textId="1289BABA">
      <w:pPr>
        <w:rPr>
          <w:rFonts w:ascii="Times New Roman" w:hAnsi="Times New Roman"/>
          <w:sz w:val="24"/>
        </w:rPr>
      </w:pPr>
      <w:r>
        <w:rPr>
          <w:rFonts w:ascii="Times New Roman" w:hAnsi="Times New Roman"/>
          <w:b/>
          <w:bCs/>
          <w:sz w:val="24"/>
        </w:rPr>
        <w:t>Comment 11.2-1</w:t>
      </w:r>
      <w:r w:rsidR="00116C46">
        <w:rPr>
          <w:rFonts w:ascii="Times New Roman" w:hAnsi="Times New Roman"/>
          <w:b/>
          <w:bCs/>
          <w:sz w:val="24"/>
        </w:rPr>
        <w:t>9</w:t>
      </w:r>
      <w:r>
        <w:rPr>
          <w:rFonts w:ascii="Times New Roman" w:hAnsi="Times New Roman"/>
          <w:b/>
          <w:bCs/>
          <w:sz w:val="24"/>
        </w:rPr>
        <w:t xml:space="preserve">: </w:t>
      </w:r>
      <w:r>
        <w:rPr>
          <w:rFonts w:ascii="Times New Roman" w:hAnsi="Times New Roman"/>
          <w:sz w:val="24"/>
        </w:rPr>
        <w:t>One commenter stated that</w:t>
      </w:r>
      <w:r w:rsidRPr="6D3F9CC5">
        <w:rPr>
          <w:rFonts w:ascii="Times New Roman" w:hAnsi="Times New Roman"/>
          <w:sz w:val="24"/>
        </w:rPr>
        <w:t xml:space="preserve"> real-time air quality data should be made available to the public, and not just select officials (0164).</w:t>
      </w:r>
    </w:p>
    <w:p w:rsidR="00C52FE2" w:rsidP="00C52FE2" w14:paraId="10DBFE61" w14:textId="77777777">
      <w:pPr>
        <w:rPr>
          <w:rFonts w:ascii="Times New Roman" w:hAnsi="Times New Roman"/>
          <w:sz w:val="24"/>
        </w:rPr>
      </w:pPr>
      <w:r w:rsidRPr="006F68E9">
        <w:rPr>
          <w:rFonts w:ascii="Times New Roman" w:hAnsi="Times New Roman"/>
          <w:sz w:val="24"/>
        </w:rPr>
        <w:t xml:space="preserve">A couple commenters asserted the importance of information accessibility to local state and </w:t>
      </w:r>
      <w:r>
        <w:rPr>
          <w:rFonts w:ascii="Times New Roman" w:hAnsi="Times New Roman"/>
          <w:sz w:val="24"/>
        </w:rPr>
        <w:t>F</w:t>
      </w:r>
      <w:r w:rsidRPr="006F68E9">
        <w:rPr>
          <w:rFonts w:ascii="Times New Roman" w:hAnsi="Times New Roman"/>
          <w:sz w:val="24"/>
        </w:rPr>
        <w:t xml:space="preserve">ederal air quality experts as well as the public including health impacts from air quality incidents (0164, 0270). </w:t>
      </w:r>
    </w:p>
    <w:p w:rsidR="00C52FE2" w:rsidRPr="005F41EC" w:rsidP="00C52FE2" w14:paraId="62BA79B9" w14:textId="5D8F8623">
      <w:pPr>
        <w:ind w:left="720"/>
        <w:rPr>
          <w:rFonts w:ascii="Times New Roman" w:hAnsi="Times New Roman"/>
          <w:sz w:val="24"/>
        </w:rPr>
      </w:pPr>
      <w:r>
        <w:rPr>
          <w:rFonts w:ascii="Times New Roman" w:hAnsi="Times New Roman"/>
          <w:b/>
          <w:bCs/>
          <w:sz w:val="24"/>
        </w:rPr>
        <w:t xml:space="preserve">EPA Response: </w:t>
      </w:r>
      <w:r w:rsidRPr="005F41EC">
        <w:rPr>
          <w:rFonts w:ascii="Times New Roman" w:hAnsi="Times New Roman"/>
          <w:sz w:val="24"/>
        </w:rPr>
        <w:t xml:space="preserve">Regarding providing real time air quality data to the public, EPA acknowledges the </w:t>
      </w:r>
      <w:r w:rsidR="00275428">
        <w:rPr>
          <w:rFonts w:ascii="Times New Roman" w:hAnsi="Times New Roman"/>
          <w:sz w:val="24"/>
        </w:rPr>
        <w:t>benefits of</w:t>
      </w:r>
      <w:r w:rsidRPr="005F41EC">
        <w:rPr>
          <w:rFonts w:ascii="Times New Roman" w:hAnsi="Times New Roman"/>
          <w:sz w:val="24"/>
        </w:rPr>
        <w:t xml:space="preserve"> expanding fenceline monitoring requirements for RMP-regulated facilities to provide real time data to local responders and the public. EPA took comment on this in the proposal and is reviewing the comments received in consideration for a future rulemaking.</w:t>
      </w:r>
    </w:p>
    <w:p w:rsidR="00C52FE2" w:rsidP="00B16EF4" w14:paraId="26DC87AC" w14:textId="305309E3">
      <w:pPr>
        <w:pStyle w:val="Heading2"/>
        <w:tabs>
          <w:tab w:val="clear" w:pos="8684"/>
        </w:tabs>
        <w:spacing w:before="120"/>
        <w:rPr>
          <w:rFonts w:ascii="Times New Roman" w:hAnsi="Times New Roman" w:cs="Times New Roman"/>
          <w:b/>
          <w:bCs/>
          <w:color w:val="auto"/>
          <w:sz w:val="24"/>
          <w:szCs w:val="24"/>
        </w:rPr>
      </w:pPr>
      <w:bookmarkStart w:id="135" w:name="_Toc146880029"/>
      <w:bookmarkStart w:id="136" w:name="_Toc153373818"/>
      <w:r w:rsidRPr="006F68E9">
        <w:rPr>
          <w:rFonts w:ascii="Times New Roman" w:hAnsi="Times New Roman" w:cs="Times New Roman"/>
          <w:b/>
          <w:bCs/>
          <w:color w:val="auto"/>
          <w:sz w:val="24"/>
          <w:szCs w:val="24"/>
        </w:rPr>
        <w:t>Accessing emergency response plans</w:t>
      </w:r>
      <w:bookmarkEnd w:id="135"/>
      <w:bookmarkEnd w:id="136"/>
    </w:p>
    <w:p w:rsidR="00C52FE2" w:rsidP="00C52FE2" w14:paraId="754DA6AD" w14:textId="77777777">
      <w:pPr>
        <w:rPr>
          <w:rFonts w:ascii="Times New Roman" w:hAnsi="Times New Roman"/>
          <w:sz w:val="24"/>
        </w:rPr>
      </w:pPr>
      <w:r w:rsidRPr="00FF54A0">
        <w:rPr>
          <w:rFonts w:ascii="Times New Roman" w:hAnsi="Times New Roman"/>
          <w:b/>
          <w:bCs/>
          <w:sz w:val="24"/>
        </w:rPr>
        <w:t>Comment</w:t>
      </w:r>
      <w:r>
        <w:rPr>
          <w:rFonts w:ascii="Times New Roman" w:hAnsi="Times New Roman"/>
          <w:b/>
          <w:bCs/>
          <w:sz w:val="24"/>
        </w:rPr>
        <w:t xml:space="preserve"> 11.3-01</w:t>
      </w:r>
      <w:r w:rsidRPr="00FF54A0">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 couple of commenters </w:t>
      </w:r>
      <w:r>
        <w:rPr>
          <w:rFonts w:ascii="Times New Roman" w:hAnsi="Times New Roman"/>
          <w:sz w:val="24"/>
        </w:rPr>
        <w:t>said</w:t>
      </w:r>
      <w:r w:rsidRPr="006F68E9">
        <w:rPr>
          <w:rFonts w:ascii="Times New Roman" w:hAnsi="Times New Roman"/>
          <w:sz w:val="24"/>
        </w:rPr>
        <w:t xml:space="preserve"> that in particularly rural and remote areas, community plans are difficult to access as LEPCs are under-resourced (0184, 0227). One commenter specified LEPCs are not all created equal or created at all (0205). </w:t>
      </w:r>
    </w:p>
    <w:p w:rsidR="00C52FE2" w:rsidP="00C52FE2" w14:paraId="3F0028D8" w14:textId="77777777">
      <w:pPr>
        <w:rPr>
          <w:rFonts w:ascii="Times New Roman" w:hAnsi="Times New Roman"/>
          <w:sz w:val="24"/>
        </w:rPr>
      </w:pPr>
      <w:r w:rsidRPr="006F68E9">
        <w:rPr>
          <w:rFonts w:ascii="Times New Roman" w:hAnsi="Times New Roman"/>
          <w:sz w:val="24"/>
        </w:rPr>
        <w:t xml:space="preserve">One commenter cited that community plans are difficult to access, and local communities are not responsive to dairy processor efforts to increase response plan effectiveness. The commenter added that in the case of a deficient local plan, this would place an unrealistic burden on facilities to address it (0237). </w:t>
      </w:r>
    </w:p>
    <w:p w:rsidR="00181A93" w:rsidP="00C52FE2" w14:paraId="1E6EB32E" w14:textId="32E03B17">
      <w:pPr>
        <w:rPr>
          <w:rFonts w:ascii="Times New Roman" w:hAnsi="Times New Roman"/>
          <w:sz w:val="24"/>
        </w:rPr>
      </w:pPr>
      <w:r w:rsidRPr="006F68E9">
        <w:rPr>
          <w:rFonts w:ascii="Times New Roman" w:hAnsi="Times New Roman"/>
          <w:sz w:val="24"/>
        </w:rPr>
        <w:t xml:space="preserve">A couple of commenters </w:t>
      </w:r>
      <w:r>
        <w:rPr>
          <w:rFonts w:ascii="Times New Roman" w:hAnsi="Times New Roman"/>
          <w:sz w:val="24"/>
        </w:rPr>
        <w:t>stated</w:t>
      </w:r>
      <w:r w:rsidRPr="006F68E9">
        <w:rPr>
          <w:rFonts w:ascii="Times New Roman" w:hAnsi="Times New Roman"/>
          <w:sz w:val="24"/>
        </w:rPr>
        <w:t xml:space="preserve"> that EPA should instead provide additional training and resources to LEPCs and volunteer first responders in smaller and rural communities with limited staff and resources as tools for communication in RMP facility communities and this can be used to achieve the Agency’s goals discussed here (0205, 0227).</w:t>
      </w:r>
    </w:p>
    <w:p w:rsidR="00181A93" w:rsidP="00C52FE2" w14:paraId="499FC191" w14:textId="1CFE7D52">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stated EPA should commit to setting up a searchable, online database with current and past substantial harm analyses and facility response plans. The commenter also </w:t>
      </w:r>
      <w:r>
        <w:rPr>
          <w:rFonts w:ascii="Times New Roman" w:hAnsi="Times New Roman"/>
          <w:sz w:val="24"/>
        </w:rPr>
        <w:t>said that</w:t>
      </w:r>
      <w:r w:rsidRPr="006F68E9">
        <w:rPr>
          <w:rFonts w:ascii="Times New Roman" w:hAnsi="Times New Roman"/>
          <w:sz w:val="24"/>
        </w:rPr>
        <w:t xml:space="preserve"> facilities should be required to share information and consult with nearby public drinking water systems (0148).</w:t>
      </w:r>
    </w:p>
    <w:p w:rsidR="00C52FE2" w:rsidP="00C52FE2" w14:paraId="042BB2D3" w14:textId="291ED242">
      <w:pPr>
        <w:ind w:left="720"/>
        <w:rPr>
          <w:rFonts w:ascii="Times New Roman" w:hAnsi="Times New Roman"/>
          <w:sz w:val="24"/>
        </w:rPr>
      </w:pPr>
      <w:r w:rsidRPr="00B62EDE">
        <w:rPr>
          <w:rFonts w:ascii="Times New Roman" w:hAnsi="Times New Roman"/>
          <w:b/>
          <w:bCs/>
          <w:sz w:val="24"/>
        </w:rPr>
        <w:t>EPA Response:</w:t>
      </w:r>
      <w:r w:rsidR="00D613D9">
        <w:rPr>
          <w:rFonts w:ascii="Times New Roman" w:hAnsi="Times New Roman"/>
          <w:b/>
          <w:bCs/>
          <w:sz w:val="24"/>
        </w:rPr>
        <w:t xml:space="preserve"> </w:t>
      </w:r>
      <w:r w:rsidRPr="00EE4238" w:rsidR="00D613D9">
        <w:rPr>
          <w:rFonts w:ascii="Times New Roman" w:hAnsi="Times New Roman"/>
          <w:sz w:val="24"/>
        </w:rPr>
        <w:t xml:space="preserve">The Agency realizes community emergency response plans contain useful information for the public to learn how RMP facility processes are accounted and planned for if there is an RMP-regulated accidental release. EPA </w:t>
      </w:r>
      <w:r w:rsidRPr="00EE4238" w:rsidR="004946AF">
        <w:rPr>
          <w:rFonts w:ascii="Times New Roman" w:hAnsi="Times New Roman"/>
          <w:sz w:val="24"/>
        </w:rPr>
        <w:t xml:space="preserve">will consider the comments </w:t>
      </w:r>
      <w:r w:rsidRPr="00EE4238" w:rsidR="00237A67">
        <w:rPr>
          <w:rFonts w:ascii="Times New Roman" w:hAnsi="Times New Roman"/>
          <w:sz w:val="24"/>
        </w:rPr>
        <w:t xml:space="preserve">as it evaluates </w:t>
      </w:r>
      <w:r w:rsidRPr="00EE4238" w:rsidR="00D613D9">
        <w:rPr>
          <w:rFonts w:ascii="Times New Roman" w:hAnsi="Times New Roman"/>
          <w:sz w:val="24"/>
        </w:rPr>
        <w:t>potential solutions to having the plans more accessible within the scope of the RMP regulations</w:t>
      </w:r>
      <w:r w:rsidRPr="00D613D9" w:rsidR="00D613D9">
        <w:rPr>
          <w:rFonts w:ascii="Times New Roman" w:hAnsi="Times New Roman"/>
          <w:b/>
          <w:bCs/>
          <w:sz w:val="24"/>
        </w:rPr>
        <w:t>.</w:t>
      </w:r>
    </w:p>
    <w:p w:rsidR="00C52FE2" w:rsidP="00605E54" w14:paraId="37E1F70F" w14:textId="77777777">
      <w:pPr>
        <w:pStyle w:val="Heading2"/>
        <w:tabs>
          <w:tab w:val="clear" w:pos="8684"/>
        </w:tabs>
        <w:spacing w:before="120"/>
        <w:rPr>
          <w:rFonts w:ascii="Times New Roman" w:hAnsi="Times New Roman" w:cs="Times New Roman"/>
          <w:b/>
          <w:bCs/>
          <w:color w:val="auto"/>
          <w:sz w:val="24"/>
          <w:szCs w:val="24"/>
        </w:rPr>
      </w:pPr>
      <w:bookmarkStart w:id="137" w:name="_Toc146880030"/>
      <w:bookmarkStart w:id="138" w:name="_Toc153373819"/>
      <w:r w:rsidRPr="006F68E9">
        <w:rPr>
          <w:rFonts w:ascii="Times New Roman" w:hAnsi="Times New Roman" w:cs="Times New Roman"/>
          <w:b/>
          <w:bCs/>
          <w:color w:val="auto"/>
          <w:sz w:val="24"/>
          <w:szCs w:val="24"/>
        </w:rPr>
        <w:t xml:space="preserve">Community </w:t>
      </w:r>
      <w:r>
        <w:rPr>
          <w:rFonts w:ascii="Times New Roman" w:hAnsi="Times New Roman" w:cs="Times New Roman"/>
          <w:b/>
          <w:bCs/>
          <w:color w:val="auto"/>
          <w:sz w:val="24"/>
          <w:szCs w:val="24"/>
        </w:rPr>
        <w:t>e</w:t>
      </w:r>
      <w:r w:rsidRPr="006F68E9">
        <w:rPr>
          <w:rFonts w:ascii="Times New Roman" w:hAnsi="Times New Roman" w:cs="Times New Roman"/>
          <w:b/>
          <w:bCs/>
          <w:color w:val="auto"/>
          <w:sz w:val="24"/>
          <w:szCs w:val="24"/>
        </w:rPr>
        <w:t xml:space="preserve">mergency </w:t>
      </w:r>
      <w:r>
        <w:rPr>
          <w:rFonts w:ascii="Times New Roman" w:hAnsi="Times New Roman" w:cs="Times New Roman"/>
          <w:b/>
          <w:bCs/>
          <w:color w:val="auto"/>
          <w:sz w:val="24"/>
          <w:szCs w:val="24"/>
        </w:rPr>
        <w:t>r</w:t>
      </w:r>
      <w:r w:rsidRPr="006F68E9">
        <w:rPr>
          <w:rFonts w:ascii="Times New Roman" w:hAnsi="Times New Roman" w:cs="Times New Roman"/>
          <w:b/>
          <w:bCs/>
          <w:color w:val="auto"/>
          <w:sz w:val="24"/>
          <w:szCs w:val="24"/>
        </w:rPr>
        <w:t xml:space="preserve">esponse </w:t>
      </w:r>
      <w:r>
        <w:rPr>
          <w:rFonts w:ascii="Times New Roman" w:hAnsi="Times New Roman" w:cs="Times New Roman"/>
          <w:b/>
          <w:bCs/>
          <w:color w:val="auto"/>
          <w:sz w:val="24"/>
          <w:szCs w:val="24"/>
        </w:rPr>
        <w:t>p</w:t>
      </w:r>
      <w:r w:rsidRPr="006F68E9">
        <w:rPr>
          <w:rFonts w:ascii="Times New Roman" w:hAnsi="Times New Roman" w:cs="Times New Roman"/>
          <w:b/>
          <w:bCs/>
          <w:color w:val="auto"/>
          <w:sz w:val="24"/>
          <w:szCs w:val="24"/>
        </w:rPr>
        <w:t xml:space="preserve">lan </w:t>
      </w:r>
      <w:r>
        <w:rPr>
          <w:rFonts w:ascii="Times New Roman" w:hAnsi="Times New Roman" w:cs="Times New Roman"/>
          <w:b/>
          <w:bCs/>
          <w:color w:val="auto"/>
          <w:sz w:val="24"/>
          <w:szCs w:val="24"/>
        </w:rPr>
        <w:t>a</w:t>
      </w:r>
      <w:r w:rsidRPr="006F68E9">
        <w:rPr>
          <w:rFonts w:ascii="Times New Roman" w:hAnsi="Times New Roman" w:cs="Times New Roman"/>
          <w:b/>
          <w:bCs/>
          <w:color w:val="auto"/>
          <w:sz w:val="24"/>
          <w:szCs w:val="24"/>
        </w:rPr>
        <w:t>mplifications</w:t>
      </w:r>
      <w:bookmarkEnd w:id="137"/>
      <w:bookmarkEnd w:id="138"/>
    </w:p>
    <w:p w:rsidR="00C52FE2" w:rsidRPr="001A4E2F" w:rsidP="00C52FE2" w14:paraId="72CFC407" w14:textId="77777777">
      <w:pPr>
        <w:rPr>
          <w:rFonts w:ascii="Times New Roman" w:hAnsi="Times New Roman"/>
          <w:i/>
          <w:sz w:val="24"/>
        </w:rPr>
      </w:pPr>
      <w:r w:rsidRPr="001A4E2F">
        <w:rPr>
          <w:rFonts w:ascii="Times New Roman" w:hAnsi="Times New Roman"/>
          <w:i/>
          <w:sz w:val="24"/>
        </w:rPr>
        <w:t>Support</w:t>
      </w:r>
      <w:r>
        <w:rPr>
          <w:rFonts w:ascii="Times New Roman" w:hAnsi="Times New Roman"/>
          <w:i/>
          <w:iCs/>
          <w:sz w:val="24"/>
        </w:rPr>
        <w:t xml:space="preserve"> for proposed modifications and amplifications to emergency response requirements</w:t>
      </w:r>
    </w:p>
    <w:p w:rsidR="00C52FE2" w:rsidP="00C52FE2" w14:paraId="27A0289F" w14:textId="54DF2176">
      <w:pPr>
        <w:rPr>
          <w:rFonts w:ascii="Times New Roman" w:hAnsi="Times New Roman"/>
          <w:sz w:val="24"/>
        </w:rPr>
      </w:pPr>
      <w:r>
        <w:rPr>
          <w:rFonts w:ascii="Times New Roman" w:hAnsi="Times New Roman"/>
          <w:b/>
          <w:bCs/>
          <w:sz w:val="24"/>
        </w:rPr>
        <w:t>Co</w:t>
      </w:r>
      <w:r w:rsidRPr="00D76214">
        <w:rPr>
          <w:rFonts w:ascii="Times New Roman" w:hAnsi="Times New Roman"/>
          <w:b/>
          <w:bCs/>
          <w:sz w:val="24"/>
        </w:rPr>
        <w:t>mment 11.</w:t>
      </w:r>
      <w:r>
        <w:rPr>
          <w:rFonts w:ascii="Times New Roman" w:hAnsi="Times New Roman"/>
          <w:b/>
          <w:bCs/>
          <w:sz w:val="24"/>
        </w:rPr>
        <w:t>4</w:t>
      </w:r>
      <w:r w:rsidRPr="00D76214">
        <w:rPr>
          <w:rFonts w:ascii="Times New Roman" w:hAnsi="Times New Roman"/>
          <w:b/>
          <w:bCs/>
          <w:sz w:val="24"/>
        </w:rPr>
        <w:t>-</w:t>
      </w:r>
      <w:r w:rsidRPr="00D76214">
        <w:rPr>
          <w:rFonts w:ascii="Times New Roman" w:hAnsi="Times New Roman"/>
          <w:b/>
          <w:sz w:val="24"/>
        </w:rPr>
        <w:t>01</w:t>
      </w:r>
      <w:r w:rsidRPr="00D76214">
        <w:rPr>
          <w:rFonts w:ascii="Times New Roman" w:hAnsi="Times New Roman"/>
          <w:b/>
          <w:bCs/>
          <w:sz w:val="24"/>
        </w:rPr>
        <w:t>:</w:t>
      </w:r>
      <w:r>
        <w:rPr>
          <w:rFonts w:ascii="Times New Roman" w:hAnsi="Times New Roman"/>
          <w:b/>
          <w:bCs/>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regulated facilities have an obligation to participate in community emergency planning efforts and should be required to report their prevention and mitigation measures to EPA, LEPCs, local first responders, and local emergency managers or face enforcement action. The commenter explained that all RMP facilities must be obligated to share</w:t>
      </w:r>
      <w:r w:rsidR="00C87416">
        <w:rPr>
          <w:rFonts w:ascii="Times New Roman" w:hAnsi="Times New Roman"/>
          <w:sz w:val="24"/>
        </w:rPr>
        <w:t>,</w:t>
      </w:r>
      <w:r w:rsidRPr="006F68E9">
        <w:rPr>
          <w:rFonts w:ascii="Times New Roman" w:hAnsi="Times New Roman"/>
          <w:sz w:val="24"/>
        </w:rPr>
        <w:t xml:space="preserve"> to some extent</w:t>
      </w:r>
      <w:r w:rsidR="00C87416">
        <w:rPr>
          <w:rFonts w:ascii="Times New Roman" w:hAnsi="Times New Roman"/>
          <w:sz w:val="24"/>
        </w:rPr>
        <w:t>,</w:t>
      </w:r>
      <w:r w:rsidRPr="006F68E9">
        <w:rPr>
          <w:rFonts w:ascii="Times New Roman" w:hAnsi="Times New Roman"/>
          <w:sz w:val="24"/>
        </w:rPr>
        <w:t xml:space="preserve"> emergency response plans detailing actions, equipment, and communications even if the response is to be minimal to LEPCs (0241). </w:t>
      </w:r>
    </w:p>
    <w:p w:rsidR="00C52FE2" w:rsidP="00C52FE2" w14:paraId="46431AC7" w14:textId="4C63E1BD">
      <w:pPr>
        <w:ind w:left="720"/>
        <w:rPr>
          <w:rFonts w:ascii="Times New Roman" w:hAnsi="Times New Roman"/>
          <w:sz w:val="24"/>
        </w:rPr>
      </w:pPr>
      <w:r w:rsidRPr="00D27AC4">
        <w:rPr>
          <w:rFonts w:ascii="Times New Roman" w:hAnsi="Times New Roman"/>
          <w:b/>
          <w:bCs/>
          <w:sz w:val="24"/>
        </w:rPr>
        <w:t>EPA Response:</w:t>
      </w:r>
      <w:r>
        <w:rPr>
          <w:rFonts w:ascii="Times New Roman" w:hAnsi="Times New Roman"/>
          <w:sz w:val="24"/>
        </w:rPr>
        <w:t xml:space="preserve"> </w:t>
      </w:r>
      <w:r w:rsidRPr="00F211CE" w:rsidR="00B46601">
        <w:rPr>
          <w:rFonts w:ascii="Times New Roman" w:hAnsi="Times New Roman"/>
          <w:sz w:val="24"/>
        </w:rPr>
        <w:t>EPA maintains that it is very important to ensure that Local Emergency Planning Committees (LEPCs) or local emergency response officials have the information necessary for developing local emergency response plans; however, EPA believes it is not necessary to specify in the RMP rule the types or format of information that LEPCs or emergency response officials may request. Section 303(d)(3) of the Emergency Planning and Community Right to Know Act already provides the necessary authority to allow LEPCs to request information needed to develop the local emergency response plan. Furthermore, as part of the annual coordination between facilities and local emergency responders, responders may obtain information on the risks presented by covered processes as appropriate.</w:t>
      </w:r>
      <w:r w:rsidR="00B46601">
        <w:rPr>
          <w:rFonts w:ascii="Times New Roman" w:hAnsi="Times New Roman"/>
          <w:sz w:val="24"/>
        </w:rPr>
        <w:t xml:space="preserve"> </w:t>
      </w:r>
    </w:p>
    <w:p w:rsidR="00812FB2" w:rsidP="00C52FE2" w14:paraId="638527FA" w14:textId="377006CC">
      <w:pPr>
        <w:ind w:left="720"/>
        <w:rPr>
          <w:rFonts w:ascii="Times New Roman" w:hAnsi="Times New Roman"/>
          <w:sz w:val="24"/>
        </w:rPr>
      </w:pPr>
      <w:r w:rsidRPr="00812FB2">
        <w:rPr>
          <w:rFonts w:ascii="Times New Roman" w:hAnsi="Times New Roman"/>
          <w:sz w:val="24"/>
        </w:rPr>
        <w:t xml:space="preserve">EPA </w:t>
      </w:r>
      <w:r>
        <w:rPr>
          <w:rFonts w:ascii="Times New Roman" w:hAnsi="Times New Roman"/>
          <w:sz w:val="24"/>
        </w:rPr>
        <w:t xml:space="preserve">further </w:t>
      </w:r>
      <w:r w:rsidRPr="00812FB2">
        <w:rPr>
          <w:rFonts w:ascii="Times New Roman" w:hAnsi="Times New Roman"/>
          <w:sz w:val="24"/>
        </w:rPr>
        <w:t xml:space="preserve">notes that the modification to 40 CFR 68.90(b)(1) and 68.95(c) in the proposed rule was intended only to include details of EPCRA’s community emergency response plan requirements into RMP regulatory text for reference, not to ultimately transfer plan development and implementation responsibility to RMP facilities. Rather, EPA’s goal was to make it simpler for RMP-regulated facilities to be knowledgeable about the components of the community emergency response plan to ensure that they understand how their facility’s processes could impact the larger community emergency response plan and understand the facility’s role in coordination of the required plan </w:t>
      </w:r>
      <w:r w:rsidRPr="00812FB2">
        <w:rPr>
          <w:rFonts w:ascii="Times New Roman" w:hAnsi="Times New Roman"/>
          <w:sz w:val="24"/>
        </w:rPr>
        <w:t>provisions. While this proposed modification did not include a new regulatory requirement, EPA acknowledges the confusion expressed by including EPCRA requirements in the RMP regulatory text. Therefore, after reviewing the comments, the Agency has decided not to finalize this proposed regulatory text modification. EPA notes that 40 CFR 68.90(b)(1) and 68.95(c) will continue to reference the statutory citation for the EPCRA community response plan, 42 U.S.C. 11003. EPA encourages owners and operators to be familiar with all the elements of the community emergency response plan to effectively consider the potential impacts of a chemical release from their facility on the community.</w:t>
      </w:r>
    </w:p>
    <w:p w:rsidR="00C52FE2" w:rsidRPr="00C20853" w:rsidP="00C52FE2" w14:paraId="176714EB" w14:textId="77777777">
      <w:pPr>
        <w:rPr>
          <w:rFonts w:ascii="Times New Roman" w:hAnsi="Times New Roman"/>
          <w:bCs/>
          <w:color w:val="000000" w:themeColor="text1"/>
          <w:sz w:val="24"/>
        </w:rPr>
      </w:pPr>
      <w:r>
        <w:rPr>
          <w:rFonts w:ascii="Times New Roman" w:hAnsi="Times New Roman"/>
          <w:b/>
          <w:color w:val="000000" w:themeColor="text1"/>
          <w:sz w:val="24"/>
        </w:rPr>
        <w:t>Comment 11.4-02:</w:t>
      </w:r>
      <w:r>
        <w:rPr>
          <w:rFonts w:ascii="Times New Roman" w:hAnsi="Times New Roman"/>
          <w:bCs/>
          <w:color w:val="000000" w:themeColor="text1"/>
          <w:sz w:val="24"/>
        </w:rPr>
        <w:t xml:space="preserve"> </w:t>
      </w:r>
      <w:r w:rsidRPr="00C20853">
        <w:rPr>
          <w:rFonts w:ascii="Times New Roman" w:hAnsi="Times New Roman"/>
          <w:bCs/>
          <w:color w:val="000000" w:themeColor="text1"/>
          <w:sz w:val="24"/>
        </w:rPr>
        <w:t xml:space="preserve">Several commenters supported the change to allow facilities to identify as non-responding but requested the proposal to clarify whether facilities must have neither defensive nor offensive responses to identify as non-responding. The commenters stated that facilities that have defensive responding, but not offensive responding, should be able to identify as a nonresponding facility as they are still reliant on first responders to respond to an incident. The commenters stated that not allowing these facilities to identify as non-responding would disincentivize the adoption of defense response procedures for some facilities and put unrealistic emergency requirements on facilities with only defense response capabilities (0180, 0205, 0217, 0226, 0234, 0458). </w:t>
      </w:r>
    </w:p>
    <w:p w:rsidR="003C0266" w:rsidRPr="003C0266" w:rsidP="00C52FE2" w14:paraId="2A510B60" w14:textId="5ED31D6B">
      <w:pPr>
        <w:rPr>
          <w:rFonts w:ascii="Times New Roman" w:hAnsi="Times New Roman"/>
          <w:sz w:val="24"/>
        </w:rPr>
      </w:pPr>
      <w:r w:rsidRPr="003C0266">
        <w:rPr>
          <w:rFonts w:ascii="Times New Roman" w:hAnsi="Times New Roman"/>
          <w:sz w:val="24"/>
        </w:rPr>
        <w:t>A commenter suggested edits to Section 9 Emergency Response of the RMP*eSubmit, which currently lists emergency response planning information and does not include emergency action plan information. The commenter reported that facilities often select yes to the Facility Plan question (</w:t>
      </w:r>
      <w:r w:rsidRPr="003C0266">
        <w:rPr>
          <w:rFonts w:ascii="Times New Roman" w:hAnsi="Times New Roman"/>
          <w:i/>
          <w:iCs/>
          <w:sz w:val="24"/>
        </w:rPr>
        <w:t>“Does [the] facility have its own written emergency response plan?”</w:t>
      </w:r>
      <w:r w:rsidRPr="003C0266">
        <w:rPr>
          <w:rFonts w:ascii="Times New Roman" w:hAnsi="Times New Roman"/>
          <w:sz w:val="24"/>
        </w:rPr>
        <w:t>) when they are a non-responding facility with an action plan. The commenter asked EPA to clearly indicate if a facility is responding or non-responding and the program level in the emergency response section of the RMP report, as well as have separate entries for an emergency response plan review date versus an emergency action plan review date. The commenter added that this information will assist local responders to know the facility emergency coordination requirements (0165). One commenter suggested that the RMP*eSubmit tool should allow for multiple individuals to prepare information on behalf of covered facilities (0210).</w:t>
      </w:r>
      <w:r w:rsidRPr="006F68E9">
        <w:rPr>
          <w:rFonts w:ascii="Times New Roman" w:hAnsi="Times New Roman"/>
          <w:sz w:val="24"/>
        </w:rPr>
        <w:t xml:space="preserve"> </w:t>
      </w:r>
    </w:p>
    <w:p w:rsidR="001603B5" w:rsidRPr="005C1272" w:rsidP="00705BA9" w14:paraId="10E9AF1E" w14:textId="67DDB023">
      <w:pPr>
        <w:autoSpaceDE w:val="0"/>
        <w:autoSpaceDN w:val="0"/>
        <w:adjustRightInd w:val="0"/>
        <w:ind w:left="720"/>
        <w:rPr>
          <w:rFonts w:ascii="Times New Roman" w:hAnsi="Times New Roman"/>
          <w:sz w:val="24"/>
        </w:rPr>
      </w:pPr>
      <w:r w:rsidRPr="0057329D">
        <w:rPr>
          <w:rFonts w:ascii="Times New Roman" w:hAnsi="Times New Roman"/>
          <w:b/>
          <w:color w:val="000000" w:themeColor="text1"/>
          <w:sz w:val="24"/>
        </w:rPr>
        <w:t>EPA Response:</w:t>
      </w:r>
      <w:r w:rsidRPr="00EA52B6" w:rsidR="00EA52B6">
        <w:t xml:space="preserve"> </w:t>
      </w:r>
      <w:r w:rsidRPr="005C1272">
        <w:rPr>
          <w:rFonts w:ascii="Times New Roman" w:hAnsi="Times New Roman"/>
          <w:sz w:val="24"/>
        </w:rPr>
        <w:t xml:space="preserve">For facilities with Program 2 or 3 processes, Subpart E designates them as either “responding” facilities or “non-responding” facilities. Responding facilities are those that will use properly trained facility employees (or contractors) to respond to accidental releases of regulated substances, whereas non-responding facilities are those whose employees will not respond to accidental releases of regulated substances. Non-responding facilities instead rely on local public responders to respond to accidental releases at the source. Under Subpart E, while both responding and non-responding facilities must conduct and document annual coordination activities and annual notification drills, only responding facilities have additional obligations for implementation of an emergency response program. </w:t>
      </w:r>
    </w:p>
    <w:p w:rsidR="001603B5" w:rsidRPr="00C41BE7" w:rsidP="00C41BE7" w14:paraId="65FDA82A" w14:textId="5DFA5482">
      <w:pPr>
        <w:autoSpaceDE w:val="0"/>
        <w:autoSpaceDN w:val="0"/>
        <w:adjustRightInd w:val="0"/>
        <w:ind w:left="720"/>
        <w:rPr>
          <w:rFonts w:ascii="Times New Roman" w:hAnsi="Times New Roman"/>
          <w:sz w:val="24"/>
        </w:rPr>
      </w:pPr>
      <w:r w:rsidRPr="005C1272">
        <w:rPr>
          <w:rFonts w:ascii="Times New Roman" w:hAnsi="Times New Roman"/>
          <w:sz w:val="24"/>
        </w:rPr>
        <w:t>EPA understands that there is a wide spectrum of planning, preparedness, and response arrangements available to facilities and local communities, and that the two categories of “responding” and “non-responding” facilities do not fully capture this continuum</w:t>
      </w:r>
      <w:r w:rsidR="00601608">
        <w:rPr>
          <w:rFonts w:ascii="Times New Roman" w:hAnsi="Times New Roman"/>
          <w:sz w:val="24"/>
        </w:rPr>
        <w:t xml:space="preserve">, such as </w:t>
      </w:r>
      <w:r w:rsidR="00DB71BE">
        <w:rPr>
          <w:rFonts w:ascii="Times New Roman" w:hAnsi="Times New Roman"/>
          <w:sz w:val="24"/>
        </w:rPr>
        <w:t xml:space="preserve">solely </w:t>
      </w:r>
      <w:r w:rsidR="00601608">
        <w:rPr>
          <w:rFonts w:ascii="Times New Roman" w:hAnsi="Times New Roman"/>
          <w:sz w:val="24"/>
        </w:rPr>
        <w:t>being in the offensive or the defensive</w:t>
      </w:r>
      <w:r w:rsidR="00DB71BE">
        <w:rPr>
          <w:rFonts w:ascii="Times New Roman" w:hAnsi="Times New Roman"/>
          <w:sz w:val="24"/>
        </w:rPr>
        <w:t xml:space="preserve"> of a response</w:t>
      </w:r>
      <w:r w:rsidRPr="005C1272">
        <w:rPr>
          <w:rFonts w:ascii="Times New Roman" w:hAnsi="Times New Roman"/>
          <w:sz w:val="24"/>
        </w:rPr>
        <w:t xml:space="preserve">. As explained above, there is some overlap between the obligations of non-responding and responding facilities. For example, both non-responding and responding facilities must have mechanisms or </w:t>
      </w:r>
      <w:r w:rsidRPr="005C1272">
        <w:rPr>
          <w:rFonts w:ascii="Times New Roman" w:hAnsi="Times New Roman"/>
          <w:sz w:val="24"/>
        </w:rPr>
        <w:t>procedures in place to notify emergency responders about accidental releases, and both types of sources must conduct and document annual coordination activities with local responders. Because the outcome of these coordination activities may result in different types of response arrangements involving regulated facilities and communities, EPA understands that a facility’s designation as “responding” or “non-responding” does not, by itself, explain all facets of emergency preparedness and response for the facility.</w:t>
      </w:r>
    </w:p>
    <w:p w:rsidR="001E747A" w:rsidP="00C41BE7" w14:paraId="07FFE271" w14:textId="4FB71BD3">
      <w:pPr>
        <w:autoSpaceDE w:val="0"/>
        <w:autoSpaceDN w:val="0"/>
        <w:adjustRightInd w:val="0"/>
        <w:ind w:left="720"/>
        <w:rPr>
          <w:rFonts w:ascii="Times New Roman" w:hAnsi="Times New Roman"/>
          <w:sz w:val="24"/>
        </w:rPr>
      </w:pPr>
      <w:r w:rsidRPr="00717566">
        <w:rPr>
          <w:rFonts w:ascii="Times New Roman" w:hAnsi="Times New Roman"/>
          <w:sz w:val="24"/>
        </w:rPr>
        <w:t>These designations are still useful, however, because “responding” facilities must meet certain</w:t>
      </w:r>
      <w:r>
        <w:rPr>
          <w:rFonts w:ascii="Times New Roman" w:hAnsi="Times New Roman"/>
          <w:sz w:val="24"/>
        </w:rPr>
        <w:t xml:space="preserve"> </w:t>
      </w:r>
      <w:r w:rsidRPr="00717566">
        <w:rPr>
          <w:rFonts w:ascii="Times New Roman" w:hAnsi="Times New Roman"/>
          <w:sz w:val="24"/>
        </w:rPr>
        <w:t>requirements that “non-responding” facilities are not required to meet. Responding facilities</w:t>
      </w:r>
      <w:r>
        <w:rPr>
          <w:rFonts w:ascii="Times New Roman" w:hAnsi="Times New Roman"/>
          <w:sz w:val="24"/>
        </w:rPr>
        <w:t xml:space="preserve"> </w:t>
      </w:r>
      <w:r w:rsidRPr="00717566">
        <w:rPr>
          <w:rFonts w:ascii="Times New Roman" w:hAnsi="Times New Roman"/>
          <w:sz w:val="24"/>
        </w:rPr>
        <w:t>must comply with all of the emergency response program provisions of § 68.95, which</w:t>
      </w:r>
      <w:r>
        <w:rPr>
          <w:rFonts w:ascii="Times New Roman" w:hAnsi="Times New Roman"/>
          <w:sz w:val="24"/>
        </w:rPr>
        <w:t xml:space="preserve"> </w:t>
      </w:r>
      <w:r w:rsidRPr="00717566">
        <w:rPr>
          <w:rFonts w:ascii="Times New Roman" w:hAnsi="Times New Roman"/>
          <w:sz w:val="24"/>
        </w:rPr>
        <w:t>include developing an emergency response plan, developing procedures for the use,</w:t>
      </w:r>
      <w:r>
        <w:rPr>
          <w:rFonts w:ascii="Times New Roman" w:hAnsi="Times New Roman"/>
          <w:sz w:val="24"/>
        </w:rPr>
        <w:t xml:space="preserve"> </w:t>
      </w:r>
      <w:r w:rsidRPr="00717566">
        <w:rPr>
          <w:rFonts w:ascii="Times New Roman" w:hAnsi="Times New Roman"/>
          <w:sz w:val="24"/>
        </w:rPr>
        <w:t>inspection, and testing of emergency response equipment, conducting training for employees</w:t>
      </w:r>
      <w:r>
        <w:rPr>
          <w:rFonts w:ascii="Times New Roman" w:hAnsi="Times New Roman"/>
          <w:sz w:val="24"/>
        </w:rPr>
        <w:t xml:space="preserve"> </w:t>
      </w:r>
      <w:r w:rsidRPr="00717566">
        <w:rPr>
          <w:rFonts w:ascii="Times New Roman" w:hAnsi="Times New Roman"/>
          <w:sz w:val="24"/>
        </w:rPr>
        <w:t>in relevant procedures, and updating the emergency response plan to reflect changes at the</w:t>
      </w:r>
      <w:r>
        <w:rPr>
          <w:rFonts w:ascii="Times New Roman" w:hAnsi="Times New Roman"/>
          <w:sz w:val="24"/>
        </w:rPr>
        <w:t xml:space="preserve"> </w:t>
      </w:r>
      <w:r w:rsidRPr="00717566">
        <w:rPr>
          <w:rFonts w:ascii="Times New Roman" w:hAnsi="Times New Roman"/>
          <w:sz w:val="24"/>
        </w:rPr>
        <w:t>source. Any facility that plans to use its employees to take offensive response actions as a</w:t>
      </w:r>
      <w:r>
        <w:rPr>
          <w:rFonts w:ascii="Times New Roman" w:hAnsi="Times New Roman"/>
          <w:sz w:val="24"/>
        </w:rPr>
        <w:t xml:space="preserve"> </w:t>
      </w:r>
      <w:r w:rsidRPr="00717566">
        <w:rPr>
          <w:rFonts w:ascii="Times New Roman" w:hAnsi="Times New Roman"/>
          <w:sz w:val="24"/>
        </w:rPr>
        <w:t>result of an accidental release at the source – which could include, for example, donning</w:t>
      </w:r>
      <w:r>
        <w:rPr>
          <w:rFonts w:ascii="Times New Roman" w:hAnsi="Times New Roman"/>
          <w:sz w:val="24"/>
        </w:rPr>
        <w:t xml:space="preserve"> </w:t>
      </w:r>
      <w:r w:rsidRPr="00717566">
        <w:rPr>
          <w:rFonts w:ascii="Times New Roman" w:hAnsi="Times New Roman"/>
          <w:sz w:val="24"/>
        </w:rPr>
        <w:t>emergency air breathing apparatus in order to enter an area where a toxic gas leak has</w:t>
      </w:r>
      <w:r>
        <w:rPr>
          <w:rFonts w:ascii="Times New Roman" w:hAnsi="Times New Roman"/>
          <w:sz w:val="24"/>
        </w:rPr>
        <w:t xml:space="preserve"> </w:t>
      </w:r>
      <w:r w:rsidRPr="00717566">
        <w:rPr>
          <w:rFonts w:ascii="Times New Roman" w:hAnsi="Times New Roman"/>
          <w:sz w:val="24"/>
        </w:rPr>
        <w:t>occurred with the intention of stopping or controlling the release – would be expected to have</w:t>
      </w:r>
      <w:r>
        <w:rPr>
          <w:rFonts w:ascii="Times New Roman" w:hAnsi="Times New Roman"/>
          <w:sz w:val="24"/>
        </w:rPr>
        <w:t xml:space="preserve"> </w:t>
      </w:r>
      <w:r w:rsidRPr="00717566">
        <w:rPr>
          <w:rFonts w:ascii="Times New Roman" w:hAnsi="Times New Roman"/>
          <w:sz w:val="24"/>
        </w:rPr>
        <w:t>obtained appropriate equipment and training, and to address these activities in its emergency</w:t>
      </w:r>
      <w:r>
        <w:rPr>
          <w:rFonts w:ascii="Times New Roman" w:hAnsi="Times New Roman"/>
          <w:sz w:val="24"/>
        </w:rPr>
        <w:t xml:space="preserve"> </w:t>
      </w:r>
      <w:r w:rsidRPr="00717566">
        <w:rPr>
          <w:rFonts w:ascii="Times New Roman" w:hAnsi="Times New Roman"/>
          <w:sz w:val="24"/>
        </w:rPr>
        <w:t>response program, even if the facility is also relying on local responders to supplement its own</w:t>
      </w:r>
      <w:r>
        <w:rPr>
          <w:rFonts w:ascii="Times New Roman" w:hAnsi="Times New Roman"/>
          <w:sz w:val="24"/>
        </w:rPr>
        <w:t xml:space="preserve"> </w:t>
      </w:r>
      <w:r w:rsidRPr="00717566">
        <w:rPr>
          <w:rFonts w:ascii="Times New Roman" w:hAnsi="Times New Roman"/>
          <w:sz w:val="24"/>
        </w:rPr>
        <w:t>response, or to manage off-site response actions such as evacuations and sheltering-in-place.</w:t>
      </w:r>
      <w:r>
        <w:rPr>
          <w:rFonts w:ascii="Times New Roman" w:hAnsi="Times New Roman"/>
          <w:sz w:val="24"/>
        </w:rPr>
        <w:t xml:space="preserve"> </w:t>
      </w:r>
      <w:r w:rsidRPr="00717566">
        <w:rPr>
          <w:rFonts w:ascii="Times New Roman" w:hAnsi="Times New Roman"/>
          <w:sz w:val="24"/>
        </w:rPr>
        <w:t>Under § 68.96, responding facilities must also implement an emergency exercise program</w:t>
      </w:r>
      <w:r w:rsidR="00C41BE7">
        <w:rPr>
          <w:rFonts w:ascii="Times New Roman" w:hAnsi="Times New Roman"/>
          <w:sz w:val="24"/>
        </w:rPr>
        <w:t xml:space="preserve"> </w:t>
      </w:r>
      <w:r w:rsidRPr="00717566">
        <w:rPr>
          <w:rFonts w:ascii="Times New Roman" w:hAnsi="Times New Roman"/>
          <w:sz w:val="24"/>
        </w:rPr>
        <w:t>involving notification, field, and tabletop exercises, whereas non-responding facilities are only</w:t>
      </w:r>
      <w:r>
        <w:rPr>
          <w:rFonts w:ascii="Times New Roman" w:hAnsi="Times New Roman"/>
          <w:sz w:val="24"/>
        </w:rPr>
        <w:t xml:space="preserve"> </w:t>
      </w:r>
      <w:r w:rsidRPr="00717566">
        <w:rPr>
          <w:rFonts w:ascii="Times New Roman" w:hAnsi="Times New Roman"/>
          <w:sz w:val="24"/>
        </w:rPr>
        <w:t xml:space="preserve">required to perform annual notification </w:t>
      </w:r>
      <w:r w:rsidRPr="00717566" w:rsidR="005C1272">
        <w:rPr>
          <w:rFonts w:ascii="Times New Roman" w:hAnsi="Times New Roman"/>
          <w:sz w:val="24"/>
        </w:rPr>
        <w:t>exercises and</w:t>
      </w:r>
      <w:r w:rsidRPr="00717566">
        <w:rPr>
          <w:rFonts w:ascii="Times New Roman" w:hAnsi="Times New Roman"/>
          <w:sz w:val="24"/>
        </w:rPr>
        <w:t xml:space="preserve"> are not required to perform field or</w:t>
      </w:r>
      <w:r w:rsidR="00DA2226">
        <w:rPr>
          <w:rFonts w:ascii="Times New Roman" w:hAnsi="Times New Roman"/>
          <w:sz w:val="24"/>
        </w:rPr>
        <w:t xml:space="preserve"> </w:t>
      </w:r>
      <w:r w:rsidRPr="00717566">
        <w:rPr>
          <w:rFonts w:ascii="Times New Roman" w:hAnsi="Times New Roman"/>
          <w:sz w:val="24"/>
        </w:rPr>
        <w:t>tabletop exercises.</w:t>
      </w:r>
      <w:r w:rsidR="00DA2226">
        <w:rPr>
          <w:rFonts w:ascii="Times New Roman" w:hAnsi="Times New Roman"/>
          <w:sz w:val="24"/>
        </w:rPr>
        <w:t xml:space="preserve"> </w:t>
      </w:r>
    </w:p>
    <w:p w:rsidR="001F736B" w:rsidP="00C41BE7" w14:paraId="5445E2E6" w14:textId="57916D42">
      <w:pPr>
        <w:autoSpaceDE w:val="0"/>
        <w:autoSpaceDN w:val="0"/>
        <w:adjustRightInd w:val="0"/>
        <w:ind w:left="720"/>
        <w:rPr>
          <w:rFonts w:ascii="Times New Roman" w:hAnsi="Times New Roman"/>
          <w:sz w:val="24"/>
        </w:rPr>
      </w:pPr>
      <w:r w:rsidRPr="00717566">
        <w:rPr>
          <w:rFonts w:ascii="Times New Roman" w:hAnsi="Times New Roman"/>
          <w:sz w:val="24"/>
        </w:rPr>
        <w:t>The rule’s emergency response requirements do not specify how responding facilities must</w:t>
      </w:r>
      <w:r w:rsidR="00DA2226">
        <w:rPr>
          <w:rFonts w:ascii="Times New Roman" w:hAnsi="Times New Roman"/>
          <w:sz w:val="24"/>
        </w:rPr>
        <w:t xml:space="preserve"> </w:t>
      </w:r>
      <w:r w:rsidRPr="00717566">
        <w:rPr>
          <w:rFonts w:ascii="Times New Roman" w:hAnsi="Times New Roman"/>
          <w:sz w:val="24"/>
        </w:rPr>
        <w:t>respond to accidental releases. EPA recognizes that response strategies for responding sources</w:t>
      </w:r>
      <w:r w:rsidR="00DA2226">
        <w:rPr>
          <w:rFonts w:ascii="Times New Roman" w:hAnsi="Times New Roman"/>
          <w:sz w:val="24"/>
        </w:rPr>
        <w:t xml:space="preserve"> </w:t>
      </w:r>
      <w:r w:rsidRPr="00717566">
        <w:rPr>
          <w:rFonts w:ascii="Times New Roman" w:hAnsi="Times New Roman"/>
          <w:sz w:val="24"/>
        </w:rPr>
        <w:t>may vary depending on the source, its location, the number and type of regulated substances</w:t>
      </w:r>
      <w:r w:rsidR="00DA2226">
        <w:rPr>
          <w:rFonts w:ascii="Times New Roman" w:hAnsi="Times New Roman"/>
          <w:sz w:val="24"/>
        </w:rPr>
        <w:t xml:space="preserve"> </w:t>
      </w:r>
      <w:r w:rsidRPr="00717566">
        <w:rPr>
          <w:rFonts w:ascii="Times New Roman" w:hAnsi="Times New Roman"/>
          <w:sz w:val="24"/>
        </w:rPr>
        <w:t>and processes, available response resources, the surrounding community, and other factors.</w:t>
      </w:r>
      <w:r w:rsidR="00DA2226">
        <w:rPr>
          <w:rFonts w:ascii="Times New Roman" w:hAnsi="Times New Roman"/>
          <w:sz w:val="24"/>
        </w:rPr>
        <w:t xml:space="preserve"> </w:t>
      </w:r>
      <w:r w:rsidRPr="00717566">
        <w:rPr>
          <w:rFonts w:ascii="Times New Roman" w:hAnsi="Times New Roman"/>
          <w:sz w:val="24"/>
        </w:rPr>
        <w:t>Regular coordination between facilities and local responders allows both parties to share</w:t>
      </w:r>
      <w:r w:rsidR="00DA2226">
        <w:rPr>
          <w:rFonts w:ascii="Times New Roman" w:hAnsi="Times New Roman"/>
          <w:sz w:val="24"/>
        </w:rPr>
        <w:t xml:space="preserve"> </w:t>
      </w:r>
      <w:r w:rsidRPr="00717566">
        <w:rPr>
          <w:rFonts w:ascii="Times New Roman" w:hAnsi="Times New Roman"/>
          <w:sz w:val="24"/>
        </w:rPr>
        <w:t>information about response plans and resources. This is important because even in situations</w:t>
      </w:r>
      <w:r w:rsidR="00DA2226">
        <w:rPr>
          <w:rFonts w:ascii="Times New Roman" w:hAnsi="Times New Roman"/>
          <w:sz w:val="24"/>
        </w:rPr>
        <w:t xml:space="preserve"> </w:t>
      </w:r>
      <w:r w:rsidRPr="00717566">
        <w:rPr>
          <w:rFonts w:ascii="Times New Roman" w:hAnsi="Times New Roman"/>
          <w:sz w:val="24"/>
        </w:rPr>
        <w:t>where regulated sources maintain full emergency response capabilities, local responders</w:t>
      </w:r>
      <w:r w:rsidR="00DA2226">
        <w:rPr>
          <w:rFonts w:ascii="Times New Roman" w:hAnsi="Times New Roman"/>
          <w:sz w:val="24"/>
        </w:rPr>
        <w:t xml:space="preserve"> </w:t>
      </w:r>
      <w:r w:rsidRPr="00717566">
        <w:rPr>
          <w:rFonts w:ascii="Times New Roman" w:hAnsi="Times New Roman"/>
          <w:sz w:val="24"/>
        </w:rPr>
        <w:t>would still be responsible for managing the aspects of the response external to the source,</w:t>
      </w:r>
      <w:r w:rsidR="00DA2226">
        <w:rPr>
          <w:rFonts w:ascii="Times New Roman" w:hAnsi="Times New Roman"/>
          <w:sz w:val="24"/>
        </w:rPr>
        <w:t xml:space="preserve"> </w:t>
      </w:r>
      <w:r w:rsidRPr="00717566">
        <w:rPr>
          <w:rFonts w:ascii="Times New Roman" w:hAnsi="Times New Roman"/>
          <w:sz w:val="24"/>
        </w:rPr>
        <w:t>such as community evacuations and sheltering-in-place and responding facilities may also</w:t>
      </w:r>
      <w:r w:rsidR="00DA2226">
        <w:rPr>
          <w:rFonts w:ascii="Times New Roman" w:hAnsi="Times New Roman"/>
          <w:sz w:val="24"/>
        </w:rPr>
        <w:t xml:space="preserve"> </w:t>
      </w:r>
      <w:r w:rsidRPr="00717566">
        <w:rPr>
          <w:rFonts w:ascii="Times New Roman" w:hAnsi="Times New Roman"/>
          <w:sz w:val="24"/>
        </w:rPr>
        <w:t xml:space="preserve">need or request local response resources to assist with on-site aspects of the response. </w:t>
      </w:r>
    </w:p>
    <w:p w:rsidR="006651FF" w:rsidRPr="001F736B" w:rsidP="00C41BE7" w14:paraId="0A439825" w14:textId="65EF04F1">
      <w:pPr>
        <w:autoSpaceDE w:val="0"/>
        <w:autoSpaceDN w:val="0"/>
        <w:adjustRightInd w:val="0"/>
        <w:ind w:left="720"/>
        <w:rPr>
          <w:rFonts w:ascii="Times New Roman" w:hAnsi="Times New Roman"/>
          <w:sz w:val="24"/>
        </w:rPr>
      </w:pPr>
      <w:r w:rsidRPr="001F736B">
        <w:rPr>
          <w:rFonts w:ascii="Times New Roman" w:hAnsi="Times New Roman"/>
          <w:sz w:val="24"/>
        </w:rPr>
        <w:t>Th</w:t>
      </w:r>
      <w:r w:rsidR="001F736B">
        <w:rPr>
          <w:rFonts w:ascii="Times New Roman" w:hAnsi="Times New Roman"/>
          <w:sz w:val="24"/>
        </w:rPr>
        <w:t>is SCCAP</w:t>
      </w:r>
      <w:r w:rsidRPr="001F736B">
        <w:rPr>
          <w:rFonts w:ascii="Times New Roman" w:hAnsi="Times New Roman"/>
          <w:sz w:val="24"/>
        </w:rPr>
        <w:t xml:space="preserve"> final</w:t>
      </w:r>
      <w:r w:rsidRPr="001F736B" w:rsidR="0039638F">
        <w:rPr>
          <w:rFonts w:ascii="Times New Roman" w:hAnsi="Times New Roman"/>
          <w:sz w:val="24"/>
        </w:rPr>
        <w:t xml:space="preserve"> </w:t>
      </w:r>
      <w:r w:rsidRPr="001F736B">
        <w:rPr>
          <w:rFonts w:ascii="Times New Roman" w:hAnsi="Times New Roman"/>
          <w:sz w:val="24"/>
        </w:rPr>
        <w:t xml:space="preserve">rule retains the </w:t>
      </w:r>
      <w:r w:rsidR="004E0181">
        <w:rPr>
          <w:rFonts w:ascii="Times New Roman" w:hAnsi="Times New Roman"/>
          <w:sz w:val="24"/>
        </w:rPr>
        <w:t>a</w:t>
      </w:r>
      <w:r w:rsidRPr="001F736B" w:rsidR="004E0181">
        <w:rPr>
          <w:rFonts w:ascii="Times New Roman" w:hAnsi="Times New Roman"/>
          <w:sz w:val="24"/>
        </w:rPr>
        <w:t>mendments</w:t>
      </w:r>
      <w:r w:rsidR="001F736B">
        <w:rPr>
          <w:rFonts w:ascii="Times New Roman" w:hAnsi="Times New Roman"/>
          <w:sz w:val="24"/>
        </w:rPr>
        <w:t xml:space="preserve"> and </w:t>
      </w:r>
      <w:r w:rsidR="004E0181">
        <w:rPr>
          <w:rFonts w:ascii="Times New Roman" w:hAnsi="Times New Roman"/>
          <w:sz w:val="24"/>
        </w:rPr>
        <w:t>reconsideration</w:t>
      </w:r>
      <w:r w:rsidRPr="001F736B">
        <w:rPr>
          <w:rFonts w:ascii="Times New Roman" w:hAnsi="Times New Roman"/>
          <w:sz w:val="24"/>
        </w:rPr>
        <w:t xml:space="preserve"> rule</w:t>
      </w:r>
      <w:r w:rsidRPr="001F736B" w:rsidR="0039638F">
        <w:rPr>
          <w:rFonts w:ascii="Times New Roman" w:hAnsi="Times New Roman"/>
          <w:sz w:val="24"/>
        </w:rPr>
        <w:t xml:space="preserve"> </w:t>
      </w:r>
      <w:r w:rsidRPr="001F736B">
        <w:rPr>
          <w:rFonts w:ascii="Times New Roman" w:hAnsi="Times New Roman"/>
          <w:sz w:val="24"/>
        </w:rPr>
        <w:t>requirement for compliance with the</w:t>
      </w:r>
      <w:r w:rsidRPr="001F736B" w:rsidR="0039638F">
        <w:rPr>
          <w:rFonts w:ascii="Times New Roman" w:hAnsi="Times New Roman"/>
          <w:sz w:val="24"/>
        </w:rPr>
        <w:t xml:space="preserve"> </w:t>
      </w:r>
      <w:r w:rsidRPr="001F736B">
        <w:rPr>
          <w:rFonts w:ascii="Times New Roman" w:hAnsi="Times New Roman"/>
          <w:sz w:val="24"/>
        </w:rPr>
        <w:t>emergency response program</w:t>
      </w:r>
      <w:r w:rsidRPr="001F736B" w:rsidR="0039638F">
        <w:rPr>
          <w:rFonts w:ascii="Times New Roman" w:hAnsi="Times New Roman"/>
          <w:sz w:val="24"/>
        </w:rPr>
        <w:t xml:space="preserve"> </w:t>
      </w:r>
      <w:r w:rsidRPr="001F736B">
        <w:rPr>
          <w:rFonts w:ascii="Times New Roman" w:hAnsi="Times New Roman"/>
          <w:sz w:val="24"/>
        </w:rPr>
        <w:t>requirements of § 68.95 within 3 years</w:t>
      </w:r>
      <w:r w:rsidRPr="001F736B" w:rsidR="0039638F">
        <w:rPr>
          <w:rFonts w:ascii="Times New Roman" w:hAnsi="Times New Roman"/>
          <w:sz w:val="24"/>
        </w:rPr>
        <w:t xml:space="preserve"> </w:t>
      </w:r>
      <w:r w:rsidRPr="001F736B">
        <w:rPr>
          <w:rFonts w:ascii="Times New Roman" w:hAnsi="Times New Roman"/>
          <w:sz w:val="24"/>
        </w:rPr>
        <w:t>of when the owner or operator initially</w:t>
      </w:r>
      <w:r w:rsidRPr="001F736B" w:rsidR="0039638F">
        <w:rPr>
          <w:rFonts w:ascii="Times New Roman" w:hAnsi="Times New Roman"/>
          <w:sz w:val="24"/>
        </w:rPr>
        <w:t xml:space="preserve"> determines that the stationary source is subject to those requirements.</w:t>
      </w:r>
    </w:p>
    <w:p w:rsidR="00C52FE2" w:rsidRPr="007E5492" w:rsidP="00C52FE2" w14:paraId="00936F06" w14:textId="77777777">
      <w:pPr>
        <w:rPr>
          <w:rFonts w:ascii="Times New Roman" w:hAnsi="Times New Roman"/>
          <w:i/>
          <w:iCs/>
          <w:sz w:val="24"/>
        </w:rPr>
      </w:pPr>
      <w:r>
        <w:rPr>
          <w:rFonts w:ascii="Times New Roman" w:hAnsi="Times New Roman"/>
          <w:i/>
          <w:iCs/>
          <w:sz w:val="24"/>
        </w:rPr>
        <w:t xml:space="preserve">Opposition to proposed emergency response plan amplification provisions </w:t>
      </w:r>
    </w:p>
    <w:p w:rsidR="00C52FE2" w:rsidP="00C52FE2" w14:paraId="3316D953" w14:textId="77777777">
      <w:pPr>
        <w:rPr>
          <w:rFonts w:ascii="Times New Roman" w:hAnsi="Times New Roman"/>
          <w:b/>
          <w:bCs/>
          <w:sz w:val="24"/>
        </w:rPr>
      </w:pPr>
      <w:r>
        <w:rPr>
          <w:rFonts w:ascii="Times New Roman" w:hAnsi="Times New Roman"/>
          <w:b/>
          <w:bCs/>
          <w:sz w:val="24"/>
        </w:rPr>
        <w:t xml:space="preserve">Comment 11.4-03: </w:t>
      </w: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said</w:t>
      </w:r>
      <w:r w:rsidRPr="006F68E9">
        <w:rPr>
          <w:rFonts w:ascii="Times New Roman" w:hAnsi="Times New Roman"/>
          <w:sz w:val="24"/>
        </w:rPr>
        <w:t xml:space="preserve"> that certain proposed emergency requirements raise feasibility issues (0272).</w:t>
      </w:r>
    </w:p>
    <w:p w:rsidR="00C52FE2" w:rsidP="00C52FE2" w14:paraId="0E9C1C13" w14:textId="77777777">
      <w:pPr>
        <w:rPr>
          <w:rFonts w:ascii="Times New Roman" w:hAnsi="Times New Roman"/>
          <w:sz w:val="24"/>
        </w:rPr>
      </w:pPr>
      <w:r w:rsidRPr="6D3F9CC5">
        <w:rPr>
          <w:rFonts w:ascii="Times New Roman" w:hAnsi="Times New Roman"/>
          <w:sz w:val="24"/>
        </w:rPr>
        <w:t xml:space="preserve">One commenter stated that EPA should not expand the regulatory language in 40 CFR 68.90(b)(1) and 40 CFR 68.95(c) to be included in the community response plans (0230). </w:t>
      </w:r>
    </w:p>
    <w:p w:rsidR="00C52FE2" w:rsidP="00C52FE2" w14:paraId="15EDB87E" w14:textId="77777777">
      <w:pPr>
        <w:rPr>
          <w:rFonts w:ascii="Times New Roman" w:hAnsi="Times New Roman"/>
          <w:sz w:val="24"/>
        </w:rPr>
      </w:pPr>
      <w:r w:rsidRPr="6D3F9CC5">
        <w:rPr>
          <w:rFonts w:ascii="Times New Roman" w:hAnsi="Times New Roman"/>
          <w:sz w:val="24"/>
        </w:rPr>
        <w:t>One commenter expressed concern that it is not reasonable to expect facilities to ensure that plans include the features in proposed 40 CFR 68.90(b)</w:t>
      </w:r>
      <w:r>
        <w:rPr>
          <w:rFonts w:ascii="Times New Roman" w:hAnsi="Times New Roman"/>
          <w:sz w:val="24"/>
        </w:rPr>
        <w:t xml:space="preserve"> </w:t>
      </w:r>
      <w:r w:rsidRPr="6D3F9CC5">
        <w:rPr>
          <w:rFonts w:ascii="Times New Roman" w:hAnsi="Times New Roman"/>
          <w:sz w:val="24"/>
        </w:rPr>
        <w:t>(0275).</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it is inappropriate for EPA to put the responsibility of the community plan on the RMP facility (0253).</w:t>
      </w:r>
      <w:r>
        <w:rPr>
          <w:rFonts w:ascii="Times New Roman" w:hAnsi="Times New Roman"/>
          <w:sz w:val="24"/>
        </w:rPr>
        <w:t xml:space="preserve"> </w:t>
      </w:r>
      <w:r w:rsidRPr="006F68E9">
        <w:rPr>
          <w:rFonts w:ascii="Times New Roman" w:hAnsi="Times New Roman"/>
          <w:sz w:val="24"/>
        </w:rPr>
        <w:t>One commenter reiterated that the RMP facilities should not be solely responsible for the content of community response plans, and existing requirements already require RMP facilities to provide information to inform those plans. The commenter stated implementing this provision would be burdensome, challenging, and time consuming for the facilities (0237).</w:t>
      </w:r>
    </w:p>
    <w:p w:rsidR="00C52FE2" w:rsidP="00C52FE2" w14:paraId="5BCB82B7" w14:textId="77777777">
      <w:pPr>
        <w:rPr>
          <w:rFonts w:ascii="Times New Roman" w:hAnsi="Times New Roman"/>
          <w:sz w:val="24"/>
        </w:rPr>
      </w:pPr>
      <w:r w:rsidRPr="006F68E9">
        <w:rPr>
          <w:rFonts w:ascii="Times New Roman" w:hAnsi="Times New Roman"/>
          <w:sz w:val="24"/>
        </w:rPr>
        <w:t>Some commenters added the new requirements beyond ensuring coordination of emergency response planning with existing local response organizations are unnecessary (0184, 0202, 0227, 0253, 0391, 0460).</w:t>
      </w:r>
    </w:p>
    <w:p w:rsidR="00C52FE2" w:rsidP="00C52FE2" w14:paraId="29628CDF" w14:textId="77777777">
      <w:pPr>
        <w:rPr>
          <w:rFonts w:ascii="Times New Roman" w:hAnsi="Times New Roman"/>
          <w:sz w:val="24"/>
        </w:rPr>
      </w:pPr>
      <w:r w:rsidRPr="6D3F9CC5">
        <w:rPr>
          <w:rFonts w:ascii="Times New Roman" w:hAnsi="Times New Roman"/>
          <w:sz w:val="24"/>
        </w:rPr>
        <w:t>Some commenters expressed confusion over the requirement that RMP facilities assume responsibility for an emergency plan only if the LEPC’s current plan is inadequate. These commenters further explained that this places the burden of being held accountable on the RMP facility for the adequacy of a plan they have no control over (0184, 0193, 0207, 0229, 0232).</w:t>
      </w:r>
      <w:r>
        <w:rPr>
          <w:rFonts w:ascii="Times New Roman" w:hAnsi="Times New Roman"/>
          <w:sz w:val="24"/>
        </w:rPr>
        <w:t xml:space="preserve"> </w:t>
      </w:r>
    </w:p>
    <w:p w:rsidR="00C52FE2" w:rsidP="00C52FE2" w14:paraId="44C315D6"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 that</w:t>
      </w:r>
      <w:r w:rsidRPr="006F68E9">
        <w:rPr>
          <w:rFonts w:ascii="Times New Roman" w:hAnsi="Times New Roman"/>
          <w:sz w:val="24"/>
        </w:rPr>
        <w:t xml:space="preserve"> some communities do not have a local organization that can appropriately respond to an emergency, and this could force a facility to have an emergency response plan and require more response-trained employees, a costly burden for smaller facilities (0184). </w:t>
      </w:r>
    </w:p>
    <w:p w:rsidR="00C52FE2" w:rsidP="00C52FE2" w14:paraId="0B298FE2"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stated that</w:t>
      </w:r>
      <w:r w:rsidRPr="006F68E9">
        <w:rPr>
          <w:rFonts w:ascii="Times New Roman" w:hAnsi="Times New Roman"/>
          <w:sz w:val="24"/>
        </w:rPr>
        <w:t xml:space="preserve"> the entire language that refers to elements of the community emergency response program amended to § 68.95(c) should be removed (0193).</w:t>
      </w:r>
    </w:p>
    <w:p w:rsidR="00C52FE2" w:rsidP="00C52FE2" w14:paraId="54817C1C"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commenter stated that it is also not appropriate to suggest that facilities are incorporated into LEPC plans. The commenter added that very few LEPCs prepare a free-standing Community Emergency Response Plan under § 303 of EPCRA. The commenter stated that a majority of LEPCs participate in the Community All Hazards Plan which, while incorporating hazardous materials, is rarely granular enough to include facility-specific preplan, with preplanning being a function of the time and staffing available to the responding agencies (0241).</w:t>
      </w:r>
    </w:p>
    <w:p w:rsidR="006647E7" w:rsidP="00C52FE2" w14:paraId="4BA2295E" w14:textId="1EBC60F7">
      <w:pPr>
        <w:rPr>
          <w:rFonts w:ascii="Times New Roman" w:hAnsi="Times New Roman"/>
          <w:sz w:val="24"/>
        </w:rPr>
      </w:pPr>
      <w:r w:rsidRPr="006F68E9">
        <w:rPr>
          <w:rFonts w:ascii="Times New Roman" w:hAnsi="Times New Roman"/>
          <w:sz w:val="24"/>
        </w:rPr>
        <w:t>Another commenter objected to EPA’s incorporation into the RMP regulatory text of EPCRA requirements for a community emergency response program that is meant to be implemented by LEPCs. The commenter stated that this is inconsistent and overlaps with EPCRA. The commenter also recommended that EPA avoid requiring compliance with another statute as part of its RMP program (0188).</w:t>
      </w:r>
    </w:p>
    <w:p w:rsidR="00C52FE2" w:rsidRPr="00F5473C" w:rsidP="00C52FE2" w14:paraId="6FBE2B6E" w14:textId="77777777">
      <w:pPr>
        <w:ind w:left="720"/>
        <w:rPr>
          <w:rFonts w:ascii="Times New Roman" w:hAnsi="Times New Roman"/>
          <w:sz w:val="24"/>
        </w:rPr>
      </w:pPr>
      <w:r>
        <w:rPr>
          <w:rFonts w:ascii="Times New Roman" w:hAnsi="Times New Roman"/>
          <w:b/>
          <w:bCs/>
          <w:sz w:val="24"/>
        </w:rPr>
        <w:t xml:space="preserve">EPA Response: </w:t>
      </w:r>
      <w:r w:rsidRPr="00F5473C">
        <w:rPr>
          <w:rFonts w:ascii="Times New Roman" w:hAnsi="Times New Roman"/>
          <w:sz w:val="24"/>
        </w:rPr>
        <w:t xml:space="preserve">EPA notes that the modification to 40 CFR 68.90(b)(1) and 68.95(c) in the proposed rule was intended only to include details of EPCRA’s community emergency response plan requirements into RMP regulatory text for reference, not to ultimately transfer plan development and implementation responsibility to RMP facilities. Rather, EPA’s goal was to make it simpler for RMP-regulated facilities to be knowledgeable about the components of the community emergency response plan to ensure that they understand how their facility’s processes could impact the larger community emergency response plan and understand the facility’s role in coordination of the required plan provisions. While this proposed modification did not include a new regulatory requirement, EPA acknowledges the confusion expressed by including EPCRA requirements in the RMP regulatory text. Therefore, after reviewing the comments, the Agency has decided not to finalize this proposed regulatory text </w:t>
      </w:r>
      <w:r w:rsidRPr="00F5473C">
        <w:rPr>
          <w:rFonts w:ascii="Times New Roman" w:hAnsi="Times New Roman"/>
          <w:sz w:val="24"/>
        </w:rPr>
        <w:t>modification. EPA notes that 40 CFR 68.90(b)(1) and 68.95(c) will continue to reference the statutory citation for the EPCRA community response plan, 42 U.S.C. 11003. EPA encourages owners and operators to be familiar with all the elements of the community emergency response plan to effectively consider the potential impacts of a chemical release from their facility on the community.</w:t>
      </w:r>
    </w:p>
    <w:p w:rsidR="00C52FE2" w:rsidP="00C52FE2" w14:paraId="6D950B93" w14:textId="77777777">
      <w:pPr>
        <w:rPr>
          <w:rFonts w:ascii="Times New Roman" w:hAnsi="Times New Roman"/>
          <w:i/>
          <w:iCs/>
          <w:sz w:val="24"/>
        </w:rPr>
      </w:pPr>
      <w:r>
        <w:rPr>
          <w:rFonts w:ascii="Times New Roman" w:hAnsi="Times New Roman"/>
          <w:i/>
          <w:iCs/>
          <w:sz w:val="24"/>
        </w:rPr>
        <w:t xml:space="preserve">Revisions to proposed emergency response plan amplification provisions </w:t>
      </w:r>
    </w:p>
    <w:p w:rsidR="00C52FE2" w:rsidP="00C52FE2" w14:paraId="09EA06E8" w14:textId="77777777">
      <w:pPr>
        <w:rPr>
          <w:rFonts w:ascii="Times New Roman" w:hAnsi="Times New Roman"/>
          <w:sz w:val="24"/>
        </w:rPr>
      </w:pPr>
      <w:r w:rsidRPr="008F77D3">
        <w:rPr>
          <w:rFonts w:ascii="Times New Roman" w:hAnsi="Times New Roman"/>
          <w:b/>
          <w:bCs/>
          <w:sz w:val="24"/>
        </w:rPr>
        <w:t>Comment</w:t>
      </w:r>
      <w:r>
        <w:rPr>
          <w:rFonts w:ascii="Times New Roman" w:hAnsi="Times New Roman"/>
          <w:b/>
          <w:bCs/>
          <w:sz w:val="24"/>
        </w:rPr>
        <w:t xml:space="preserve"> 11.4-04</w:t>
      </w:r>
      <w:r w:rsidRPr="008F77D3">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there must be some framework to understand what “coordination and cooperation” entails (0241). </w:t>
      </w:r>
    </w:p>
    <w:p w:rsidR="00C52FE2" w:rsidP="00C52FE2" w14:paraId="7217B989" w14:textId="546037BD">
      <w:pPr>
        <w:rPr>
          <w:rFonts w:ascii="Times New Roman" w:hAnsi="Times New Roman"/>
          <w:sz w:val="24"/>
        </w:rPr>
      </w:pPr>
      <w:r>
        <w:rPr>
          <w:rFonts w:ascii="Times New Roman" w:hAnsi="Times New Roman"/>
          <w:sz w:val="24"/>
        </w:rPr>
        <w:t>One</w:t>
      </w:r>
      <w:r w:rsidRPr="6D3F9CC5">
        <w:rPr>
          <w:rFonts w:ascii="Times New Roman" w:hAnsi="Times New Roman"/>
          <w:sz w:val="24"/>
        </w:rPr>
        <w:t xml:space="preserve"> commenter mentioned that the use of “should” in the community response plan renders the entire section as voluntary while the commenter suggested that the section should instead be required (0193).</w:t>
      </w:r>
      <w:r>
        <w:rPr>
          <w:rFonts w:ascii="Times New Roman" w:hAnsi="Times New Roman"/>
          <w:sz w:val="24"/>
        </w:rPr>
        <w:t xml:space="preserve"> Another</w:t>
      </w:r>
      <w:r w:rsidRPr="6D3F9CC5">
        <w:rPr>
          <w:rFonts w:ascii="Times New Roman" w:hAnsi="Times New Roman"/>
          <w:sz w:val="24"/>
        </w:rPr>
        <w:t xml:space="preserve"> commenter also asked for greater clarity over the use of the word “should,” rather than “must” </w:t>
      </w:r>
      <w:r>
        <w:rPr>
          <w:rFonts w:ascii="Times New Roman" w:hAnsi="Times New Roman"/>
          <w:sz w:val="24"/>
        </w:rPr>
        <w:t xml:space="preserve">(0246). </w:t>
      </w:r>
      <w:r w:rsidRPr="006F68E9">
        <w:rPr>
          <w:rFonts w:ascii="Times New Roman" w:hAnsi="Times New Roman"/>
          <w:sz w:val="24"/>
        </w:rPr>
        <w:t xml:space="preserve">Another commenter recommended reverting back to the previous language of the current language found in </w:t>
      </w:r>
      <w:r>
        <w:rPr>
          <w:rFonts w:ascii="Times New Roman" w:hAnsi="Times New Roman"/>
          <w:sz w:val="24"/>
        </w:rPr>
        <w:t>40 CFR</w:t>
      </w:r>
      <w:r w:rsidRPr="006F68E9">
        <w:rPr>
          <w:rFonts w:ascii="Times New Roman" w:hAnsi="Times New Roman"/>
          <w:sz w:val="24"/>
        </w:rPr>
        <w:t xml:space="preserve"> 68.90(b)(1), where the list of elements in a community response plan becomes non-mandatory because of the use “should.”</w:t>
      </w:r>
    </w:p>
    <w:p w:rsidR="00C87416" w:rsidP="00C52FE2" w14:paraId="4587D812" w14:textId="77777777">
      <w:pPr>
        <w:ind w:left="720"/>
        <w:rPr>
          <w:rFonts w:ascii="Times New Roman" w:hAnsi="Times New Roman"/>
          <w:sz w:val="24"/>
        </w:rPr>
      </w:pPr>
      <w:r>
        <w:rPr>
          <w:rFonts w:ascii="Times New Roman" w:hAnsi="Times New Roman"/>
          <w:b/>
          <w:bCs/>
          <w:sz w:val="24"/>
        </w:rPr>
        <w:t xml:space="preserve">EPA Response: </w:t>
      </w:r>
      <w:r w:rsidRPr="00F5473C">
        <w:rPr>
          <w:rFonts w:ascii="Times New Roman" w:hAnsi="Times New Roman"/>
          <w:sz w:val="24"/>
        </w:rPr>
        <w:t xml:space="preserve">EPA notes that the modification to 40 CFR 68.90(b)(1) and 68.95(c) in the proposed rule was intended only to include details of EPCRA’s community emergency response plan requirements into RMP regulatory text for reference, not to ultimately transfer plan development and implementation responsibility to RMP facilities. Rather, EPA’s goal was to make it simpler for RMP-regulated facilities to be knowledgeable about the components of the community emergency response plan to ensure that they understand how their facility’s processes could impact the larger community emergency response plan and understand the facility’s role in coordination of the required plan provisions. </w:t>
      </w:r>
    </w:p>
    <w:p w:rsidR="00C52FE2" w:rsidP="00C52FE2" w14:paraId="1335B302" w14:textId="7FCF0F38">
      <w:pPr>
        <w:ind w:left="720"/>
        <w:rPr>
          <w:rFonts w:ascii="Times New Roman" w:hAnsi="Times New Roman"/>
          <w:sz w:val="24"/>
        </w:rPr>
      </w:pPr>
      <w:r w:rsidRPr="00F5473C">
        <w:rPr>
          <w:rFonts w:ascii="Times New Roman" w:hAnsi="Times New Roman"/>
          <w:sz w:val="24"/>
        </w:rPr>
        <w:t>While this proposed modification did not include a new regulatory requirement, EPA acknowledges the confusion expressed by including EPCRA requirements in the RMP regulatory text. Therefore, after reviewing the comments, the Agency has decided not to finalize this proposed regulatory text modification. EPA notes that 40 CFR 68.90(b)(1) and 68.95(c) will continue to reference the statutory citation for the EPCRA community response plan, 42 U.S.C. 11003. EPA encourages owners and operators to be familiar with all the elements of the community emergency response plan to effectively consider the potential impacts of a chemical release from their facility on the community.</w:t>
      </w:r>
    </w:p>
    <w:p w:rsidR="00F678E5" w:rsidP="00F678E5" w14:paraId="024696E3" w14:textId="77777777">
      <w:pPr>
        <w:rPr>
          <w:rFonts w:ascii="Times New Roman" w:hAnsi="Times New Roman"/>
          <w:sz w:val="24"/>
        </w:rPr>
      </w:pPr>
    </w:p>
    <w:p w:rsidR="00025134" w:rsidRPr="00025134" w:rsidP="00F678E5" w14:paraId="36FAD4F0" w14:textId="42B7FDBD">
      <w:pPr>
        <w:keepNext/>
        <w:keepLines/>
        <w:ind w:left="408" w:hanging="408"/>
        <w:outlineLvl w:val="0"/>
        <w:rPr>
          <w:rFonts w:ascii="Times New Roman" w:eastAsia="Times New Roman" w:hAnsi="Times New Roman"/>
          <w:b/>
          <w:sz w:val="24"/>
        </w:rPr>
      </w:pPr>
      <w:bookmarkStart w:id="139" w:name="_Toc153373820"/>
      <w:r>
        <w:rPr>
          <w:rFonts w:ascii="Times New Roman" w:eastAsia="Times New Roman" w:hAnsi="Times New Roman"/>
          <w:b/>
          <w:sz w:val="24"/>
        </w:rPr>
        <w:t>12</w:t>
      </w:r>
      <w:r>
        <w:rPr>
          <w:rFonts w:ascii="Times New Roman" w:eastAsia="Times New Roman" w:hAnsi="Times New Roman"/>
          <w:b/>
          <w:sz w:val="24"/>
        </w:rPr>
        <w:tab/>
      </w:r>
      <w:r w:rsidRPr="00025134">
        <w:rPr>
          <w:rFonts w:ascii="Times New Roman" w:eastAsia="Times New Roman" w:hAnsi="Times New Roman"/>
          <w:b/>
          <w:sz w:val="24"/>
        </w:rPr>
        <w:t>Emergency Response Exercises</w:t>
      </w:r>
      <w:bookmarkEnd w:id="139"/>
    </w:p>
    <w:p w:rsidR="00025134" w:rsidRPr="00025134" w:rsidP="00025134" w14:paraId="4FC7BA20" w14:textId="77777777">
      <w:pPr>
        <w:rPr>
          <w:i/>
        </w:rPr>
      </w:pPr>
      <w:r w:rsidRPr="00025134">
        <w:rPr>
          <w:rFonts w:ascii="Times New Roman" w:hAnsi="Times New Roman"/>
          <w:i/>
          <w:iCs/>
          <w:sz w:val="24"/>
        </w:rPr>
        <w:t>Comments associated with this issue are discussed in the sub-issues below.</w:t>
      </w:r>
    </w:p>
    <w:p w:rsidR="00025134" w:rsidRPr="00025134" w:rsidP="00F678E5" w14:paraId="3C3C4DA5" w14:textId="77777777">
      <w:pPr>
        <w:keepNext/>
        <w:keepLines/>
        <w:ind w:left="408" w:hanging="408"/>
        <w:outlineLvl w:val="1"/>
        <w:rPr>
          <w:rFonts w:ascii="Times New Roman" w:eastAsia="Times New Roman" w:hAnsi="Times New Roman"/>
          <w:b/>
          <w:bCs/>
          <w:sz w:val="24"/>
        </w:rPr>
      </w:pPr>
      <w:bookmarkStart w:id="140" w:name="_Toc146880032"/>
      <w:bookmarkStart w:id="141" w:name="_Toc153373821"/>
      <w:r w:rsidRPr="00025134">
        <w:rPr>
          <w:rFonts w:ascii="Times New Roman" w:eastAsia="Times New Roman" w:hAnsi="Times New Roman"/>
          <w:b/>
          <w:bCs/>
          <w:sz w:val="24"/>
        </w:rPr>
        <w:t>12.1</w:t>
      </w:r>
      <w:r w:rsidRPr="00025134">
        <w:rPr>
          <w:rFonts w:ascii="Times New Roman" w:eastAsia="Times New Roman" w:hAnsi="Times New Roman"/>
          <w:b/>
          <w:bCs/>
          <w:sz w:val="24"/>
        </w:rPr>
        <w:tab/>
        <w:t>Proposed approach</w:t>
      </w:r>
      <w:bookmarkEnd w:id="140"/>
      <w:bookmarkEnd w:id="141"/>
    </w:p>
    <w:p w:rsidR="00025134" w:rsidRPr="00025134" w:rsidP="00025134" w14:paraId="707B7B9F" w14:textId="77777777">
      <w:pPr>
        <w:rPr>
          <w:rFonts w:ascii="Times New Roman" w:eastAsia="Times New Roman" w:hAnsi="Times New Roman"/>
          <w:i/>
          <w:iCs/>
          <w:sz w:val="24"/>
        </w:rPr>
      </w:pPr>
      <w:r w:rsidRPr="00025134">
        <w:rPr>
          <w:rFonts w:ascii="Times New Roman" w:eastAsia="Times New Roman" w:hAnsi="Times New Roman"/>
          <w:i/>
          <w:iCs/>
          <w:sz w:val="24"/>
        </w:rPr>
        <w:t>Support for proposed emergency response exercises</w:t>
      </w:r>
    </w:p>
    <w:p w:rsidR="00025134" w:rsidRPr="00025134" w:rsidP="00025134" w14:paraId="4C4263F1" w14:textId="77777777">
      <w:pPr>
        <w:rPr>
          <w:rFonts w:ascii="Times New Roman" w:eastAsia="Times New Roman" w:hAnsi="Times New Roman"/>
          <w:sz w:val="24"/>
        </w:rPr>
      </w:pPr>
      <w:r w:rsidRPr="00025134">
        <w:rPr>
          <w:rFonts w:ascii="Times New Roman" w:eastAsia="Times New Roman" w:hAnsi="Times New Roman"/>
          <w:b/>
          <w:bCs/>
          <w:sz w:val="24"/>
        </w:rPr>
        <w:t xml:space="preserve">Comment 12.1-01: </w:t>
      </w:r>
      <w:r w:rsidRPr="00025134">
        <w:rPr>
          <w:rFonts w:ascii="Times New Roman" w:eastAsia="Times New Roman" w:hAnsi="Times New Roman"/>
          <w:sz w:val="24"/>
        </w:rPr>
        <w:t>One commenter stated their support for restoring the emergency response program requirements, including requiring certain facilities to conduct field exercises. The commenter noted that field exercises can help reduce accident impacts by ensuring that emergency response personnel understand their roles in the event of an incident, that local responders are familiar with the hazards at a facility, and that emergency response plans are up to date (0444).</w:t>
      </w:r>
    </w:p>
    <w:p w:rsidR="00025134" w:rsidRPr="00025134" w:rsidP="00025134" w14:paraId="2A010505" w14:textId="77777777">
      <w:pPr>
        <w:rPr>
          <w:rFonts w:ascii="Times New Roman" w:eastAsia="Times New Roman" w:hAnsi="Times New Roman"/>
          <w:sz w:val="24"/>
        </w:rPr>
      </w:pPr>
      <w:r w:rsidRPr="00025134">
        <w:rPr>
          <w:rFonts w:ascii="Times New Roman" w:eastAsia="Times New Roman" w:hAnsi="Times New Roman"/>
          <w:sz w:val="24"/>
        </w:rPr>
        <w:t>A few commenters expressed support for EPA’s efforts to encourage and require facilities to coordinate with LEPCs in circumstances where it is practical (0205, 0226, 0458).</w:t>
      </w:r>
    </w:p>
    <w:p w:rsidR="00025134" w:rsidRPr="00025134" w:rsidP="004B1E91" w14:paraId="042A5CF3" w14:textId="3AAA81EF">
      <w:pPr>
        <w:ind w:left="720"/>
        <w:rPr>
          <w:rFonts w:ascii="Times New Roman" w:eastAsia="Times New Roman" w:hAnsi="Times New Roman"/>
          <w:sz w:val="24"/>
        </w:rPr>
      </w:pPr>
      <w:r w:rsidRPr="00025134">
        <w:rPr>
          <w:rFonts w:ascii="Times New Roman" w:eastAsia="Times New Roman" w:hAnsi="Times New Roman"/>
          <w:b/>
          <w:bCs/>
          <w:sz w:val="24"/>
        </w:rPr>
        <w:t>EPA Response:</w:t>
      </w:r>
      <w:r w:rsidRPr="00025134">
        <w:rPr>
          <w:rFonts w:ascii="Times New Roman" w:eastAsia="Times New Roman" w:hAnsi="Times New Roman"/>
          <w:sz w:val="24"/>
        </w:rPr>
        <w:t xml:space="preserve"> EPA appreciates </w:t>
      </w:r>
      <w:r w:rsidR="005D1BB7">
        <w:rPr>
          <w:rFonts w:ascii="Times New Roman" w:eastAsia="Times New Roman" w:hAnsi="Times New Roman"/>
          <w:sz w:val="24"/>
        </w:rPr>
        <w:t xml:space="preserve">the </w:t>
      </w:r>
      <w:r w:rsidRPr="00025134">
        <w:rPr>
          <w:rFonts w:ascii="Times New Roman" w:eastAsia="Times New Roman" w:hAnsi="Times New Roman"/>
          <w:sz w:val="24"/>
        </w:rPr>
        <w:t>commenters’ support.</w:t>
      </w:r>
      <w:r w:rsidRPr="00025134">
        <w:rPr>
          <w:rFonts w:ascii="Times New Roman" w:eastAsia="Times New Roman" w:hAnsi="Times New Roman"/>
          <w:bCs/>
          <w:color w:val="2F5496" w:themeColor="accent1" w:themeShade="BF"/>
          <w:szCs w:val="27"/>
        </w:rPr>
        <w:t xml:space="preserve"> </w:t>
      </w:r>
      <w:r w:rsidRPr="004B1E91" w:rsidR="004B1E91">
        <w:rPr>
          <w:rFonts w:ascii="Times New Roman" w:eastAsia="Times New Roman" w:hAnsi="Times New Roman"/>
          <w:sz w:val="24"/>
        </w:rPr>
        <w:t>EPA wants to ensure</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that facilities are accountable to the</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communities in which they are located.</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One way to do this is to make sure that</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communities have mechanisms to</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evaluate the resources and capabilities</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needed to assist in a response to an</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accidental release and that they can</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perform field exercises involving actual</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emergency response functions to</w:t>
      </w:r>
      <w:r w:rsidR="004B1E91">
        <w:rPr>
          <w:rFonts w:ascii="Times New Roman" w:eastAsia="Times New Roman" w:hAnsi="Times New Roman"/>
          <w:sz w:val="24"/>
        </w:rPr>
        <w:t xml:space="preserve"> </w:t>
      </w:r>
      <w:r w:rsidRPr="004B1E91" w:rsidR="004B1E91">
        <w:rPr>
          <w:rFonts w:ascii="Times New Roman" w:eastAsia="Times New Roman" w:hAnsi="Times New Roman"/>
          <w:sz w:val="24"/>
        </w:rPr>
        <w:t>simulated release events.</w:t>
      </w:r>
    </w:p>
    <w:p w:rsidR="00025134" w:rsidRPr="00025134" w:rsidP="00025134" w14:paraId="683C785E" w14:textId="77777777">
      <w:pPr>
        <w:rPr>
          <w:rFonts w:ascii="Times New Roman" w:eastAsia="Times New Roman" w:hAnsi="Times New Roman"/>
          <w:i/>
          <w:iCs/>
          <w:sz w:val="24"/>
        </w:rPr>
      </w:pPr>
      <w:r w:rsidRPr="00025134">
        <w:rPr>
          <w:rFonts w:ascii="Times New Roman" w:eastAsia="Times New Roman" w:hAnsi="Times New Roman"/>
          <w:i/>
          <w:iCs/>
          <w:sz w:val="24"/>
        </w:rPr>
        <w:t xml:space="preserve">Applicability of proposed emergency response requirements </w:t>
      </w:r>
    </w:p>
    <w:p w:rsidR="00025134" w:rsidRPr="00025134" w:rsidP="00025134" w14:paraId="72E2A0C9" w14:textId="77777777">
      <w:pPr>
        <w:rPr>
          <w:rFonts w:ascii="Times New Roman" w:eastAsia="Times New Roman" w:hAnsi="Times New Roman"/>
          <w:b/>
          <w:bCs/>
          <w:sz w:val="24"/>
        </w:rPr>
      </w:pPr>
      <w:r w:rsidRPr="00025134">
        <w:rPr>
          <w:rFonts w:ascii="Times New Roman" w:eastAsia="Times New Roman" w:hAnsi="Times New Roman"/>
          <w:b/>
          <w:bCs/>
          <w:sz w:val="24"/>
        </w:rPr>
        <w:t>Comment 12.1-02:</w:t>
      </w:r>
      <w:r w:rsidRPr="00025134">
        <w:rPr>
          <w:rFonts w:ascii="Times New Roman" w:eastAsia="Times New Roman" w:hAnsi="Times New Roman"/>
          <w:sz w:val="24"/>
        </w:rPr>
        <w:t xml:space="preserve"> One commenter suggested that EPA should expand the emergency response planning requirements at least to all Program 2 facilities. The commenter noted that this would ensure that additional facilities that could potentially harm the public must participate in exercises (0460).</w:t>
      </w:r>
    </w:p>
    <w:p w:rsidR="00022DFE" w:rsidP="00025134" w14:paraId="629A90C6" w14:textId="16F81557">
      <w:pPr>
        <w:ind w:left="720"/>
        <w:rPr>
          <w:rFonts w:ascii="Times New Roman" w:eastAsia="Times New Roman" w:hAnsi="Times New Roman"/>
          <w:sz w:val="24"/>
        </w:rPr>
      </w:pPr>
      <w:r w:rsidRPr="00025134">
        <w:rPr>
          <w:rFonts w:ascii="Times New Roman" w:eastAsia="Times New Roman" w:hAnsi="Times New Roman"/>
          <w:b/>
          <w:bCs/>
          <w:sz w:val="24"/>
        </w:rPr>
        <w:t xml:space="preserve">EPA Response: </w:t>
      </w:r>
      <w:r w:rsidRPr="00022DFE">
        <w:t xml:space="preserve"> </w:t>
      </w:r>
      <w:r w:rsidRPr="00325815" w:rsidR="00325815">
        <w:rPr>
          <w:rFonts w:ascii="Times New Roman" w:eastAsia="Times New Roman" w:hAnsi="Times New Roman"/>
          <w:sz w:val="24"/>
        </w:rPr>
        <w:t xml:space="preserve">The RMP regulation requires </w:t>
      </w:r>
      <w:r w:rsidR="001E447D">
        <w:rPr>
          <w:rFonts w:ascii="Times New Roman" w:eastAsia="Times New Roman" w:hAnsi="Times New Roman"/>
          <w:sz w:val="24"/>
        </w:rPr>
        <w:t xml:space="preserve">all </w:t>
      </w:r>
      <w:r w:rsidRPr="00325815" w:rsidR="00325815">
        <w:rPr>
          <w:rFonts w:ascii="Times New Roman" w:eastAsia="Times New Roman" w:hAnsi="Times New Roman"/>
          <w:sz w:val="24"/>
        </w:rPr>
        <w:t xml:space="preserve">facilities with Program 2 or 3 processes to comply with </w:t>
      </w:r>
      <w:r w:rsidR="001E447D">
        <w:rPr>
          <w:rFonts w:ascii="Times New Roman" w:eastAsia="Times New Roman" w:hAnsi="Times New Roman"/>
          <w:sz w:val="24"/>
        </w:rPr>
        <w:t xml:space="preserve">the </w:t>
      </w:r>
      <w:r w:rsidRPr="00325815" w:rsidR="00325815">
        <w:rPr>
          <w:rFonts w:ascii="Times New Roman" w:eastAsia="Times New Roman" w:hAnsi="Times New Roman"/>
          <w:sz w:val="24"/>
        </w:rPr>
        <w:t xml:space="preserve">applicable </w:t>
      </w:r>
      <w:r>
        <w:rPr>
          <w:rFonts w:ascii="Times New Roman" w:eastAsia="Times New Roman" w:hAnsi="Times New Roman"/>
          <w:sz w:val="24"/>
        </w:rPr>
        <w:t xml:space="preserve">provisions of </w:t>
      </w:r>
      <w:r w:rsidRPr="00325815" w:rsidR="00325815">
        <w:rPr>
          <w:rFonts w:ascii="Times New Roman" w:eastAsia="Times New Roman" w:hAnsi="Times New Roman"/>
          <w:sz w:val="24"/>
        </w:rPr>
        <w:t>40 CFR Part 68 Subpart E: Emergency Response. While facilities with only Program 1 processes are not required to comply with the requirements of Subpart E, these sources must still ensure that emergency response actions have been coordinated with local emergency planning and response agencies</w:t>
      </w:r>
      <w:r w:rsidR="001E447D">
        <w:rPr>
          <w:rFonts w:ascii="Times New Roman" w:eastAsia="Times New Roman" w:hAnsi="Times New Roman"/>
          <w:sz w:val="24"/>
        </w:rPr>
        <w:t>.</w:t>
      </w:r>
    </w:p>
    <w:p w:rsidR="001E447D" w:rsidP="00025134" w14:paraId="50968C0A" w14:textId="3E99F0C2">
      <w:pPr>
        <w:ind w:left="720"/>
        <w:rPr>
          <w:rFonts w:ascii="Times New Roman" w:eastAsia="Times New Roman" w:hAnsi="Times New Roman"/>
          <w:sz w:val="24"/>
        </w:rPr>
      </w:pPr>
      <w:r w:rsidRPr="001E447D">
        <w:rPr>
          <w:rFonts w:ascii="Times New Roman" w:eastAsia="Times New Roman" w:hAnsi="Times New Roman"/>
          <w:sz w:val="24"/>
        </w:rPr>
        <w:t>Under Subpart E, while both responding and non-responding facilities must conduct and document annual coordination activities and annual notification drills, only responding facilities have additional obligations for implementation of an emergency response program.</w:t>
      </w:r>
    </w:p>
    <w:p w:rsidR="00025134" w:rsidP="007F3630" w14:paraId="7B3F3BC6" w14:textId="6EE5FAD8">
      <w:pPr>
        <w:ind w:left="720"/>
        <w:rPr>
          <w:rFonts w:ascii="Times New Roman" w:eastAsia="Times New Roman" w:hAnsi="Times New Roman"/>
          <w:sz w:val="24"/>
        </w:rPr>
      </w:pPr>
      <w:r w:rsidRPr="00025134">
        <w:rPr>
          <w:rFonts w:ascii="Times New Roman" w:eastAsia="Times New Roman" w:hAnsi="Times New Roman"/>
          <w:sz w:val="24"/>
        </w:rPr>
        <w:t xml:space="preserve">EPA is cognizant of the resources (e.g., staffing, cost, expertise) that exercises demand both from stationary sources and from local responders. The final rule does not require Program 2 and 3 facilities to become responding facilities because the Agency believes that regulated sources and local response organizations should work together to implement emergency response plans that are best for the facility and its surrounding community. In many cases, EPA believes that local responders are better positioned than regulated facilities to respond to accidental releases at the facility. EPA also believes this option would have been costly, particularly for small businesses. </w:t>
      </w:r>
      <w:r w:rsidR="007F3630">
        <w:rPr>
          <w:rFonts w:ascii="Times New Roman" w:eastAsia="Times New Roman" w:hAnsi="Times New Roman"/>
          <w:sz w:val="24"/>
        </w:rPr>
        <w:t>EPA further believes the n</w:t>
      </w:r>
      <w:r w:rsidRPr="007F3630" w:rsidR="007F3630">
        <w:rPr>
          <w:rFonts w:ascii="Times New Roman" w:eastAsia="Times New Roman" w:hAnsi="Times New Roman"/>
          <w:sz w:val="24"/>
        </w:rPr>
        <w:t>ew emergency response</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requirements added in the 2017</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amendments rule and the 2019</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reconsideration rule offer opportunities</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to address some of these concerns, such</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as coordination meetings with local</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responders and notification. In particular, EPA</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believes the annual coordination</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meeting and notification exercises will</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provide a wide range of useful</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outcomes, including information</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sharing and evaluation of the</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effectiveness of notification, evacuation,</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and sheltering systems and procedures.</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The annual coordination requirement is</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expected to help make continual</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improvements to emergency response</w:t>
      </w:r>
      <w:r w:rsidR="007F3630">
        <w:rPr>
          <w:rFonts w:ascii="Times New Roman" w:eastAsia="Times New Roman" w:hAnsi="Times New Roman"/>
          <w:sz w:val="24"/>
        </w:rPr>
        <w:t xml:space="preserve"> </w:t>
      </w:r>
      <w:r w:rsidRPr="007F3630" w:rsidR="007F3630">
        <w:rPr>
          <w:rFonts w:ascii="Times New Roman" w:eastAsia="Times New Roman" w:hAnsi="Times New Roman"/>
          <w:sz w:val="24"/>
        </w:rPr>
        <w:t>systems and procedures, as appropriate.</w:t>
      </w:r>
    </w:p>
    <w:p w:rsidR="00025134" w:rsidRPr="00025134" w:rsidP="00025134" w14:paraId="43E50567" w14:textId="77777777">
      <w:pPr>
        <w:rPr>
          <w:rFonts w:ascii="Times New Roman" w:eastAsia="Times New Roman" w:hAnsi="Times New Roman"/>
          <w:i/>
          <w:iCs/>
          <w:sz w:val="24"/>
        </w:rPr>
      </w:pPr>
      <w:r w:rsidRPr="00025134">
        <w:rPr>
          <w:rFonts w:ascii="Times New Roman" w:eastAsia="Times New Roman" w:hAnsi="Times New Roman"/>
          <w:i/>
          <w:iCs/>
          <w:sz w:val="24"/>
        </w:rPr>
        <w:t>General opposition to proposed emergency response exercise requirements</w:t>
      </w:r>
    </w:p>
    <w:p w:rsidR="00025134" w:rsidRPr="00025134" w:rsidP="00025134" w14:paraId="440D1E9A" w14:textId="77777777">
      <w:pPr>
        <w:rPr>
          <w:rFonts w:ascii="Times New Roman" w:eastAsia="Times New Roman" w:hAnsi="Times New Roman"/>
          <w:sz w:val="24"/>
        </w:rPr>
      </w:pPr>
      <w:r w:rsidRPr="00025134">
        <w:rPr>
          <w:rFonts w:ascii="Times New Roman" w:hAnsi="Times New Roman"/>
          <w:b/>
          <w:bCs/>
          <w:sz w:val="24"/>
        </w:rPr>
        <w:t xml:space="preserve">Comment 12.1-03: </w:t>
      </w:r>
      <w:r w:rsidRPr="00025134">
        <w:rPr>
          <w:rFonts w:ascii="Times New Roman" w:eastAsia="Times New Roman" w:hAnsi="Times New Roman"/>
          <w:sz w:val="24"/>
        </w:rPr>
        <w:t xml:space="preserve">Several commenters asserted that EPA should recognize that not every location has a functioning LEPC that can coordinate field exercises with facilities and that clear carve outs should be established (0217, 0234). The commenters suggested that EPA allow </w:t>
      </w:r>
      <w:r w:rsidRPr="00025134">
        <w:rPr>
          <w:rFonts w:ascii="Times New Roman" w:eastAsia="Times New Roman" w:hAnsi="Times New Roman"/>
          <w:sz w:val="24"/>
        </w:rPr>
        <w:t xml:space="preserve">facilities to demonstrate a good faith effort to coordinate with LEPCs or demonstrate the absence of an LEPC as exemptions from this requirement (0180, 0188, 0205, 0226, 0458). A couple commenters also stated the proposed rule is unclear on what to do if only some of the agencies agree to an exercise (0229, 0232). </w:t>
      </w:r>
    </w:p>
    <w:p w:rsidR="00025134" w:rsidRPr="00025134" w:rsidP="00025134" w14:paraId="465BE026" w14:textId="77777777">
      <w:pPr>
        <w:rPr>
          <w:rFonts w:ascii="Times New Roman" w:hAnsi="Times New Roman"/>
          <w:sz w:val="24"/>
        </w:rPr>
      </w:pPr>
      <w:r w:rsidRPr="00025134">
        <w:rPr>
          <w:rFonts w:ascii="Times New Roman" w:hAnsi="Times New Roman"/>
          <w:sz w:val="24"/>
        </w:rPr>
        <w:t xml:space="preserve">One commenter expressed agreement that emergency response exercises can be valuable, but stated their effectiveness depends on the active engagement of responding agencies. The commenter noted that facilities cannot require responder participation and stated that it seems inappropriate to place a mandate on facilities to conduct an exercise with responders. The commenter also mentioned that many smaller response groups do not have the time or budget to be involved in field exercises and that many local responders have more than one shift (0184). </w:t>
      </w:r>
      <w:r w:rsidRPr="00025134">
        <w:rPr>
          <w:rFonts w:ascii="Times New Roman" w:eastAsia="Times New Roman" w:hAnsi="Times New Roman"/>
          <w:sz w:val="24"/>
        </w:rPr>
        <w:t>Another commenter asserted that EPA is ignoring the capacity deficiency of many LPECs (0239).</w:t>
      </w:r>
    </w:p>
    <w:p w:rsidR="00025134" w:rsidRPr="00025134" w:rsidP="00025134" w14:paraId="4DB2E25A" w14:textId="77777777">
      <w:pPr>
        <w:rPr>
          <w:rFonts w:ascii="Times New Roman" w:hAnsi="Times New Roman"/>
          <w:sz w:val="24"/>
        </w:rPr>
      </w:pPr>
      <w:r w:rsidRPr="00025134">
        <w:rPr>
          <w:rFonts w:ascii="Times New Roman" w:hAnsi="Times New Roman"/>
          <w:sz w:val="24"/>
        </w:rPr>
        <w:t>Another commenter stated that the requirement of field exercises is entirely unrealistic for small retail agricultural anhydrous ammonia facilities because these facilities only operate a few weeks out of the year and facility employees and managers do not have adequate training to conduct field exercises nor the resources. The commenter noted that these facilities are generally non-responding and must rely on small and underfunded volunteer rural fire departments. The commenter suggested that if EPA maintains this provision, local emergency responders should be permitted to opt out if they are unable to or choose not to accommodate requesting facilities. The commenter also recommended that EPA withdraw the proposed rule (0245).</w:t>
      </w:r>
    </w:p>
    <w:p w:rsidR="00863E77" w:rsidP="00025134" w14:paraId="1D6FE186" w14:textId="05B922F8">
      <w:pPr>
        <w:ind w:left="720"/>
        <w:rPr>
          <w:rFonts w:ascii="Times New Roman" w:eastAsia="Times New Roman" w:hAnsi="Times New Roman"/>
          <w:sz w:val="24"/>
        </w:rPr>
      </w:pPr>
      <w:r w:rsidRPr="00025134">
        <w:rPr>
          <w:rFonts w:ascii="Times New Roman" w:hAnsi="Times New Roman"/>
          <w:b/>
          <w:bCs/>
          <w:sz w:val="24"/>
        </w:rPr>
        <w:t xml:space="preserve">EPA Response: </w:t>
      </w:r>
      <w:r w:rsidRPr="00025134">
        <w:rPr>
          <w:rFonts w:ascii="Times New Roman" w:eastAsia="Times New Roman" w:hAnsi="Times New Roman"/>
          <w:sz w:val="24"/>
        </w:rPr>
        <w:t xml:space="preserve">EPA </w:t>
      </w:r>
      <w:r w:rsidR="00B36758">
        <w:rPr>
          <w:rFonts w:ascii="Times New Roman" w:eastAsia="Times New Roman" w:hAnsi="Times New Roman"/>
          <w:sz w:val="24"/>
        </w:rPr>
        <w:t>understands and</w:t>
      </w:r>
      <w:r w:rsidRPr="00025134">
        <w:rPr>
          <w:rFonts w:ascii="Times New Roman" w:eastAsia="Times New Roman" w:hAnsi="Times New Roman"/>
          <w:sz w:val="24"/>
        </w:rPr>
        <w:t xml:space="preserve"> agrees with comments that describe the varying capabilities of LEPCs and responding agencies and believes the approach the Agency offers supports those comments. </w:t>
      </w:r>
      <w:r>
        <w:rPr>
          <w:rFonts w:ascii="Times New Roman" w:eastAsia="Times New Roman" w:hAnsi="Times New Roman"/>
          <w:sz w:val="24"/>
        </w:rPr>
        <w:t>However, t</w:t>
      </w:r>
      <w:r w:rsidRPr="00CB039F">
        <w:rPr>
          <w:rFonts w:ascii="Times New Roman" w:eastAsia="Times New Roman" w:hAnsi="Times New Roman"/>
          <w:sz w:val="24"/>
        </w:rPr>
        <w:t xml:space="preserve">he </w:t>
      </w:r>
      <w:r w:rsidRPr="00025134">
        <w:rPr>
          <w:rFonts w:ascii="Times New Roman" w:eastAsia="Times New Roman" w:hAnsi="Times New Roman"/>
          <w:sz w:val="24"/>
        </w:rPr>
        <w:t xml:space="preserve">Agency believes </w:t>
      </w:r>
      <w:r w:rsidRPr="00CB039F">
        <w:rPr>
          <w:rFonts w:ascii="Times New Roman" w:eastAsia="Times New Roman" w:hAnsi="Times New Roman"/>
          <w:sz w:val="24"/>
        </w:rPr>
        <w:t>even the smallest sources will be able to hold field exercises at least once each decade, and in many cases, EPA expects sources will hold field exercises more frequently.</w:t>
      </w:r>
      <w:r>
        <w:rPr>
          <w:rFonts w:ascii="Times New Roman" w:eastAsia="Times New Roman" w:hAnsi="Times New Roman"/>
          <w:sz w:val="24"/>
        </w:rPr>
        <w:t xml:space="preserve"> </w:t>
      </w:r>
      <w:r w:rsidR="00A1131D">
        <w:rPr>
          <w:rFonts w:ascii="Times New Roman" w:eastAsia="Times New Roman" w:hAnsi="Times New Roman"/>
          <w:sz w:val="24"/>
        </w:rPr>
        <w:t>Therefore, t</w:t>
      </w:r>
      <w:r w:rsidRPr="00025134">
        <w:rPr>
          <w:rFonts w:ascii="Times New Roman" w:eastAsia="Times New Roman" w:hAnsi="Times New Roman"/>
          <w:sz w:val="24"/>
        </w:rPr>
        <w:t>he Agency believes the frequency exemption provided</w:t>
      </w:r>
      <w:r w:rsidR="00B36758">
        <w:rPr>
          <w:rFonts w:ascii="Times New Roman" w:eastAsia="Times New Roman" w:hAnsi="Times New Roman"/>
          <w:sz w:val="24"/>
        </w:rPr>
        <w:t xml:space="preserve"> in the final rule</w:t>
      </w:r>
      <w:r w:rsidRPr="00025134">
        <w:rPr>
          <w:rFonts w:ascii="Times New Roman" w:eastAsia="Times New Roman" w:hAnsi="Times New Roman"/>
          <w:sz w:val="24"/>
        </w:rPr>
        <w:t xml:space="preserve">, which allows facilities and communities that do not have resources to complete field exercises every 10 years to work together to determine a lesser frequency, </w:t>
      </w:r>
      <w:r w:rsidR="00A1131D">
        <w:rPr>
          <w:rFonts w:ascii="Times New Roman" w:eastAsia="Times New Roman" w:hAnsi="Times New Roman"/>
          <w:sz w:val="24"/>
        </w:rPr>
        <w:t xml:space="preserve">resolves this concern. </w:t>
      </w:r>
      <w:r>
        <w:rPr>
          <w:rFonts w:ascii="Times New Roman" w:eastAsia="Times New Roman" w:hAnsi="Times New Roman"/>
          <w:sz w:val="24"/>
        </w:rPr>
        <w:t>The Agency continues to believe that field exercises are an important component of an emergency response program and therefore believe the requirements outlined in the final rule are</w:t>
      </w:r>
      <w:r w:rsidRPr="00025134">
        <w:rPr>
          <w:rFonts w:ascii="Times New Roman" w:eastAsia="Times New Roman" w:hAnsi="Times New Roman"/>
          <w:sz w:val="24"/>
        </w:rPr>
        <w:t xml:space="preserve"> more useful than the Agency being more prescriptive about when the frequency would does not apply. </w:t>
      </w:r>
    </w:p>
    <w:p w:rsidR="00025134" w:rsidRPr="00025134" w:rsidP="00025134" w14:paraId="62A27AA6" w14:textId="53DB4195">
      <w:pPr>
        <w:ind w:left="720"/>
        <w:rPr>
          <w:rFonts w:ascii="Times New Roman" w:hAnsi="Times New Roman"/>
          <w:b/>
          <w:bCs/>
          <w:sz w:val="24"/>
        </w:rPr>
      </w:pPr>
      <w:r w:rsidRPr="00025134">
        <w:rPr>
          <w:rFonts w:ascii="Times New Roman" w:eastAsia="Times New Roman" w:hAnsi="Times New Roman"/>
          <w:sz w:val="24"/>
        </w:rPr>
        <w:t>EPA believes various communities have different concerns as to why they would need to conduct field exercises less frequently and therefore does not expect a one-size fits all approach to be appropriate in accommodating those various circumstances. Additionally, EPA understands that there may be cases where local emergency response agencies are unable or unwilling to coordinate with a regulated facility on exercise frequencies. In such cases, the owner or operator may establish appropriate exercise frequencies and plans on their own, provided they meet the minimum requirements set forth in 40 CFR 68.96. The final rule will not specifically require the owner or operator to document unsuccessful coordination attempts, but EPA believes it will be in the owner or operator’s best interest to do so and allow the owner or operator to demonstrate their good faith efforts for consultation in the event that an implementing agency requests this information.</w:t>
      </w:r>
    </w:p>
    <w:p w:rsidR="00025134" w:rsidRPr="00025134" w:rsidP="00025134" w14:paraId="0E4817FC" w14:textId="77777777">
      <w:pPr>
        <w:rPr>
          <w:rFonts w:ascii="Times New Roman" w:hAnsi="Times New Roman"/>
          <w:sz w:val="24"/>
        </w:rPr>
      </w:pPr>
      <w:r w:rsidRPr="00025134">
        <w:rPr>
          <w:rFonts w:ascii="Times New Roman" w:hAnsi="Times New Roman"/>
          <w:b/>
          <w:bCs/>
          <w:sz w:val="24"/>
        </w:rPr>
        <w:t xml:space="preserve">Comment 12.1-04: </w:t>
      </w:r>
      <w:r w:rsidRPr="00025134">
        <w:rPr>
          <w:rFonts w:ascii="Times New Roman" w:hAnsi="Times New Roman"/>
          <w:sz w:val="24"/>
        </w:rPr>
        <w:t>One commenter noted that their members have response plans under the CWA that currently require field exercises. The commenter suggested the final rule should allow facilities to avoid duplication of already existing exercise requirements under other statutes (0223).</w:t>
      </w:r>
    </w:p>
    <w:p w:rsidR="00025134" w:rsidRPr="009B3C0F" w:rsidP="00025134" w14:paraId="7ECCE4AD" w14:textId="2A7F2ECE">
      <w:pPr>
        <w:ind w:left="720"/>
        <w:rPr>
          <w:rFonts w:ascii="Times New Roman" w:hAnsi="Times New Roman"/>
          <w:sz w:val="24"/>
        </w:rPr>
      </w:pPr>
      <w:r w:rsidRPr="00025134">
        <w:rPr>
          <w:rFonts w:ascii="Times New Roman" w:eastAsia="Times New Roman" w:hAnsi="Times New Roman"/>
          <w:b/>
          <w:bCs/>
          <w:sz w:val="24"/>
        </w:rPr>
        <w:t xml:space="preserve">EPA Response: </w:t>
      </w:r>
      <w:r w:rsidRPr="008A2684" w:rsidR="008A2684">
        <w:t xml:space="preserve"> </w:t>
      </w:r>
      <w:r w:rsidRPr="009B3C0F" w:rsidR="008A2684">
        <w:rPr>
          <w:rFonts w:ascii="Times New Roman" w:hAnsi="Times New Roman"/>
          <w:sz w:val="24"/>
        </w:rPr>
        <w:t xml:space="preserve">The Agency does not want to establish exercise requirements that conflict with other Federal, state, or local laws. </w:t>
      </w:r>
      <w:r w:rsidRPr="009B3C0F" w:rsidR="003A2284">
        <w:rPr>
          <w:rFonts w:ascii="Times New Roman" w:hAnsi="Times New Roman"/>
          <w:sz w:val="24"/>
        </w:rPr>
        <w:t>I</w:t>
      </w:r>
      <w:r w:rsidRPr="009B3C0F" w:rsidR="008A2684">
        <w:rPr>
          <w:rFonts w:ascii="Times New Roman" w:hAnsi="Times New Roman"/>
          <w:sz w:val="24"/>
        </w:rPr>
        <w:t xml:space="preserve">n </w:t>
      </w:r>
      <w:r w:rsidRPr="009B3C0F" w:rsidR="006A3A24">
        <w:rPr>
          <w:rFonts w:ascii="Times New Roman" w:hAnsi="Times New Roman"/>
          <w:sz w:val="24"/>
        </w:rPr>
        <w:t>amendments made to the rule in 2017 and 2019</w:t>
      </w:r>
      <w:r w:rsidRPr="009B3C0F" w:rsidR="003451F3">
        <w:rPr>
          <w:rFonts w:ascii="Times New Roman" w:hAnsi="Times New Roman"/>
          <w:sz w:val="24"/>
        </w:rPr>
        <w:t xml:space="preserve">, </w:t>
      </w:r>
      <w:r w:rsidRPr="009B3C0F" w:rsidR="008A2684">
        <w:rPr>
          <w:rFonts w:ascii="Times New Roman" w:hAnsi="Times New Roman"/>
          <w:sz w:val="24"/>
        </w:rPr>
        <w:t>EPA add</w:t>
      </w:r>
      <w:r w:rsidRPr="009B3C0F" w:rsidR="003451F3">
        <w:rPr>
          <w:rFonts w:ascii="Times New Roman" w:hAnsi="Times New Roman"/>
          <w:sz w:val="24"/>
        </w:rPr>
        <w:t>ed</w:t>
      </w:r>
      <w:r w:rsidRPr="009B3C0F" w:rsidR="008A2684">
        <w:rPr>
          <w:rFonts w:ascii="Times New Roman" w:hAnsi="Times New Roman"/>
          <w:sz w:val="24"/>
        </w:rPr>
        <w:t xml:space="preserve"> § 68.96(c) to describe alternative means of meeting exercise requirements. This section </w:t>
      </w:r>
      <w:r w:rsidRPr="009B3C0F" w:rsidR="009E4800">
        <w:rPr>
          <w:rFonts w:ascii="Times New Roman" w:hAnsi="Times New Roman"/>
          <w:sz w:val="24"/>
        </w:rPr>
        <w:t>allows</w:t>
      </w:r>
      <w:r w:rsidRPr="009B3C0F" w:rsidR="008A2684">
        <w:rPr>
          <w:rFonts w:ascii="Times New Roman" w:hAnsi="Times New Roman"/>
          <w:sz w:val="24"/>
        </w:rPr>
        <w:t xml:space="preserve"> the owner or operator to meet requirements for notification, field, and/or tabletop exercises either through exercises conducted to meet other federal, state, or local exercise requirements (or under a facility’s industry code of practice or another voluntary program) or by responding to an actual accidental release event, provided the exercise or response includes the actions required for exercises under § 68.96, as appropriate.</w:t>
      </w:r>
      <w:r w:rsidRPr="009B3C0F">
        <w:rPr>
          <w:rFonts w:ascii="Times New Roman" w:hAnsi="Times New Roman"/>
          <w:sz w:val="24"/>
        </w:rPr>
        <w:t xml:space="preserve"> </w:t>
      </w:r>
      <w:r w:rsidRPr="009B3C0F" w:rsidR="004B2DAF">
        <w:rPr>
          <w:rFonts w:ascii="Times New Roman" w:hAnsi="Times New Roman"/>
          <w:sz w:val="24"/>
        </w:rPr>
        <w:t xml:space="preserve">This final rule does not </w:t>
      </w:r>
      <w:r w:rsidRPr="009B3C0F" w:rsidR="00417378">
        <w:rPr>
          <w:rFonts w:ascii="Times New Roman" w:hAnsi="Times New Roman"/>
          <w:sz w:val="24"/>
        </w:rPr>
        <w:t>deviate from the current</w:t>
      </w:r>
      <w:r w:rsidRPr="009B3C0F" w:rsidR="009B3C0F">
        <w:rPr>
          <w:rFonts w:ascii="Times New Roman" w:hAnsi="Times New Roman"/>
          <w:sz w:val="24"/>
        </w:rPr>
        <w:t xml:space="preserve"> allowance for alternative means of meeting exercise requirements. </w:t>
      </w:r>
    </w:p>
    <w:p w:rsidR="00025134" w:rsidRPr="00025134" w:rsidP="00025134" w14:paraId="156DC1A7" w14:textId="77777777">
      <w:pPr>
        <w:rPr>
          <w:rFonts w:ascii="Times New Roman" w:eastAsia="Times New Roman" w:hAnsi="Times New Roman"/>
          <w:sz w:val="24"/>
        </w:rPr>
      </w:pPr>
      <w:r w:rsidRPr="00025134">
        <w:rPr>
          <w:rFonts w:ascii="Times New Roman" w:eastAsia="Times New Roman" w:hAnsi="Times New Roman"/>
          <w:b/>
          <w:bCs/>
          <w:sz w:val="24"/>
        </w:rPr>
        <w:t xml:space="preserve">Comment 12.1-05: </w:t>
      </w:r>
      <w:r w:rsidRPr="00025134">
        <w:rPr>
          <w:rFonts w:ascii="Times New Roman" w:eastAsia="Times New Roman" w:hAnsi="Times New Roman"/>
          <w:sz w:val="24"/>
        </w:rPr>
        <w:t>One commenter stated that the requirements to coordinate with LEPCs will conflict with current OSHA regulations. The commenter noted that there should be one standard that facilities can look at to ensure compliance. The commenter mentioned that adding these regulations creates another opportunity for uneven enforcement between agencies and confusion among facilities and recommends that EPA work with OSHA in the adoption of any new regulations (0205).</w:t>
      </w:r>
    </w:p>
    <w:p w:rsidR="00AB5399" w:rsidRPr="00AB5399" w:rsidP="00AB5399" w14:paraId="189476F8" w14:textId="583503BA">
      <w:pPr>
        <w:ind w:left="720"/>
        <w:rPr>
          <w:rFonts w:ascii="Times New Roman" w:eastAsia="Times New Roman" w:hAnsi="Times New Roman"/>
          <w:sz w:val="24"/>
        </w:rPr>
      </w:pPr>
      <w:r w:rsidRPr="00025134">
        <w:rPr>
          <w:rFonts w:ascii="Times New Roman" w:eastAsia="Times New Roman" w:hAnsi="Times New Roman"/>
          <w:b/>
          <w:bCs/>
          <w:sz w:val="24"/>
        </w:rPr>
        <w:t xml:space="preserve">EPA Response: </w:t>
      </w:r>
      <w:r w:rsidRPr="00AB5399">
        <w:rPr>
          <w:rFonts w:ascii="Times New Roman" w:eastAsia="Times New Roman" w:hAnsi="Times New Roman"/>
          <w:sz w:val="24"/>
        </w:rPr>
        <w:t>EPA and OSHA have separate mandates under the Occupational Safety and Health Act (29 U.S.C. 651), the CAA, and the requirements enacted in the CAAA. In the 1990s, both Agencies fulfilled their mandatory duties to promulgate and issue the rules required by CAA sections 112(r)(3)-(5) and 112(r)(7)(B), as well as section 304 of the CAAA. The focus of OSHA’s regulations in the PSM standard is on workplace safety, while EPA’s focus in the RMP regulations has been primarily on minimizing the public impacts of accidental releases through prevention and response. Today’s rule maintains EPA’s focus on minimizing the public impacts of accidental releases even as it also reduces impacts on facilities and workers. As explained throughout the proposal and in this final action, the OSHA PSM standard and EPA RMP regulations are closely aligned in content, policy interpretations, and enforcement.</w:t>
      </w:r>
      <w:r>
        <w:rPr>
          <w:rFonts w:ascii="Times New Roman" w:eastAsia="Times New Roman" w:hAnsi="Times New Roman"/>
          <w:sz w:val="24"/>
        </w:rPr>
        <w:t xml:space="preserve"> </w:t>
      </w:r>
      <w:r w:rsidRPr="00AB5399">
        <w:rPr>
          <w:rFonts w:ascii="Times New Roman" w:eastAsia="Times New Roman" w:hAnsi="Times New Roman"/>
          <w:sz w:val="24"/>
        </w:rPr>
        <w:t>Therefore, since the inception of these regulations, EPA and OSHA have coordinated closely on their implementation in order to minimize regulatory burden and avoid conflicting requirements for regulated facilities. This coordination has continued throughout the development of this rule</w:t>
      </w:r>
      <w:r>
        <w:rPr>
          <w:rFonts w:ascii="Times New Roman" w:eastAsia="Times New Roman" w:hAnsi="Times New Roman"/>
          <w:sz w:val="24"/>
        </w:rPr>
        <w:t>, including provisions associated with coordination with local responders and LEPCs.</w:t>
      </w:r>
    </w:p>
    <w:p w:rsidR="00AB5399" w:rsidRPr="00AB5399" w:rsidP="00AB5399" w14:paraId="2BB614D5" w14:textId="12A4D845">
      <w:pPr>
        <w:ind w:left="720"/>
        <w:rPr>
          <w:rFonts w:ascii="Times New Roman" w:eastAsia="Times New Roman" w:hAnsi="Times New Roman"/>
          <w:sz w:val="24"/>
        </w:rPr>
      </w:pPr>
      <w:r w:rsidRPr="00AB5399">
        <w:rPr>
          <w:rFonts w:ascii="Times New Roman" w:eastAsia="Times New Roman" w:hAnsi="Times New Roman"/>
          <w:sz w:val="24"/>
        </w:rPr>
        <w:t>Further, for many years, 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Appendix A to this document), staff from the agencies discussed the development of the RMP SCCAP Rule and potential issues to be addressed by EPA, and OSHA’s intent to convene an informal stakeholder meeting in October 2022, as it explored potential regulatory amendments.</w:t>
      </w:r>
    </w:p>
    <w:p w:rsidR="00025134" w:rsidRPr="00025134" w:rsidP="00025134" w14:paraId="6C70E813" w14:textId="77777777">
      <w:pPr>
        <w:rPr>
          <w:rFonts w:ascii="Times New Roman" w:eastAsia="Times New Roman" w:hAnsi="Times New Roman"/>
          <w:sz w:val="24"/>
        </w:rPr>
      </w:pPr>
      <w:r w:rsidRPr="00025134">
        <w:rPr>
          <w:rFonts w:ascii="Times New Roman" w:eastAsia="Times New Roman" w:hAnsi="Times New Roman"/>
          <w:b/>
          <w:bCs/>
          <w:sz w:val="24"/>
        </w:rPr>
        <w:t>Comment 12.1-06:</w:t>
      </w:r>
      <w:r w:rsidRPr="00025134">
        <w:rPr>
          <w:rFonts w:ascii="Times New Roman" w:eastAsia="Times New Roman" w:hAnsi="Times New Roman"/>
          <w:sz w:val="24"/>
        </w:rPr>
        <w:t xml:space="preserve"> A couple commenters noted that</w:t>
      </w:r>
      <w:r w:rsidRPr="00025134">
        <w:rPr>
          <w:rFonts w:ascii="Times New Roman" w:hAnsi="Times New Roman"/>
          <w:sz w:val="24"/>
        </w:rPr>
        <w:t xml:space="preserve"> </w:t>
      </w:r>
      <w:r w:rsidRPr="00025134">
        <w:rPr>
          <w:rFonts w:ascii="Times New Roman" w:eastAsia="Times New Roman" w:hAnsi="Times New Roman"/>
          <w:sz w:val="24"/>
        </w:rPr>
        <w:t>EPA provided no identification who it is referring to as the “appropriate Federal [and] State . . . response agencies.” The commenters stated that the source would be left to guess whether it contacted the appropriate agencies and obtained sufficient written notification; EPA does not recognize how cumbersome it would be comply with this provision (0229, 0232).</w:t>
      </w:r>
    </w:p>
    <w:p w:rsidR="00025134" w:rsidRPr="00025134" w:rsidP="00025134" w14:paraId="4284145E" w14:textId="33C34B60">
      <w:pPr>
        <w:ind w:left="720"/>
        <w:rPr>
          <w:highlight w:val="yellow"/>
        </w:rPr>
      </w:pPr>
      <w:r w:rsidRPr="00025134">
        <w:rPr>
          <w:rFonts w:ascii="Times New Roman" w:eastAsia="Times New Roman" w:hAnsi="Times New Roman"/>
          <w:b/>
          <w:bCs/>
          <w:sz w:val="24"/>
        </w:rPr>
        <w:t xml:space="preserve">EPA Response: </w:t>
      </w:r>
      <w:r w:rsidRPr="00FE6107" w:rsidR="00FE6107">
        <w:rPr>
          <w:rFonts w:ascii="Times New Roman" w:eastAsia="Times New Roman" w:hAnsi="Times New Roman"/>
          <w:sz w:val="24"/>
        </w:rPr>
        <w:t>In the final rule,</w:t>
      </w:r>
      <w:r w:rsidR="00FE6107">
        <w:rPr>
          <w:rFonts w:ascii="Times New Roman" w:eastAsia="Times New Roman" w:hAnsi="Times New Roman"/>
          <w:b/>
          <w:bCs/>
          <w:sz w:val="24"/>
        </w:rPr>
        <w:t xml:space="preserve"> </w:t>
      </w:r>
      <w:r w:rsidRPr="00025134">
        <w:rPr>
          <w:rFonts w:ascii="Times New Roman" w:eastAsia="Times New Roman" w:hAnsi="Times New Roman"/>
          <w:sz w:val="24"/>
        </w:rPr>
        <w:t>EPA has amended the language to reflect that the consultation required for this provision need only be with local emergency responding agencies. EPA acknowledges that the emergency response exercise program provisions under 40 CFR 68.96(b), only require coordination with local public emergency response officials, and wants to remain consistent with activities that most likely will occur on the local level.</w:t>
      </w:r>
      <w:r w:rsidRPr="00025134">
        <w:rPr>
          <w:highlight w:val="yellow"/>
        </w:rPr>
        <w:t xml:space="preserve"> </w:t>
      </w:r>
    </w:p>
    <w:p w:rsidR="00025134" w:rsidRPr="00025134" w:rsidP="00025134" w14:paraId="1B690889" w14:textId="60C5168A">
      <w:pPr>
        <w:rPr>
          <w:rFonts w:ascii="Times New Roman" w:eastAsia="Times New Roman" w:hAnsi="Times New Roman"/>
          <w:sz w:val="24"/>
        </w:rPr>
      </w:pPr>
      <w:r>
        <w:rPr>
          <w:rFonts w:ascii="Times New Roman" w:eastAsia="Times New Roman" w:hAnsi="Times New Roman"/>
          <w:b/>
          <w:bCs/>
          <w:sz w:val="24"/>
        </w:rPr>
        <w:t>Comment 12.1-07</w:t>
      </w:r>
      <w:r w:rsidRPr="00025134">
        <w:rPr>
          <w:rFonts w:ascii="Times New Roman" w:eastAsia="Times New Roman" w:hAnsi="Times New Roman"/>
          <w:b/>
          <w:bCs/>
          <w:sz w:val="24"/>
        </w:rPr>
        <w:t xml:space="preserve">: </w:t>
      </w:r>
      <w:r w:rsidRPr="00025134">
        <w:rPr>
          <w:rFonts w:ascii="Times New Roman" w:eastAsia="Times New Roman" w:hAnsi="Times New Roman"/>
          <w:sz w:val="24"/>
        </w:rPr>
        <w:t>One commenter stated that EPA is unclear on what is required for local responders to opt out and the standard for determining if the justification is adequate (0239).</w:t>
      </w:r>
    </w:p>
    <w:p w:rsidR="00025134" w:rsidRPr="00025134" w:rsidP="00CD4AD9" w14:paraId="2779208D" w14:textId="62710B1D">
      <w:pPr>
        <w:ind w:left="720"/>
        <w:rPr>
          <w:rFonts w:ascii="Times New Roman" w:eastAsia="Times New Roman" w:hAnsi="Times New Roman"/>
          <w:sz w:val="24"/>
        </w:rPr>
      </w:pPr>
      <w:r w:rsidRPr="007F302F">
        <w:rPr>
          <w:rFonts w:ascii="Times New Roman" w:eastAsia="Times New Roman" w:hAnsi="Times New Roman"/>
          <w:b/>
          <w:bCs/>
          <w:sz w:val="24"/>
        </w:rPr>
        <w:t>EPA Response:</w:t>
      </w:r>
      <w:r w:rsidRPr="00025134">
        <w:rPr>
          <w:rFonts w:ascii="Times New Roman" w:eastAsia="Times New Roman" w:hAnsi="Times New Roman"/>
          <w:b/>
          <w:bCs/>
          <w:sz w:val="24"/>
        </w:rPr>
        <w:t xml:space="preserve"> </w:t>
      </w:r>
      <w:r w:rsidRPr="00FE6107" w:rsidR="00FE6107">
        <w:rPr>
          <w:rFonts w:ascii="Times New Roman" w:eastAsia="Times New Roman" w:hAnsi="Times New Roman"/>
          <w:sz w:val="24"/>
        </w:rPr>
        <w:t xml:space="preserve"> The Agency continues to believe that field exercises are an important component of an emergency response program and therefore, this final rule does not include an option under which a facility may opt out of this</w:t>
      </w:r>
      <w:r w:rsidR="00FE6107">
        <w:rPr>
          <w:rFonts w:ascii="Times New Roman" w:eastAsia="Times New Roman" w:hAnsi="Times New Roman"/>
          <w:sz w:val="24"/>
        </w:rPr>
        <w:t xml:space="preserve"> field exercise</w:t>
      </w:r>
      <w:r w:rsidRPr="00FE6107" w:rsidR="00FE6107">
        <w:rPr>
          <w:rFonts w:ascii="Times New Roman" w:eastAsia="Times New Roman" w:hAnsi="Times New Roman"/>
          <w:sz w:val="24"/>
        </w:rPr>
        <w:t xml:space="preserve"> requirement</w:t>
      </w:r>
      <w:r w:rsidR="00302357">
        <w:rPr>
          <w:rFonts w:ascii="Times New Roman" w:eastAsia="Times New Roman" w:hAnsi="Times New Roman"/>
          <w:sz w:val="24"/>
        </w:rPr>
        <w:t xml:space="preserve"> entirely</w:t>
      </w:r>
      <w:r w:rsidRPr="00FE6107" w:rsidR="00FE6107">
        <w:rPr>
          <w:rFonts w:ascii="Times New Roman" w:eastAsia="Times New Roman" w:hAnsi="Times New Roman"/>
          <w:sz w:val="24"/>
        </w:rPr>
        <w:t xml:space="preserve">. </w:t>
      </w:r>
      <w:r w:rsidRPr="007F302F" w:rsidR="007F302F">
        <w:rPr>
          <w:rFonts w:ascii="Times New Roman" w:eastAsia="Times New Roman" w:hAnsi="Times New Roman"/>
          <w:sz w:val="24"/>
        </w:rPr>
        <w:t>Under the final rule, owners and operators will be required to</w:t>
      </w:r>
      <w:r w:rsidRPr="007F302F" w:rsidR="007F302F">
        <w:rPr>
          <w:rFonts w:ascii="Times New Roman" w:hAnsi="Times New Roman"/>
          <w:sz w:val="24"/>
        </w:rPr>
        <w:t xml:space="preserve"> establish a frequency for </w:t>
      </w:r>
      <w:r w:rsidR="007F302F">
        <w:rPr>
          <w:rFonts w:ascii="Times New Roman" w:hAnsi="Times New Roman"/>
          <w:sz w:val="24"/>
        </w:rPr>
        <w:t xml:space="preserve">field </w:t>
      </w:r>
      <w:r w:rsidRPr="007F302F" w:rsidR="007F302F">
        <w:rPr>
          <w:rFonts w:ascii="Times New Roman" w:hAnsi="Times New Roman"/>
          <w:sz w:val="24"/>
        </w:rPr>
        <w:t xml:space="preserve">exercises </w:t>
      </w:r>
      <w:r w:rsidRPr="007F302F" w:rsidR="007F302F">
        <w:rPr>
          <w:rFonts w:ascii="Times New Roman" w:eastAsia="Times New Roman" w:hAnsi="Times New Roman"/>
          <w:sz w:val="24"/>
        </w:rPr>
        <w:t xml:space="preserve">at a minimum of at least once every ten years, unless the appropriate local emergency response agencies agree in writing that such frequency is impractical. </w:t>
      </w:r>
      <w:r w:rsidR="00021B2A">
        <w:rPr>
          <w:rFonts w:ascii="Times New Roman" w:eastAsia="Times New Roman" w:hAnsi="Times New Roman"/>
          <w:sz w:val="24"/>
        </w:rPr>
        <w:t>However,</w:t>
      </w:r>
      <w:r w:rsidRPr="007F302F" w:rsidR="007F302F">
        <w:rPr>
          <w:rFonts w:ascii="Times New Roman" w:eastAsia="Times New Roman" w:hAnsi="Times New Roman"/>
          <w:sz w:val="24"/>
        </w:rPr>
        <w:t xml:space="preserve"> </w:t>
      </w:r>
      <w:r w:rsidR="00021B2A">
        <w:rPr>
          <w:rFonts w:ascii="Times New Roman" w:eastAsia="Times New Roman" w:hAnsi="Times New Roman"/>
          <w:sz w:val="24"/>
        </w:rPr>
        <w:t>i</w:t>
      </w:r>
      <w:r w:rsidRPr="007F302F" w:rsidR="007F302F">
        <w:rPr>
          <w:rFonts w:ascii="Times New Roman" w:eastAsia="Times New Roman" w:hAnsi="Times New Roman"/>
          <w:sz w:val="24"/>
        </w:rPr>
        <w:t xml:space="preserve">f local emergency response agencies so agree, the owner or operator </w:t>
      </w:r>
      <w:r w:rsidR="00021B2A">
        <w:rPr>
          <w:rFonts w:ascii="Times New Roman" w:eastAsia="Times New Roman" w:hAnsi="Times New Roman"/>
          <w:sz w:val="24"/>
        </w:rPr>
        <w:t>can</w:t>
      </w:r>
      <w:r w:rsidRPr="007F302F" w:rsidR="007F302F">
        <w:rPr>
          <w:rFonts w:ascii="Times New Roman" w:eastAsia="Times New Roman" w:hAnsi="Times New Roman"/>
          <w:sz w:val="24"/>
        </w:rPr>
        <w:t xml:space="preserve"> consult with local emergency response officials </w:t>
      </w:r>
      <w:r w:rsidR="00302357">
        <w:rPr>
          <w:rFonts w:ascii="Times New Roman" w:eastAsia="Times New Roman" w:hAnsi="Times New Roman"/>
          <w:sz w:val="24"/>
        </w:rPr>
        <w:t xml:space="preserve">in order </w:t>
      </w:r>
      <w:r w:rsidRPr="007F302F" w:rsidR="007F302F">
        <w:rPr>
          <w:rFonts w:ascii="Times New Roman" w:eastAsia="Times New Roman" w:hAnsi="Times New Roman"/>
          <w:sz w:val="24"/>
        </w:rPr>
        <w:t xml:space="preserve">to establish an alternate appropriate frequency </w:t>
      </w:r>
      <w:r w:rsidR="00302357">
        <w:rPr>
          <w:rFonts w:ascii="Times New Roman" w:eastAsia="Times New Roman" w:hAnsi="Times New Roman"/>
          <w:sz w:val="24"/>
        </w:rPr>
        <w:t xml:space="preserve">to fulfill their </w:t>
      </w:r>
      <w:r w:rsidRPr="007F302F" w:rsidR="007F302F">
        <w:rPr>
          <w:rFonts w:ascii="Times New Roman" w:eastAsia="Times New Roman" w:hAnsi="Times New Roman"/>
          <w:sz w:val="24"/>
        </w:rPr>
        <w:t>field exercise</w:t>
      </w:r>
      <w:r w:rsidR="00302357">
        <w:rPr>
          <w:rFonts w:ascii="Times New Roman" w:eastAsia="Times New Roman" w:hAnsi="Times New Roman"/>
          <w:sz w:val="24"/>
        </w:rPr>
        <w:t xml:space="preserve"> requirements</w:t>
      </w:r>
      <w:r w:rsidRPr="007F302F" w:rsidR="007F302F">
        <w:rPr>
          <w:rFonts w:ascii="Times New Roman" w:eastAsia="Times New Roman" w:hAnsi="Times New Roman"/>
          <w:sz w:val="24"/>
        </w:rPr>
        <w:t>. In establishing an alternat</w:t>
      </w:r>
      <w:r w:rsidR="007F302F">
        <w:rPr>
          <w:rFonts w:ascii="Times New Roman" w:eastAsia="Times New Roman" w:hAnsi="Times New Roman"/>
          <w:sz w:val="24"/>
        </w:rPr>
        <w:t>e</w:t>
      </w:r>
      <w:r w:rsidRPr="007F302F" w:rsidR="007F302F">
        <w:rPr>
          <w:rFonts w:ascii="Times New Roman" w:eastAsia="Times New Roman" w:hAnsi="Times New Roman"/>
          <w:sz w:val="24"/>
        </w:rPr>
        <w:t xml:space="preserve"> exercise frequency, owners or operators and local responders may account for whatever factors they deem appropriate</w:t>
      </w:r>
      <w:r w:rsidR="007F302F">
        <w:rPr>
          <w:rFonts w:ascii="Times New Roman" w:eastAsia="Times New Roman" w:hAnsi="Times New Roman"/>
          <w:sz w:val="24"/>
        </w:rPr>
        <w:t xml:space="preserve"> as long as it is </w:t>
      </w:r>
      <w:r w:rsidR="0055730B">
        <w:rPr>
          <w:rFonts w:ascii="Times New Roman" w:eastAsia="Times New Roman" w:hAnsi="Times New Roman"/>
          <w:sz w:val="24"/>
        </w:rPr>
        <w:t>documented</w:t>
      </w:r>
      <w:r w:rsidRPr="007F302F" w:rsidR="007F302F">
        <w:rPr>
          <w:rFonts w:ascii="Times New Roman" w:eastAsia="Times New Roman" w:hAnsi="Times New Roman"/>
          <w:sz w:val="24"/>
        </w:rPr>
        <w:t>. Owners or operators and local authorities may also adjust exercise frequencies as needed to account for changes in hazards, organizations, budgets, resource demands, regulations, or other factors</w:t>
      </w:r>
      <w:r w:rsidR="007F302F">
        <w:rPr>
          <w:rFonts w:ascii="Times New Roman" w:eastAsia="Times New Roman" w:hAnsi="Times New Roman"/>
          <w:sz w:val="24"/>
        </w:rPr>
        <w:t>.</w:t>
      </w:r>
    </w:p>
    <w:p w:rsidR="00025134" w:rsidRPr="00025134" w:rsidP="00CD4AD9" w14:paraId="6CE27E36" w14:textId="77777777">
      <w:pPr>
        <w:keepNext/>
        <w:keepLines/>
        <w:ind w:left="408" w:hanging="408"/>
        <w:outlineLvl w:val="1"/>
        <w:rPr>
          <w:rFonts w:ascii="Times New Roman" w:eastAsia="Times New Roman" w:hAnsi="Times New Roman"/>
          <w:b/>
          <w:bCs/>
          <w:sz w:val="24"/>
        </w:rPr>
      </w:pPr>
      <w:bookmarkStart w:id="142" w:name="_Toc146880033"/>
      <w:bookmarkStart w:id="143" w:name="_Toc153373822"/>
      <w:r w:rsidRPr="00025134">
        <w:rPr>
          <w:rFonts w:ascii="Times New Roman" w:eastAsia="Times New Roman" w:hAnsi="Times New Roman"/>
          <w:b/>
          <w:bCs/>
          <w:sz w:val="24"/>
        </w:rPr>
        <w:t>12.2</w:t>
      </w:r>
      <w:r w:rsidRPr="00025134">
        <w:rPr>
          <w:rFonts w:ascii="Times New Roman" w:eastAsia="Times New Roman" w:hAnsi="Times New Roman"/>
          <w:b/>
          <w:bCs/>
          <w:sz w:val="24"/>
        </w:rPr>
        <w:tab/>
        <w:t>Field exercise frequency</w:t>
      </w:r>
      <w:bookmarkEnd w:id="142"/>
      <w:bookmarkEnd w:id="143"/>
    </w:p>
    <w:p w:rsidR="00025134" w:rsidRPr="00025134" w:rsidP="00025134" w14:paraId="4810D846" w14:textId="77777777">
      <w:pPr>
        <w:rPr>
          <w:rFonts w:ascii="Times New Roman" w:eastAsia="Times New Roman" w:hAnsi="Times New Roman"/>
          <w:bCs/>
          <w:i/>
          <w:sz w:val="24"/>
        </w:rPr>
      </w:pPr>
      <w:r w:rsidRPr="00025134">
        <w:rPr>
          <w:rFonts w:ascii="Times New Roman" w:eastAsia="Times New Roman" w:hAnsi="Times New Roman"/>
          <w:bCs/>
          <w:i/>
          <w:sz w:val="24"/>
        </w:rPr>
        <w:t xml:space="preserve">Support for the proposed </w:t>
      </w:r>
      <w:r w:rsidRPr="00025134">
        <w:rPr>
          <w:rFonts w:ascii="Times New Roman" w:eastAsia="Times New Roman" w:hAnsi="Times New Roman"/>
          <w:i/>
          <w:iCs/>
          <w:sz w:val="24"/>
        </w:rPr>
        <w:t>field exercise frequency</w:t>
      </w:r>
    </w:p>
    <w:p w:rsidR="00025134" w:rsidRPr="00025134" w:rsidP="00025134" w14:paraId="4945DC9B" w14:textId="77777777">
      <w:pPr>
        <w:rPr>
          <w:rFonts w:ascii="Times New Roman" w:eastAsia="Times New Roman" w:hAnsi="Times New Roman"/>
          <w:sz w:val="24"/>
        </w:rPr>
      </w:pPr>
      <w:r w:rsidRPr="00025134">
        <w:rPr>
          <w:rFonts w:ascii="Times New Roman" w:eastAsia="Times New Roman" w:hAnsi="Times New Roman"/>
          <w:b/>
          <w:bCs/>
          <w:sz w:val="24"/>
        </w:rPr>
        <w:t xml:space="preserve">Comment 12.2-01: </w:t>
      </w:r>
      <w:r w:rsidRPr="00025134">
        <w:rPr>
          <w:rFonts w:ascii="Times New Roman" w:eastAsia="Times New Roman" w:hAnsi="Times New Roman"/>
          <w:sz w:val="24"/>
        </w:rPr>
        <w:t>Several commenters expressed support for the 10-year timeline for conducting field exercises (0173, 0181, 0197, 0215, 0237, 0262, 0268, 0275). One of the commenters noted that the timeline would allow local responders to maintain capabilities and familiarity with processes for responding to accidental releases, and it would also allow industry to obtain appropriate staff, experts, and funds (0215).</w:t>
      </w:r>
    </w:p>
    <w:p w:rsidR="00EC325B" w:rsidRPr="00EC325B" w:rsidP="00CD4AD9" w14:paraId="42396C45" w14:textId="77777777">
      <w:pPr>
        <w:autoSpaceDE w:val="0"/>
        <w:autoSpaceDN w:val="0"/>
        <w:adjustRightInd w:val="0"/>
        <w:spacing w:after="0"/>
        <w:ind w:left="720"/>
        <w:rPr>
          <w:rFonts w:ascii="Times New Roman" w:hAnsi="Times New Roman" w:eastAsiaTheme="minorHAnsi"/>
          <w:sz w:val="24"/>
          <w14:ligatures w14:val="standardContextual"/>
        </w:rPr>
      </w:pPr>
      <w:r w:rsidRPr="00EC325B">
        <w:rPr>
          <w:rFonts w:ascii="Times New Roman" w:eastAsia="Times New Roman" w:hAnsi="Times New Roman"/>
          <w:b/>
          <w:bCs/>
          <w:sz w:val="24"/>
        </w:rPr>
        <w:t xml:space="preserve">EPA Response:  </w:t>
      </w:r>
      <w:r w:rsidRPr="00EC325B">
        <w:rPr>
          <w:rFonts w:ascii="Times New Roman" w:eastAsia="Times New Roman" w:hAnsi="Times New Roman"/>
          <w:sz w:val="24"/>
        </w:rPr>
        <w:t>EPA appreciates commenters’ support.</w:t>
      </w:r>
      <w:r w:rsidRPr="00EC325B">
        <w:rPr>
          <w:rFonts w:ascii="Times New Roman" w:hAnsi="Times New Roman"/>
          <w:sz w:val="24"/>
        </w:rPr>
        <w:t xml:space="preserve"> </w:t>
      </w:r>
      <w:r w:rsidRPr="00EC325B" w:rsidR="00730B50">
        <w:rPr>
          <w:rFonts w:ascii="Times New Roman" w:hAnsi="Times New Roman" w:eastAsiaTheme="minorHAnsi"/>
          <w:sz w:val="24"/>
          <w14:ligatures w14:val="standardContextual"/>
        </w:rPr>
        <w:t>EPA wants to ensure that facilities are accountable to the communities in which they are located. One way to do this is to make sure that communities have mechanisms to evaluate the resources and capabilities</w:t>
      </w:r>
      <w:r w:rsidRPr="00EC325B">
        <w:rPr>
          <w:rFonts w:ascii="Times New Roman" w:hAnsi="Times New Roman" w:eastAsiaTheme="minorHAnsi"/>
          <w:sz w:val="24"/>
          <w14:ligatures w14:val="standardContextual"/>
        </w:rPr>
        <w:t xml:space="preserve"> </w:t>
      </w:r>
      <w:r w:rsidRPr="00EC325B" w:rsidR="00730B50">
        <w:rPr>
          <w:rFonts w:ascii="Times New Roman" w:hAnsi="Times New Roman" w:eastAsiaTheme="minorHAnsi"/>
          <w:sz w:val="24"/>
          <w14:ligatures w14:val="standardContextual"/>
        </w:rPr>
        <w:t>needed to assist in a response to an</w:t>
      </w:r>
      <w:r w:rsidRPr="00EC325B">
        <w:rPr>
          <w:rFonts w:ascii="Times New Roman" w:hAnsi="Times New Roman" w:eastAsiaTheme="minorHAnsi"/>
          <w:sz w:val="24"/>
          <w14:ligatures w14:val="standardContextual"/>
        </w:rPr>
        <w:t xml:space="preserve"> </w:t>
      </w:r>
      <w:r w:rsidRPr="00EC325B" w:rsidR="00730B50">
        <w:rPr>
          <w:rFonts w:ascii="Times New Roman" w:hAnsi="Times New Roman" w:eastAsiaTheme="minorHAnsi"/>
          <w:sz w:val="24"/>
          <w14:ligatures w14:val="standardContextual"/>
        </w:rPr>
        <w:t>accidental release and that they can</w:t>
      </w:r>
      <w:r w:rsidRPr="00EC325B">
        <w:rPr>
          <w:rFonts w:ascii="Times New Roman" w:hAnsi="Times New Roman" w:eastAsiaTheme="minorHAnsi"/>
          <w:sz w:val="24"/>
          <w14:ligatures w14:val="standardContextual"/>
        </w:rPr>
        <w:t xml:space="preserve"> </w:t>
      </w:r>
      <w:r w:rsidRPr="00EC325B" w:rsidR="00730B50">
        <w:rPr>
          <w:rFonts w:ascii="Times New Roman" w:hAnsi="Times New Roman" w:eastAsiaTheme="minorHAnsi"/>
          <w:sz w:val="24"/>
          <w14:ligatures w14:val="standardContextual"/>
        </w:rPr>
        <w:t>perform field exercises involving actual</w:t>
      </w:r>
      <w:r w:rsidRPr="00EC325B">
        <w:rPr>
          <w:rFonts w:ascii="Times New Roman" w:hAnsi="Times New Roman" w:eastAsiaTheme="minorHAnsi"/>
          <w:sz w:val="24"/>
          <w14:ligatures w14:val="standardContextual"/>
        </w:rPr>
        <w:t xml:space="preserve"> </w:t>
      </w:r>
      <w:r w:rsidRPr="00EC325B" w:rsidR="00730B50">
        <w:rPr>
          <w:rFonts w:ascii="Times New Roman" w:hAnsi="Times New Roman" w:eastAsiaTheme="minorHAnsi"/>
          <w:sz w:val="24"/>
          <w14:ligatures w14:val="standardContextual"/>
        </w:rPr>
        <w:t>emergency response functions to</w:t>
      </w:r>
      <w:r w:rsidRPr="00EC325B">
        <w:rPr>
          <w:rFonts w:ascii="Times New Roman" w:hAnsi="Times New Roman" w:eastAsiaTheme="minorHAnsi"/>
          <w:sz w:val="24"/>
          <w14:ligatures w14:val="standardContextual"/>
        </w:rPr>
        <w:t xml:space="preserve"> </w:t>
      </w:r>
    </w:p>
    <w:p w:rsidR="00025134" w:rsidRPr="00EC325B" w:rsidP="00CD4AD9" w14:paraId="182D04B9" w14:textId="5B9D725E">
      <w:pPr>
        <w:autoSpaceDE w:val="0"/>
        <w:autoSpaceDN w:val="0"/>
        <w:adjustRightInd w:val="0"/>
        <w:spacing w:before="0"/>
        <w:ind w:firstLine="720"/>
        <w:rPr>
          <w:rFonts w:ascii="Times New Roman" w:eastAsia="Times New Roman" w:hAnsi="Times New Roman"/>
          <w:b/>
          <w:bCs/>
          <w:sz w:val="24"/>
        </w:rPr>
      </w:pPr>
      <w:r w:rsidRPr="00EC325B">
        <w:rPr>
          <w:rFonts w:ascii="Times New Roman" w:hAnsi="Times New Roman" w:eastAsiaTheme="minorHAnsi"/>
          <w:sz w:val="24"/>
          <w14:ligatures w14:val="standardContextual"/>
        </w:rPr>
        <w:t>simulated release events.</w:t>
      </w:r>
    </w:p>
    <w:p w:rsidR="00025134" w:rsidRPr="00025134" w:rsidP="00025134" w14:paraId="121ADB97" w14:textId="77777777">
      <w:pPr>
        <w:rPr>
          <w:rFonts w:ascii="Times New Roman" w:eastAsia="Times New Roman" w:hAnsi="Times New Roman"/>
          <w:sz w:val="24"/>
        </w:rPr>
      </w:pPr>
      <w:r w:rsidRPr="00025134">
        <w:rPr>
          <w:rFonts w:ascii="Times New Roman" w:eastAsia="Times New Roman" w:hAnsi="Times New Roman"/>
          <w:b/>
          <w:bCs/>
          <w:sz w:val="24"/>
        </w:rPr>
        <w:t xml:space="preserve">Comment 12.2-02: </w:t>
      </w:r>
      <w:r w:rsidRPr="00025134">
        <w:rPr>
          <w:rFonts w:ascii="Times New Roman" w:eastAsia="Times New Roman" w:hAnsi="Times New Roman"/>
          <w:sz w:val="24"/>
        </w:rPr>
        <w:t>One commenter expressed support for coordinated exercises and drills but suggested that prescriptive requirements regarding types and frequencies of drills should be avoided (0263).</w:t>
      </w:r>
    </w:p>
    <w:p w:rsidR="00025134" w:rsidRPr="00025134" w:rsidP="00025134" w14:paraId="2B66F40B" w14:textId="77777777">
      <w:pPr>
        <w:ind w:left="720"/>
        <w:rPr>
          <w:rFonts w:ascii="Times New Roman" w:eastAsia="Times New Roman" w:hAnsi="Times New Roman"/>
          <w:sz w:val="24"/>
        </w:rPr>
      </w:pPr>
      <w:r w:rsidRPr="00025134">
        <w:rPr>
          <w:rFonts w:ascii="Times New Roman" w:eastAsia="Times New Roman" w:hAnsi="Times New Roman"/>
          <w:b/>
          <w:bCs/>
          <w:sz w:val="24"/>
        </w:rPr>
        <w:t xml:space="preserve">EPA Response: </w:t>
      </w:r>
      <w:r w:rsidRPr="00025134">
        <w:rPr>
          <w:rFonts w:ascii="Times New Roman" w:eastAsia="Times New Roman" w:hAnsi="Times New Roman"/>
          <w:sz w:val="24"/>
        </w:rPr>
        <w:t>EPA agrees with this comment. The final rule will provide owners and operators extensive flexibility to develop emergency response plans and emergency exercise plans that are best suited to the owner or operator’s situation.</w:t>
      </w:r>
    </w:p>
    <w:p w:rsidR="00025134" w:rsidRPr="00025134" w:rsidP="00025134" w14:paraId="27AD08B6" w14:textId="77777777">
      <w:pPr>
        <w:rPr>
          <w:rFonts w:ascii="Times New Roman" w:eastAsia="Times New Roman" w:hAnsi="Times New Roman"/>
          <w:i/>
          <w:iCs/>
          <w:sz w:val="24"/>
        </w:rPr>
      </w:pPr>
      <w:r w:rsidRPr="00025134">
        <w:rPr>
          <w:rFonts w:ascii="Times New Roman" w:eastAsia="Times New Roman" w:hAnsi="Times New Roman"/>
          <w:i/>
          <w:iCs/>
          <w:sz w:val="24"/>
        </w:rPr>
        <w:t>Opposition for the proposed field exercise frequency</w:t>
      </w:r>
    </w:p>
    <w:p w:rsidR="00025134" w:rsidRPr="00025134" w:rsidP="00025134" w14:paraId="3434093B" w14:textId="77777777">
      <w:pPr>
        <w:rPr>
          <w:rFonts w:ascii="Times New Roman" w:eastAsia="Times New Roman" w:hAnsi="Times New Roman"/>
          <w:sz w:val="24"/>
        </w:rPr>
      </w:pPr>
      <w:r w:rsidRPr="00025134">
        <w:rPr>
          <w:rFonts w:ascii="Times New Roman" w:eastAsia="Times New Roman" w:hAnsi="Times New Roman"/>
          <w:b/>
          <w:bCs/>
          <w:sz w:val="24"/>
        </w:rPr>
        <w:t xml:space="preserve">Comment 12.2-03: </w:t>
      </w:r>
      <w:r w:rsidRPr="00025134">
        <w:rPr>
          <w:rFonts w:ascii="Times New Roman" w:eastAsia="Times New Roman" w:hAnsi="Times New Roman"/>
          <w:sz w:val="24"/>
        </w:rPr>
        <w:t>Some commenters expressed concerns regarding the 10-year timeframe (0151, 0252, 0269, 0456). A couple</w:t>
      </w:r>
      <w:r w:rsidRPr="00025134">
        <w:rPr>
          <w:rFonts w:ascii="Times New Roman" w:eastAsia="Times New Roman" w:hAnsi="Times New Roman"/>
          <w:sz w:val="24"/>
        </w:rPr>
        <w:t xml:space="preserve"> </w:t>
      </w:r>
      <w:r w:rsidRPr="00025134">
        <w:rPr>
          <w:rFonts w:ascii="Times New Roman" w:eastAsia="Times New Roman" w:hAnsi="Times New Roman"/>
          <w:sz w:val="24"/>
        </w:rPr>
        <w:t>commenters suggested that EPA speed up compliance because 10 years is too long to wait for essential emergency planning, especially in communities with multiple RMP facilities (0252, 0269). One commenter noted that five- to 10-year deadlines allow more time than necessary to comply and would allow another generation of children to grow up without even the protection of a basic emergency response exercise at the facility near them (0456). Another commenter echoed that exercises should be conducted with LEPC every five years (0241).</w:t>
      </w:r>
    </w:p>
    <w:p w:rsidR="00025134" w:rsidRPr="00025134" w:rsidP="00025134" w14:paraId="4B52F17A" w14:textId="77777777">
      <w:pPr>
        <w:rPr>
          <w:rFonts w:ascii="Times New Roman" w:eastAsia="Times New Roman" w:hAnsi="Times New Roman"/>
          <w:sz w:val="24"/>
        </w:rPr>
      </w:pPr>
      <w:r w:rsidRPr="00025134">
        <w:rPr>
          <w:rFonts w:ascii="Times New Roman" w:eastAsia="Times New Roman" w:hAnsi="Times New Roman"/>
          <w:sz w:val="24"/>
        </w:rPr>
        <w:t>Many commenters noted that 10-year cycle is inadequate, given typical turn-over rates these days in workforces as well as of residents in communities (0151, 0158, 0185, 0203, 0216). One of the commenters recommended that each owner or operator must perform at least one emergency response exercise involving the regulated substance per calendar year whether all local emergency response agencies can participate (0185). Another commenter suggested that EPA adopt a requirement like New Jersey’s Toxic Catastrophe Prevention Act rules which require facilities to perform at least one annual full-scale emergency response exercise in which the emergency response team and emergency response containment, mitigation, and monitoring equipment are deployed at a strength appropriate to demonstrate the adequacy and implementation of the emergency response plan (0203). One commenter noted that there is potential for a 20-year employee to only have completed an emergency drill twice in their careers. The commenter urged that emergency response drills should be conducted annually at a minimum, noting that the community relies on the expertise of employees working in these hazardous facilities to keep them safe (0158).</w:t>
      </w:r>
    </w:p>
    <w:p w:rsidR="00025134" w:rsidRPr="00025134" w:rsidP="00025134" w14:paraId="4806B561" w14:textId="77777777">
      <w:pPr>
        <w:rPr>
          <w:rFonts w:ascii="Times New Roman" w:eastAsia="Times New Roman" w:hAnsi="Times New Roman"/>
          <w:sz w:val="24"/>
        </w:rPr>
      </w:pPr>
      <w:r w:rsidRPr="00025134">
        <w:rPr>
          <w:rFonts w:ascii="Times New Roman" w:eastAsia="Times New Roman" w:hAnsi="Times New Roman"/>
          <w:sz w:val="24"/>
        </w:rPr>
        <w:t>One commenter stated that EPA is required to set a compliance deadline no later than three years under 42 U.S.C. 7412(r)(7)(B) for the field exercise requirement (0460).</w:t>
      </w:r>
    </w:p>
    <w:p w:rsidR="00025134" w:rsidRPr="00025134" w:rsidP="00025134" w14:paraId="44691ED5" w14:textId="77777777">
      <w:pPr>
        <w:rPr>
          <w:rFonts w:ascii="Times New Roman" w:eastAsia="Times New Roman" w:hAnsi="Times New Roman"/>
          <w:sz w:val="24"/>
        </w:rPr>
      </w:pPr>
      <w:r w:rsidRPr="00025134">
        <w:rPr>
          <w:rFonts w:ascii="Times New Roman" w:eastAsia="Times New Roman" w:hAnsi="Times New Roman"/>
          <w:sz w:val="24"/>
        </w:rPr>
        <w:t>A couple of commenters recommended that exercises should be conducted at all RMP-regulated facilities annually; the commenter asserted that there is nothing in the record to indicate that a facility would require more time (0270, 0460).</w:t>
      </w:r>
    </w:p>
    <w:p w:rsidR="00025134" w:rsidRPr="00025134" w:rsidP="00025134" w14:paraId="0FD0ADFE" w14:textId="77777777">
      <w:pPr>
        <w:rPr>
          <w:rFonts w:ascii="Times New Roman" w:hAnsi="Times New Roman"/>
          <w:bCs/>
          <w:sz w:val="24"/>
        </w:rPr>
      </w:pPr>
      <w:r w:rsidRPr="00025134">
        <w:rPr>
          <w:rFonts w:ascii="Times New Roman" w:hAnsi="Times New Roman"/>
          <w:sz w:val="24"/>
        </w:rPr>
        <w:t xml:space="preserve">One commenter recommended the following revisions to 40 CFR 68.96(i) (0241): </w:t>
      </w:r>
      <w:r w:rsidRPr="00025134">
        <w:rPr>
          <w:rFonts w:ascii="Times New Roman" w:hAnsi="Times New Roman"/>
          <w:i/>
          <w:sz w:val="24"/>
        </w:rPr>
        <w:t>Local emergency response agencies may require more frequent exercises if facility conditions indicate an increased risk of accidental release or if community conditions are such that an accidental release may result in significant impacts to life and/or property.</w:t>
      </w:r>
    </w:p>
    <w:p w:rsidR="004D4024" w:rsidP="004D4024" w14:paraId="0D18B522" w14:textId="4456C605">
      <w:pPr>
        <w:ind w:left="726" w:right="51"/>
        <w:rPr>
          <w:rFonts w:ascii="Times New Roman" w:eastAsia="Times New Roman" w:hAnsi="Times New Roman"/>
          <w:sz w:val="24"/>
        </w:rPr>
      </w:pPr>
      <w:r w:rsidRPr="00025134">
        <w:rPr>
          <w:rFonts w:ascii="Times New Roman" w:eastAsia="Times New Roman" w:hAnsi="Times New Roman"/>
          <w:b/>
          <w:bCs/>
          <w:sz w:val="24"/>
        </w:rPr>
        <w:t xml:space="preserve">EPA Response: </w:t>
      </w:r>
      <w:r w:rsidRPr="004D4024">
        <w:rPr>
          <w:rFonts w:ascii="Times New Roman" w:eastAsia="Times New Roman" w:hAnsi="Times New Roman"/>
          <w:sz w:val="24"/>
        </w:rPr>
        <w:t xml:space="preserve">EPA disagrees that field exercises should be required on an annual, biennial, triennial </w:t>
      </w:r>
      <w:r w:rsidR="00C21E74">
        <w:rPr>
          <w:rFonts w:ascii="Times New Roman" w:eastAsia="Times New Roman" w:hAnsi="Times New Roman"/>
          <w:sz w:val="24"/>
        </w:rPr>
        <w:t>or q</w:t>
      </w:r>
      <w:r w:rsidRPr="00C21E74" w:rsidR="00C21E74">
        <w:rPr>
          <w:rFonts w:ascii="Times New Roman" w:eastAsia="Times New Roman" w:hAnsi="Times New Roman"/>
          <w:sz w:val="24"/>
        </w:rPr>
        <w:t>uinquennial</w:t>
      </w:r>
      <w:r w:rsidR="00C21E74">
        <w:rPr>
          <w:rFonts w:ascii="Times New Roman" w:eastAsia="Times New Roman" w:hAnsi="Times New Roman"/>
          <w:sz w:val="24"/>
        </w:rPr>
        <w:t xml:space="preserve"> </w:t>
      </w:r>
      <w:r w:rsidRPr="004D4024">
        <w:rPr>
          <w:rFonts w:ascii="Times New Roman" w:eastAsia="Times New Roman" w:hAnsi="Times New Roman"/>
          <w:sz w:val="24"/>
        </w:rPr>
        <w:t xml:space="preserve">basis. Requiring field exercises to be held at shorter minimum frequencies, such as these would significantly increase compliance costs to both regulated facilities and local responder agencies. Such an approach would discourage the participation of local emergency responders in field exercises, which is voluntary under the RMP rule. Additionally, table-top exercises of the emergency plan have value for protecting the nearby community, and these occur every three years. The community would not be without a type of “basic emergency response exercise.” </w:t>
      </w:r>
      <w:r w:rsidRPr="004D4024">
        <w:rPr>
          <w:rFonts w:ascii="Times New Roman" w:eastAsia="Times New Roman" w:hAnsi="Times New Roman"/>
          <w:sz w:val="24"/>
        </w:rPr>
        <w:t>Therefore, EPA is finalizing the compliance date for owners or operators of sources to have planned, scheduled, and conducted their first field exercise by March 15, 2027.</w:t>
      </w:r>
    </w:p>
    <w:p w:rsidR="004D4024" w:rsidP="00AB356B" w14:paraId="2916ACCC" w14:textId="2FDB6C05">
      <w:pPr>
        <w:ind w:left="726" w:right="51"/>
        <w:rPr>
          <w:rFonts w:ascii="Times New Roman" w:eastAsia="Times New Roman" w:hAnsi="Times New Roman"/>
          <w:sz w:val="24"/>
        </w:rPr>
      </w:pPr>
      <w:r>
        <w:rPr>
          <w:rFonts w:ascii="Times New Roman" w:eastAsia="Times New Roman" w:hAnsi="Times New Roman"/>
          <w:sz w:val="24"/>
        </w:rPr>
        <w:t xml:space="preserve">Further, </w:t>
      </w:r>
      <w:r w:rsidRPr="00890DDB">
        <w:rPr>
          <w:rFonts w:ascii="Times New Roman" w:eastAsia="Times New Roman" w:hAnsi="Times New Roman"/>
          <w:sz w:val="24"/>
        </w:rPr>
        <w:t xml:space="preserve">EPA </w:t>
      </w:r>
      <w:r>
        <w:rPr>
          <w:rFonts w:ascii="Times New Roman" w:eastAsia="Times New Roman" w:hAnsi="Times New Roman"/>
          <w:sz w:val="24"/>
        </w:rPr>
        <w:t xml:space="preserve">acknowledges </w:t>
      </w:r>
      <w:r w:rsidRPr="00890DDB">
        <w:rPr>
          <w:rFonts w:ascii="Times New Roman" w:eastAsia="Times New Roman" w:hAnsi="Times New Roman"/>
          <w:sz w:val="24"/>
        </w:rPr>
        <w:t>the varying capabilities of LEPCs and responding agencies and believes the approach the Agency offers supports those</w:t>
      </w:r>
      <w:r w:rsidR="00B57D34">
        <w:rPr>
          <w:rFonts w:ascii="Times New Roman" w:eastAsia="Times New Roman" w:hAnsi="Times New Roman"/>
          <w:sz w:val="24"/>
        </w:rPr>
        <w:t xml:space="preserve"> differences</w:t>
      </w:r>
      <w:r w:rsidRPr="00890DDB">
        <w:rPr>
          <w:rFonts w:ascii="Times New Roman" w:eastAsia="Times New Roman" w:hAnsi="Times New Roman"/>
          <w:sz w:val="24"/>
        </w:rPr>
        <w:t>. The Agency believes the frequency exemption provided, which allows facilities and communities that do not have resources to complete field exercises every 10 years to work together to determine a lesser frequency, is more useful than the Agency being more prescriptive about when the frequency does not apply. EPA believes various communities have different concerns as to why they would need to conduct field exercises less frequently and therefore does not expect a one-size fits all approach to be appropriate in accommodating those various circumstances. Additionally, EPA understands that there may be cases where local emergency response agencies are unable or unwilling to coordinate with a regulated facility on exercise frequencies. In such cases, the owner or operator may establish appropriate exercise frequencies and plans on their own, provided they meet the minimum requirements set forth in 40 CFR 68.96. The final rule will not specifically require the owner or operator to document unsuccessful coordination attempts, but EPA believes it will be in the owner or operator’s best interest to do so and allow the owner or operator to demonstrate their good faith efforts for consultation in the event that an implementing agency requests this information.</w:t>
      </w:r>
    </w:p>
    <w:p w:rsidR="00025134" w:rsidRPr="00025134" w:rsidP="007D28DE" w14:paraId="6433EB32" w14:textId="20C1E374">
      <w:pPr>
        <w:ind w:right="51"/>
        <w:rPr>
          <w:rFonts w:ascii="Times New Roman" w:eastAsia="Times New Roman" w:hAnsi="Times New Roman"/>
          <w:sz w:val="24"/>
        </w:rPr>
      </w:pPr>
      <w:r w:rsidRPr="00025134">
        <w:rPr>
          <w:rFonts w:ascii="Times New Roman" w:eastAsia="Times New Roman" w:hAnsi="Times New Roman"/>
          <w:b/>
          <w:bCs/>
          <w:sz w:val="24"/>
        </w:rPr>
        <w:t xml:space="preserve">Comment 12.2-04: </w:t>
      </w:r>
      <w:r w:rsidRPr="00025134">
        <w:rPr>
          <w:rFonts w:ascii="Times New Roman" w:eastAsia="Times New Roman" w:hAnsi="Times New Roman"/>
          <w:sz w:val="24"/>
        </w:rPr>
        <w:t>A few commenters expressed concerns regarding the proposed requirement for State and Federal approval of a change in frequency. The commenters noted that it would be inappropriate for EPA to provide Federal and State officials veto power over scheduling an exercise for which they have no required role (0253, 0268, 0272). One of the commenters recommended that EPA remove the reference to Federal and State agencies, to clarify that RMP facilities do not need to obtain approval from Federal or</w:t>
      </w:r>
      <w:r w:rsidRPr="00025134">
        <w:rPr>
          <w:rFonts w:ascii="Times New Roman" w:eastAsia="Times New Roman" w:hAnsi="Times New Roman"/>
          <w:sz w:val="24"/>
        </w:rPr>
        <w:t xml:space="preserve"> </w:t>
      </w:r>
      <w:r w:rsidRPr="00025134">
        <w:rPr>
          <w:rFonts w:ascii="Times New Roman" w:eastAsia="Times New Roman" w:hAnsi="Times New Roman"/>
          <w:sz w:val="24"/>
        </w:rPr>
        <w:t>State agencies if the local emergency responders have identified the frequency of an exercise is impractical (0268).</w:t>
      </w:r>
    </w:p>
    <w:p w:rsidR="00025134" w:rsidRPr="00025134" w:rsidP="00025134" w14:paraId="36D2C012" w14:textId="77777777">
      <w:pPr>
        <w:rPr>
          <w:rFonts w:ascii="Times New Roman" w:eastAsia="Times New Roman" w:hAnsi="Times New Roman"/>
          <w:sz w:val="24"/>
        </w:rPr>
      </w:pPr>
      <w:r w:rsidRPr="00025134">
        <w:rPr>
          <w:rFonts w:ascii="Times New Roman" w:eastAsia="Times New Roman" w:hAnsi="Times New Roman"/>
          <w:sz w:val="24"/>
        </w:rPr>
        <w:t>One commenter suggested that the proposed</w:t>
      </w:r>
      <w:r w:rsidRPr="00025134">
        <w:rPr>
          <w:rFonts w:ascii="Times New Roman" w:eastAsia="Times New Roman" w:hAnsi="Times New Roman"/>
          <w:sz w:val="24"/>
        </w:rPr>
        <w:t xml:space="preserve"> </w:t>
      </w:r>
      <w:r w:rsidRPr="00025134">
        <w:rPr>
          <w:rFonts w:ascii="Times New Roman" w:eastAsia="Times New Roman" w:hAnsi="Times New Roman"/>
          <w:sz w:val="24"/>
        </w:rPr>
        <w:t>rule should allow the frequency to be established in coordination with local emergency response officials, as opposed to allowing that as an exception (0253).</w:t>
      </w:r>
    </w:p>
    <w:p w:rsidR="004014BB" w:rsidRPr="00025134" w:rsidP="00025134" w14:paraId="64B56108" w14:textId="4BDBF075">
      <w:pPr>
        <w:rPr>
          <w:rFonts w:ascii="Times New Roman" w:eastAsia="Times New Roman" w:hAnsi="Times New Roman"/>
          <w:sz w:val="24"/>
        </w:rPr>
      </w:pPr>
      <w:r w:rsidRPr="00025134">
        <w:rPr>
          <w:rFonts w:ascii="Times New Roman" w:hAnsi="Times New Roman"/>
          <w:sz w:val="24"/>
        </w:rPr>
        <w:t xml:space="preserve">A few commenters suggested revisions to the proposed regulatory text in 40 CFR 68.96(b)(1)(i) </w:t>
      </w:r>
      <w:r w:rsidRPr="00FB4A20" w:rsidR="00FB4A20">
        <w:rPr>
          <w:rFonts w:ascii="Times New Roman" w:hAnsi="Times New Roman"/>
          <w:sz w:val="24"/>
        </w:rPr>
        <w:t xml:space="preserve">such as </w:t>
      </w:r>
      <w:r w:rsidRPr="008208FB" w:rsidR="00874021">
        <w:rPr>
          <w:rStyle w:val="CommentReference"/>
          <w:rFonts w:ascii="Times New Roman" w:hAnsi="Times New Roman"/>
          <w:sz w:val="24"/>
          <w:szCs w:val="24"/>
        </w:rPr>
        <w:t xml:space="preserve">removing </w:t>
      </w:r>
      <w:r w:rsidRPr="008208FB" w:rsidR="00FB4A20">
        <w:rPr>
          <w:rStyle w:val="CommentReference"/>
          <w:rFonts w:ascii="Times New Roman" w:hAnsi="Times New Roman"/>
          <w:sz w:val="24"/>
          <w:szCs w:val="24"/>
        </w:rPr>
        <w:t xml:space="preserve">the </w:t>
      </w:r>
      <w:r w:rsidRPr="008208FB" w:rsidR="00874021">
        <w:rPr>
          <w:rStyle w:val="CommentReference"/>
          <w:rFonts w:ascii="Times New Roman" w:hAnsi="Times New Roman"/>
          <w:sz w:val="24"/>
          <w:szCs w:val="24"/>
        </w:rPr>
        <w:t>consultation with Federal and State agencies</w:t>
      </w:r>
      <w:r w:rsidRPr="008208FB" w:rsidR="00FB4A20">
        <w:rPr>
          <w:rStyle w:val="CommentReference"/>
          <w:rFonts w:ascii="Times New Roman" w:hAnsi="Times New Roman"/>
          <w:sz w:val="24"/>
          <w:szCs w:val="24"/>
        </w:rPr>
        <w:t xml:space="preserve"> and written confirmation requirements</w:t>
      </w:r>
      <w:r w:rsidR="001F7047">
        <w:rPr>
          <w:rStyle w:val="CommentReference"/>
          <w:rFonts w:ascii="Times New Roman" w:hAnsi="Times New Roman"/>
          <w:sz w:val="24"/>
          <w:szCs w:val="24"/>
        </w:rPr>
        <w:t xml:space="preserve"> </w:t>
      </w:r>
      <w:r w:rsidRPr="00025134">
        <w:rPr>
          <w:rFonts w:ascii="Times New Roman" w:hAnsi="Times New Roman"/>
          <w:sz w:val="24"/>
        </w:rPr>
        <w:t>(0229, 0232)</w:t>
      </w:r>
      <w:r>
        <w:rPr>
          <w:rFonts w:ascii="Times New Roman" w:hAnsi="Times New Roman"/>
          <w:sz w:val="24"/>
        </w:rPr>
        <w:t>.</w:t>
      </w:r>
    </w:p>
    <w:p w:rsidR="00025134" w:rsidRPr="00025134" w:rsidP="00025134" w14:paraId="4E1F4363" w14:textId="7B966335">
      <w:pPr>
        <w:ind w:left="720"/>
        <w:rPr>
          <w:rFonts w:ascii="Times New Roman" w:eastAsia="Times New Roman" w:hAnsi="Times New Roman"/>
          <w:sz w:val="24"/>
        </w:rPr>
      </w:pPr>
      <w:r w:rsidRPr="00025134">
        <w:rPr>
          <w:rFonts w:ascii="Times New Roman" w:eastAsia="Times New Roman" w:hAnsi="Times New Roman"/>
          <w:b/>
          <w:bCs/>
          <w:sz w:val="24"/>
        </w:rPr>
        <w:t xml:space="preserve">EPA Response: </w:t>
      </w:r>
      <w:r w:rsidRPr="00025134">
        <w:rPr>
          <w:rFonts w:ascii="Times New Roman" w:eastAsia="Times New Roman" w:hAnsi="Times New Roman"/>
          <w:sz w:val="24"/>
        </w:rPr>
        <w:t xml:space="preserve">In response to comments that EPA should remove the reference to consultation with Federal and State agencies when developing field exercise frequencies, EPA </w:t>
      </w:r>
      <w:r w:rsidR="001F7047">
        <w:rPr>
          <w:rFonts w:ascii="Times New Roman" w:eastAsia="Times New Roman" w:hAnsi="Times New Roman"/>
          <w:sz w:val="24"/>
        </w:rPr>
        <w:t xml:space="preserve">agrees and </w:t>
      </w:r>
      <w:r w:rsidRPr="00025134">
        <w:rPr>
          <w:rFonts w:ascii="Times New Roman" w:eastAsia="Times New Roman" w:hAnsi="Times New Roman"/>
          <w:sz w:val="24"/>
        </w:rPr>
        <w:t xml:space="preserve">has amended the language to reflect that the consultation required for this provision need only be with local emergency responding agencies. EPA acknowledges that the emergency response exercise program provisions under 40 CFR 68.96(b), only require coordination with local public emergency response officials, and wants to remain consistent with activities that most likely will occur on the local level. </w:t>
      </w:r>
    </w:p>
    <w:p w:rsidR="00025134" w:rsidRPr="00025134" w:rsidP="00025134" w14:paraId="2069066E" w14:textId="56895ED8">
      <w:pPr>
        <w:ind w:left="720"/>
        <w:rPr>
          <w:rFonts w:ascii="Times New Roman" w:eastAsia="Times New Roman" w:hAnsi="Times New Roman"/>
          <w:sz w:val="24"/>
          <w:u w:val="single"/>
        </w:rPr>
      </w:pPr>
      <w:r w:rsidRPr="00025134">
        <w:rPr>
          <w:rFonts w:ascii="Times New Roman" w:eastAsia="Times New Roman" w:hAnsi="Times New Roman"/>
          <w:sz w:val="24"/>
        </w:rPr>
        <w:t>Therefore, EPA is finalizing the requirement for facility owners and operators to coordinate with local emergency response officials to establish an appropriate frequency for field exercises at a minimum at least once every ten years unless the appropriate local emergency response agencies agree in writing that such frequency is impractical</w:t>
      </w:r>
      <w:r w:rsidR="00A718C2">
        <w:rPr>
          <w:rFonts w:ascii="Times New Roman" w:eastAsia="Times New Roman" w:hAnsi="Times New Roman"/>
          <w:sz w:val="24"/>
        </w:rPr>
        <w:t xml:space="preserve"> to</w:t>
      </w:r>
      <w:r w:rsidR="000B3E50">
        <w:rPr>
          <w:rFonts w:ascii="Times New Roman" w:eastAsia="Times New Roman" w:hAnsi="Times New Roman"/>
          <w:sz w:val="24"/>
        </w:rPr>
        <w:t xml:space="preserve"> </w:t>
      </w:r>
      <w:r w:rsidR="000B3E50">
        <w:rPr>
          <w:rFonts w:ascii="Times New Roman" w:eastAsia="Times New Roman" w:hAnsi="Times New Roman"/>
          <w:sz w:val="24"/>
        </w:rPr>
        <w:t>docu</w:t>
      </w:r>
      <w:r w:rsidR="008208FB">
        <w:rPr>
          <w:rFonts w:ascii="Times New Roman" w:eastAsia="Times New Roman" w:hAnsi="Times New Roman"/>
          <w:sz w:val="24"/>
        </w:rPr>
        <w:t>ment the consensus</w:t>
      </w:r>
      <w:r w:rsidRPr="00025134">
        <w:rPr>
          <w:rFonts w:ascii="Times New Roman" w:eastAsia="Times New Roman" w:hAnsi="Times New Roman"/>
          <w:sz w:val="24"/>
        </w:rPr>
        <w:t>. EPA is not finalizing the requirement for federal and state agencies to be consulted when coordinating the 10-year (or other determined) frequency.</w:t>
      </w:r>
      <w:r w:rsidRPr="00025134">
        <w:rPr>
          <w:rFonts w:ascii="Times New Roman" w:eastAsia="Times New Roman" w:hAnsi="Times New Roman"/>
          <w:sz w:val="24"/>
          <w:u w:val="single"/>
        </w:rPr>
        <w:t xml:space="preserve"> </w:t>
      </w:r>
    </w:p>
    <w:p w:rsidR="00025134" w:rsidRPr="00025134" w:rsidP="00025134" w14:paraId="78287F27" w14:textId="77777777">
      <w:pPr>
        <w:rPr>
          <w:bCs/>
        </w:rPr>
      </w:pPr>
      <w:r w:rsidRPr="00025134">
        <w:rPr>
          <w:rFonts w:ascii="Times New Roman" w:eastAsia="Times New Roman" w:hAnsi="Times New Roman"/>
          <w:b/>
          <w:bCs/>
          <w:sz w:val="24"/>
        </w:rPr>
        <w:t xml:space="preserve">Comment 12.2-05: </w:t>
      </w:r>
      <w:r w:rsidRPr="00025134">
        <w:rPr>
          <w:rFonts w:ascii="Times New Roman" w:eastAsia="Times New Roman" w:hAnsi="Times New Roman"/>
          <w:sz w:val="24"/>
        </w:rPr>
        <w:t>One commenter stated that</w:t>
      </w:r>
      <w:r w:rsidRPr="00025134">
        <w:rPr>
          <w:rFonts w:ascii="Times New Roman" w:eastAsia="Times New Roman" w:hAnsi="Times New Roman"/>
          <w:bCs/>
          <w:sz w:val="24"/>
        </w:rPr>
        <w:t xml:space="preserve"> </w:t>
      </w:r>
      <w:r w:rsidRPr="00025134">
        <w:rPr>
          <w:rFonts w:ascii="Times New Roman" w:eastAsia="Times New Roman" w:hAnsi="Times New Roman"/>
          <w:sz w:val="24"/>
        </w:rPr>
        <w:t xml:space="preserve">the proposed field exercise requirements do not comply </w:t>
      </w:r>
      <w:r w:rsidRPr="00025134">
        <w:rPr>
          <w:rFonts w:ascii="Times New Roman" w:eastAsia="Times New Roman" w:hAnsi="Times New Roman"/>
          <w:bCs/>
          <w:sz w:val="24"/>
        </w:rPr>
        <w:t xml:space="preserve">with the reasonableness and practicability standards set forth in Section 112(r)(7), asserting that </w:t>
      </w:r>
      <w:r w:rsidRPr="00025134">
        <w:rPr>
          <w:rFonts w:ascii="Times New Roman" w:eastAsia="Times New Roman" w:hAnsi="Times New Roman"/>
          <w:sz w:val="24"/>
        </w:rPr>
        <w:t xml:space="preserve">in the 2019 RMP Reconsideration Rule, the Agency found this requirement would be impracticable because of the burden it would impose on many local emergency response organizations (0233). </w:t>
      </w:r>
    </w:p>
    <w:p w:rsidR="006C4101" w:rsidP="00245E92" w14:paraId="3779293B" w14:textId="244F3F4B">
      <w:pPr>
        <w:ind w:left="720"/>
        <w:rPr>
          <w:rFonts w:ascii="Times New Roman" w:eastAsia="Times New Roman" w:hAnsi="Times New Roman"/>
          <w:sz w:val="24"/>
        </w:rPr>
      </w:pPr>
      <w:r w:rsidRPr="007579AC">
        <w:rPr>
          <w:rFonts w:ascii="Times New Roman" w:eastAsia="Times New Roman" w:hAnsi="Times New Roman"/>
          <w:b/>
          <w:bCs/>
          <w:sz w:val="24"/>
        </w:rPr>
        <w:t xml:space="preserve">EPA Response: </w:t>
      </w:r>
      <w:r w:rsidRPr="007579AC" w:rsidR="009D3F15">
        <w:rPr>
          <w:rFonts w:ascii="Times New Roman" w:eastAsia="Times New Roman" w:hAnsi="Times New Roman"/>
          <w:sz w:val="24"/>
        </w:rPr>
        <w:t xml:space="preserve">EPA disagrees with comments that </w:t>
      </w:r>
      <w:r w:rsidRPr="007579AC" w:rsidR="008509BF">
        <w:rPr>
          <w:rFonts w:ascii="Times New Roman" w:eastAsia="Times New Roman" w:hAnsi="Times New Roman"/>
          <w:sz w:val="24"/>
        </w:rPr>
        <w:t xml:space="preserve">field exercise requirements do not comply with the </w:t>
      </w:r>
      <w:bookmarkStart w:id="144" w:name="_Hlk147308834"/>
      <w:r w:rsidRPr="007579AC" w:rsidR="008509BF">
        <w:rPr>
          <w:rFonts w:ascii="Times New Roman" w:eastAsia="Times New Roman" w:hAnsi="Times New Roman"/>
          <w:sz w:val="24"/>
        </w:rPr>
        <w:t>reasonableness</w:t>
      </w:r>
      <w:r w:rsidRPr="007F0449" w:rsidR="008509BF">
        <w:rPr>
          <w:rFonts w:ascii="Times New Roman" w:eastAsia="Times New Roman" w:hAnsi="Times New Roman"/>
          <w:sz w:val="24"/>
        </w:rPr>
        <w:t xml:space="preserve"> and practicability standards</w:t>
      </w:r>
      <w:bookmarkEnd w:id="144"/>
      <w:r w:rsidRPr="007F0449" w:rsidR="008509BF">
        <w:rPr>
          <w:rFonts w:ascii="Times New Roman" w:eastAsia="Times New Roman" w:hAnsi="Times New Roman"/>
          <w:sz w:val="24"/>
        </w:rPr>
        <w:t xml:space="preserve"> set forth in Section 112(r)(7)</w:t>
      </w:r>
      <w:r w:rsidRPr="007F0449" w:rsidR="00C35267">
        <w:rPr>
          <w:rFonts w:ascii="Times New Roman" w:eastAsia="Times New Roman" w:hAnsi="Times New Roman"/>
          <w:sz w:val="24"/>
        </w:rPr>
        <w:t xml:space="preserve">. EPA acknowledges </w:t>
      </w:r>
      <w:r w:rsidRPr="007F0449" w:rsidR="009D3F15">
        <w:rPr>
          <w:rFonts w:ascii="Times New Roman" w:eastAsia="Times New Roman" w:hAnsi="Times New Roman"/>
          <w:sz w:val="24"/>
        </w:rPr>
        <w:t>the varying capabilities of LEPCs and responding agencies and believes the approach the Agency offers</w:t>
      </w:r>
      <w:r w:rsidR="00801740">
        <w:rPr>
          <w:rFonts w:ascii="Times New Roman" w:eastAsia="Times New Roman" w:hAnsi="Times New Roman"/>
          <w:sz w:val="24"/>
        </w:rPr>
        <w:t xml:space="preserve"> in this final rule</w:t>
      </w:r>
      <w:r w:rsidRPr="007F0449" w:rsidR="009D3F15">
        <w:rPr>
          <w:rFonts w:ascii="Times New Roman" w:eastAsia="Times New Roman" w:hAnsi="Times New Roman"/>
          <w:sz w:val="24"/>
        </w:rPr>
        <w:t xml:space="preserve"> </w:t>
      </w:r>
      <w:r w:rsidR="00801740">
        <w:rPr>
          <w:rFonts w:ascii="Times New Roman" w:eastAsia="Times New Roman" w:hAnsi="Times New Roman"/>
          <w:sz w:val="24"/>
        </w:rPr>
        <w:t>is reasonable and practicable</w:t>
      </w:r>
      <w:r w:rsidRPr="007F0449" w:rsidR="009D3F15">
        <w:rPr>
          <w:rFonts w:ascii="Times New Roman" w:eastAsia="Times New Roman" w:hAnsi="Times New Roman"/>
          <w:sz w:val="24"/>
        </w:rPr>
        <w:t xml:space="preserve">. </w:t>
      </w:r>
      <w:r>
        <w:rPr>
          <w:rFonts w:ascii="Times New Roman" w:eastAsia="Times New Roman" w:hAnsi="Times New Roman"/>
          <w:sz w:val="24"/>
        </w:rPr>
        <w:t>For example,</w:t>
      </w:r>
      <w:r w:rsidRPr="007F0449" w:rsidR="009D3F15">
        <w:rPr>
          <w:rFonts w:ascii="Times New Roman" w:eastAsia="Times New Roman" w:hAnsi="Times New Roman"/>
          <w:sz w:val="24"/>
        </w:rPr>
        <w:t xml:space="preserve"> EPA </w:t>
      </w:r>
      <w:r>
        <w:rPr>
          <w:rFonts w:ascii="Times New Roman" w:eastAsia="Times New Roman" w:hAnsi="Times New Roman"/>
          <w:sz w:val="24"/>
        </w:rPr>
        <w:t>acknowledges that</w:t>
      </w:r>
      <w:r w:rsidRPr="007F0449" w:rsidR="009D3F15">
        <w:rPr>
          <w:rFonts w:ascii="Times New Roman" w:eastAsia="Times New Roman" w:hAnsi="Times New Roman"/>
          <w:sz w:val="24"/>
        </w:rPr>
        <w:t xml:space="preserve"> various communities have different concerns as to why they would need to conduct field exercises less frequently and therefore does not expect a one-size fits all approach to be appropriate in accommodating those various circumstances. </w:t>
      </w:r>
      <w:r>
        <w:rPr>
          <w:rFonts w:ascii="Times New Roman" w:eastAsia="Times New Roman" w:hAnsi="Times New Roman"/>
          <w:sz w:val="24"/>
        </w:rPr>
        <w:t xml:space="preserve">Therefore, in the final rule, EPA included a </w:t>
      </w:r>
      <w:r w:rsidRPr="007F0449">
        <w:rPr>
          <w:rFonts w:ascii="Times New Roman" w:eastAsia="Times New Roman" w:hAnsi="Times New Roman"/>
          <w:sz w:val="24"/>
        </w:rPr>
        <w:t>frequency exemption, which allows facilities and communities that do not have resources to complete field exercises every 10 years to work together to determine a lesser frequency</w:t>
      </w:r>
      <w:r>
        <w:rPr>
          <w:rFonts w:ascii="Times New Roman" w:eastAsia="Times New Roman" w:hAnsi="Times New Roman"/>
          <w:sz w:val="24"/>
        </w:rPr>
        <w:t>.</w:t>
      </w:r>
      <w:r w:rsidRPr="007F0449">
        <w:rPr>
          <w:rFonts w:ascii="Times New Roman" w:eastAsia="Times New Roman" w:hAnsi="Times New Roman"/>
          <w:sz w:val="24"/>
        </w:rPr>
        <w:t xml:space="preserve"> </w:t>
      </w:r>
    </w:p>
    <w:p w:rsidR="006B394D" w:rsidRPr="00025134" w:rsidP="00245E92" w14:paraId="6DB26754" w14:textId="47E5018C">
      <w:pPr>
        <w:ind w:left="720"/>
        <w:rPr>
          <w:rFonts w:ascii="Times New Roman" w:hAnsi="Times New Roman"/>
          <w:sz w:val="24"/>
        </w:rPr>
      </w:pPr>
      <w:r w:rsidRPr="007F0449">
        <w:rPr>
          <w:rFonts w:ascii="Times New Roman" w:eastAsia="Times New Roman" w:hAnsi="Times New Roman"/>
          <w:sz w:val="24"/>
        </w:rPr>
        <w:t>Additionally, EPA understands that there may be cases where local emergency response agencies are unable or unwilling to coordinate with a regulated facility on exercise frequencies. In such cases, the owner or operator may establish appropriate exercise frequencies and plans on their own, provided they meet the minimum requirements set forth in 40 CFR 68.96. The final rule will not specifically require the owner or operator to document unsuccessful coordination attempts, but EPA believes it will be in the owner or operator’s best interest to do so and allow the owner or operator to demonstrate their good faith efforts for consultation in the event that an implementing agency requests this information.</w:t>
      </w:r>
    </w:p>
    <w:p w:rsidR="00025134" w:rsidRPr="00025134" w:rsidP="00245E92" w14:paraId="5958EDB0" w14:textId="77777777">
      <w:pPr>
        <w:keepNext/>
        <w:keepLines/>
        <w:ind w:left="408" w:hanging="408"/>
        <w:outlineLvl w:val="1"/>
        <w:rPr>
          <w:rFonts w:ascii="Times New Roman" w:eastAsia="Times New Roman" w:hAnsi="Times New Roman"/>
          <w:b/>
          <w:bCs/>
          <w:sz w:val="24"/>
        </w:rPr>
      </w:pPr>
      <w:bookmarkStart w:id="145" w:name="_Toc146880034"/>
      <w:bookmarkStart w:id="146" w:name="_Toc153373823"/>
      <w:r w:rsidRPr="00025134">
        <w:rPr>
          <w:rFonts w:ascii="Times New Roman" w:eastAsia="Times New Roman" w:hAnsi="Times New Roman"/>
          <w:b/>
          <w:bCs/>
          <w:sz w:val="24"/>
        </w:rPr>
        <w:t>12.3</w:t>
      </w:r>
      <w:r w:rsidRPr="00025134">
        <w:rPr>
          <w:rFonts w:ascii="Times New Roman" w:eastAsia="Times New Roman" w:hAnsi="Times New Roman"/>
          <w:b/>
          <w:bCs/>
          <w:sz w:val="24"/>
        </w:rPr>
        <w:tab/>
        <w:t>Exercise evaluation reports</w:t>
      </w:r>
      <w:bookmarkEnd w:id="145"/>
      <w:bookmarkEnd w:id="146"/>
    </w:p>
    <w:p w:rsidR="00025134" w:rsidRPr="00025134" w:rsidP="00025134" w14:paraId="43A35F11" w14:textId="77777777">
      <w:pPr>
        <w:rPr>
          <w:rFonts w:ascii="Times New Roman" w:hAnsi="Times New Roman"/>
          <w:i/>
          <w:iCs/>
          <w:sz w:val="24"/>
        </w:rPr>
      </w:pPr>
      <w:r w:rsidRPr="00025134">
        <w:rPr>
          <w:rFonts w:ascii="Times New Roman" w:hAnsi="Times New Roman"/>
          <w:i/>
          <w:iCs/>
          <w:sz w:val="24"/>
        </w:rPr>
        <w:t>Support for exercise evaluation reports</w:t>
      </w:r>
    </w:p>
    <w:p w:rsidR="00025134" w:rsidRPr="00025134" w:rsidP="00025134" w14:paraId="6D82D8C1" w14:textId="77777777">
      <w:pPr>
        <w:rPr>
          <w:rFonts w:ascii="Times New Roman" w:hAnsi="Times New Roman"/>
          <w:sz w:val="24"/>
        </w:rPr>
      </w:pPr>
      <w:r w:rsidRPr="00025134">
        <w:rPr>
          <w:rFonts w:ascii="Times New Roman" w:hAnsi="Times New Roman"/>
          <w:b/>
          <w:bCs/>
          <w:sz w:val="24"/>
        </w:rPr>
        <w:t xml:space="preserve">Comment 12.3-01: </w:t>
      </w:r>
      <w:r w:rsidRPr="00025134">
        <w:rPr>
          <w:rFonts w:ascii="Times New Roman" w:hAnsi="Times New Roman"/>
          <w:sz w:val="24"/>
        </w:rPr>
        <w:t xml:space="preserve">Several commenters expressed their support for the requirement that the current recommended field and tabletop exercise evaluation report components be mandatory (0181, 0252, 0262, 0269, 0275, 0444). </w:t>
      </w:r>
    </w:p>
    <w:p w:rsidR="00025134" w:rsidRPr="00025134" w:rsidP="00025134" w14:paraId="4FC24C30" w14:textId="77777777">
      <w:pPr>
        <w:ind w:left="720"/>
        <w:rPr>
          <w:rFonts w:ascii="Times New Roman" w:hAnsi="Times New Roman"/>
          <w:sz w:val="24"/>
        </w:rPr>
      </w:pPr>
      <w:r w:rsidRPr="00025134">
        <w:rPr>
          <w:rFonts w:ascii="Times New Roman" w:hAnsi="Times New Roman"/>
          <w:b/>
          <w:bCs/>
          <w:sz w:val="24"/>
        </w:rPr>
        <w:t xml:space="preserve">EPA Response: </w:t>
      </w:r>
      <w:r w:rsidRPr="00025134">
        <w:rPr>
          <w:rFonts w:ascii="Times New Roman" w:hAnsi="Times New Roman"/>
          <w:sz w:val="24"/>
        </w:rPr>
        <w:t>EPA appreciates the commenters’ support.</w:t>
      </w:r>
    </w:p>
    <w:p w:rsidR="00025134" w:rsidRPr="00025134" w:rsidP="00025134" w14:paraId="6BF1B2D0" w14:textId="77777777">
      <w:pPr>
        <w:rPr>
          <w:rFonts w:ascii="Times New Roman" w:hAnsi="Times New Roman"/>
          <w:i/>
          <w:iCs/>
          <w:sz w:val="24"/>
        </w:rPr>
      </w:pPr>
      <w:r w:rsidRPr="00025134">
        <w:rPr>
          <w:rFonts w:ascii="Times New Roman" w:hAnsi="Times New Roman"/>
          <w:i/>
          <w:iCs/>
          <w:sz w:val="24"/>
        </w:rPr>
        <w:t>Opposition to exercise evaluation reports</w:t>
      </w:r>
    </w:p>
    <w:p w:rsidR="00025134" w:rsidRPr="00025134" w:rsidP="00025134" w14:paraId="3265CC8D" w14:textId="77777777">
      <w:pPr>
        <w:rPr>
          <w:rFonts w:ascii="Times New Roman" w:hAnsi="Times New Roman"/>
          <w:sz w:val="24"/>
        </w:rPr>
      </w:pPr>
      <w:r w:rsidRPr="00025134">
        <w:rPr>
          <w:rFonts w:ascii="Times New Roman" w:hAnsi="Times New Roman"/>
          <w:b/>
          <w:bCs/>
          <w:sz w:val="24"/>
        </w:rPr>
        <w:t xml:space="preserve">Comment 12.3-02: </w:t>
      </w:r>
      <w:r w:rsidRPr="00025134">
        <w:rPr>
          <w:rFonts w:ascii="Times New Roman" w:hAnsi="Times New Roman"/>
          <w:sz w:val="24"/>
        </w:rPr>
        <w:t xml:space="preserve">A couple </w:t>
      </w:r>
      <w:r w:rsidRPr="00025134">
        <w:rPr>
          <w:rFonts w:ascii="Times New Roman" w:hAnsi="Times New Roman"/>
          <w:sz w:val="24"/>
        </w:rPr>
        <w:t xml:space="preserve">of </w:t>
      </w:r>
      <w:r w:rsidRPr="00025134">
        <w:rPr>
          <w:rFonts w:ascii="Times New Roman" w:hAnsi="Times New Roman"/>
          <w:sz w:val="24"/>
        </w:rPr>
        <w:t>commenters expressed concerns about the burden of submitting exercise evaluation reports (0197, 0268). Another commenter recommended that EPA should make the reports simple and easy to generate because facilities that conduct exercises more frequently than every 10 years should not be penalized with more administrative paperwork and required to submit an overly burdensome and lengthy report each time (0197).</w:t>
      </w:r>
    </w:p>
    <w:p w:rsidR="00025134" w:rsidRPr="00025134" w:rsidP="00025134" w14:paraId="066501C9" w14:textId="77777777">
      <w:pPr>
        <w:ind w:left="720"/>
        <w:rPr>
          <w:rFonts w:ascii="Times New Roman" w:hAnsi="Times New Roman"/>
          <w:b/>
          <w:bCs/>
          <w:sz w:val="24"/>
        </w:rPr>
      </w:pPr>
      <w:r w:rsidRPr="00025134">
        <w:rPr>
          <w:rFonts w:ascii="Times New Roman" w:hAnsi="Times New Roman"/>
          <w:b/>
          <w:bCs/>
          <w:sz w:val="24"/>
        </w:rPr>
        <w:t xml:space="preserve">EPA Response: </w:t>
      </w:r>
      <w:r w:rsidRPr="00025134">
        <w:rPr>
          <w:rFonts w:ascii="Times New Roman" w:hAnsi="Times New Roman"/>
          <w:sz w:val="24"/>
        </w:rPr>
        <w:t xml:space="preserve">EPA disagrees that the requirement of this provision—to make the scope and documentation requirements of the exercise evaluation report mandatory—is overly burdensome. While the elements of the evaluation report were not previously mandatory, there was already a requirement to develop a report. In most cases, for those previously </w:t>
      </w:r>
      <w:r w:rsidRPr="00025134">
        <w:rPr>
          <w:rFonts w:ascii="Times New Roman" w:hAnsi="Times New Roman"/>
          <w:sz w:val="24"/>
        </w:rPr>
        <w:t>voluntary report elements, particularly lessons learned and recommendations for improvement, EPA had expected these to be included in the report, as they are advantageous in assuring that over time emergency response efforts improved. Other report elements such as names and organizations of each participant are expected to be collected using low-cost methods, such as sign-in sheets or registration websites. Local emergency response organizations participating in exercises will also likely be able to assist the owner or operator in collecting and providing this information. EPA has updated the RIA to consider the minimal paperwork hours and costs associated with this provision.</w:t>
      </w:r>
    </w:p>
    <w:p w:rsidR="00025134" w:rsidRPr="00025134" w:rsidP="00025134" w14:paraId="6C023736" w14:textId="77777777">
      <w:pPr>
        <w:rPr>
          <w:rFonts w:ascii="Times New Roman" w:hAnsi="Times New Roman"/>
          <w:sz w:val="24"/>
        </w:rPr>
      </w:pPr>
      <w:r w:rsidRPr="00025134">
        <w:rPr>
          <w:rFonts w:ascii="Times New Roman" w:hAnsi="Times New Roman"/>
          <w:b/>
          <w:bCs/>
          <w:sz w:val="24"/>
        </w:rPr>
        <w:t xml:space="preserve">Comment 12.3-03: </w:t>
      </w:r>
      <w:r w:rsidRPr="00025134">
        <w:rPr>
          <w:rFonts w:ascii="Times New Roman" w:hAnsi="Times New Roman"/>
          <w:sz w:val="24"/>
        </w:rPr>
        <w:t>One commenter stated that EPA’s rationale for modifying the list of information that “should” be included in an evaluation report to items that “shall” be included (namely, that the change would be consistent with the required information in an incident investigation report) is insufficient because incident investigations are distinguishable from emergency response exercises (0268).</w:t>
      </w:r>
    </w:p>
    <w:p w:rsidR="003774D3" w:rsidP="00245E92" w14:paraId="0D0601E0" w14:textId="77777777">
      <w:pPr>
        <w:autoSpaceDE w:val="0"/>
        <w:autoSpaceDN w:val="0"/>
        <w:adjustRightInd w:val="0"/>
        <w:ind w:left="720"/>
        <w:rPr>
          <w:rFonts w:ascii="Times New Roman" w:hAnsi="Times New Roman"/>
          <w:sz w:val="24"/>
          <w14:ligatures w14:val="standardContextual"/>
        </w:rPr>
      </w:pPr>
      <w:r w:rsidRPr="00E33F6C">
        <w:rPr>
          <w:rFonts w:ascii="Times New Roman" w:hAnsi="Times New Roman"/>
          <w:b/>
          <w:bCs/>
          <w:sz w:val="24"/>
        </w:rPr>
        <w:t>EPA Response:</w:t>
      </w:r>
      <w:r w:rsidRPr="00025134">
        <w:rPr>
          <w:rFonts w:ascii="Times New Roman" w:hAnsi="Times New Roman"/>
          <w:b/>
          <w:bCs/>
          <w:sz w:val="24"/>
        </w:rPr>
        <w:t xml:space="preserve"> </w:t>
      </w:r>
      <w:r w:rsidRPr="00452811" w:rsidR="00E10E65">
        <w:rPr>
          <w:rFonts w:ascii="Times New Roman" w:hAnsi="Times New Roman"/>
          <w:sz w:val="24"/>
        </w:rPr>
        <w:t xml:space="preserve">EPA disagrees </w:t>
      </w:r>
      <w:r w:rsidRPr="00452811" w:rsidR="003B5DDE">
        <w:rPr>
          <w:rFonts w:ascii="Times New Roman" w:hAnsi="Times New Roman"/>
          <w:sz w:val="24"/>
        </w:rPr>
        <w:t>with the comment</w:t>
      </w:r>
      <w:r w:rsidRPr="00452811" w:rsidR="000C20A4">
        <w:rPr>
          <w:rFonts w:ascii="Times New Roman" w:hAnsi="Times New Roman"/>
          <w:sz w:val="24"/>
        </w:rPr>
        <w:t xml:space="preserve"> because while </w:t>
      </w:r>
      <w:r w:rsidRPr="00452811" w:rsidR="008940F4">
        <w:rPr>
          <w:rFonts w:ascii="Times New Roman" w:hAnsi="Times New Roman"/>
          <w:sz w:val="24"/>
        </w:rPr>
        <w:t>incident investigation</w:t>
      </w:r>
      <w:r w:rsidRPr="00452811" w:rsidR="00B563D8">
        <w:rPr>
          <w:rFonts w:ascii="Times New Roman" w:hAnsi="Times New Roman"/>
          <w:sz w:val="24"/>
        </w:rPr>
        <w:t xml:space="preserve"> reports </w:t>
      </w:r>
      <w:r w:rsidRPr="00452811" w:rsidR="008940F4">
        <w:rPr>
          <w:rFonts w:ascii="Times New Roman" w:hAnsi="Times New Roman"/>
          <w:sz w:val="24"/>
        </w:rPr>
        <w:t xml:space="preserve">are </w:t>
      </w:r>
      <w:r w:rsidRPr="00452811" w:rsidR="00B563D8">
        <w:rPr>
          <w:rFonts w:ascii="Times New Roman" w:hAnsi="Times New Roman"/>
          <w:sz w:val="24"/>
        </w:rPr>
        <w:t>distinguishable</w:t>
      </w:r>
      <w:r w:rsidRPr="00452811" w:rsidR="008940F4">
        <w:rPr>
          <w:rFonts w:ascii="Times New Roman" w:hAnsi="Times New Roman"/>
          <w:sz w:val="24"/>
        </w:rPr>
        <w:t xml:space="preserve"> from emergency response </w:t>
      </w:r>
      <w:r w:rsidRPr="00452811" w:rsidR="00B563D8">
        <w:rPr>
          <w:rFonts w:ascii="Times New Roman" w:hAnsi="Times New Roman"/>
          <w:sz w:val="24"/>
        </w:rPr>
        <w:t>exercises</w:t>
      </w:r>
      <w:r w:rsidRPr="00452811" w:rsidR="008940F4">
        <w:rPr>
          <w:rFonts w:ascii="Times New Roman" w:hAnsi="Times New Roman"/>
          <w:sz w:val="24"/>
        </w:rPr>
        <w:t>, they are comparable</w:t>
      </w:r>
      <w:r w:rsidRPr="00452811" w:rsidR="00B563D8">
        <w:rPr>
          <w:rFonts w:ascii="Times New Roman" w:hAnsi="Times New Roman"/>
          <w:sz w:val="24"/>
        </w:rPr>
        <w:t xml:space="preserve">. </w:t>
      </w:r>
      <w:r w:rsidRPr="32BD070B" w:rsidR="00054430">
        <w:rPr>
          <w:rFonts w:ascii="Times New Roman" w:hAnsi="Times New Roman"/>
          <w:sz w:val="24"/>
          <w14:ligatures w14:val="standardContextual"/>
        </w:rPr>
        <w:t>Current incident investigation</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regulations under 40 CFR 68.60 and</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68.81 require incident investigation</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reports to include the</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date of incident, the date the</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investigation began, a description of the</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incident, the factors that contributed to</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the incident, any recommendations</w:t>
      </w:r>
      <w:r w:rsidRPr="32BD070B" w:rsidR="0079498A">
        <w:rPr>
          <w:rFonts w:ascii="Times New Roman" w:hAnsi="Times New Roman"/>
          <w:sz w:val="24"/>
          <w14:ligatures w14:val="standardContextual"/>
        </w:rPr>
        <w:t xml:space="preserve"> </w:t>
      </w:r>
      <w:r w:rsidRPr="32BD070B" w:rsidR="00054430">
        <w:rPr>
          <w:rFonts w:ascii="Times New Roman" w:hAnsi="Times New Roman"/>
          <w:sz w:val="24"/>
          <w14:ligatures w14:val="standardContextual"/>
        </w:rPr>
        <w:t>resulting from the investigation</w:t>
      </w:r>
      <w:r w:rsidRPr="32BD070B" w:rsidR="008440EC">
        <w:rPr>
          <w:rFonts w:ascii="Times New Roman" w:hAnsi="Times New Roman"/>
          <w:sz w:val="24"/>
          <w14:ligatures w14:val="standardContextual"/>
        </w:rPr>
        <w:t xml:space="preserve"> and their prompt resolution</w:t>
      </w:r>
      <w:r w:rsidRPr="32BD070B" w:rsidR="00054430">
        <w:rPr>
          <w:rFonts w:ascii="Times New Roman" w:hAnsi="Times New Roman"/>
          <w:sz w:val="24"/>
          <w14:ligatures w14:val="standardContextual"/>
        </w:rPr>
        <w:t xml:space="preserve">. </w:t>
      </w:r>
      <w:r w:rsidRPr="32BD070B" w:rsidR="00225FED">
        <w:rPr>
          <w:rFonts w:ascii="Times New Roman" w:hAnsi="Times New Roman"/>
          <w:sz w:val="24"/>
          <w14:ligatures w14:val="standardContextual"/>
        </w:rPr>
        <w:t xml:space="preserve">The final rule exercise </w:t>
      </w:r>
      <w:r w:rsidRPr="32BD070B" w:rsidR="005A7538">
        <w:rPr>
          <w:rFonts w:ascii="Times New Roman" w:hAnsi="Times New Roman"/>
          <w:sz w:val="24"/>
          <w14:ligatures w14:val="standardContextual"/>
        </w:rPr>
        <w:t>evaluation</w:t>
      </w:r>
      <w:r w:rsidRPr="32BD070B" w:rsidR="00225FED">
        <w:rPr>
          <w:rFonts w:ascii="Times New Roman" w:hAnsi="Times New Roman"/>
          <w:sz w:val="24"/>
          <w14:ligatures w14:val="standardContextual"/>
        </w:rPr>
        <w:t xml:space="preserve"> report provision finalized today requires t</w:t>
      </w:r>
      <w:r w:rsidRPr="32BD070B" w:rsidR="00B4190F">
        <w:rPr>
          <w:rFonts w:ascii="Times New Roman" w:hAnsi="Times New Roman"/>
          <w:sz w:val="24"/>
          <w14:ligatures w14:val="standardContextual"/>
        </w:rPr>
        <w:t xml:space="preserve">he owner or operator </w:t>
      </w:r>
      <w:r w:rsidRPr="32BD070B" w:rsidR="0078444C">
        <w:rPr>
          <w:rFonts w:ascii="Times New Roman" w:hAnsi="Times New Roman"/>
          <w:sz w:val="24"/>
          <w14:ligatures w14:val="standardContextual"/>
        </w:rPr>
        <w:t xml:space="preserve">to </w:t>
      </w:r>
      <w:r w:rsidRPr="32BD070B" w:rsidR="00B4190F">
        <w:rPr>
          <w:rFonts w:ascii="Times New Roman" w:hAnsi="Times New Roman"/>
          <w:sz w:val="24"/>
          <w14:ligatures w14:val="standardContextual"/>
        </w:rPr>
        <w:t xml:space="preserve">prepare an evaluation report </w:t>
      </w:r>
      <w:r w:rsidRPr="32BD070B" w:rsidR="0078444C">
        <w:rPr>
          <w:rFonts w:ascii="Times New Roman" w:hAnsi="Times New Roman"/>
          <w:sz w:val="24"/>
          <w14:ligatures w14:val="standardContextual"/>
        </w:rPr>
        <w:t xml:space="preserve">that </w:t>
      </w:r>
      <w:r w:rsidRPr="32BD070B" w:rsidR="00B4190F">
        <w:rPr>
          <w:rFonts w:ascii="Times New Roman" w:hAnsi="Times New Roman"/>
          <w:sz w:val="24"/>
          <w14:ligatures w14:val="standardContextual"/>
        </w:rPr>
        <w:t xml:space="preserve">include a description of the exercise scenario, names and organizations of each participant, an evaluation of the exercise results including lessons learned, recommendations for improvement or revisions to the emergency response exercise program and emergency response program, and a schedule to promptly address and resolve recommendations. </w:t>
      </w:r>
    </w:p>
    <w:p w:rsidR="0079498A" w:rsidRPr="00245E92" w:rsidP="00245E92" w14:paraId="70A83A5E" w14:textId="0E68F38A">
      <w:pPr>
        <w:autoSpaceDE w:val="0"/>
        <w:autoSpaceDN w:val="0"/>
        <w:adjustRightInd w:val="0"/>
        <w:ind w:left="720"/>
        <w:rPr>
          <w:rFonts w:ascii="Melior" w:hAnsi="Melior" w:cs="Melior"/>
          <w:sz w:val="18"/>
          <w:szCs w:val="18"/>
          <w14:ligatures w14:val="standardContextual"/>
        </w:rPr>
      </w:pPr>
      <w:r w:rsidRPr="32BD070B">
        <w:rPr>
          <w:rFonts w:ascii="Times New Roman" w:hAnsi="Times New Roman"/>
          <w:sz w:val="24"/>
          <w14:ligatures w14:val="standardContextual"/>
        </w:rPr>
        <w:t>EPA believes that, in most cases, these accidental release scenarios being exercised would be those that need to be investigated per 40 CFR 68.60 and 68.81</w:t>
      </w:r>
      <w:r w:rsidR="003774D3">
        <w:rPr>
          <w:rFonts w:ascii="Times New Roman" w:hAnsi="Times New Roman"/>
          <w:sz w:val="24"/>
          <w14:ligatures w14:val="standardContextual"/>
        </w:rPr>
        <w:t>,</w:t>
      </w:r>
      <w:r w:rsidRPr="32BD070B" w:rsidR="00123D27">
        <w:rPr>
          <w:rFonts w:ascii="Times New Roman" w:hAnsi="Times New Roman"/>
          <w:sz w:val="24"/>
          <w14:ligatures w14:val="standardContextual"/>
        </w:rPr>
        <w:t xml:space="preserve"> which would make many of the reporting requirements similar. </w:t>
      </w:r>
      <w:r w:rsidRPr="32BD070B" w:rsidR="00FD555A">
        <w:rPr>
          <w:rFonts w:ascii="Times New Roman" w:hAnsi="Times New Roman"/>
          <w:sz w:val="24"/>
          <w14:ligatures w14:val="standardContextual"/>
        </w:rPr>
        <w:t xml:space="preserve">For example, instead of documenting the “exercise scenario,” the owner or operator would document the nature of the accidental release prompting the response. </w:t>
      </w:r>
      <w:r w:rsidRPr="32BD070B" w:rsidR="00452811">
        <w:rPr>
          <w:rFonts w:ascii="Times New Roman" w:hAnsi="Times New Roman"/>
          <w:sz w:val="24"/>
          <w14:ligatures w14:val="standardContextual"/>
        </w:rPr>
        <w:t>Further, documented l</w:t>
      </w:r>
      <w:r w:rsidRPr="32BD070B" w:rsidR="00505B25">
        <w:rPr>
          <w:rFonts w:ascii="Times New Roman" w:hAnsi="Times New Roman"/>
          <w:sz w:val="24"/>
          <w14:ligatures w14:val="standardContextual"/>
        </w:rPr>
        <w:t xml:space="preserve">essons learned and recommendations </w:t>
      </w:r>
      <w:r w:rsidRPr="32BD070B" w:rsidR="00307B05">
        <w:rPr>
          <w:rFonts w:ascii="Times New Roman" w:hAnsi="Times New Roman"/>
          <w:sz w:val="24"/>
          <w14:ligatures w14:val="standardContextual"/>
        </w:rPr>
        <w:t xml:space="preserve">for </w:t>
      </w:r>
      <w:r w:rsidRPr="32BD070B" w:rsidR="00452811">
        <w:rPr>
          <w:rFonts w:ascii="Times New Roman" w:hAnsi="Times New Roman"/>
          <w:sz w:val="24"/>
          <w14:ligatures w14:val="standardContextual"/>
        </w:rPr>
        <w:t>improvement</w:t>
      </w:r>
      <w:r w:rsidRPr="32BD070B" w:rsidR="00100EB7">
        <w:rPr>
          <w:rFonts w:ascii="Times New Roman" w:hAnsi="Times New Roman"/>
          <w:sz w:val="24"/>
          <w14:ligatures w14:val="standardContextual"/>
        </w:rPr>
        <w:t xml:space="preserve"> in both actual release events and in the exercised </w:t>
      </w:r>
      <w:r w:rsidRPr="32BD070B" w:rsidR="00452811">
        <w:rPr>
          <w:rFonts w:ascii="Times New Roman" w:hAnsi="Times New Roman"/>
          <w:sz w:val="24"/>
          <w14:ligatures w14:val="standardContextual"/>
        </w:rPr>
        <w:t xml:space="preserve">scenario reports </w:t>
      </w:r>
      <w:r w:rsidRPr="32BD070B" w:rsidR="005F4604">
        <w:rPr>
          <w:rFonts w:ascii="Times New Roman" w:hAnsi="Times New Roman"/>
          <w:sz w:val="24"/>
          <w14:ligatures w14:val="standardContextual"/>
        </w:rPr>
        <w:t xml:space="preserve">allows participants to develop an evaluation that owners, operators, and responders can learn from. </w:t>
      </w:r>
    </w:p>
    <w:p w:rsidR="00025134" w:rsidP="00025134" w14:paraId="09B23568" w14:textId="77777777">
      <w:pPr>
        <w:rPr>
          <w:rFonts w:ascii="Times New Roman" w:hAnsi="Times New Roman"/>
          <w:sz w:val="24"/>
        </w:rPr>
      </w:pPr>
      <w:r w:rsidRPr="00025134">
        <w:rPr>
          <w:rFonts w:ascii="Times New Roman" w:hAnsi="Times New Roman"/>
          <w:b/>
          <w:bCs/>
          <w:sz w:val="24"/>
        </w:rPr>
        <w:t>Comment 12.3-04:</w:t>
      </w:r>
      <w:r w:rsidRPr="00025134">
        <w:rPr>
          <w:rFonts w:ascii="Times New Roman" w:hAnsi="Times New Roman"/>
          <w:sz w:val="24"/>
        </w:rPr>
        <w:t xml:space="preserve"> A couple </w:t>
      </w:r>
      <w:r w:rsidRPr="00025134">
        <w:rPr>
          <w:rFonts w:ascii="Times New Roman" w:hAnsi="Times New Roman"/>
          <w:sz w:val="24"/>
        </w:rPr>
        <w:t xml:space="preserve">of </w:t>
      </w:r>
      <w:r w:rsidRPr="00025134">
        <w:rPr>
          <w:rFonts w:ascii="Times New Roman" w:hAnsi="Times New Roman"/>
          <w:sz w:val="24"/>
        </w:rPr>
        <w:t xml:space="preserve">commenters expressed concern that the requirement to submit emergency response exercise reports to EPA presents security concerns. The commenters noted that if members of the public can file a FOIA request for this information, the exercise evaluation reports, and the information contained therein could provide bad actors with a road map for attempting an industrial release (0229, 0232). </w:t>
      </w:r>
    </w:p>
    <w:p w:rsidR="00884CF8" w:rsidRPr="00884CF8" w:rsidP="00025134" w14:paraId="55465BB8" w14:textId="601AAF9B">
      <w:pPr>
        <w:rPr>
          <w:rFonts w:ascii="Times New Roman" w:hAnsi="Times New Roman"/>
          <w:sz w:val="24"/>
        </w:rPr>
      </w:pPr>
      <w:r w:rsidRPr="6D3F9CC5">
        <w:rPr>
          <w:rFonts w:ascii="Times New Roman" w:hAnsi="Times New Roman"/>
          <w:sz w:val="24"/>
        </w:rPr>
        <w:t xml:space="preserve">One commenter </w:t>
      </w:r>
      <w:r>
        <w:rPr>
          <w:rFonts w:ascii="Times New Roman" w:hAnsi="Times New Roman"/>
          <w:sz w:val="24"/>
        </w:rPr>
        <w:t>stated that</w:t>
      </w:r>
      <w:r w:rsidRPr="6D3F9CC5">
        <w:rPr>
          <w:rFonts w:ascii="Times New Roman" w:hAnsi="Times New Roman"/>
          <w:sz w:val="24"/>
        </w:rPr>
        <w:t xml:space="preserve"> the potential security issue for making emergency response exercises, including schedules for upcoming exercises, reports for completed exercises, and any other related information among the information that a covered facility must make available to the public and referenced EPA’s past increase in security measures following the 9/11 terrorist attacks. The commenter stated that they support sharing information with first responders, </w:t>
      </w:r>
      <w:r w:rsidRPr="6D3F9CC5">
        <w:rPr>
          <w:rFonts w:ascii="Times New Roman" w:hAnsi="Times New Roman"/>
          <w:sz w:val="24"/>
        </w:rPr>
        <w:t>LEPCs, and other local emergency response agencies, but suggested that care needs to be taken in the information and method(s) for sharing the information with the broader public (0197).</w:t>
      </w:r>
    </w:p>
    <w:p w:rsidR="00025134" w:rsidRPr="00025134" w:rsidP="00025134" w14:paraId="14B785D7" w14:textId="39A0CE06">
      <w:pPr>
        <w:ind w:left="720"/>
        <w:rPr>
          <w:rFonts w:ascii="Times New Roman" w:hAnsi="Times New Roman"/>
          <w:sz w:val="24"/>
        </w:rPr>
      </w:pPr>
      <w:r w:rsidRPr="00025134">
        <w:rPr>
          <w:rFonts w:ascii="Times New Roman" w:hAnsi="Times New Roman"/>
          <w:b/>
          <w:bCs/>
          <w:sz w:val="24"/>
        </w:rPr>
        <w:t xml:space="preserve">EPA Response: </w:t>
      </w:r>
      <w:r w:rsidRPr="00025134">
        <w:rPr>
          <w:rFonts w:ascii="Times New Roman" w:hAnsi="Times New Roman"/>
          <w:sz w:val="24"/>
        </w:rPr>
        <w:t xml:space="preserve">EPA agrees with commenters that members of the public do not necessarily need access to exercise evaluation reports. </w:t>
      </w:r>
      <w:r w:rsidR="003774D3">
        <w:rPr>
          <w:rFonts w:ascii="Times New Roman" w:hAnsi="Times New Roman"/>
          <w:sz w:val="24"/>
        </w:rPr>
        <w:t xml:space="preserve">Therefore, </w:t>
      </w:r>
      <w:r w:rsidR="00CE3E0A">
        <w:rPr>
          <w:rFonts w:ascii="Times New Roman" w:hAnsi="Times New Roman"/>
          <w:sz w:val="24"/>
        </w:rPr>
        <w:t>EPA did not propose</w:t>
      </w:r>
      <w:r w:rsidR="003774D3">
        <w:rPr>
          <w:rFonts w:ascii="Times New Roman" w:hAnsi="Times New Roman"/>
          <w:sz w:val="24"/>
        </w:rPr>
        <w:t>,</w:t>
      </w:r>
      <w:r w:rsidR="00CE3E0A">
        <w:rPr>
          <w:rFonts w:ascii="Times New Roman" w:hAnsi="Times New Roman"/>
          <w:sz w:val="24"/>
        </w:rPr>
        <w:t xml:space="preserve"> and </w:t>
      </w:r>
      <w:r w:rsidR="00411EB0">
        <w:rPr>
          <w:rFonts w:ascii="Times New Roman" w:hAnsi="Times New Roman"/>
          <w:sz w:val="24"/>
        </w:rPr>
        <w:t xml:space="preserve">is not </w:t>
      </w:r>
      <w:r w:rsidR="003E3856">
        <w:rPr>
          <w:rFonts w:ascii="Times New Roman" w:hAnsi="Times New Roman"/>
          <w:sz w:val="24"/>
        </w:rPr>
        <w:t>requiring</w:t>
      </w:r>
      <w:r w:rsidR="00411EB0">
        <w:rPr>
          <w:rFonts w:ascii="Times New Roman" w:hAnsi="Times New Roman"/>
          <w:sz w:val="24"/>
        </w:rPr>
        <w:t xml:space="preserve"> in this final rule</w:t>
      </w:r>
      <w:r w:rsidR="003774D3">
        <w:rPr>
          <w:rFonts w:ascii="Times New Roman" w:hAnsi="Times New Roman"/>
          <w:sz w:val="24"/>
        </w:rPr>
        <w:t>,</w:t>
      </w:r>
      <w:r w:rsidR="00411EB0">
        <w:rPr>
          <w:rFonts w:ascii="Times New Roman" w:hAnsi="Times New Roman"/>
          <w:sz w:val="24"/>
        </w:rPr>
        <w:t xml:space="preserve"> </w:t>
      </w:r>
      <w:r w:rsidR="003E3856">
        <w:rPr>
          <w:rFonts w:ascii="Times New Roman" w:hAnsi="Times New Roman"/>
          <w:sz w:val="24"/>
        </w:rPr>
        <w:t xml:space="preserve">that </w:t>
      </w:r>
      <w:r w:rsidR="00411EB0">
        <w:rPr>
          <w:rFonts w:ascii="Times New Roman" w:hAnsi="Times New Roman"/>
          <w:sz w:val="24"/>
        </w:rPr>
        <w:t>emergency response exercise reports be</w:t>
      </w:r>
      <w:r w:rsidR="00CC3CCA">
        <w:rPr>
          <w:rFonts w:ascii="Times New Roman" w:hAnsi="Times New Roman"/>
          <w:sz w:val="24"/>
        </w:rPr>
        <w:t xml:space="preserve"> submitted to EPA. EPA will have access to these reports </w:t>
      </w:r>
      <w:r w:rsidR="003E3856">
        <w:rPr>
          <w:rFonts w:ascii="Times New Roman" w:hAnsi="Times New Roman"/>
          <w:sz w:val="24"/>
        </w:rPr>
        <w:t xml:space="preserve">for compliance evaluation </w:t>
      </w:r>
      <w:r w:rsidR="008F3B53">
        <w:rPr>
          <w:rFonts w:ascii="Times New Roman" w:hAnsi="Times New Roman"/>
          <w:sz w:val="24"/>
        </w:rPr>
        <w:t>by means of</w:t>
      </w:r>
      <w:r w:rsidR="00CC3CCA">
        <w:rPr>
          <w:rFonts w:ascii="Times New Roman" w:hAnsi="Times New Roman"/>
          <w:sz w:val="24"/>
        </w:rPr>
        <w:t xml:space="preserve"> inspection or through information requests, etc</w:t>
      </w:r>
      <w:r w:rsidR="003774D3">
        <w:rPr>
          <w:rFonts w:ascii="Times New Roman" w:hAnsi="Times New Roman"/>
          <w:sz w:val="24"/>
        </w:rPr>
        <w:t>.</w:t>
      </w:r>
      <w:r w:rsidR="00CC3CCA">
        <w:rPr>
          <w:rFonts w:ascii="Times New Roman" w:hAnsi="Times New Roman"/>
          <w:sz w:val="24"/>
        </w:rPr>
        <w:t xml:space="preserve">, but there is no </w:t>
      </w:r>
      <w:r w:rsidR="003D15F9">
        <w:rPr>
          <w:rFonts w:ascii="Times New Roman" w:hAnsi="Times New Roman"/>
          <w:sz w:val="24"/>
        </w:rPr>
        <w:t>re</w:t>
      </w:r>
      <w:r w:rsidR="000149F4">
        <w:rPr>
          <w:rFonts w:ascii="Times New Roman" w:hAnsi="Times New Roman"/>
          <w:sz w:val="24"/>
        </w:rPr>
        <w:t>quirement</w:t>
      </w:r>
      <w:r w:rsidR="00CC3CCA">
        <w:rPr>
          <w:rFonts w:ascii="Times New Roman" w:hAnsi="Times New Roman"/>
          <w:sz w:val="24"/>
        </w:rPr>
        <w:t xml:space="preserve"> for </w:t>
      </w:r>
      <w:r w:rsidR="000149F4">
        <w:rPr>
          <w:rFonts w:ascii="Times New Roman" w:hAnsi="Times New Roman"/>
          <w:sz w:val="24"/>
        </w:rPr>
        <w:t xml:space="preserve">owner/operator </w:t>
      </w:r>
      <w:r w:rsidR="00CC3CCA">
        <w:rPr>
          <w:rFonts w:ascii="Times New Roman" w:hAnsi="Times New Roman"/>
          <w:sz w:val="24"/>
        </w:rPr>
        <w:t xml:space="preserve">direct submission to EPA. </w:t>
      </w:r>
    </w:p>
    <w:p w:rsidR="00025134" w:rsidRPr="00025134" w:rsidP="00025134" w14:paraId="5F963F47" w14:textId="77777777">
      <w:pPr>
        <w:rPr>
          <w:rFonts w:ascii="Times New Roman" w:hAnsi="Times New Roman"/>
          <w:sz w:val="24"/>
        </w:rPr>
      </w:pPr>
      <w:r w:rsidRPr="00025134">
        <w:rPr>
          <w:rFonts w:ascii="Times New Roman" w:hAnsi="Times New Roman"/>
          <w:b/>
          <w:bCs/>
          <w:sz w:val="24"/>
        </w:rPr>
        <w:t xml:space="preserve">Comment 12.3-05: </w:t>
      </w:r>
      <w:r w:rsidRPr="00025134">
        <w:rPr>
          <w:rFonts w:ascii="Times New Roman" w:hAnsi="Times New Roman"/>
          <w:sz w:val="24"/>
        </w:rPr>
        <w:t xml:space="preserve">One commenter mentioned that in 2019, EPA recognized that making the reporting requirements non-mandatory would reduce the regulatory burden and allow emergency response personnel the flexibility to decide which exercise documentation would be most appropriate for the facility and community. The commenter urged EPA to retain this flexibility and not add this requirement to the existing RMP rule (0188). Another commenter noted that the proposed post-exercise reporting requirements provide little value to the program (0267). </w:t>
      </w:r>
    </w:p>
    <w:p w:rsidR="00025134" w:rsidRPr="00025134" w:rsidP="00025134" w14:paraId="22066D26" w14:textId="75B193FD">
      <w:pPr>
        <w:ind w:left="720"/>
        <w:rPr>
          <w:rFonts w:ascii="Times New Roman" w:hAnsi="Times New Roman"/>
          <w:sz w:val="24"/>
        </w:rPr>
      </w:pPr>
      <w:r w:rsidRPr="00025134">
        <w:rPr>
          <w:rFonts w:ascii="Times New Roman" w:hAnsi="Times New Roman"/>
          <w:b/>
          <w:bCs/>
          <w:sz w:val="24"/>
        </w:rPr>
        <w:t xml:space="preserve">EPA Response: </w:t>
      </w:r>
      <w:r w:rsidR="00C11584">
        <w:rPr>
          <w:rFonts w:ascii="Times New Roman" w:hAnsi="Times New Roman"/>
          <w:sz w:val="24"/>
        </w:rPr>
        <w:t>While the</w:t>
      </w:r>
      <w:r w:rsidRPr="00025134">
        <w:rPr>
          <w:rFonts w:ascii="Times New Roman" w:hAnsi="Times New Roman"/>
          <w:sz w:val="24"/>
        </w:rPr>
        <w:t xml:space="preserve"> Agency previously stated in the 2019 reconsideration rule that the scope and documentation provisions left as discretionary would allow owners and operators to coordinate with local responders to design exercises that are most suitable for their own situations, EPA now finds it beneficial to provide consistency between exercise evaluation and incident investigation documentation requirements, as incident investigation reports can be used to satisfy response exercise evaluation report requirements under the current rule. </w:t>
      </w:r>
      <w:r w:rsidR="00681CB9">
        <w:rPr>
          <w:rFonts w:ascii="Times New Roman" w:hAnsi="Times New Roman"/>
          <w:sz w:val="24"/>
        </w:rPr>
        <w:t>EPA acknowledges that d</w:t>
      </w:r>
      <w:r w:rsidRPr="00025134" w:rsidR="00681CB9">
        <w:rPr>
          <w:rFonts w:ascii="Times New Roman" w:hAnsi="Times New Roman"/>
          <w:sz w:val="24"/>
        </w:rPr>
        <w:t xml:space="preserve">ifferent facilities use a variety of emergency response equipment types and may have many different actions specified in their emergency response plans. </w:t>
      </w:r>
      <w:r w:rsidRPr="00025134">
        <w:rPr>
          <w:rFonts w:ascii="Times New Roman" w:hAnsi="Times New Roman"/>
          <w:sz w:val="24"/>
        </w:rPr>
        <w:t xml:space="preserve">Since EPA cannot anticipate all variations of incidents that may occur, EPA also cannot anticipate all variations of appropriate exercises. </w:t>
      </w:r>
      <w:r w:rsidR="00681CB9">
        <w:rPr>
          <w:rFonts w:ascii="Times New Roman" w:hAnsi="Times New Roman"/>
          <w:sz w:val="24"/>
        </w:rPr>
        <w:t>Therefore, t</w:t>
      </w:r>
      <w:r w:rsidRPr="00025134">
        <w:rPr>
          <w:rFonts w:ascii="Times New Roman" w:hAnsi="Times New Roman"/>
          <w:sz w:val="24"/>
        </w:rPr>
        <w:t xml:space="preserve">he current provision for incident investigation reports under 40 CFR 68.60 and 68.81 identifies general topics that must be included in the report but does not contain further prescriptive requirements about how those topics need to be addressed. Similarly, so will similar general elements guide the content of exercise evaluation reports. The flexibility in both provisions allows participants to develop an evaluation that owners, operators, and responders can learn from. </w:t>
      </w:r>
    </w:p>
    <w:p w:rsidR="00025134" w:rsidRPr="00025134" w:rsidP="00025134" w14:paraId="6B9602EC" w14:textId="77777777">
      <w:pPr>
        <w:ind w:left="720"/>
        <w:rPr>
          <w:rFonts w:ascii="Times New Roman" w:hAnsi="Times New Roman"/>
          <w:sz w:val="24"/>
        </w:rPr>
      </w:pPr>
      <w:r w:rsidRPr="00025134">
        <w:rPr>
          <w:rFonts w:ascii="Times New Roman" w:hAnsi="Times New Roman"/>
          <w:sz w:val="24"/>
        </w:rPr>
        <w:t>Upon consideration of comments, EPA is finalizing the provision to require mandatory reporting for exercise evaluation reports as proposed.</w:t>
      </w:r>
    </w:p>
    <w:p w:rsidR="00021D11" w:rsidP="00581D11" w14:paraId="6BA1344D" w14:textId="77777777">
      <w:pPr>
        <w:pStyle w:val="Heading1"/>
        <w:numPr>
          <w:ilvl w:val="0"/>
          <w:numId w:val="10"/>
        </w:numPr>
        <w:spacing w:before="120"/>
        <w:ind w:left="360" w:hanging="360"/>
      </w:pPr>
      <w:bookmarkStart w:id="147" w:name="_Toc146880035"/>
      <w:bookmarkStart w:id="148" w:name="_Toc153373824"/>
      <w:bookmarkStart w:id="149" w:name="_Toc146880083"/>
      <w:r w:rsidRPr="006F68E9">
        <w:t>Information Availability</w:t>
      </w:r>
      <w:bookmarkEnd w:id="147"/>
      <w:bookmarkEnd w:id="148"/>
    </w:p>
    <w:p w:rsidR="00021D11" w:rsidRPr="006E1A86" w:rsidP="00021D11" w14:paraId="22604E55" w14:textId="77777777">
      <w:pPr>
        <w:rPr>
          <w:rFonts w:ascii="Times New Roman" w:hAnsi="Times New Roman"/>
          <w:i/>
          <w:iCs/>
          <w:sz w:val="24"/>
        </w:rPr>
      </w:pPr>
      <w:r w:rsidRPr="00B04717">
        <w:rPr>
          <w:rFonts w:ascii="Times New Roman" w:hAnsi="Times New Roman"/>
          <w:i/>
          <w:sz w:val="24"/>
        </w:rPr>
        <w:t>Comments associated with this issue are discussed in the sub-issues below.</w:t>
      </w:r>
    </w:p>
    <w:p w:rsidR="00021D11" w:rsidP="00D106C3" w14:paraId="63A9DD22" w14:textId="77777777">
      <w:pPr>
        <w:pStyle w:val="Heading2"/>
        <w:tabs>
          <w:tab w:val="clear" w:pos="8684"/>
        </w:tabs>
        <w:spacing w:before="120"/>
        <w:rPr>
          <w:rFonts w:ascii="Times New Roman" w:hAnsi="Times New Roman" w:cs="Times New Roman"/>
          <w:b/>
          <w:bCs/>
          <w:color w:val="auto"/>
          <w:sz w:val="24"/>
          <w:szCs w:val="24"/>
        </w:rPr>
      </w:pPr>
      <w:bookmarkStart w:id="150" w:name="_Toc146880036"/>
      <w:bookmarkStart w:id="151" w:name="_Toc153373825"/>
      <w:r w:rsidRPr="6D3F9CC5">
        <w:rPr>
          <w:rFonts w:ascii="Times New Roman" w:hAnsi="Times New Roman" w:cs="Times New Roman"/>
          <w:b/>
          <w:bCs/>
          <w:color w:val="auto"/>
          <w:sz w:val="24"/>
          <w:szCs w:val="24"/>
        </w:rPr>
        <w:t xml:space="preserve">Proposed </w:t>
      </w:r>
      <w:bookmarkEnd w:id="150"/>
      <w:r>
        <w:rPr>
          <w:rFonts w:ascii="Times New Roman" w:hAnsi="Times New Roman" w:cs="Times New Roman"/>
          <w:b/>
          <w:bCs/>
          <w:color w:val="auto"/>
          <w:sz w:val="24"/>
          <w:szCs w:val="24"/>
        </w:rPr>
        <w:t>a</w:t>
      </w:r>
      <w:r w:rsidRPr="6D3F9CC5">
        <w:rPr>
          <w:rFonts w:ascii="Times New Roman" w:hAnsi="Times New Roman" w:cs="Times New Roman"/>
          <w:b/>
          <w:bCs/>
          <w:color w:val="auto"/>
          <w:sz w:val="24"/>
          <w:szCs w:val="24"/>
        </w:rPr>
        <w:t>pproach</w:t>
      </w:r>
      <w:bookmarkEnd w:id="151"/>
    </w:p>
    <w:p w:rsidR="00021D11" w:rsidRPr="005D16B3" w:rsidP="00021D11" w14:paraId="06953B6B" w14:textId="77777777">
      <w:pPr>
        <w:rPr>
          <w:rFonts w:ascii="Times New Roman" w:hAnsi="Times New Roman"/>
          <w:i/>
          <w:sz w:val="24"/>
        </w:rPr>
      </w:pPr>
      <w:r w:rsidRPr="005D16B3">
        <w:rPr>
          <w:rFonts w:ascii="Times New Roman" w:hAnsi="Times New Roman"/>
          <w:i/>
          <w:sz w:val="24"/>
        </w:rPr>
        <w:t xml:space="preserve">Support for requirements to make information available to the public </w:t>
      </w:r>
    </w:p>
    <w:p w:rsidR="00021D11" w:rsidRPr="007A2F97" w:rsidP="00021D11" w14:paraId="26153816" w14:textId="05D6B78C">
      <w:pPr>
        <w:rPr>
          <w:rFonts w:ascii="Times New Roman" w:hAnsi="Times New Roman"/>
          <w:sz w:val="24"/>
        </w:rPr>
      </w:pPr>
      <w:r w:rsidRPr="00B04717">
        <w:rPr>
          <w:rFonts w:ascii="Times New Roman" w:hAnsi="Times New Roman"/>
          <w:b/>
          <w:bCs/>
          <w:sz w:val="24"/>
        </w:rPr>
        <w:t>Comment</w:t>
      </w:r>
      <w:r>
        <w:rPr>
          <w:rFonts w:ascii="Times New Roman" w:hAnsi="Times New Roman"/>
          <w:b/>
          <w:bCs/>
          <w:sz w:val="24"/>
        </w:rPr>
        <w:t xml:space="preserve"> 13.1-01</w:t>
      </w:r>
      <w:r w:rsidRPr="00B04717">
        <w:rPr>
          <w:rFonts w:ascii="Times New Roman" w:hAnsi="Times New Roman"/>
          <w:b/>
          <w:bCs/>
          <w:sz w:val="24"/>
        </w:rPr>
        <w:t>:</w:t>
      </w:r>
      <w:r>
        <w:rPr>
          <w:rFonts w:ascii="Times New Roman" w:hAnsi="Times New Roman"/>
          <w:sz w:val="24"/>
        </w:rPr>
        <w:t xml:space="preserve"> </w:t>
      </w:r>
      <w:r w:rsidRPr="007A2F97">
        <w:rPr>
          <w:rFonts w:ascii="Times New Roman" w:hAnsi="Times New Roman"/>
          <w:sz w:val="24"/>
        </w:rPr>
        <w:t xml:space="preserve">Several commenters </w:t>
      </w:r>
      <w:r>
        <w:rPr>
          <w:rFonts w:ascii="Times New Roman" w:hAnsi="Times New Roman"/>
          <w:sz w:val="24"/>
        </w:rPr>
        <w:t>expressed general support for</w:t>
      </w:r>
      <w:r w:rsidRPr="007A2F97">
        <w:rPr>
          <w:rFonts w:ascii="Times New Roman" w:hAnsi="Times New Roman"/>
          <w:sz w:val="24"/>
        </w:rPr>
        <w:t xml:space="preserve"> EPA’s proposed information availability requirements (</w:t>
      </w:r>
      <w:r w:rsidRPr="007853CB">
        <w:rPr>
          <w:rFonts w:ascii="Times New Roman" w:hAnsi="Times New Roman"/>
          <w:sz w:val="24"/>
        </w:rPr>
        <w:t xml:space="preserve">0248, 0276, 0270, </w:t>
      </w:r>
      <w:r w:rsidR="00310385">
        <w:rPr>
          <w:rFonts w:ascii="Times New Roman" w:hAnsi="Times New Roman"/>
          <w:sz w:val="24"/>
        </w:rPr>
        <w:t xml:space="preserve">0451, </w:t>
      </w:r>
      <w:r w:rsidRPr="007853CB">
        <w:rPr>
          <w:rFonts w:ascii="Times New Roman" w:hAnsi="Times New Roman"/>
          <w:sz w:val="24"/>
        </w:rPr>
        <w:t>0480</w:t>
      </w:r>
      <w:r w:rsidRPr="007A2F97">
        <w:rPr>
          <w:rFonts w:ascii="Times New Roman" w:hAnsi="Times New Roman"/>
          <w:sz w:val="24"/>
        </w:rPr>
        <w:t>).</w:t>
      </w:r>
    </w:p>
    <w:p w:rsidR="00021D11" w:rsidRPr="007A2F97" w:rsidP="00021D11" w14:paraId="2C9D9C2B" w14:textId="77777777">
      <w:pPr>
        <w:rPr>
          <w:rFonts w:ascii="Times New Roman" w:hAnsi="Times New Roman"/>
          <w:sz w:val="24"/>
        </w:rPr>
      </w:pPr>
      <w:r w:rsidRPr="00B06E7F">
        <w:rPr>
          <w:rFonts w:ascii="Times New Roman" w:hAnsi="Times New Roman"/>
          <w:sz w:val="24"/>
        </w:rPr>
        <w:t>Another commenter suggested that the public needs overarching Federal regulation in this area to prevent an uneven patchwork of State regulations and practices that have been documented to refuse access to emergency planning chemical information in response to information requests (0216).</w:t>
      </w:r>
    </w:p>
    <w:p w:rsidR="00021D11" w:rsidP="00021D11" w14:paraId="127C8617" w14:textId="77777777">
      <w:pPr>
        <w:rPr>
          <w:rFonts w:ascii="Times New Roman" w:hAnsi="Times New Roman"/>
          <w:sz w:val="24"/>
        </w:rPr>
      </w:pPr>
      <w:r w:rsidRPr="006F68E9">
        <w:rPr>
          <w:rFonts w:ascii="Times New Roman" w:hAnsi="Times New Roman"/>
          <w:sz w:val="24"/>
        </w:rPr>
        <w:t xml:space="preserve">One commenter suggested that more information sharing is a public good that will decrease injuries and loss of life (0254). </w:t>
      </w:r>
    </w:p>
    <w:p w:rsidR="00603466" w:rsidP="00021D11" w14:paraId="2723FEC8" w14:textId="360A8198">
      <w:pPr>
        <w:rPr>
          <w:rFonts w:ascii="Times New Roman" w:hAnsi="Times New Roman"/>
          <w:sz w:val="24"/>
        </w:rPr>
      </w:pPr>
      <w:r w:rsidRPr="006F68E9">
        <w:rPr>
          <w:rFonts w:ascii="Times New Roman" w:hAnsi="Times New Roman"/>
          <w:sz w:val="24"/>
        </w:rPr>
        <w:t xml:space="preserve">Another commenter stated that implementing prevention measures like safer chemicals and processes at the RMP facilities will reduce their disproportionate impact and toxic burden across the chemical’s lifecycle; however, unless and until EPA requires RMP facilities to eliminate the hazards fenceline communities face by requiring the transition to inherently safe chemicals and processes, people need to know what their risks are and how to respond when disaster strikes, yet access to this information to date has been piecemeal (0270). </w:t>
      </w:r>
    </w:p>
    <w:p w:rsidR="00021D11" w:rsidP="00CB2B54" w14:paraId="604B2E98" w14:textId="01765C6C">
      <w:pPr>
        <w:ind w:left="720"/>
        <w:rPr>
          <w:rFonts w:ascii="Times New Roman" w:hAnsi="Times New Roman"/>
          <w:sz w:val="24"/>
        </w:rPr>
      </w:pPr>
      <w:r w:rsidRPr="18E4C9A9">
        <w:rPr>
          <w:rFonts w:ascii="Times New Roman" w:hAnsi="Times New Roman"/>
          <w:b/>
          <w:bCs/>
          <w:sz w:val="24"/>
        </w:rPr>
        <w:t>EPA Response:</w:t>
      </w:r>
      <w:r w:rsidRPr="18E4C9A9" w:rsidR="00CB2B54">
        <w:rPr>
          <w:rFonts w:ascii="Times New Roman" w:hAnsi="Times New Roman"/>
          <w:sz w:val="24"/>
        </w:rPr>
        <w:t xml:space="preserve"> </w:t>
      </w:r>
      <w:r w:rsidRPr="00CB2B54" w:rsidR="00CB2B54">
        <w:rPr>
          <w:rFonts w:ascii="Times New Roman" w:hAnsi="Times New Roman"/>
          <w:sz w:val="24"/>
        </w:rPr>
        <w:t>EPA continues to believe that providing chemical hazard information to the general public will allow people that live or work near a regulated facility to improve their awareness of risks to the community and to be prepared to protect themselves in the event of an accidental release. The public’s ability to participate in emergency planning and readiness is enhanced by being better informed about accident history, types of chemicals present, and how to interact with the stationary source.</w:t>
      </w:r>
      <w:r w:rsidRPr="18E4C9A9" w:rsidR="00852D0B">
        <w:rPr>
          <w:rFonts w:ascii="Times New Roman" w:hAnsi="Times New Roman"/>
          <w:sz w:val="24"/>
        </w:rPr>
        <w:t xml:space="preserve"> </w:t>
      </w:r>
      <w:r w:rsidRPr="18E4C9A9" w:rsidR="002405A8">
        <w:rPr>
          <w:rFonts w:ascii="Times New Roman" w:hAnsi="Times New Roman"/>
          <w:sz w:val="24"/>
        </w:rPr>
        <w:t xml:space="preserve">EPA </w:t>
      </w:r>
      <w:r w:rsidRPr="18E4C9A9" w:rsidR="006C2B77">
        <w:rPr>
          <w:rFonts w:ascii="Times New Roman" w:hAnsi="Times New Roman"/>
          <w:sz w:val="24"/>
        </w:rPr>
        <w:t>expects</w:t>
      </w:r>
      <w:r w:rsidRPr="18E4C9A9" w:rsidR="002405A8">
        <w:rPr>
          <w:rFonts w:ascii="Times New Roman" w:hAnsi="Times New Roman"/>
          <w:sz w:val="24"/>
        </w:rPr>
        <w:t xml:space="preserve"> this to be </w:t>
      </w:r>
      <w:r w:rsidRPr="18E4C9A9" w:rsidR="006C2B77">
        <w:rPr>
          <w:rFonts w:ascii="Times New Roman" w:hAnsi="Times New Roman"/>
          <w:sz w:val="24"/>
        </w:rPr>
        <w:t>particularly</w:t>
      </w:r>
      <w:r w:rsidRPr="18E4C9A9" w:rsidR="002405A8">
        <w:rPr>
          <w:rFonts w:ascii="Times New Roman" w:hAnsi="Times New Roman"/>
          <w:sz w:val="24"/>
        </w:rPr>
        <w:t xml:space="preserve"> true when the public perceives </w:t>
      </w:r>
      <w:r w:rsidRPr="18E4C9A9" w:rsidR="00FD5062">
        <w:rPr>
          <w:rFonts w:ascii="Times New Roman" w:hAnsi="Times New Roman"/>
          <w:sz w:val="24"/>
        </w:rPr>
        <w:t xml:space="preserve">there are threats of </w:t>
      </w:r>
      <w:r w:rsidRPr="18E4C9A9" w:rsidR="009603DC">
        <w:rPr>
          <w:rFonts w:ascii="Times New Roman" w:hAnsi="Times New Roman"/>
          <w:sz w:val="24"/>
        </w:rPr>
        <w:t>accidental releases</w:t>
      </w:r>
      <w:r w:rsidRPr="18E4C9A9" w:rsidR="00FD5062">
        <w:rPr>
          <w:rFonts w:ascii="Times New Roman" w:hAnsi="Times New Roman"/>
          <w:sz w:val="24"/>
        </w:rPr>
        <w:t xml:space="preserve"> not addressed </w:t>
      </w:r>
      <w:r w:rsidRPr="18E4C9A9" w:rsidR="009603DC">
        <w:rPr>
          <w:rFonts w:ascii="Times New Roman" w:hAnsi="Times New Roman"/>
          <w:sz w:val="24"/>
        </w:rPr>
        <w:t>by the f</w:t>
      </w:r>
      <w:r w:rsidRPr="18E4C9A9" w:rsidR="00FD5062">
        <w:rPr>
          <w:rFonts w:ascii="Times New Roman" w:hAnsi="Times New Roman"/>
          <w:sz w:val="24"/>
        </w:rPr>
        <w:t>acility</w:t>
      </w:r>
      <w:r w:rsidRPr="18E4C9A9" w:rsidR="009603DC">
        <w:rPr>
          <w:rFonts w:ascii="Times New Roman" w:hAnsi="Times New Roman"/>
          <w:sz w:val="24"/>
        </w:rPr>
        <w:t>.</w:t>
      </w:r>
      <w:r w:rsidRPr="18E4C9A9" w:rsidR="11A506CB">
        <w:rPr>
          <w:rFonts w:ascii="Times New Roman" w:hAnsi="Times New Roman"/>
          <w:sz w:val="24"/>
        </w:rPr>
        <w:t xml:space="preserve"> EPA acknowledges that access to emergency planning information under EPCRA and other </w:t>
      </w:r>
      <w:r w:rsidRPr="18E4C9A9" w:rsidR="562C503E">
        <w:rPr>
          <w:rFonts w:ascii="Times New Roman" w:hAnsi="Times New Roman"/>
          <w:sz w:val="24"/>
        </w:rPr>
        <w:t xml:space="preserve">state and local-implemented </w:t>
      </w:r>
      <w:r w:rsidRPr="18E4C9A9" w:rsidR="11A506CB">
        <w:rPr>
          <w:rFonts w:ascii="Times New Roman" w:hAnsi="Times New Roman"/>
          <w:sz w:val="24"/>
        </w:rPr>
        <w:t>laws</w:t>
      </w:r>
      <w:r w:rsidRPr="18E4C9A9" w:rsidR="4400F156">
        <w:rPr>
          <w:rFonts w:ascii="Times New Roman" w:hAnsi="Times New Roman"/>
          <w:sz w:val="24"/>
        </w:rPr>
        <w:t xml:space="preserve"> has been uneven across the country. Today’s rule will provide a federally-enforceable minimum.</w:t>
      </w:r>
    </w:p>
    <w:p w:rsidR="00021D11" w:rsidP="00021D11" w14:paraId="44212E32" w14:textId="77777777">
      <w:r w:rsidRPr="005D16B3">
        <w:rPr>
          <w:rFonts w:ascii="Times New Roman" w:hAnsi="Times New Roman"/>
          <w:i/>
          <w:sz w:val="24"/>
        </w:rPr>
        <w:t xml:space="preserve">Opposition to requirements to make information available to the public </w:t>
      </w:r>
    </w:p>
    <w:p w:rsidR="00021D11" w:rsidP="00021D11" w14:paraId="47F607A2" w14:textId="77777777">
      <w:pPr>
        <w:rPr>
          <w:rFonts w:ascii="Times New Roman" w:hAnsi="Times New Roman"/>
          <w:color w:val="000000" w:themeColor="text1"/>
          <w:sz w:val="24"/>
        </w:rPr>
      </w:pPr>
      <w:r w:rsidRPr="00D402AB">
        <w:rPr>
          <w:rFonts w:ascii="Times New Roman" w:hAnsi="Times New Roman"/>
          <w:b/>
          <w:sz w:val="24"/>
        </w:rPr>
        <w:t>Comment 13</w:t>
      </w:r>
      <w:r>
        <w:rPr>
          <w:rFonts w:ascii="Times New Roman" w:hAnsi="Times New Roman"/>
          <w:b/>
          <w:sz w:val="24"/>
        </w:rPr>
        <w:t>.1-02</w:t>
      </w:r>
      <w:r w:rsidRPr="00D402AB">
        <w:rPr>
          <w:rFonts w:ascii="Times New Roman" w:hAnsi="Times New Roman"/>
          <w:b/>
          <w:sz w:val="24"/>
        </w:rPr>
        <w:t xml:space="preserve">: </w:t>
      </w:r>
      <w:r w:rsidRPr="00DB5FFA">
        <w:rPr>
          <w:rFonts w:ascii="Times New Roman" w:hAnsi="Times New Roman"/>
          <w:color w:val="000000" w:themeColor="text1"/>
          <w:sz w:val="24"/>
        </w:rPr>
        <w:t>Several commenters generally opposed the proposed information availability requirements (0238, 0165, 0233, 0272, 0207, 0190)</w:t>
      </w:r>
      <w:r>
        <w:rPr>
          <w:rFonts w:ascii="Times New Roman" w:hAnsi="Times New Roman"/>
          <w:color w:val="000000" w:themeColor="text1"/>
          <w:sz w:val="24"/>
        </w:rPr>
        <w:t>.</w:t>
      </w:r>
    </w:p>
    <w:p w:rsidR="00021D11" w:rsidRPr="00F95311" w:rsidP="00021D11" w14:paraId="448FB907" w14:textId="77777777">
      <w:pPr>
        <w:rPr>
          <w:rFonts w:ascii="Times New Roman" w:hAnsi="Times New Roman"/>
          <w:sz w:val="24"/>
        </w:rPr>
      </w:pPr>
      <w:r w:rsidRPr="00F95311">
        <w:rPr>
          <w:rFonts w:ascii="Times New Roman" w:hAnsi="Times New Roman"/>
          <w:color w:val="000000" w:themeColor="text1"/>
          <w:sz w:val="24"/>
        </w:rPr>
        <w:t xml:space="preserve">A commenter stated that the general premise that making the RMP more accessible to the public will encourage facility operators to be more safety conscience via the imposition of “community pressure and oversight” is misguided. The commenter added that requiring members of the public to “pull” the information from the facility does little to promote proactive safety and accident/risk reduction at the fencelines as that public member must first have some idea that a facility </w:t>
      </w:r>
      <w:r w:rsidRPr="50B04357">
        <w:rPr>
          <w:rFonts w:ascii="Times New Roman" w:hAnsi="Times New Roman"/>
          <w:color w:val="000000" w:themeColor="text1"/>
          <w:sz w:val="24"/>
        </w:rPr>
        <w:t>presents</w:t>
      </w:r>
      <w:r w:rsidRPr="00F95311">
        <w:rPr>
          <w:rFonts w:ascii="Times New Roman" w:hAnsi="Times New Roman"/>
          <w:color w:val="000000" w:themeColor="text1"/>
          <w:sz w:val="24"/>
        </w:rPr>
        <w:t xml:space="preserve"> a risk (0241). </w:t>
      </w:r>
      <w:r w:rsidRPr="006F68E9">
        <w:rPr>
          <w:rFonts w:ascii="Times New Roman" w:hAnsi="Times New Roman"/>
          <w:sz w:val="24"/>
        </w:rPr>
        <w:t xml:space="preserve">One commenter disagreed with EPA’s view of community pressure and oversight to minimize incidents (0207). </w:t>
      </w:r>
    </w:p>
    <w:p w:rsidR="00021D11" w:rsidP="00021D11" w14:paraId="58BA1FF4" w14:textId="77777777">
      <w:pPr>
        <w:rPr>
          <w:rFonts w:ascii="Times New Roman" w:hAnsi="Times New Roman"/>
          <w:sz w:val="24"/>
        </w:rPr>
      </w:pPr>
      <w:r w:rsidRPr="006F68E9">
        <w:rPr>
          <w:rFonts w:ascii="Times New Roman" w:hAnsi="Times New Roman"/>
          <w:sz w:val="24"/>
        </w:rPr>
        <w:t xml:space="preserve">One commenter stated that EPA assumption that facilities will receive only one request per year creates confusion as to how this will significantly reduce risks (0239). One commenter asked how one request a year provides any benefit to improving safety at all (0205).  </w:t>
      </w:r>
    </w:p>
    <w:p w:rsidR="00021D11" w:rsidRPr="006F68E9" w:rsidP="00021D11" w14:paraId="7768A862" w14:textId="77777777">
      <w:pPr>
        <w:rPr>
          <w:rFonts w:ascii="Times New Roman" w:hAnsi="Times New Roman"/>
          <w:sz w:val="24"/>
        </w:rPr>
      </w:pPr>
      <w:r w:rsidRPr="006F68E9">
        <w:rPr>
          <w:rFonts w:ascii="Times New Roman" w:hAnsi="Times New Roman"/>
          <w:sz w:val="24"/>
        </w:rPr>
        <w:t xml:space="preserve">Another commenter expressed that public disclosure of information is not a viable proven method to promote regulatory compliance and to improve community understanding of chemical risks (0263). </w:t>
      </w:r>
    </w:p>
    <w:p w:rsidR="00021D11" w:rsidRPr="00207F67" w:rsidP="00021D11" w14:paraId="0510A227" w14:textId="77777777">
      <w:pPr>
        <w:ind w:left="720"/>
        <w:rPr>
          <w:rFonts w:ascii="Times New Roman" w:hAnsi="Times New Roman"/>
          <w:sz w:val="24"/>
        </w:rPr>
      </w:pPr>
      <w:r w:rsidRPr="00207F67">
        <w:rPr>
          <w:rFonts w:ascii="Times New Roman" w:hAnsi="Times New Roman"/>
          <w:b/>
          <w:bCs/>
          <w:sz w:val="24"/>
        </w:rPr>
        <w:t>EPA Response:</w:t>
      </w:r>
      <w:r w:rsidRPr="00207F67">
        <w:rPr>
          <w:rFonts w:ascii="Times New Roman" w:hAnsi="Times New Roman"/>
          <w:sz w:val="24"/>
        </w:rPr>
        <w:t xml:space="preserve"> EPA continues to believe that providing chemical hazard information to the general public will allow people that live or work near a regulated facility to improve their awareness of risks to the community and to be prepared to protect themselves in the event of an accidental release. The public’s ability to participate in emergency planning and readiness is enhanced by being better informed about accident history, types of chemicals present, and how to interact with the stationary source. In drafting both the proposed and final rule, EPA has been selective in identifying what information a source must make available; for example, the Agency has not required the facility to provide an entire RMP to the public. </w:t>
      </w:r>
    </w:p>
    <w:p w:rsidR="00021D11" w:rsidRPr="00207F67" w:rsidP="00021D11" w14:paraId="6A297108" w14:textId="3F08DF73">
      <w:pPr>
        <w:ind w:left="720"/>
        <w:rPr>
          <w:rFonts w:ascii="Times New Roman" w:hAnsi="Times New Roman"/>
          <w:sz w:val="24"/>
        </w:rPr>
      </w:pPr>
      <w:r w:rsidRPr="00207F67">
        <w:rPr>
          <w:rFonts w:ascii="Times New Roman" w:hAnsi="Times New Roman"/>
          <w:sz w:val="24"/>
        </w:rPr>
        <w:t xml:space="preserve">The Agency disagrees that community involvement in prevention and response planning, which in effect is a form of oversight and may be perceived as "pressure," does not have value in minimizing the likelihood of accidental releases and </w:t>
      </w:r>
      <w:r w:rsidR="005D070D">
        <w:rPr>
          <w:rFonts w:ascii="Times New Roman" w:hAnsi="Times New Roman"/>
          <w:sz w:val="24"/>
        </w:rPr>
        <w:t xml:space="preserve">in improving </w:t>
      </w:r>
      <w:r w:rsidRPr="00207F67">
        <w:rPr>
          <w:rFonts w:ascii="Times New Roman" w:hAnsi="Times New Roman"/>
          <w:sz w:val="24"/>
        </w:rPr>
        <w:t xml:space="preserve">the responses to such releases. The statute itself provides support for the Agency’s position by generally making RMPs available to the public, subject to limited restrictions (42 U.S.C. 7414(c), 42 U.S.C. 7412(r)(7)(H)). In the 2022 SCCAP proposed rule, the Agency discussed its multiple means of access to information about a source to facilitate involvement about the risks a source presents (87 FR 53602). The Agency believes every RMP regulated source presents some level of risk, as each regulated source stores and manages toxic or flammable substances which may be accidentally released. Having the source provide the information set out in 40 CFR 68.210 directly to the public within the confines of the final rule promotes accident prevention </w:t>
      </w:r>
      <w:r w:rsidR="00C36460">
        <w:rPr>
          <w:rFonts w:ascii="Times New Roman" w:hAnsi="Times New Roman"/>
          <w:sz w:val="24"/>
        </w:rPr>
        <w:t xml:space="preserve">and response </w:t>
      </w:r>
      <w:r w:rsidRPr="00207F67">
        <w:rPr>
          <w:rFonts w:ascii="Times New Roman" w:hAnsi="Times New Roman"/>
          <w:sz w:val="24"/>
        </w:rPr>
        <w:t xml:space="preserve">by facilitating public participation at the local level. </w:t>
      </w:r>
    </w:p>
    <w:p w:rsidR="00021D11" w:rsidRPr="00207F67" w:rsidP="00021D11" w14:paraId="52E228F4" w14:textId="7559F0BA">
      <w:pPr>
        <w:ind w:left="720"/>
        <w:rPr>
          <w:rFonts w:ascii="Times New Roman" w:hAnsi="Times New Roman"/>
          <w:sz w:val="24"/>
        </w:rPr>
      </w:pPr>
      <w:r w:rsidRPr="003B7470">
        <w:rPr>
          <w:rFonts w:ascii="Times New Roman" w:hAnsi="Times New Roman"/>
          <w:sz w:val="24"/>
        </w:rPr>
        <w:t xml:space="preserve">Under CAA section 112(r)(7)(H)(ii)(I)(bb), </w:t>
      </w:r>
      <w:r w:rsidRPr="00207F67">
        <w:rPr>
          <w:rFonts w:ascii="Times New Roman" w:hAnsi="Times New Roman"/>
          <w:sz w:val="24"/>
        </w:rPr>
        <w:t xml:space="preserve">EPA conducted a benefits assessment in 2000, describing the benefits of providing community access to </w:t>
      </w:r>
      <w:r w:rsidR="003B7470">
        <w:rPr>
          <w:rFonts w:ascii="Times New Roman" w:hAnsi="Times New Roman"/>
          <w:sz w:val="24"/>
        </w:rPr>
        <w:t xml:space="preserve">OCA information specifically but also addressing the benefits of public disclosure of </w:t>
      </w:r>
      <w:r w:rsidRPr="00207F67">
        <w:rPr>
          <w:rFonts w:ascii="Times New Roman" w:hAnsi="Times New Roman"/>
          <w:sz w:val="24"/>
        </w:rPr>
        <w:t xml:space="preserve">risk management plan information. EPA found that public disclosure of risk management plan information would likely lead to a reduction in the number and severity of accidents. It also found that comparisons between facilities, processes and industries would likely lead industry to make changes and would stimulate dialogue among facilities, the public, and local officials to reduce chemical accident risks. The approach taken in this final rule builds upon the planning approach of EPCRA and EPA studies of the value of “right to know” in emergencies. </w:t>
      </w:r>
    </w:p>
    <w:p w:rsidR="00021D11" w:rsidRPr="00C149F8" w:rsidP="00021D11" w14:paraId="494A0BCE" w14:textId="5D1C1425">
      <w:pPr>
        <w:rPr>
          <w:rFonts w:ascii="Times New Roman" w:hAnsi="Times New Roman"/>
          <w:sz w:val="24"/>
        </w:rPr>
      </w:pPr>
      <w:r>
        <w:rPr>
          <w:rFonts w:ascii="Times New Roman" w:hAnsi="Times New Roman"/>
          <w:b/>
          <w:bCs/>
          <w:sz w:val="24"/>
        </w:rPr>
        <w:t xml:space="preserve">Comment 13.1-03: </w:t>
      </w:r>
      <w:r w:rsidRPr="00D067E5">
        <w:rPr>
          <w:rFonts w:ascii="Times New Roman" w:hAnsi="Times New Roman"/>
          <w:sz w:val="24"/>
        </w:rPr>
        <w:t>Several commenters indicated that the proposed information availability requirements would be burdensome for facilities (</w:t>
      </w:r>
      <w:r>
        <w:rPr>
          <w:rFonts w:ascii="Times New Roman" w:hAnsi="Times New Roman"/>
          <w:sz w:val="24"/>
        </w:rPr>
        <w:t xml:space="preserve">0184, </w:t>
      </w:r>
      <w:r w:rsidRPr="00D067E5">
        <w:rPr>
          <w:rFonts w:ascii="Times New Roman" w:hAnsi="Times New Roman"/>
          <w:sz w:val="24"/>
        </w:rPr>
        <w:t>0193, 0196, 0201,</w:t>
      </w:r>
      <w:r>
        <w:rPr>
          <w:rFonts w:ascii="Times New Roman" w:hAnsi="Times New Roman"/>
          <w:sz w:val="24"/>
        </w:rPr>
        <w:t xml:space="preserve"> 0202,</w:t>
      </w:r>
      <w:r w:rsidRPr="00D067E5">
        <w:rPr>
          <w:rFonts w:ascii="Times New Roman" w:hAnsi="Times New Roman"/>
          <w:sz w:val="24"/>
        </w:rPr>
        <w:t xml:space="preserve"> 0213, 0215, </w:t>
      </w:r>
      <w:r>
        <w:rPr>
          <w:rFonts w:ascii="Times New Roman" w:hAnsi="Times New Roman"/>
          <w:sz w:val="24"/>
        </w:rPr>
        <w:t xml:space="preserve">0234, 0239, </w:t>
      </w:r>
      <w:r w:rsidRPr="00D067E5">
        <w:rPr>
          <w:rFonts w:ascii="Times New Roman" w:hAnsi="Times New Roman"/>
          <w:sz w:val="24"/>
        </w:rPr>
        <w:t xml:space="preserve">0268, </w:t>
      </w:r>
      <w:r>
        <w:rPr>
          <w:rFonts w:ascii="Times New Roman" w:hAnsi="Times New Roman"/>
          <w:sz w:val="24"/>
        </w:rPr>
        <w:t xml:space="preserve">0271, </w:t>
      </w:r>
      <w:r w:rsidRPr="00D067E5">
        <w:rPr>
          <w:rFonts w:ascii="Times New Roman" w:hAnsi="Times New Roman"/>
          <w:sz w:val="24"/>
        </w:rPr>
        <w:t>0272</w:t>
      </w:r>
      <w:r>
        <w:rPr>
          <w:rFonts w:ascii="Times New Roman" w:hAnsi="Times New Roman"/>
          <w:sz w:val="24"/>
        </w:rPr>
        <w:t xml:space="preserve">, </w:t>
      </w:r>
      <w:r w:rsidRPr="006F68E9">
        <w:rPr>
          <w:rFonts w:ascii="Times New Roman" w:hAnsi="Times New Roman"/>
          <w:sz w:val="24"/>
        </w:rPr>
        <w:t>0165, 0233</w:t>
      </w:r>
      <w:r w:rsidRPr="00D067E5">
        <w:rPr>
          <w:rFonts w:ascii="Times New Roman" w:hAnsi="Times New Roman"/>
          <w:sz w:val="24"/>
        </w:rPr>
        <w:t xml:space="preserve">). A few commenters stated that EPA underestimates the costs to deliver community information requests (0180, 0226, 0268, 0458). One commenter </w:t>
      </w:r>
      <w:r>
        <w:rPr>
          <w:rFonts w:ascii="Times New Roman" w:hAnsi="Times New Roman"/>
          <w:sz w:val="24"/>
        </w:rPr>
        <w:t>stated</w:t>
      </w:r>
      <w:r w:rsidRPr="00D067E5">
        <w:rPr>
          <w:rFonts w:ascii="Times New Roman" w:hAnsi="Times New Roman"/>
          <w:sz w:val="24"/>
        </w:rPr>
        <w:t xml:space="preserve"> that facilities may not have the expertise for communicating the information as envisioned by EPA (0242). </w:t>
      </w:r>
      <w:r>
        <w:rPr>
          <w:rFonts w:ascii="Times New Roman" w:hAnsi="Times New Roman"/>
          <w:sz w:val="24"/>
        </w:rPr>
        <w:t>Another</w:t>
      </w:r>
      <w:r w:rsidRPr="00D067E5">
        <w:rPr>
          <w:rFonts w:ascii="Times New Roman" w:hAnsi="Times New Roman"/>
          <w:sz w:val="24"/>
        </w:rPr>
        <w:t xml:space="preserve"> commenter stated that the requirement to disclose information would make facilities with covered processes potentially the target of high volumes of requests submitted by individuals or groups (0193). A few commenters stated that EPA underestimates the administrative costs to deliver community information requests (0180, 0226, 0458</w:t>
      </w:r>
      <w:r w:rsidRPr="00D067E5" w:rsidR="00465497">
        <w:rPr>
          <w:rFonts w:ascii="Times New Roman" w:hAnsi="Times New Roman"/>
          <w:sz w:val="24"/>
        </w:rPr>
        <w:t>).</w:t>
      </w:r>
      <w:r w:rsidRPr="006F68E9" w:rsidR="00465497">
        <w:rPr>
          <w:rFonts w:ascii="Times New Roman" w:eastAsia="Times New Roman" w:hAnsi="Times New Roman"/>
          <w:sz w:val="24"/>
        </w:rPr>
        <w:t xml:space="preserve"> One</w:t>
      </w:r>
      <w:r w:rsidRPr="006F68E9">
        <w:rPr>
          <w:rFonts w:ascii="Times New Roman" w:eastAsia="Times New Roman" w:hAnsi="Times New Roman"/>
          <w:sz w:val="24"/>
        </w:rPr>
        <w:t xml:space="preserve"> of the commenters </w:t>
      </w:r>
      <w:r>
        <w:rPr>
          <w:rFonts w:ascii="Times New Roman" w:eastAsia="Times New Roman" w:hAnsi="Times New Roman"/>
          <w:sz w:val="24"/>
        </w:rPr>
        <w:t>said</w:t>
      </w:r>
      <w:r w:rsidRPr="006F68E9">
        <w:rPr>
          <w:rFonts w:ascii="Times New Roman" w:eastAsia="Times New Roman" w:hAnsi="Times New Roman"/>
          <w:sz w:val="24"/>
        </w:rPr>
        <w:t xml:space="preserve"> that the </w:t>
      </w:r>
      <w:r>
        <w:rPr>
          <w:rFonts w:ascii="Times New Roman" w:eastAsia="Times New Roman" w:hAnsi="Times New Roman"/>
          <w:sz w:val="24"/>
        </w:rPr>
        <w:t>p</w:t>
      </w:r>
      <w:r w:rsidRPr="006F68E9">
        <w:rPr>
          <w:rFonts w:ascii="Times New Roman" w:eastAsia="Times New Roman" w:hAnsi="Times New Roman"/>
          <w:sz w:val="24"/>
        </w:rPr>
        <w:t xml:space="preserve">roposed </w:t>
      </w:r>
      <w:r>
        <w:rPr>
          <w:rFonts w:ascii="Times New Roman" w:eastAsia="Times New Roman" w:hAnsi="Times New Roman"/>
          <w:sz w:val="24"/>
        </w:rPr>
        <w:t>r</w:t>
      </w:r>
      <w:r w:rsidRPr="006F68E9">
        <w:rPr>
          <w:rFonts w:ascii="Times New Roman" w:eastAsia="Times New Roman" w:hAnsi="Times New Roman"/>
          <w:sz w:val="24"/>
        </w:rPr>
        <w:t xml:space="preserve">ule would require facilities to expend time, labor, and resources to develop and maintain an information availability program that could have been used to support emergency planning and preparedness efforts (0215). </w:t>
      </w:r>
      <w:r>
        <w:rPr>
          <w:rFonts w:ascii="Times New Roman" w:hAnsi="Times New Roman"/>
          <w:sz w:val="24"/>
        </w:rPr>
        <w:t xml:space="preserve">One </w:t>
      </w:r>
      <w:r w:rsidRPr="006F68E9">
        <w:rPr>
          <w:rFonts w:ascii="Times New Roman" w:hAnsi="Times New Roman"/>
          <w:sz w:val="24"/>
        </w:rPr>
        <w:t>commenter added that EPA should not put the responsibility of vetting community members on facilities (0262).</w:t>
      </w:r>
      <w:r w:rsidRPr="00C149F8">
        <w:rPr>
          <w:rFonts w:ascii="Times New Roman" w:hAnsi="Times New Roman"/>
          <w:sz w:val="24"/>
        </w:rPr>
        <w:t xml:space="preserve"> </w:t>
      </w:r>
      <w:r w:rsidRPr="006F68E9">
        <w:rPr>
          <w:rFonts w:ascii="Times New Roman" w:hAnsi="Times New Roman"/>
          <w:sz w:val="24"/>
        </w:rPr>
        <w:t xml:space="preserve">One commenter stated that unfettered disclosure requests could be used to harm the operations of a facility (0275). </w:t>
      </w: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said</w:t>
      </w:r>
      <w:r w:rsidRPr="006F68E9">
        <w:rPr>
          <w:rFonts w:ascii="Times New Roman" w:hAnsi="Times New Roman"/>
          <w:sz w:val="24"/>
        </w:rPr>
        <w:t xml:space="preserve"> that the list of data elements requires reviews by experts within companies who do not typically address CAA matters, which requires additional consultation internal to the companies to provide meaningful feedback to EPA (0244).</w:t>
      </w:r>
    </w:p>
    <w:p w:rsidR="0051577A" w:rsidRPr="00145A53" w:rsidP="00C259F9" w14:paraId="1BC61CE1" w14:textId="060E019D">
      <w:pPr>
        <w:ind w:left="720"/>
        <w:rPr>
          <w:rFonts w:ascii="Times New Roman" w:hAnsi="Times New Roman" w:eastAsiaTheme="minorHAnsi"/>
          <w:sz w:val="24"/>
        </w:rPr>
      </w:pPr>
      <w:r w:rsidRPr="00F91AE4">
        <w:rPr>
          <w:rFonts w:ascii="Times New Roman" w:eastAsia="Times New Roman" w:hAnsi="Times New Roman"/>
          <w:b/>
          <w:bCs/>
          <w:sz w:val="24"/>
        </w:rPr>
        <w:t>EPA Response:</w:t>
      </w:r>
      <w:r w:rsidRPr="00F91AE4">
        <w:rPr>
          <w:rFonts w:ascii="Times New Roman" w:eastAsia="Times New Roman" w:hAnsi="Times New Roman"/>
          <w:sz w:val="24"/>
        </w:rPr>
        <w:t xml:space="preserve"> </w:t>
      </w:r>
      <w:r w:rsidRPr="00C259F9">
        <w:rPr>
          <w:rFonts w:ascii="Times New Roman" w:eastAsia="Times New Roman" w:hAnsi="Times New Roman"/>
          <w:sz w:val="24"/>
        </w:rPr>
        <w:t>Regarding comments on the burden of the information availability requirements, EPA notes that other statutes and regulatory programs, or other provisions of the RMP, require the stationary source to assemble the information that the rule makes available upon request (e.g., accident history, SDSs, and aspects of the emergency response program).</w:t>
      </w:r>
      <w:r w:rsidRPr="00C259F9" w:rsidR="006918D8">
        <w:rPr>
          <w:rFonts w:ascii="Times New Roman" w:eastAsia="Times New Roman" w:hAnsi="Times New Roman"/>
          <w:sz w:val="24"/>
        </w:rPr>
        <w:t xml:space="preserve"> </w:t>
      </w:r>
      <w:r w:rsidRPr="00C259F9">
        <w:rPr>
          <w:rFonts w:ascii="Times New Roman" w:eastAsia="Times New Roman" w:hAnsi="Times New Roman"/>
          <w:sz w:val="24"/>
        </w:rPr>
        <w:t xml:space="preserve"> </w:t>
      </w:r>
      <w:r w:rsidRPr="00C259F9" w:rsidR="006918D8">
        <w:rPr>
          <w:rFonts w:ascii="Times New Roman" w:hAnsi="Times New Roman"/>
          <w:sz w:val="24"/>
        </w:rPr>
        <w:t xml:space="preserve">The public’s ability to participate in emergency planning and </w:t>
      </w:r>
      <w:r w:rsidRPr="00C259F9" w:rsidR="006918D8">
        <w:rPr>
          <w:rFonts w:ascii="Times New Roman" w:hAnsi="Times New Roman"/>
          <w:sz w:val="24"/>
        </w:rPr>
        <w:t xml:space="preserve">readiness is enhanced by being better informed about accident history, types of chemicals present, and how to interact with the stationary source. In drafting both the proposed and final rule, EPA has been selective in identifying what information a source must make available; for example, the Agency has not required the facility to provide an entire RMP to the public. </w:t>
      </w:r>
      <w:r w:rsidRPr="00C259F9">
        <w:rPr>
          <w:rFonts w:ascii="Times New Roman" w:eastAsia="Times New Roman" w:hAnsi="Times New Roman"/>
          <w:sz w:val="24"/>
        </w:rPr>
        <w:t xml:space="preserve">Thus, the burden of making this information directly available from the source is </w:t>
      </w:r>
      <w:r w:rsidRPr="00C259F9" w:rsidR="004A51CE">
        <w:rPr>
          <w:rFonts w:ascii="Times New Roman" w:eastAsia="Times New Roman" w:hAnsi="Times New Roman"/>
          <w:sz w:val="24"/>
        </w:rPr>
        <w:t>minimal</w:t>
      </w:r>
      <w:r w:rsidRPr="00F91AE4" w:rsidR="004A51CE">
        <w:rPr>
          <w:rFonts w:ascii="Times New Roman" w:eastAsia="Times New Roman" w:hAnsi="Times New Roman"/>
          <w:sz w:val="24"/>
        </w:rPr>
        <w:t>.</w:t>
      </w:r>
      <w:r w:rsidR="004A51CE">
        <w:rPr>
          <w:rFonts w:ascii="Times New Roman" w:eastAsia="Times New Roman" w:hAnsi="Times New Roman"/>
          <w:sz w:val="24"/>
        </w:rPr>
        <w:t xml:space="preserve"> Further</w:t>
      </w:r>
      <w:r w:rsidR="00EB5DEA">
        <w:rPr>
          <w:rFonts w:ascii="Times New Roman" w:eastAsia="Times New Roman" w:hAnsi="Times New Roman"/>
          <w:sz w:val="24"/>
        </w:rPr>
        <w:t>, t</w:t>
      </w:r>
      <w:r w:rsidRPr="00145A53" w:rsidR="00E47BDB">
        <w:rPr>
          <w:rFonts w:ascii="Times New Roman" w:eastAsia="Times New Roman" w:hAnsi="Times New Roman"/>
          <w:sz w:val="24"/>
        </w:rPr>
        <w:t xml:space="preserve">he </w:t>
      </w:r>
      <w:r w:rsidR="00470E31">
        <w:rPr>
          <w:rFonts w:ascii="Times New Roman" w:eastAsia="Times New Roman" w:hAnsi="Times New Roman"/>
          <w:sz w:val="24"/>
        </w:rPr>
        <w:t xml:space="preserve">final rule </w:t>
      </w:r>
      <w:r w:rsidR="004A51CE">
        <w:rPr>
          <w:rFonts w:ascii="Times New Roman" w:eastAsia="Times New Roman" w:hAnsi="Times New Roman"/>
          <w:sz w:val="24"/>
        </w:rPr>
        <w:t xml:space="preserve">RIA </w:t>
      </w:r>
      <w:r w:rsidRPr="00145A53" w:rsidR="00E47BDB">
        <w:rPr>
          <w:rFonts w:ascii="Times New Roman" w:eastAsia="Times New Roman" w:hAnsi="Times New Roman"/>
          <w:sz w:val="24"/>
        </w:rPr>
        <w:t xml:space="preserve">estimates </w:t>
      </w:r>
      <w:r w:rsidRPr="00145A53" w:rsidR="0045260E">
        <w:rPr>
          <w:rFonts w:ascii="Times New Roman" w:eastAsia="Times New Roman" w:hAnsi="Times New Roman"/>
          <w:sz w:val="24"/>
        </w:rPr>
        <w:t xml:space="preserve">costs </w:t>
      </w:r>
      <w:r w:rsidR="00A87B0D">
        <w:rPr>
          <w:rFonts w:ascii="Times New Roman" w:eastAsia="Times New Roman" w:hAnsi="Times New Roman"/>
          <w:sz w:val="24"/>
        </w:rPr>
        <w:t xml:space="preserve">to </w:t>
      </w:r>
      <w:r w:rsidR="003138AF">
        <w:rPr>
          <w:rFonts w:ascii="Times New Roman" w:eastAsia="Times New Roman" w:hAnsi="Times New Roman"/>
          <w:sz w:val="24"/>
        </w:rPr>
        <w:t>develop and maintain</w:t>
      </w:r>
      <w:r w:rsidR="005F072B">
        <w:rPr>
          <w:rFonts w:ascii="Times New Roman" w:eastAsia="Times New Roman" w:hAnsi="Times New Roman"/>
          <w:sz w:val="24"/>
        </w:rPr>
        <w:t xml:space="preserve"> an information availability program</w:t>
      </w:r>
      <w:r w:rsidRPr="00145A53">
        <w:rPr>
          <w:rFonts w:ascii="Times New Roman" w:hAnsi="Times New Roman"/>
          <w:sz w:val="24"/>
        </w:rPr>
        <w:t>.</w:t>
      </w:r>
      <w:r w:rsidR="00A87B0D">
        <w:rPr>
          <w:rFonts w:ascii="Times New Roman" w:hAnsi="Times New Roman"/>
          <w:sz w:val="24"/>
        </w:rPr>
        <w:t xml:space="preserve"> See </w:t>
      </w:r>
      <w:r w:rsidR="00E95A14">
        <w:rPr>
          <w:rFonts w:ascii="Times New Roman" w:hAnsi="Times New Roman"/>
          <w:sz w:val="24"/>
        </w:rPr>
        <w:t>S</w:t>
      </w:r>
      <w:r w:rsidR="00A87B0D">
        <w:rPr>
          <w:rFonts w:ascii="Times New Roman" w:hAnsi="Times New Roman"/>
          <w:sz w:val="24"/>
        </w:rPr>
        <w:t xml:space="preserve">ection </w:t>
      </w:r>
      <w:r w:rsidR="00E95A14">
        <w:rPr>
          <w:rFonts w:ascii="Times New Roman" w:hAnsi="Times New Roman"/>
          <w:sz w:val="24"/>
        </w:rPr>
        <w:t>4.7 of the RIA for a discussion on the costs estimated for th</w:t>
      </w:r>
      <w:r w:rsidR="00465497">
        <w:rPr>
          <w:rFonts w:ascii="Times New Roman" w:hAnsi="Times New Roman"/>
          <w:sz w:val="24"/>
        </w:rPr>
        <w:t>is</w:t>
      </w:r>
      <w:r w:rsidR="00E95A14">
        <w:rPr>
          <w:rFonts w:ascii="Times New Roman" w:hAnsi="Times New Roman"/>
          <w:sz w:val="24"/>
        </w:rPr>
        <w:t xml:space="preserve"> provision. </w:t>
      </w:r>
    </w:p>
    <w:p w:rsidR="00021D11" w:rsidP="00021D11" w14:paraId="62A58D7E" w14:textId="77777777">
      <w:pPr>
        <w:rPr>
          <w:rFonts w:ascii="Times New Roman" w:hAnsi="Times New Roman"/>
          <w:sz w:val="24"/>
        </w:rPr>
      </w:pPr>
      <w:r>
        <w:rPr>
          <w:rFonts w:ascii="Times New Roman" w:hAnsi="Times New Roman"/>
          <w:b/>
          <w:bCs/>
          <w:sz w:val="24"/>
        </w:rPr>
        <w:t xml:space="preserve">Comment 13.1-04: </w:t>
      </w:r>
      <w:r w:rsidRPr="00FD2779">
        <w:rPr>
          <w:rFonts w:ascii="Times New Roman" w:hAnsi="Times New Roman"/>
          <w:sz w:val="24"/>
        </w:rPr>
        <w:t>Commenters</w:t>
      </w:r>
      <w:r w:rsidRPr="006F68E9">
        <w:rPr>
          <w:rFonts w:ascii="Times New Roman" w:hAnsi="Times New Roman"/>
          <w:sz w:val="24"/>
        </w:rPr>
        <w:t xml:space="preserve"> stated that the disclosure of raw information about a process the community does not understand may cause unfounded fears</w:t>
      </w:r>
      <w:r>
        <w:rPr>
          <w:rFonts w:ascii="Times New Roman" w:hAnsi="Times New Roman"/>
          <w:sz w:val="24"/>
        </w:rPr>
        <w:t xml:space="preserve"> or anxiety</w:t>
      </w:r>
      <w:r w:rsidRPr="006F68E9">
        <w:rPr>
          <w:rFonts w:ascii="Times New Roman" w:hAnsi="Times New Roman"/>
          <w:sz w:val="24"/>
        </w:rPr>
        <w:t xml:space="preserve"> in members of the community instead of benefiting them</w:t>
      </w:r>
      <w:r>
        <w:rPr>
          <w:rFonts w:ascii="Times New Roman" w:hAnsi="Times New Roman"/>
          <w:sz w:val="24"/>
        </w:rPr>
        <w:t xml:space="preserve"> and stated</w:t>
      </w:r>
      <w:r w:rsidRPr="00750528">
        <w:rPr>
          <w:rFonts w:ascii="Times New Roman" w:hAnsi="Times New Roman"/>
          <w:sz w:val="24"/>
        </w:rPr>
        <w:t xml:space="preserve"> that facilities may not have the expertise for communicating the information as envisioned by EPA </w:t>
      </w:r>
      <w:r w:rsidRPr="006F68E9">
        <w:rPr>
          <w:rFonts w:ascii="Times New Roman" w:hAnsi="Times New Roman"/>
          <w:sz w:val="24"/>
        </w:rPr>
        <w:t>(0190</w:t>
      </w:r>
      <w:r>
        <w:rPr>
          <w:rFonts w:ascii="Times New Roman" w:hAnsi="Times New Roman"/>
          <w:sz w:val="24"/>
        </w:rPr>
        <w:t xml:space="preserve">, 0242, </w:t>
      </w:r>
      <w:r w:rsidRPr="0055320A">
        <w:rPr>
          <w:rFonts w:ascii="Times New Roman" w:hAnsi="Times New Roman"/>
          <w:color w:val="000000" w:themeColor="text1"/>
          <w:sz w:val="24"/>
        </w:rPr>
        <w:t>0238</w:t>
      </w:r>
      <w:r w:rsidRPr="006F68E9">
        <w:rPr>
          <w:rFonts w:ascii="Times New Roman" w:hAnsi="Times New Roman"/>
          <w:sz w:val="24"/>
        </w:rPr>
        <w:t xml:space="preserve">). </w:t>
      </w:r>
    </w:p>
    <w:p w:rsidR="00021D11" w:rsidRPr="00F83F0C" w:rsidP="00021D11" w14:paraId="0431F48B" w14:textId="77777777">
      <w:pPr>
        <w:ind w:left="720"/>
        <w:rPr>
          <w:rFonts w:ascii="Times New Roman" w:hAnsi="Times New Roman"/>
          <w:sz w:val="24"/>
        </w:rPr>
      </w:pPr>
      <w:r w:rsidRPr="00F83F0C">
        <w:rPr>
          <w:rFonts w:ascii="Times New Roman" w:hAnsi="Times New Roman"/>
          <w:b/>
          <w:bCs/>
          <w:sz w:val="24"/>
        </w:rPr>
        <w:t>EPA Response:</w:t>
      </w:r>
      <w:r>
        <w:rPr>
          <w:rFonts w:ascii="Times New Roman" w:hAnsi="Times New Roman"/>
          <w:sz w:val="24"/>
        </w:rPr>
        <w:t xml:space="preserve"> </w:t>
      </w:r>
      <w:r w:rsidRPr="00F83F0C">
        <w:rPr>
          <w:rFonts w:ascii="Times New Roman" w:hAnsi="Times New Roman"/>
          <w:sz w:val="24"/>
        </w:rPr>
        <w:t>While EPA acknowledges the potential for “community anxiety” as a result from the affected public having easier access to information about safety risks, public participation in the pre-rulemaking listening sessions and during the public hearings in this rulemaking demonstrate that anxiety among the public near facilities already plainly exists as a result of the more cumbersome disclosure authorizations of the current rule. The Agency expects a more informed and involved public, as a result of this final rule, to have less fear of the unknown.</w:t>
      </w:r>
    </w:p>
    <w:p w:rsidR="00021D11" w:rsidRPr="00D402AB" w:rsidP="00021D11" w14:paraId="0B7F1CD7" w14:textId="77777777">
      <w:pPr>
        <w:rPr>
          <w:rFonts w:ascii="Times New Roman" w:hAnsi="Times New Roman"/>
          <w:b/>
          <w:sz w:val="24"/>
        </w:rPr>
      </w:pPr>
      <w:r w:rsidRPr="006C26C6">
        <w:rPr>
          <w:rFonts w:ascii="Times New Roman" w:hAnsi="Times New Roman"/>
          <w:b/>
          <w:bCs/>
          <w:sz w:val="24"/>
        </w:rPr>
        <w:t>Comment</w:t>
      </w:r>
      <w:r>
        <w:rPr>
          <w:rFonts w:ascii="Times New Roman" w:hAnsi="Times New Roman"/>
          <w:b/>
          <w:bCs/>
          <w:sz w:val="24"/>
        </w:rPr>
        <w:t xml:space="preserve"> 13.1-05</w:t>
      </w:r>
      <w:r w:rsidRPr="006C26C6">
        <w:rPr>
          <w:rFonts w:ascii="Times New Roman" w:hAnsi="Times New Roman"/>
          <w:b/>
          <w:bCs/>
          <w:sz w:val="24"/>
        </w:rPr>
        <w:t>:</w:t>
      </w:r>
      <w:r>
        <w:rPr>
          <w:rFonts w:ascii="Times New Roman" w:hAnsi="Times New Roman"/>
          <w:sz w:val="24"/>
        </w:rPr>
        <w:t xml:space="preserve"> </w:t>
      </w:r>
      <w:r w:rsidRPr="00D402AB">
        <w:rPr>
          <w:rFonts w:ascii="Times New Roman" w:hAnsi="Times New Roman"/>
          <w:sz w:val="24"/>
        </w:rPr>
        <w:t>A couple of commenters stated that</w:t>
      </w:r>
      <w:r>
        <w:rPr>
          <w:rFonts w:ascii="Times New Roman" w:hAnsi="Times New Roman"/>
          <w:sz w:val="24"/>
        </w:rPr>
        <w:t xml:space="preserve"> </w:t>
      </w:r>
      <w:r w:rsidRPr="00D402AB">
        <w:rPr>
          <w:rFonts w:ascii="Times New Roman" w:hAnsi="Times New Roman"/>
          <w:sz w:val="24"/>
        </w:rPr>
        <w:t>EPA’s prop</w:t>
      </w:r>
      <w:r>
        <w:rPr>
          <w:rFonts w:ascii="Times New Roman" w:hAnsi="Times New Roman"/>
          <w:sz w:val="24"/>
        </w:rPr>
        <w:t xml:space="preserve">osed information availability requirements are </w:t>
      </w:r>
      <w:r w:rsidRPr="00D402AB">
        <w:rPr>
          <w:rFonts w:ascii="Times New Roman" w:hAnsi="Times New Roman"/>
          <w:sz w:val="24"/>
        </w:rPr>
        <w:t>unnecessary as regulations under Title III of SARA already gives the public access to chemical hazard information (0217, 0234).</w:t>
      </w:r>
    </w:p>
    <w:p w:rsidR="00021D11" w:rsidP="00D106C3" w14:paraId="26821B41" w14:textId="77777777">
      <w:pPr>
        <w:rPr>
          <w:rFonts w:ascii="Times New Roman" w:eastAsia="Times New Roman" w:hAnsi="Times New Roman"/>
          <w:color w:val="000000" w:themeColor="text1"/>
          <w:sz w:val="24"/>
        </w:rPr>
      </w:pPr>
      <w:r w:rsidRPr="006C26C6">
        <w:rPr>
          <w:rFonts w:ascii="Times New Roman" w:hAnsi="Times New Roman"/>
          <w:color w:val="000000" w:themeColor="text1"/>
          <w:sz w:val="24"/>
        </w:rPr>
        <w:t xml:space="preserve">A few commenters </w:t>
      </w:r>
      <w:r>
        <w:rPr>
          <w:rFonts w:ascii="Times New Roman" w:hAnsi="Times New Roman"/>
          <w:color w:val="000000" w:themeColor="text1"/>
          <w:sz w:val="24"/>
        </w:rPr>
        <w:t>said</w:t>
      </w:r>
      <w:r w:rsidRPr="006C26C6">
        <w:rPr>
          <w:rFonts w:ascii="Times New Roman" w:hAnsi="Times New Roman"/>
          <w:color w:val="000000" w:themeColor="text1"/>
          <w:sz w:val="24"/>
        </w:rPr>
        <w:t xml:space="preserve"> that the proposed requirements would be duplicative of EPCRA (</w:t>
      </w:r>
      <w:r>
        <w:rPr>
          <w:rFonts w:ascii="Times New Roman" w:hAnsi="Times New Roman"/>
          <w:color w:val="000000" w:themeColor="text1"/>
          <w:sz w:val="24"/>
        </w:rPr>
        <w:t xml:space="preserve">0164, </w:t>
      </w:r>
      <w:r w:rsidRPr="006C26C6">
        <w:rPr>
          <w:rFonts w:ascii="Times New Roman" w:hAnsi="Times New Roman"/>
          <w:color w:val="000000" w:themeColor="text1"/>
          <w:sz w:val="24"/>
        </w:rPr>
        <w:t>0196, 0233, 0262, 0267, 0268</w:t>
      </w:r>
      <w:r>
        <w:rPr>
          <w:rFonts w:ascii="Times New Roman" w:hAnsi="Times New Roman"/>
          <w:color w:val="000000" w:themeColor="text1"/>
          <w:sz w:val="24"/>
        </w:rPr>
        <w:t>, 0272</w:t>
      </w:r>
      <w:r w:rsidRPr="006C26C6">
        <w:rPr>
          <w:rFonts w:ascii="Times New Roman" w:hAnsi="Times New Roman"/>
          <w:color w:val="000000" w:themeColor="text1"/>
          <w:sz w:val="24"/>
        </w:rPr>
        <w:t xml:space="preserve">). </w:t>
      </w:r>
      <w:r w:rsidRPr="006C26C6">
        <w:rPr>
          <w:rFonts w:ascii="Times New Roman" w:eastAsia="Times New Roman" w:hAnsi="Times New Roman"/>
          <w:color w:val="000000" w:themeColor="text1"/>
          <w:sz w:val="24"/>
        </w:rPr>
        <w:t>Some commenters recommended EPA consider existing programs that already require facilities to report specific information (0196, 0215, 0233, 0267).</w:t>
      </w:r>
      <w:r>
        <w:rPr>
          <w:rFonts w:ascii="Times New Roman" w:eastAsia="Times New Roman" w:hAnsi="Times New Roman"/>
          <w:color w:val="000000" w:themeColor="text1"/>
          <w:sz w:val="24"/>
        </w:rPr>
        <w:t xml:space="preserve"> </w:t>
      </w:r>
    </w:p>
    <w:p w:rsidR="00021D11" w:rsidP="00D106C3" w14:paraId="685C5A76" w14:textId="77777777">
      <w:pPr>
        <w:rPr>
          <w:rFonts w:ascii="Times New Roman" w:eastAsia="Times New Roman" w:hAnsi="Times New Roman"/>
          <w:color w:val="000000" w:themeColor="text1"/>
          <w:sz w:val="24"/>
        </w:rPr>
      </w:pPr>
      <w:r w:rsidRPr="006F68E9">
        <w:rPr>
          <w:rFonts w:ascii="Times New Roman" w:hAnsi="Times New Roman"/>
          <w:sz w:val="24"/>
        </w:rPr>
        <w:t>Another commenter stated that the proposed language does not provide any new information for the public and local responders. The commenter added that information must already be disclosed under EPCRA (0268).</w:t>
      </w:r>
    </w:p>
    <w:p w:rsidR="00021D11" w:rsidRPr="006D0D9A" w:rsidP="00021D11" w14:paraId="3A075681" w14:textId="77777777">
      <w:pPr>
        <w:rPr>
          <w:rFonts w:ascii="Times New Roman" w:eastAsia="Times New Roman" w:hAnsi="Times New Roman"/>
          <w:sz w:val="24"/>
        </w:rPr>
      </w:pPr>
      <w:r w:rsidRPr="006F68E9">
        <w:rPr>
          <w:rFonts w:ascii="Times New Roman" w:eastAsia="Times New Roman" w:hAnsi="Times New Roman"/>
          <w:sz w:val="24"/>
        </w:rPr>
        <w:t xml:space="preserve">One commenter </w:t>
      </w:r>
      <w:r>
        <w:rPr>
          <w:rFonts w:ascii="Times New Roman" w:eastAsia="Times New Roman" w:hAnsi="Times New Roman"/>
          <w:sz w:val="24"/>
        </w:rPr>
        <w:t>recommended</w:t>
      </w:r>
      <w:r w:rsidRPr="006F68E9">
        <w:rPr>
          <w:rFonts w:ascii="Times New Roman" w:eastAsia="Times New Roman" w:hAnsi="Times New Roman"/>
          <w:sz w:val="24"/>
        </w:rPr>
        <w:t xml:space="preserve"> that facilities also report information in a facility’s OCA (0196). Another commenter stated that providing the information to the public residing within 6-miles of the stationary source is redundant as it is already available to the public via the facility’s annual Tier II filing (0158).</w:t>
      </w:r>
    </w:p>
    <w:p w:rsidR="00021D11" w:rsidRPr="00F835AE" w:rsidP="39812A16" w14:paraId="5A74FF79" w14:textId="5B440205">
      <w:pPr>
        <w:ind w:left="720"/>
        <w:rPr>
          <w:rFonts w:ascii="Times New Roman" w:hAnsi="Times New Roman"/>
          <w:sz w:val="24"/>
        </w:rPr>
      </w:pPr>
      <w:r w:rsidRPr="0015635A">
        <w:rPr>
          <w:rFonts w:ascii="Times New Roman" w:eastAsia="Times New Roman" w:hAnsi="Times New Roman"/>
          <w:b/>
          <w:sz w:val="24"/>
        </w:rPr>
        <w:t>EPA Response:</w:t>
      </w:r>
      <w:r w:rsidRPr="0015635A">
        <w:rPr>
          <w:rFonts w:ascii="Times New Roman" w:eastAsia="Times New Roman" w:hAnsi="Times New Roman"/>
          <w:sz w:val="24"/>
        </w:rPr>
        <w:t xml:space="preserve"> </w:t>
      </w:r>
      <w:r w:rsidRPr="00C52733" w:rsidR="00C52733">
        <w:t xml:space="preserve"> </w:t>
      </w:r>
      <w:r w:rsidRPr="00F835AE" w:rsidR="00DC6566">
        <w:rPr>
          <w:rFonts w:ascii="Times New Roman" w:hAnsi="Times New Roman"/>
          <w:sz w:val="24"/>
        </w:rPr>
        <w:t>T</w:t>
      </w:r>
      <w:r w:rsidRPr="00F835AE" w:rsidR="00C52733">
        <w:rPr>
          <w:rFonts w:ascii="Times New Roman" w:hAnsi="Times New Roman"/>
          <w:sz w:val="24"/>
        </w:rPr>
        <w:t>he approach taken in this final rule builds upon the planning approach of EPCRA and EPA studies of the value of “right to know” in emergencies</w:t>
      </w:r>
      <w:r w:rsidR="00FE5BD3">
        <w:rPr>
          <w:rFonts w:ascii="Times New Roman" w:hAnsi="Times New Roman"/>
          <w:sz w:val="24"/>
        </w:rPr>
        <w:t>. E</w:t>
      </w:r>
      <w:r w:rsidRPr="00F835AE">
        <w:rPr>
          <w:rFonts w:ascii="Times New Roman" w:eastAsia="Times New Roman" w:hAnsi="Times New Roman"/>
          <w:sz w:val="24"/>
        </w:rPr>
        <w:t>PA believes that this information should be more easily accessible to the public than the existing approaches to access information under EPCRA and other programs/regulations.</w:t>
      </w:r>
      <w:r w:rsidRPr="00F835AE" w:rsidR="00F835AE">
        <w:rPr>
          <w:rFonts w:ascii="Times New Roman" w:eastAsia="Times New Roman" w:hAnsi="Times New Roman"/>
          <w:sz w:val="24"/>
        </w:rPr>
        <w:t xml:space="preserve"> </w:t>
      </w:r>
      <w:r w:rsidR="008B1C49">
        <w:rPr>
          <w:rFonts w:ascii="Times New Roman" w:hAnsi="Times New Roman"/>
          <w:sz w:val="24"/>
        </w:rPr>
        <w:t>The Agency</w:t>
      </w:r>
      <w:r w:rsidRPr="00F835AE" w:rsidR="00F835AE">
        <w:rPr>
          <w:rFonts w:ascii="Times New Roman" w:hAnsi="Times New Roman"/>
          <w:sz w:val="24"/>
        </w:rPr>
        <w:t xml:space="preserve"> believes that providing information solely to LEPCs</w:t>
      </w:r>
      <w:r w:rsidR="00434B09">
        <w:rPr>
          <w:rFonts w:ascii="Times New Roman" w:hAnsi="Times New Roman"/>
          <w:sz w:val="24"/>
        </w:rPr>
        <w:t xml:space="preserve"> or local responders</w:t>
      </w:r>
      <w:r w:rsidRPr="00F835AE" w:rsidR="00F835AE">
        <w:rPr>
          <w:rFonts w:ascii="Times New Roman" w:hAnsi="Times New Roman"/>
          <w:sz w:val="24"/>
        </w:rPr>
        <w:t xml:space="preserve"> would not be sufficient or improve safety as effectively as additionally requiring that information be provided directly to the affected public.</w:t>
      </w:r>
      <w:r w:rsidRPr="39812A16" w:rsidR="1E5E6D77">
        <w:rPr>
          <w:rFonts w:ascii="Times New Roman" w:hAnsi="Times New Roman"/>
          <w:sz w:val="24"/>
        </w:rPr>
        <w:t xml:space="preserve"> </w:t>
      </w:r>
    </w:p>
    <w:p w:rsidR="00021D11" w:rsidRPr="00F835AE" w:rsidP="39812A16" w14:paraId="102FD1F9" w14:textId="55EDA84A">
      <w:pPr>
        <w:ind w:left="720"/>
        <w:rPr>
          <w:rFonts w:ascii="Times New Roman" w:hAnsi="Times New Roman"/>
          <w:sz w:val="24"/>
        </w:rPr>
      </w:pPr>
      <w:r w:rsidRPr="39812A16">
        <w:rPr>
          <w:rFonts w:ascii="Times New Roman" w:hAnsi="Times New Roman"/>
          <w:sz w:val="24"/>
        </w:rPr>
        <w:t>EPA acknowledges that access to emergency planning information under EPCRA and other state and local-implemented laws has been uneven across the country. Today’s rule will provide a federally-enforceable minimum.</w:t>
      </w:r>
    </w:p>
    <w:p w:rsidR="00024ECF" w:rsidRPr="00024ECF" w:rsidP="00024ECF" w14:paraId="5D08F52B" w14:textId="1674FF5E">
      <w:pPr>
        <w:widowControl w:val="0"/>
        <w:ind w:left="720"/>
        <w:rPr>
          <w:rFonts w:ascii="Times New Roman" w:hAnsi="Times New Roman"/>
          <w:sz w:val="24"/>
        </w:rPr>
      </w:pPr>
      <w:r w:rsidRPr="00F835AE">
        <w:rPr>
          <w:rFonts w:ascii="Times New Roman" w:hAnsi="Times New Roman"/>
          <w:sz w:val="24"/>
        </w:rPr>
        <w:t xml:space="preserve">Further, </w:t>
      </w:r>
      <w:r w:rsidRPr="00024ECF">
        <w:rPr>
          <w:rFonts w:ascii="Times New Roman" w:hAnsi="Times New Roman"/>
          <w:sz w:val="24"/>
        </w:rPr>
        <w:t xml:space="preserve">EPA is committed to safeguarding OCA information in accordance with </w:t>
      </w:r>
      <w:r w:rsidRPr="00024ECF">
        <w:rPr>
          <w:rFonts w:ascii="Times New Roman" w:hAnsi="Times New Roman"/>
          <w:sz w:val="24"/>
        </w:rPr>
        <w:t>requirements specified in the CSISSFRRA, which allows for any member of the public to access paper copies of OCA information for a limited number of facilities. This OCA information remains accessible to the public only in Federal Reading Rooms</w:t>
      </w:r>
      <w:r w:rsidRPr="000B273E" w:rsidR="000B273E">
        <w:rPr>
          <w:rStyle w:val="Heading4Char"/>
          <w:color w:val="000000" w:themeColor="text1"/>
        </w:rPr>
        <w:t xml:space="preserve"> </w:t>
      </w:r>
      <w:r w:rsidRPr="000B273E" w:rsidR="000B273E">
        <w:rPr>
          <w:rFonts w:ascii="Times New Roman" w:hAnsi="Times New Roman"/>
          <w:sz w:val="24"/>
        </w:rPr>
        <w:t>or upon voluntary disclosure by the source itself. CAA section112(r)(7)(H)(v)(III).</w:t>
      </w:r>
      <w:r>
        <w:rPr>
          <w:rFonts w:ascii="Times New Roman" w:hAnsi="Times New Roman"/>
          <w:sz w:val="24"/>
          <w:vertAlign w:val="superscript"/>
        </w:rPr>
        <w:footnoteReference w:id="154"/>
      </w:r>
    </w:p>
    <w:p w:rsidR="00021D11" w:rsidP="00021D11" w14:paraId="44F6045D" w14:textId="77777777">
      <w:r w:rsidRPr="005D16B3">
        <w:rPr>
          <w:rFonts w:ascii="Times New Roman" w:hAnsi="Times New Roman"/>
          <w:i/>
          <w:sz w:val="24"/>
        </w:rPr>
        <w:t>Recommended revisions to requirements to make information available to the public</w:t>
      </w:r>
    </w:p>
    <w:p w:rsidR="00021D11" w:rsidRPr="00C27C40" w:rsidP="00021D11" w14:paraId="2D122D5E" w14:textId="77777777">
      <w:pPr>
        <w:rPr>
          <w:rFonts w:ascii="Times New Roman" w:hAnsi="Times New Roman"/>
          <w:sz w:val="24"/>
        </w:rPr>
      </w:pPr>
      <w:r w:rsidRPr="00C27C40">
        <w:rPr>
          <w:rFonts w:ascii="Times New Roman" w:hAnsi="Times New Roman"/>
          <w:b/>
          <w:bCs/>
          <w:sz w:val="24"/>
        </w:rPr>
        <w:t>Comment</w:t>
      </w:r>
      <w:r>
        <w:rPr>
          <w:rFonts w:ascii="Times New Roman" w:hAnsi="Times New Roman"/>
          <w:b/>
          <w:bCs/>
          <w:sz w:val="24"/>
        </w:rPr>
        <w:t xml:space="preserve"> 13.1-06</w:t>
      </w:r>
      <w:r w:rsidRPr="00C27C40">
        <w:rPr>
          <w:rFonts w:ascii="Times New Roman" w:hAnsi="Times New Roman"/>
          <w:b/>
          <w:bCs/>
          <w:sz w:val="24"/>
        </w:rPr>
        <w:t>:</w:t>
      </w:r>
      <w:r w:rsidRPr="00C27C40">
        <w:rPr>
          <w:rFonts w:ascii="Times New Roman" w:hAnsi="Times New Roman"/>
          <w:sz w:val="24"/>
        </w:rPr>
        <w:t xml:space="preserve"> Several commenters provided recommendations for increasing information sharing in addition to the provisions in the proposed rule (0164, 0198, 0220, 0248, 0254, 0257, 0266, 0270, 0276, 0402, 0444). These recommendations are discussed further </w:t>
      </w:r>
      <w:r>
        <w:rPr>
          <w:rFonts w:ascii="Times New Roman" w:hAnsi="Times New Roman"/>
          <w:sz w:val="24"/>
        </w:rPr>
        <w:t xml:space="preserve">throughout this section. </w:t>
      </w:r>
      <w:r w:rsidRPr="00C27C40">
        <w:rPr>
          <w:rFonts w:ascii="Times New Roman" w:hAnsi="Times New Roman"/>
          <w:sz w:val="24"/>
        </w:rPr>
        <w:t xml:space="preserve"> </w:t>
      </w:r>
    </w:p>
    <w:p w:rsidR="00021D11" w:rsidP="00021D11" w14:paraId="2D6330DD" w14:textId="77777777">
      <w:pPr>
        <w:rPr>
          <w:rFonts w:ascii="Times New Roman" w:hAnsi="Times New Roman"/>
          <w:sz w:val="24"/>
        </w:rPr>
      </w:pPr>
      <w:r w:rsidRPr="00F95311">
        <w:rPr>
          <w:rFonts w:ascii="Times New Roman" w:hAnsi="Times New Roman"/>
          <w:color w:val="000000" w:themeColor="text1"/>
          <w:sz w:val="24"/>
        </w:rPr>
        <w:t xml:space="preserve">Several commenters </w:t>
      </w:r>
      <w:r>
        <w:rPr>
          <w:rFonts w:ascii="Times New Roman" w:hAnsi="Times New Roman"/>
          <w:color w:val="000000" w:themeColor="text1"/>
          <w:sz w:val="24"/>
        </w:rPr>
        <w:t>stated</w:t>
      </w:r>
      <w:r w:rsidRPr="00F95311">
        <w:rPr>
          <w:rFonts w:ascii="Times New Roman" w:hAnsi="Times New Roman"/>
          <w:color w:val="000000" w:themeColor="text1"/>
          <w:sz w:val="24"/>
        </w:rPr>
        <w:t xml:space="preserve"> that due to the complex technical information in technical documents such as SDSs, it will have limited value or use to the public, and instead EPA efforts should focus on improving LEPC’s ability to interpret the information (0180, 0205, 0217, 0226, 0263, 0230, 0234, 0458). One commenter </w:t>
      </w:r>
      <w:r>
        <w:rPr>
          <w:rFonts w:ascii="Times New Roman" w:hAnsi="Times New Roman"/>
          <w:color w:val="000000" w:themeColor="text1"/>
          <w:sz w:val="24"/>
        </w:rPr>
        <w:t>said</w:t>
      </w:r>
      <w:r w:rsidRPr="00F95311">
        <w:rPr>
          <w:rFonts w:ascii="Times New Roman" w:hAnsi="Times New Roman"/>
          <w:color w:val="000000" w:themeColor="text1"/>
          <w:sz w:val="24"/>
        </w:rPr>
        <w:t xml:space="preserve"> that the LEPC should be provided with relevant chemical hazard information, which then could be shared with local citizens (0215). </w:t>
      </w:r>
      <w:r w:rsidRPr="006F68E9">
        <w:rPr>
          <w:rFonts w:ascii="Times New Roman" w:hAnsi="Times New Roman"/>
          <w:sz w:val="24"/>
        </w:rPr>
        <w:t xml:space="preserve">One commenter stated that information should be shared with the LEPC only (0215). </w:t>
      </w:r>
      <w:r>
        <w:rPr>
          <w:rFonts w:ascii="Times New Roman" w:hAnsi="Times New Roman"/>
          <w:sz w:val="24"/>
        </w:rPr>
        <w:t xml:space="preserve">A few </w:t>
      </w:r>
      <w:r w:rsidRPr="00D402AB">
        <w:rPr>
          <w:rFonts w:ascii="Times New Roman" w:hAnsi="Times New Roman"/>
          <w:sz w:val="24"/>
        </w:rPr>
        <w:t>commenters urged EPA to instead focus on improving LEPC presence through the country (0217, 0234).</w:t>
      </w:r>
    </w:p>
    <w:p w:rsidR="00021D11" w:rsidP="00021D11" w14:paraId="51564D39" w14:textId="77777777">
      <w:pPr>
        <w:rPr>
          <w:rFonts w:ascii="Times New Roman" w:hAnsi="Times New Roman"/>
          <w:sz w:val="24"/>
        </w:rPr>
      </w:pPr>
      <w:r w:rsidRPr="006F68E9">
        <w:rPr>
          <w:rFonts w:ascii="Times New Roman" w:hAnsi="Times New Roman"/>
          <w:sz w:val="24"/>
        </w:rPr>
        <w:t xml:space="preserve">A commenter suggested that current problems may be a result of a lack of coordination and communication challenges between </w:t>
      </w:r>
      <w:r>
        <w:rPr>
          <w:rFonts w:ascii="Times New Roman" w:hAnsi="Times New Roman"/>
          <w:sz w:val="24"/>
        </w:rPr>
        <w:t>F</w:t>
      </w:r>
      <w:r w:rsidRPr="006F68E9">
        <w:rPr>
          <w:rFonts w:ascii="Times New Roman" w:hAnsi="Times New Roman"/>
          <w:sz w:val="24"/>
        </w:rPr>
        <w:t xml:space="preserve">ederal agencies and local communities and first responders. The commenter added that properly targeting limiting financial resources to LEPCs to help with joint education and training programs with local RMP facilities could also be a contributing factor to current problems (0227). </w:t>
      </w:r>
    </w:p>
    <w:p w:rsidR="00021D11" w:rsidP="00021D11" w14:paraId="76DD73B9" w14:textId="77777777">
      <w:pPr>
        <w:rPr>
          <w:rFonts w:ascii="Times New Roman" w:hAnsi="Times New Roman"/>
          <w:sz w:val="24"/>
        </w:rPr>
      </w:pPr>
      <w:r w:rsidRPr="00C27C40">
        <w:rPr>
          <w:rFonts w:ascii="Times New Roman" w:hAnsi="Times New Roman"/>
          <w:sz w:val="24"/>
        </w:rPr>
        <w:t>Two commenters asked that EPA require RMP facilities to provide access to information that emergency responders determine necessary (0276, 0270). Another commenter said that the proposed rule should be revised to require submitting the RMP to local authorities (0198).</w:t>
      </w:r>
    </w:p>
    <w:p w:rsidR="00D20E8F" w:rsidRPr="00336355" w:rsidP="23DF83AA" w14:paraId="06AF76BF" w14:textId="236331F8">
      <w:pPr>
        <w:ind w:left="720"/>
        <w:rPr>
          <w:rFonts w:ascii="Times New Roman" w:hAnsi="Times New Roman"/>
          <w:sz w:val="24"/>
        </w:rPr>
      </w:pPr>
      <w:r w:rsidRPr="23DF83AA">
        <w:rPr>
          <w:rFonts w:ascii="Times New Roman" w:hAnsi="Times New Roman"/>
          <w:b/>
          <w:bCs/>
          <w:sz w:val="24"/>
        </w:rPr>
        <w:t>EPA Response:</w:t>
      </w:r>
      <w:r w:rsidRPr="23DF83AA">
        <w:rPr>
          <w:rFonts w:ascii="Times New Roman" w:hAnsi="Times New Roman"/>
          <w:sz w:val="24"/>
        </w:rPr>
        <w:t xml:space="preserve"> </w:t>
      </w:r>
      <w:r w:rsidRPr="23DF83AA" w:rsidR="49786A92">
        <w:rPr>
          <w:rFonts w:ascii="Times New Roman" w:hAnsi="Times New Roman"/>
          <w:sz w:val="24"/>
        </w:rPr>
        <w:t xml:space="preserve"> </w:t>
      </w:r>
      <w:r w:rsidRPr="23DF83AA" w:rsidR="38CA337A">
        <w:rPr>
          <w:rFonts w:ascii="Times New Roman" w:hAnsi="Times New Roman"/>
          <w:sz w:val="24"/>
        </w:rPr>
        <w:t xml:space="preserve">For the purposes of this rule, regulated facilities which have accidental releases are responsible for ensuring a prompt emergency response to any release at their facility’s covered processes in order to protect human health and the environment. </w:t>
      </w:r>
    </w:p>
    <w:p w:rsidR="00452A18" w:rsidRPr="00336355" w:rsidP="008E3CED" w14:paraId="1CB61520" w14:textId="2739C34A">
      <w:pPr>
        <w:ind w:left="720"/>
        <w:rPr>
          <w:rFonts w:ascii="Times New Roman" w:hAnsi="Times New Roman"/>
          <w:sz w:val="24"/>
        </w:rPr>
      </w:pPr>
      <w:r w:rsidRPr="00336355">
        <w:rPr>
          <w:rFonts w:ascii="Times New Roman" w:hAnsi="Times New Roman"/>
          <w:sz w:val="24"/>
        </w:rPr>
        <w:t xml:space="preserve">Nevertheless, </w:t>
      </w:r>
      <w:r w:rsidRPr="00336355">
        <w:rPr>
          <w:rFonts w:ascii="Times New Roman" w:hAnsi="Times New Roman"/>
          <w:sz w:val="24"/>
        </w:rPr>
        <w:t xml:space="preserve">EPA </w:t>
      </w:r>
      <w:r w:rsidRPr="00336355" w:rsidR="00FB42AC">
        <w:rPr>
          <w:rFonts w:ascii="Times New Roman" w:hAnsi="Times New Roman"/>
          <w:sz w:val="24"/>
        </w:rPr>
        <w:t xml:space="preserve">acknowledges there are </w:t>
      </w:r>
      <w:r w:rsidRPr="00336355" w:rsidR="003C632B">
        <w:rPr>
          <w:rFonts w:ascii="Times New Roman" w:hAnsi="Times New Roman"/>
          <w:sz w:val="24"/>
        </w:rPr>
        <w:t>current challenges and gaps</w:t>
      </w:r>
      <w:r w:rsidRPr="00336355" w:rsidR="00530DDC">
        <w:rPr>
          <w:rFonts w:ascii="Times New Roman" w:hAnsi="Times New Roman"/>
          <w:sz w:val="24"/>
        </w:rPr>
        <w:t xml:space="preserve"> </w:t>
      </w:r>
      <w:r w:rsidRPr="00336355" w:rsidR="003C632B">
        <w:rPr>
          <w:rFonts w:ascii="Times New Roman" w:hAnsi="Times New Roman"/>
          <w:sz w:val="24"/>
        </w:rPr>
        <w:t>in implementing EPCRA</w:t>
      </w:r>
      <w:r w:rsidRPr="00336355" w:rsidR="00B65E8A">
        <w:rPr>
          <w:rFonts w:ascii="Times New Roman" w:hAnsi="Times New Roman"/>
          <w:sz w:val="24"/>
        </w:rPr>
        <w:t xml:space="preserve">, a law that </w:t>
      </w:r>
      <w:r w:rsidRPr="00336355" w:rsidR="007D5D5D">
        <w:rPr>
          <w:rFonts w:ascii="Times New Roman" w:hAnsi="Times New Roman"/>
          <w:sz w:val="24"/>
        </w:rPr>
        <w:t>places full implementation responsibility on state, tribal, and local agencies</w:t>
      </w:r>
      <w:r w:rsidRPr="00336355" w:rsidR="004E6C28">
        <w:rPr>
          <w:rFonts w:ascii="Times New Roman" w:hAnsi="Times New Roman"/>
          <w:sz w:val="24"/>
        </w:rPr>
        <w:t xml:space="preserve">. </w:t>
      </w:r>
      <w:r w:rsidRPr="00336355" w:rsidR="000C4D1A">
        <w:rPr>
          <w:rFonts w:ascii="Times New Roman" w:hAnsi="Times New Roman"/>
          <w:sz w:val="24"/>
        </w:rPr>
        <w:t>I</w:t>
      </w:r>
      <w:r w:rsidRPr="00336355" w:rsidR="008E3CED">
        <w:rPr>
          <w:rFonts w:ascii="Times New Roman" w:hAnsi="Times New Roman"/>
          <w:sz w:val="24"/>
        </w:rPr>
        <w:t>n its National Survey of State Emergency Response Commissions (April 2023)</w:t>
      </w:r>
      <w:r>
        <w:rPr>
          <w:rStyle w:val="FootnoteReference"/>
          <w:rFonts w:ascii="Times New Roman" w:hAnsi="Times New Roman"/>
          <w:sz w:val="24"/>
        </w:rPr>
        <w:footnoteReference w:id="155"/>
      </w:r>
      <w:r w:rsidRPr="00336355" w:rsidR="000C4D1A">
        <w:rPr>
          <w:rFonts w:ascii="Times New Roman" w:hAnsi="Times New Roman"/>
          <w:sz w:val="24"/>
        </w:rPr>
        <w:t xml:space="preserve">, </w:t>
      </w:r>
      <w:r w:rsidRPr="00336355" w:rsidR="0044138C">
        <w:rPr>
          <w:rFonts w:ascii="Times New Roman" w:hAnsi="Times New Roman"/>
          <w:sz w:val="24"/>
        </w:rPr>
        <w:t xml:space="preserve">EPA provides details on </w:t>
      </w:r>
      <w:r w:rsidRPr="00336355" w:rsidR="000C4D1A">
        <w:rPr>
          <w:rFonts w:ascii="Times New Roman" w:hAnsi="Times New Roman"/>
          <w:sz w:val="24"/>
        </w:rPr>
        <w:t xml:space="preserve">some of </w:t>
      </w:r>
      <w:r w:rsidRPr="00336355" w:rsidR="0044138C">
        <w:rPr>
          <w:rFonts w:ascii="Times New Roman" w:hAnsi="Times New Roman"/>
          <w:sz w:val="24"/>
        </w:rPr>
        <w:t>those issues</w:t>
      </w:r>
      <w:r w:rsidR="00A6021D">
        <w:rPr>
          <w:rFonts w:ascii="Times New Roman" w:hAnsi="Times New Roman"/>
          <w:sz w:val="24"/>
        </w:rPr>
        <w:t xml:space="preserve"> identified</w:t>
      </w:r>
      <w:r w:rsidRPr="00336355" w:rsidR="0044138C">
        <w:rPr>
          <w:rFonts w:ascii="Times New Roman" w:hAnsi="Times New Roman"/>
          <w:sz w:val="24"/>
        </w:rPr>
        <w:t xml:space="preserve"> and </w:t>
      </w:r>
      <w:r w:rsidRPr="00336355" w:rsidR="001232D7">
        <w:rPr>
          <w:rFonts w:ascii="Times New Roman" w:hAnsi="Times New Roman"/>
          <w:sz w:val="24"/>
        </w:rPr>
        <w:t xml:space="preserve">provides resources and </w:t>
      </w:r>
      <w:r w:rsidRPr="00336355" w:rsidR="0044138C">
        <w:rPr>
          <w:rFonts w:ascii="Times New Roman" w:hAnsi="Times New Roman"/>
          <w:sz w:val="24"/>
        </w:rPr>
        <w:t>recommendations</w:t>
      </w:r>
      <w:r w:rsidRPr="00336355" w:rsidR="001232D7">
        <w:rPr>
          <w:rFonts w:ascii="Times New Roman" w:hAnsi="Times New Roman"/>
          <w:sz w:val="24"/>
        </w:rPr>
        <w:t xml:space="preserve"> for improvement </w:t>
      </w:r>
      <w:r w:rsidRPr="00336355" w:rsidR="000C4D1A">
        <w:rPr>
          <w:rFonts w:ascii="Times New Roman" w:hAnsi="Times New Roman"/>
          <w:sz w:val="24"/>
        </w:rPr>
        <w:t xml:space="preserve">moving forward, </w:t>
      </w:r>
      <w:r w:rsidRPr="00336355" w:rsidR="00336355">
        <w:rPr>
          <w:rFonts w:ascii="Times New Roman" w:hAnsi="Times New Roman"/>
          <w:sz w:val="24"/>
        </w:rPr>
        <w:t>including some of those identified by commentors.</w:t>
      </w:r>
    </w:p>
    <w:p w:rsidR="00216D5D" w:rsidP="00216D5D" w14:paraId="065288E7" w14:textId="375A3ACC">
      <w:pPr>
        <w:rPr>
          <w:rFonts w:ascii="Times New Roman" w:hAnsi="Times New Roman"/>
          <w:sz w:val="24"/>
        </w:rPr>
      </w:pPr>
      <w:r w:rsidRPr="00321698">
        <w:rPr>
          <w:rFonts w:ascii="Times New Roman" w:hAnsi="Times New Roman"/>
          <w:b/>
          <w:bCs/>
          <w:sz w:val="24"/>
        </w:rPr>
        <w:t>Comment</w:t>
      </w:r>
      <w:r>
        <w:rPr>
          <w:rFonts w:ascii="Times New Roman" w:hAnsi="Times New Roman"/>
          <w:b/>
          <w:bCs/>
          <w:sz w:val="24"/>
        </w:rPr>
        <w:t xml:space="preserve"> 13.1-07</w:t>
      </w:r>
      <w:r w:rsidRPr="00321698">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The commenter explained EPA should arrange for advance notification in an RMP impact area so community members do not have to ask facilities for information they will not be forthcoming with or navigate the Freedom of Information Act (FOIA) system. The commenter stated this would be a new approach where EPA maintains a phone number or </w:t>
      </w:r>
      <w:r w:rsidRPr="006F68E9">
        <w:rPr>
          <w:rFonts w:ascii="Times New Roman" w:hAnsi="Times New Roman"/>
          <w:sz w:val="24"/>
        </w:rPr>
        <w:t>website where community members can access the information on hazards and emergency response plans relevant to them (0456).</w:t>
      </w:r>
      <w:r>
        <w:rPr>
          <w:rFonts w:ascii="Times New Roman" w:hAnsi="Times New Roman"/>
          <w:sz w:val="24"/>
        </w:rPr>
        <w:t xml:space="preserve"> </w:t>
      </w:r>
    </w:p>
    <w:p w:rsidR="00216D5D" w:rsidP="00216D5D" w14:paraId="275ABDD1" w14:textId="77777777">
      <w:pPr>
        <w:rPr>
          <w:rFonts w:ascii="Times New Roman" w:hAnsi="Times New Roman"/>
          <w:sz w:val="24"/>
        </w:rPr>
      </w:pPr>
      <w:r w:rsidRPr="006F68E9">
        <w:rPr>
          <w:rFonts w:ascii="Times New Roman" w:hAnsi="Times New Roman"/>
          <w:sz w:val="24"/>
        </w:rPr>
        <w:t>Another commenter suggested reporting in the RMP plan should include a link or other information on how to access a community response plan (0460).</w:t>
      </w:r>
      <w:r>
        <w:rPr>
          <w:rFonts w:ascii="Times New Roman" w:hAnsi="Times New Roman"/>
          <w:sz w:val="24"/>
        </w:rPr>
        <w:t xml:space="preserve"> </w:t>
      </w:r>
    </w:p>
    <w:p w:rsidR="00216D5D" w:rsidP="00216D5D" w14:paraId="5F30C1BB" w14:textId="77777777">
      <w:pPr>
        <w:rPr>
          <w:rFonts w:ascii="Times New Roman" w:hAnsi="Times New Roman"/>
          <w:sz w:val="24"/>
        </w:rPr>
      </w:pPr>
      <w:r w:rsidRPr="006F68E9">
        <w:rPr>
          <w:rFonts w:ascii="Times New Roman" w:hAnsi="Times New Roman"/>
          <w:sz w:val="24"/>
        </w:rPr>
        <w:t>A couple commenters stated that EPA should inform people located in fenceline communities or areas of the greatest risk, prior to an event that they are in a hazardous zone (0179, 0456).</w:t>
      </w:r>
    </w:p>
    <w:p w:rsidR="00216D5D" w:rsidRPr="00FB2F97" w:rsidP="00216D5D" w14:paraId="6C8515B9" w14:textId="0F4290C8">
      <w:pPr>
        <w:ind w:left="720"/>
        <w:rPr>
          <w:rFonts w:ascii="Times New Roman" w:hAnsi="Times New Roman"/>
          <w:sz w:val="24"/>
        </w:rPr>
      </w:pPr>
      <w:r w:rsidRPr="002553E3">
        <w:rPr>
          <w:rFonts w:ascii="Times New Roman" w:hAnsi="Times New Roman"/>
          <w:b/>
          <w:bCs/>
          <w:sz w:val="24"/>
        </w:rPr>
        <w:t>EPA Response</w:t>
      </w:r>
      <w:r>
        <w:rPr>
          <w:rFonts w:ascii="Times New Roman" w:hAnsi="Times New Roman"/>
          <w:b/>
          <w:bCs/>
          <w:sz w:val="24"/>
        </w:rPr>
        <w:t xml:space="preserve">: </w:t>
      </w:r>
      <w:r w:rsidRPr="007C0E1E">
        <w:rPr>
          <w:rFonts w:ascii="Times New Roman" w:hAnsi="Times New Roman"/>
          <w:sz w:val="24"/>
        </w:rPr>
        <w:t>By policy, EPA has restricted access to the RMP database, even though only a portion of the database is restricted by CAA section 112(r)(7)(H) and its implementing regulations in 40 CFR part 1400. As described in the 2022 SCCAP proposed rule, EPA intends to, at a prospective date, begin publishing non-OCA risk management plan data annually, less any CAA section 112(r)(7)(H) protected sensitive information (87 FR 53602). The discussion in the proposed rule was intended to highlight some of the issues that are relevant to relaxing restrictions on data availability. The Agency will consider the data element input from the commenters when the Agency proceeds with a policy decision on whether to put some portions of the RMP database online.</w:t>
      </w:r>
    </w:p>
    <w:p w:rsidR="00452A18" w:rsidP="00623DC4" w14:paraId="2EF0BDC5" w14:textId="7EA41D51">
      <w:pPr>
        <w:ind w:left="720"/>
        <w:rPr>
          <w:rFonts w:ascii="Times New Roman" w:hAnsi="Times New Roman"/>
          <w:sz w:val="24"/>
        </w:rPr>
      </w:pPr>
      <w:bookmarkStart w:id="152" w:name="_Hlk149636502"/>
      <w:r>
        <w:rPr>
          <w:rFonts w:ascii="Times New Roman" w:hAnsi="Times New Roman"/>
          <w:sz w:val="24"/>
        </w:rPr>
        <w:t>Further, EPA has long established t</w:t>
      </w:r>
      <w:r w:rsidRPr="00D87CA3">
        <w:rPr>
          <w:rFonts w:ascii="Times New Roman" w:hAnsi="Times New Roman"/>
          <w:sz w:val="24"/>
        </w:rPr>
        <w:t>he Vulnerable Zone Indicator System (VZIS)</w:t>
      </w:r>
      <w:r>
        <w:rPr>
          <w:rStyle w:val="FootnoteReference"/>
          <w:rFonts w:ascii="Times New Roman" w:hAnsi="Times New Roman"/>
          <w:sz w:val="24"/>
        </w:rPr>
        <w:footnoteReference w:id="156"/>
      </w:r>
      <w:r w:rsidRPr="00D87CA3">
        <w:rPr>
          <w:rFonts w:ascii="Times New Roman" w:hAnsi="Times New Roman"/>
          <w:sz w:val="24"/>
        </w:rPr>
        <w:t xml:space="preserve"> </w:t>
      </w:r>
      <w:r>
        <w:rPr>
          <w:rFonts w:ascii="Times New Roman" w:hAnsi="Times New Roman"/>
          <w:sz w:val="24"/>
        </w:rPr>
        <w:t xml:space="preserve">which </w:t>
      </w:r>
      <w:r w:rsidRPr="00D87CA3">
        <w:rPr>
          <w:rFonts w:ascii="Times New Roman" w:hAnsi="Times New Roman"/>
          <w:sz w:val="24"/>
        </w:rPr>
        <w:t>allows citizens to quickly find out if an address of interest could be affected by a chemical accident at facility that has submitted a risk management plan (RMP).</w:t>
      </w:r>
      <w:r>
        <w:rPr>
          <w:rFonts w:ascii="Times New Roman" w:hAnsi="Times New Roman"/>
          <w:sz w:val="24"/>
        </w:rPr>
        <w:t xml:space="preserve"> </w:t>
      </w:r>
      <w:r w:rsidRPr="00F2256B">
        <w:rPr>
          <w:rFonts w:ascii="Times New Roman" w:hAnsi="Times New Roman"/>
          <w:sz w:val="24"/>
        </w:rPr>
        <w:t>Vulnerable zones are areas that could be affected by a release from a chemical accident at a facility subject to the risk management program requirements in 40 CFR Part 68. Citizens should also work with their local emergency planning committees (LEPCs) to learn more about chemicals in their community. LEPCs develop comprehensive emergency response plans and also receive chemical inventory reports from facilities in the community.</w:t>
      </w:r>
      <w:bookmarkEnd w:id="152"/>
    </w:p>
    <w:p w:rsidR="00021D11" w:rsidRPr="005D16B3" w:rsidP="00021D11" w14:paraId="2091CB96" w14:textId="77777777">
      <w:pPr>
        <w:rPr>
          <w:rFonts w:ascii="Times New Roman" w:hAnsi="Times New Roman"/>
          <w:i/>
          <w:sz w:val="24"/>
        </w:rPr>
      </w:pPr>
      <w:r w:rsidRPr="005D16B3">
        <w:rPr>
          <w:rFonts w:ascii="Times New Roman" w:hAnsi="Times New Roman"/>
          <w:i/>
          <w:sz w:val="24"/>
        </w:rPr>
        <w:t xml:space="preserve">Translation requirements </w:t>
      </w:r>
    </w:p>
    <w:p w:rsidR="00021D11" w:rsidRPr="001F0B9C" w:rsidP="00021D11" w14:paraId="143BEB19" w14:textId="2EF6DD36">
      <w:pPr>
        <w:rPr>
          <w:rFonts w:ascii="Times New Roman" w:hAnsi="Times New Roman"/>
          <w:sz w:val="24"/>
        </w:rPr>
      </w:pPr>
      <w:r w:rsidRPr="001F0B9C">
        <w:rPr>
          <w:rFonts w:ascii="Times New Roman" w:hAnsi="Times New Roman"/>
          <w:b/>
          <w:bCs/>
          <w:sz w:val="24"/>
        </w:rPr>
        <w:t>Comment</w:t>
      </w:r>
      <w:r>
        <w:rPr>
          <w:rFonts w:ascii="Times New Roman" w:hAnsi="Times New Roman"/>
          <w:b/>
          <w:bCs/>
          <w:sz w:val="24"/>
        </w:rPr>
        <w:t xml:space="preserve"> 13.1-0</w:t>
      </w:r>
      <w:r w:rsidR="00216D5D">
        <w:rPr>
          <w:rFonts w:ascii="Times New Roman" w:hAnsi="Times New Roman"/>
          <w:b/>
          <w:bCs/>
          <w:sz w:val="24"/>
        </w:rPr>
        <w:t>8</w:t>
      </w:r>
      <w:r w:rsidRPr="001F0B9C">
        <w:rPr>
          <w:rFonts w:ascii="Times New Roman" w:hAnsi="Times New Roman"/>
          <w:b/>
          <w:bCs/>
          <w:sz w:val="24"/>
        </w:rPr>
        <w:t>:</w:t>
      </w:r>
      <w:r w:rsidRPr="001F0B9C">
        <w:rPr>
          <w:rFonts w:ascii="Times New Roman" w:hAnsi="Times New Roman"/>
          <w:sz w:val="24"/>
        </w:rPr>
        <w:t xml:space="preserve"> </w:t>
      </w:r>
      <w:r>
        <w:rPr>
          <w:rFonts w:ascii="Times New Roman" w:hAnsi="Times New Roman"/>
          <w:sz w:val="24"/>
        </w:rPr>
        <w:t>One commenter</w:t>
      </w:r>
      <w:r w:rsidRPr="001F0B9C">
        <w:rPr>
          <w:rFonts w:ascii="Times New Roman" w:hAnsi="Times New Roman"/>
          <w:sz w:val="24"/>
        </w:rPr>
        <w:t xml:space="preserve"> supported EPA’s proposed translation requirements (0249).</w:t>
      </w:r>
    </w:p>
    <w:p w:rsidR="00021D11" w:rsidRPr="00192E42" w:rsidP="00021D11" w14:paraId="59B6DAFF" w14:textId="60279057">
      <w:pPr>
        <w:ind w:left="720"/>
        <w:rPr>
          <w:rFonts w:ascii="Times New Roman" w:hAnsi="Times New Roman"/>
          <w:b/>
          <w:bCs/>
          <w:sz w:val="24"/>
        </w:rPr>
      </w:pPr>
      <w:r>
        <w:rPr>
          <w:rFonts w:ascii="Times New Roman" w:hAnsi="Times New Roman"/>
          <w:b/>
          <w:bCs/>
          <w:sz w:val="24"/>
        </w:rPr>
        <w:t xml:space="preserve">EPA Response: </w:t>
      </w:r>
      <w:r>
        <w:rPr>
          <w:rFonts w:ascii="Times New Roman" w:hAnsi="Times New Roman"/>
          <w:sz w:val="24"/>
        </w:rPr>
        <w:t>EPA appreciates the commenters’ support.</w:t>
      </w:r>
      <w:r w:rsidRPr="00CA6602" w:rsidR="00CA6602">
        <w:t xml:space="preserve"> </w:t>
      </w:r>
      <w:r w:rsidRPr="00CA6602" w:rsidR="00CA6602">
        <w:rPr>
          <w:rFonts w:ascii="Times New Roman" w:hAnsi="Times New Roman"/>
          <w:sz w:val="24"/>
        </w:rPr>
        <w:t xml:space="preserve">The final rule requires that language translations be offered in at least two other major languages in the community. </w:t>
      </w:r>
      <w:r w:rsidRPr="00192C64" w:rsidR="00192C64">
        <w:rPr>
          <w:rFonts w:ascii="Times New Roman" w:hAnsi="Times New Roman"/>
          <w:sz w:val="24"/>
        </w:rPr>
        <w:t>EPA expects owners and operators to use the most recent Census Language Use data,</w:t>
      </w:r>
      <w:r>
        <w:rPr>
          <w:rStyle w:val="FootnoteReference"/>
          <w:rFonts w:ascii="Times New Roman" w:hAnsi="Times New Roman"/>
          <w:sz w:val="24"/>
        </w:rPr>
        <w:footnoteReference w:id="157"/>
      </w:r>
      <w:r w:rsidRPr="00192C64" w:rsidR="00192C64">
        <w:rPr>
          <w:rFonts w:ascii="Times New Roman" w:hAnsi="Times New Roman"/>
          <w:sz w:val="24"/>
        </w:rPr>
        <w:t xml:space="preserve"> or other recent authoritative information</w:t>
      </w:r>
      <w:r>
        <w:rPr>
          <w:rStyle w:val="FootnoteReference"/>
          <w:rFonts w:ascii="Times New Roman" w:hAnsi="Times New Roman"/>
          <w:sz w:val="24"/>
        </w:rPr>
        <w:footnoteReference w:id="158"/>
      </w:r>
      <w:r w:rsidRPr="00192C64" w:rsidR="00192C64">
        <w:rPr>
          <w:rFonts w:ascii="Times New Roman" w:hAnsi="Times New Roman"/>
          <w:sz w:val="24"/>
        </w:rPr>
        <w:t>,</w:t>
      </w:r>
      <w:r w:rsidRPr="00192C64" w:rsidR="00192C64">
        <w:rPr>
          <w:rFonts w:ascii="Times New Roman" w:hAnsi="Times New Roman"/>
          <w:sz w:val="24"/>
        </w:rPr>
        <w:t xml:space="preserve"> to determine the two major languages spoken in a comparable size designation to the six-mile or worst-case release scenario distance radius of their facility. </w:t>
      </w:r>
      <w:r w:rsidRPr="00CA6602" w:rsidR="00CA6602">
        <w:rPr>
          <w:rFonts w:ascii="Times New Roman" w:hAnsi="Times New Roman"/>
          <w:sz w:val="24"/>
        </w:rPr>
        <w:t>EPA believes this will provide the vast majority of the surrounding community with the information requested and account for language barriers while minimizing burden to facilities.</w:t>
      </w:r>
    </w:p>
    <w:p w:rsidR="00021D11" w:rsidRPr="006F68E9" w:rsidP="00021D11" w14:paraId="56FC5C53" w14:textId="0F2D3674">
      <w:pPr>
        <w:rPr>
          <w:rFonts w:ascii="Times New Roman" w:hAnsi="Times New Roman"/>
          <w:b/>
          <w:bCs/>
          <w:sz w:val="24"/>
        </w:rPr>
      </w:pPr>
      <w:r w:rsidRPr="008562B4">
        <w:rPr>
          <w:rFonts w:ascii="Times New Roman" w:hAnsi="Times New Roman"/>
          <w:b/>
          <w:sz w:val="24"/>
        </w:rPr>
        <w:t>Comment</w:t>
      </w:r>
      <w:r>
        <w:rPr>
          <w:rFonts w:ascii="Times New Roman" w:hAnsi="Times New Roman"/>
          <w:b/>
          <w:bCs/>
          <w:sz w:val="24"/>
        </w:rPr>
        <w:t xml:space="preserve"> 13.1-0</w:t>
      </w:r>
      <w:r w:rsidR="00216D5D">
        <w:rPr>
          <w:rFonts w:ascii="Times New Roman" w:hAnsi="Times New Roman"/>
          <w:b/>
          <w:bCs/>
          <w:sz w:val="24"/>
        </w:rPr>
        <w:t>9</w:t>
      </w:r>
      <w:r w:rsidRPr="008562B4">
        <w:rPr>
          <w:rFonts w:ascii="Times New Roman" w:hAnsi="Times New Roman"/>
          <w:b/>
          <w:sz w:val="24"/>
        </w:rPr>
        <w:t>:</w:t>
      </w:r>
      <w:r>
        <w:rPr>
          <w:rFonts w:ascii="Times New Roman" w:hAnsi="Times New Roman"/>
          <w:sz w:val="24"/>
        </w:rPr>
        <w:t xml:space="preserve"> </w:t>
      </w:r>
      <w:r w:rsidRPr="006F68E9">
        <w:rPr>
          <w:rFonts w:ascii="Times New Roman" w:hAnsi="Times New Roman"/>
          <w:sz w:val="24"/>
        </w:rPr>
        <w:t>A couple of commenters noted that the proposed translation requirements go beyond EPA authority and would be burdensome and costly (0243, 0272).</w:t>
      </w:r>
      <w:r w:rsidRPr="006F68E9">
        <w:rPr>
          <w:rFonts w:ascii="Times New Roman" w:hAnsi="Times New Roman"/>
          <w:b/>
          <w:bCs/>
          <w:sz w:val="24"/>
        </w:rPr>
        <w:t xml:space="preserve"> </w:t>
      </w:r>
      <w:r w:rsidRPr="006F68E9">
        <w:rPr>
          <w:rFonts w:ascii="Times New Roman" w:hAnsi="Times New Roman"/>
          <w:sz w:val="24"/>
        </w:rPr>
        <w:t xml:space="preserve">One commenter noted that the proposed language does not adequately consider the costs and challenges of </w:t>
      </w:r>
      <w:r w:rsidRPr="006F68E9">
        <w:rPr>
          <w:rFonts w:ascii="Times New Roman" w:hAnsi="Times New Roman"/>
          <w:sz w:val="24"/>
        </w:rPr>
        <w:t xml:space="preserve">implementation. The commenter added that EPA failed to consider full costs of timelines and resources (0268). </w:t>
      </w:r>
    </w:p>
    <w:p w:rsidR="00021D11" w:rsidRPr="00601C43" w:rsidP="00021D11" w14:paraId="2A6EC760" w14:textId="77777777">
      <w:pPr>
        <w:rPr>
          <w:rFonts w:ascii="Times New Roman" w:hAnsi="Times New Roman"/>
          <w:color w:val="000000" w:themeColor="text1"/>
          <w:sz w:val="24"/>
          <w:szCs w:val="27"/>
        </w:rPr>
      </w:pPr>
      <w:r>
        <w:rPr>
          <w:rFonts w:ascii="Times New Roman" w:hAnsi="Times New Roman"/>
          <w:sz w:val="24"/>
        </w:rPr>
        <w:t>Further, a</w:t>
      </w:r>
      <w:r w:rsidRPr="00750528">
        <w:rPr>
          <w:rFonts w:ascii="Times New Roman" w:hAnsi="Times New Roman"/>
          <w:sz w:val="24"/>
        </w:rPr>
        <w:t>nother commenter stated the difficulty for facilities to translate technical information into multiple languages (0223).</w:t>
      </w:r>
    </w:p>
    <w:p w:rsidR="00021D11" w:rsidRPr="00601C43" w:rsidP="00021D11" w14:paraId="76E384F0" w14:textId="77777777">
      <w:pPr>
        <w:rPr>
          <w:rFonts w:ascii="Times New Roman" w:hAnsi="Times New Roman"/>
          <w:color w:val="000000" w:themeColor="text1"/>
          <w:sz w:val="24"/>
          <w:szCs w:val="27"/>
        </w:rPr>
      </w:pPr>
      <w:r w:rsidRPr="00601C43">
        <w:rPr>
          <w:rFonts w:ascii="Times New Roman" w:hAnsi="Times New Roman"/>
          <w:color w:val="000000" w:themeColor="text1"/>
          <w:sz w:val="24"/>
          <w:szCs w:val="27"/>
        </w:rPr>
        <w:t>One commenter stated that in some metropolitan areas, EPA’s proposed requirements could require technical translation in as many of thirty languages. The commenter suggested the facility only be required to pay for translation of a material when it has been requested in that language to reduce the compliance costs for facilities (0239).</w:t>
      </w:r>
    </w:p>
    <w:p w:rsidR="00021D11" w:rsidRPr="00601C43" w:rsidP="00E07EA2" w14:paraId="116FEDF1" w14:textId="77777777">
      <w:pPr>
        <w:rPr>
          <w:rFonts w:ascii="Times New Roman" w:hAnsi="Times New Roman"/>
          <w:color w:val="000000" w:themeColor="text1"/>
          <w:sz w:val="24"/>
          <w:szCs w:val="27"/>
        </w:rPr>
      </w:pPr>
      <w:r w:rsidRPr="0019467B">
        <w:rPr>
          <w:rFonts w:ascii="Times New Roman" w:hAnsi="Times New Roman"/>
          <w:color w:val="000000" w:themeColor="text1"/>
          <w:sz w:val="24"/>
          <w:szCs w:val="27"/>
        </w:rPr>
        <w:t>One commenter stressed that language accessibility can pose another barrier to workplace and frontline community safety, for example, a 2011 release of chlorine gas at a Tyson Foods poultry processing plant in Arkansas was the direct result of a Spanish-speaking worker not understanding an English drum label (0444).</w:t>
      </w:r>
    </w:p>
    <w:p w:rsidR="00021D11" w:rsidP="00021D11" w14:paraId="0E07E8AE" w14:textId="7DA57DE1">
      <w:pPr>
        <w:ind w:left="720"/>
        <w:rPr>
          <w:rFonts w:ascii="Times New Roman" w:hAnsi="Times New Roman"/>
          <w:sz w:val="24"/>
        </w:rPr>
      </w:pPr>
      <w:r w:rsidRPr="0076387A">
        <w:rPr>
          <w:rFonts w:ascii="Times New Roman" w:hAnsi="Times New Roman"/>
          <w:b/>
          <w:bCs/>
          <w:sz w:val="24"/>
        </w:rPr>
        <w:t xml:space="preserve">EPA Response: </w:t>
      </w:r>
      <w:r w:rsidRPr="0076387A">
        <w:rPr>
          <w:rFonts w:ascii="Times New Roman" w:hAnsi="Times New Roman"/>
          <w:sz w:val="24"/>
        </w:rPr>
        <w:t xml:space="preserve">The final rule requires that </w:t>
      </w:r>
      <w:r w:rsidRPr="00192C64">
        <w:rPr>
          <w:rFonts w:ascii="Times New Roman" w:hAnsi="Times New Roman"/>
          <w:sz w:val="24"/>
        </w:rPr>
        <w:t xml:space="preserve">language translations be offered in at least two other major languages in the community. </w:t>
      </w:r>
      <w:r w:rsidRPr="00192C64" w:rsidR="00402C71">
        <w:rPr>
          <w:rFonts w:ascii="Times New Roman" w:hAnsi="Times New Roman"/>
          <w:sz w:val="24"/>
        </w:rPr>
        <w:t>EPA expects owners and operators to use the most recent Census Language Use data,</w:t>
      </w:r>
      <w:r>
        <w:rPr>
          <w:rStyle w:val="FootnoteReference"/>
          <w:rFonts w:ascii="Times New Roman" w:hAnsi="Times New Roman"/>
          <w:sz w:val="24"/>
        </w:rPr>
        <w:footnoteReference w:id="159"/>
      </w:r>
      <w:r w:rsidRPr="00192C64" w:rsidR="00402C71">
        <w:rPr>
          <w:rFonts w:ascii="Times New Roman" w:hAnsi="Times New Roman"/>
          <w:sz w:val="24"/>
        </w:rPr>
        <w:t xml:space="preserve"> or other recent authoritative information</w:t>
      </w:r>
      <w:r>
        <w:rPr>
          <w:rStyle w:val="FootnoteReference"/>
          <w:rFonts w:ascii="Times New Roman" w:hAnsi="Times New Roman"/>
          <w:sz w:val="24"/>
        </w:rPr>
        <w:footnoteReference w:id="160"/>
      </w:r>
      <w:r w:rsidRPr="00192C64" w:rsidR="00402C71">
        <w:rPr>
          <w:rFonts w:ascii="Times New Roman" w:hAnsi="Times New Roman"/>
          <w:sz w:val="24"/>
        </w:rPr>
        <w:t xml:space="preserve">, to determine the two major languages spoken in a comparable size designation to the six-mile or worst-case release scenario distance radius of their facility. </w:t>
      </w:r>
      <w:r w:rsidRPr="00192C64">
        <w:rPr>
          <w:rFonts w:ascii="Times New Roman" w:hAnsi="Times New Roman"/>
          <w:sz w:val="24"/>
        </w:rPr>
        <w:t>EPA believes this will provide the vast majority of the surrounding community with the information requested and account for language barriers while minimizing burden to facilities</w:t>
      </w:r>
      <w:r w:rsidRPr="0076387A">
        <w:rPr>
          <w:rFonts w:ascii="Times New Roman" w:hAnsi="Times New Roman"/>
          <w:sz w:val="24"/>
        </w:rPr>
        <w:t>. Requiring translation in up to two of the major non-English languages of the community reflects a balance of the right-to-know purposes of CAA section 112(r)(7)(B)(iii) with the time and financial burden of providing such translations. The Agency believes community involvement is integral to a well-functioning accident prevention program, and the translation requirement promotes accomplishing this objective.</w:t>
      </w:r>
      <w:r>
        <w:rPr>
          <w:rStyle w:val="FootnoteReference"/>
          <w:rFonts w:ascii="Times New Roman" w:hAnsi="Times New Roman"/>
          <w:sz w:val="24"/>
        </w:rPr>
        <w:footnoteReference w:id="161"/>
      </w:r>
    </w:p>
    <w:p w:rsidR="00C9566B" w:rsidRPr="0076387A" w:rsidP="00021D11" w14:paraId="2D34073A" w14:textId="423C05BC">
      <w:pPr>
        <w:ind w:left="720"/>
        <w:rPr>
          <w:rFonts w:ascii="Times New Roman" w:hAnsi="Times New Roman"/>
          <w:sz w:val="24"/>
        </w:rPr>
      </w:pPr>
      <w:r>
        <w:rPr>
          <w:rFonts w:ascii="Times New Roman" w:eastAsia="Times New Roman" w:hAnsi="Times New Roman"/>
          <w:sz w:val="24"/>
        </w:rPr>
        <w:t>Further, t</w:t>
      </w:r>
      <w:r w:rsidRPr="00145A53">
        <w:rPr>
          <w:rFonts w:ascii="Times New Roman" w:eastAsia="Times New Roman" w:hAnsi="Times New Roman"/>
          <w:sz w:val="24"/>
        </w:rPr>
        <w:t xml:space="preserve">he </w:t>
      </w:r>
      <w:r>
        <w:rPr>
          <w:rFonts w:ascii="Times New Roman" w:eastAsia="Times New Roman" w:hAnsi="Times New Roman"/>
          <w:sz w:val="24"/>
        </w:rPr>
        <w:t xml:space="preserve">final rule RIA </w:t>
      </w:r>
      <w:r w:rsidRPr="00145A53">
        <w:rPr>
          <w:rFonts w:ascii="Times New Roman" w:eastAsia="Times New Roman" w:hAnsi="Times New Roman"/>
          <w:sz w:val="24"/>
        </w:rPr>
        <w:t xml:space="preserve">estimates costs </w:t>
      </w:r>
      <w:r>
        <w:rPr>
          <w:rFonts w:ascii="Times New Roman" w:eastAsia="Times New Roman" w:hAnsi="Times New Roman"/>
          <w:sz w:val="24"/>
        </w:rPr>
        <w:t>to develop and maintain an information availability program and includ</w:t>
      </w:r>
      <w:r w:rsidR="00FB3F25">
        <w:rPr>
          <w:rFonts w:ascii="Times New Roman" w:eastAsia="Times New Roman" w:hAnsi="Times New Roman"/>
          <w:sz w:val="24"/>
        </w:rPr>
        <w:t>es</w:t>
      </w:r>
      <w:r>
        <w:rPr>
          <w:rFonts w:ascii="Times New Roman" w:eastAsia="Times New Roman" w:hAnsi="Times New Roman"/>
          <w:sz w:val="24"/>
        </w:rPr>
        <w:t xml:space="preserve"> </w:t>
      </w:r>
      <w:r w:rsidRPr="00C9566B">
        <w:rPr>
          <w:rFonts w:ascii="Times New Roman" w:hAnsi="Times New Roman"/>
          <w:sz w:val="24"/>
        </w:rPr>
        <w:t>cost</w:t>
      </w:r>
      <w:r>
        <w:rPr>
          <w:rFonts w:ascii="Times New Roman" w:hAnsi="Times New Roman"/>
          <w:sz w:val="24"/>
        </w:rPr>
        <w:t xml:space="preserve"> estimates </w:t>
      </w:r>
      <w:r w:rsidRPr="00C9566B">
        <w:rPr>
          <w:rFonts w:ascii="Times New Roman" w:hAnsi="Times New Roman"/>
          <w:sz w:val="24"/>
        </w:rPr>
        <w:t>to capture translation requirements.</w:t>
      </w:r>
      <w:r>
        <w:rPr>
          <w:rFonts w:ascii="Times New Roman" w:hAnsi="Times New Roman"/>
          <w:sz w:val="24"/>
        </w:rPr>
        <w:t xml:space="preserve"> See Section 4.7 of the RIA for a discussion of those costs. </w:t>
      </w:r>
    </w:p>
    <w:p w:rsidR="00021D11" w:rsidRPr="005D16B3" w:rsidP="00021D11" w14:paraId="6076228B" w14:textId="77777777">
      <w:pPr>
        <w:rPr>
          <w:rFonts w:ascii="Times New Roman" w:hAnsi="Times New Roman"/>
          <w:i/>
          <w:sz w:val="24"/>
        </w:rPr>
      </w:pPr>
      <w:r w:rsidRPr="005D16B3">
        <w:rPr>
          <w:rFonts w:ascii="Times New Roman" w:hAnsi="Times New Roman"/>
          <w:i/>
          <w:sz w:val="24"/>
        </w:rPr>
        <w:t xml:space="preserve">Notification requirements </w:t>
      </w:r>
    </w:p>
    <w:p w:rsidR="00021D11" w:rsidRPr="004604A6" w:rsidP="00021D11" w14:paraId="2F180557" w14:textId="46161B4E">
      <w:pPr>
        <w:rPr>
          <w:rFonts w:ascii="Times New Roman" w:hAnsi="Times New Roman"/>
          <w:sz w:val="24"/>
        </w:rPr>
      </w:pPr>
      <w:r w:rsidRPr="004604A6">
        <w:rPr>
          <w:rFonts w:ascii="Times New Roman" w:hAnsi="Times New Roman"/>
          <w:b/>
          <w:bCs/>
          <w:sz w:val="24"/>
        </w:rPr>
        <w:t>Comment</w:t>
      </w:r>
      <w:r>
        <w:rPr>
          <w:rFonts w:ascii="Times New Roman" w:hAnsi="Times New Roman"/>
          <w:b/>
          <w:bCs/>
          <w:sz w:val="24"/>
        </w:rPr>
        <w:t xml:space="preserve"> 13.1-</w:t>
      </w:r>
      <w:r w:rsidR="00216D5D">
        <w:rPr>
          <w:rFonts w:ascii="Times New Roman" w:hAnsi="Times New Roman"/>
          <w:b/>
          <w:bCs/>
          <w:sz w:val="24"/>
        </w:rPr>
        <w:t>10</w:t>
      </w:r>
      <w:r w:rsidRPr="004604A6">
        <w:rPr>
          <w:rFonts w:ascii="Times New Roman" w:hAnsi="Times New Roman"/>
          <w:b/>
          <w:bCs/>
          <w:sz w:val="24"/>
        </w:rPr>
        <w:t>:</w:t>
      </w:r>
      <w:r w:rsidRPr="004604A6">
        <w:rPr>
          <w:rFonts w:ascii="Times New Roman" w:hAnsi="Times New Roman"/>
          <w:sz w:val="24"/>
        </w:rPr>
        <w:t xml:space="preserve"> </w:t>
      </w:r>
      <w:r>
        <w:rPr>
          <w:rFonts w:ascii="Times New Roman" w:hAnsi="Times New Roman"/>
          <w:sz w:val="24"/>
        </w:rPr>
        <w:t>One commenter</w:t>
      </w:r>
      <w:r w:rsidRPr="004604A6">
        <w:rPr>
          <w:rFonts w:ascii="Times New Roman" w:hAnsi="Times New Roman"/>
          <w:sz w:val="24"/>
        </w:rPr>
        <w:t xml:space="preserve"> supported EPA’s proposal to require ongoing notification that RMP information is available to the public (0257).</w:t>
      </w:r>
    </w:p>
    <w:p w:rsidR="00021D11" w:rsidRPr="004604A6" w:rsidP="00021D11" w14:paraId="4791A216" w14:textId="77777777">
      <w:pPr>
        <w:ind w:left="720"/>
        <w:rPr>
          <w:rFonts w:ascii="Times New Roman" w:hAnsi="Times New Roman"/>
          <w:sz w:val="24"/>
        </w:rPr>
      </w:pPr>
      <w:r w:rsidRPr="005A773E">
        <w:rPr>
          <w:rFonts w:ascii="Times New Roman" w:hAnsi="Times New Roman"/>
          <w:b/>
          <w:bCs/>
          <w:sz w:val="24"/>
        </w:rPr>
        <w:t>EPA Response:</w:t>
      </w:r>
      <w:r>
        <w:rPr>
          <w:rFonts w:ascii="Times New Roman" w:hAnsi="Times New Roman"/>
          <w:sz w:val="24"/>
        </w:rPr>
        <w:t xml:space="preserve"> </w:t>
      </w:r>
      <w:r w:rsidRPr="005A773E">
        <w:rPr>
          <w:rFonts w:ascii="Times New Roman" w:hAnsi="Times New Roman"/>
          <w:sz w:val="24"/>
        </w:rPr>
        <w:t>EPA agrees with the commenter that the information availability requirements are most impactful if the public is aware of the availability of the information. Therefore, EPA is finalizing the proposed requirements that the owner or operator of the facility provide ongoing notification on either a company web site, social media platforms, or through other publicly accessible means, that facility information is directly available to the public within six miles upon request.</w:t>
      </w:r>
    </w:p>
    <w:p w:rsidR="00021D11" w:rsidP="00021D11" w14:paraId="39040AC6" w14:textId="67987D1D">
      <w:pPr>
        <w:rPr>
          <w:rFonts w:ascii="Times New Roman" w:hAnsi="Times New Roman"/>
          <w:sz w:val="24"/>
        </w:rPr>
      </w:pPr>
      <w:r>
        <w:rPr>
          <w:rFonts w:ascii="Times New Roman" w:hAnsi="Times New Roman"/>
          <w:b/>
          <w:bCs/>
          <w:sz w:val="24"/>
        </w:rPr>
        <w:t>Comment 13.1-1</w:t>
      </w:r>
      <w:r w:rsidR="00216D5D">
        <w:rPr>
          <w:rFonts w:ascii="Times New Roman" w:hAnsi="Times New Roman"/>
          <w:b/>
          <w:bCs/>
          <w:sz w:val="24"/>
        </w:rPr>
        <w:t>1</w:t>
      </w:r>
      <w:r>
        <w:rPr>
          <w:rFonts w:ascii="Times New Roman" w:hAnsi="Times New Roman"/>
          <w:b/>
          <w:bCs/>
          <w:sz w:val="24"/>
        </w:rPr>
        <w:t xml:space="preserve">: </w:t>
      </w:r>
      <w:r w:rsidRPr="006F68E9">
        <w:rPr>
          <w:rFonts w:ascii="Times New Roman" w:eastAsia="Times New Roman" w:hAnsi="Times New Roman"/>
          <w:sz w:val="24"/>
        </w:rPr>
        <w:t xml:space="preserve">Several commenters recommended EPA consider environmental justice and fenceline communities (0249, 0270, 0444, 0460). One commenter suggested that EPA informs fenceline communities that they live near an RMP facility because oftentimes, people are unaware that they live near RMP facilities (0444). Some of the commenters </w:t>
      </w:r>
      <w:r>
        <w:rPr>
          <w:rFonts w:ascii="Times New Roman" w:eastAsia="Times New Roman" w:hAnsi="Times New Roman"/>
          <w:sz w:val="24"/>
        </w:rPr>
        <w:t>suggested</w:t>
      </w:r>
      <w:r w:rsidRPr="006F68E9">
        <w:rPr>
          <w:rFonts w:ascii="Times New Roman" w:eastAsia="Times New Roman" w:hAnsi="Times New Roman"/>
          <w:sz w:val="24"/>
        </w:rPr>
        <w:t xml:space="preserve"> that facilities should provide notifications in a variety of languages such as Spanish and other languages appropriate for the surrounding community (0249, 0270, 0444).</w:t>
      </w:r>
    </w:p>
    <w:p w:rsidR="00021D11" w:rsidP="00021D11" w14:paraId="6B1E0D2B" w14:textId="6E5F8F35">
      <w:pPr>
        <w:ind w:left="720"/>
        <w:rPr>
          <w:rFonts w:ascii="Times New Roman" w:eastAsia="Times New Roman" w:hAnsi="Times New Roman"/>
          <w:sz w:val="24"/>
        </w:rPr>
      </w:pPr>
      <w:r w:rsidRPr="00001DA1">
        <w:rPr>
          <w:rFonts w:ascii="Times New Roman" w:eastAsia="Times New Roman" w:hAnsi="Times New Roman"/>
          <w:b/>
          <w:bCs/>
          <w:sz w:val="24"/>
        </w:rPr>
        <w:t>EPA Response:</w:t>
      </w:r>
      <w:r w:rsidRPr="00001DA1">
        <w:rPr>
          <w:rFonts w:ascii="Times New Roman" w:eastAsia="Times New Roman" w:hAnsi="Times New Roman"/>
          <w:sz w:val="24"/>
        </w:rPr>
        <w:t xml:space="preserve"> </w:t>
      </w:r>
      <w:r w:rsidRPr="00001DA1">
        <w:rPr>
          <w:rFonts w:ascii="Times New Roman" w:eastAsia="Times New Roman" w:hAnsi="Times New Roman"/>
          <w:sz w:val="24"/>
        </w:rPr>
        <w:t xml:space="preserve">EPA has considered </w:t>
      </w:r>
      <w:r w:rsidR="00C876C3">
        <w:rPr>
          <w:rFonts w:ascii="Times New Roman" w:eastAsia="Times New Roman" w:hAnsi="Times New Roman"/>
          <w:sz w:val="24"/>
        </w:rPr>
        <w:t>impacts and risks to local communities, including communities with EJ concerns</w:t>
      </w:r>
      <w:r w:rsidRPr="00001DA1">
        <w:rPr>
          <w:rFonts w:ascii="Times New Roman" w:eastAsia="Times New Roman" w:hAnsi="Times New Roman"/>
          <w:sz w:val="24"/>
        </w:rPr>
        <w:t xml:space="preserve"> and fenceline communities throughout the rulemaking process. EPA believes that the final information availability provision makes significant improvements to provide more information to the public, including </w:t>
      </w:r>
      <w:r w:rsidR="00C876C3">
        <w:rPr>
          <w:rFonts w:ascii="Times New Roman" w:eastAsia="Times New Roman" w:hAnsi="Times New Roman"/>
          <w:sz w:val="24"/>
        </w:rPr>
        <w:t xml:space="preserve">communities with EJ concerns and </w:t>
      </w:r>
      <w:r w:rsidRPr="00001DA1">
        <w:rPr>
          <w:rFonts w:ascii="Times New Roman" w:eastAsia="Times New Roman" w:hAnsi="Times New Roman"/>
          <w:sz w:val="24"/>
        </w:rPr>
        <w:t>fenceline communities.</w:t>
      </w:r>
    </w:p>
    <w:p w:rsidR="009E4EB9" w:rsidRPr="00001DA1" w:rsidP="00E07EA2" w14:paraId="44B65B30" w14:textId="3FE77D69">
      <w:pPr>
        <w:ind w:left="720"/>
        <w:rPr>
          <w:rFonts w:ascii="Times New Roman" w:eastAsia="Times New Roman" w:hAnsi="Times New Roman"/>
          <w:sz w:val="24"/>
        </w:rPr>
      </w:pPr>
      <w:r>
        <w:rPr>
          <w:rFonts w:ascii="Times New Roman" w:eastAsia="Times New Roman" w:hAnsi="Times New Roman"/>
          <w:sz w:val="24"/>
        </w:rPr>
        <w:t xml:space="preserve">EPA also notes that the Agency </w:t>
      </w:r>
      <w:r w:rsidRPr="0019160D">
        <w:rPr>
          <w:rFonts w:ascii="Times New Roman" w:eastAsia="Times New Roman" w:hAnsi="Times New Roman"/>
          <w:sz w:val="24"/>
        </w:rPr>
        <w:t>has long established the Vulnerable Zone Indicator System (VZIS)</w:t>
      </w:r>
      <w:r>
        <w:rPr>
          <w:rFonts w:ascii="Times New Roman" w:eastAsia="Times New Roman" w:hAnsi="Times New Roman"/>
          <w:sz w:val="24"/>
          <w:vertAlign w:val="superscript"/>
        </w:rPr>
        <w:footnoteReference w:id="162"/>
      </w:r>
      <w:r w:rsidRPr="0019160D">
        <w:rPr>
          <w:rFonts w:ascii="Times New Roman" w:eastAsia="Times New Roman" w:hAnsi="Times New Roman"/>
          <w:sz w:val="24"/>
        </w:rPr>
        <w:t xml:space="preserve"> which allows citizens to quickly find out if an address of interest could be affected by a chemical accident at facility that has submitted a risk management plan (RMP). Vulnerable zones are areas that could be affected by a release from a chemical accident at a facility subject to the risk management program requirements in 40 CFR Part 68. </w:t>
      </w:r>
    </w:p>
    <w:p w:rsidR="00021D11" w:rsidP="00021D11" w14:paraId="7AEC1025" w14:textId="3DA1BD53">
      <w:pPr>
        <w:rPr>
          <w:rFonts w:ascii="Times New Roman" w:eastAsia="Times New Roman" w:hAnsi="Times New Roman"/>
          <w:sz w:val="24"/>
        </w:rPr>
      </w:pPr>
      <w:r>
        <w:rPr>
          <w:rFonts w:ascii="Times New Roman" w:hAnsi="Times New Roman"/>
          <w:b/>
          <w:bCs/>
          <w:sz w:val="24"/>
        </w:rPr>
        <w:t>Comment 13.1-1</w:t>
      </w:r>
      <w:r w:rsidR="00216D5D">
        <w:rPr>
          <w:rFonts w:ascii="Times New Roman" w:hAnsi="Times New Roman"/>
          <w:b/>
          <w:bCs/>
          <w:sz w:val="24"/>
        </w:rPr>
        <w:t>2</w:t>
      </w:r>
      <w:r>
        <w:rPr>
          <w:rFonts w:ascii="Times New Roman" w:hAnsi="Times New Roman"/>
          <w:b/>
          <w:bCs/>
          <w:sz w:val="24"/>
        </w:rPr>
        <w:t xml:space="preserve">: </w:t>
      </w:r>
      <w:r w:rsidRPr="006F68E9">
        <w:rPr>
          <w:rFonts w:ascii="Times New Roman" w:eastAsia="Times New Roman" w:hAnsi="Times New Roman"/>
          <w:sz w:val="24"/>
        </w:rPr>
        <w:t xml:space="preserve">A commenter </w:t>
      </w:r>
      <w:r>
        <w:rPr>
          <w:rFonts w:ascii="Times New Roman" w:eastAsia="Times New Roman" w:hAnsi="Times New Roman"/>
          <w:sz w:val="24"/>
        </w:rPr>
        <w:t>stated</w:t>
      </w:r>
      <w:r w:rsidRPr="006F68E9">
        <w:rPr>
          <w:rFonts w:ascii="Times New Roman" w:eastAsia="Times New Roman" w:hAnsi="Times New Roman"/>
          <w:sz w:val="24"/>
        </w:rPr>
        <w:t xml:space="preserve"> that EPA does not indicate what penalties or corrective action would occur to ensure facilities properly disseminate the required information. The commenter highlighted that 10% of active facilities did not provide information on who to contact for the LEPC after the 2019 reconsideration rule (0196).</w:t>
      </w:r>
    </w:p>
    <w:p w:rsidR="00021D11" w:rsidP="00021D11" w14:paraId="4D346070" w14:textId="73A56636">
      <w:pPr>
        <w:ind w:left="720"/>
        <w:rPr>
          <w:rFonts w:ascii="Times New Roman" w:hAnsi="Times New Roman"/>
          <w:sz w:val="24"/>
        </w:rPr>
      </w:pPr>
      <w:r w:rsidRPr="00FE1625">
        <w:rPr>
          <w:rFonts w:ascii="Times New Roman" w:hAnsi="Times New Roman"/>
          <w:b/>
          <w:bCs/>
          <w:sz w:val="24"/>
        </w:rPr>
        <w:t>EPA Response:</w:t>
      </w:r>
      <w:r>
        <w:rPr>
          <w:rFonts w:ascii="Times New Roman" w:hAnsi="Times New Roman"/>
          <w:b/>
          <w:bCs/>
          <w:sz w:val="24"/>
        </w:rPr>
        <w:t xml:space="preserve"> </w:t>
      </w:r>
      <w:r w:rsidRPr="00DB2F31" w:rsidR="00DB2F31">
        <w:rPr>
          <w:rFonts w:ascii="Times New Roman" w:hAnsi="Times New Roman"/>
          <w:sz w:val="24"/>
        </w:rPr>
        <w:t>Enforcement of RMP facilities remains an Agency priority, as indicated by its adoption as a National Enforcement and Compliance Initiative (NECI) since 2017. The goal of this NECI is to reduce the risk to human health and the environment by decreasing the likelihood of chemical accidents. Activities under the initiative include having regulated facilities and industry associations work to improve safety; increase compliance with RMP; and promote coordination and communication with State and local responders and communities. The capacity built by the NECI will continue to benefit oversight by EPA and its partner implementing agencies even after the NECI.</w:t>
      </w:r>
    </w:p>
    <w:p w:rsidR="00E07258" w:rsidP="00E70802" w14:paraId="468F1297" w14:textId="602F2628">
      <w:pPr>
        <w:ind w:left="720"/>
        <w:rPr>
          <w:rFonts w:ascii="Times New Roman" w:hAnsi="Times New Roman"/>
          <w:sz w:val="24"/>
        </w:rPr>
      </w:pPr>
      <w:r w:rsidRPr="00FE1625">
        <w:rPr>
          <w:rFonts w:ascii="Times New Roman" w:hAnsi="Times New Roman"/>
          <w:sz w:val="24"/>
        </w:rPr>
        <w:t xml:space="preserve">Further, EPA has and uses a policy to address civil enforcement actions for violations of Clean Air Act (CAA) section 112(r)(1), 42 U.S.C. § 7412(r)(1), known as the General Duty Clause (GDC) and for violations of section 112(r)(7) and its implementing regulations found at 40 CFR Part 68. </w:t>
      </w:r>
      <w:r w:rsidRPr="00FE1625" w:rsidR="00E70802">
        <w:rPr>
          <w:rFonts w:ascii="Times New Roman" w:hAnsi="Times New Roman"/>
          <w:sz w:val="24"/>
        </w:rPr>
        <w:t xml:space="preserve">The policy is available at </w:t>
      </w:r>
      <w:hyperlink r:id="rId14" w:history="1">
        <w:r w:rsidRPr="00FE1625" w:rsidR="00FE1625">
          <w:rPr>
            <w:rStyle w:val="Hyperlink"/>
            <w:rFonts w:ascii="Times New Roman" w:hAnsi="Times New Roman"/>
            <w:sz w:val="24"/>
          </w:rPr>
          <w:t>https://www.epa.gov/sites/default/files/documents/112rcep062012.pdf</w:t>
        </w:r>
      </w:hyperlink>
      <w:r w:rsidRPr="00FE1625" w:rsidR="00FE1625">
        <w:rPr>
          <w:rFonts w:ascii="Times New Roman" w:hAnsi="Times New Roman"/>
          <w:sz w:val="24"/>
        </w:rPr>
        <w:t>.</w:t>
      </w:r>
    </w:p>
    <w:p w:rsidR="00C54B5C" w:rsidRPr="00FE1625" w:rsidP="00E70802" w14:paraId="37DFFEBB" w14:textId="3CFBED16">
      <w:pPr>
        <w:ind w:left="720"/>
        <w:rPr>
          <w:rFonts w:ascii="Times New Roman" w:hAnsi="Times New Roman"/>
          <w:sz w:val="24"/>
        </w:rPr>
      </w:pPr>
      <w:r w:rsidRPr="00E2747D">
        <w:rPr>
          <w:rFonts w:ascii="Times New Roman" w:hAnsi="Times New Roman"/>
          <w:sz w:val="24"/>
        </w:rPr>
        <w:t xml:space="preserve">EPA </w:t>
      </w:r>
      <w:r w:rsidRPr="00E2747D" w:rsidR="00A25D35">
        <w:rPr>
          <w:rFonts w:ascii="Times New Roman" w:hAnsi="Times New Roman"/>
          <w:sz w:val="24"/>
        </w:rPr>
        <w:t xml:space="preserve">notes that </w:t>
      </w:r>
      <w:r w:rsidRPr="00E2747D" w:rsidR="00CC0293">
        <w:rPr>
          <w:rFonts w:ascii="Times New Roman" w:hAnsi="Times New Roman"/>
          <w:sz w:val="24"/>
        </w:rPr>
        <w:t xml:space="preserve">some information </w:t>
      </w:r>
      <w:r w:rsidRPr="00E2747D" w:rsidR="001D6964">
        <w:rPr>
          <w:rFonts w:ascii="Times New Roman" w:hAnsi="Times New Roman"/>
          <w:sz w:val="24"/>
        </w:rPr>
        <w:t>reported on the RMP</w:t>
      </w:r>
      <w:r w:rsidRPr="00E2747D" w:rsidR="00E2747D">
        <w:rPr>
          <w:rFonts w:ascii="Times New Roman" w:hAnsi="Times New Roman"/>
          <w:sz w:val="24"/>
        </w:rPr>
        <w:t xml:space="preserve"> by facilities</w:t>
      </w:r>
      <w:r w:rsidRPr="00E2747D" w:rsidR="001D6964">
        <w:rPr>
          <w:rFonts w:ascii="Times New Roman" w:hAnsi="Times New Roman"/>
          <w:sz w:val="24"/>
        </w:rPr>
        <w:t xml:space="preserve"> is optional.</w:t>
      </w:r>
      <w:r w:rsidRPr="00E2747D" w:rsidR="00C30B26">
        <w:rPr>
          <w:rFonts w:ascii="Times New Roman" w:hAnsi="Times New Roman"/>
          <w:sz w:val="24"/>
        </w:rPr>
        <w:t xml:space="preserve"> LEPC information at 40 CFR 68.160(b)(18) is one of those optional fields. </w:t>
      </w:r>
      <w:r w:rsidRPr="00E2747D" w:rsidR="00E2747D">
        <w:rPr>
          <w:rFonts w:ascii="Times New Roman" w:hAnsi="Times New Roman"/>
          <w:sz w:val="24"/>
        </w:rPr>
        <w:t>It</w:t>
      </w:r>
      <w:r w:rsidRPr="00E2747D" w:rsidR="00E9303E">
        <w:rPr>
          <w:rFonts w:ascii="Times New Roman" w:hAnsi="Times New Roman"/>
          <w:sz w:val="24"/>
        </w:rPr>
        <w:t xml:space="preserve"> is possible that LEPCs may not exist for those facilities, that the LEPC may have existed but is inactive, or that the facility is not in communication with its LEPC</w:t>
      </w:r>
      <w:r w:rsidRPr="00E2747D" w:rsidR="00E2747D">
        <w:rPr>
          <w:rFonts w:ascii="Times New Roman" w:hAnsi="Times New Roman"/>
          <w:sz w:val="24"/>
        </w:rPr>
        <w:t>.</w:t>
      </w:r>
    </w:p>
    <w:p w:rsidR="00021D11" w:rsidRPr="005D16B3" w:rsidP="00021D11" w14:paraId="6D649269" w14:textId="77777777">
      <w:pPr>
        <w:rPr>
          <w:rFonts w:ascii="Times New Roman" w:hAnsi="Times New Roman"/>
          <w:i/>
          <w:sz w:val="24"/>
        </w:rPr>
      </w:pPr>
      <w:r w:rsidRPr="005D16B3">
        <w:rPr>
          <w:rFonts w:ascii="Times New Roman" w:hAnsi="Times New Roman"/>
          <w:i/>
          <w:sz w:val="24"/>
        </w:rPr>
        <w:t>Other comments on information availability</w:t>
      </w:r>
    </w:p>
    <w:p w:rsidR="00021D11" w:rsidP="00021D11" w14:paraId="4651AB4C" w14:textId="25FE7107">
      <w:pPr>
        <w:rPr>
          <w:rFonts w:ascii="Times New Roman" w:hAnsi="Times New Roman"/>
          <w:sz w:val="24"/>
        </w:rPr>
      </w:pPr>
      <w:r w:rsidRPr="00C33798">
        <w:rPr>
          <w:rFonts w:ascii="Times New Roman" w:hAnsi="Times New Roman"/>
          <w:b/>
          <w:bCs/>
          <w:sz w:val="24"/>
        </w:rPr>
        <w:t>Comment</w:t>
      </w:r>
      <w:r>
        <w:rPr>
          <w:rFonts w:ascii="Times New Roman" w:hAnsi="Times New Roman"/>
          <w:b/>
          <w:bCs/>
          <w:sz w:val="24"/>
        </w:rPr>
        <w:t xml:space="preserve"> 13.1-1</w:t>
      </w:r>
      <w:r w:rsidR="00216D5D">
        <w:rPr>
          <w:rFonts w:ascii="Times New Roman" w:hAnsi="Times New Roman"/>
          <w:b/>
          <w:bCs/>
          <w:sz w:val="24"/>
        </w:rPr>
        <w:t>3</w:t>
      </w:r>
      <w:r w:rsidRPr="00C33798">
        <w:rPr>
          <w:rFonts w:ascii="Times New Roman" w:hAnsi="Times New Roman"/>
          <w:b/>
          <w:bCs/>
          <w:sz w:val="24"/>
        </w:rPr>
        <w:t xml:space="preserve">: </w:t>
      </w:r>
      <w:r w:rsidRPr="006F68E9">
        <w:rPr>
          <w:rFonts w:ascii="Times New Roman" w:hAnsi="Times New Roman"/>
          <w:sz w:val="24"/>
        </w:rPr>
        <w:t xml:space="preserve">One commenter </w:t>
      </w:r>
      <w:r>
        <w:rPr>
          <w:rFonts w:ascii="Times New Roman" w:hAnsi="Times New Roman"/>
          <w:sz w:val="24"/>
        </w:rPr>
        <w:t>voiced</w:t>
      </w:r>
      <w:r w:rsidRPr="006F68E9">
        <w:rPr>
          <w:rFonts w:ascii="Times New Roman" w:hAnsi="Times New Roman"/>
          <w:sz w:val="24"/>
        </w:rPr>
        <w:t xml:space="preserve"> concerns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does not have systematic information distribution to residents of the surrounding communities about the exceptional dangers of HF (0163).</w:t>
      </w:r>
    </w:p>
    <w:p w:rsidR="00077328" w:rsidP="00077328" w14:paraId="59569505" w14:textId="41FF5618">
      <w:pPr>
        <w:ind w:left="720"/>
        <w:rPr>
          <w:rFonts w:ascii="Times New Roman" w:hAnsi="Times New Roman"/>
          <w:sz w:val="24"/>
        </w:rPr>
      </w:pPr>
      <w:r w:rsidRPr="001931C9">
        <w:rPr>
          <w:rFonts w:ascii="Times New Roman" w:hAnsi="Times New Roman"/>
          <w:b/>
          <w:bCs/>
          <w:sz w:val="24"/>
        </w:rPr>
        <w:t>EPA Response:</w:t>
      </w:r>
      <w:r>
        <w:rPr>
          <w:rFonts w:ascii="Times New Roman" w:hAnsi="Times New Roman"/>
          <w:b/>
          <w:bCs/>
          <w:sz w:val="24"/>
        </w:rPr>
        <w:t xml:space="preserve"> </w:t>
      </w:r>
      <w:r>
        <w:rPr>
          <w:rFonts w:ascii="Times New Roman" w:hAnsi="Times New Roman"/>
          <w:sz w:val="24"/>
        </w:rPr>
        <w:t xml:space="preserve">EPA notes that </w:t>
      </w:r>
      <w:r w:rsidR="00805BE7">
        <w:rPr>
          <w:rFonts w:ascii="Times New Roman" w:hAnsi="Times New Roman"/>
          <w:sz w:val="24"/>
        </w:rPr>
        <w:t xml:space="preserve">available to the public is </w:t>
      </w:r>
      <w:r>
        <w:rPr>
          <w:rFonts w:ascii="Times New Roman" w:hAnsi="Times New Roman"/>
          <w:sz w:val="24"/>
        </w:rPr>
        <w:t>C</w:t>
      </w:r>
      <w:r w:rsidRPr="00077328">
        <w:rPr>
          <w:rFonts w:ascii="Times New Roman" w:hAnsi="Times New Roman"/>
          <w:sz w:val="24"/>
        </w:rPr>
        <w:t>AMEO Chemicals</w:t>
      </w:r>
      <w:r>
        <w:rPr>
          <w:rStyle w:val="FootnoteReference"/>
          <w:rFonts w:ascii="Times New Roman" w:hAnsi="Times New Roman"/>
          <w:sz w:val="24"/>
        </w:rPr>
        <w:footnoteReference w:id="163"/>
      </w:r>
      <w:r w:rsidR="00805BE7">
        <w:rPr>
          <w:rFonts w:ascii="Times New Roman" w:hAnsi="Times New Roman"/>
          <w:sz w:val="24"/>
        </w:rPr>
        <w:t xml:space="preserve">, a </w:t>
      </w:r>
      <w:r w:rsidRPr="00077328">
        <w:rPr>
          <w:rFonts w:ascii="Times New Roman" w:hAnsi="Times New Roman"/>
          <w:sz w:val="24"/>
        </w:rPr>
        <w:t>hazardous chemical database which is used widely to plan for and respond to chemical emergencies. CAMEO Chemicals also has a tool to predict possible hazards if chemicals are mixed together.</w:t>
      </w:r>
      <w:r w:rsidR="00823F90">
        <w:rPr>
          <w:rFonts w:ascii="Times New Roman" w:hAnsi="Times New Roman"/>
          <w:sz w:val="24"/>
        </w:rPr>
        <w:t xml:space="preserve"> </w:t>
      </w:r>
      <w:r w:rsidRPr="00077328">
        <w:rPr>
          <w:rFonts w:ascii="Times New Roman" w:hAnsi="Times New Roman"/>
          <w:sz w:val="24"/>
        </w:rPr>
        <w:t>With CAMEO Chemicals, you can search through the extensive chemical database to find chemical datasheets with critical response information, including physical properties, health hazards, information about air and water hazards, and recommendations for firefighting, first aid, and spill response.</w:t>
      </w:r>
    </w:p>
    <w:p w:rsidR="005B333E" w:rsidRPr="005B2172" w:rsidP="005B2172" w14:paraId="4CCE7311" w14:textId="5A1EBC73">
      <w:pPr>
        <w:ind w:left="720"/>
        <w:rPr>
          <w:rFonts w:ascii="Times New Roman" w:hAnsi="Times New Roman"/>
          <w:sz w:val="24"/>
        </w:rPr>
      </w:pPr>
      <w:r w:rsidRPr="00BF341A">
        <w:rPr>
          <w:rFonts w:ascii="Times New Roman" w:hAnsi="Times New Roman"/>
          <w:sz w:val="24"/>
        </w:rPr>
        <w:t>Additionally</w:t>
      </w:r>
      <w:r w:rsidRPr="00BF341A" w:rsidR="004B49B0">
        <w:rPr>
          <w:rFonts w:ascii="Times New Roman" w:hAnsi="Times New Roman"/>
          <w:sz w:val="24"/>
        </w:rPr>
        <w:t>, under the final information availability provisions of this rule, one of the data elements to be released upon request is the Safety Data Sheet</w:t>
      </w:r>
      <w:r w:rsidRPr="00BF341A" w:rsidR="00B759C0">
        <w:rPr>
          <w:rFonts w:ascii="Times New Roman" w:hAnsi="Times New Roman"/>
          <w:sz w:val="24"/>
        </w:rPr>
        <w:t>s</w:t>
      </w:r>
      <w:r w:rsidR="00BF341A">
        <w:rPr>
          <w:rFonts w:ascii="Times New Roman" w:hAnsi="Times New Roman"/>
          <w:sz w:val="24"/>
        </w:rPr>
        <w:t xml:space="preserve"> (SDS)</w:t>
      </w:r>
      <w:r w:rsidRPr="00BF341A" w:rsidR="00B759C0">
        <w:rPr>
          <w:rFonts w:ascii="Times New Roman" w:hAnsi="Times New Roman"/>
          <w:sz w:val="24"/>
        </w:rPr>
        <w:t xml:space="preserve"> </w:t>
      </w:r>
      <w:r w:rsidRPr="00B759C0" w:rsidR="00B759C0">
        <w:rPr>
          <w:rFonts w:ascii="Times New Roman" w:hAnsi="Times New Roman"/>
          <w:sz w:val="24"/>
        </w:rPr>
        <w:t>for all regulated substances located at the facility</w:t>
      </w:r>
      <w:r w:rsidRPr="00BF341A" w:rsidR="00B759C0">
        <w:rPr>
          <w:rFonts w:ascii="Times New Roman" w:hAnsi="Times New Roman"/>
          <w:sz w:val="24"/>
        </w:rPr>
        <w:t>.</w:t>
      </w:r>
      <w:r w:rsidRPr="00BF341A" w:rsidR="00BF341A">
        <w:rPr>
          <w:rFonts w:ascii="Times New Roman" w:hAnsi="Times New Roman"/>
          <w:sz w:val="24"/>
        </w:rPr>
        <w:t xml:space="preserve"> The SDS includes information such as the properties of each chemical; the physical, health, and environmental health hazards; protective measures; and safety precautions for handling, storing, and transporting the chemical.</w:t>
      </w:r>
    </w:p>
    <w:p w:rsidR="00021D11" w:rsidP="005B2172" w14:paraId="239A6AF7" w14:textId="77777777">
      <w:pPr>
        <w:pStyle w:val="Heading2"/>
        <w:tabs>
          <w:tab w:val="clear" w:pos="8684"/>
        </w:tabs>
        <w:spacing w:before="120"/>
        <w:rPr>
          <w:rFonts w:ascii="Times New Roman" w:hAnsi="Times New Roman" w:cs="Times New Roman"/>
          <w:b/>
          <w:bCs/>
          <w:color w:val="auto"/>
          <w:sz w:val="24"/>
          <w:szCs w:val="24"/>
        </w:rPr>
      </w:pPr>
      <w:bookmarkStart w:id="153" w:name="_Toc146880037"/>
      <w:bookmarkStart w:id="154" w:name="_Toc153373826"/>
      <w:r w:rsidRPr="6D3F9CC5">
        <w:rPr>
          <w:rFonts w:ascii="Times New Roman" w:hAnsi="Times New Roman" w:cs="Times New Roman"/>
          <w:b/>
          <w:bCs/>
          <w:color w:val="auto"/>
          <w:sz w:val="24"/>
          <w:szCs w:val="24"/>
        </w:rPr>
        <w:t>6-mile radius</w:t>
      </w:r>
      <w:bookmarkEnd w:id="153"/>
      <w:bookmarkEnd w:id="154"/>
    </w:p>
    <w:p w:rsidR="00021D11" w:rsidP="00021D11" w14:paraId="76065DEB" w14:textId="77777777">
      <w:pPr>
        <w:rPr>
          <w:rFonts w:ascii="Times New Roman" w:hAnsi="Times New Roman"/>
          <w:i/>
          <w:iCs/>
          <w:sz w:val="24"/>
        </w:rPr>
      </w:pPr>
      <w:r w:rsidRPr="00CB5553">
        <w:rPr>
          <w:rFonts w:ascii="Times New Roman" w:hAnsi="Times New Roman"/>
          <w:i/>
          <w:iCs/>
          <w:sz w:val="24"/>
        </w:rPr>
        <w:t>Support for 6-mile radius</w:t>
      </w:r>
      <w:r>
        <w:rPr>
          <w:rFonts w:ascii="Times New Roman" w:hAnsi="Times New Roman"/>
          <w:i/>
          <w:iCs/>
          <w:sz w:val="24"/>
        </w:rPr>
        <w:t xml:space="preserve"> provision</w:t>
      </w:r>
    </w:p>
    <w:p w:rsidR="00021D11" w:rsidRPr="009D44AB" w:rsidP="00021D11" w14:paraId="6D4DF88E" w14:textId="77777777">
      <w:pPr>
        <w:rPr>
          <w:rFonts w:ascii="Times New Roman" w:hAnsi="Times New Roman"/>
          <w:sz w:val="24"/>
        </w:rPr>
      </w:pPr>
      <w:r>
        <w:rPr>
          <w:rFonts w:ascii="Times New Roman" w:hAnsi="Times New Roman"/>
          <w:b/>
          <w:bCs/>
          <w:sz w:val="24"/>
        </w:rPr>
        <w:t xml:space="preserve">Comment 13.2-01: </w:t>
      </w:r>
      <w:r w:rsidRPr="006F68E9">
        <w:rPr>
          <w:rFonts w:ascii="Times New Roman" w:hAnsi="Times New Roman"/>
          <w:sz w:val="24"/>
        </w:rPr>
        <w:t xml:space="preserve">A few commenters supported EPA’s proposed approach of the 6-mile radius for requesting information (0241, 0257, 0265). </w:t>
      </w:r>
    </w:p>
    <w:p w:rsidR="005A47B8" w:rsidRPr="005A47B8" w:rsidP="005A47B8" w14:paraId="3D6E1C6C" w14:textId="0FFCF4B1">
      <w:pPr>
        <w:ind w:left="720"/>
        <w:rPr>
          <w:rFonts w:ascii="Times New Roman" w:hAnsi="Times New Roman"/>
          <w:sz w:val="24"/>
        </w:rPr>
      </w:pPr>
      <w:r w:rsidRPr="00EE64A1">
        <w:rPr>
          <w:rFonts w:ascii="Times New Roman" w:hAnsi="Times New Roman"/>
          <w:b/>
          <w:bCs/>
          <w:sz w:val="24"/>
        </w:rPr>
        <w:t>EPA Response:</w:t>
      </w:r>
      <w:r>
        <w:rPr>
          <w:rFonts w:ascii="Times New Roman" w:hAnsi="Times New Roman"/>
          <w:sz w:val="24"/>
        </w:rPr>
        <w:t xml:space="preserve"> EPA appreciates the commenter’s support.</w:t>
      </w:r>
      <w:r>
        <w:rPr>
          <w:rFonts w:ascii="Times New Roman" w:hAnsi="Times New Roman"/>
          <w:sz w:val="24"/>
        </w:rPr>
        <w:t xml:space="preserve"> </w:t>
      </w:r>
      <w:r w:rsidRPr="005A47B8">
        <w:rPr>
          <w:rFonts w:ascii="Times New Roman" w:hAnsi="Times New Roman"/>
          <w:sz w:val="24"/>
        </w:rPr>
        <w:t xml:space="preserve">EPA believes the 6-mile radius restriction to be reasonable, as 90 percent of all toxic worst-case distances to endpoints are within six miles or less, and almost all flammable worst-case distances are less than 1 mile (87 FR 53601). The 6-mile radius for being able to request information from facilities allows people in most areas potentially impacted by a worst-case scenario to have access to information while also providing a limit on widespread access to nationwide assembly of data. EPA agrees with commenters that allowing only those individuals that reside within the 6-mile radius to access information is too limited and has thus expanded the provision in the final rule to also allow members of the public working or otherwise spending significant time in the 6-mile radius to request information from a facility. </w:t>
      </w:r>
    </w:p>
    <w:p w:rsidR="00021D11" w:rsidRPr="00CB5553" w:rsidP="00021D11" w14:paraId="73BE4510" w14:textId="77777777">
      <w:pPr>
        <w:rPr>
          <w:rFonts w:ascii="Times New Roman" w:hAnsi="Times New Roman"/>
          <w:i/>
          <w:iCs/>
          <w:sz w:val="24"/>
        </w:rPr>
      </w:pPr>
      <w:r>
        <w:rPr>
          <w:rFonts w:ascii="Times New Roman" w:hAnsi="Times New Roman"/>
          <w:i/>
          <w:iCs/>
          <w:sz w:val="24"/>
        </w:rPr>
        <w:t>Opposition to 6-mile radius provision</w:t>
      </w:r>
    </w:p>
    <w:p w:rsidR="00021D11" w:rsidP="00021D11" w14:paraId="656C70A5" w14:textId="77777777">
      <w:pPr>
        <w:rPr>
          <w:rFonts w:ascii="Times New Roman" w:eastAsia="Times New Roman" w:hAnsi="Times New Roman"/>
          <w:sz w:val="24"/>
        </w:rPr>
      </w:pPr>
      <w:r w:rsidRPr="00CB5553">
        <w:rPr>
          <w:rFonts w:ascii="Times New Roman" w:hAnsi="Times New Roman"/>
          <w:b/>
          <w:bCs/>
          <w:sz w:val="24"/>
        </w:rPr>
        <w:t>Comment</w:t>
      </w:r>
      <w:r>
        <w:rPr>
          <w:rFonts w:ascii="Times New Roman" w:hAnsi="Times New Roman"/>
          <w:b/>
          <w:bCs/>
          <w:sz w:val="24"/>
        </w:rPr>
        <w:t xml:space="preserve"> 13.2-02</w:t>
      </w:r>
      <w:r w:rsidRPr="00CB5553">
        <w:rPr>
          <w:rFonts w:ascii="Times New Roman" w:hAnsi="Times New Roman"/>
          <w:b/>
          <w:bCs/>
          <w:sz w:val="24"/>
        </w:rPr>
        <w:t>:</w:t>
      </w:r>
      <w:r>
        <w:rPr>
          <w:rFonts w:ascii="Times New Roman" w:hAnsi="Times New Roman"/>
          <w:b/>
          <w:bCs/>
          <w:sz w:val="24"/>
        </w:rPr>
        <w:t xml:space="preserve"> </w:t>
      </w:r>
      <w:r w:rsidRPr="0056011E">
        <w:rPr>
          <w:rFonts w:ascii="Times New Roman" w:eastAsia="Times New Roman" w:hAnsi="Times New Roman"/>
          <w:sz w:val="24"/>
        </w:rPr>
        <w:t xml:space="preserve">Numerous commenters opposed EPA’s proposed approach of the 6-mile radius for requesting information (0158, 0163, 0165, 0178, 0180, 0181, 0184, 0193, 0196, 0201, </w:t>
      </w:r>
      <w:r>
        <w:rPr>
          <w:rFonts w:ascii="Times New Roman" w:eastAsia="Times New Roman" w:hAnsi="Times New Roman"/>
          <w:sz w:val="24"/>
        </w:rPr>
        <w:t xml:space="preserve">0203, </w:t>
      </w:r>
      <w:r w:rsidRPr="0056011E">
        <w:rPr>
          <w:rFonts w:ascii="Times New Roman" w:eastAsia="Times New Roman" w:hAnsi="Times New Roman"/>
          <w:sz w:val="24"/>
        </w:rPr>
        <w:t xml:space="preserve">0205, 0207, 0213, 0215, 0217, 0220, 0223, 0226, 0229, 0233, 0234, 0237, 0238, 0240, 0244, 0249, 0251, 0262, 0263, 0267, 0268, 0270, 0272, 0273, 0383, 0444, 0458, 0460). </w:t>
      </w:r>
    </w:p>
    <w:p w:rsidR="00021D11" w:rsidP="00021D11" w14:paraId="0C2A5145" w14:textId="77777777">
      <w:pPr>
        <w:rPr>
          <w:rFonts w:ascii="Times New Roman" w:hAnsi="Times New Roman"/>
          <w:sz w:val="24"/>
        </w:rPr>
      </w:pPr>
      <w:r w:rsidRPr="0056011E">
        <w:rPr>
          <w:rFonts w:ascii="Times New Roman" w:eastAsia="Times New Roman" w:hAnsi="Times New Roman"/>
          <w:sz w:val="24"/>
        </w:rPr>
        <w:t xml:space="preserve">Several commenters suggested that the 6-mile radius lacks justification or is arbitrary (0180, 0193, 0205, 0207, 0213, 0217, </w:t>
      </w:r>
      <w:r>
        <w:rPr>
          <w:rFonts w:ascii="Times New Roman" w:eastAsia="Times New Roman" w:hAnsi="Times New Roman"/>
          <w:sz w:val="24"/>
        </w:rPr>
        <w:t xml:space="preserve">0223, </w:t>
      </w:r>
      <w:r w:rsidRPr="0056011E">
        <w:rPr>
          <w:rFonts w:ascii="Times New Roman" w:eastAsia="Times New Roman" w:hAnsi="Times New Roman"/>
          <w:sz w:val="24"/>
        </w:rPr>
        <w:t>0226, 0234, 0238, 0268, 0272, 0458, 0460).</w:t>
      </w:r>
      <w:r w:rsidRPr="00192E86">
        <w:rPr>
          <w:rFonts w:ascii="Times New Roman" w:hAnsi="Times New Roman"/>
          <w:sz w:val="24"/>
        </w:rPr>
        <w:t xml:space="preserve"> </w:t>
      </w:r>
      <w:r w:rsidRPr="00A22466">
        <w:rPr>
          <w:rFonts w:ascii="Times New Roman" w:eastAsia="Times New Roman" w:hAnsi="Times New Roman"/>
          <w:color w:val="000000" w:themeColor="text1"/>
          <w:sz w:val="24"/>
        </w:rPr>
        <w:t xml:space="preserve">A couple commenters suggested EPA build upon existing programs and safeguards, such as LEPCs, to </w:t>
      </w:r>
      <w:r w:rsidRPr="00A22466">
        <w:rPr>
          <w:rFonts w:ascii="Times New Roman" w:eastAsia="Times New Roman" w:hAnsi="Times New Roman"/>
          <w:color w:val="000000" w:themeColor="text1"/>
          <w:sz w:val="24"/>
        </w:rPr>
        <w:t xml:space="preserve">protect sensitive chemical information instead of choosing to impose </w:t>
      </w:r>
      <w:r>
        <w:rPr>
          <w:rFonts w:ascii="Times New Roman" w:eastAsia="Times New Roman" w:hAnsi="Times New Roman"/>
          <w:color w:val="000000" w:themeColor="text1"/>
          <w:sz w:val="24"/>
        </w:rPr>
        <w:t>a</w:t>
      </w:r>
      <w:r w:rsidRPr="00A22466">
        <w:rPr>
          <w:rFonts w:ascii="Times New Roman" w:eastAsia="Times New Roman" w:hAnsi="Times New Roman"/>
          <w:color w:val="000000" w:themeColor="text1"/>
          <w:sz w:val="24"/>
        </w:rPr>
        <w:t xml:space="preserve"> 6-mile threshold (0196, 0215).</w:t>
      </w:r>
    </w:p>
    <w:p w:rsidR="00021D11" w:rsidP="00021D11" w14:paraId="4E7C8A0D" w14:textId="77777777">
      <w:pPr>
        <w:rPr>
          <w:rFonts w:ascii="Times New Roman" w:hAnsi="Times New Roman"/>
          <w:sz w:val="24"/>
        </w:rPr>
      </w:pPr>
      <w:r w:rsidRPr="006F68E9">
        <w:rPr>
          <w:rFonts w:ascii="Times New Roman" w:hAnsi="Times New Roman"/>
          <w:sz w:val="24"/>
        </w:rPr>
        <w:t xml:space="preserve">One commenter asserted that the </w:t>
      </w:r>
      <w:r>
        <w:rPr>
          <w:rFonts w:ascii="Times New Roman" w:hAnsi="Times New Roman"/>
          <w:sz w:val="24"/>
        </w:rPr>
        <w:t>6</w:t>
      </w:r>
      <w:r w:rsidRPr="006F68E9">
        <w:rPr>
          <w:rFonts w:ascii="Times New Roman" w:hAnsi="Times New Roman"/>
          <w:sz w:val="24"/>
        </w:rPr>
        <w:t>-mile threshold is unreasonable because, as they claim, most accident scenarios happen within a radius under three miles (0181).</w:t>
      </w:r>
    </w:p>
    <w:p w:rsidR="00021D11" w:rsidRPr="006F68E9" w:rsidP="00021D11" w14:paraId="1AC8E13A" w14:textId="77777777">
      <w:pPr>
        <w:rPr>
          <w:rFonts w:ascii="Times New Roman" w:hAnsi="Times New Roman"/>
          <w:sz w:val="24"/>
        </w:rPr>
      </w:pPr>
      <w:r w:rsidRPr="006F68E9">
        <w:rPr>
          <w:rFonts w:ascii="Times New Roman" w:hAnsi="Times New Roman"/>
          <w:sz w:val="24"/>
        </w:rPr>
        <w:t>One commenter stated the requirement of notification procedures to be available to all within six miles of an RMP facility is overly burdensome, while providing minimal safety benefits (0196).</w:t>
      </w:r>
    </w:p>
    <w:p w:rsidR="00021D11" w:rsidP="00021D11" w14:paraId="27753302" w14:textId="77777777">
      <w:pPr>
        <w:rPr>
          <w:rFonts w:ascii="Times New Roman" w:hAnsi="Times New Roman"/>
          <w:sz w:val="24"/>
        </w:rPr>
      </w:pPr>
      <w:r w:rsidRPr="0020524E">
        <w:rPr>
          <w:rFonts w:ascii="Times New Roman" w:eastAsia="Times New Roman" w:hAnsi="Times New Roman"/>
          <w:color w:val="000000" w:themeColor="text1"/>
          <w:sz w:val="24"/>
        </w:rPr>
        <w:t>One commenter added that EPA did not explain how the 6-mile radius requirement builds on existing regulatory programs designed by DHS and EPA to safeguard sensitive information (0215).</w:t>
      </w:r>
    </w:p>
    <w:p w:rsidR="003A7FBD" w:rsidRPr="005A6BAF" w:rsidP="005A6BAF" w14:paraId="1E435AC7" w14:textId="38764EB6">
      <w:pPr>
        <w:ind w:left="720"/>
        <w:rPr>
          <w:rFonts w:ascii="Times New Roman" w:eastAsia="Times New Roman" w:hAnsi="Times New Roman"/>
          <w:color w:val="000000" w:themeColor="text1"/>
          <w:sz w:val="24"/>
        </w:rPr>
      </w:pPr>
      <w:r w:rsidRPr="003D25AB">
        <w:rPr>
          <w:rFonts w:ascii="Times New Roman" w:hAnsi="Times New Roman"/>
          <w:b/>
          <w:bCs/>
          <w:sz w:val="24"/>
        </w:rPr>
        <w:t>EPA Response:</w:t>
      </w:r>
      <w:r>
        <w:rPr>
          <w:rFonts w:ascii="Times New Roman" w:hAnsi="Times New Roman"/>
          <w:sz w:val="24"/>
        </w:rPr>
        <w:t xml:space="preserve"> </w:t>
      </w:r>
      <w:r w:rsidRPr="00AD3424">
        <w:rPr>
          <w:rFonts w:ascii="Times New Roman" w:eastAsia="Times New Roman" w:hAnsi="Times New Roman"/>
          <w:color w:val="000000" w:themeColor="text1"/>
          <w:sz w:val="24"/>
        </w:rPr>
        <w:t>EPA believes the 6-mile radius restriction to be reasonable, as 90 percent of all toxic worst-case distances to endpoints are within six miles or less, and almost all flammable worst-case distances are less than 1 mile (87 FR 53601). The 6-mile radius for being able to request information from facilities allows people in most areas potentially impacted by a worst-case scenario to have access to information while also providing a limit on widespread access to nationwide assembly of data</w:t>
      </w:r>
      <w:r w:rsidR="005A6BAF">
        <w:rPr>
          <w:rFonts w:ascii="Times New Roman" w:eastAsia="Times New Roman" w:hAnsi="Times New Roman"/>
          <w:color w:val="000000" w:themeColor="text1"/>
          <w:sz w:val="24"/>
        </w:rPr>
        <w:t xml:space="preserve"> </w:t>
      </w:r>
      <w:r w:rsidRPr="003A7FBD">
        <w:rPr>
          <w:rFonts w:ascii="Times New Roman" w:hAnsi="Times New Roman"/>
          <w:sz w:val="24"/>
        </w:rPr>
        <w:t xml:space="preserve">that was of concern to EPA in the 2019 reconsideration rule. This approach strikes a better balance between those security concerns and the interests of people spending significant time near facilities who could benefit from the information, including personal preparedness in the event of an accident, knowledge of potential risks and safety conditions where one lives, and more informed participation in community emergency and safety planning. </w:t>
      </w:r>
    </w:p>
    <w:p w:rsidR="003F5FA9" w:rsidP="00585411" w14:paraId="56E2DCFE" w14:textId="1DF7362D">
      <w:pPr>
        <w:ind w:left="720"/>
        <w:rPr>
          <w:rFonts w:ascii="Times New Roman" w:hAnsi="Times New Roman"/>
          <w:sz w:val="24"/>
        </w:rPr>
      </w:pPr>
      <w:r>
        <w:rPr>
          <w:rFonts w:ascii="Times New Roman" w:hAnsi="Times New Roman"/>
          <w:sz w:val="24"/>
        </w:rPr>
        <w:t>Further, f</w:t>
      </w:r>
      <w:r>
        <w:rPr>
          <w:rFonts w:ascii="Times New Roman" w:hAnsi="Times New Roman"/>
          <w:sz w:val="24"/>
        </w:rPr>
        <w:t xml:space="preserve">or this final rule, </w:t>
      </w:r>
      <w:r w:rsidRPr="003F5FA9">
        <w:rPr>
          <w:rFonts w:ascii="Times New Roman" w:hAnsi="Times New Roman"/>
          <w:sz w:val="24"/>
        </w:rPr>
        <w:t>EPA is requiring sources to provide instructions for how to request the information, which should include the necessary verification components for the public within a 6-mile radius of the facility. Nothing in the rule requires a facility to accept a mere P.O. Box address as evidence of residence, employment, or presence within the 6-mile radius. For this final rule, EPA is also requiring owners and operators to maintain a record of the requestors. The final rule leaves substantial flexibility for facilities to design a process for obtaining verification and keeping records of requestors that allows for facilities to have a suitable, minimally burdensome process for themselves and the community. The final rule allows for a straightforward process that does not hinder the right of the public to access this information, allows facilities to be aware who has their information, and permits oversight by implementing agencies.</w:t>
      </w:r>
    </w:p>
    <w:p w:rsidR="00C75863" w:rsidP="00585411" w14:paraId="4D009D47" w14:textId="5D1D50C1">
      <w:pPr>
        <w:ind w:left="720"/>
        <w:rPr>
          <w:rFonts w:ascii="Times New Roman" w:hAnsi="Times New Roman"/>
          <w:sz w:val="24"/>
        </w:rPr>
      </w:pPr>
      <w:r w:rsidRPr="00C75863">
        <w:rPr>
          <w:rFonts w:ascii="Times New Roman" w:hAnsi="Times New Roman"/>
          <w:sz w:val="24"/>
        </w:rPr>
        <w:t>EPA acknowledges the security concerns raised by commenters and is committed to ensuring a balance between making information available to the public while also safeguarding that information. EPA worked closely with Federal partners, including the DHS and the Federal Bureau of Investigation (FBI)</w:t>
      </w:r>
      <w:r>
        <w:rPr>
          <w:rStyle w:val="FootnoteReference"/>
          <w:rFonts w:ascii="Times New Roman" w:hAnsi="Times New Roman"/>
          <w:sz w:val="24"/>
        </w:rPr>
        <w:footnoteReference w:id="164"/>
      </w:r>
      <w:r w:rsidRPr="00C75863">
        <w:rPr>
          <w:rFonts w:ascii="Times New Roman" w:hAnsi="Times New Roman"/>
          <w:sz w:val="24"/>
        </w:rPr>
        <w:t>, to develop information availability requirements that strike a balance between security concerns and the need for sharing chemical hazard information with the public. EPA believes that the finalized approach is consistent with existing requirements to secure sensitive information. EPA also believes the current approach to notify the public that information is available upon request strikes an appropriate balance between various concerns, including information availability, community right-to-know, minimizing facility disclosure burden, and minimizing information security risks.</w:t>
      </w:r>
    </w:p>
    <w:p w:rsidR="67D55872" w:rsidP="0AEE437B" w14:paraId="2BB63A6F" w14:textId="2A13DB8F">
      <w:pPr>
        <w:ind w:left="720"/>
        <w:rPr>
          <w:rFonts w:ascii="Times New Roman" w:hAnsi="Times New Roman"/>
          <w:sz w:val="24"/>
        </w:rPr>
      </w:pPr>
      <w:r w:rsidRPr="0AEE437B">
        <w:rPr>
          <w:rFonts w:ascii="Times New Roman" w:hAnsi="Times New Roman"/>
          <w:sz w:val="24"/>
        </w:rPr>
        <w:t>Most accident scenarios are not worst-case releases. Nevertheless, the statute iden</w:t>
      </w:r>
      <w:r w:rsidRPr="0AEE437B" w:rsidR="5BFB2676">
        <w:rPr>
          <w:rFonts w:ascii="Times New Roman" w:hAnsi="Times New Roman"/>
          <w:sz w:val="24"/>
        </w:rPr>
        <w:t xml:space="preserve">tifies worst-case releases to be of concern and needing to be modeled (see 112(r)(7)(B)(ii)(I)). </w:t>
      </w:r>
      <w:r w:rsidRPr="0AEE437B" w:rsidR="58D6282F">
        <w:rPr>
          <w:rFonts w:ascii="Times New Roman" w:hAnsi="Times New Roman"/>
          <w:sz w:val="24"/>
        </w:rPr>
        <w:t>In selecting a 6-mile distance rather than 3 miles</w:t>
      </w:r>
      <w:r w:rsidRPr="0AEE437B" w:rsidR="7066E995">
        <w:rPr>
          <w:rFonts w:ascii="Times New Roman" w:hAnsi="Times New Roman"/>
          <w:sz w:val="24"/>
        </w:rPr>
        <w:t>, EPA chose to focus on toxic</w:t>
      </w:r>
      <w:r w:rsidRPr="0AEE437B" w:rsidR="6268ED38">
        <w:rPr>
          <w:rFonts w:ascii="Times New Roman" w:hAnsi="Times New Roman"/>
          <w:sz w:val="24"/>
        </w:rPr>
        <w:t xml:space="preserve"> regulated substance</w:t>
      </w:r>
      <w:r w:rsidRPr="0AEE437B" w:rsidR="7066E995">
        <w:rPr>
          <w:rFonts w:ascii="Times New Roman" w:hAnsi="Times New Roman"/>
          <w:sz w:val="24"/>
        </w:rPr>
        <w:t xml:space="preserve"> worst</w:t>
      </w:r>
      <w:r w:rsidRPr="0AEE437B" w:rsidR="32259EF2">
        <w:rPr>
          <w:rFonts w:ascii="Times New Roman" w:hAnsi="Times New Roman"/>
          <w:sz w:val="24"/>
        </w:rPr>
        <w:t>-</w:t>
      </w:r>
      <w:r w:rsidRPr="0AEE437B" w:rsidR="7066E995">
        <w:rPr>
          <w:rFonts w:ascii="Times New Roman" w:hAnsi="Times New Roman"/>
          <w:sz w:val="24"/>
        </w:rPr>
        <w:t>case</w:t>
      </w:r>
      <w:r w:rsidRPr="0AEE437B" w:rsidR="69B54577">
        <w:rPr>
          <w:rFonts w:ascii="Times New Roman" w:hAnsi="Times New Roman"/>
          <w:sz w:val="24"/>
        </w:rPr>
        <w:t xml:space="preserve"> distances</w:t>
      </w:r>
      <w:r w:rsidRPr="0AEE437B">
        <w:rPr>
          <w:rFonts w:ascii="Times New Roman" w:hAnsi="Times New Roman"/>
          <w:sz w:val="24"/>
        </w:rPr>
        <w:t xml:space="preserve"> </w:t>
      </w:r>
      <w:r w:rsidRPr="0AEE437B" w:rsidR="510446CE">
        <w:rPr>
          <w:rFonts w:ascii="Times New Roman" w:hAnsi="Times New Roman"/>
          <w:sz w:val="24"/>
        </w:rPr>
        <w:t>so that the vast majority of people within the farthe</w:t>
      </w:r>
      <w:r w:rsidRPr="0AEE437B" w:rsidR="14C4D7C4">
        <w:rPr>
          <w:rFonts w:ascii="Times New Roman" w:hAnsi="Times New Roman"/>
          <w:sz w:val="24"/>
        </w:rPr>
        <w:t>r</w:t>
      </w:r>
      <w:r w:rsidRPr="0AEE437B" w:rsidR="510446CE">
        <w:rPr>
          <w:rFonts w:ascii="Times New Roman" w:hAnsi="Times New Roman"/>
          <w:sz w:val="24"/>
        </w:rPr>
        <w:t xml:space="preserve"> distance</w:t>
      </w:r>
      <w:r w:rsidRPr="0AEE437B" w:rsidR="6195C92A">
        <w:rPr>
          <w:rFonts w:ascii="Times New Roman" w:hAnsi="Times New Roman"/>
          <w:sz w:val="24"/>
        </w:rPr>
        <w:t>s</w:t>
      </w:r>
      <w:r w:rsidRPr="0AEE437B" w:rsidR="510446CE">
        <w:rPr>
          <w:rFonts w:ascii="Times New Roman" w:hAnsi="Times New Roman"/>
          <w:sz w:val="24"/>
        </w:rPr>
        <w:t xml:space="preserve"> discussed in the statu</w:t>
      </w:r>
      <w:r w:rsidRPr="0AEE437B" w:rsidR="52603057">
        <w:rPr>
          <w:rFonts w:ascii="Times New Roman" w:hAnsi="Times New Roman"/>
          <w:sz w:val="24"/>
        </w:rPr>
        <w:t xml:space="preserve">te can have their right-to-know interests met while also balancing the factors discussed above in this response. </w:t>
      </w:r>
    </w:p>
    <w:p w:rsidR="00021D11" w:rsidP="00021D11" w14:paraId="6C1AA051" w14:textId="77777777">
      <w:pPr>
        <w:rPr>
          <w:rFonts w:ascii="Times New Roman" w:hAnsi="Times New Roman"/>
          <w:i/>
          <w:iCs/>
          <w:sz w:val="24"/>
        </w:rPr>
      </w:pPr>
      <w:r>
        <w:rPr>
          <w:rFonts w:ascii="Times New Roman" w:hAnsi="Times New Roman"/>
          <w:i/>
          <w:iCs/>
          <w:sz w:val="24"/>
        </w:rPr>
        <w:t>Recommended revisions to the 6-mile radius</w:t>
      </w:r>
    </w:p>
    <w:p w:rsidR="00021D11" w:rsidP="00021D11" w14:paraId="54854294" w14:textId="77777777">
      <w:pPr>
        <w:rPr>
          <w:rFonts w:ascii="Times New Roman" w:hAnsi="Times New Roman"/>
          <w:sz w:val="24"/>
        </w:rPr>
      </w:pPr>
      <w:r>
        <w:rPr>
          <w:rFonts w:ascii="Times New Roman" w:hAnsi="Times New Roman"/>
          <w:b/>
          <w:bCs/>
          <w:sz w:val="24"/>
        </w:rPr>
        <w:t>Comment 13.2-03</w:t>
      </w:r>
      <w:r w:rsidRPr="00C21EC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Several commenters recommended</w:t>
      </w:r>
      <w:r>
        <w:rPr>
          <w:rFonts w:ascii="Times New Roman" w:hAnsi="Times New Roman"/>
          <w:sz w:val="24"/>
        </w:rPr>
        <w:t xml:space="preserve"> other</w:t>
      </w:r>
      <w:r w:rsidRPr="006F68E9">
        <w:rPr>
          <w:rFonts w:ascii="Times New Roman" w:hAnsi="Times New Roman"/>
          <w:sz w:val="24"/>
        </w:rPr>
        <w:t xml:space="preserve"> alternative distances and approaches in place of the 6-mile radius in the </w:t>
      </w:r>
      <w:r>
        <w:rPr>
          <w:rFonts w:ascii="Times New Roman" w:hAnsi="Times New Roman"/>
          <w:sz w:val="24"/>
        </w:rPr>
        <w:t>pr</w:t>
      </w:r>
      <w:r w:rsidRPr="006F68E9">
        <w:rPr>
          <w:rFonts w:ascii="Times New Roman" w:hAnsi="Times New Roman"/>
          <w:sz w:val="24"/>
        </w:rPr>
        <w:t xml:space="preserve">oposed </w:t>
      </w:r>
      <w:r>
        <w:rPr>
          <w:rFonts w:ascii="Times New Roman" w:hAnsi="Times New Roman"/>
          <w:sz w:val="24"/>
        </w:rPr>
        <w:t>r</w:t>
      </w:r>
      <w:r w:rsidRPr="006F68E9">
        <w:rPr>
          <w:rFonts w:ascii="Times New Roman" w:hAnsi="Times New Roman"/>
          <w:sz w:val="24"/>
        </w:rPr>
        <w:t>ule (0165, 0178, 0180, 0181, 0184, 0193, 0205, 0207, 0217, 0220, 0226, 0234, 0237, 0240, 0251, 0252, 0269, 0273, 0383, 0444, 0458, 0460, 0480).</w:t>
      </w:r>
      <w:r>
        <w:rPr>
          <w:rFonts w:ascii="Times New Roman" w:hAnsi="Times New Roman"/>
          <w:sz w:val="24"/>
        </w:rPr>
        <w:t xml:space="preserve"> </w:t>
      </w:r>
      <w:r w:rsidRPr="006F68E9">
        <w:rPr>
          <w:rFonts w:ascii="Times New Roman" w:hAnsi="Times New Roman"/>
          <w:sz w:val="24"/>
        </w:rPr>
        <w:t>Several commenters recommend EPA restrict the radius to 1-mile (0165, 0180, 0205, 0207, 0217, 0226, 0234, 0458).</w:t>
      </w:r>
      <w:r>
        <w:rPr>
          <w:rFonts w:ascii="Times New Roman" w:hAnsi="Times New Roman"/>
          <w:sz w:val="24"/>
        </w:rPr>
        <w:t xml:space="preserve"> </w:t>
      </w:r>
      <w:r w:rsidRPr="006F68E9">
        <w:rPr>
          <w:rFonts w:ascii="Times New Roman" w:hAnsi="Times New Roman"/>
          <w:sz w:val="24"/>
        </w:rPr>
        <w:t xml:space="preserve">A few commenters recommended EPA use the actual worst-case scenario endpoint or worst-case release circle as the radius (0165, 0184, 0237). One commenter recommended EPA restrict the radius to 3-miles because EPA reports that 67% of worst-case scenarios are under 3-miles (0181). Another commenter recommended EPA restrict the radius to 10-miles because EPA </w:t>
      </w:r>
      <w:r>
        <w:rPr>
          <w:rFonts w:ascii="Times New Roman" w:hAnsi="Times New Roman"/>
          <w:sz w:val="24"/>
        </w:rPr>
        <w:t>said</w:t>
      </w:r>
      <w:r w:rsidRPr="006F68E9">
        <w:rPr>
          <w:rFonts w:ascii="Times New Roman" w:hAnsi="Times New Roman"/>
          <w:sz w:val="24"/>
        </w:rPr>
        <w:t xml:space="preserve"> that 95% of all toxic-worst cases are within 10-miles (0273). </w:t>
      </w:r>
      <w:r>
        <w:rPr>
          <w:rFonts w:ascii="Times New Roman" w:hAnsi="Times New Roman"/>
          <w:sz w:val="24"/>
        </w:rPr>
        <w:t xml:space="preserve">One </w:t>
      </w:r>
      <w:r w:rsidRPr="006F68E9">
        <w:rPr>
          <w:rFonts w:ascii="Times New Roman" w:hAnsi="Times New Roman"/>
          <w:sz w:val="24"/>
        </w:rPr>
        <w:t>commenter suggested limiting the distribution of notification to the limits of the facility’s offsite consequence analysis (OCA), which inherently considers the type of risk posed to the public and the unique physical circumstances specific to each facility and location (0196).</w:t>
      </w:r>
      <w:r>
        <w:rPr>
          <w:rFonts w:ascii="Times New Roman" w:hAnsi="Times New Roman"/>
          <w:sz w:val="24"/>
        </w:rPr>
        <w:t xml:space="preserve"> </w:t>
      </w:r>
      <w:r w:rsidRPr="006F68E9">
        <w:rPr>
          <w:rFonts w:ascii="Times New Roman" w:hAnsi="Times New Roman"/>
          <w:sz w:val="24"/>
        </w:rPr>
        <w:t>Another commenter recommended an alternative approach where EPA would leave it up to LEPCs to determine the appropriate radius for public information requests as they are completing under EPCRA requirements (0165).</w:t>
      </w:r>
      <w:r w:rsidRPr="00EE64A1">
        <w:rPr>
          <w:rFonts w:ascii="Times New Roman" w:hAnsi="Times New Roman"/>
          <w:sz w:val="24"/>
        </w:rPr>
        <w:t xml:space="preserve"> </w:t>
      </w:r>
      <w:r w:rsidRPr="006F68E9">
        <w:rPr>
          <w:rFonts w:ascii="Times New Roman" w:hAnsi="Times New Roman"/>
          <w:sz w:val="24"/>
        </w:rPr>
        <w:t>One commenter recommend EPA eliminate the proposed 6-mile residency requirement and reinstate the information availability requirements of the 2017 rule (0444).</w:t>
      </w:r>
    </w:p>
    <w:p w:rsidR="00021D11" w:rsidP="00021D11" w14:paraId="17580B0C" w14:textId="77777777">
      <w:pPr>
        <w:rPr>
          <w:rFonts w:ascii="Times New Roman" w:hAnsi="Times New Roman"/>
          <w:sz w:val="24"/>
        </w:rPr>
      </w:pPr>
      <w:r w:rsidRPr="004F5B26">
        <w:rPr>
          <w:rFonts w:ascii="Times New Roman" w:hAnsi="Times New Roman"/>
          <w:sz w:val="24"/>
        </w:rPr>
        <w:t>One commenter stated that the proposal’s within 6-mile residency requirement creates an unnecessary obstacle to accessing information that could undermine EPA’s goals to address environmental justice, especially as people in fenceline communities may not have a trusting relationship with government authorities, a home address, or documented status to demonstrate their residency. The commenter requested EPA eliminate the requirement that community members demonstrate they live within 6 miles of a facility to access information (0444).</w:t>
      </w:r>
    </w:p>
    <w:p w:rsidR="00021D11" w:rsidP="00021D11" w14:paraId="27AC98B0" w14:textId="28D3FA33">
      <w:pPr>
        <w:ind w:left="720"/>
        <w:rPr>
          <w:rFonts w:ascii="Times New Roman" w:hAnsi="Times New Roman"/>
          <w:sz w:val="24"/>
        </w:rPr>
      </w:pPr>
      <w:r w:rsidRPr="00EE656D">
        <w:rPr>
          <w:rFonts w:ascii="Times New Roman" w:hAnsi="Times New Roman"/>
          <w:b/>
          <w:bCs/>
          <w:sz w:val="24"/>
        </w:rPr>
        <w:t>EPA Response:</w:t>
      </w:r>
      <w:r w:rsidRPr="00EE656D">
        <w:rPr>
          <w:rFonts w:ascii="Times New Roman" w:hAnsi="Times New Roman"/>
          <w:sz w:val="24"/>
        </w:rPr>
        <w:t xml:space="preserve"> </w:t>
      </w:r>
      <w:r w:rsidRPr="001F28DC" w:rsidR="001F28DC">
        <w:t xml:space="preserve"> </w:t>
      </w:r>
      <w:r w:rsidRPr="001F28DC" w:rsidR="001F28DC">
        <w:rPr>
          <w:rFonts w:ascii="Times New Roman" w:hAnsi="Times New Roman"/>
          <w:sz w:val="24"/>
        </w:rPr>
        <w:t xml:space="preserve">EPA believes the 6-mile radius restriction to be reasonable, as 90 percent of all toxic worst-case distances to endpoints are within six miles or less, and almost all flammable worst-case distances are less than 1 mile (87 FR 53601). The 6-mile radius for being able to request information from facilities allows people in most areas potentially impacted by a worst-case scenario to have access to information while also providing a limit on widespread access to nationwide assembly of data. </w:t>
      </w:r>
      <w:r w:rsidRPr="00EE656D">
        <w:rPr>
          <w:rFonts w:ascii="Times New Roman" w:hAnsi="Times New Roman"/>
          <w:sz w:val="24"/>
        </w:rPr>
        <w:t xml:space="preserve">EPA agrees with commenters that allowing only those individuals that reside within the 6-mile radius to access information is too limited and has thus expanded the provision in the final rule to also allow members of the public working or otherwise spending significant time in the 6-mile radius to request information from a facility. </w:t>
      </w:r>
    </w:p>
    <w:p w:rsidR="00021D11" w:rsidP="00021D11" w14:paraId="236A5CCC" w14:textId="0C50BDB4">
      <w:pPr>
        <w:ind w:left="720"/>
      </w:pPr>
      <w:r w:rsidRPr="00D72FF8">
        <w:rPr>
          <w:rFonts w:ascii="Times New Roman" w:hAnsi="Times New Roman"/>
          <w:sz w:val="24"/>
        </w:rPr>
        <w:t xml:space="preserve">The 6-mile radius limitation also seeks to limit the potential security risk of allowing anonymous confidential access to this information to the entire public that was of concern to EPA in the 2019 reconsideration rule. This approach strikes a better balance between those security concerns and the interests of people spending significant time near </w:t>
      </w:r>
      <w:r w:rsidRPr="00D72FF8">
        <w:rPr>
          <w:rFonts w:ascii="Times New Roman" w:hAnsi="Times New Roman"/>
          <w:sz w:val="24"/>
        </w:rPr>
        <w:t>facilities who could benefit from the information, including personal preparedness in the event of an accident, knowledge of potential risks and safety conditions where one lives, and more informed participation in community emergency and safety planning.</w:t>
      </w:r>
      <w:r w:rsidRPr="058D8BA6">
        <w:t xml:space="preserve">  </w:t>
      </w:r>
    </w:p>
    <w:p w:rsidR="00EF20DC" w:rsidRPr="00EE656D" w:rsidP="00021D11" w14:paraId="04ACA89C" w14:textId="0ACDEEFF">
      <w:pPr>
        <w:ind w:left="720"/>
        <w:rPr>
          <w:rFonts w:ascii="Times New Roman" w:hAnsi="Times New Roman"/>
          <w:sz w:val="24"/>
        </w:rPr>
      </w:pPr>
      <w:r w:rsidRPr="0014061D">
        <w:rPr>
          <w:rFonts w:ascii="Times New Roman" w:hAnsi="Times New Roman"/>
          <w:sz w:val="24"/>
        </w:rPr>
        <w:t>Regarding concerns about the verification of the identity of members of the public requesting information, EPA is requiring sources to provide instructions for how to request the information, which should include the necessary verification components for the public within a 6-mile radius of the facility. Nothing in the rule requires a facility to accept a mere P.O. Box address as evidence of residence, employment, or presence within the 6-mile radius. For this final rule, EPA is also requiring owners and operators to maintain a record of the requestors. The final rule leaves substantial flexibility for facilities to design a process for obtaining verification and keeping records of requestors that allows for facilities to have a suitable, minimally burdensome process for themselves and the community. The final rule allows for a straightforward process that does not hinder the right of the public to access this information, allows facilities to be aware who has their information, and permits oversight by implementing agencies. However, as this is a performance-based provision, just as most components of the rule, EPA recognizes that there is not a one-size fits all approach that works best for notifying the public that this information is available and verifying presence within a 6-mile radius. EPA expects facility owners and operators to notify the public that information is available in a variety of ways, such as using free or low-cost internet platforms, and social media tools that are designed for sharing information with the public. EPA also expects verification of the population within the 6-mile radius to be carried out through many methods, such as asking a member of the public to provide a utility bill for verification of residence, pay stub for verification of employment, or specific documentation to verify significant time spent within the 6-mile radius. EPA encourages the facility owner or operator to coordinate information distribution and verification requirements with the LEPC or local emergency response officials to determine the best way to reach public stakeholders.</w:t>
      </w:r>
    </w:p>
    <w:p w:rsidR="58833932" w:rsidP="0AEE437B" w14:paraId="07D17B11" w14:textId="24435D08">
      <w:pPr>
        <w:ind w:left="720"/>
        <w:rPr>
          <w:rFonts w:ascii="Times New Roman" w:hAnsi="Times New Roman"/>
          <w:sz w:val="24"/>
        </w:rPr>
      </w:pPr>
      <w:r w:rsidRPr="0AEE437B">
        <w:rPr>
          <w:rFonts w:ascii="Times New Roman" w:hAnsi="Times New Roman"/>
          <w:sz w:val="24"/>
        </w:rPr>
        <w:t xml:space="preserve">The provisions of this rule that are based on </w:t>
      </w:r>
      <w:r w:rsidRPr="0AEE437B" w:rsidR="79228D7F">
        <w:rPr>
          <w:rFonts w:ascii="Times New Roman" w:hAnsi="Times New Roman"/>
          <w:sz w:val="24"/>
        </w:rPr>
        <w:t xml:space="preserve">worst-case scenario </w:t>
      </w:r>
      <w:r w:rsidRPr="0AEE437B">
        <w:rPr>
          <w:rFonts w:ascii="Times New Roman" w:hAnsi="Times New Roman"/>
          <w:sz w:val="24"/>
        </w:rPr>
        <w:t>release distances</w:t>
      </w:r>
      <w:r w:rsidRPr="0AEE437B" w:rsidR="1D794B50">
        <w:rPr>
          <w:rFonts w:ascii="Times New Roman" w:hAnsi="Times New Roman"/>
          <w:sz w:val="24"/>
        </w:rPr>
        <w:t xml:space="preserve"> (i.e., the 1-mile distance</w:t>
      </w:r>
      <w:r w:rsidRPr="0AEE437B" w:rsidR="45A6CD95">
        <w:rPr>
          <w:rFonts w:ascii="Times New Roman" w:hAnsi="Times New Roman"/>
          <w:sz w:val="24"/>
        </w:rPr>
        <w:t xml:space="preserve"> for applicability of certain STAA provisions and the 6-mile distance for information availability)</w:t>
      </w:r>
      <w:r w:rsidRPr="0AEE437B" w:rsidR="37C772B1">
        <w:rPr>
          <w:rFonts w:ascii="Times New Roman" w:hAnsi="Times New Roman"/>
          <w:sz w:val="24"/>
        </w:rPr>
        <w:t xml:space="preserve"> both rely on aggregate worst-case distances rather than indi</w:t>
      </w:r>
      <w:r w:rsidRPr="0AEE437B" w:rsidR="1D807BAE">
        <w:rPr>
          <w:rFonts w:ascii="Times New Roman" w:hAnsi="Times New Roman"/>
          <w:sz w:val="24"/>
        </w:rPr>
        <w:t xml:space="preserve">vidual stationary source worst-case distances </w:t>
      </w:r>
      <w:r w:rsidRPr="0AEE437B" w:rsidR="35113D14">
        <w:rPr>
          <w:rFonts w:ascii="Times New Roman" w:hAnsi="Times New Roman"/>
          <w:sz w:val="24"/>
        </w:rPr>
        <w:t>to avoid requiring sources to disclose their individual worst-case distances</w:t>
      </w:r>
      <w:r w:rsidRPr="0AEE437B" w:rsidR="360437E0">
        <w:rPr>
          <w:rFonts w:ascii="Times New Roman" w:hAnsi="Times New Roman"/>
          <w:sz w:val="24"/>
        </w:rPr>
        <w:t xml:space="preserve">. </w:t>
      </w:r>
      <w:r w:rsidRPr="0AEE437B" w:rsidR="35113D14">
        <w:rPr>
          <w:rFonts w:ascii="Times New Roman" w:hAnsi="Times New Roman"/>
          <w:sz w:val="24"/>
        </w:rPr>
        <w:t xml:space="preserve"> </w:t>
      </w:r>
    </w:p>
    <w:p w:rsidR="00021D11" w:rsidP="00021D11" w14:paraId="4276D52D" w14:textId="77777777">
      <w:pPr>
        <w:rPr>
          <w:rFonts w:ascii="Times New Roman" w:hAnsi="Times New Roman"/>
          <w:sz w:val="24"/>
        </w:rPr>
      </w:pPr>
      <w:r>
        <w:rPr>
          <w:rFonts w:ascii="Times New Roman" w:hAnsi="Times New Roman"/>
          <w:b/>
          <w:bCs/>
          <w:sz w:val="24"/>
        </w:rPr>
        <w:t xml:space="preserve">Comment 13.2-04: </w:t>
      </w:r>
      <w:r w:rsidRPr="008259CF">
        <w:rPr>
          <w:rFonts w:ascii="Times New Roman" w:hAnsi="Times New Roman"/>
          <w:sz w:val="24"/>
        </w:rPr>
        <w:t xml:space="preserve">Several commenters requested EPA to clarify what is meant by the requirement of a person to </w:t>
      </w:r>
      <w:r>
        <w:rPr>
          <w:rFonts w:ascii="Times New Roman" w:hAnsi="Times New Roman"/>
          <w:sz w:val="24"/>
        </w:rPr>
        <w:t>“</w:t>
      </w:r>
      <w:r w:rsidRPr="008259CF">
        <w:rPr>
          <w:rFonts w:ascii="Times New Roman" w:hAnsi="Times New Roman"/>
          <w:sz w:val="24"/>
        </w:rPr>
        <w:t>reside</w:t>
      </w:r>
      <w:r>
        <w:rPr>
          <w:rFonts w:ascii="Times New Roman" w:hAnsi="Times New Roman"/>
          <w:sz w:val="24"/>
        </w:rPr>
        <w:t>”</w:t>
      </w:r>
      <w:r w:rsidRPr="008259CF">
        <w:rPr>
          <w:rFonts w:ascii="Times New Roman" w:hAnsi="Times New Roman"/>
          <w:sz w:val="24"/>
        </w:rPr>
        <w:t xml:space="preserve"> within 6-miles of a facility and how a facility will be able to verify the information (0180, 0181, 0196, 0205, 0215, 0217, 0220, 0223, 0226, </w:t>
      </w:r>
      <w:r>
        <w:rPr>
          <w:rFonts w:ascii="Times New Roman" w:hAnsi="Times New Roman"/>
          <w:sz w:val="24"/>
        </w:rPr>
        <w:t xml:space="preserve">0232, </w:t>
      </w:r>
      <w:r w:rsidRPr="008259CF">
        <w:rPr>
          <w:rFonts w:ascii="Times New Roman" w:hAnsi="Times New Roman"/>
          <w:sz w:val="24"/>
        </w:rPr>
        <w:t>0234, 0267, 0458).</w:t>
      </w:r>
    </w:p>
    <w:p w:rsidR="00021D11" w:rsidP="00021D11" w14:paraId="63DCFBBB" w14:textId="77777777">
      <w:pPr>
        <w:rPr>
          <w:rFonts w:ascii="Times New Roman" w:hAnsi="Times New Roman"/>
          <w:sz w:val="24"/>
        </w:rPr>
      </w:pPr>
      <w:r w:rsidRPr="008259CF">
        <w:rPr>
          <w:rFonts w:ascii="Times New Roman" w:hAnsi="Times New Roman"/>
          <w:sz w:val="24"/>
        </w:rPr>
        <w:t>Some of the commenters expressed concerns that residents could use a PO Box within 6-miles of a facility to obtain access to and share information (0180, 0205, 0215, 0217, 0223, 0226, 0234, 0458)</w:t>
      </w:r>
      <w:r>
        <w:rPr>
          <w:rFonts w:ascii="Times New Roman" w:hAnsi="Times New Roman"/>
          <w:sz w:val="24"/>
        </w:rPr>
        <w:t>.</w:t>
      </w:r>
    </w:p>
    <w:p w:rsidR="00021D11" w:rsidRPr="009B2F03" w:rsidP="00021D11" w14:paraId="2FB233B7" w14:textId="7567FDB1">
      <w:pPr>
        <w:ind w:left="720"/>
        <w:rPr>
          <w:rFonts w:ascii="Times New Roman" w:hAnsi="Times New Roman"/>
          <w:sz w:val="24"/>
        </w:rPr>
      </w:pPr>
      <w:r>
        <w:rPr>
          <w:rFonts w:ascii="Times New Roman" w:hAnsi="Times New Roman"/>
          <w:b/>
          <w:bCs/>
          <w:sz w:val="24"/>
        </w:rPr>
        <w:t>EPA Response:</w:t>
      </w:r>
      <w:r w:rsidRPr="009B2F03">
        <w:rPr>
          <w:rFonts w:ascii="Times New Roman" w:hAnsi="Times New Roman"/>
          <w:sz w:val="24"/>
        </w:rPr>
        <w:t xml:space="preserve"> EPA is clarifying in the final rule that the 6-mile radius is from the fenceline of the facility. EPA expects that in most cases, six miles from the fenceline is the appropriate definition, as opposed to six miles from process locations or any other location at the facility, because this consistent approach captures the wide variations of facility size, process locations and any process movement within the facility. It is also </w:t>
      </w:r>
      <w:r w:rsidRPr="009B2F03">
        <w:rPr>
          <w:rFonts w:ascii="Times New Roman" w:hAnsi="Times New Roman"/>
          <w:sz w:val="24"/>
        </w:rPr>
        <w:t xml:space="preserve">simpler to verify for the public and oversight agencies and does not require revealing of the precise location of the place in the process from which a release could occur, which may raise security concerns. </w:t>
      </w:r>
    </w:p>
    <w:p w:rsidR="00021D11" w:rsidP="00021D11" w14:paraId="6276B3D8" w14:textId="77777777">
      <w:pPr>
        <w:ind w:left="720"/>
        <w:rPr>
          <w:rFonts w:ascii="Times New Roman" w:hAnsi="Times New Roman"/>
          <w:sz w:val="24"/>
        </w:rPr>
      </w:pPr>
      <w:r w:rsidRPr="006A663D">
        <w:rPr>
          <w:rFonts w:ascii="Times New Roman" w:hAnsi="Times New Roman"/>
          <w:sz w:val="24"/>
        </w:rPr>
        <w:t>In response to comments requesting clarification on what it means for a person to “reside” within six miles of a facility, the final rule specifies that members of the public residing, working, or spending significant time in a 6-mile radius from the fenceline of the facility are able to submit information requests to a source. EPA interprets residing as occupying a dwelling (owning or renting), working as having paid employment, and spending significant time as frequently using services, volunteering, visiting with family or friends, etc.</w:t>
      </w:r>
      <w:r w:rsidRPr="009B2F03">
        <w:rPr>
          <w:rFonts w:ascii="Times New Roman" w:hAnsi="Times New Roman"/>
          <w:sz w:val="24"/>
        </w:rPr>
        <w:t xml:space="preserve">  </w:t>
      </w:r>
    </w:p>
    <w:p w:rsidR="003633B5" w:rsidP="00021D11" w14:paraId="3EBEED3F" w14:textId="515AF525">
      <w:pPr>
        <w:ind w:left="720"/>
        <w:rPr>
          <w:rFonts w:ascii="Times New Roman" w:hAnsi="Times New Roman"/>
          <w:sz w:val="24"/>
        </w:rPr>
      </w:pPr>
      <w:r w:rsidRPr="003633B5">
        <w:rPr>
          <w:rFonts w:ascii="Times New Roman" w:hAnsi="Times New Roman"/>
          <w:sz w:val="24"/>
        </w:rPr>
        <w:t>EPA is requiring sources to provide instructions for how to request the information, which should include the necessary verification components for the public within a 6-mile radius of the facility. Nothing in the rule requires a facility to accept a mere P.O. Box address as evidence of residence, employment, or presence within the 6-mile radius. For this final rule, EPA is also requiring owners and operators to maintain a record of the requestors. The final rule leaves substantial flexibility for facilities to design a process for obtaining verification and keeping records of requestors that allows for facilities to have a suitable, minimally burdensome process for themselves and the community. The final rule allows for a straightforward process that does not hinder the right of the public to access this information, allows facilities to be aware who has their information, and permits oversight by implementing agencies.</w:t>
      </w:r>
    </w:p>
    <w:p w:rsidR="00021D11" w:rsidP="00021D11" w14:paraId="7EDE406E" w14:textId="77777777">
      <w:pPr>
        <w:rPr>
          <w:rFonts w:ascii="Times New Roman" w:hAnsi="Times New Roman"/>
          <w:sz w:val="24"/>
        </w:rPr>
      </w:pPr>
      <w:r>
        <w:rPr>
          <w:rFonts w:ascii="Times New Roman" w:hAnsi="Times New Roman"/>
          <w:b/>
          <w:bCs/>
          <w:sz w:val="24"/>
        </w:rPr>
        <w:t xml:space="preserve">Comment 13.2-05: </w:t>
      </w:r>
      <w:r w:rsidRPr="004F5B26">
        <w:rPr>
          <w:rFonts w:ascii="Times New Roman" w:hAnsi="Times New Roman"/>
          <w:sz w:val="24"/>
        </w:rPr>
        <w:t xml:space="preserve">Several commenters recommended EPA abandon any geographic limitation and instead make basic emergency preparedness information commonly available to the public (0157, 0178, 0193, 0220, 0251, 0383, 0460). One commenter emphasized that the proposed rule violates the FOIA as non-OCA RMP data is public information. The commenter </w:t>
      </w:r>
      <w:r>
        <w:rPr>
          <w:rFonts w:ascii="Times New Roman" w:hAnsi="Times New Roman"/>
          <w:sz w:val="24"/>
        </w:rPr>
        <w:t>stated</w:t>
      </w:r>
      <w:r w:rsidRPr="004F5B26">
        <w:rPr>
          <w:rFonts w:ascii="Times New Roman" w:hAnsi="Times New Roman"/>
          <w:sz w:val="24"/>
        </w:rPr>
        <w:t xml:space="preserve"> that EPA cannot deny public access to this information. The commenter also </w:t>
      </w:r>
      <w:r>
        <w:rPr>
          <w:rFonts w:ascii="Times New Roman" w:hAnsi="Times New Roman"/>
          <w:sz w:val="24"/>
        </w:rPr>
        <w:t>said</w:t>
      </w:r>
      <w:r w:rsidRPr="004F5B26">
        <w:rPr>
          <w:rFonts w:ascii="Times New Roman" w:hAnsi="Times New Roman"/>
          <w:sz w:val="24"/>
        </w:rPr>
        <w:t xml:space="preserve"> that this restriction would violate 42 U.S.C. 7412(r)(7)(B), which requires EPA to provide prevention, incident detection, and response “to the greatest extent practicable” (0460).</w:t>
      </w:r>
      <w:r w:rsidRPr="00051767">
        <w:rPr>
          <w:rFonts w:ascii="Times New Roman" w:hAnsi="Times New Roman"/>
          <w:sz w:val="24"/>
        </w:rPr>
        <w:t xml:space="preserve"> </w:t>
      </w:r>
    </w:p>
    <w:p w:rsidR="00021D11" w:rsidRPr="007E16BE" w:rsidP="00021D11" w14:paraId="2F5AA96F" w14:textId="4572B8D2">
      <w:pPr>
        <w:ind w:left="720"/>
      </w:pPr>
      <w:r>
        <w:rPr>
          <w:rFonts w:ascii="Times New Roman" w:hAnsi="Times New Roman"/>
          <w:b/>
          <w:bCs/>
          <w:sz w:val="24"/>
        </w:rPr>
        <w:t xml:space="preserve">EPA Response: </w:t>
      </w:r>
      <w:r w:rsidRPr="00560170">
        <w:rPr>
          <w:rFonts w:ascii="Times New Roman" w:hAnsi="Times New Roman"/>
          <w:sz w:val="24"/>
        </w:rPr>
        <w:t>The 6-mile radius provision reasonably and practicably balances enhancing means of access for affected communities while also limiting security concerns about widespread, anonymous access that raised concerns in EPA’s 2019 final rule. Further, the final provisions do not limit or violate FOIA rights of the public to obtain government-held records.</w:t>
      </w:r>
      <w:r>
        <w:t xml:space="preserve"> </w:t>
      </w:r>
    </w:p>
    <w:p w:rsidR="00021D11" w:rsidRPr="006F68E9" w:rsidP="00B557C3" w14:paraId="4422C956" w14:textId="77777777">
      <w:pPr>
        <w:pStyle w:val="Heading2"/>
        <w:tabs>
          <w:tab w:val="clear" w:pos="8684"/>
        </w:tabs>
        <w:spacing w:before="120"/>
        <w:rPr>
          <w:rFonts w:ascii="Times New Roman" w:hAnsi="Times New Roman" w:cs="Times New Roman"/>
          <w:b/>
          <w:bCs/>
          <w:color w:val="auto"/>
          <w:sz w:val="24"/>
          <w:szCs w:val="24"/>
        </w:rPr>
      </w:pPr>
      <w:bookmarkStart w:id="155" w:name="_Toc146880040"/>
      <w:bookmarkStart w:id="156" w:name="_Toc153373827"/>
      <w:r w:rsidRPr="6D3F9CC5">
        <w:rPr>
          <w:rFonts w:ascii="Times New Roman" w:hAnsi="Times New Roman" w:cs="Times New Roman"/>
          <w:b/>
          <w:bCs/>
          <w:color w:val="auto"/>
          <w:sz w:val="24"/>
          <w:szCs w:val="24"/>
        </w:rPr>
        <w:t xml:space="preserve">Data elements </w:t>
      </w:r>
      <w:r>
        <w:rPr>
          <w:rFonts w:ascii="Times New Roman" w:hAnsi="Times New Roman" w:cs="Times New Roman"/>
          <w:b/>
          <w:bCs/>
          <w:color w:val="auto"/>
          <w:sz w:val="24"/>
          <w:szCs w:val="24"/>
        </w:rPr>
        <w:t>to be</w:t>
      </w:r>
      <w:r w:rsidRPr="6D3F9CC5">
        <w:rPr>
          <w:rFonts w:ascii="Times New Roman" w:hAnsi="Times New Roman" w:cs="Times New Roman"/>
          <w:b/>
          <w:bCs/>
          <w:color w:val="auto"/>
          <w:sz w:val="24"/>
          <w:szCs w:val="24"/>
        </w:rPr>
        <w:t xml:space="preserve"> released to public</w:t>
      </w:r>
      <w:bookmarkEnd w:id="155"/>
      <w:bookmarkEnd w:id="156"/>
    </w:p>
    <w:p w:rsidR="00021D11" w:rsidRPr="005D16B3" w:rsidP="00021D11" w14:paraId="0592C30F" w14:textId="77777777">
      <w:pPr>
        <w:rPr>
          <w:rFonts w:ascii="Times New Roman" w:hAnsi="Times New Roman"/>
          <w:i/>
          <w:sz w:val="24"/>
        </w:rPr>
      </w:pPr>
      <w:r w:rsidRPr="005D16B3">
        <w:rPr>
          <w:rFonts w:ascii="Times New Roman" w:hAnsi="Times New Roman"/>
          <w:i/>
          <w:sz w:val="24"/>
        </w:rPr>
        <w:t xml:space="preserve">Support for future online posting of portions of the RMP database </w:t>
      </w:r>
    </w:p>
    <w:p w:rsidR="00021D11" w:rsidP="00021D11" w14:paraId="6A51CF9E" w14:textId="77777777">
      <w:pPr>
        <w:rPr>
          <w:rFonts w:ascii="Times New Roman" w:hAnsi="Times New Roman"/>
          <w:sz w:val="24"/>
        </w:rPr>
      </w:pPr>
      <w:r w:rsidRPr="00BF263F">
        <w:rPr>
          <w:rFonts w:ascii="Times New Roman" w:hAnsi="Times New Roman"/>
          <w:b/>
          <w:bCs/>
          <w:sz w:val="24"/>
        </w:rPr>
        <w:t>Comment</w:t>
      </w:r>
      <w:r>
        <w:rPr>
          <w:rFonts w:ascii="Times New Roman" w:hAnsi="Times New Roman"/>
          <w:b/>
          <w:bCs/>
          <w:sz w:val="24"/>
        </w:rPr>
        <w:t xml:space="preserve"> 13.3-01</w:t>
      </w:r>
      <w:r w:rsidRPr="00BF263F">
        <w:rPr>
          <w:rFonts w:ascii="Times New Roman" w:hAnsi="Times New Roman"/>
          <w:b/>
          <w:bCs/>
          <w:sz w:val="24"/>
        </w:rPr>
        <w:t>:</w:t>
      </w:r>
      <w:r>
        <w:rPr>
          <w:rFonts w:ascii="Times New Roman" w:hAnsi="Times New Roman"/>
          <w:sz w:val="24"/>
        </w:rPr>
        <w:t xml:space="preserve"> Several </w:t>
      </w:r>
      <w:r w:rsidRPr="006F68E9">
        <w:rPr>
          <w:rFonts w:ascii="Times New Roman" w:hAnsi="Times New Roman"/>
          <w:sz w:val="24"/>
        </w:rPr>
        <w:t xml:space="preserve">commenters suggested that EPA create an online database to contain information from facilities (0139, </w:t>
      </w:r>
      <w:r>
        <w:rPr>
          <w:rFonts w:ascii="Times New Roman" w:hAnsi="Times New Roman"/>
          <w:sz w:val="24"/>
        </w:rPr>
        <w:t xml:space="preserve">0157, </w:t>
      </w:r>
      <w:r w:rsidRPr="006F68E9">
        <w:rPr>
          <w:rFonts w:ascii="Times New Roman" w:hAnsi="Times New Roman"/>
          <w:sz w:val="24"/>
        </w:rPr>
        <w:t xml:space="preserve">0208, 0219, 0220, </w:t>
      </w:r>
      <w:r>
        <w:rPr>
          <w:rFonts w:ascii="Times New Roman" w:hAnsi="Times New Roman"/>
          <w:sz w:val="24"/>
        </w:rPr>
        <w:t xml:space="preserve">0240, </w:t>
      </w:r>
      <w:r w:rsidRPr="006F68E9">
        <w:rPr>
          <w:rFonts w:ascii="Times New Roman" w:hAnsi="Times New Roman"/>
          <w:sz w:val="24"/>
        </w:rPr>
        <w:t xml:space="preserve">0252, 0254, 0264, 0269, </w:t>
      </w:r>
      <w:r>
        <w:rPr>
          <w:rFonts w:ascii="Times New Roman" w:hAnsi="Times New Roman"/>
          <w:sz w:val="24"/>
        </w:rPr>
        <w:t xml:space="preserve">0273, </w:t>
      </w:r>
      <w:r w:rsidRPr="006F68E9">
        <w:rPr>
          <w:rFonts w:ascii="Times New Roman" w:hAnsi="Times New Roman"/>
          <w:sz w:val="24"/>
        </w:rPr>
        <w:t>0444, 0460).</w:t>
      </w:r>
      <w:r>
        <w:rPr>
          <w:rFonts w:ascii="Times New Roman" w:hAnsi="Times New Roman"/>
          <w:sz w:val="24"/>
        </w:rPr>
        <w:t xml:space="preserve"> Several commenters provided specific suggestions for the online database, as described below.</w:t>
      </w:r>
    </w:p>
    <w:p w:rsidR="00021D11" w:rsidP="00021D11" w14:paraId="5F96D0F0" w14:textId="77777777">
      <w:pPr>
        <w:rPr>
          <w:rFonts w:ascii="Times New Roman" w:hAnsi="Times New Roman"/>
          <w:sz w:val="24"/>
        </w:rPr>
      </w:pPr>
      <w:r w:rsidRPr="001303F1">
        <w:rPr>
          <w:rFonts w:ascii="Times New Roman" w:hAnsi="Times New Roman"/>
          <w:sz w:val="24"/>
        </w:rPr>
        <w:t xml:space="preserve">A few commenters stated that EPA should develop, maintain, and update a public, multilingual online database containing non-protected RMP information (0250, 0449, 0453). </w:t>
      </w:r>
      <w:r w:rsidRPr="004F5B26">
        <w:rPr>
          <w:rFonts w:ascii="Times New Roman" w:hAnsi="Times New Roman"/>
          <w:sz w:val="24"/>
        </w:rPr>
        <w:t xml:space="preserve">One </w:t>
      </w:r>
      <w:r>
        <w:rPr>
          <w:rFonts w:ascii="Times New Roman" w:hAnsi="Times New Roman"/>
          <w:sz w:val="24"/>
        </w:rPr>
        <w:t xml:space="preserve">commenter </w:t>
      </w:r>
      <w:r w:rsidRPr="004F5B26">
        <w:rPr>
          <w:rFonts w:ascii="Times New Roman" w:hAnsi="Times New Roman"/>
          <w:sz w:val="24"/>
        </w:rPr>
        <w:t xml:space="preserve">recommended this database be available to only those residents that are within a 10-mile </w:t>
      </w:r>
      <w:r>
        <w:rPr>
          <w:rFonts w:ascii="Times New Roman" w:hAnsi="Times New Roman"/>
          <w:sz w:val="24"/>
        </w:rPr>
        <w:t>radius and be</w:t>
      </w:r>
      <w:r w:rsidRPr="004F5B26">
        <w:rPr>
          <w:rFonts w:ascii="Times New Roman" w:hAnsi="Times New Roman"/>
          <w:sz w:val="24"/>
        </w:rPr>
        <w:t xml:space="preserve"> available in a variety of languages (0273). </w:t>
      </w:r>
      <w:r w:rsidRPr="00916477">
        <w:rPr>
          <w:rFonts w:ascii="Times New Roman" w:hAnsi="Times New Roman"/>
          <w:sz w:val="24"/>
        </w:rPr>
        <w:t xml:space="preserve">Another commenter stated that EPA should </w:t>
      </w:r>
      <w:r w:rsidRPr="00916477">
        <w:rPr>
          <w:rFonts w:ascii="Times New Roman" w:hAnsi="Times New Roman"/>
          <w:sz w:val="24"/>
        </w:rPr>
        <w:t>provide to the public a dataset that includes more information on selected, non-sensitive facility characteristics and summarizes the RMP plans to improve external analysis of what common features put facilities at greatest risk of accidents (0266).</w:t>
      </w:r>
      <w:r>
        <w:rPr>
          <w:rFonts w:ascii="Times New Roman" w:hAnsi="Times New Roman"/>
          <w:sz w:val="24"/>
        </w:rPr>
        <w:t xml:space="preserve"> </w:t>
      </w:r>
    </w:p>
    <w:p w:rsidR="00021D11" w:rsidP="00021D11" w14:paraId="37DA80A6" w14:textId="77777777">
      <w:pPr>
        <w:rPr>
          <w:rFonts w:ascii="Times New Roman" w:hAnsi="Times New Roman"/>
          <w:sz w:val="24"/>
        </w:rPr>
      </w:pPr>
      <w:r w:rsidRPr="006F68E9">
        <w:rPr>
          <w:rFonts w:ascii="Times New Roman" w:hAnsi="Times New Roman"/>
          <w:sz w:val="24"/>
        </w:rPr>
        <w:t xml:space="preserve">A couple </w:t>
      </w:r>
      <w:r w:rsidRPr="006F68E9">
        <w:rPr>
          <w:rFonts w:ascii="Times New Roman" w:hAnsi="Times New Roman"/>
          <w:sz w:val="24"/>
        </w:rPr>
        <w:t xml:space="preserve">of </w:t>
      </w:r>
      <w:r w:rsidRPr="006F68E9">
        <w:rPr>
          <w:rFonts w:ascii="Times New Roman" w:hAnsi="Times New Roman"/>
          <w:sz w:val="24"/>
        </w:rPr>
        <w:t>commenters stated that is essential for EPA to take prompt action to provide publicly accessible information on RMP facility hazards and safety plans on the Agency’s website (0413, 0448)</w:t>
      </w:r>
      <w:r>
        <w:rPr>
          <w:rFonts w:ascii="Times New Roman" w:hAnsi="Times New Roman"/>
          <w:sz w:val="24"/>
        </w:rPr>
        <w:t xml:space="preserve">. </w:t>
      </w:r>
      <w:r w:rsidRPr="004F5B26">
        <w:rPr>
          <w:rFonts w:ascii="Times New Roman" w:hAnsi="Times New Roman"/>
          <w:sz w:val="24"/>
        </w:rPr>
        <w:t>Another commenter recommended EPA provide access to all non-OCA information no later than December 2023 (0240).</w:t>
      </w:r>
    </w:p>
    <w:p w:rsidR="00021D11" w:rsidP="00021D11" w14:paraId="548624A3" w14:textId="77777777">
      <w:pPr>
        <w:rPr>
          <w:rFonts w:ascii="Times New Roman" w:hAnsi="Times New Roman"/>
          <w:sz w:val="24"/>
        </w:rPr>
      </w:pPr>
      <w:r w:rsidRPr="004F5B26">
        <w:rPr>
          <w:rFonts w:ascii="Times New Roman" w:hAnsi="Times New Roman"/>
          <w:sz w:val="24"/>
        </w:rPr>
        <w:t>A few commenters recommended EPA update this information monthly (0240, 0252, 0269).</w:t>
      </w:r>
    </w:p>
    <w:p w:rsidR="00021D11" w:rsidRPr="007A2F97" w:rsidP="00021D11" w14:paraId="3938743B" w14:textId="77777777">
      <w:pPr>
        <w:rPr>
          <w:rFonts w:ascii="Times New Roman" w:hAnsi="Times New Roman"/>
          <w:sz w:val="24"/>
        </w:rPr>
      </w:pPr>
      <w:r>
        <w:rPr>
          <w:rFonts w:ascii="Times New Roman" w:hAnsi="Times New Roman"/>
          <w:sz w:val="24"/>
        </w:rPr>
        <w:t>One commenter suggested</w:t>
      </w:r>
      <w:r w:rsidRPr="006F68E9">
        <w:rPr>
          <w:rFonts w:ascii="Times New Roman" w:hAnsi="Times New Roman"/>
          <w:sz w:val="24"/>
        </w:rPr>
        <w:t xml:space="preserve"> the information be made available in the comma-separated values (CSV) format (0211). </w:t>
      </w:r>
      <w:r w:rsidRPr="004F5B26">
        <w:rPr>
          <w:rFonts w:ascii="Times New Roman" w:hAnsi="Times New Roman"/>
          <w:sz w:val="24"/>
        </w:rPr>
        <w:t xml:space="preserve">A few of the commenters recommended EPA make RMP submission information available via the Agency website (0178, 0193, 0251). </w:t>
      </w:r>
    </w:p>
    <w:p w:rsidR="00021D11" w:rsidP="00021D11" w14:paraId="45CFCE4E" w14:textId="77777777">
      <w:pPr>
        <w:rPr>
          <w:rFonts w:ascii="Times New Roman" w:hAnsi="Times New Roman"/>
          <w:sz w:val="24"/>
        </w:rPr>
      </w:pPr>
      <w:r w:rsidRPr="00FA78ED">
        <w:rPr>
          <w:rFonts w:ascii="Times New Roman" w:hAnsi="Times New Roman"/>
          <w:sz w:val="24"/>
        </w:rPr>
        <w:t xml:space="preserve">One commenter requested that EPA put RMP facility information on a transparent, accessible, and multilingual website that is regularly updated. The commenter said that this includes public access to facility information without the need to provide personal information to facilities (as EPA is proposing) or show identification to enter a federal reading room (as is currently the practice); real-time fenceline monitoring; multilingual alerts about hazards and response/evacuation plans in advance of an incident and during one. The commenter stressed that access to real-time air quality information and multilingual alerts in advance of and during chemical incidents are paramount to allow environmental justice communities to take measures that protect their families. The commenter added that in addition to increasing information availability, EPA should proactively, engage environmental justice communities in the process of issuing RMPs </w:t>
      </w:r>
      <w:r w:rsidRPr="001E11BF">
        <w:rPr>
          <w:rFonts w:ascii="Times New Roman" w:hAnsi="Times New Roman"/>
          <w:sz w:val="24"/>
        </w:rPr>
        <w:t>as laid out in the Department of Justice’s Comprehensive Environmental Justice Enforcement Strategy (0270).</w:t>
      </w:r>
    </w:p>
    <w:p w:rsidR="00021D11" w:rsidRPr="004F5B53" w:rsidP="00021D11" w14:paraId="502A5C21" w14:textId="1AA2CB0D">
      <w:pPr>
        <w:ind w:left="720"/>
        <w:rPr>
          <w:rFonts w:ascii="Times New Roman" w:hAnsi="Times New Roman"/>
          <w:sz w:val="24"/>
        </w:rPr>
      </w:pPr>
      <w:r w:rsidRPr="004F5B53">
        <w:rPr>
          <w:rFonts w:ascii="Times New Roman" w:hAnsi="Times New Roman"/>
          <w:b/>
          <w:bCs/>
          <w:sz w:val="24"/>
        </w:rPr>
        <w:t>EPA Response:</w:t>
      </w:r>
      <w:r w:rsidRPr="004F5B53">
        <w:rPr>
          <w:rFonts w:ascii="Times New Roman" w:hAnsi="Times New Roman"/>
          <w:sz w:val="24"/>
        </w:rPr>
        <w:t xml:space="preserve"> By policy, EPA has restricted access to the RMP database, even though only a portion of the database is restricted by CAA section 112(r)(7)(H) and its implementing regulations in 40 CFR part 1400. As described in the 2022 SCCAP proposed rule, EPA intends to, at a prospective date, begin publishing non-OCA risk management plan data annually, less any CAA section 112(r)(7)(H) protected sensitive information (87 FR 53602). The discussion in the proposed rule was intended to highlight some of the issues that are relevant to relaxing restrictions on data availability. </w:t>
      </w:r>
    </w:p>
    <w:p w:rsidR="00021D11" w:rsidRPr="005D16B3" w:rsidP="00021D11" w14:paraId="041D3702" w14:textId="77777777">
      <w:pPr>
        <w:rPr>
          <w:rFonts w:ascii="Times New Roman" w:hAnsi="Times New Roman"/>
          <w:i/>
          <w:sz w:val="24"/>
        </w:rPr>
      </w:pPr>
      <w:r w:rsidRPr="005D16B3">
        <w:rPr>
          <w:rFonts w:ascii="Times New Roman" w:hAnsi="Times New Roman"/>
          <w:i/>
          <w:sz w:val="24"/>
        </w:rPr>
        <w:t xml:space="preserve">Support for requiring information availability of specific data elements </w:t>
      </w:r>
    </w:p>
    <w:p w:rsidR="00021D11" w:rsidP="00021D11" w14:paraId="6FD3F31C" w14:textId="77777777">
      <w:pPr>
        <w:rPr>
          <w:rFonts w:ascii="Times New Roman" w:hAnsi="Times New Roman"/>
          <w:sz w:val="24"/>
        </w:rPr>
      </w:pPr>
      <w:r w:rsidRPr="00C11B71">
        <w:rPr>
          <w:rFonts w:ascii="Times New Roman" w:hAnsi="Times New Roman"/>
          <w:b/>
          <w:bCs/>
          <w:sz w:val="24"/>
        </w:rPr>
        <w:t>Comment</w:t>
      </w:r>
      <w:r>
        <w:rPr>
          <w:rFonts w:ascii="Times New Roman" w:hAnsi="Times New Roman"/>
          <w:b/>
          <w:bCs/>
          <w:sz w:val="24"/>
        </w:rPr>
        <w:t xml:space="preserve"> 13.3-02</w:t>
      </w:r>
      <w:r w:rsidRPr="00C11B71">
        <w:rPr>
          <w:rFonts w:ascii="Times New Roman" w:hAnsi="Times New Roman"/>
          <w:b/>
          <w:bCs/>
          <w:sz w:val="24"/>
        </w:rPr>
        <w:t>:</w:t>
      </w:r>
      <w:r>
        <w:rPr>
          <w:rFonts w:ascii="Times New Roman" w:hAnsi="Times New Roman"/>
          <w:sz w:val="24"/>
        </w:rPr>
        <w:t xml:space="preserve"> Several commenters expressed support for specific data elements or suggested additional data elements to be included in EPA’s information availability requirements. </w:t>
      </w:r>
    </w:p>
    <w:p w:rsidR="00021D11" w:rsidP="00021D11" w14:paraId="31225988" w14:textId="77777777">
      <w:pPr>
        <w:rPr>
          <w:rFonts w:ascii="Times New Roman" w:hAnsi="Times New Roman"/>
          <w:sz w:val="24"/>
        </w:rPr>
      </w:pPr>
      <w:r w:rsidRPr="00903B59">
        <w:rPr>
          <w:rFonts w:ascii="Times New Roman" w:hAnsi="Times New Roman"/>
          <w:sz w:val="24"/>
        </w:rPr>
        <w:t>One commenter stated that EPA should require RMP owners and operators to proactively post SDS to the facility’s public website (0220).</w:t>
      </w:r>
      <w:r>
        <w:rPr>
          <w:rFonts w:ascii="Times New Roman" w:hAnsi="Times New Roman"/>
          <w:sz w:val="24"/>
        </w:rPr>
        <w:t xml:space="preserve"> </w:t>
      </w:r>
      <w:r w:rsidRPr="00285767">
        <w:rPr>
          <w:rFonts w:ascii="Times New Roman" w:hAnsi="Times New Roman"/>
          <w:sz w:val="24"/>
        </w:rPr>
        <w:t xml:space="preserve">One commenter stated that the communities deserve to be informed about which chemicals nearby facilities use or stockpile (0249). </w:t>
      </w:r>
    </w:p>
    <w:p w:rsidR="00021D11" w:rsidRPr="00285767" w:rsidP="00021D11" w14:paraId="0DD180AA" w14:textId="77777777">
      <w:pPr>
        <w:rPr>
          <w:rFonts w:ascii="Times New Roman" w:hAnsi="Times New Roman"/>
          <w:sz w:val="24"/>
        </w:rPr>
      </w:pPr>
      <w:r w:rsidRPr="00285767">
        <w:rPr>
          <w:rFonts w:ascii="Times New Roman" w:hAnsi="Times New Roman"/>
          <w:sz w:val="24"/>
        </w:rPr>
        <w:t>A couple commenters recommended that final reports be posted to EPA’s website to promote industry learning (0203, 0240).</w:t>
      </w:r>
    </w:p>
    <w:p w:rsidR="00021D11" w:rsidP="00021D11" w14:paraId="3941AD76" w14:textId="77777777">
      <w:pPr>
        <w:rPr>
          <w:rFonts w:ascii="Times New Roman" w:hAnsi="Times New Roman"/>
          <w:sz w:val="24"/>
        </w:rPr>
      </w:pPr>
      <w:r>
        <w:rPr>
          <w:rFonts w:ascii="Times New Roman" w:hAnsi="Times New Roman"/>
          <w:sz w:val="24"/>
        </w:rPr>
        <w:t>One</w:t>
      </w:r>
      <w:r w:rsidRPr="00B2614E">
        <w:rPr>
          <w:rFonts w:ascii="Times New Roman" w:hAnsi="Times New Roman"/>
          <w:sz w:val="24"/>
        </w:rPr>
        <w:t xml:space="preserve"> commenter suggested that EPA provide the public with differing information, including who to call and what to do in the case of an emergency (0201).</w:t>
      </w:r>
    </w:p>
    <w:p w:rsidR="00021D11" w:rsidRPr="00B715F4" w:rsidP="00021D11" w14:paraId="27A84815" w14:textId="77777777">
      <w:pPr>
        <w:rPr>
          <w:rFonts w:ascii="Times New Roman" w:hAnsi="Times New Roman"/>
          <w:sz w:val="24"/>
        </w:rPr>
      </w:pPr>
      <w:r w:rsidRPr="00B715F4">
        <w:rPr>
          <w:rFonts w:ascii="Times New Roman" w:hAnsi="Times New Roman"/>
          <w:sz w:val="24"/>
        </w:rPr>
        <w:t xml:space="preserve">Another commenter </w:t>
      </w:r>
      <w:r>
        <w:rPr>
          <w:rFonts w:ascii="Times New Roman" w:hAnsi="Times New Roman"/>
          <w:sz w:val="24"/>
        </w:rPr>
        <w:t>said</w:t>
      </w:r>
      <w:r w:rsidRPr="00B715F4">
        <w:rPr>
          <w:rFonts w:ascii="Times New Roman" w:hAnsi="Times New Roman"/>
          <w:sz w:val="24"/>
        </w:rPr>
        <w:t xml:space="preserve"> that the safety plan should demonstrate employee input, and then once accepted, the plans should be shared with local officials and the public (0402). </w:t>
      </w:r>
    </w:p>
    <w:p w:rsidR="00021D11" w:rsidRPr="003120D0" w:rsidP="00021D11" w14:paraId="7DE21AA7" w14:textId="77777777">
      <w:pPr>
        <w:rPr>
          <w:rFonts w:ascii="Times New Roman" w:hAnsi="Times New Roman"/>
          <w:sz w:val="24"/>
        </w:rPr>
      </w:pPr>
      <w:r w:rsidRPr="00285767">
        <w:rPr>
          <w:rFonts w:ascii="Times New Roman" w:hAnsi="Times New Roman"/>
          <w:sz w:val="24"/>
        </w:rPr>
        <w:t>One commenter expressed appreciation for EPA’s proposal to make the following publicly available: contact information for the RMP facility local emergency response organizations, procedures for informing the public and local emergency response agencies about accidental releases, providing instructions for how to request the information from the facility, and where to access information on community preparedness (0165).</w:t>
      </w:r>
    </w:p>
    <w:p w:rsidR="00021D11" w:rsidRPr="003120D0" w:rsidP="00021D11" w14:paraId="66256E61" w14:textId="77777777">
      <w:pPr>
        <w:rPr>
          <w:rFonts w:ascii="Times New Roman" w:hAnsi="Times New Roman"/>
          <w:sz w:val="24"/>
        </w:rPr>
      </w:pPr>
      <w:r w:rsidRPr="006520EE">
        <w:rPr>
          <w:rFonts w:ascii="Times New Roman" w:hAnsi="Times New Roman"/>
          <w:sz w:val="24"/>
        </w:rPr>
        <w:t>Another commenter stated that disclosure requirements for safety data sheets should not be limited to RMP chemicals but should also apply to chemicals present onsite above their threshold quantities (0275).</w:t>
      </w:r>
    </w:p>
    <w:p w:rsidR="009127E5" w:rsidRPr="009127E5" w:rsidP="009127E5" w14:paraId="6B98835A" w14:textId="4704F5C3">
      <w:pPr>
        <w:ind w:left="720"/>
        <w:rPr>
          <w:rFonts w:ascii="Times New Roman" w:hAnsi="Times New Roman"/>
          <w:sz w:val="24"/>
        </w:rPr>
      </w:pPr>
      <w:r w:rsidRPr="00882410">
        <w:rPr>
          <w:rFonts w:ascii="Times New Roman" w:hAnsi="Times New Roman"/>
          <w:b/>
          <w:bCs/>
          <w:sz w:val="24"/>
        </w:rPr>
        <w:t>EPA Response:</w:t>
      </w:r>
      <w:r>
        <w:rPr>
          <w:rFonts w:ascii="Times New Roman" w:hAnsi="Times New Roman"/>
          <w:sz w:val="24"/>
        </w:rPr>
        <w:t xml:space="preserve"> </w:t>
      </w:r>
      <w:r w:rsidR="00AA6E92">
        <w:rPr>
          <w:rFonts w:ascii="Times New Roman" w:hAnsi="Times New Roman"/>
          <w:sz w:val="24"/>
        </w:rPr>
        <w:t xml:space="preserve">EPA is requiring </w:t>
      </w:r>
      <w:r w:rsidR="006D69D3">
        <w:rPr>
          <w:rFonts w:ascii="Times New Roman" w:hAnsi="Times New Roman"/>
          <w:sz w:val="24"/>
        </w:rPr>
        <w:t xml:space="preserve">the owner or operator or RMP facilities to </w:t>
      </w:r>
      <w:r w:rsidR="00B95B99">
        <w:rPr>
          <w:rFonts w:ascii="Times New Roman" w:hAnsi="Times New Roman"/>
          <w:sz w:val="24"/>
        </w:rPr>
        <w:t xml:space="preserve">provide the following </w:t>
      </w:r>
      <w:r w:rsidR="00AA6E92">
        <w:rPr>
          <w:rFonts w:ascii="Times New Roman" w:hAnsi="Times New Roman"/>
          <w:sz w:val="24"/>
        </w:rPr>
        <w:t>data elements</w:t>
      </w:r>
      <w:r w:rsidRPr="009127E5">
        <w:rPr>
          <w:rFonts w:ascii="Times New Roman" w:hAnsi="Times New Roman"/>
          <w:sz w:val="24"/>
        </w:rPr>
        <w:t xml:space="preserve">, upon request by any member of the public residing, working, or spending significant time within 6 miles of the fenceline of a stationary source, the following chemical hazard information for all regulated processes: </w:t>
      </w:r>
    </w:p>
    <w:p w:rsidR="009127E5" w:rsidRPr="002B1B52" w:rsidP="002B1B52" w14:paraId="54F40283" w14:textId="1A472D18">
      <w:pPr>
        <w:pStyle w:val="ListParagraph"/>
        <w:numPr>
          <w:ilvl w:val="0"/>
          <w:numId w:val="26"/>
        </w:numPr>
        <w:rPr>
          <w:rFonts w:ascii="Times New Roman" w:hAnsi="Times New Roman"/>
          <w:sz w:val="24"/>
        </w:rPr>
      </w:pPr>
      <w:r w:rsidRPr="002B1B52">
        <w:rPr>
          <w:rFonts w:ascii="Times New Roman" w:hAnsi="Times New Roman"/>
          <w:sz w:val="24"/>
        </w:rPr>
        <w:t xml:space="preserve">Regulated substances information. Names of regulated substances held in a process; </w:t>
      </w:r>
    </w:p>
    <w:p w:rsidR="009127E5" w:rsidRPr="002B1B52" w:rsidP="002B1B52" w14:paraId="30114E4E" w14:textId="1BE3814C">
      <w:pPr>
        <w:pStyle w:val="ListParagraph"/>
        <w:numPr>
          <w:ilvl w:val="0"/>
          <w:numId w:val="26"/>
        </w:numPr>
        <w:rPr>
          <w:rFonts w:ascii="Times New Roman" w:hAnsi="Times New Roman"/>
          <w:sz w:val="24"/>
        </w:rPr>
      </w:pPr>
      <w:r w:rsidRPr="002B1B52">
        <w:rPr>
          <w:rFonts w:ascii="Times New Roman" w:hAnsi="Times New Roman"/>
          <w:sz w:val="24"/>
        </w:rPr>
        <w:t xml:space="preserve">Safety Data Sheets. SDSs for all regulated substances located at the facility; </w:t>
      </w:r>
    </w:p>
    <w:p w:rsidR="009127E5" w:rsidRPr="00AD379E" w:rsidP="00AD379E" w14:paraId="22F5E3B3" w14:textId="2388EF5A">
      <w:pPr>
        <w:pStyle w:val="ListParagraph"/>
        <w:numPr>
          <w:ilvl w:val="0"/>
          <w:numId w:val="26"/>
        </w:numPr>
        <w:rPr>
          <w:rFonts w:ascii="Times New Roman" w:hAnsi="Times New Roman"/>
          <w:sz w:val="24"/>
        </w:rPr>
      </w:pPr>
      <w:r w:rsidRPr="00AD379E">
        <w:rPr>
          <w:rFonts w:ascii="Times New Roman" w:hAnsi="Times New Roman"/>
          <w:sz w:val="24"/>
        </w:rPr>
        <w:t xml:space="preserve">Accident history information. </w:t>
      </w:r>
      <w:r w:rsidR="00F020C9">
        <w:rPr>
          <w:rFonts w:ascii="Times New Roman" w:hAnsi="Times New Roman"/>
          <w:sz w:val="24"/>
        </w:rPr>
        <w:t>F</w:t>
      </w:r>
      <w:r w:rsidRPr="00AD379E">
        <w:rPr>
          <w:rFonts w:ascii="Times New Roman" w:hAnsi="Times New Roman"/>
          <w:sz w:val="24"/>
        </w:rPr>
        <w:t xml:space="preserve">ive-year accident history information required to be reported under § 68.42; </w:t>
      </w:r>
    </w:p>
    <w:p w:rsidR="009127E5" w:rsidRPr="00AD379E" w:rsidP="00AD379E" w14:paraId="4E2D09F1" w14:textId="5A8D2011">
      <w:pPr>
        <w:pStyle w:val="ListParagraph"/>
        <w:numPr>
          <w:ilvl w:val="0"/>
          <w:numId w:val="26"/>
        </w:numPr>
        <w:rPr>
          <w:rFonts w:ascii="Times New Roman" w:hAnsi="Times New Roman"/>
          <w:sz w:val="24"/>
        </w:rPr>
      </w:pPr>
      <w:r w:rsidRPr="00AD379E">
        <w:rPr>
          <w:rFonts w:ascii="Times New Roman" w:hAnsi="Times New Roman"/>
          <w:sz w:val="24"/>
        </w:rPr>
        <w:t xml:space="preserve">Emergency response program. </w:t>
      </w:r>
      <w:r w:rsidR="007C7B66">
        <w:rPr>
          <w:rFonts w:ascii="Times New Roman" w:hAnsi="Times New Roman"/>
          <w:sz w:val="24"/>
        </w:rPr>
        <w:t>I</w:t>
      </w:r>
      <w:r w:rsidRPr="00AD379E">
        <w:rPr>
          <w:rFonts w:ascii="Times New Roman" w:hAnsi="Times New Roman"/>
          <w:sz w:val="24"/>
        </w:rPr>
        <w:t xml:space="preserve">nformation concerning the stationary source’s compliance with § 68.10(f)(3) and the emergency response provisions of subpart E as applicable: </w:t>
      </w:r>
    </w:p>
    <w:p w:rsidR="009127E5" w:rsidRPr="00AD379E" w:rsidP="006D69D3" w14:paraId="30E33A11" w14:textId="7255EF2E">
      <w:pPr>
        <w:pStyle w:val="ListParagraph"/>
        <w:numPr>
          <w:ilvl w:val="1"/>
          <w:numId w:val="26"/>
        </w:numPr>
        <w:rPr>
          <w:rFonts w:ascii="Times New Roman" w:hAnsi="Times New Roman"/>
          <w:sz w:val="24"/>
        </w:rPr>
      </w:pPr>
      <w:r w:rsidRPr="00AD379E">
        <w:rPr>
          <w:rFonts w:ascii="Times New Roman" w:hAnsi="Times New Roman"/>
          <w:sz w:val="24"/>
        </w:rPr>
        <w:t xml:space="preserve">Whether the stationary source is a responding stationary source or a non-responding stationary source; </w:t>
      </w:r>
    </w:p>
    <w:p w:rsidR="009127E5" w:rsidRPr="000F15FC" w:rsidP="006D69D3" w14:paraId="18377E03" w14:textId="1DEDDFFC">
      <w:pPr>
        <w:pStyle w:val="ListParagraph"/>
        <w:numPr>
          <w:ilvl w:val="1"/>
          <w:numId w:val="26"/>
        </w:numPr>
        <w:rPr>
          <w:rFonts w:ascii="Times New Roman" w:hAnsi="Times New Roman"/>
          <w:sz w:val="24"/>
        </w:rPr>
      </w:pPr>
      <w:r w:rsidRPr="000F15FC">
        <w:rPr>
          <w:rFonts w:ascii="Times New Roman" w:hAnsi="Times New Roman"/>
          <w:sz w:val="24"/>
        </w:rPr>
        <w:t xml:space="preserve">Name and phone number of local emergency response organizations with which the owner or operator last coordinated emergency response efforts, pursuant to § 68.180; and </w:t>
      </w:r>
    </w:p>
    <w:p w:rsidR="009127E5" w:rsidRPr="006D69D3" w:rsidP="006D69D3" w14:paraId="23E9F8C8" w14:textId="551B4B52">
      <w:pPr>
        <w:pStyle w:val="ListParagraph"/>
        <w:numPr>
          <w:ilvl w:val="1"/>
          <w:numId w:val="26"/>
        </w:numPr>
        <w:rPr>
          <w:rFonts w:ascii="Times New Roman" w:hAnsi="Times New Roman"/>
          <w:sz w:val="24"/>
        </w:rPr>
      </w:pPr>
      <w:r w:rsidRPr="006D69D3">
        <w:rPr>
          <w:rFonts w:ascii="Times New Roman" w:hAnsi="Times New Roman"/>
          <w:sz w:val="24"/>
        </w:rPr>
        <w:t xml:space="preserve">For stationary sources subject to § 68.95, procedures for informing the public and local emergency response agencies about accidental releases; </w:t>
      </w:r>
    </w:p>
    <w:p w:rsidR="009127E5" w:rsidRPr="00AD379E" w:rsidP="00AD379E" w14:paraId="61F9D344" w14:textId="0FF05CB9">
      <w:pPr>
        <w:pStyle w:val="ListParagraph"/>
        <w:numPr>
          <w:ilvl w:val="0"/>
          <w:numId w:val="26"/>
        </w:numPr>
        <w:rPr>
          <w:rFonts w:ascii="Times New Roman" w:hAnsi="Times New Roman"/>
          <w:sz w:val="24"/>
        </w:rPr>
      </w:pPr>
      <w:r w:rsidRPr="00AD379E">
        <w:rPr>
          <w:rFonts w:ascii="Times New Roman" w:hAnsi="Times New Roman"/>
          <w:sz w:val="24"/>
        </w:rPr>
        <w:t xml:space="preserve">Exercises. A list of scheduled exercises, excluding dates, required under § 68.96 occurring within one year from the date of request;  </w:t>
      </w:r>
    </w:p>
    <w:p w:rsidR="009127E5" w:rsidRPr="00AD379E" w:rsidP="00AD379E" w14:paraId="482AC3E6" w14:textId="1DD926E5">
      <w:pPr>
        <w:pStyle w:val="ListParagraph"/>
        <w:numPr>
          <w:ilvl w:val="0"/>
          <w:numId w:val="26"/>
        </w:numPr>
        <w:rPr>
          <w:rFonts w:ascii="Times New Roman" w:hAnsi="Times New Roman"/>
          <w:sz w:val="24"/>
        </w:rPr>
      </w:pPr>
      <w:r w:rsidRPr="00AD379E">
        <w:rPr>
          <w:rFonts w:ascii="Times New Roman" w:hAnsi="Times New Roman"/>
          <w:sz w:val="24"/>
        </w:rPr>
        <w:t>LEPC contact information</w:t>
      </w:r>
      <w:r w:rsidR="007C7B66">
        <w:rPr>
          <w:rFonts w:ascii="Times New Roman" w:hAnsi="Times New Roman"/>
          <w:sz w:val="24"/>
        </w:rPr>
        <w:t xml:space="preserve">: </w:t>
      </w:r>
      <w:r w:rsidRPr="00AD379E">
        <w:rPr>
          <w:rFonts w:ascii="Times New Roman" w:hAnsi="Times New Roman"/>
          <w:sz w:val="24"/>
        </w:rPr>
        <w:t xml:space="preserve">LEPC name, phone number, and web address as available; and </w:t>
      </w:r>
    </w:p>
    <w:p w:rsidR="00AA6E92" w:rsidRPr="008B6BBF" w:rsidP="008B6BBF" w14:paraId="7F09DE08" w14:textId="7F430902">
      <w:pPr>
        <w:pStyle w:val="ListParagraph"/>
        <w:numPr>
          <w:ilvl w:val="0"/>
          <w:numId w:val="26"/>
        </w:numPr>
        <w:rPr>
          <w:rFonts w:ascii="Times New Roman" w:hAnsi="Times New Roman"/>
          <w:sz w:val="24"/>
        </w:rPr>
      </w:pPr>
      <w:r w:rsidRPr="008B6BBF">
        <w:rPr>
          <w:rFonts w:ascii="Times New Roman" w:hAnsi="Times New Roman"/>
          <w:sz w:val="24"/>
        </w:rPr>
        <w:t>Declined recommendations and justifications</w:t>
      </w:r>
      <w:r w:rsidR="007C7B66">
        <w:rPr>
          <w:rFonts w:ascii="Times New Roman" w:hAnsi="Times New Roman"/>
          <w:sz w:val="24"/>
        </w:rPr>
        <w:t>: D</w:t>
      </w:r>
      <w:r w:rsidRPr="008B6BBF">
        <w:rPr>
          <w:rFonts w:ascii="Times New Roman" w:hAnsi="Times New Roman"/>
          <w:sz w:val="24"/>
        </w:rPr>
        <w:t>eclined recommendations and justifications required under §§ 68.170(e)(7) and 68.175(e)(7)-(9).</w:t>
      </w:r>
    </w:p>
    <w:p w:rsidR="00021D11" w:rsidRPr="005A0FBD" w:rsidP="00021D11" w14:paraId="450866DD" w14:textId="2EC32031">
      <w:pPr>
        <w:ind w:left="720"/>
        <w:rPr>
          <w:rFonts w:ascii="Times New Roman" w:hAnsi="Times New Roman"/>
          <w:sz w:val="24"/>
        </w:rPr>
      </w:pPr>
      <w:r w:rsidRPr="000954A6">
        <w:rPr>
          <w:rFonts w:ascii="Times New Roman" w:hAnsi="Times New Roman"/>
          <w:sz w:val="24"/>
        </w:rPr>
        <w:t>Having the source provide th</w:t>
      </w:r>
      <w:r>
        <w:rPr>
          <w:rFonts w:ascii="Times New Roman" w:hAnsi="Times New Roman"/>
          <w:sz w:val="24"/>
        </w:rPr>
        <w:t>is</w:t>
      </w:r>
      <w:r w:rsidRPr="000954A6">
        <w:rPr>
          <w:rFonts w:ascii="Times New Roman" w:hAnsi="Times New Roman"/>
          <w:sz w:val="24"/>
        </w:rPr>
        <w:t xml:space="preserve"> information set out in 40 CFR 68.210 directly to the public promotes accident prevention by facilitating public participation at the local level. It should be noted that EPA has been selective in identifying what information a source must make available; for example, the Agency will not require the facility to provide an entire RMP to the public. EPA believes the public has a substantial interest in knowing what chemicals are present in the community and what it should do in the event of an accidental release involving facilities handling those chemicals. The public also has a </w:t>
      </w:r>
      <w:r w:rsidRPr="000954A6">
        <w:rPr>
          <w:rFonts w:ascii="Times New Roman" w:hAnsi="Times New Roman"/>
          <w:sz w:val="24"/>
        </w:rPr>
        <w:t>substantial interest in having the opportunity to participate in an informed manner regarding emergency planning in its community. Facilitating access to information before an incident promotes more effective communication of information during responses to incidents, and thus promotes more effective response programs.</w:t>
      </w:r>
      <w:r w:rsidRPr="007D25BA">
        <w:rPr>
          <w:rFonts w:ascii="Times New Roman" w:hAnsi="Times New Roman"/>
          <w:sz w:val="24"/>
        </w:rPr>
        <w:t xml:space="preserve"> </w:t>
      </w:r>
    </w:p>
    <w:p w:rsidR="00021D11" w:rsidRPr="009D1B13" w:rsidP="003F0B94" w14:paraId="6E5F0E24" w14:textId="1E42430F">
      <w:pPr>
        <w:ind w:left="720"/>
        <w:rPr>
          <w:rFonts w:ascii="Times New Roman" w:hAnsi="Times New Roman"/>
          <w:sz w:val="24"/>
        </w:rPr>
      </w:pPr>
      <w:r>
        <w:rPr>
          <w:rFonts w:ascii="Times New Roman" w:hAnsi="Times New Roman"/>
          <w:sz w:val="24"/>
        </w:rPr>
        <w:t xml:space="preserve">EPA disagrees that </w:t>
      </w:r>
      <w:r w:rsidRPr="003B6B83">
        <w:rPr>
          <w:rFonts w:ascii="Times New Roman" w:hAnsi="Times New Roman"/>
          <w:sz w:val="24"/>
        </w:rPr>
        <w:t>disclosure requirements for safety data sheets should not be limited to RMP chemicals</w:t>
      </w:r>
      <w:r>
        <w:rPr>
          <w:rFonts w:ascii="Times New Roman" w:hAnsi="Times New Roman"/>
          <w:sz w:val="24"/>
        </w:rPr>
        <w:t xml:space="preserve">. </w:t>
      </w:r>
      <w:r w:rsidR="00B8400E">
        <w:rPr>
          <w:rFonts w:ascii="Times New Roman" w:hAnsi="Times New Roman"/>
          <w:sz w:val="24"/>
        </w:rPr>
        <w:t xml:space="preserve">EPA notes that the RMP regulation only applies to </w:t>
      </w:r>
      <w:r w:rsidR="00160BFA">
        <w:rPr>
          <w:rFonts w:ascii="Times New Roman" w:hAnsi="Times New Roman"/>
          <w:sz w:val="24"/>
        </w:rPr>
        <w:t>regulated substances at or above threshold quantities</w:t>
      </w:r>
      <w:r w:rsidR="00C302FA">
        <w:rPr>
          <w:rFonts w:ascii="Times New Roman" w:hAnsi="Times New Roman"/>
          <w:sz w:val="24"/>
        </w:rPr>
        <w:t xml:space="preserve">. </w:t>
      </w:r>
      <w:r w:rsidR="003F0B94">
        <w:rPr>
          <w:rFonts w:ascii="Times New Roman" w:hAnsi="Times New Roman"/>
          <w:sz w:val="24"/>
        </w:rPr>
        <w:t xml:space="preserve">EPA notes </w:t>
      </w:r>
      <w:r w:rsidRPr="00C73E32" w:rsidR="003F0B94">
        <w:rPr>
          <w:rFonts w:ascii="Times New Roman" w:hAnsi="Times New Roman"/>
          <w:sz w:val="24"/>
        </w:rPr>
        <w:t xml:space="preserve">however that under EPCRA 311-312, for any hazardous chemical used or stored in the workplace, facilities must maintain </w:t>
      </w:r>
      <w:r w:rsidRPr="00C73E32" w:rsidR="00C73E32">
        <w:rPr>
          <w:rFonts w:ascii="Times New Roman" w:hAnsi="Times New Roman"/>
          <w:sz w:val="24"/>
        </w:rPr>
        <w:t>an</w:t>
      </w:r>
      <w:r w:rsidRPr="00C73E32" w:rsidR="003F0B94">
        <w:rPr>
          <w:rFonts w:ascii="Times New Roman" w:hAnsi="Times New Roman"/>
          <w:sz w:val="24"/>
        </w:rPr>
        <w:t xml:space="preserve"> SDS. Facilities must submit the SDS or a list of hazardous chemicals to their</w:t>
      </w:r>
      <w:r w:rsidRPr="003F0B94" w:rsidR="003F0B94">
        <w:rPr>
          <w:rFonts w:ascii="Times New Roman" w:hAnsi="Times New Roman"/>
          <w:sz w:val="24"/>
        </w:rPr>
        <w:t xml:space="preserve"> SERC or TERC, LEPC or TEPC, and local fire department.</w:t>
      </w:r>
      <w:r w:rsidR="003F0B94">
        <w:rPr>
          <w:rFonts w:ascii="Times New Roman" w:hAnsi="Times New Roman"/>
          <w:sz w:val="24"/>
        </w:rPr>
        <w:t xml:space="preserve"> </w:t>
      </w:r>
      <w:r w:rsidRPr="003F0B94" w:rsidR="003F0B94">
        <w:rPr>
          <w:rFonts w:ascii="Times New Roman" w:hAnsi="Times New Roman"/>
          <w:sz w:val="24"/>
        </w:rPr>
        <w:t>Facilities must also submit an annual inventory of these chemicals by March 1 of each year to their SERC or TERC, LEPC or TEPC, and local fire department. The information submitted by facilities must be made available to the public.</w:t>
      </w:r>
      <w:r w:rsidR="003F0B94">
        <w:rPr>
          <w:rFonts w:ascii="Times New Roman" w:hAnsi="Times New Roman"/>
          <w:sz w:val="24"/>
        </w:rPr>
        <w:t xml:space="preserve"> </w:t>
      </w:r>
      <w:r w:rsidR="00C302FA">
        <w:rPr>
          <w:rFonts w:ascii="Times New Roman" w:hAnsi="Times New Roman"/>
          <w:sz w:val="24"/>
        </w:rPr>
        <w:t xml:space="preserve"> </w:t>
      </w:r>
    </w:p>
    <w:p w:rsidR="00870FD5" w:rsidP="00021D11" w14:paraId="2AA47F14" w14:textId="421A9DDE">
      <w:pPr>
        <w:rPr>
          <w:rFonts w:ascii="Times New Roman" w:hAnsi="Times New Roman"/>
          <w:i/>
          <w:sz w:val="24"/>
        </w:rPr>
      </w:pPr>
      <w:r>
        <w:rPr>
          <w:rFonts w:ascii="Times New Roman" w:hAnsi="Times New Roman"/>
          <w:i/>
          <w:sz w:val="24"/>
        </w:rPr>
        <w:t>EPA release of RMP data</w:t>
      </w:r>
    </w:p>
    <w:p w:rsidR="00870FD5" w:rsidP="00021D11" w14:paraId="153C7BCD" w14:textId="4741B700">
      <w:pPr>
        <w:rPr>
          <w:rFonts w:ascii="Times New Roman" w:hAnsi="Times New Roman"/>
          <w:sz w:val="24"/>
        </w:rPr>
      </w:pPr>
      <w:r w:rsidRPr="00870FD5">
        <w:rPr>
          <w:rFonts w:ascii="Times New Roman" w:hAnsi="Times New Roman"/>
          <w:b/>
          <w:bCs/>
          <w:color w:val="000000" w:themeColor="text1"/>
          <w:sz w:val="24"/>
        </w:rPr>
        <w:t>Comment 13.3-03:</w:t>
      </w:r>
      <w:r>
        <w:rPr>
          <w:rFonts w:ascii="Times New Roman" w:hAnsi="Times New Roman"/>
          <w:color w:val="000000" w:themeColor="text1"/>
          <w:sz w:val="24"/>
        </w:rPr>
        <w:t xml:space="preserve"> </w:t>
      </w:r>
      <w:r w:rsidRPr="007B75F8">
        <w:rPr>
          <w:rFonts w:ascii="Times New Roman" w:hAnsi="Times New Roman"/>
          <w:color w:val="000000" w:themeColor="text1"/>
          <w:sz w:val="24"/>
        </w:rPr>
        <w:t xml:space="preserve">One commenter </w:t>
      </w:r>
      <w:r>
        <w:rPr>
          <w:rFonts w:ascii="Times New Roman" w:hAnsi="Times New Roman"/>
          <w:color w:val="000000" w:themeColor="text1"/>
          <w:sz w:val="24"/>
        </w:rPr>
        <w:t>said</w:t>
      </w:r>
      <w:r w:rsidRPr="007B75F8">
        <w:rPr>
          <w:rFonts w:ascii="Times New Roman" w:hAnsi="Times New Roman"/>
          <w:color w:val="000000" w:themeColor="text1"/>
          <w:sz w:val="24"/>
        </w:rPr>
        <w:t xml:space="preserve"> that due to the incident reporting delay, EPA’s own database undercounts the most recent incidents. The commenter added that EPA’s RMP data are not fully accessible to the public, and the accessible information is not easy to analyze or understand without knowledge of the database relationships (0456).</w:t>
      </w:r>
      <w:r w:rsidRPr="00D53F1F">
        <w:rPr>
          <w:rFonts w:ascii="Times New Roman" w:hAnsi="Times New Roman"/>
          <w:sz w:val="24"/>
        </w:rPr>
        <w:t xml:space="preserve"> </w:t>
      </w:r>
    </w:p>
    <w:p w:rsidR="00E41F7B" w:rsidP="005E4AD8" w14:paraId="3A4C997D" w14:textId="0896995E">
      <w:pPr>
        <w:ind w:left="720"/>
        <w:rPr>
          <w:rFonts w:ascii="Times New Roman" w:hAnsi="Times New Roman"/>
          <w:sz w:val="24"/>
        </w:rPr>
      </w:pPr>
      <w:r w:rsidRPr="005E4AD8">
        <w:rPr>
          <w:rFonts w:ascii="Times New Roman" w:hAnsi="Times New Roman"/>
          <w:b/>
          <w:bCs/>
          <w:sz w:val="24"/>
        </w:rPr>
        <w:t>EPA Response:</w:t>
      </w:r>
      <w:r w:rsidRPr="00E41F7B">
        <w:rPr>
          <w:rFonts w:ascii="Times New Roman" w:hAnsi="Times New Roman"/>
          <w:b/>
          <w:bCs/>
          <w:sz w:val="24"/>
        </w:rPr>
        <w:t xml:space="preserve"> </w:t>
      </w:r>
      <w:r w:rsidRPr="005E4AD8" w:rsidR="005E4AD8">
        <w:rPr>
          <w:rFonts w:ascii="Times New Roman" w:hAnsi="Times New Roman"/>
          <w:sz w:val="24"/>
        </w:rPr>
        <w:t>In the SCCAP proposal, EPA acknowledged the likelihood of late-reported accidents affecting the last few years of data. Based on its prior experience, EPA judged that there would be a slight increase in the number of accidents in the last few years of data. The proposal further discussed that the more current accident data since the 2019 analyses shows that reliance on a declining trend in accidents and impacts to conduct selective, often post-incident oversight may prove insufficiently effective over time and make it difficult to stay ahead of reversals in trends (87 FR 53565).</w:t>
      </w:r>
      <w:r w:rsidR="005E4AD8">
        <w:rPr>
          <w:rFonts w:ascii="Times New Roman" w:hAnsi="Times New Roman"/>
          <w:sz w:val="24"/>
        </w:rPr>
        <w:t xml:space="preserve"> </w:t>
      </w:r>
      <w:r w:rsidRPr="005E4AD8" w:rsidR="005E4AD8">
        <w:rPr>
          <w:rFonts w:ascii="Times New Roman" w:hAnsi="Times New Roman"/>
          <w:sz w:val="24"/>
        </w:rPr>
        <w:t>The fact that accidents continue to occur shows that we still have reason to exercise statutory authority to promulgate reasonable regulations to provide for the prevention and detection of those accidents to the greatest extent practicable when the opportunity exists to improve the performance of our regulatory program.</w:t>
      </w:r>
    </w:p>
    <w:p w:rsidR="00F14E2B" w:rsidP="005E4AD8" w14:paraId="37516AA0" w14:textId="634E5366">
      <w:pPr>
        <w:ind w:left="720"/>
        <w:rPr>
          <w:rFonts w:ascii="Times New Roman" w:hAnsi="Times New Roman"/>
          <w:sz w:val="24"/>
        </w:rPr>
      </w:pPr>
      <w:r>
        <w:rPr>
          <w:rFonts w:ascii="Times New Roman" w:hAnsi="Times New Roman"/>
          <w:sz w:val="24"/>
        </w:rPr>
        <w:t>RMP data can be accesse</w:t>
      </w:r>
      <w:r w:rsidR="005616FA">
        <w:rPr>
          <w:rFonts w:ascii="Times New Roman" w:hAnsi="Times New Roman"/>
          <w:sz w:val="24"/>
        </w:rPr>
        <w:t>d</w:t>
      </w:r>
      <w:r w:rsidR="004D3869">
        <w:rPr>
          <w:rFonts w:ascii="Times New Roman" w:hAnsi="Times New Roman"/>
          <w:sz w:val="24"/>
        </w:rPr>
        <w:t xml:space="preserve"> through </w:t>
      </w:r>
      <w:r>
        <w:rPr>
          <w:rFonts w:ascii="Times New Roman" w:hAnsi="Times New Roman"/>
          <w:sz w:val="24"/>
        </w:rPr>
        <w:t>EPA</w:t>
      </w:r>
      <w:r w:rsidR="004D3869">
        <w:rPr>
          <w:rFonts w:ascii="Times New Roman" w:hAnsi="Times New Roman"/>
          <w:sz w:val="24"/>
        </w:rPr>
        <w:t xml:space="preserve"> or through </w:t>
      </w:r>
      <w:r w:rsidR="00DE1735">
        <w:rPr>
          <w:rFonts w:ascii="Times New Roman" w:hAnsi="Times New Roman"/>
          <w:sz w:val="24"/>
        </w:rPr>
        <w:t xml:space="preserve">a </w:t>
      </w:r>
      <w:r w:rsidR="005616FA">
        <w:rPr>
          <w:rFonts w:ascii="Times New Roman" w:hAnsi="Times New Roman"/>
          <w:sz w:val="24"/>
        </w:rPr>
        <w:t>person’s</w:t>
      </w:r>
      <w:r w:rsidR="00DE1735">
        <w:rPr>
          <w:rFonts w:ascii="Times New Roman" w:hAnsi="Times New Roman"/>
          <w:sz w:val="24"/>
        </w:rPr>
        <w:t xml:space="preserve"> SERC or LEPC contact. EPA outlines those </w:t>
      </w:r>
      <w:r w:rsidR="00847C5F">
        <w:rPr>
          <w:rFonts w:ascii="Times New Roman" w:hAnsi="Times New Roman"/>
          <w:sz w:val="24"/>
        </w:rPr>
        <w:t xml:space="preserve">options on its website: </w:t>
      </w:r>
      <w:hyperlink r:id="rId15" w:history="1">
        <w:r w:rsidRPr="00D17E88" w:rsidR="00847C5F">
          <w:rPr>
            <w:rStyle w:val="Hyperlink"/>
            <w:rFonts w:ascii="Times New Roman" w:hAnsi="Times New Roman"/>
            <w:sz w:val="24"/>
          </w:rPr>
          <w:t>https://www.epa.gov/rmp/accessing-rmp-data</w:t>
        </w:r>
      </w:hyperlink>
      <w:r w:rsidR="00847C5F">
        <w:rPr>
          <w:rFonts w:ascii="Times New Roman" w:hAnsi="Times New Roman"/>
          <w:sz w:val="24"/>
        </w:rPr>
        <w:t xml:space="preserve">. </w:t>
      </w:r>
      <w:r w:rsidR="00472FC3">
        <w:rPr>
          <w:rFonts w:ascii="Times New Roman" w:hAnsi="Times New Roman"/>
          <w:sz w:val="24"/>
        </w:rPr>
        <w:t>Additional</w:t>
      </w:r>
      <w:r w:rsidR="00847C5F">
        <w:rPr>
          <w:rFonts w:ascii="Times New Roman" w:hAnsi="Times New Roman"/>
          <w:sz w:val="24"/>
        </w:rPr>
        <w:t xml:space="preserve"> details about the data elements within an RMP Plan </w:t>
      </w:r>
      <w:r w:rsidR="00472FC3">
        <w:rPr>
          <w:rFonts w:ascii="Times New Roman" w:hAnsi="Times New Roman"/>
          <w:sz w:val="24"/>
        </w:rPr>
        <w:t>are detailed in the Risk Management Plan RMP*eSubmit User’s Manual</w:t>
      </w:r>
      <w:r>
        <w:rPr>
          <w:rStyle w:val="FootnoteReference"/>
          <w:rFonts w:ascii="Times New Roman" w:hAnsi="Times New Roman"/>
          <w:sz w:val="24"/>
        </w:rPr>
        <w:footnoteReference w:id="165"/>
      </w:r>
      <w:r w:rsidR="00472FC3">
        <w:rPr>
          <w:rFonts w:ascii="Times New Roman" w:hAnsi="Times New Roman"/>
          <w:sz w:val="24"/>
        </w:rPr>
        <w:t xml:space="preserve">. </w:t>
      </w:r>
    </w:p>
    <w:p w:rsidR="00021D11" w:rsidRPr="005D16B3" w:rsidP="00021D11" w14:paraId="4FAE5D75" w14:textId="39D48FFC">
      <w:pPr>
        <w:rPr>
          <w:rFonts w:ascii="Times New Roman" w:hAnsi="Times New Roman"/>
          <w:i/>
          <w:sz w:val="24"/>
        </w:rPr>
      </w:pPr>
      <w:r w:rsidRPr="005D16B3">
        <w:rPr>
          <w:rFonts w:ascii="Times New Roman" w:hAnsi="Times New Roman"/>
          <w:i/>
          <w:sz w:val="24"/>
        </w:rPr>
        <w:t>Concerns about requiring information availability of specific data elements</w:t>
      </w:r>
    </w:p>
    <w:p w:rsidR="00021D11" w:rsidRPr="00277770" w:rsidP="00021D11" w14:paraId="6F443E5F" w14:textId="77777777">
      <w:pPr>
        <w:rPr>
          <w:rFonts w:ascii="Times New Roman" w:hAnsi="Times New Roman"/>
          <w:i/>
          <w:iCs/>
          <w:sz w:val="24"/>
        </w:rPr>
      </w:pPr>
      <w:r w:rsidRPr="005D16B3">
        <w:rPr>
          <w:rFonts w:ascii="Times New Roman" w:hAnsi="Times New Roman"/>
          <w:i/>
          <w:sz w:val="24"/>
        </w:rPr>
        <w:t>Numerous commenters expressed security-related concerns about requiring information</w:t>
      </w:r>
      <w:r w:rsidRPr="00F95311">
        <w:rPr>
          <w:rFonts w:ascii="Times New Roman" w:hAnsi="Times New Roman"/>
          <w:i/>
          <w:iCs/>
          <w:sz w:val="24"/>
        </w:rPr>
        <w:t xml:space="preserve"> availability of specific data elements, which are discussed in Section 13.4 below.</w:t>
      </w:r>
    </w:p>
    <w:p w:rsidR="00021D11" w:rsidP="00021D11" w14:paraId="2819BFCB" w14:textId="3BABDDBB">
      <w:pPr>
        <w:rPr>
          <w:rFonts w:ascii="Times New Roman" w:hAnsi="Times New Roman"/>
          <w:color w:val="000000" w:themeColor="text1"/>
          <w:sz w:val="24"/>
        </w:rPr>
      </w:pPr>
      <w:r>
        <w:rPr>
          <w:rFonts w:ascii="Times New Roman" w:hAnsi="Times New Roman"/>
          <w:b/>
          <w:bCs/>
          <w:sz w:val="24"/>
        </w:rPr>
        <w:t>Comment 13.3-0</w:t>
      </w:r>
      <w:r w:rsidR="00545D61">
        <w:rPr>
          <w:rFonts w:ascii="Times New Roman" w:hAnsi="Times New Roman"/>
          <w:b/>
          <w:bCs/>
          <w:sz w:val="24"/>
        </w:rPr>
        <w:t>4</w:t>
      </w:r>
      <w:r>
        <w:rPr>
          <w:rFonts w:ascii="Times New Roman" w:hAnsi="Times New Roman"/>
          <w:b/>
          <w:bCs/>
          <w:sz w:val="24"/>
        </w:rPr>
        <w:t xml:space="preserve">: </w:t>
      </w:r>
      <w:r w:rsidRPr="00277770">
        <w:rPr>
          <w:rFonts w:ascii="Times New Roman" w:hAnsi="Times New Roman"/>
          <w:color w:val="000000" w:themeColor="text1"/>
          <w:sz w:val="24"/>
        </w:rPr>
        <w:t>A couple</w:t>
      </w:r>
      <w:r w:rsidRPr="00277770">
        <w:rPr>
          <w:rFonts w:ascii="Times New Roman" w:hAnsi="Times New Roman"/>
          <w:color w:val="000000" w:themeColor="text1"/>
          <w:sz w:val="24"/>
        </w:rPr>
        <w:t xml:space="preserve"> </w:t>
      </w:r>
      <w:r w:rsidRPr="00277770">
        <w:rPr>
          <w:rFonts w:ascii="Times New Roman" w:hAnsi="Times New Roman"/>
          <w:color w:val="000000" w:themeColor="text1"/>
          <w:sz w:val="24"/>
        </w:rPr>
        <w:t xml:space="preserve">commenters </w:t>
      </w:r>
      <w:r>
        <w:rPr>
          <w:rFonts w:ascii="Times New Roman" w:hAnsi="Times New Roman"/>
          <w:color w:val="000000" w:themeColor="text1"/>
          <w:sz w:val="24"/>
        </w:rPr>
        <w:t>said</w:t>
      </w:r>
      <w:r w:rsidRPr="00277770">
        <w:rPr>
          <w:rFonts w:ascii="Times New Roman" w:hAnsi="Times New Roman"/>
          <w:color w:val="000000" w:themeColor="text1"/>
          <w:sz w:val="24"/>
        </w:rPr>
        <w:t xml:space="preserve"> that some information, including CBI and trade secrets, should not be shared with the public (0223, 0231). Another commenter stated that proprietary information about processes and chemicals should be in the safety plan without disclosing details that would allow the methods or procedures or other intellectual property to be </w:t>
      </w:r>
      <w:r w:rsidRPr="00277770">
        <w:rPr>
          <w:rFonts w:ascii="Times New Roman" w:hAnsi="Times New Roman"/>
          <w:color w:val="000000" w:themeColor="text1"/>
          <w:sz w:val="24"/>
        </w:rPr>
        <w:t xml:space="preserve">stolen (0402). One commenter </w:t>
      </w:r>
      <w:r>
        <w:rPr>
          <w:rFonts w:ascii="Times New Roman" w:hAnsi="Times New Roman"/>
          <w:color w:val="000000" w:themeColor="text1"/>
          <w:sz w:val="24"/>
        </w:rPr>
        <w:t>said</w:t>
      </w:r>
      <w:r w:rsidRPr="00277770">
        <w:rPr>
          <w:rFonts w:ascii="Times New Roman" w:hAnsi="Times New Roman"/>
          <w:color w:val="000000" w:themeColor="text1"/>
          <w:sz w:val="24"/>
        </w:rPr>
        <w:t xml:space="preserve"> that EPA should reinstate previous language that enabled facilities to assert a claim of business confidentiality regarding any information they are required to make public under the RMP rule (0275). </w:t>
      </w:r>
    </w:p>
    <w:p w:rsidR="00021D11" w:rsidP="00021D11" w14:paraId="7EDF9D31" w14:textId="77777777">
      <w:pPr>
        <w:rPr>
          <w:rFonts w:ascii="Times New Roman" w:hAnsi="Times New Roman"/>
          <w:sz w:val="24"/>
        </w:rPr>
      </w:pPr>
      <w:r w:rsidRPr="00332358">
        <w:rPr>
          <w:rFonts w:ascii="Times New Roman" w:hAnsi="Times New Roman"/>
          <w:color w:val="000000" w:themeColor="text1"/>
          <w:sz w:val="24"/>
        </w:rPr>
        <w:t>While another commenter agreed that much of the information proposed is already publicly available, the commenter asked that EPA assure that confidential business information, information exempt from disclosure under state or federal laws, or critical infrastructure information would not be required to be released to the public (0261).</w:t>
      </w:r>
      <w:r>
        <w:rPr>
          <w:rFonts w:ascii="Times New Roman" w:hAnsi="Times New Roman"/>
          <w:color w:val="000000" w:themeColor="text1"/>
          <w:sz w:val="24"/>
        </w:rPr>
        <w:t xml:space="preserve"> </w:t>
      </w:r>
      <w:r w:rsidRPr="006F68E9">
        <w:rPr>
          <w:rFonts w:ascii="Times New Roman" w:hAnsi="Times New Roman"/>
          <w:sz w:val="24"/>
        </w:rPr>
        <w:t xml:space="preserve">A couple of commenters </w:t>
      </w:r>
      <w:r>
        <w:rPr>
          <w:rFonts w:ascii="Times New Roman" w:hAnsi="Times New Roman"/>
          <w:sz w:val="24"/>
        </w:rPr>
        <w:t>stated</w:t>
      </w:r>
      <w:r w:rsidRPr="006F68E9">
        <w:rPr>
          <w:rFonts w:ascii="Times New Roman" w:hAnsi="Times New Roman"/>
          <w:sz w:val="24"/>
        </w:rPr>
        <w:t xml:space="preserve"> that some information, including confidential business information and trade secrets, should not be shared with the public (0223, 0231). </w:t>
      </w:r>
      <w:r w:rsidRPr="002D17BE">
        <w:rPr>
          <w:rFonts w:ascii="Times New Roman" w:hAnsi="Times New Roman"/>
          <w:sz w:val="24"/>
        </w:rPr>
        <w:t xml:space="preserve"> </w:t>
      </w:r>
      <w:r w:rsidRPr="00750EE1">
        <w:rPr>
          <w:rFonts w:ascii="Times New Roman" w:hAnsi="Times New Roman"/>
          <w:sz w:val="24"/>
        </w:rPr>
        <w:t>One of the commenters expressed that information that can be requested contains sensitive business information (0205).</w:t>
      </w:r>
    </w:p>
    <w:p w:rsidR="00021D11" w:rsidRPr="006F68E9" w:rsidP="00021D11" w14:paraId="639E67D2" w14:textId="77777777">
      <w:pPr>
        <w:rPr>
          <w:rFonts w:ascii="Times New Roman" w:hAnsi="Times New Roman"/>
          <w:sz w:val="24"/>
        </w:rPr>
      </w:pPr>
      <w:r w:rsidRPr="006F68E9">
        <w:rPr>
          <w:rFonts w:ascii="Times New Roman" w:hAnsi="Times New Roman"/>
          <w:sz w:val="24"/>
        </w:rPr>
        <w:t xml:space="preserve">One commenter stated that proprietary information about processes and chemicals should be in the safety plan without disclosing details that would allow the methods or procedures or other intellectual property to be stolen (0402). </w:t>
      </w:r>
    </w:p>
    <w:p w:rsidR="00021D11" w:rsidP="00021D11" w14:paraId="4F01C96A" w14:textId="77777777">
      <w:pPr>
        <w:ind w:left="720"/>
        <w:rPr>
          <w:rFonts w:ascii="Times New Roman" w:hAnsi="Times New Roman"/>
          <w:sz w:val="24"/>
        </w:rPr>
      </w:pPr>
      <w:r w:rsidRPr="005F604F">
        <w:rPr>
          <w:rFonts w:ascii="Times New Roman" w:hAnsi="Times New Roman"/>
          <w:b/>
          <w:bCs/>
          <w:sz w:val="24"/>
        </w:rPr>
        <w:t>EPA Response:</w:t>
      </w:r>
      <w:r>
        <w:rPr>
          <w:rFonts w:ascii="Times New Roman" w:hAnsi="Times New Roman"/>
          <w:sz w:val="24"/>
        </w:rPr>
        <w:t xml:space="preserve"> </w:t>
      </w:r>
      <w:r w:rsidRPr="0036251E">
        <w:rPr>
          <w:rFonts w:ascii="Times New Roman" w:hAnsi="Times New Roman"/>
          <w:sz w:val="24"/>
        </w:rPr>
        <w:t xml:space="preserve">EPA has received comments in the past with concerns regarding CBI and directs these commenters to the requirements in 40 CFR 68.152 for substantive criteria set forth in 40 CFR 2.301. EPA acknowledges and shares industry’s concerns pertaining to protection of CBI information, but EPA believes that the </w:t>
      </w:r>
      <w:r w:rsidRPr="00A607C6">
        <w:rPr>
          <w:rFonts w:ascii="Times New Roman" w:hAnsi="Times New Roman"/>
          <w:sz w:val="24"/>
        </w:rPr>
        <w:t>Agency</w:t>
      </w:r>
      <w:r w:rsidRPr="0036251E">
        <w:rPr>
          <w:rFonts w:ascii="Times New Roman" w:hAnsi="Times New Roman"/>
          <w:sz w:val="24"/>
        </w:rPr>
        <w:t xml:space="preserve"> has addressed these concerns by providing the same CBI protections for the public information availability provisions that exist for the RMP under 40 CFR</w:t>
      </w:r>
      <w:r>
        <w:rPr>
          <w:rFonts w:ascii="Times New Roman" w:hAnsi="Times New Roman"/>
          <w:sz w:val="24"/>
        </w:rPr>
        <w:t xml:space="preserve"> </w:t>
      </w:r>
      <w:r w:rsidRPr="0036251E">
        <w:rPr>
          <w:rFonts w:ascii="Times New Roman" w:hAnsi="Times New Roman"/>
          <w:sz w:val="24"/>
        </w:rPr>
        <w:t>68.151 and 68.152 as for information contained in the RMP required under subpart G. As provided under 40 CFR 68.151(b)(3), an owner or operator of a stationary source may not claim five-year accident history information as CBI. As provided in 40 CFR 68.151(c)(2), an owner or operator of a stationary source asserting that a chemical name is CBI shall provide a generic category or class name as a substitute. CBI disclosure under EPCRA is controlled by that statute and rules implementing the information access provisions of EPCRA. Furthermore, EPA is not requiring STAA reports to be submitted to LEPCs or the public in the final rule, and, therefore, no CBI concerns exist for these reports. If an owner or operator has already claimed CBI for a portion of the RMP, then that claim still applies for the disclosure elements in the information availability provisions of the rule. The owner or operator should provide a sanitized version as described in the RMP*eSubmit User’s Manual. This policy is consistent with existing RMP guidance and practices.</w:t>
      </w:r>
    </w:p>
    <w:p w:rsidR="00021D11" w:rsidRPr="006F68E9" w:rsidP="00862E4C" w14:paraId="1298D774" w14:textId="77777777">
      <w:pPr>
        <w:pStyle w:val="Heading2"/>
        <w:tabs>
          <w:tab w:val="clear" w:pos="8684"/>
        </w:tabs>
        <w:spacing w:before="120"/>
        <w:rPr>
          <w:rFonts w:ascii="Times New Roman" w:hAnsi="Times New Roman" w:cs="Times New Roman"/>
          <w:b/>
          <w:bCs/>
          <w:color w:val="auto"/>
          <w:sz w:val="24"/>
          <w:szCs w:val="24"/>
        </w:rPr>
      </w:pPr>
      <w:bookmarkStart w:id="157" w:name="_Toc153373828"/>
      <w:bookmarkStart w:id="158" w:name="_Toc146880041"/>
      <w:r w:rsidRPr="6D3F9CC5">
        <w:rPr>
          <w:rFonts w:ascii="Times New Roman" w:hAnsi="Times New Roman" w:cs="Times New Roman"/>
          <w:b/>
          <w:bCs/>
          <w:color w:val="auto"/>
          <w:sz w:val="24"/>
          <w:szCs w:val="24"/>
        </w:rPr>
        <w:t>Security concerns</w:t>
      </w:r>
      <w:bookmarkEnd w:id="157"/>
      <w:r w:rsidRPr="6D3F9CC5">
        <w:rPr>
          <w:rFonts w:ascii="Times New Roman" w:hAnsi="Times New Roman" w:cs="Times New Roman"/>
          <w:b/>
          <w:bCs/>
          <w:color w:val="auto"/>
          <w:sz w:val="24"/>
          <w:szCs w:val="24"/>
        </w:rPr>
        <w:t xml:space="preserve"> </w:t>
      </w:r>
      <w:bookmarkEnd w:id="158"/>
    </w:p>
    <w:p w:rsidR="00021D11" w:rsidRPr="005D16B3" w:rsidP="00021D11" w14:paraId="0C8E3EDB" w14:textId="77777777">
      <w:pPr>
        <w:rPr>
          <w:rFonts w:ascii="Times New Roman" w:hAnsi="Times New Roman"/>
          <w:i/>
          <w:sz w:val="24"/>
        </w:rPr>
      </w:pPr>
      <w:r w:rsidRPr="005D16B3">
        <w:rPr>
          <w:rFonts w:ascii="Times New Roman" w:hAnsi="Times New Roman"/>
          <w:i/>
          <w:sz w:val="24"/>
        </w:rPr>
        <w:t xml:space="preserve">General security concerns about the proposed information availability requirements </w:t>
      </w:r>
    </w:p>
    <w:p w:rsidR="00021D11" w:rsidP="00021D11" w14:paraId="480E1680" w14:textId="023790D0">
      <w:pPr>
        <w:rPr>
          <w:rFonts w:ascii="Times New Roman" w:eastAsia="Times New Roman" w:hAnsi="Times New Roman"/>
          <w:sz w:val="24"/>
        </w:rPr>
      </w:pPr>
      <w:r w:rsidRPr="00F062B4">
        <w:rPr>
          <w:rFonts w:ascii="Times New Roman" w:eastAsia="Times New Roman" w:hAnsi="Times New Roman"/>
          <w:b/>
          <w:bCs/>
          <w:sz w:val="24"/>
        </w:rPr>
        <w:t>Comment</w:t>
      </w:r>
      <w:r>
        <w:rPr>
          <w:rFonts w:ascii="Times New Roman" w:eastAsia="Times New Roman" w:hAnsi="Times New Roman"/>
          <w:b/>
          <w:bCs/>
          <w:sz w:val="24"/>
        </w:rPr>
        <w:t xml:space="preserve"> 13.4-01</w:t>
      </w:r>
      <w:r w:rsidRPr="00F062B4">
        <w:rPr>
          <w:rFonts w:ascii="Times New Roman" w:eastAsia="Times New Roman" w:hAnsi="Times New Roman"/>
          <w:b/>
          <w:bCs/>
          <w:sz w:val="24"/>
        </w:rPr>
        <w:t>:</w:t>
      </w:r>
      <w:r>
        <w:rPr>
          <w:rFonts w:ascii="Times New Roman" w:eastAsia="Times New Roman" w:hAnsi="Times New Roman"/>
          <w:sz w:val="24"/>
        </w:rPr>
        <w:t xml:space="preserve"> </w:t>
      </w:r>
      <w:r w:rsidRPr="006F68E9">
        <w:rPr>
          <w:rFonts w:ascii="Times New Roman" w:eastAsia="Times New Roman" w:hAnsi="Times New Roman"/>
          <w:sz w:val="24"/>
        </w:rPr>
        <w:t xml:space="preserve">Several commenters emphasized security risks of the </w:t>
      </w:r>
      <w:r>
        <w:rPr>
          <w:rFonts w:ascii="Times New Roman" w:eastAsia="Times New Roman" w:hAnsi="Times New Roman"/>
          <w:sz w:val="24"/>
        </w:rPr>
        <w:t>proposed rule</w:t>
      </w:r>
      <w:r w:rsidRPr="006F68E9">
        <w:rPr>
          <w:rFonts w:ascii="Times New Roman" w:eastAsia="Times New Roman" w:hAnsi="Times New Roman"/>
          <w:sz w:val="24"/>
        </w:rPr>
        <w:t xml:space="preserve"> (0180, 0181, 0201, 0207, 0215, 0217, 0226, 0229, 0233, 0234, 0237, 0238, </w:t>
      </w:r>
      <w:r>
        <w:rPr>
          <w:rFonts w:ascii="Times New Roman" w:eastAsia="Times New Roman" w:hAnsi="Times New Roman"/>
          <w:sz w:val="24"/>
        </w:rPr>
        <w:t xml:space="preserve">0239, </w:t>
      </w:r>
      <w:r w:rsidRPr="006F68E9">
        <w:rPr>
          <w:rFonts w:ascii="Times New Roman" w:eastAsia="Times New Roman" w:hAnsi="Times New Roman"/>
          <w:sz w:val="24"/>
        </w:rPr>
        <w:t xml:space="preserve">0244, 0262, 0263, 0267, 0268, </w:t>
      </w:r>
      <w:r>
        <w:rPr>
          <w:rFonts w:ascii="Times New Roman" w:eastAsia="Times New Roman" w:hAnsi="Times New Roman"/>
          <w:sz w:val="24"/>
        </w:rPr>
        <w:t xml:space="preserve">0271, </w:t>
      </w:r>
      <w:r w:rsidRPr="006F68E9">
        <w:rPr>
          <w:rFonts w:ascii="Times New Roman" w:eastAsia="Times New Roman" w:hAnsi="Times New Roman"/>
          <w:sz w:val="24"/>
        </w:rPr>
        <w:t xml:space="preserve">0458). </w:t>
      </w:r>
      <w:r w:rsidRPr="006F68E9">
        <w:rPr>
          <w:rFonts w:ascii="Times New Roman" w:hAnsi="Times New Roman"/>
          <w:sz w:val="24"/>
        </w:rPr>
        <w:t>Some commenters indicated that many RMP regulated facilities are important to the nation’s critical infrastructure and the proposed provisions present a security risk (0184, 0244, 0253, 0268).</w:t>
      </w:r>
    </w:p>
    <w:p w:rsidR="00021D11" w:rsidRPr="0082664C" w:rsidP="00021D11" w14:paraId="5F81F627" w14:textId="77777777">
      <w:pPr>
        <w:rPr>
          <w:rFonts w:ascii="Times New Roman" w:hAnsi="Times New Roman"/>
          <w:sz w:val="24"/>
        </w:rPr>
      </w:pPr>
      <w:r w:rsidRPr="009B2947">
        <w:rPr>
          <w:rFonts w:ascii="Times New Roman" w:hAnsi="Times New Roman"/>
          <w:sz w:val="24"/>
        </w:rPr>
        <w:t xml:space="preserve">One commenter </w:t>
      </w:r>
      <w:r>
        <w:rPr>
          <w:rFonts w:ascii="Times New Roman" w:hAnsi="Times New Roman"/>
          <w:sz w:val="24"/>
        </w:rPr>
        <w:t>stated</w:t>
      </w:r>
      <w:r w:rsidRPr="009B2947">
        <w:rPr>
          <w:rFonts w:ascii="Times New Roman" w:hAnsi="Times New Roman"/>
          <w:sz w:val="24"/>
        </w:rPr>
        <w:t xml:space="preserve"> that the proposed language would provide security sensitive information to a wider audience with fewer security safeguards (0205).</w:t>
      </w:r>
      <w:r>
        <w:rPr>
          <w:rFonts w:ascii="Times New Roman" w:hAnsi="Times New Roman"/>
          <w:sz w:val="24"/>
        </w:rPr>
        <w:t xml:space="preserve"> </w:t>
      </w:r>
      <w:r w:rsidRPr="006F68E9">
        <w:rPr>
          <w:rFonts w:ascii="Times New Roman" w:eastAsia="Times New Roman" w:hAnsi="Times New Roman"/>
          <w:sz w:val="24"/>
        </w:rPr>
        <w:t xml:space="preserve">Another one of the commenters referenced similar security concerns expressed in comments from the 2016 RMP </w:t>
      </w:r>
      <w:r>
        <w:rPr>
          <w:rFonts w:ascii="Times New Roman" w:eastAsia="Times New Roman" w:hAnsi="Times New Roman"/>
          <w:sz w:val="24"/>
        </w:rPr>
        <w:t>proposed rule</w:t>
      </w:r>
      <w:r w:rsidRPr="006F68E9">
        <w:rPr>
          <w:rFonts w:ascii="Times New Roman" w:eastAsia="Times New Roman" w:hAnsi="Times New Roman"/>
          <w:sz w:val="24"/>
        </w:rPr>
        <w:t xml:space="preserve"> </w:t>
      </w:r>
      <w:r w:rsidRPr="006F68E9">
        <w:rPr>
          <w:rFonts w:ascii="Times New Roman" w:eastAsia="Times New Roman" w:hAnsi="Times New Roman"/>
          <w:sz w:val="24"/>
        </w:rPr>
        <w:t xml:space="preserve">(0229). </w:t>
      </w:r>
      <w:r w:rsidRPr="00C35604">
        <w:rPr>
          <w:rFonts w:ascii="Times New Roman" w:hAnsi="Times New Roman"/>
          <w:sz w:val="24"/>
        </w:rPr>
        <w:t>One commenter stated that the proposed information disclosure requirements raise security risks and impose significant burdens with no added benefit (0272).</w:t>
      </w:r>
    </w:p>
    <w:p w:rsidR="00021D11" w:rsidP="00021D11" w14:paraId="17CD2537" w14:textId="77777777">
      <w:pPr>
        <w:rPr>
          <w:rFonts w:ascii="Times New Roman" w:eastAsia="Times New Roman" w:hAnsi="Times New Roman"/>
          <w:sz w:val="24"/>
        </w:rPr>
      </w:pPr>
      <w:r w:rsidRPr="006F68E9">
        <w:rPr>
          <w:rFonts w:ascii="Times New Roman" w:eastAsia="Times New Roman" w:hAnsi="Times New Roman"/>
          <w:sz w:val="24"/>
        </w:rPr>
        <w:t xml:space="preserve">Several commenters </w:t>
      </w:r>
      <w:r>
        <w:rPr>
          <w:rFonts w:ascii="Times New Roman" w:eastAsia="Times New Roman" w:hAnsi="Times New Roman"/>
          <w:sz w:val="24"/>
        </w:rPr>
        <w:t>stated</w:t>
      </w:r>
      <w:r w:rsidRPr="006F68E9">
        <w:rPr>
          <w:rFonts w:ascii="Times New Roman" w:eastAsia="Times New Roman" w:hAnsi="Times New Roman"/>
          <w:sz w:val="24"/>
        </w:rPr>
        <w:t xml:space="preserve"> there are no means to retain or prevent information from being shared outside of its intended use (0180, 0201, 0207, 0215, 0217, 0226, 0234, 0244, 0262, 0263, 0267, 0268, 0458). Some of the commenters added that terrorists and criminals would be able to readily obtain sensitive information and could easily falsify their identity or location (0201, 0215, 0244, 0262, 0267). Many of the commenters referenced social media and other web-based networks as means of quickly spreading sensitive information (0180, 0217, 0226, 0233, 0234, 0244, 0267, 0458).</w:t>
      </w:r>
    </w:p>
    <w:p w:rsidR="00021D11" w:rsidP="00021D11" w14:paraId="341969CD" w14:textId="77777777">
      <w:pPr>
        <w:rPr>
          <w:rFonts w:ascii="Times New Roman" w:hAnsi="Times New Roman"/>
          <w:sz w:val="24"/>
        </w:rPr>
      </w:pPr>
      <w:r w:rsidRPr="006F68E9">
        <w:rPr>
          <w:rFonts w:ascii="Times New Roman" w:hAnsi="Times New Roman"/>
          <w:sz w:val="24"/>
        </w:rPr>
        <w:t>One commenter stated that making information available in a consolidated manner increases security risks at facilities and draws attention to facilities as potential targets of criminal or terrorist activity (0244). A few commenters suggested that EPA balance the public right-to-know with the serious risks posed by broad disclosure of at least certain types of hazard-related information (0165, 0207, 0230, 0262).</w:t>
      </w:r>
    </w:p>
    <w:p w:rsidR="006A4FDC" w:rsidP="00021D11" w14:paraId="53F0BB39" w14:textId="156A6AD3">
      <w:pPr>
        <w:ind w:left="720"/>
        <w:rPr>
          <w:rFonts w:ascii="Times New Roman" w:hAnsi="Times New Roman"/>
          <w:sz w:val="24"/>
        </w:rPr>
      </w:pPr>
      <w:r w:rsidRPr="00231190">
        <w:rPr>
          <w:rFonts w:ascii="Times New Roman" w:hAnsi="Times New Roman"/>
          <w:b/>
          <w:bCs/>
          <w:sz w:val="24"/>
        </w:rPr>
        <w:t>EPA Response:</w:t>
      </w:r>
      <w:r>
        <w:rPr>
          <w:rFonts w:ascii="Times New Roman" w:hAnsi="Times New Roman"/>
          <w:b/>
          <w:bCs/>
          <w:sz w:val="24"/>
        </w:rPr>
        <w:t xml:space="preserve"> </w:t>
      </w:r>
      <w:r w:rsidRPr="00CD0856">
        <w:rPr>
          <w:rFonts w:ascii="Times New Roman" w:hAnsi="Times New Roman"/>
          <w:sz w:val="24"/>
        </w:rPr>
        <w:t>EPA acknowledges the security concerns raised by commenters and is committed to ensuring a balance between making information available to the public while also safeguarding that information. EPA worked closely with Federal partners, including the DHS and the Federal Bureau of Investigation (FBI), to develop information availability requirements that strike a balance between security concerns and the need for sharing chemical hazard information with the public.</w:t>
      </w:r>
      <w:r>
        <w:rPr>
          <w:rStyle w:val="FootnoteReference"/>
          <w:rFonts w:ascii="Times New Roman" w:hAnsi="Times New Roman"/>
          <w:sz w:val="24"/>
        </w:rPr>
        <w:footnoteReference w:id="166"/>
      </w:r>
      <w:r w:rsidRPr="00CD0856">
        <w:rPr>
          <w:rFonts w:ascii="Times New Roman" w:hAnsi="Times New Roman"/>
          <w:sz w:val="24"/>
        </w:rPr>
        <w:t xml:space="preserve"> </w:t>
      </w:r>
    </w:p>
    <w:p w:rsidR="00021D11" w:rsidP="00021D11" w14:paraId="4DFCA780" w14:textId="092046A9">
      <w:pPr>
        <w:ind w:left="720"/>
        <w:rPr>
          <w:rFonts w:ascii="Times New Roman" w:hAnsi="Times New Roman"/>
          <w:sz w:val="24"/>
        </w:rPr>
      </w:pPr>
      <w:r>
        <w:rPr>
          <w:rFonts w:ascii="Times New Roman" w:hAnsi="Times New Roman"/>
          <w:sz w:val="24"/>
        </w:rPr>
        <w:t>T</w:t>
      </w:r>
      <w:r w:rsidRPr="003521C2">
        <w:rPr>
          <w:rFonts w:ascii="Times New Roman" w:hAnsi="Times New Roman"/>
          <w:sz w:val="24"/>
        </w:rPr>
        <w:t xml:space="preserve">his final rule does not create a central database of information required to be disclosed, nor does it permit anonymous access. </w:t>
      </w:r>
      <w:r w:rsidRPr="00413464" w:rsidR="00413464">
        <w:rPr>
          <w:rFonts w:ascii="Times New Roman" w:hAnsi="Times New Roman"/>
          <w:sz w:val="24"/>
        </w:rPr>
        <w:t xml:space="preserve">EPA is requiring sources to provide instructions for how to request </w:t>
      </w:r>
      <w:r w:rsidR="0078038C">
        <w:rPr>
          <w:rFonts w:ascii="Times New Roman" w:hAnsi="Times New Roman"/>
          <w:sz w:val="24"/>
        </w:rPr>
        <w:t xml:space="preserve">chemical </w:t>
      </w:r>
      <w:r w:rsidRPr="00413464" w:rsidR="00413464">
        <w:rPr>
          <w:rFonts w:ascii="Times New Roman" w:hAnsi="Times New Roman"/>
          <w:sz w:val="24"/>
        </w:rPr>
        <w:t>information</w:t>
      </w:r>
      <w:r w:rsidR="0053693C">
        <w:rPr>
          <w:rFonts w:ascii="Times New Roman" w:hAnsi="Times New Roman"/>
          <w:sz w:val="24"/>
        </w:rPr>
        <w:t xml:space="preserve"> </w:t>
      </w:r>
      <w:r w:rsidR="0078038C">
        <w:rPr>
          <w:rFonts w:ascii="Times New Roman" w:hAnsi="Times New Roman"/>
          <w:sz w:val="24"/>
        </w:rPr>
        <w:t xml:space="preserve">only </w:t>
      </w:r>
      <w:r w:rsidR="0053693C">
        <w:rPr>
          <w:rFonts w:ascii="Times New Roman" w:hAnsi="Times New Roman"/>
          <w:sz w:val="24"/>
        </w:rPr>
        <w:t>specific to their facility</w:t>
      </w:r>
      <w:r w:rsidRPr="00413464" w:rsidR="00413464">
        <w:rPr>
          <w:rFonts w:ascii="Times New Roman" w:hAnsi="Times New Roman"/>
          <w:sz w:val="24"/>
        </w:rPr>
        <w:t>, which should include the necessary verification components for the public within a 6-mile radius of the facility. Nothing in the rule requires a facility to accept a mere P.O. Box address as evidence of residence, employment, or presence within the 6-mile radius. For this final rule, EPA is also requiring owners and operators to maintain a record of the requestors. The final rule leaves substantial flexibility for facilities to design a process for obtaining verification and keeping records of requestors that allows for facilities to have a suitable, minimally burdensome process for themselves and the community.</w:t>
      </w:r>
      <w:r w:rsidR="006A4FDC">
        <w:rPr>
          <w:rFonts w:ascii="Times New Roman" w:hAnsi="Times New Roman"/>
          <w:sz w:val="24"/>
        </w:rPr>
        <w:t xml:space="preserve"> </w:t>
      </w:r>
      <w:r w:rsidRPr="00CD0856">
        <w:rPr>
          <w:rFonts w:ascii="Times New Roman" w:hAnsi="Times New Roman"/>
          <w:sz w:val="24"/>
        </w:rPr>
        <w:t xml:space="preserve">EPA believes that the finalized approach is consistent with existing requirements to secure sensitive information. </w:t>
      </w:r>
    </w:p>
    <w:p w:rsidR="688D8E69" w:rsidP="260A984B" w14:paraId="0A91FBB5" w14:textId="7154B5F5">
      <w:pPr>
        <w:ind w:left="720"/>
        <w:rPr>
          <w:rFonts w:ascii="Times New Roman" w:hAnsi="Times New Roman"/>
          <w:sz w:val="24"/>
        </w:rPr>
      </w:pPr>
      <w:r w:rsidRPr="260A984B">
        <w:rPr>
          <w:rFonts w:ascii="Times New Roman" w:hAnsi="Times New Roman"/>
          <w:sz w:val="24"/>
        </w:rPr>
        <w:t xml:space="preserve">EPA believes the information disclosures required by the final rule are fully consistent with the statutes and regulatory programs identified by the commenters as enacted after the 1990 CAA Amendments. For example, CSISSFRRA specified that portions of RMPs containing “offsite consequence analysis information” (OCA Information), any electronic data base created from those portions, and any statewide or national ranking derived from such information is subject to restrictions on disclosure under CAA sections 112(r)(7)(H)(i)(III) and 112(r)(7)(H)(v). Regulations jointly promulgated by EPA and the DOJ further define OCA Information in 40 CFR 1400.2(j). The final rule will not require disclosure of release scenarios or rankings based on such scenarios, nor will it make available any information based on such scenarios. </w:t>
      </w:r>
      <w:r w:rsidRPr="260A984B" w:rsidR="18310566">
        <w:rPr>
          <w:rFonts w:ascii="Times New Roman" w:hAnsi="Times New Roman"/>
          <w:sz w:val="24"/>
        </w:rPr>
        <w:t>T</w:t>
      </w:r>
      <w:r w:rsidRPr="260A984B">
        <w:rPr>
          <w:rFonts w:ascii="Times New Roman" w:hAnsi="Times New Roman"/>
          <w:sz w:val="24"/>
        </w:rPr>
        <w:t xml:space="preserve">he </w:t>
      </w:r>
      <w:r w:rsidRPr="260A984B" w:rsidR="601F5CA4">
        <w:rPr>
          <w:rFonts w:ascii="Times New Roman" w:hAnsi="Times New Roman"/>
          <w:sz w:val="24"/>
        </w:rPr>
        <w:t xml:space="preserve">Critical Infrastructure Information Act </w:t>
      </w:r>
      <w:r w:rsidRPr="260A984B">
        <w:rPr>
          <w:rFonts w:ascii="Times New Roman" w:hAnsi="Times New Roman"/>
          <w:sz w:val="24"/>
        </w:rPr>
        <w:t xml:space="preserve">restricts information “not customarily in the public domain.” Further, </w:t>
      </w:r>
      <w:r w:rsidRPr="260A984B">
        <w:rPr>
          <w:rFonts w:ascii="Times New Roman" w:hAnsi="Times New Roman"/>
          <w:sz w:val="24"/>
        </w:rPr>
        <w:t>CFATS creates a category of information, CVI, which protects certain information submitted to DHS and necessary to implement CFATS (see 6 CFR 27.400). In promulgating CFATS, DHS announced its intent to preserve Federal release disclosure, emergency planning, and accident prevention statutes, including EPCRA and CAA section 112(r) (see 72 FR. 17714; April 9, 2007). In this final rule, EPA creates no tension between after-enacted programs and enhancement of the RMP. The information that the final rule requires facilities to disclose largely draws on information otherwise in the public domain and simplifies the public’s access to it. EPA has acknowledged that there would be some value to assembling a centralized, anonymously accessible government database of already-public information relevant to identifying and prioritizing facilities for potential impacts. However, this final rule does not create a central database of the information required to be disclosed, nor does it permit anonymous access. The limits on disclosure and access are important steps to minimize security risks. EPA has therefore coordinated with both the DHS Cybersecurity &amp; Infrastructure Security Agency (CISA) which manages the CFATS program and the FBI in order to take steps that will balance accident prevention and security interests.</w:t>
      </w:r>
      <w:r>
        <w:rPr>
          <w:rStyle w:val="FootnoteReference"/>
          <w:rFonts w:ascii="Times New Roman" w:hAnsi="Times New Roman"/>
          <w:sz w:val="24"/>
        </w:rPr>
        <w:footnoteReference w:id="167"/>
      </w:r>
      <w:r w:rsidRPr="260A984B">
        <w:rPr>
          <w:rFonts w:ascii="Times New Roman" w:hAnsi="Times New Roman"/>
          <w:sz w:val="24"/>
        </w:rPr>
        <w:t xml:space="preserve"> </w:t>
      </w:r>
    </w:p>
    <w:p w:rsidR="00021D11" w:rsidRPr="00396F56" w:rsidP="00021D11" w14:paraId="70B2C505" w14:textId="77777777">
      <w:pPr>
        <w:rPr>
          <w:rFonts w:ascii="Times New Roman" w:hAnsi="Times New Roman"/>
          <w:sz w:val="24"/>
        </w:rPr>
      </w:pPr>
      <w:r>
        <w:rPr>
          <w:rFonts w:ascii="Times New Roman" w:hAnsi="Times New Roman"/>
          <w:b/>
          <w:bCs/>
          <w:sz w:val="24"/>
        </w:rPr>
        <w:t xml:space="preserve">Comment 13.4-02: </w:t>
      </w:r>
      <w:r w:rsidRPr="00C35604">
        <w:rPr>
          <w:rFonts w:ascii="Times New Roman" w:hAnsi="Times New Roman"/>
          <w:sz w:val="24"/>
        </w:rPr>
        <w:t xml:space="preserve">Several commenters emphasized security risks of the proposed rule (0180, 0181, 0184, 0201, 0207, 0215, 0217, 0226, 0229, 0233, 0234, 0237, 0238, 0244, 0253, 0262, 0263, 0267, 0268, 0271, 0272, 0458), including risks of terrorist attacks or criminal activity (0139, 0217, 0222, 0226, 0234, 0242, 0244, 0267, 0458). Another commenter </w:t>
      </w:r>
      <w:r>
        <w:rPr>
          <w:rFonts w:ascii="Times New Roman" w:hAnsi="Times New Roman"/>
          <w:sz w:val="24"/>
        </w:rPr>
        <w:t>said</w:t>
      </w:r>
      <w:r w:rsidRPr="00C35604">
        <w:rPr>
          <w:rFonts w:ascii="Times New Roman" w:hAnsi="Times New Roman"/>
          <w:sz w:val="24"/>
        </w:rPr>
        <w:t xml:space="preserve"> that providing additional sensitive accident investigation and chemical information to the public could result in a national homeland security concern (0253).</w:t>
      </w:r>
      <w:r>
        <w:rPr>
          <w:rFonts w:ascii="Times New Roman" w:hAnsi="Times New Roman"/>
          <w:sz w:val="24"/>
        </w:rPr>
        <w:t xml:space="preserve"> </w:t>
      </w:r>
      <w:r w:rsidRPr="00592FF6">
        <w:rPr>
          <w:rFonts w:ascii="Times New Roman" w:hAnsi="Times New Roman"/>
          <w:sz w:val="24"/>
        </w:rPr>
        <w:t xml:space="preserve">Another commenter </w:t>
      </w:r>
      <w:r>
        <w:rPr>
          <w:rFonts w:ascii="Times New Roman" w:hAnsi="Times New Roman"/>
          <w:sz w:val="24"/>
        </w:rPr>
        <w:t>stated</w:t>
      </w:r>
      <w:r w:rsidRPr="00592FF6">
        <w:rPr>
          <w:rFonts w:ascii="Times New Roman" w:hAnsi="Times New Roman"/>
          <w:sz w:val="24"/>
        </w:rPr>
        <w:t xml:space="preserve"> that providing additional sensitive accident </w:t>
      </w:r>
      <w:r w:rsidRPr="00396F56">
        <w:rPr>
          <w:rFonts w:ascii="Times New Roman" w:hAnsi="Times New Roman"/>
          <w:sz w:val="24"/>
        </w:rPr>
        <w:t>investigation and chemical information to the public could result in a national homeland security concern (0253).</w:t>
      </w:r>
    </w:p>
    <w:p w:rsidR="00021D11" w:rsidP="00021D11" w14:paraId="153D43C2" w14:textId="77777777">
      <w:pPr>
        <w:rPr>
          <w:rFonts w:ascii="Times New Roman" w:hAnsi="Times New Roman"/>
          <w:sz w:val="24"/>
        </w:rPr>
      </w:pPr>
      <w:r w:rsidRPr="00396F56">
        <w:rPr>
          <w:rFonts w:ascii="Times New Roman" w:hAnsi="Times New Roman"/>
          <w:sz w:val="24"/>
        </w:rPr>
        <w:t>Several commenters discussed the additional risks of cybersecurity att</w:t>
      </w:r>
      <w:r w:rsidRPr="00B74EC4">
        <w:rPr>
          <w:rFonts w:ascii="Times New Roman" w:hAnsi="Times New Roman"/>
          <w:sz w:val="24"/>
        </w:rPr>
        <w:t>acks (0163, 0232, 0239, 0253, 0268, 0272).</w:t>
      </w:r>
    </w:p>
    <w:p w:rsidR="00021D11" w:rsidRPr="00E41504" w:rsidP="00021D11" w14:paraId="6A5D3587" w14:textId="32C0CDAF">
      <w:pPr>
        <w:widowControl w:val="0"/>
        <w:ind w:left="720"/>
        <w:rPr>
          <w:rFonts w:ascii="Times New Roman" w:hAnsi="Times New Roman"/>
          <w:sz w:val="24"/>
        </w:rPr>
      </w:pPr>
      <w:r w:rsidRPr="00065BF7">
        <w:rPr>
          <w:rFonts w:ascii="Times New Roman" w:hAnsi="Times New Roman"/>
          <w:b/>
          <w:bCs/>
          <w:sz w:val="24"/>
        </w:rPr>
        <w:t xml:space="preserve">EPA </w:t>
      </w:r>
      <w:r w:rsidRPr="00E41504">
        <w:rPr>
          <w:rFonts w:ascii="Times New Roman" w:hAnsi="Times New Roman"/>
          <w:b/>
          <w:bCs/>
          <w:sz w:val="24"/>
        </w:rPr>
        <w:t>Response:</w:t>
      </w:r>
      <w:r w:rsidRPr="00E41504">
        <w:rPr>
          <w:rFonts w:ascii="Times New Roman" w:hAnsi="Times New Roman"/>
          <w:sz w:val="24"/>
        </w:rPr>
        <w:t xml:space="preserve"> There exists no publicly available database of intentional acts </w:t>
      </w:r>
      <w:r w:rsidR="00BC3CA5">
        <w:rPr>
          <w:rFonts w:ascii="Times New Roman" w:hAnsi="Times New Roman"/>
          <w:sz w:val="24"/>
        </w:rPr>
        <w:t>against</w:t>
      </w:r>
      <w:r w:rsidR="00533744">
        <w:rPr>
          <w:rFonts w:ascii="Times New Roman" w:hAnsi="Times New Roman"/>
          <w:sz w:val="24"/>
        </w:rPr>
        <w:t xml:space="preserve"> </w:t>
      </w:r>
      <w:r w:rsidRPr="00E41504">
        <w:rPr>
          <w:rFonts w:ascii="Times New Roman" w:hAnsi="Times New Roman"/>
          <w:sz w:val="24"/>
        </w:rPr>
        <w:t>the chemical process industries in the United States. In a 2021 study, researchers attempted to compile a database of such incidents, finding documentation of 84 incidents in the chemical and petrochemical industries.</w:t>
      </w:r>
      <w:r>
        <w:rPr>
          <w:rStyle w:val="FootnoteReference"/>
          <w:rFonts w:ascii="Times New Roman" w:hAnsi="Times New Roman"/>
          <w:color w:val="000000" w:themeColor="text1"/>
          <w:sz w:val="24"/>
        </w:rPr>
        <w:footnoteReference w:id="168"/>
      </w:r>
      <w:r w:rsidRPr="00E41504">
        <w:rPr>
          <w:rFonts w:ascii="Times New Roman" w:hAnsi="Times New Roman"/>
          <w:sz w:val="24"/>
        </w:rPr>
        <w:t xml:space="preserve"> </w:t>
      </w:r>
      <w:r>
        <w:rPr>
          <w:rStyle w:val="FootnoteReference"/>
          <w:rFonts w:ascii="Times New Roman" w:hAnsi="Times New Roman"/>
          <w:color w:val="000000" w:themeColor="text1"/>
          <w:sz w:val="24"/>
        </w:rPr>
        <w:footnoteReference w:id="169"/>
      </w:r>
      <w:r w:rsidRPr="00E41504">
        <w:rPr>
          <w:rFonts w:ascii="Times New Roman" w:hAnsi="Times New Roman"/>
          <w:sz w:val="24"/>
        </w:rPr>
        <w:t xml:space="preserve"> Root cause data on these incidents, which are not available, would be needed to determine if availability of information on the facility contributed to terrorist incidents, which were second to cybersecurity incidents as the most frequent overall cause. According to the database, no terrorist event in the process industries (excluding transportation and pipelines) has occurred in North America after the 1970s.</w:t>
      </w:r>
      <w:r>
        <w:rPr>
          <w:rStyle w:val="FootnoteReference"/>
          <w:rFonts w:ascii="Times New Roman" w:hAnsi="Times New Roman"/>
          <w:color w:val="000000" w:themeColor="text1"/>
          <w:sz w:val="24"/>
        </w:rPr>
        <w:footnoteReference w:id="170"/>
      </w:r>
      <w:r w:rsidRPr="00E41504">
        <w:rPr>
          <w:rFonts w:ascii="Times New Roman" w:hAnsi="Times New Roman"/>
          <w:sz w:val="24"/>
        </w:rPr>
        <w:t xml:space="preserve"> However, a lack of incidents may result from the safeguards currently in place. DHS promulgated CFATS in accordance with the Homeland Security </w:t>
      </w:r>
      <w:r w:rsidRPr="00E41504">
        <w:rPr>
          <w:rFonts w:ascii="Times New Roman" w:hAnsi="Times New Roman"/>
          <w:sz w:val="24"/>
        </w:rPr>
        <w:t>Appropriations Act of 2007, owing to insufficient security at industrial facilities. In promulgating CFATS, DHS did not intend for information created under CAA section 112(r) to constitute “Chemical-terrorism Vulnerability Information,” which is sensitive information pursuant to CFATS requirements (72 FR 17714). EPA routinely coordinates with DHS as part of the Chemical Facility Security and Safety Working Group and commits to working with DHS to find regulatory solutions that balance community right-to-know with security concerns.</w:t>
      </w:r>
    </w:p>
    <w:p w:rsidR="00021D11" w:rsidRPr="00E41504" w:rsidP="00021D11" w14:paraId="14DB63E6" w14:textId="09079252">
      <w:pPr>
        <w:widowControl w:val="0"/>
        <w:ind w:left="720"/>
        <w:rPr>
          <w:rFonts w:ascii="Times New Roman" w:hAnsi="Times New Roman"/>
          <w:sz w:val="24"/>
        </w:rPr>
      </w:pPr>
      <w:r w:rsidRPr="00E41504">
        <w:rPr>
          <w:rFonts w:ascii="Times New Roman" w:hAnsi="Times New Roman"/>
          <w:sz w:val="24"/>
        </w:rPr>
        <w:t>Accidental releases occur much more often than intentional events (about 100 per year using EPA RMP-reportable accidents). Pre-incident information, such as the locations of facilities and potential disasters, allows communities to be more prepared for disasters,</w:t>
      </w:r>
      <w:r>
        <w:rPr>
          <w:rStyle w:val="FootnoteReference"/>
          <w:rFonts w:ascii="Times New Roman" w:hAnsi="Times New Roman"/>
          <w:color w:val="000000" w:themeColor="text1"/>
          <w:sz w:val="24"/>
        </w:rPr>
        <w:footnoteReference w:id="171"/>
      </w:r>
      <w:r w:rsidRPr="00E41504">
        <w:rPr>
          <w:rFonts w:ascii="Times New Roman" w:hAnsi="Times New Roman"/>
          <w:sz w:val="24"/>
        </w:rPr>
        <w:t xml:space="preserve"> which DOJ also recognized in its 2000 risk assessment.</w:t>
      </w:r>
      <w:r>
        <w:rPr>
          <w:rStyle w:val="FootnoteReference"/>
          <w:rFonts w:ascii="Times New Roman" w:hAnsi="Times New Roman"/>
          <w:color w:val="000000" w:themeColor="text1"/>
          <w:sz w:val="24"/>
        </w:rPr>
        <w:footnoteReference w:id="172"/>
      </w:r>
      <w:r w:rsidRPr="00E41504">
        <w:rPr>
          <w:rFonts w:ascii="Times New Roman" w:hAnsi="Times New Roman"/>
          <w:sz w:val="24"/>
        </w:rPr>
        <w:t xml:space="preserve"> With over 20 years of data now, EPA has based many of the finalized provisions on prior accident information. EPA acknowledges that the Agency must consider whether some non-OCA data elements, or combinations of elements, may not be suitable for public release and should be restricted based on potential security risks. EPA has been</w:t>
      </w:r>
      <w:r>
        <w:rPr>
          <w:rStyle w:val="FootnoteReference"/>
          <w:rFonts w:ascii="Times New Roman" w:hAnsi="Times New Roman"/>
          <w:sz w:val="24"/>
        </w:rPr>
        <w:footnoteReference w:id="173"/>
      </w:r>
      <w:r w:rsidRPr="00E41504">
        <w:rPr>
          <w:rFonts w:ascii="Times New Roman" w:hAnsi="Times New Roman"/>
          <w:sz w:val="24"/>
        </w:rPr>
        <w:t xml:space="preserve"> and will continue to work with DHS, DOJ, and other Federal partners on identifying these risks. </w:t>
      </w:r>
      <w:r w:rsidRPr="260A984B" w:rsidR="25E31B82">
        <w:rPr>
          <w:rFonts w:ascii="Times New Roman" w:hAnsi="Times New Roman"/>
          <w:sz w:val="24"/>
        </w:rPr>
        <w:t xml:space="preserve"> </w:t>
      </w:r>
    </w:p>
    <w:p w:rsidR="25E31B82" w:rsidP="260A984B" w14:paraId="6C452CB7" w14:textId="5A1D49BF">
      <w:pPr>
        <w:widowControl w:val="0"/>
        <w:ind w:left="720"/>
        <w:rPr>
          <w:rFonts w:ascii="Times New Roman" w:hAnsi="Times New Roman"/>
          <w:sz w:val="24"/>
        </w:rPr>
      </w:pPr>
      <w:r w:rsidRPr="260A984B">
        <w:rPr>
          <w:rFonts w:ascii="Times New Roman" w:hAnsi="Times New Roman"/>
          <w:sz w:val="24"/>
        </w:rPr>
        <w:t>See also the response to comment 13.4-01.</w:t>
      </w:r>
    </w:p>
    <w:p w:rsidR="00021D11" w:rsidP="00021D11" w14:paraId="3F941897" w14:textId="77777777">
      <w:pPr>
        <w:rPr>
          <w:rFonts w:ascii="Times New Roman" w:hAnsi="Times New Roman"/>
          <w:sz w:val="24"/>
        </w:rPr>
      </w:pPr>
      <w:r>
        <w:rPr>
          <w:rFonts w:ascii="Times New Roman" w:hAnsi="Times New Roman"/>
          <w:b/>
          <w:bCs/>
          <w:sz w:val="24"/>
        </w:rPr>
        <w:t xml:space="preserve">Comment 13.4-03: </w:t>
      </w:r>
      <w:r w:rsidRPr="006F68E9">
        <w:rPr>
          <w:rFonts w:ascii="Times New Roman" w:hAnsi="Times New Roman"/>
          <w:sz w:val="24"/>
        </w:rPr>
        <w:t>One of the commenters stated that the six-mile boundary does not remove the serious risk from those individuals wishing to conduct criminal activities against facilities (0237).</w:t>
      </w:r>
      <w:r w:rsidRPr="006F68E9">
        <w:rPr>
          <w:rStyle w:val="CommentReference"/>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despite EPA’s effort to impose a geographic restriction on citizens that can request information, the six-mile boundary does not remove the serious risk from those individuals wishing to conduct criminal activities against facilities (0237). </w:t>
      </w:r>
    </w:p>
    <w:p w:rsidR="00021D11" w:rsidP="00021D11" w14:paraId="2F802EE0" w14:textId="5B59F751">
      <w:pPr>
        <w:ind w:left="720"/>
      </w:pPr>
      <w:r w:rsidRPr="005D16B3">
        <w:rPr>
          <w:rFonts w:ascii="Times New Roman" w:hAnsi="Times New Roman"/>
          <w:b/>
          <w:bCs/>
          <w:sz w:val="24"/>
        </w:rPr>
        <w:t xml:space="preserve">EPA Response: </w:t>
      </w:r>
      <w:r w:rsidRPr="005D16B3">
        <w:rPr>
          <w:rFonts w:ascii="Times New Roman" w:hAnsi="Times New Roman"/>
          <w:sz w:val="24"/>
        </w:rPr>
        <w:t>The 6-mile radius limitation seeks to limit the potential security risk of allowing anonymous confidential access to this information to the entire public that was of concern to EPA in the 2019 reconsideration rule. This approach strikes a better balance between those security concerns and the interests of people spending significant time near facilities who could benefit from the information, including personal preparedness in the event of an accident, knowledge of potential risks and safety conditions where one lives, and more informed participation in community emergency and safety planning.</w:t>
      </w:r>
      <w:r w:rsidRPr="058D8BA6">
        <w:t xml:space="preserve">  </w:t>
      </w:r>
    </w:p>
    <w:p w:rsidR="00FD3BCA" w:rsidRPr="00F93C48" w:rsidP="00021D11" w14:paraId="57DC4236" w14:textId="5D67BAE3">
      <w:pPr>
        <w:ind w:left="720"/>
        <w:rPr>
          <w:rFonts w:ascii="Times New Roman" w:hAnsi="Times New Roman"/>
          <w:sz w:val="24"/>
        </w:rPr>
      </w:pPr>
      <w:r>
        <w:rPr>
          <w:rFonts w:ascii="Times New Roman" w:hAnsi="Times New Roman"/>
          <w:sz w:val="24"/>
        </w:rPr>
        <w:t xml:space="preserve">For this final rule, </w:t>
      </w:r>
      <w:r w:rsidRPr="00F93C48">
        <w:rPr>
          <w:rFonts w:ascii="Times New Roman" w:hAnsi="Times New Roman"/>
          <w:sz w:val="24"/>
        </w:rPr>
        <w:t xml:space="preserve">EPA is requiring sources to provide instructions for how to request the information, which should include the necessary verification components for the public within a 6-mile radius of the facility. Nothing in the rule requires a facility to accept a mere P.O. Box address as evidence of residence, employment, or presence within the 6-mile radius. For this final rule, EPA is also requiring owners and operators to maintain a record of the requestors. The final rule leaves substantial flexibility for facilities to design a process for obtaining verification and keeping records of requestors that allows for facilities to have a suitable, minimally burdensome process for themselves and the </w:t>
      </w:r>
      <w:r w:rsidRPr="00F93C48">
        <w:rPr>
          <w:rFonts w:ascii="Times New Roman" w:hAnsi="Times New Roman"/>
          <w:sz w:val="24"/>
        </w:rPr>
        <w:t>community. The final rule allows for a straightforward process that does not hinder the right of the public to access this information, allows facilities to be aware who has their information, and permits oversight by implementing agencies.</w:t>
      </w:r>
      <w:r w:rsidRPr="260A984B" w:rsidR="3988A558">
        <w:rPr>
          <w:rFonts w:ascii="Times New Roman" w:hAnsi="Times New Roman"/>
          <w:sz w:val="24"/>
        </w:rPr>
        <w:t xml:space="preserve"> </w:t>
      </w:r>
    </w:p>
    <w:p w:rsidR="5B726510" w:rsidP="260A984B" w14:paraId="51C2FAEB" w14:textId="7C8A0B73">
      <w:pPr>
        <w:ind w:left="720"/>
        <w:rPr>
          <w:rFonts w:ascii="Times New Roman" w:hAnsi="Times New Roman"/>
          <w:sz w:val="24"/>
        </w:rPr>
      </w:pPr>
      <w:r w:rsidRPr="260A984B">
        <w:rPr>
          <w:rFonts w:ascii="Times New Roman" w:hAnsi="Times New Roman"/>
          <w:sz w:val="24"/>
        </w:rPr>
        <w:t xml:space="preserve">The risk of malicious use of RMP data is not removed by the </w:t>
      </w:r>
      <w:r w:rsidRPr="260A984B" w:rsidR="76C1C057">
        <w:rPr>
          <w:rFonts w:ascii="Times New Roman" w:hAnsi="Times New Roman"/>
          <w:sz w:val="24"/>
        </w:rPr>
        <w:t>6-mile boundary nor is it created by it. The non-OCA portion of the RMP data</w:t>
      </w:r>
      <w:r w:rsidRPr="260A984B" w:rsidR="75C08C71">
        <w:rPr>
          <w:rFonts w:ascii="Times New Roman" w:hAnsi="Times New Roman"/>
          <w:sz w:val="24"/>
        </w:rPr>
        <w:t>base is FOIAble and the OCA portion of RMPs is accessible in reading rooms.</w:t>
      </w:r>
      <w:r w:rsidRPr="260A984B" w:rsidR="40AE6C49">
        <w:rPr>
          <w:rFonts w:ascii="Times New Roman" w:hAnsi="Times New Roman"/>
          <w:sz w:val="24"/>
        </w:rPr>
        <w:t xml:space="preserve"> The 6-mile boundary for information access through requests directly to facilities </w:t>
      </w:r>
      <w:r w:rsidRPr="260A984B" w:rsidR="7F53517A">
        <w:rPr>
          <w:rFonts w:ascii="Times New Roman" w:hAnsi="Times New Roman"/>
          <w:sz w:val="24"/>
        </w:rPr>
        <w:t xml:space="preserve">provides a better balance </w:t>
      </w:r>
      <w:r w:rsidRPr="260A984B" w:rsidR="6838891C">
        <w:rPr>
          <w:rFonts w:ascii="Times New Roman" w:hAnsi="Times New Roman"/>
          <w:sz w:val="24"/>
        </w:rPr>
        <w:t xml:space="preserve">of interests than both the 2017 </w:t>
      </w:r>
      <w:r w:rsidR="00F87BD2">
        <w:rPr>
          <w:rFonts w:ascii="Times New Roman" w:hAnsi="Times New Roman"/>
          <w:sz w:val="24"/>
        </w:rPr>
        <w:t>a</w:t>
      </w:r>
      <w:r w:rsidRPr="260A984B" w:rsidR="6838891C">
        <w:rPr>
          <w:rFonts w:ascii="Times New Roman" w:hAnsi="Times New Roman"/>
          <w:sz w:val="24"/>
        </w:rPr>
        <w:t xml:space="preserve">mendments and the 2019 </w:t>
      </w:r>
      <w:r w:rsidR="00F87BD2">
        <w:rPr>
          <w:rFonts w:ascii="Times New Roman" w:hAnsi="Times New Roman"/>
          <w:sz w:val="24"/>
        </w:rPr>
        <w:t>r</w:t>
      </w:r>
      <w:r w:rsidRPr="260A984B" w:rsidR="6838891C">
        <w:rPr>
          <w:rFonts w:ascii="Times New Roman" w:hAnsi="Times New Roman"/>
          <w:sz w:val="24"/>
        </w:rPr>
        <w:t>ec</w:t>
      </w:r>
      <w:r w:rsidR="00971C0E">
        <w:rPr>
          <w:rFonts w:ascii="Times New Roman" w:hAnsi="Times New Roman"/>
          <w:sz w:val="24"/>
        </w:rPr>
        <w:t>onsideration</w:t>
      </w:r>
      <w:r w:rsidRPr="260A984B" w:rsidR="6838891C">
        <w:rPr>
          <w:rFonts w:ascii="Times New Roman" w:hAnsi="Times New Roman"/>
          <w:sz w:val="24"/>
        </w:rPr>
        <w:t xml:space="preserve"> rule</w:t>
      </w:r>
      <w:r w:rsidR="00F87BD2">
        <w:rPr>
          <w:rFonts w:ascii="Times New Roman" w:hAnsi="Times New Roman"/>
          <w:sz w:val="24"/>
        </w:rPr>
        <w:t>s</w:t>
      </w:r>
      <w:r w:rsidRPr="260A984B" w:rsidR="6838891C">
        <w:rPr>
          <w:rFonts w:ascii="Times New Roman" w:hAnsi="Times New Roman"/>
          <w:sz w:val="24"/>
        </w:rPr>
        <w:t xml:space="preserve">. </w:t>
      </w:r>
    </w:p>
    <w:p w:rsidR="00021D11" w:rsidRPr="005D16B3" w:rsidP="00021D11" w14:paraId="63930EEE" w14:textId="77777777">
      <w:pPr>
        <w:rPr>
          <w:rFonts w:ascii="Times New Roman" w:hAnsi="Times New Roman"/>
          <w:i/>
          <w:sz w:val="24"/>
        </w:rPr>
      </w:pPr>
      <w:r w:rsidRPr="005D16B3">
        <w:rPr>
          <w:rFonts w:ascii="Times New Roman" w:hAnsi="Times New Roman"/>
          <w:i/>
          <w:sz w:val="24"/>
        </w:rPr>
        <w:t>Concerns about conflict with other information security requirements</w:t>
      </w:r>
    </w:p>
    <w:p w:rsidR="00021D11" w:rsidP="00021D11" w14:paraId="1BB0AC36" w14:textId="77777777">
      <w:pPr>
        <w:rPr>
          <w:rFonts w:ascii="Times New Roman" w:hAnsi="Times New Roman"/>
          <w:sz w:val="24"/>
        </w:rPr>
      </w:pPr>
      <w:r>
        <w:rPr>
          <w:rFonts w:ascii="Times New Roman" w:hAnsi="Times New Roman"/>
          <w:b/>
          <w:bCs/>
          <w:sz w:val="24"/>
        </w:rPr>
        <w:t xml:space="preserve">Comment 13.4-04: </w:t>
      </w:r>
      <w:r w:rsidRPr="00495DD1">
        <w:rPr>
          <w:rFonts w:ascii="Times New Roman" w:hAnsi="Times New Roman"/>
          <w:sz w:val="24"/>
        </w:rPr>
        <w:t>Several commenters recommended that EPA withdraw its proposed information sharing provisions due to conflicts with information security protocols under DHS CFATS regulations (0139, 0180, 0202, 0205, 0207, 0215, 0217, 0226, 0227, 0234, 0237, 0239, 0242, 0263, 0268, 0458).</w:t>
      </w:r>
      <w:r>
        <w:rPr>
          <w:rFonts w:ascii="Times New Roman" w:hAnsi="Times New Roman"/>
          <w:sz w:val="24"/>
        </w:rPr>
        <w:t xml:space="preserve"> </w:t>
      </w:r>
      <w:r w:rsidRPr="00495DD1">
        <w:rPr>
          <w:rFonts w:ascii="Times New Roman" w:hAnsi="Times New Roman"/>
          <w:sz w:val="24"/>
        </w:rPr>
        <w:t xml:space="preserve">One commenter </w:t>
      </w:r>
      <w:r>
        <w:rPr>
          <w:rFonts w:ascii="Times New Roman" w:hAnsi="Times New Roman"/>
          <w:sz w:val="24"/>
        </w:rPr>
        <w:t>said</w:t>
      </w:r>
      <w:r w:rsidRPr="00495DD1">
        <w:rPr>
          <w:rFonts w:ascii="Times New Roman" w:hAnsi="Times New Roman"/>
          <w:sz w:val="24"/>
        </w:rPr>
        <w:t xml:space="preserve"> that the availability of information requirements included in the proposed rule are in conflict with the Chemical Safety Information, Site Security and Fuels Regulatory Relief Act (CSISSFRRA), DOT Regulations, and DHS Regulations </w:t>
      </w:r>
      <w:r>
        <w:rPr>
          <w:rFonts w:ascii="Times New Roman" w:hAnsi="Times New Roman"/>
          <w:sz w:val="24"/>
        </w:rPr>
        <w:t xml:space="preserve">and expressed concern about the information being available on a company website </w:t>
      </w:r>
      <w:r w:rsidRPr="00495DD1">
        <w:rPr>
          <w:rFonts w:ascii="Times New Roman" w:hAnsi="Times New Roman"/>
          <w:sz w:val="24"/>
        </w:rPr>
        <w:t xml:space="preserve">(0253). A few commenters </w:t>
      </w:r>
      <w:r>
        <w:rPr>
          <w:rFonts w:ascii="Times New Roman" w:hAnsi="Times New Roman"/>
          <w:sz w:val="24"/>
        </w:rPr>
        <w:t>stated</w:t>
      </w:r>
      <w:r w:rsidRPr="00495DD1">
        <w:rPr>
          <w:rFonts w:ascii="Times New Roman" w:hAnsi="Times New Roman"/>
          <w:sz w:val="24"/>
        </w:rPr>
        <w:t xml:space="preserve"> that the proposed public disclosure requirement is contrary to the Critical Infrastructure Information Act of 2002 (0268, 0215), and one commenter </w:t>
      </w:r>
      <w:r>
        <w:rPr>
          <w:rFonts w:ascii="Times New Roman" w:hAnsi="Times New Roman"/>
          <w:sz w:val="24"/>
        </w:rPr>
        <w:t>stated</w:t>
      </w:r>
      <w:r w:rsidRPr="00495DD1">
        <w:rPr>
          <w:rFonts w:ascii="Times New Roman" w:hAnsi="Times New Roman"/>
          <w:sz w:val="24"/>
        </w:rPr>
        <w:t xml:space="preserve"> it is also in conflict with the Maritime Transportation Security Act (0268). One commenter </w:t>
      </w:r>
      <w:r>
        <w:rPr>
          <w:rFonts w:ascii="Times New Roman" w:hAnsi="Times New Roman"/>
          <w:sz w:val="24"/>
        </w:rPr>
        <w:t>said</w:t>
      </w:r>
      <w:r w:rsidRPr="00495DD1">
        <w:rPr>
          <w:rFonts w:ascii="Times New Roman" w:hAnsi="Times New Roman"/>
          <w:sz w:val="24"/>
        </w:rPr>
        <w:t xml:space="preserve"> that EPA’s proposed information disclosure requirements may conflict with existing DHS regulations restricting the disclosure of Chemical </w:t>
      </w:r>
      <w:r w:rsidRPr="50B04357">
        <w:rPr>
          <w:rFonts w:ascii="Times New Roman" w:hAnsi="Times New Roman"/>
          <w:sz w:val="24"/>
        </w:rPr>
        <w:t xml:space="preserve">terrorism </w:t>
      </w:r>
      <w:r w:rsidRPr="00495DD1">
        <w:rPr>
          <w:rFonts w:ascii="Times New Roman" w:hAnsi="Times New Roman"/>
          <w:sz w:val="24"/>
        </w:rPr>
        <w:t>Vulnerability Information (CVI) (0267).</w:t>
      </w:r>
    </w:p>
    <w:p w:rsidR="00021D11" w:rsidP="00021D11" w14:paraId="63CB4EBC" w14:textId="77777777">
      <w:pPr>
        <w:rPr>
          <w:rFonts w:ascii="Times New Roman" w:hAnsi="Times New Roman"/>
          <w:sz w:val="24"/>
        </w:rPr>
      </w:pPr>
      <w:r w:rsidRPr="00244369">
        <w:rPr>
          <w:rFonts w:ascii="Times New Roman" w:hAnsi="Times New Roman"/>
          <w:sz w:val="24"/>
        </w:rPr>
        <w:t xml:space="preserve">One of the commenters </w:t>
      </w:r>
      <w:r>
        <w:rPr>
          <w:rFonts w:ascii="Times New Roman" w:hAnsi="Times New Roman"/>
          <w:sz w:val="24"/>
        </w:rPr>
        <w:t>said</w:t>
      </w:r>
      <w:r w:rsidRPr="00244369">
        <w:rPr>
          <w:rFonts w:ascii="Times New Roman" w:hAnsi="Times New Roman"/>
          <w:sz w:val="24"/>
        </w:rPr>
        <w:t xml:space="preserve"> that EPA’s proposed information disclosure requirements may conflict with existing DHS regulations restricting the disclosure of Chemical Terrorism-Vulnerability Information (CTVI) (0267). Another one of the commenters encouraged EPA to work closely with DHS and Cybersecurity and Infrastructure Security Agency to limit the potential release of sensitive information (0158).</w:t>
      </w:r>
    </w:p>
    <w:p w:rsidR="00021D11" w:rsidRPr="006F68E9" w:rsidP="00021D11" w14:paraId="09986834" w14:textId="77777777">
      <w:pPr>
        <w:rPr>
          <w:rFonts w:ascii="Times New Roman" w:hAnsi="Times New Roman"/>
          <w:sz w:val="24"/>
        </w:rPr>
      </w:pPr>
      <w:r w:rsidRPr="006F68E9">
        <w:rPr>
          <w:rFonts w:ascii="Times New Roman" w:hAnsi="Times New Roman"/>
          <w:sz w:val="24"/>
        </w:rPr>
        <w:t xml:space="preserve">Some commenters requested that EPA and DHS better coordinate their efforts to safeguard sensitive chemical hazard information as the information availability components in EPA’s proposal create several security vulnerabilities that are at odds with DHS initiatives, such as Chemical Facility Anti-Terrorism Standards (CFATS) program (0180, 0205, 0217, 0226, 0233, 0234, 0237, 0458). One commenter </w:t>
      </w:r>
      <w:r>
        <w:rPr>
          <w:rFonts w:ascii="Times New Roman" w:hAnsi="Times New Roman"/>
          <w:sz w:val="24"/>
        </w:rPr>
        <w:t>stated</w:t>
      </w:r>
      <w:r w:rsidRPr="006F68E9">
        <w:rPr>
          <w:rFonts w:ascii="Times New Roman" w:hAnsi="Times New Roman"/>
          <w:sz w:val="24"/>
        </w:rPr>
        <w:t xml:space="preserve"> that the categories of information that EPA proposes to require facilities to disclose publicly under the § 68.210 overlap substantially with the categories of information that are protected under CFATS and there is no evidence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or supporting materials that EPA has coordinated with DHS on this potential inconsistency (0233).</w:t>
      </w:r>
    </w:p>
    <w:p w:rsidR="00021D11" w:rsidP="00021D11" w14:paraId="36E24791" w14:textId="77777777">
      <w:pPr>
        <w:rPr>
          <w:rFonts w:ascii="Times New Roman" w:hAnsi="Times New Roman"/>
          <w:sz w:val="24"/>
        </w:rPr>
      </w:pPr>
      <w:r>
        <w:rPr>
          <w:rFonts w:ascii="Times New Roman" w:hAnsi="Times New Roman"/>
          <w:sz w:val="24"/>
        </w:rPr>
        <w:t>One</w:t>
      </w:r>
      <w:r w:rsidRPr="00B74EC4">
        <w:rPr>
          <w:rFonts w:ascii="Times New Roman" w:hAnsi="Times New Roman"/>
          <w:sz w:val="24"/>
        </w:rPr>
        <w:t xml:space="preserve"> commenter </w:t>
      </w:r>
      <w:r w:rsidRPr="00D10975">
        <w:rPr>
          <w:rFonts w:ascii="Times New Roman" w:hAnsi="Times New Roman"/>
          <w:sz w:val="24"/>
        </w:rPr>
        <w:t>added that other federal agencies opposed these requirements, citing security concerns detailed on a 2000 report issued by the DOJ (0239). A couple of commenters stated that other federal agencies raised security</w:t>
      </w:r>
      <w:r w:rsidRPr="00B74EC4">
        <w:rPr>
          <w:rFonts w:ascii="Times New Roman" w:hAnsi="Times New Roman"/>
          <w:sz w:val="24"/>
        </w:rPr>
        <w:t xml:space="preserve"> concerns with the proposed disclosure requirements during interagency review (0268, 0272).</w:t>
      </w:r>
    </w:p>
    <w:p w:rsidR="00021D11" w:rsidP="00021D11" w14:paraId="21E053C1" w14:textId="52CBA66C">
      <w:pPr>
        <w:ind w:left="720"/>
        <w:rPr>
          <w:rFonts w:ascii="Times New Roman" w:hAnsi="Times New Roman"/>
          <w:sz w:val="24"/>
        </w:rPr>
      </w:pPr>
      <w:r w:rsidRPr="00FC6E29">
        <w:rPr>
          <w:rFonts w:ascii="Times New Roman" w:hAnsi="Times New Roman"/>
          <w:b/>
          <w:bCs/>
          <w:sz w:val="24"/>
        </w:rPr>
        <w:t>EPA Response:</w:t>
      </w:r>
      <w:r w:rsidRPr="007122C8">
        <w:rPr>
          <w:rFonts w:ascii="Times New Roman" w:hAnsi="Times New Roman"/>
          <w:sz w:val="24"/>
        </w:rPr>
        <w:t xml:space="preserve"> EPA believes the information disclosures required by the final rule are fully consistent with the statutes and regulatory programs identified by the commenters as enacted after the 1990 CAA Amendments. For example, CSISSFRRA specified that portions of RMPs containing “offsite consequence analysis information” (OCA </w:t>
      </w:r>
      <w:r w:rsidRPr="007122C8">
        <w:rPr>
          <w:rFonts w:ascii="Times New Roman" w:hAnsi="Times New Roman"/>
          <w:sz w:val="24"/>
        </w:rPr>
        <w:t xml:space="preserve">Information), any electronic data base created from those portions, and any statewide or national ranking derived from such information is subject to restrictions on disclosure under CAA sections 112(r)(7)(H)(i)(III) and 112(r)(7)(H)(v). Regulations jointly promulgated by EPA and the DOJ further define OCA Information in 40 CFR 1400.2(j). The final rule will not require disclosure of release scenarios or rankings based on such scenarios, nor will it make available any information based on such scenarios. </w:t>
      </w:r>
      <w:r w:rsidRPr="260A984B" w:rsidR="2A8DCF15">
        <w:rPr>
          <w:rFonts w:ascii="Times New Roman" w:hAnsi="Times New Roman"/>
          <w:sz w:val="24"/>
        </w:rPr>
        <w:t>T</w:t>
      </w:r>
      <w:r w:rsidRPr="260A984B" w:rsidR="3FB4197D">
        <w:rPr>
          <w:rFonts w:ascii="Times New Roman" w:hAnsi="Times New Roman"/>
          <w:sz w:val="24"/>
        </w:rPr>
        <w:t>he</w:t>
      </w:r>
      <w:r w:rsidRPr="007122C8">
        <w:rPr>
          <w:rFonts w:ascii="Times New Roman" w:hAnsi="Times New Roman"/>
          <w:sz w:val="24"/>
        </w:rPr>
        <w:t xml:space="preserve"> C</w:t>
      </w:r>
      <w:r w:rsidR="00BB4327">
        <w:rPr>
          <w:rFonts w:ascii="Times New Roman" w:hAnsi="Times New Roman"/>
          <w:sz w:val="24"/>
        </w:rPr>
        <w:t>ritical Infrastructure Information Act</w:t>
      </w:r>
      <w:r w:rsidRPr="007122C8">
        <w:rPr>
          <w:rFonts w:ascii="Times New Roman" w:hAnsi="Times New Roman"/>
          <w:sz w:val="24"/>
        </w:rPr>
        <w:t xml:space="preserve"> restricts information “not customarily in the public domain.” Further, CFATS creates a category of information, CVI, which protects certain information submitted to DHS and necessary to implement CFATS (see 6 CFR 27.400). In promulgating CFATS, DHS announced its intent to preserve Federal release disclosure, emergency planning, and accident prevention statutes, including EPCRA and CAA section 112(r) (see 72 FR. 17714; April 9, 2007). In this final rule, EPA creates no tension between after-enacted programs and enhancement of the RMP. The information that the final rule requires facilities to disclose largely draws on information otherwise in the public domain and simplifies the public’s access to it. EPA has acknowledged that there would be some value to assembling a centralized, anonymously accessible government database of already-public information relevant to identifying and prioritizing facilities for potential impacts. However, this final rule does not create a central database of the information required to be disclosed, nor does it permit anonymous access. The limits on disclosure and access are important steps to minimize security risks. </w:t>
      </w:r>
      <w:r w:rsidRPr="260A984B" w:rsidR="6015E845">
        <w:rPr>
          <w:rFonts w:ascii="Times New Roman" w:hAnsi="Times New Roman"/>
          <w:sz w:val="24"/>
        </w:rPr>
        <w:t xml:space="preserve">During the development and finalization of the information disclosure provisions, </w:t>
      </w:r>
      <w:r w:rsidRPr="260A984B" w:rsidR="3FB4197D">
        <w:rPr>
          <w:rFonts w:ascii="Times New Roman" w:hAnsi="Times New Roman"/>
          <w:sz w:val="24"/>
        </w:rPr>
        <w:t xml:space="preserve">EPA has </w:t>
      </w:r>
      <w:r w:rsidRPr="007122C8">
        <w:rPr>
          <w:rFonts w:ascii="Times New Roman" w:hAnsi="Times New Roman"/>
          <w:sz w:val="24"/>
        </w:rPr>
        <w:t>coordinated with both the DHS Cybersecurity &amp; Infrastructure Security Agency (CISA) which manages the CFATS program and the FBI</w:t>
      </w:r>
      <w:r>
        <w:rPr>
          <w:rStyle w:val="FootnoteReference"/>
          <w:rFonts w:ascii="Times New Roman" w:hAnsi="Times New Roman"/>
          <w:sz w:val="24"/>
        </w:rPr>
        <w:footnoteReference w:id="174"/>
      </w:r>
      <w:r w:rsidRPr="007122C8">
        <w:rPr>
          <w:rFonts w:ascii="Times New Roman" w:hAnsi="Times New Roman"/>
          <w:sz w:val="24"/>
        </w:rPr>
        <w:t xml:space="preserve"> in order to take steps that will balance accident prevention and security interests. </w:t>
      </w:r>
    </w:p>
    <w:p w:rsidR="00021D11" w:rsidRPr="006805A7" w:rsidP="00021D11" w14:paraId="35F9D0EE" w14:textId="77777777">
      <w:pPr>
        <w:ind w:left="720"/>
        <w:rPr>
          <w:rFonts w:ascii="Times New Roman" w:hAnsi="Times New Roman"/>
          <w:sz w:val="24"/>
        </w:rPr>
      </w:pPr>
      <w:r w:rsidRPr="006805A7">
        <w:rPr>
          <w:rFonts w:ascii="Times New Roman" w:hAnsi="Times New Roman"/>
          <w:sz w:val="24"/>
        </w:rPr>
        <w:t>There exists no publicly available database of intentional acts upon the chemical process industries in the United States. In a 2021 study, researchers attempted to compile a database of such incidents, finding documentation of 84 incidents in the chemical and petrochemical industries.</w:t>
      </w:r>
      <w:r>
        <w:rPr>
          <w:rStyle w:val="FootnoteReference"/>
          <w:rFonts w:ascii="Times New Roman" w:hAnsi="Times New Roman"/>
          <w:color w:val="000000" w:themeColor="text1"/>
          <w:sz w:val="24"/>
        </w:rPr>
        <w:footnoteReference w:id="175"/>
      </w:r>
      <w:r w:rsidRPr="006805A7">
        <w:rPr>
          <w:rFonts w:ascii="Times New Roman" w:hAnsi="Times New Roman"/>
          <w:sz w:val="24"/>
        </w:rPr>
        <w:t xml:space="preserve"> </w:t>
      </w:r>
      <w:r>
        <w:rPr>
          <w:rStyle w:val="FootnoteReference"/>
          <w:rFonts w:ascii="Times New Roman" w:hAnsi="Times New Roman"/>
          <w:color w:val="000000" w:themeColor="text1"/>
          <w:sz w:val="24"/>
        </w:rPr>
        <w:footnoteReference w:id="176"/>
      </w:r>
      <w:r w:rsidRPr="006805A7">
        <w:rPr>
          <w:rFonts w:ascii="Times New Roman" w:hAnsi="Times New Roman"/>
          <w:sz w:val="24"/>
        </w:rPr>
        <w:t xml:space="preserve"> Root cause data on these incidents, which are not available, would be needed to determine if availability of information on the facility contributed to terrorist incidents, which were second to cybersecurity incidents as the most frequent overall cause. According to the database, no terrorist event in the process industries (excluding transportation and pipelines) has occurred in North America after the 1970s.</w:t>
      </w:r>
      <w:r>
        <w:rPr>
          <w:rStyle w:val="FootnoteReference"/>
          <w:rFonts w:ascii="Times New Roman" w:hAnsi="Times New Roman"/>
          <w:color w:val="000000" w:themeColor="text1"/>
          <w:sz w:val="24"/>
        </w:rPr>
        <w:footnoteReference w:id="177"/>
      </w:r>
      <w:r w:rsidRPr="006805A7">
        <w:rPr>
          <w:rFonts w:ascii="Times New Roman" w:hAnsi="Times New Roman"/>
          <w:sz w:val="24"/>
        </w:rPr>
        <w:t xml:space="preserve"> However, a lack of incidents may result from the safeguards currently in place. DHS promulgated CFATS in accordance with the Homeland Security Appropriations Act of 2007, owing to insufficient security at industrial facilities. In promulgating CFATS, DHS did not intend for information created under CAA section 112(r) to constitute “Chemical-terrorism Vulnerability Information,” which is sensitive </w:t>
      </w:r>
      <w:r w:rsidRPr="006805A7">
        <w:rPr>
          <w:rFonts w:ascii="Times New Roman" w:hAnsi="Times New Roman"/>
          <w:sz w:val="24"/>
        </w:rPr>
        <w:t>information pursuant to CFATS requirements (72 FR 17714). EPA routinely coordinates with DHS as part of the Chemical Facility Security and Safety Working Group and commits to working with DHS to find regulatory solutions that balance community right-to-know with security concerns.</w:t>
      </w:r>
    </w:p>
    <w:p w:rsidR="00021D11" w:rsidP="00021D11" w14:paraId="4BD10EAE" w14:textId="77777777">
      <w:pPr>
        <w:ind w:left="720"/>
        <w:rPr>
          <w:rFonts w:ascii="Times New Roman" w:hAnsi="Times New Roman"/>
          <w:sz w:val="24"/>
        </w:rPr>
      </w:pPr>
      <w:r w:rsidRPr="006805A7">
        <w:rPr>
          <w:rFonts w:ascii="Times New Roman" w:hAnsi="Times New Roman"/>
          <w:sz w:val="24"/>
        </w:rPr>
        <w:t>Accidental releases occur much more often than intentional events (about 100 per year using EPA RMP-reportable accidents). Pre-incident information, such as the locations of facilities and potential disasters, allows communities to be more prepared for disasters,</w:t>
      </w:r>
      <w:r>
        <w:rPr>
          <w:rStyle w:val="FootnoteReference"/>
          <w:rFonts w:ascii="Times New Roman" w:hAnsi="Times New Roman"/>
          <w:color w:val="000000" w:themeColor="text1"/>
          <w:sz w:val="24"/>
        </w:rPr>
        <w:footnoteReference w:id="178"/>
      </w:r>
      <w:r w:rsidRPr="006805A7">
        <w:rPr>
          <w:rFonts w:ascii="Times New Roman" w:hAnsi="Times New Roman"/>
          <w:sz w:val="24"/>
        </w:rPr>
        <w:t xml:space="preserve"> which DOJ also recognized in its 2000 risk assessment.</w:t>
      </w:r>
      <w:r>
        <w:rPr>
          <w:rStyle w:val="FootnoteReference"/>
          <w:rFonts w:ascii="Times New Roman" w:hAnsi="Times New Roman"/>
          <w:color w:val="000000" w:themeColor="text1"/>
          <w:sz w:val="24"/>
        </w:rPr>
        <w:footnoteReference w:id="179"/>
      </w:r>
      <w:r w:rsidRPr="006805A7">
        <w:rPr>
          <w:rFonts w:ascii="Times New Roman" w:hAnsi="Times New Roman"/>
          <w:sz w:val="24"/>
        </w:rPr>
        <w:t xml:space="preserve"> With over 20 years of data now, EPA has based many of the finalized provisions on prior accident information. EPA acknowledges that the Agency must consider whether some non-OCA data elements, or combinations of elements, may not be suitable for public release and should be restricted based on potential security risks. EPA has been and will continue to work with DHS, DOJ, and other Federal partners on identifying these risks. </w:t>
      </w:r>
    </w:p>
    <w:p w:rsidR="00021D11" w:rsidRPr="002464A2" w:rsidP="00021D11" w14:paraId="2E2D0958" w14:textId="77777777">
      <w:pPr>
        <w:ind w:left="720"/>
        <w:rPr>
          <w:rFonts w:ascii="Times New Roman" w:hAnsi="Times New Roman"/>
          <w:sz w:val="24"/>
        </w:rPr>
      </w:pPr>
      <w:r w:rsidRPr="002464A2">
        <w:rPr>
          <w:rFonts w:ascii="Times New Roman" w:hAnsi="Times New Roman"/>
          <w:sz w:val="24"/>
        </w:rPr>
        <w:t xml:space="preserve">Commenters have referred to certain comments from other agencies in connection with drafts of prior RMP rulemakings. The cited material appeared in the docket as required by CAA section 307(d)(4)(B)(ii). Such material is explicitly excluded from the record for judicial review under CAA section 307(d)(7)(A). The introduction of this material into the record by these commenters is an attempt to avoid the exclusion under CAA section 307(d)(7)(A). Moreover, the comments addressed early stages of the rules that prior Administrators signed, and not the versions of prior proposed and final rules that were published, and do not reflect the ultimate positions of sister agencies with respect to what was published. </w:t>
      </w:r>
    </w:p>
    <w:p w:rsidR="00A7453A" w:rsidP="00021D11" w14:paraId="75DDDB4F" w14:textId="775B0F79">
      <w:pPr>
        <w:rPr>
          <w:rFonts w:ascii="Times New Roman" w:hAnsi="Times New Roman"/>
          <w:sz w:val="24"/>
        </w:rPr>
      </w:pPr>
      <w:r w:rsidRPr="002464A2">
        <w:rPr>
          <w:rFonts w:ascii="Times New Roman" w:hAnsi="Times New Roman"/>
          <w:sz w:val="24"/>
        </w:rPr>
        <w:t>Regarding concerns that the 2000 DOJ report is in conflict with the information availability requirements, EPA believes the 6-mile radius provision ensures that, even if community members obtain information related to OCA data, it would require a difficult nationwide-coordinated effort among people within six miles of each facility to create the type of online database described in DOJ’s report. The provisions simply require RMP facilities to provide their chemical hazard information to communities within a 6-mile radius of the facility, when previously they were not required to</w:t>
      </w:r>
      <w:r w:rsidRPr="260A984B" w:rsidR="0FBB9D34">
        <w:rPr>
          <w:rFonts w:ascii="Times New Roman" w:hAnsi="Times New Roman"/>
          <w:sz w:val="24"/>
        </w:rPr>
        <w:t xml:space="preserve"> </w:t>
      </w:r>
      <w:r>
        <w:rPr>
          <w:rFonts w:ascii="Times New Roman" w:hAnsi="Times New Roman"/>
          <w:sz w:val="24"/>
        </w:rPr>
        <w:t xml:space="preserve">do so </w:t>
      </w:r>
      <w:r w:rsidRPr="260A984B" w:rsidR="0FBB9D34">
        <w:rPr>
          <w:rFonts w:ascii="Times New Roman" w:hAnsi="Times New Roman"/>
          <w:sz w:val="24"/>
        </w:rPr>
        <w:t>directly</w:t>
      </w:r>
      <w:r w:rsidRPr="260A984B" w:rsidR="3FB4197D">
        <w:rPr>
          <w:rFonts w:ascii="Times New Roman" w:hAnsi="Times New Roman"/>
          <w:sz w:val="24"/>
        </w:rPr>
        <w:t>.</w:t>
      </w:r>
      <w:r w:rsidRPr="002464A2">
        <w:rPr>
          <w:rFonts w:ascii="Times New Roman" w:hAnsi="Times New Roman"/>
          <w:sz w:val="24"/>
        </w:rPr>
        <w:t xml:space="preserve"> </w:t>
      </w:r>
    </w:p>
    <w:p w:rsidR="00021D11" w:rsidRPr="005D16B3" w:rsidP="00021D11" w14:paraId="093A49E6" w14:textId="1F8CC13C">
      <w:pPr>
        <w:rPr>
          <w:rFonts w:ascii="Times New Roman" w:hAnsi="Times New Roman"/>
          <w:i/>
          <w:sz w:val="24"/>
        </w:rPr>
      </w:pPr>
      <w:r w:rsidRPr="005D16B3">
        <w:rPr>
          <w:rFonts w:ascii="Times New Roman" w:hAnsi="Times New Roman"/>
          <w:i/>
          <w:sz w:val="24"/>
        </w:rPr>
        <w:t xml:space="preserve">Comments expressing a lack of security concerns about the proposed information availability requirements </w:t>
      </w:r>
    </w:p>
    <w:p w:rsidR="00021D11" w:rsidP="00021D11" w14:paraId="1C31C3E4" w14:textId="77777777">
      <w:pPr>
        <w:rPr>
          <w:rFonts w:ascii="Times New Roman" w:hAnsi="Times New Roman"/>
          <w:sz w:val="24"/>
        </w:rPr>
      </w:pPr>
      <w:r>
        <w:rPr>
          <w:rFonts w:ascii="Times New Roman" w:hAnsi="Times New Roman"/>
          <w:b/>
          <w:bCs/>
          <w:sz w:val="24"/>
        </w:rPr>
        <w:t xml:space="preserve">Comment 13.4-05: </w:t>
      </w:r>
      <w:r w:rsidRPr="00C467F5">
        <w:rPr>
          <w:rFonts w:ascii="Times New Roman" w:hAnsi="Times New Roman"/>
          <w:sz w:val="24"/>
        </w:rPr>
        <w:t xml:space="preserve">A few commenters stated that there is no evidence that increasing information availability leads to security issues (0241, 0444). Another commenter </w:t>
      </w:r>
      <w:r>
        <w:rPr>
          <w:rFonts w:ascii="Times New Roman" w:hAnsi="Times New Roman"/>
          <w:sz w:val="24"/>
        </w:rPr>
        <w:t>stated</w:t>
      </w:r>
      <w:r w:rsidRPr="00C467F5">
        <w:rPr>
          <w:rFonts w:ascii="Times New Roman" w:hAnsi="Times New Roman"/>
          <w:sz w:val="24"/>
        </w:rPr>
        <w:t xml:space="preserve"> that there is no evidence that community members have caused a chemical disaster or that they pose any security risk. The commenter stated that a valuable way to address any security risks are to provide full public transparency and give facilities more incentive to prevent disasters by reducing or minimizing hazards up front (0460).</w:t>
      </w:r>
    </w:p>
    <w:p w:rsidR="00021D11" w:rsidP="00021D11" w14:paraId="3C34B24F" w14:textId="77777777">
      <w:pPr>
        <w:rPr>
          <w:rFonts w:ascii="Times New Roman" w:hAnsi="Times New Roman"/>
          <w:sz w:val="24"/>
        </w:rPr>
      </w:pPr>
      <w:r w:rsidRPr="006F68E9">
        <w:rPr>
          <w:rFonts w:ascii="Times New Roman" w:hAnsi="Times New Roman"/>
          <w:sz w:val="24"/>
        </w:rPr>
        <w:t xml:space="preserve">Another commenter stated that there is a right-to-know and that there is no evidence that the ability of LEPCs to obtain information has ever resulted in a “security” related incident at a facility (0241). </w:t>
      </w:r>
    </w:p>
    <w:p w:rsidR="00021D11" w:rsidP="00021D11" w14:paraId="4CA9482E" w14:textId="77777777">
      <w:pPr>
        <w:rPr>
          <w:rFonts w:ascii="Times New Roman" w:hAnsi="Times New Roman"/>
          <w:sz w:val="24"/>
        </w:rPr>
      </w:pPr>
      <w:r w:rsidRPr="002C32E4">
        <w:rPr>
          <w:rFonts w:ascii="Times New Roman" w:hAnsi="Times New Roman"/>
          <w:color w:val="000000" w:themeColor="text1"/>
          <w:sz w:val="24"/>
        </w:rPr>
        <w:t xml:space="preserve">One commenter </w:t>
      </w:r>
      <w:r>
        <w:rPr>
          <w:rFonts w:ascii="Times New Roman" w:hAnsi="Times New Roman"/>
          <w:color w:val="000000" w:themeColor="text1"/>
          <w:sz w:val="24"/>
        </w:rPr>
        <w:t>said</w:t>
      </w:r>
      <w:r w:rsidRPr="002C32E4">
        <w:rPr>
          <w:rFonts w:ascii="Times New Roman" w:hAnsi="Times New Roman"/>
          <w:color w:val="000000" w:themeColor="text1"/>
          <w:sz w:val="24"/>
        </w:rPr>
        <w:t xml:space="preserve"> that</w:t>
      </w:r>
      <w:r w:rsidRPr="002C32E4">
        <w:rPr>
          <w:rFonts w:ascii="Times New Roman" w:hAnsi="Times New Roman"/>
          <w:sz w:val="24"/>
        </w:rPr>
        <w:t xml:space="preserve"> eliminating chemical hazards and reducing risks present at industrial chemical facilities will not only prevent disasters in the event of an accident but will also prevent and reduce harm in the event of an intentional act, such as a cyberattack (0456).</w:t>
      </w:r>
    </w:p>
    <w:p w:rsidR="00021D11" w:rsidRPr="002C32E4" w:rsidP="00021D11" w14:paraId="1542F17E" w14:textId="77777777">
      <w:pPr>
        <w:rPr>
          <w:rFonts w:ascii="Times New Roman" w:hAnsi="Times New Roman"/>
          <w:sz w:val="24"/>
        </w:rPr>
      </w:pPr>
      <w:r w:rsidRPr="006F68E9">
        <w:rPr>
          <w:rFonts w:ascii="Times New Roman" w:hAnsi="Times New Roman"/>
          <w:sz w:val="24"/>
        </w:rPr>
        <w:t xml:space="preserve">One commenter cited that EPA points to no evidence that improved disclosure of chemical hazard information will lead to security issues. The commenter added that EPA should improve information access to prevent accidental releases to the maximum extent practicable (0444). </w:t>
      </w:r>
    </w:p>
    <w:p w:rsidR="00AC0C51" w:rsidP="00CB670B" w14:paraId="3BB6941A" w14:textId="77777777">
      <w:pPr>
        <w:ind w:left="720"/>
        <w:rPr>
          <w:rFonts w:ascii="Times New Roman" w:hAnsi="Times New Roman"/>
          <w:b/>
          <w:bCs/>
          <w:sz w:val="24"/>
        </w:rPr>
      </w:pPr>
      <w:r w:rsidRPr="00CB670B">
        <w:rPr>
          <w:rFonts w:ascii="Times New Roman" w:hAnsi="Times New Roman"/>
          <w:b/>
          <w:bCs/>
          <w:sz w:val="24"/>
        </w:rPr>
        <w:t>EPA Response:</w:t>
      </w:r>
      <w:r w:rsidRPr="00D10975">
        <w:rPr>
          <w:rFonts w:ascii="Times New Roman" w:hAnsi="Times New Roman"/>
          <w:b/>
          <w:bCs/>
          <w:sz w:val="24"/>
        </w:rPr>
        <w:t xml:space="preserve"> </w:t>
      </w:r>
      <w:r w:rsidRPr="00AC0C51" w:rsidR="00D1299D">
        <w:rPr>
          <w:rFonts w:ascii="Times New Roman" w:hAnsi="Times New Roman"/>
          <w:sz w:val="24"/>
        </w:rPr>
        <w:t>EPA also believes the current approach to notify the public that information is available upon request strikes an appropriate balance between various concerns, including information availability, community right-to-know, minimizing facility disclosure burden, and minimizing information security risks.</w:t>
      </w:r>
      <w:r>
        <w:rPr>
          <w:rFonts w:ascii="Times New Roman" w:hAnsi="Times New Roman"/>
          <w:b/>
          <w:bCs/>
          <w:sz w:val="24"/>
        </w:rPr>
        <w:t xml:space="preserve"> </w:t>
      </w:r>
    </w:p>
    <w:p w:rsidR="00E90B32" w:rsidRPr="00CB670B" w:rsidP="00CB670B" w14:paraId="3B55302E" w14:textId="65A9BCA3">
      <w:pPr>
        <w:ind w:left="720"/>
        <w:rPr>
          <w:rFonts w:ascii="Times New Roman" w:hAnsi="Times New Roman"/>
          <w:sz w:val="24"/>
        </w:rPr>
      </w:pPr>
      <w:r w:rsidRPr="00CB670B">
        <w:rPr>
          <w:rFonts w:ascii="Times New Roman" w:hAnsi="Times New Roman"/>
          <w:sz w:val="24"/>
        </w:rPr>
        <w:t>There exists no publicly available database of intentional acts upon the chemical process industries in the United States. In a 2021 study, researchers attempted to compile a database of such incidents, finding documentation of 84 incidents in the chemical and petrochemical industries.</w:t>
      </w:r>
      <w:r>
        <w:rPr>
          <w:rFonts w:ascii="Times New Roman" w:hAnsi="Times New Roman"/>
          <w:sz w:val="24"/>
          <w:vertAlign w:val="superscript"/>
        </w:rPr>
        <w:footnoteReference w:id="180"/>
      </w:r>
      <w:r w:rsidRPr="00CB670B">
        <w:rPr>
          <w:rFonts w:ascii="Times New Roman" w:hAnsi="Times New Roman"/>
          <w:sz w:val="24"/>
        </w:rPr>
        <w:t xml:space="preserve"> </w:t>
      </w:r>
      <w:r>
        <w:rPr>
          <w:rFonts w:ascii="Times New Roman" w:hAnsi="Times New Roman"/>
          <w:sz w:val="24"/>
          <w:vertAlign w:val="superscript"/>
        </w:rPr>
        <w:footnoteReference w:id="181"/>
      </w:r>
      <w:r w:rsidRPr="00CB670B">
        <w:rPr>
          <w:rFonts w:ascii="Times New Roman" w:hAnsi="Times New Roman"/>
          <w:sz w:val="24"/>
        </w:rPr>
        <w:t xml:space="preserve"> Root cause data on these incidents, which are not available, would be needed to determine if availability of information on the facility contributed to terrorist incidents, which were second to cybersecurity incidents as the most frequent overall cause. According to the database, no terrorist event in the process industries (excluding transportation and pipelines) has occurred in North America after the 1970s.</w:t>
      </w:r>
      <w:r>
        <w:rPr>
          <w:rFonts w:ascii="Times New Roman" w:hAnsi="Times New Roman"/>
          <w:sz w:val="24"/>
          <w:vertAlign w:val="superscript"/>
        </w:rPr>
        <w:footnoteReference w:id="182"/>
      </w:r>
      <w:r w:rsidRPr="00CB670B">
        <w:rPr>
          <w:rFonts w:ascii="Times New Roman" w:hAnsi="Times New Roman"/>
          <w:sz w:val="24"/>
        </w:rPr>
        <w:t xml:space="preserve"> However, a lack of incidents may result from the safeguards currently in place. DHS promulgated CFATS in accordance with the Homeland Security Appropriations Act of 2007, owing to insufficient security at industrial facilities. In promulgating CFATS, DHS did not intend for information created under CAA section 112(r) to constitute “Chemical-terrorism Vulnerability Information,” which is sensitive information pursuant to CFATS requirements (72 FR 17714). EPA routinely coordinates with DHS as part of the Chemical Facility Security and Safety Working Group and commits to working with DHS to find regulatory solutions that balance community right-to-know with security concerns.</w:t>
      </w:r>
    </w:p>
    <w:p w:rsidR="00021D11" w:rsidRPr="005D16B3" w:rsidP="00021D11" w14:paraId="13ED0E9F" w14:textId="6AEA6FFC">
      <w:pPr>
        <w:rPr>
          <w:rFonts w:ascii="Times New Roman" w:hAnsi="Times New Roman"/>
          <w:i/>
          <w:sz w:val="24"/>
        </w:rPr>
      </w:pPr>
      <w:r>
        <w:rPr>
          <w:rFonts w:ascii="Times New Roman" w:hAnsi="Times New Roman"/>
          <w:sz w:val="24"/>
        </w:rPr>
        <w:t>Furthermore, a</w:t>
      </w:r>
      <w:r w:rsidRPr="00E90B32" w:rsidR="00E90B32">
        <w:rPr>
          <w:rFonts w:ascii="Times New Roman" w:hAnsi="Times New Roman"/>
          <w:sz w:val="24"/>
        </w:rPr>
        <w:t>ccidental releases occur much more often than intentional events (about 100 per year using EPA RMP-reportable accidents). Pre-incident information, such as the locations of facilities and potential disasters, allows communities to be more prepared for disasters,</w:t>
      </w:r>
      <w:r>
        <w:rPr>
          <w:rFonts w:ascii="Times New Roman" w:hAnsi="Times New Roman"/>
          <w:sz w:val="24"/>
          <w:vertAlign w:val="superscript"/>
        </w:rPr>
        <w:footnoteReference w:id="183"/>
      </w:r>
      <w:r w:rsidRPr="00E90B32" w:rsidR="00E90B32">
        <w:rPr>
          <w:rFonts w:ascii="Times New Roman" w:hAnsi="Times New Roman"/>
          <w:sz w:val="24"/>
        </w:rPr>
        <w:t xml:space="preserve"> which </w:t>
      </w:r>
      <w:r w:rsidRPr="00E90B32" w:rsidR="00E90B32">
        <w:rPr>
          <w:rFonts w:ascii="Times New Roman" w:hAnsi="Times New Roman"/>
          <w:sz w:val="24"/>
        </w:rPr>
        <w:t>DOJ also recognized in its 2000 risk assessment.</w:t>
      </w:r>
      <w:r>
        <w:rPr>
          <w:rFonts w:ascii="Times New Roman" w:hAnsi="Times New Roman"/>
          <w:sz w:val="24"/>
          <w:vertAlign w:val="superscript"/>
        </w:rPr>
        <w:footnoteReference w:id="184"/>
      </w:r>
      <w:r w:rsidRPr="00E90B32" w:rsidR="00E90B32">
        <w:rPr>
          <w:rFonts w:ascii="Times New Roman" w:hAnsi="Times New Roman"/>
          <w:sz w:val="24"/>
        </w:rPr>
        <w:t xml:space="preserve"> </w:t>
      </w:r>
      <w:r w:rsidRPr="005D16B3">
        <w:rPr>
          <w:rFonts w:ascii="Times New Roman" w:hAnsi="Times New Roman"/>
          <w:i/>
          <w:sz w:val="24"/>
        </w:rPr>
        <w:t xml:space="preserve">Security concerns about specific data elements of the proposed information availability requirements </w:t>
      </w:r>
    </w:p>
    <w:p w:rsidR="00021D11" w:rsidRPr="00E22A9E" w:rsidP="00021D11" w14:paraId="0856A1F6" w14:textId="77777777">
      <w:pPr>
        <w:rPr>
          <w:rFonts w:ascii="Times New Roman" w:hAnsi="Times New Roman"/>
          <w:color w:val="000000" w:themeColor="text1"/>
          <w:sz w:val="24"/>
        </w:rPr>
      </w:pPr>
      <w:r w:rsidRPr="001C46E0">
        <w:rPr>
          <w:rFonts w:ascii="Times New Roman" w:hAnsi="Times New Roman"/>
          <w:b/>
          <w:bCs/>
          <w:sz w:val="24"/>
        </w:rPr>
        <w:t>Comment</w:t>
      </w:r>
      <w:r>
        <w:rPr>
          <w:rFonts w:ascii="Times New Roman" w:hAnsi="Times New Roman"/>
          <w:b/>
          <w:bCs/>
          <w:sz w:val="24"/>
        </w:rPr>
        <w:t xml:space="preserve"> 13.4-06</w:t>
      </w:r>
      <w:r w:rsidRPr="001C46E0">
        <w:rPr>
          <w:rFonts w:ascii="Times New Roman" w:hAnsi="Times New Roman"/>
          <w:b/>
          <w:bCs/>
          <w:sz w:val="24"/>
        </w:rPr>
        <w:t>:</w:t>
      </w:r>
      <w:r>
        <w:rPr>
          <w:rFonts w:ascii="Times New Roman" w:hAnsi="Times New Roman"/>
          <w:sz w:val="24"/>
        </w:rPr>
        <w:t xml:space="preserve"> </w:t>
      </w:r>
      <w:r w:rsidRPr="00E22A9E">
        <w:rPr>
          <w:rFonts w:ascii="Times New Roman" w:hAnsi="Times New Roman"/>
          <w:color w:val="000000" w:themeColor="text1"/>
          <w:sz w:val="24"/>
        </w:rPr>
        <w:t xml:space="preserve">Data elements </w:t>
      </w:r>
      <w:r>
        <w:rPr>
          <w:rFonts w:ascii="Times New Roman" w:hAnsi="Times New Roman"/>
          <w:color w:val="000000" w:themeColor="text1"/>
          <w:sz w:val="24"/>
        </w:rPr>
        <w:t>discussed</w:t>
      </w:r>
      <w:r w:rsidRPr="00E22A9E">
        <w:rPr>
          <w:rFonts w:ascii="Times New Roman" w:hAnsi="Times New Roman"/>
          <w:color w:val="000000" w:themeColor="text1"/>
          <w:sz w:val="24"/>
        </w:rPr>
        <w:t xml:space="preserve"> by commenters as posing security threats if released to the public, which the commenters argued should therefore not be disclosed, include:</w:t>
      </w:r>
    </w:p>
    <w:p w:rsidR="00021D11" w:rsidRPr="00E22A9E" w:rsidP="002F0A0E" w14:paraId="7E9016AE" w14:textId="7B990E8B">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 xml:space="preserve">chemical hazard information </w:t>
      </w:r>
      <w:r w:rsidRPr="006F68E9">
        <w:rPr>
          <w:rFonts w:ascii="Times New Roman" w:hAnsi="Times New Roman"/>
          <w:sz w:val="24"/>
        </w:rPr>
        <w:t>(</w:t>
      </w:r>
      <w:r>
        <w:rPr>
          <w:rFonts w:ascii="Times New Roman" w:hAnsi="Times New Roman"/>
          <w:sz w:val="24"/>
        </w:rPr>
        <w:t xml:space="preserve">0165, </w:t>
      </w:r>
      <w:r w:rsidRPr="006F68E9">
        <w:rPr>
          <w:rFonts w:ascii="Times New Roman" w:hAnsi="Times New Roman"/>
          <w:sz w:val="24"/>
        </w:rPr>
        <w:t>0180, 0205, 0217,</w:t>
      </w:r>
      <w:r>
        <w:rPr>
          <w:rFonts w:ascii="Times New Roman" w:hAnsi="Times New Roman"/>
          <w:sz w:val="24"/>
        </w:rPr>
        <w:t xml:space="preserve"> 0224,</w:t>
      </w:r>
      <w:r w:rsidRPr="006F68E9">
        <w:rPr>
          <w:rFonts w:ascii="Times New Roman" w:hAnsi="Times New Roman"/>
          <w:sz w:val="24"/>
        </w:rPr>
        <w:t xml:space="preserve"> 0226, 0233, 0234, 0237, 0458)</w:t>
      </w:r>
    </w:p>
    <w:p w:rsidR="00021D11" w:rsidRPr="00E22A9E" w:rsidP="002F0A0E" w14:paraId="78C319E1"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specific substance names and hazard characteristics (0201, 0215)</w:t>
      </w:r>
    </w:p>
    <w:p w:rsidR="00021D11" w:rsidRPr="00E22A9E" w:rsidP="002F0A0E" w14:paraId="6FC4B290"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names of regulated substances held in a process, SDSs, and any site-specific information (0215)</w:t>
      </w:r>
    </w:p>
    <w:p w:rsidR="00021D11" w:rsidRPr="00E22A9E" w:rsidP="002F0A0E" w14:paraId="680338D1"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information regarding hazardous substances on site (0224)</w:t>
      </w:r>
    </w:p>
    <w:p w:rsidR="00021D11" w:rsidP="002F0A0E" w14:paraId="5EA7A987"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storage location and transportation information (0201)</w:t>
      </w:r>
    </w:p>
    <w:p w:rsidR="00021D11" w:rsidRPr="00E22A9E" w:rsidP="002F0A0E" w14:paraId="611F86B1" w14:textId="77777777">
      <w:pPr>
        <w:pStyle w:val="ListParagraph"/>
        <w:numPr>
          <w:ilvl w:val="0"/>
          <w:numId w:val="7"/>
        </w:numPr>
        <w:rPr>
          <w:rFonts w:ascii="Times New Roman" w:hAnsi="Times New Roman"/>
          <w:color w:val="000000" w:themeColor="text1"/>
          <w:sz w:val="24"/>
        </w:rPr>
      </w:pPr>
      <w:r>
        <w:rPr>
          <w:rFonts w:ascii="Times New Roman" w:hAnsi="Times New Roman"/>
          <w:color w:val="000000" w:themeColor="text1"/>
          <w:sz w:val="24"/>
        </w:rPr>
        <w:t>offsite consequence analysis (0227, 0480)</w:t>
      </w:r>
    </w:p>
    <w:p w:rsidR="00021D11" w:rsidRPr="00E22A9E" w:rsidP="002F0A0E" w14:paraId="117F2EA9"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 xml:space="preserve">emergency response </w:t>
      </w:r>
      <w:r>
        <w:rPr>
          <w:rFonts w:ascii="Times New Roman" w:hAnsi="Times New Roman"/>
          <w:color w:val="000000" w:themeColor="text1"/>
          <w:sz w:val="24"/>
        </w:rPr>
        <w:t xml:space="preserve">plans and </w:t>
      </w:r>
      <w:r w:rsidRPr="00E22A9E">
        <w:rPr>
          <w:rFonts w:ascii="Times New Roman" w:hAnsi="Times New Roman"/>
          <w:color w:val="000000" w:themeColor="text1"/>
          <w:sz w:val="24"/>
        </w:rPr>
        <w:t xml:space="preserve">details (0201, 0227, </w:t>
      </w:r>
      <w:r>
        <w:rPr>
          <w:rFonts w:ascii="Times New Roman" w:hAnsi="Times New Roman"/>
          <w:color w:val="000000" w:themeColor="text1"/>
          <w:sz w:val="24"/>
        </w:rPr>
        <w:t xml:space="preserve">0224, </w:t>
      </w:r>
      <w:r w:rsidRPr="00E22A9E">
        <w:rPr>
          <w:rFonts w:ascii="Times New Roman" w:hAnsi="Times New Roman"/>
          <w:color w:val="000000" w:themeColor="text1"/>
          <w:sz w:val="24"/>
        </w:rPr>
        <w:t>0244)</w:t>
      </w:r>
    </w:p>
    <w:p w:rsidR="00021D11" w:rsidRPr="00E22A9E" w:rsidP="002F0A0E" w14:paraId="572DD49F"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audit reports and exercise schedules and summaries (0227)</w:t>
      </w:r>
    </w:p>
    <w:p w:rsidR="00021D11" w:rsidP="002F0A0E" w14:paraId="1442BFB1" w14:textId="77777777">
      <w:pPr>
        <w:pStyle w:val="ListParagraph"/>
        <w:numPr>
          <w:ilvl w:val="0"/>
          <w:numId w:val="7"/>
        </w:numPr>
        <w:rPr>
          <w:rFonts w:ascii="Times New Roman" w:hAnsi="Times New Roman"/>
          <w:color w:val="000000" w:themeColor="text1"/>
          <w:sz w:val="24"/>
        </w:rPr>
      </w:pPr>
      <w:r w:rsidRPr="00E22A9E">
        <w:rPr>
          <w:rFonts w:ascii="Times New Roman" w:hAnsi="Times New Roman"/>
          <w:color w:val="000000" w:themeColor="text1"/>
          <w:sz w:val="24"/>
        </w:rPr>
        <w:t>accident history (0215, 0224)</w:t>
      </w:r>
    </w:p>
    <w:p w:rsidR="00021D11" w:rsidRPr="009C20F5" w:rsidP="002F0A0E" w14:paraId="5FC09A4D" w14:textId="30195DC1">
      <w:pPr>
        <w:pStyle w:val="ListParagraph"/>
        <w:numPr>
          <w:ilvl w:val="0"/>
          <w:numId w:val="7"/>
        </w:numPr>
        <w:rPr>
          <w:rFonts w:ascii="Times New Roman" w:hAnsi="Times New Roman"/>
          <w:color w:val="000000" w:themeColor="text1"/>
          <w:sz w:val="24"/>
        </w:rPr>
      </w:pPr>
      <w:r>
        <w:rPr>
          <w:rFonts w:ascii="Times New Roman" w:hAnsi="Times New Roman"/>
          <w:color w:val="000000" w:themeColor="text1"/>
          <w:sz w:val="24"/>
        </w:rPr>
        <w:t>sensitive facility information (0207)</w:t>
      </w:r>
    </w:p>
    <w:p w:rsidR="00021D11" w:rsidP="00021D11" w14:paraId="7AEC743B" w14:textId="7F84B686">
      <w:pPr>
        <w:rPr>
          <w:rFonts w:ascii="Times New Roman" w:hAnsi="Times New Roman"/>
          <w:sz w:val="24"/>
        </w:rPr>
      </w:pPr>
      <w:r w:rsidRPr="00303936">
        <w:rPr>
          <w:rFonts w:ascii="Times New Roman" w:hAnsi="Times New Roman"/>
          <w:sz w:val="24"/>
        </w:rPr>
        <w:t xml:space="preserve">A couple of commenters also </w:t>
      </w:r>
      <w:r>
        <w:rPr>
          <w:rFonts w:ascii="Times New Roman" w:hAnsi="Times New Roman"/>
          <w:sz w:val="24"/>
        </w:rPr>
        <w:t>said</w:t>
      </w:r>
      <w:r w:rsidRPr="00303936">
        <w:rPr>
          <w:rFonts w:ascii="Times New Roman" w:hAnsi="Times New Roman"/>
          <w:sz w:val="24"/>
        </w:rPr>
        <w:t xml:space="preserve"> that specific substance names and hazard characteristics are of particular concern, including the following substances: chlorine, anhydrous ammonia, propane, and butane (0201, 0215). One of the commenters specifically discussed chlorine and that information related to its storage location, transportation information, or detailed information about how emergency responses are conducted should not be available (0201). </w:t>
      </w:r>
    </w:p>
    <w:p w:rsidR="00021D11" w:rsidP="00021D11" w14:paraId="5C33E9BA" w14:textId="77777777">
      <w:pPr>
        <w:rPr>
          <w:rFonts w:ascii="Times New Roman" w:hAnsi="Times New Roman"/>
          <w:sz w:val="24"/>
        </w:rPr>
      </w:pPr>
      <w:r w:rsidRPr="006F68E9">
        <w:rPr>
          <w:rFonts w:ascii="Times New Roman" w:hAnsi="Times New Roman"/>
          <w:sz w:val="24"/>
        </w:rPr>
        <w:t xml:space="preserve">In addition to accident history, one commenter </w:t>
      </w:r>
      <w:r>
        <w:rPr>
          <w:rFonts w:ascii="Times New Roman" w:hAnsi="Times New Roman"/>
          <w:sz w:val="24"/>
        </w:rPr>
        <w:t>stated</w:t>
      </w:r>
      <w:r w:rsidRPr="006F68E9">
        <w:rPr>
          <w:rFonts w:ascii="Times New Roman" w:hAnsi="Times New Roman"/>
          <w:sz w:val="24"/>
        </w:rPr>
        <w:t xml:space="preserve"> that information regarding hazardous substances </w:t>
      </w:r>
      <w:r w:rsidRPr="002823A2">
        <w:rPr>
          <w:rFonts w:ascii="Times New Roman" w:hAnsi="Times New Roman"/>
          <w:sz w:val="24"/>
        </w:rPr>
        <w:t>on site</w:t>
      </w:r>
      <w:r w:rsidRPr="006F68E9">
        <w:rPr>
          <w:rFonts w:ascii="Times New Roman" w:hAnsi="Times New Roman"/>
          <w:sz w:val="24"/>
        </w:rPr>
        <w:t xml:space="preserve"> and emergency response compliance poses security risks. The commenter requested that EPA remove this provision from the rule, or at minimum remove it as applied to entities in NAICS 2211 and 221210 responsible for generating, transmitting, and distributing power and natural gas to the public (0224). </w:t>
      </w:r>
    </w:p>
    <w:p w:rsidR="00021D11" w:rsidRPr="00303936" w:rsidP="00021D11" w14:paraId="4E9A6CCC" w14:textId="77777777">
      <w:pPr>
        <w:rPr>
          <w:rFonts w:ascii="Times New Roman" w:hAnsi="Times New Roman"/>
          <w:sz w:val="24"/>
        </w:rPr>
      </w:pPr>
      <w:r w:rsidRPr="00E22A9E">
        <w:rPr>
          <w:rFonts w:ascii="Times New Roman" w:hAnsi="Times New Roman"/>
          <w:sz w:val="24"/>
        </w:rPr>
        <w:t xml:space="preserve">One commenter stated that security sensitive information, such as OCA data, should only be publicly accessible through Federal Reading Rooms (0227). </w:t>
      </w:r>
    </w:p>
    <w:p w:rsidR="00294A97" w:rsidP="00021D11" w14:paraId="4F92DB89" w14:textId="0845734B">
      <w:pPr>
        <w:ind w:left="720"/>
        <w:rPr>
          <w:rFonts w:ascii="Times New Roman" w:hAnsi="Times New Roman"/>
          <w:sz w:val="24"/>
        </w:rPr>
      </w:pPr>
      <w:r w:rsidRPr="009C20F5">
        <w:rPr>
          <w:rFonts w:ascii="Times New Roman" w:hAnsi="Times New Roman"/>
          <w:b/>
          <w:bCs/>
          <w:sz w:val="24"/>
        </w:rPr>
        <w:t>EPA Response:</w:t>
      </w:r>
      <w:r w:rsidRPr="009C20F5">
        <w:rPr>
          <w:rFonts w:ascii="Times New Roman" w:hAnsi="Times New Roman"/>
          <w:sz w:val="24"/>
        </w:rPr>
        <w:t xml:space="preserve"> EPA agrees with commenters that suggested only information that could improve community awareness of risks should be made available to the public. </w:t>
      </w:r>
      <w:r w:rsidRPr="004A380D" w:rsidR="004E7B95">
        <w:rPr>
          <w:rFonts w:ascii="Times New Roman" w:hAnsi="Times New Roman"/>
          <w:sz w:val="24"/>
        </w:rPr>
        <w:t>EPA believes that this information should be more easily accessible to the public than the existing approaches to access</w:t>
      </w:r>
      <w:r w:rsidR="004E7B95">
        <w:rPr>
          <w:rFonts w:ascii="Times New Roman" w:hAnsi="Times New Roman"/>
          <w:sz w:val="24"/>
        </w:rPr>
        <w:t xml:space="preserve"> similar </w:t>
      </w:r>
      <w:r w:rsidRPr="004A380D" w:rsidR="004E7B95">
        <w:rPr>
          <w:rFonts w:ascii="Times New Roman" w:hAnsi="Times New Roman"/>
          <w:sz w:val="24"/>
        </w:rPr>
        <w:t>information under EPCRA</w:t>
      </w:r>
      <w:r w:rsidR="004E7B95">
        <w:rPr>
          <w:rFonts w:ascii="Times New Roman" w:hAnsi="Times New Roman"/>
          <w:sz w:val="24"/>
        </w:rPr>
        <w:t>, through</w:t>
      </w:r>
      <w:r w:rsidRPr="004A380D" w:rsidR="004E7B95">
        <w:rPr>
          <w:rFonts w:ascii="Times New Roman" w:hAnsi="Times New Roman"/>
          <w:sz w:val="24"/>
        </w:rPr>
        <w:t xml:space="preserve"> FOIA requests</w:t>
      </w:r>
      <w:r w:rsidR="004E7B95">
        <w:rPr>
          <w:rFonts w:ascii="Times New Roman" w:hAnsi="Times New Roman"/>
          <w:sz w:val="24"/>
        </w:rPr>
        <w:t>, or by viewing in a Federal Reading Room.</w:t>
      </w:r>
      <w:r>
        <w:rPr>
          <w:rStyle w:val="FootnoteReference"/>
          <w:rFonts w:ascii="Times New Roman" w:hAnsi="Times New Roman"/>
          <w:sz w:val="24"/>
        </w:rPr>
        <w:footnoteReference w:id="185"/>
      </w:r>
      <w:r w:rsidR="004E7B95">
        <w:rPr>
          <w:rFonts w:ascii="Times New Roman" w:hAnsi="Times New Roman"/>
          <w:sz w:val="24"/>
        </w:rPr>
        <w:t xml:space="preserve"> </w:t>
      </w:r>
      <w:r w:rsidRPr="009C20F5">
        <w:rPr>
          <w:rFonts w:ascii="Times New Roman" w:hAnsi="Times New Roman"/>
          <w:sz w:val="24"/>
        </w:rPr>
        <w:t xml:space="preserve">Having the source provide the information set out in 40 CFR 68.210 directly to the public promotes accident prevention by facilitating public participation at the local level. </w:t>
      </w:r>
    </w:p>
    <w:p w:rsidR="00021D11" w:rsidRPr="009C20F5" w:rsidP="00021D11" w14:paraId="154C9AFD" w14:textId="3D931B80">
      <w:pPr>
        <w:ind w:left="720"/>
        <w:rPr>
          <w:rFonts w:ascii="Times New Roman" w:hAnsi="Times New Roman"/>
          <w:sz w:val="24"/>
        </w:rPr>
      </w:pPr>
      <w:r w:rsidRPr="009C20F5">
        <w:rPr>
          <w:rFonts w:ascii="Times New Roman" w:hAnsi="Times New Roman"/>
          <w:sz w:val="24"/>
        </w:rPr>
        <w:t xml:space="preserve">It should be noted that EPA has been selective in identifying what information a source must make available; for example, the Agency will not require the facility to provide an entire RMP to the public. EPA believes the public has a substantial interest in knowing what chemicals are present in the community </w:t>
      </w:r>
      <w:r w:rsidR="00EC6526">
        <w:rPr>
          <w:rFonts w:ascii="Times New Roman" w:hAnsi="Times New Roman"/>
          <w:sz w:val="24"/>
        </w:rPr>
        <w:t>(</w:t>
      </w:r>
      <w:r w:rsidR="00AD70FB">
        <w:rPr>
          <w:rFonts w:ascii="Times New Roman" w:hAnsi="Times New Roman"/>
          <w:sz w:val="24"/>
        </w:rPr>
        <w:t xml:space="preserve">including </w:t>
      </w:r>
      <w:r w:rsidR="00CC6FA0">
        <w:rPr>
          <w:rFonts w:ascii="Times New Roman" w:hAnsi="Times New Roman"/>
          <w:sz w:val="24"/>
        </w:rPr>
        <w:t>regulated substan</w:t>
      </w:r>
      <w:r w:rsidR="003C3799">
        <w:rPr>
          <w:rFonts w:ascii="Times New Roman" w:hAnsi="Times New Roman"/>
          <w:sz w:val="24"/>
        </w:rPr>
        <w:t>ces</w:t>
      </w:r>
      <w:r w:rsidR="00CE4923">
        <w:rPr>
          <w:rFonts w:ascii="Times New Roman" w:hAnsi="Times New Roman"/>
          <w:sz w:val="24"/>
        </w:rPr>
        <w:t xml:space="preserve"> </w:t>
      </w:r>
      <w:r w:rsidR="007F034E">
        <w:rPr>
          <w:rFonts w:ascii="Times New Roman" w:hAnsi="Times New Roman"/>
          <w:sz w:val="24"/>
        </w:rPr>
        <w:t xml:space="preserve">such as chlorine, anhydrous ammonia, </w:t>
      </w:r>
      <w:r w:rsidR="00985E7B">
        <w:rPr>
          <w:rFonts w:ascii="Times New Roman" w:hAnsi="Times New Roman"/>
          <w:sz w:val="24"/>
        </w:rPr>
        <w:t>propane,</w:t>
      </w:r>
      <w:r w:rsidR="00EC6526">
        <w:rPr>
          <w:rFonts w:ascii="Times New Roman" w:hAnsi="Times New Roman"/>
          <w:sz w:val="24"/>
        </w:rPr>
        <w:t xml:space="preserve"> and butane</w:t>
      </w:r>
      <w:r w:rsidR="00AE7567">
        <w:rPr>
          <w:rFonts w:ascii="Times New Roman" w:hAnsi="Times New Roman"/>
          <w:sz w:val="24"/>
        </w:rPr>
        <w:t xml:space="preserve">, </w:t>
      </w:r>
      <w:r w:rsidR="00EB163D">
        <w:rPr>
          <w:rFonts w:ascii="Times New Roman" w:hAnsi="Times New Roman"/>
          <w:sz w:val="24"/>
        </w:rPr>
        <w:t xml:space="preserve">which are substances </w:t>
      </w:r>
      <w:r w:rsidR="00CE4923">
        <w:rPr>
          <w:rFonts w:ascii="Times New Roman" w:hAnsi="Times New Roman"/>
          <w:sz w:val="24"/>
        </w:rPr>
        <w:t xml:space="preserve">most </w:t>
      </w:r>
      <w:r w:rsidR="007F034E">
        <w:rPr>
          <w:rFonts w:ascii="Times New Roman" w:hAnsi="Times New Roman"/>
          <w:sz w:val="24"/>
        </w:rPr>
        <w:t xml:space="preserve">often present in RMP </w:t>
      </w:r>
      <w:r w:rsidR="00EB163D">
        <w:rPr>
          <w:rFonts w:ascii="Times New Roman" w:hAnsi="Times New Roman"/>
          <w:sz w:val="24"/>
        </w:rPr>
        <w:t>covered</w:t>
      </w:r>
      <w:r w:rsidR="007F034E">
        <w:rPr>
          <w:rFonts w:ascii="Times New Roman" w:hAnsi="Times New Roman"/>
          <w:sz w:val="24"/>
        </w:rPr>
        <w:t xml:space="preserve"> process</w:t>
      </w:r>
      <w:r w:rsidR="00EC6526">
        <w:rPr>
          <w:rFonts w:ascii="Times New Roman" w:hAnsi="Times New Roman"/>
          <w:sz w:val="24"/>
        </w:rPr>
        <w:t>)</w:t>
      </w:r>
      <w:r w:rsidRPr="009C20F5">
        <w:rPr>
          <w:rFonts w:ascii="Times New Roman" w:hAnsi="Times New Roman"/>
          <w:sz w:val="24"/>
        </w:rPr>
        <w:t xml:space="preserve"> and what it should do in the event of an accidental release involving facilities handling those chemicals. The public also has a substantial interest in having the opportunity to participate in an informed manner regarding emergency planning in its community. Facilitating access to information before an incident promotes more effective communication of information during responses to incidents, and thus promotes more effective response programs. (See the requirement in CAA section 112(r)(7)(B)(ii)(III) for response programs to address informing the public.) The public’s ability to participate in emergency planning and readiness is materially advanced by being better informed about accident history, types of chemicals present, and how to interact with the stationary source. Nevertheless, of the information options proposed, EPA acknowledges some security concerns with releasing information identifying actual upcoming dates of tabletop or field exercises. EPA is therefore requiring facilities to provide a list of exercises that will occur within the year, indicating that they will occur, rather than identifying the specific date they will occur. </w:t>
      </w:r>
    </w:p>
    <w:p w:rsidR="00F143F6" w:rsidRPr="009C20F5" w:rsidP="00021D11" w14:paraId="0BD25800" w14:textId="0AB24030">
      <w:pPr>
        <w:ind w:left="720"/>
        <w:rPr>
          <w:rFonts w:ascii="Times New Roman" w:hAnsi="Times New Roman"/>
          <w:sz w:val="24"/>
        </w:rPr>
      </w:pPr>
      <w:r w:rsidRPr="00F143F6">
        <w:rPr>
          <w:rFonts w:ascii="Times New Roman" w:hAnsi="Times New Roman"/>
          <w:sz w:val="24"/>
        </w:rPr>
        <w:t xml:space="preserve">In response to the </w:t>
      </w:r>
      <w:r>
        <w:rPr>
          <w:rFonts w:ascii="Times New Roman" w:hAnsi="Times New Roman"/>
          <w:sz w:val="24"/>
        </w:rPr>
        <w:t xml:space="preserve">specific </w:t>
      </w:r>
      <w:r w:rsidRPr="00F143F6">
        <w:rPr>
          <w:rFonts w:ascii="Times New Roman" w:hAnsi="Times New Roman"/>
          <w:sz w:val="24"/>
        </w:rPr>
        <w:t xml:space="preserve">comment that information related to storage location, transportation information, or detailed information about how emergency responses are conducted should not be available, EPA is not requiring facilities release that information, for chlorine or any other RMP regulated substance, for the information availability provisions finalized today.   </w:t>
      </w:r>
    </w:p>
    <w:p w:rsidR="00021D11" w:rsidRPr="00DF72F7" w:rsidP="00021D11" w14:paraId="2A58F77B" w14:textId="5FD6B6D5">
      <w:pPr>
        <w:ind w:left="720"/>
        <w:rPr>
          <w:rFonts w:ascii="Times New Roman" w:hAnsi="Times New Roman"/>
          <w:sz w:val="24"/>
        </w:rPr>
      </w:pPr>
      <w:r w:rsidRPr="009C20F5">
        <w:rPr>
          <w:rFonts w:ascii="Times New Roman" w:hAnsi="Times New Roman"/>
          <w:sz w:val="24"/>
        </w:rPr>
        <w:t xml:space="preserve">Although commenters did not explicitly request that the list of information required to be available upon request should include declined recommendations from new provisions, EPA is including this within the final rule. EPA intended this information to be available as the Agency indicated in the proposal that including this information in the RMP would ultimately enable the public to ensure facilities have conducted </w:t>
      </w:r>
      <w:r w:rsidRPr="00DF72F7">
        <w:rPr>
          <w:rFonts w:ascii="Times New Roman" w:hAnsi="Times New Roman"/>
          <w:sz w:val="24"/>
        </w:rPr>
        <w:t>appropriate evaluations to address potential hazards that can affect communities near facility fencelines. When local citizens have adequate information and knowledge about facility hazards, EPA believes that facility owners and operators may be motivated to further improve their safety in response to community pressure and oversight.</w:t>
      </w:r>
    </w:p>
    <w:p w:rsidR="00021D11" w:rsidRPr="00DF72F7" w:rsidP="00021D11" w14:paraId="2EBA4295" w14:textId="32D4A008">
      <w:pPr>
        <w:ind w:left="720"/>
        <w:rPr>
          <w:rFonts w:ascii="Times New Roman" w:hAnsi="Times New Roman"/>
          <w:sz w:val="24"/>
        </w:rPr>
      </w:pPr>
      <w:r w:rsidRPr="00DF72F7">
        <w:rPr>
          <w:rFonts w:ascii="Times New Roman" w:hAnsi="Times New Roman"/>
          <w:sz w:val="24"/>
        </w:rPr>
        <w:t>EPA is committed to safeguarding OCA information in accordance with requirements specified in the CSISSFRRA, which allows for any member of the public to access paper copies of OCA information for a limited number of facilities. This OCA information remains accessible to the public only in Federal Reading Rooms</w:t>
      </w:r>
      <w:r w:rsidR="000B273E">
        <w:rPr>
          <w:rFonts w:ascii="Times New Roman" w:hAnsi="Times New Roman"/>
          <w:sz w:val="24"/>
        </w:rPr>
        <w:t xml:space="preserve"> </w:t>
      </w:r>
      <w:r w:rsidRPr="000B273E" w:rsidR="000B273E">
        <w:rPr>
          <w:rFonts w:ascii="Times New Roman" w:hAnsi="Times New Roman"/>
          <w:sz w:val="24"/>
        </w:rPr>
        <w:t>or upon voluntary disclosure by the source itself. CAA section112(r)(7)(H)(v)(III)</w:t>
      </w:r>
      <w:r w:rsidRPr="00DF72F7">
        <w:rPr>
          <w:rFonts w:ascii="Times New Roman" w:hAnsi="Times New Roman"/>
          <w:sz w:val="24"/>
        </w:rPr>
        <w:t>.</w:t>
      </w:r>
      <w:r>
        <w:rPr>
          <w:rStyle w:val="FootnoteReference"/>
          <w:rFonts w:ascii="Times New Roman" w:hAnsi="Times New Roman"/>
          <w:color w:val="000000" w:themeColor="text1"/>
          <w:sz w:val="24"/>
        </w:rPr>
        <w:footnoteReference w:id="186"/>
      </w:r>
    </w:p>
    <w:p w:rsidR="00021D11" w:rsidRPr="005D16B3" w:rsidP="00021D11" w14:paraId="3A992845" w14:textId="77777777">
      <w:pPr>
        <w:rPr>
          <w:rFonts w:ascii="Times New Roman" w:hAnsi="Times New Roman"/>
          <w:i/>
          <w:sz w:val="24"/>
        </w:rPr>
      </w:pPr>
      <w:r w:rsidRPr="005D16B3">
        <w:rPr>
          <w:rFonts w:ascii="Times New Roman" w:hAnsi="Times New Roman"/>
          <w:i/>
          <w:sz w:val="24"/>
        </w:rPr>
        <w:t xml:space="preserve">Recommendations for improving security of the proposed information availability requirements </w:t>
      </w:r>
    </w:p>
    <w:p w:rsidR="00021D11" w:rsidP="00021D11" w14:paraId="20AAA640" w14:textId="77777777">
      <w:pPr>
        <w:rPr>
          <w:rFonts w:ascii="Times New Roman" w:hAnsi="Times New Roman"/>
          <w:sz w:val="24"/>
        </w:rPr>
      </w:pPr>
      <w:r w:rsidRPr="006F5223">
        <w:rPr>
          <w:rFonts w:ascii="Times New Roman" w:hAnsi="Times New Roman"/>
          <w:b/>
          <w:bCs/>
          <w:sz w:val="24"/>
        </w:rPr>
        <w:t>Comment</w:t>
      </w:r>
      <w:r>
        <w:rPr>
          <w:rFonts w:ascii="Times New Roman" w:hAnsi="Times New Roman"/>
          <w:b/>
          <w:bCs/>
          <w:sz w:val="24"/>
        </w:rPr>
        <w:t xml:space="preserve"> 13.4-08</w:t>
      </w:r>
      <w:r w:rsidRPr="006F5223">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A couple commenters stated that there is no adequate vetting system for facilities to confirm the identity of the requestor (0181, 0229).</w:t>
      </w:r>
      <w:r>
        <w:rPr>
          <w:rFonts w:ascii="Times New Roman" w:hAnsi="Times New Roman"/>
          <w:sz w:val="24"/>
        </w:rPr>
        <w:t xml:space="preserve"> </w:t>
      </w:r>
      <w:r w:rsidRPr="006F68E9">
        <w:rPr>
          <w:rFonts w:ascii="Times New Roman" w:hAnsi="Times New Roman"/>
          <w:sz w:val="24"/>
        </w:rPr>
        <w:t xml:space="preserve">Another commenter requested that EPA specify in the regulatory text that owners and operators may share the details of information </w:t>
      </w:r>
      <w:r w:rsidRPr="006F68E9">
        <w:rPr>
          <w:rFonts w:ascii="Times New Roman" w:hAnsi="Times New Roman"/>
          <w:sz w:val="24"/>
        </w:rPr>
        <w:t>requests with local responders and law enforcement as well as requiring residents to provide an explanation for their request (0244</w:t>
      </w:r>
      <w:r w:rsidRPr="2BDB19B2">
        <w:rPr>
          <w:rFonts w:ascii="Times New Roman" w:hAnsi="Times New Roman"/>
          <w:sz w:val="24"/>
        </w:rPr>
        <w:t>).</w:t>
      </w:r>
      <w:r w:rsidRPr="006F68E9">
        <w:rPr>
          <w:rFonts w:ascii="Times New Roman" w:hAnsi="Times New Roman"/>
          <w:sz w:val="24"/>
        </w:rPr>
        <w:t xml:space="preserve"> Another commenter expressed security concerns over verifying the information from the requestor (0229</w:t>
      </w:r>
      <w:r>
        <w:rPr>
          <w:rFonts w:ascii="Times New Roman" w:hAnsi="Times New Roman"/>
          <w:sz w:val="24"/>
        </w:rPr>
        <w:t>, 0232</w:t>
      </w:r>
      <w:r w:rsidRPr="006F68E9">
        <w:rPr>
          <w:rFonts w:ascii="Times New Roman" w:hAnsi="Times New Roman"/>
          <w:sz w:val="24"/>
        </w:rPr>
        <w:t>).</w:t>
      </w:r>
    </w:p>
    <w:p w:rsidR="00021D11" w:rsidP="00021D11" w14:paraId="4DB8AE28" w14:textId="77777777">
      <w:pPr>
        <w:rPr>
          <w:rFonts w:ascii="Times New Roman" w:eastAsia="Times New Roman" w:hAnsi="Times New Roman"/>
          <w:sz w:val="24"/>
        </w:rPr>
      </w:pPr>
      <w:r w:rsidRPr="006F68E9">
        <w:rPr>
          <w:rFonts w:ascii="Times New Roman" w:eastAsia="Times New Roman" w:hAnsi="Times New Roman"/>
          <w:sz w:val="24"/>
        </w:rPr>
        <w:t>One commenter recommended that anyone requesting information should be required to complete a mandatory background check before any information is shared (0238).</w:t>
      </w:r>
    </w:p>
    <w:p w:rsidR="00021D11" w:rsidRPr="006F68E9" w:rsidP="00021D11" w14:paraId="40FE0441" w14:textId="77777777">
      <w:pPr>
        <w:rPr>
          <w:rFonts w:ascii="Times New Roman" w:hAnsi="Times New Roman"/>
          <w:sz w:val="24"/>
        </w:rPr>
      </w:pPr>
      <w:r w:rsidRPr="006F68E9">
        <w:rPr>
          <w:rFonts w:ascii="Times New Roman" w:hAnsi="Times New Roman"/>
          <w:sz w:val="24"/>
        </w:rPr>
        <w:t xml:space="preserve">One commenter posed the following questions </w:t>
      </w:r>
      <w:r w:rsidRPr="006F68E9">
        <w:rPr>
          <w:rFonts w:ascii="Times New Roman" w:eastAsia="Times New Roman" w:hAnsi="Times New Roman"/>
          <w:sz w:val="24"/>
        </w:rPr>
        <w:t>(0220)</w:t>
      </w:r>
      <w:r w:rsidRPr="006F68E9">
        <w:rPr>
          <w:rFonts w:ascii="Times New Roman" w:hAnsi="Times New Roman"/>
          <w:sz w:val="24"/>
        </w:rPr>
        <w:t>:</w:t>
      </w:r>
    </w:p>
    <w:p w:rsidR="00021D11" w:rsidRPr="006F68E9" w:rsidP="00021D11" w14:paraId="6BF615A4" w14:textId="77777777">
      <w:pPr>
        <w:pStyle w:val="ListParagraph"/>
        <w:rPr>
          <w:rFonts w:ascii="Times New Roman" w:eastAsia="Times New Roman" w:hAnsi="Times New Roman"/>
          <w:sz w:val="24"/>
        </w:rPr>
      </w:pPr>
      <w:r w:rsidRPr="006F68E9">
        <w:rPr>
          <w:rFonts w:ascii="Times New Roman" w:eastAsia="Times New Roman" w:hAnsi="Times New Roman"/>
          <w:sz w:val="24"/>
        </w:rPr>
        <w:t>Would companies be required to validate the identity and home address of those who request information?</w:t>
      </w:r>
    </w:p>
    <w:p w:rsidR="00021D11" w:rsidRPr="006F68E9" w:rsidP="00021D11" w14:paraId="5AA92139" w14:textId="77777777">
      <w:pPr>
        <w:pStyle w:val="ListParagraph"/>
        <w:rPr>
          <w:rFonts w:ascii="Times New Roman" w:eastAsia="Times New Roman" w:hAnsi="Times New Roman"/>
          <w:sz w:val="24"/>
        </w:rPr>
      </w:pPr>
      <w:r w:rsidRPr="006F68E9">
        <w:rPr>
          <w:rFonts w:ascii="Times New Roman" w:eastAsia="Times New Roman" w:hAnsi="Times New Roman"/>
          <w:sz w:val="24"/>
        </w:rPr>
        <w:t>Would companies be required to keep records of the names and addresses of people who request the information? If so, would requestor names and addresses be public records? </w:t>
      </w:r>
    </w:p>
    <w:p w:rsidR="00021D11" w:rsidRPr="006F68E9" w:rsidP="00021D11" w14:paraId="256C703C" w14:textId="77777777">
      <w:pPr>
        <w:pStyle w:val="ListParagraph"/>
        <w:rPr>
          <w:rFonts w:ascii="Times New Roman" w:eastAsia="Times New Roman" w:hAnsi="Times New Roman"/>
          <w:sz w:val="24"/>
        </w:rPr>
      </w:pPr>
      <w:r w:rsidRPr="006F68E9">
        <w:rPr>
          <w:rFonts w:ascii="Times New Roman" w:eastAsia="Times New Roman" w:hAnsi="Times New Roman"/>
          <w:sz w:val="24"/>
        </w:rPr>
        <w:t>What if a person doesn’t want to make a direct request for fear of retaliation (including against family who work at an RMP facility)? </w:t>
      </w:r>
    </w:p>
    <w:p w:rsidR="00021D11" w:rsidRPr="006F68E9" w:rsidP="00021D11" w14:paraId="4C1A702F" w14:textId="77777777">
      <w:pPr>
        <w:pStyle w:val="ListParagraph"/>
        <w:rPr>
          <w:rFonts w:ascii="Times New Roman" w:eastAsia="Times New Roman" w:hAnsi="Times New Roman"/>
          <w:sz w:val="24"/>
        </w:rPr>
      </w:pPr>
      <w:r w:rsidRPr="006F68E9">
        <w:rPr>
          <w:rFonts w:ascii="Times New Roman" w:eastAsia="Times New Roman" w:hAnsi="Times New Roman"/>
          <w:sz w:val="24"/>
        </w:rPr>
        <w:t>How would a person who lives more than six miles from but works near an RMP facility obtain specified information? </w:t>
      </w:r>
    </w:p>
    <w:p w:rsidR="00021D11" w:rsidRPr="006F68E9" w:rsidP="00021D11" w14:paraId="2D4E925E" w14:textId="77777777">
      <w:pPr>
        <w:pStyle w:val="ListParagraph"/>
        <w:rPr>
          <w:rFonts w:ascii="Times New Roman" w:eastAsia="Times New Roman" w:hAnsi="Times New Roman"/>
          <w:sz w:val="24"/>
        </w:rPr>
      </w:pPr>
      <w:r w:rsidRPr="006F68E9">
        <w:rPr>
          <w:rFonts w:ascii="Times New Roman" w:eastAsia="Times New Roman" w:hAnsi="Times New Roman"/>
          <w:sz w:val="24"/>
        </w:rPr>
        <w:t>How would a person who lives and works outside the six-mile limit but goes to school, visits a hospital, or uses transportation near an RMP facility obtain specified information? </w:t>
      </w:r>
    </w:p>
    <w:p w:rsidR="00021D11" w:rsidRPr="006F68E9" w:rsidP="00021D11" w14:paraId="3A51EB14" w14:textId="77777777">
      <w:pPr>
        <w:pStyle w:val="ListParagraph"/>
        <w:rPr>
          <w:rFonts w:ascii="Times New Roman" w:eastAsia="Times New Roman" w:hAnsi="Times New Roman"/>
          <w:sz w:val="24"/>
        </w:rPr>
      </w:pPr>
      <w:r w:rsidRPr="006F68E9">
        <w:rPr>
          <w:rFonts w:ascii="Times New Roman" w:eastAsia="Times New Roman" w:hAnsi="Times New Roman"/>
          <w:sz w:val="24"/>
        </w:rPr>
        <w:t>How would an organization that provides community assistance from outside the six-mile limit obtain specified information? </w:t>
      </w:r>
    </w:p>
    <w:p w:rsidR="00021D11" w:rsidP="00021D11" w14:paraId="73B42A51" w14:textId="77777777">
      <w:pPr>
        <w:pStyle w:val="ListParagraph"/>
        <w:rPr>
          <w:rFonts w:ascii="Times New Roman" w:eastAsia="Times New Roman" w:hAnsi="Times New Roman"/>
          <w:sz w:val="24"/>
        </w:rPr>
      </w:pPr>
      <w:r w:rsidRPr="006F68E9">
        <w:rPr>
          <w:rFonts w:ascii="Times New Roman" w:eastAsia="Times New Roman" w:hAnsi="Times New Roman"/>
          <w:sz w:val="24"/>
        </w:rPr>
        <w:t>How many separate information requests – each with a 45-day response period – would it take to simply get a useful overview of RMP facilities in an industrial area? </w:t>
      </w:r>
    </w:p>
    <w:p w:rsidR="00021D11" w:rsidRPr="007E51CA" w:rsidP="00021D11" w14:paraId="61C84D46" w14:textId="77777777">
      <w:pPr>
        <w:pStyle w:val="ListParagraph"/>
        <w:rPr>
          <w:rFonts w:ascii="Times New Roman" w:eastAsia="Times New Roman" w:hAnsi="Times New Roman"/>
          <w:sz w:val="24"/>
        </w:rPr>
      </w:pPr>
      <w:r w:rsidRPr="002468EB">
        <w:rPr>
          <w:rFonts w:ascii="Times New Roman" w:eastAsia="Times New Roman" w:hAnsi="Times New Roman"/>
          <w:sz w:val="24"/>
        </w:rPr>
        <w:t>EPA estimates that RMP facilities will receive one direct request per year, but the average RMP member facility of the American Chemistry Council has more than 200,000 people living within its vulnerability zone – can these communities realistically prepare for emergencies one person, one request, one facility at a time</w:t>
      </w:r>
      <w:r>
        <w:rPr>
          <w:rFonts w:ascii="Times New Roman" w:eastAsia="Times New Roman" w:hAnsi="Times New Roman"/>
          <w:sz w:val="24"/>
        </w:rPr>
        <w:t>.</w:t>
      </w:r>
    </w:p>
    <w:p w:rsidR="00021D11" w:rsidP="00ED24FA" w14:paraId="07F48690" w14:textId="1624F1D4">
      <w:pPr>
        <w:ind w:left="720"/>
        <w:rPr>
          <w:rFonts w:ascii="Times New Roman" w:eastAsia="Times New Roman" w:hAnsi="Times New Roman"/>
          <w:sz w:val="24"/>
        </w:rPr>
      </w:pPr>
      <w:r w:rsidRPr="00F52D9E">
        <w:rPr>
          <w:rFonts w:ascii="Times New Roman" w:eastAsia="Times New Roman" w:hAnsi="Times New Roman"/>
          <w:b/>
          <w:bCs/>
          <w:sz w:val="24"/>
        </w:rPr>
        <w:t>EPA Response:</w:t>
      </w:r>
      <w:r w:rsidRPr="00F52D9E">
        <w:rPr>
          <w:rFonts w:ascii="Times New Roman" w:eastAsia="Times New Roman" w:hAnsi="Times New Roman"/>
          <w:sz w:val="24"/>
        </w:rPr>
        <w:t xml:space="preserve"> Regarding concerns about the verification of the identity of members of the public requesting information, EPA is requiring sources to provide instructions for how to request the information, which should include the necessary verification components for the public within a 6-mile radius of the facility. Nothing in the rule requires a facility to accept a mere P.O. Box address as evidence of residence, employment, or presence within the 6-mile radius. For this final rule, EPA is also requiring owners and operators to maintain a record of the requestors. </w:t>
      </w:r>
      <w:r w:rsidRPr="00805688" w:rsidR="00805688">
        <w:rPr>
          <w:rFonts w:ascii="Times New Roman" w:eastAsia="Times New Roman" w:hAnsi="Times New Roman"/>
          <w:sz w:val="24"/>
        </w:rPr>
        <w:t xml:space="preserve">EPA </w:t>
      </w:r>
      <w:r w:rsidR="00805688">
        <w:rPr>
          <w:rFonts w:ascii="Times New Roman" w:eastAsia="Times New Roman" w:hAnsi="Times New Roman"/>
          <w:sz w:val="24"/>
        </w:rPr>
        <w:t>is not however r</w:t>
      </w:r>
      <w:r w:rsidRPr="00805688" w:rsidR="00805688">
        <w:rPr>
          <w:rFonts w:ascii="Times New Roman" w:eastAsia="Times New Roman" w:hAnsi="Times New Roman"/>
          <w:sz w:val="24"/>
        </w:rPr>
        <w:t xml:space="preserve">equiring an explanation for the request because this information is otherwise in the public domain under EPCRA and </w:t>
      </w:r>
      <w:r w:rsidR="00805688">
        <w:rPr>
          <w:rFonts w:ascii="Times New Roman" w:eastAsia="Times New Roman" w:hAnsi="Times New Roman"/>
          <w:sz w:val="24"/>
        </w:rPr>
        <w:t xml:space="preserve">through </w:t>
      </w:r>
      <w:r w:rsidRPr="00805688" w:rsidR="00805688">
        <w:rPr>
          <w:rFonts w:ascii="Times New Roman" w:eastAsia="Times New Roman" w:hAnsi="Times New Roman"/>
          <w:sz w:val="24"/>
        </w:rPr>
        <w:t>other means by EPA.</w:t>
      </w:r>
      <w:r w:rsidR="00805688">
        <w:rPr>
          <w:rFonts w:ascii="Times New Roman" w:eastAsia="Times New Roman" w:hAnsi="Times New Roman"/>
          <w:sz w:val="24"/>
        </w:rPr>
        <w:t xml:space="preserve"> T</w:t>
      </w:r>
      <w:r w:rsidRPr="00805688" w:rsidR="00805688">
        <w:rPr>
          <w:rFonts w:ascii="Times New Roman" w:eastAsia="Times New Roman" w:hAnsi="Times New Roman"/>
          <w:sz w:val="24"/>
        </w:rPr>
        <w:t>he purpose of this requirement is to simplify access to what the public already has a right to.</w:t>
      </w:r>
      <w:r w:rsidR="00805688">
        <w:rPr>
          <w:rFonts w:ascii="Times New Roman" w:eastAsia="Times New Roman" w:hAnsi="Times New Roman"/>
          <w:sz w:val="24"/>
        </w:rPr>
        <w:t xml:space="preserve"> </w:t>
      </w:r>
      <w:r w:rsidRPr="00F52D9E">
        <w:rPr>
          <w:rFonts w:ascii="Times New Roman" w:eastAsia="Times New Roman" w:hAnsi="Times New Roman"/>
          <w:sz w:val="24"/>
        </w:rPr>
        <w:t xml:space="preserve">The final rule leaves substantial flexibility for facilities to design a process for obtaining verification and keeping records of requestors that allows for facilities to have a suitable, minimally burdensome process for themselves and the community. The final rule allows for a straightforward process that does not hinder the right of the public to access this information, allows facilities to be aware who has their information, and permits oversight by implementing agencies. However, as this is a performance-based provision, </w:t>
      </w:r>
      <w:r w:rsidRPr="00F52D9E">
        <w:rPr>
          <w:rFonts w:ascii="Times New Roman" w:eastAsia="Times New Roman" w:hAnsi="Times New Roman"/>
          <w:sz w:val="24"/>
        </w:rPr>
        <w:t>just as most components of the rule, EPA recognizes that there is not a one-size fits all approach that works best for notifying the public that this information is available and verifying presence within a 6-mile radius. EPA expects facility owners and operators to notify the public that information is available in a variety of ways, such as using free or low-cost internet platforms, and social media tools that are designed for sharing information with the public. EPA also expects verification of the population within the 6-mile radius to be carried out through many methods, such as asking a member of the public to provide a utility bill for verification of residence, pay stub for verification of employment, or specific documentation to verify significant time spent within the 6-mile radius. EPA encourages the facility owner or operator to coordinate information distribution and verification requirements with the LEPC or local emergency response officials to determine the best way to reach public stakeholders. EPA notes that the owner or operator shall document the method and the location of the notification in the RMP pursuant to 40 CFR 68.160(b)(22).</w:t>
      </w:r>
      <w:r w:rsidR="004B1452">
        <w:rPr>
          <w:rFonts w:ascii="Times New Roman" w:eastAsia="Times New Roman" w:hAnsi="Times New Roman"/>
          <w:sz w:val="24"/>
        </w:rPr>
        <w:t xml:space="preserve"> </w:t>
      </w:r>
      <w:r w:rsidR="0093013E">
        <w:rPr>
          <w:rFonts w:ascii="Times New Roman" w:eastAsia="Times New Roman" w:hAnsi="Times New Roman"/>
          <w:sz w:val="24"/>
        </w:rPr>
        <w:t xml:space="preserve">At this time, EPA believes that </w:t>
      </w:r>
      <w:r w:rsidRPr="004B1452" w:rsidR="004B1452">
        <w:rPr>
          <w:rFonts w:ascii="Times New Roman" w:eastAsia="Times New Roman" w:hAnsi="Times New Roman"/>
          <w:sz w:val="24"/>
        </w:rPr>
        <w:t xml:space="preserve">requiring an explanation for the request would be </w:t>
      </w:r>
      <w:r w:rsidR="0093013E">
        <w:rPr>
          <w:rFonts w:ascii="Times New Roman" w:eastAsia="Times New Roman" w:hAnsi="Times New Roman"/>
          <w:sz w:val="24"/>
        </w:rPr>
        <w:t>unnecessary</w:t>
      </w:r>
      <w:r w:rsidRPr="004B1452" w:rsidR="004B1452">
        <w:rPr>
          <w:rFonts w:ascii="Times New Roman" w:eastAsia="Times New Roman" w:hAnsi="Times New Roman"/>
          <w:sz w:val="24"/>
        </w:rPr>
        <w:t xml:space="preserve"> because this information is otherwise in the public domain under EPCRA and </w:t>
      </w:r>
      <w:r w:rsidR="0053101F">
        <w:rPr>
          <w:rFonts w:ascii="Times New Roman" w:eastAsia="Times New Roman" w:hAnsi="Times New Roman"/>
          <w:sz w:val="24"/>
        </w:rPr>
        <w:t xml:space="preserve">other means </w:t>
      </w:r>
      <w:r w:rsidR="000A25F0">
        <w:rPr>
          <w:rFonts w:ascii="Times New Roman" w:eastAsia="Times New Roman" w:hAnsi="Times New Roman"/>
          <w:sz w:val="24"/>
        </w:rPr>
        <w:t>by EPA</w:t>
      </w:r>
      <w:r w:rsidRPr="004B1452" w:rsidR="004B1452">
        <w:rPr>
          <w:rFonts w:ascii="Times New Roman" w:eastAsia="Times New Roman" w:hAnsi="Times New Roman"/>
          <w:sz w:val="24"/>
        </w:rPr>
        <w:t>. the purpose of this requirement is to simplify access to what the public already has a right to.</w:t>
      </w:r>
    </w:p>
    <w:p w:rsidR="00560EA0" w:rsidRPr="00A22466" w:rsidP="00560EA0" w14:paraId="14629AA4" w14:textId="77777777"/>
    <w:p w:rsidR="00021D11" w:rsidRPr="004C5A43" w:rsidP="00560EA0" w14:paraId="7B802AE9" w14:textId="7D56DF01">
      <w:pPr>
        <w:pStyle w:val="Heading1"/>
        <w:spacing w:before="120"/>
      </w:pPr>
      <w:bookmarkStart w:id="159" w:name="_Toc146880042"/>
      <w:bookmarkStart w:id="160" w:name="_Toc153373829"/>
      <w:r w:rsidRPr="004C5A43">
        <w:t>Other Areas of Technical Clarification</w:t>
      </w:r>
      <w:bookmarkEnd w:id="159"/>
      <w:r w:rsidRPr="004C5A43">
        <w:t xml:space="preserve"> </w:t>
      </w:r>
      <w:bookmarkEnd w:id="160"/>
    </w:p>
    <w:p w:rsidR="00021D11" w:rsidRPr="006F68E9" w:rsidP="00560EA0" w14:paraId="7EFB244D" w14:textId="77777777">
      <w:pPr>
        <w:pStyle w:val="Heading2"/>
        <w:tabs>
          <w:tab w:val="clear" w:pos="8684"/>
        </w:tabs>
        <w:spacing w:before="120"/>
        <w:rPr>
          <w:rFonts w:ascii="Times New Roman" w:hAnsi="Times New Roman" w:cs="Times New Roman"/>
          <w:b/>
          <w:bCs/>
          <w:color w:val="auto"/>
          <w:sz w:val="24"/>
          <w:szCs w:val="24"/>
        </w:rPr>
      </w:pPr>
      <w:bookmarkStart w:id="161" w:name="_Toc146880043"/>
      <w:bookmarkStart w:id="162" w:name="_Toc153373830"/>
      <w:r w:rsidRPr="006F68E9">
        <w:rPr>
          <w:rFonts w:ascii="Times New Roman" w:hAnsi="Times New Roman" w:cs="Times New Roman"/>
          <w:b/>
          <w:bCs/>
          <w:color w:val="auto"/>
          <w:sz w:val="24"/>
          <w:szCs w:val="24"/>
        </w:rPr>
        <w:t xml:space="preserve">Proposed </w:t>
      </w:r>
      <w:bookmarkEnd w:id="161"/>
      <w:r>
        <w:rPr>
          <w:rFonts w:ascii="Times New Roman" w:hAnsi="Times New Roman" w:cs="Times New Roman"/>
          <w:b/>
          <w:bCs/>
          <w:color w:val="auto"/>
          <w:sz w:val="24"/>
          <w:szCs w:val="24"/>
        </w:rPr>
        <w:t>a</w:t>
      </w:r>
      <w:r w:rsidRPr="006F68E9">
        <w:rPr>
          <w:rFonts w:ascii="Times New Roman" w:hAnsi="Times New Roman" w:cs="Times New Roman"/>
          <w:b/>
          <w:bCs/>
          <w:color w:val="auto"/>
          <w:sz w:val="24"/>
          <w:szCs w:val="24"/>
        </w:rPr>
        <w:t>pproach</w:t>
      </w:r>
      <w:bookmarkEnd w:id="162"/>
      <w:r w:rsidRPr="006F68E9">
        <w:rPr>
          <w:rFonts w:ascii="Times New Roman" w:hAnsi="Times New Roman" w:cs="Times New Roman"/>
          <w:b/>
          <w:bCs/>
          <w:color w:val="auto"/>
          <w:sz w:val="24"/>
          <w:szCs w:val="24"/>
        </w:rPr>
        <w:t xml:space="preserve"> </w:t>
      </w:r>
    </w:p>
    <w:p w:rsidR="00021D11" w:rsidP="00021D11" w14:paraId="03ACA153" w14:textId="77777777">
      <w:pPr>
        <w:rPr>
          <w:rFonts w:ascii="Times New Roman" w:hAnsi="Times New Roman"/>
          <w:sz w:val="24"/>
        </w:rPr>
      </w:pPr>
      <w:r>
        <w:rPr>
          <w:rFonts w:ascii="Times New Roman" w:hAnsi="Times New Roman"/>
          <w:b/>
          <w:bCs/>
          <w:sz w:val="24"/>
        </w:rPr>
        <w:t xml:space="preserve">Comment 14.1-01: </w:t>
      </w:r>
      <w:r w:rsidRPr="006F68E9">
        <w:rPr>
          <w:rFonts w:ascii="Times New Roman" w:hAnsi="Times New Roman"/>
          <w:sz w:val="24"/>
        </w:rPr>
        <w:t>One commenter stated that EPA’s proposals under “Other Areas of Technical Clarification” will lead to confusion and conflict with other Federal programs (0229).</w:t>
      </w:r>
    </w:p>
    <w:p w:rsidR="00021D11" w:rsidRPr="00DA2CCC" w:rsidP="00021D11" w14:paraId="10B5B0AA" w14:textId="16C4EC7E">
      <w:pPr>
        <w:ind w:left="720"/>
        <w:rPr>
          <w:rFonts w:ascii="Times New Roman" w:hAnsi="Times New Roman"/>
          <w:sz w:val="24"/>
        </w:rPr>
      </w:pPr>
      <w:r w:rsidRPr="00DA2CCC">
        <w:rPr>
          <w:rFonts w:ascii="Times New Roman" w:hAnsi="Times New Roman"/>
          <w:b/>
          <w:bCs/>
          <w:sz w:val="24"/>
        </w:rPr>
        <w:t xml:space="preserve">EPA Response: </w:t>
      </w:r>
      <w:r w:rsidRPr="00DA2CCC">
        <w:rPr>
          <w:rFonts w:ascii="Times New Roman" w:hAnsi="Times New Roman"/>
          <w:sz w:val="24"/>
        </w:rPr>
        <w:t>EPA is not finalizing the proposed supplementary storage incident to transportation language at 40 CFR 68.3.</w:t>
      </w:r>
    </w:p>
    <w:p w:rsidR="00021D11" w:rsidRPr="00DA2CCC" w:rsidP="00021D11" w14:paraId="38020CE3" w14:textId="77777777">
      <w:pPr>
        <w:ind w:left="720"/>
        <w:rPr>
          <w:rFonts w:ascii="Times New Roman" w:hAnsi="Times New Roman"/>
          <w:sz w:val="24"/>
        </w:rPr>
      </w:pPr>
      <w:r w:rsidRPr="00DA2CCC">
        <w:rPr>
          <w:rFonts w:ascii="Times New Roman" w:hAnsi="Times New Roman"/>
          <w:sz w:val="24"/>
        </w:rPr>
        <w:t>EPA is finalizing the retention of hot work permits and retail facility exemption proposed changes with the following modifications:</w:t>
      </w:r>
    </w:p>
    <w:p w:rsidR="00021D11" w:rsidRPr="00DA2CCC" w:rsidP="002F0A0E" w14:paraId="41B53223" w14:textId="77777777">
      <w:pPr>
        <w:pStyle w:val="ListParagraph"/>
        <w:numPr>
          <w:ilvl w:val="0"/>
          <w:numId w:val="24"/>
        </w:numPr>
        <w:tabs>
          <w:tab w:val="left" w:pos="1080"/>
          <w:tab w:val="left" w:pos="1627"/>
          <w:tab w:val="left" w:pos="2160"/>
          <w:tab w:val="left" w:pos="2880"/>
        </w:tabs>
        <w:rPr>
          <w:rFonts w:ascii="Times New Roman" w:hAnsi="Times New Roman"/>
          <w:sz w:val="24"/>
        </w:rPr>
      </w:pPr>
      <w:r w:rsidRPr="00DA2CCC">
        <w:rPr>
          <w:rFonts w:ascii="Times New Roman" w:hAnsi="Times New Roman"/>
          <w:sz w:val="24"/>
        </w:rPr>
        <w:t>Revising 40 CFR 68.85(b) to require retention of hot work permits for three years rather than five.</w:t>
      </w:r>
    </w:p>
    <w:p w:rsidR="00021D11" w:rsidP="002F0A0E" w14:paraId="5F51421A" w14:textId="77777777">
      <w:pPr>
        <w:pStyle w:val="ListParagraph"/>
        <w:numPr>
          <w:ilvl w:val="0"/>
          <w:numId w:val="24"/>
        </w:numPr>
        <w:tabs>
          <w:tab w:val="left" w:pos="1080"/>
          <w:tab w:val="left" w:pos="1627"/>
          <w:tab w:val="left" w:pos="2160"/>
          <w:tab w:val="left" w:pos="2880"/>
        </w:tabs>
        <w:contextualSpacing w:val="0"/>
        <w:rPr>
          <w:rFonts w:ascii="Times New Roman" w:hAnsi="Times New Roman"/>
          <w:sz w:val="24"/>
        </w:rPr>
      </w:pPr>
      <w:r w:rsidRPr="00DA2CCC">
        <w:rPr>
          <w:rFonts w:ascii="Times New Roman" w:hAnsi="Times New Roman"/>
          <w:sz w:val="24"/>
        </w:rPr>
        <w:t>Revising 40 CFR 68.3 to clarify that “year,” in the context of the definition of “retail facility,” can be calendar or fiscal year.</w:t>
      </w:r>
    </w:p>
    <w:p w:rsidR="006F7F45" w:rsidP="006F7F45" w14:paraId="3D404E5D" w14:textId="77777777">
      <w:pPr>
        <w:ind w:left="720"/>
        <w:rPr>
          <w:rFonts w:ascii="Times New Roman" w:hAnsi="Times New Roman"/>
          <w:sz w:val="24"/>
        </w:rPr>
      </w:pPr>
      <w:r w:rsidRPr="00195347">
        <w:rPr>
          <w:rFonts w:ascii="Times New Roman" w:hAnsi="Times New Roman"/>
          <w:sz w:val="24"/>
        </w:rPr>
        <w:t>EPA is finalizing the provisions for PSI, Program 2 and 3 requirements for compliance with RAGAGEP, and the RAGAGEP gap analysis as proposed.</w:t>
      </w:r>
    </w:p>
    <w:p w:rsidR="003A424D" w:rsidRPr="00195347" w:rsidP="006F7F45" w14:paraId="50956ED6" w14:textId="3474044B">
      <w:pPr>
        <w:ind w:left="720"/>
        <w:rPr>
          <w:rFonts w:ascii="Times New Roman" w:hAnsi="Times New Roman"/>
          <w:sz w:val="24"/>
        </w:rPr>
      </w:pPr>
      <w:bookmarkStart w:id="163" w:name="_Hlk149554660"/>
      <w:r w:rsidRPr="00ED11A9">
        <w:rPr>
          <w:rFonts w:ascii="Times New Roman" w:hAnsi="Times New Roman"/>
          <w:sz w:val="24"/>
        </w:rPr>
        <w:t xml:space="preserve">During the development of the RMP </w:t>
      </w:r>
      <w:r w:rsidR="00D174B3">
        <w:rPr>
          <w:rFonts w:ascii="Times New Roman" w:hAnsi="Times New Roman"/>
          <w:sz w:val="24"/>
        </w:rPr>
        <w:t>SCCAP</w:t>
      </w:r>
      <w:r w:rsidRPr="00ED11A9">
        <w:rPr>
          <w:rFonts w:ascii="Times New Roman" w:hAnsi="Times New Roman"/>
          <w:sz w:val="24"/>
        </w:rPr>
        <w:t xml:space="preserve"> rule, EPA consulted and coordinated with </w:t>
      </w:r>
      <w:r w:rsidR="00B71358">
        <w:rPr>
          <w:rFonts w:ascii="Times New Roman" w:hAnsi="Times New Roman"/>
          <w:sz w:val="24"/>
        </w:rPr>
        <w:t xml:space="preserve">other Federal agencies </w:t>
      </w:r>
      <w:r w:rsidRPr="00B71358" w:rsidR="00B71358">
        <w:rPr>
          <w:rFonts w:ascii="Times New Roman" w:hAnsi="Times New Roman"/>
          <w:sz w:val="24"/>
        </w:rPr>
        <w:t>to ensure the intent of adding specificity and clarification to the RMP regulations do not create conflicts</w:t>
      </w:r>
      <w:r w:rsidR="00B71358">
        <w:rPr>
          <w:rFonts w:ascii="Times New Roman" w:hAnsi="Times New Roman"/>
          <w:sz w:val="24"/>
        </w:rPr>
        <w:t xml:space="preserve"> with other Federal programs</w:t>
      </w:r>
      <w:r w:rsidRPr="00ED11A9">
        <w:rPr>
          <w:rFonts w:ascii="Times New Roman" w:hAnsi="Times New Roman"/>
          <w:sz w:val="24"/>
        </w:rPr>
        <w:t xml:space="preserve">. For many years, 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listed in Appendix A to this document), staff from the agencies discussed the development of the RMP </w:t>
      </w:r>
      <w:r w:rsidR="00D174B3">
        <w:rPr>
          <w:rFonts w:ascii="Times New Roman" w:hAnsi="Times New Roman"/>
          <w:sz w:val="24"/>
        </w:rPr>
        <w:t xml:space="preserve">SCCAP </w:t>
      </w:r>
      <w:r w:rsidRPr="00ED11A9">
        <w:rPr>
          <w:rFonts w:ascii="Times New Roman" w:hAnsi="Times New Roman"/>
          <w:sz w:val="24"/>
        </w:rPr>
        <w:t xml:space="preserve">rule. EPA </w:t>
      </w:r>
      <w:r w:rsidR="0018353B">
        <w:rPr>
          <w:rFonts w:ascii="Times New Roman" w:hAnsi="Times New Roman"/>
          <w:sz w:val="24"/>
        </w:rPr>
        <w:t>also</w:t>
      </w:r>
      <w:r w:rsidRPr="00ED11A9">
        <w:rPr>
          <w:rFonts w:ascii="Times New Roman" w:hAnsi="Times New Roman"/>
          <w:sz w:val="24"/>
        </w:rPr>
        <w:t xml:space="preserve"> </w:t>
      </w:r>
      <w:r w:rsidRPr="5675C948">
        <w:rPr>
          <w:rFonts w:ascii="Times New Roman" w:hAnsi="Times New Roman"/>
          <w:sz w:val="24"/>
        </w:rPr>
        <w:t>coordina</w:t>
      </w:r>
      <w:r w:rsidRPr="5675C948" w:rsidR="0018353B">
        <w:rPr>
          <w:rFonts w:ascii="Times New Roman" w:hAnsi="Times New Roman"/>
          <w:sz w:val="24"/>
        </w:rPr>
        <w:t>te</w:t>
      </w:r>
      <w:r w:rsidRPr="5675C948" w:rsidR="5D1781C9">
        <w:rPr>
          <w:rFonts w:ascii="Times New Roman" w:hAnsi="Times New Roman"/>
          <w:sz w:val="24"/>
        </w:rPr>
        <w:t>s</w:t>
      </w:r>
      <w:r w:rsidRPr="00ED11A9">
        <w:rPr>
          <w:rFonts w:ascii="Times New Roman" w:hAnsi="Times New Roman"/>
          <w:sz w:val="24"/>
        </w:rPr>
        <w:t xml:space="preserve"> with </w:t>
      </w:r>
      <w:r w:rsidR="00D174B3">
        <w:rPr>
          <w:rFonts w:ascii="Times New Roman" w:hAnsi="Times New Roman"/>
          <w:sz w:val="24"/>
        </w:rPr>
        <w:t>DOT</w:t>
      </w:r>
      <w:r w:rsidRPr="00ED11A9">
        <w:rPr>
          <w:rFonts w:ascii="Times New Roman" w:hAnsi="Times New Roman"/>
          <w:sz w:val="24"/>
        </w:rPr>
        <w:t xml:space="preserve"> </w:t>
      </w:r>
      <w:r w:rsidR="00105358">
        <w:rPr>
          <w:rFonts w:ascii="Times New Roman" w:hAnsi="Times New Roman"/>
          <w:sz w:val="24"/>
        </w:rPr>
        <w:t xml:space="preserve">and DHS </w:t>
      </w:r>
      <w:r w:rsidRPr="00ED11A9">
        <w:rPr>
          <w:rFonts w:ascii="Times New Roman" w:hAnsi="Times New Roman"/>
          <w:sz w:val="24"/>
        </w:rPr>
        <w:t xml:space="preserve">on a more ad hoc basis as relevant issues </w:t>
      </w:r>
      <w:r w:rsidRPr="00ED11A9" w:rsidR="00A24CDD">
        <w:rPr>
          <w:rFonts w:ascii="Times New Roman" w:hAnsi="Times New Roman"/>
          <w:sz w:val="24"/>
        </w:rPr>
        <w:t>arise</w:t>
      </w:r>
      <w:r w:rsidR="00A24CDD">
        <w:rPr>
          <w:rFonts w:ascii="Times New Roman" w:hAnsi="Times New Roman"/>
          <w:sz w:val="24"/>
        </w:rPr>
        <w:t xml:space="preserve"> but</w:t>
      </w:r>
      <w:r w:rsidR="00D74518">
        <w:rPr>
          <w:rFonts w:ascii="Times New Roman" w:hAnsi="Times New Roman"/>
          <w:sz w:val="24"/>
        </w:rPr>
        <w:t xml:space="preserve"> have included meetings to </w:t>
      </w:r>
      <w:r w:rsidR="00A24CDD">
        <w:rPr>
          <w:rFonts w:ascii="Times New Roman" w:hAnsi="Times New Roman"/>
          <w:sz w:val="24"/>
        </w:rPr>
        <w:t xml:space="preserve">discuss the </w:t>
      </w:r>
      <w:r w:rsidR="00A24CDD">
        <w:rPr>
          <w:rFonts w:ascii="Times New Roman" w:hAnsi="Times New Roman"/>
          <w:sz w:val="24"/>
        </w:rPr>
        <w:t>development of potential provisions for this SCCAP rulemaking</w:t>
      </w:r>
      <w:r w:rsidR="00805688">
        <w:rPr>
          <w:rFonts w:ascii="Times New Roman" w:hAnsi="Times New Roman"/>
          <w:sz w:val="24"/>
        </w:rPr>
        <w:t xml:space="preserve"> (see Appendix B)</w:t>
      </w:r>
      <w:r w:rsidRPr="5675C948">
        <w:rPr>
          <w:rFonts w:ascii="Times New Roman" w:hAnsi="Times New Roman"/>
          <w:sz w:val="24"/>
        </w:rPr>
        <w:t>.</w:t>
      </w:r>
      <w:r w:rsidRPr="00ED11A9">
        <w:rPr>
          <w:rFonts w:ascii="Times New Roman" w:hAnsi="Times New Roman"/>
          <w:sz w:val="24"/>
        </w:rPr>
        <w:t xml:space="preserve"> In addition, multiple agencies</w:t>
      </w:r>
      <w:r w:rsidR="00097228">
        <w:rPr>
          <w:rFonts w:ascii="Times New Roman" w:hAnsi="Times New Roman"/>
          <w:sz w:val="24"/>
        </w:rPr>
        <w:t xml:space="preserve"> </w:t>
      </w:r>
      <w:r w:rsidRPr="00ED11A9">
        <w:rPr>
          <w:rFonts w:ascii="Times New Roman" w:hAnsi="Times New Roman"/>
          <w:sz w:val="24"/>
        </w:rPr>
        <w:t>have an opportunity to review a draft rule under EO 12866 Regulatory Planning and Review, although the content of interagency deliberations are not subject to judicial review.</w:t>
      </w:r>
    </w:p>
    <w:p w:rsidR="00021D11" w:rsidRPr="006F68E9" w:rsidP="00560EA0" w14:paraId="4B61D409" w14:textId="77777777">
      <w:pPr>
        <w:pStyle w:val="Heading2"/>
        <w:tabs>
          <w:tab w:val="clear" w:pos="8684"/>
        </w:tabs>
        <w:spacing w:before="120"/>
        <w:rPr>
          <w:rFonts w:ascii="Times New Roman" w:hAnsi="Times New Roman" w:cs="Times New Roman"/>
          <w:b/>
          <w:bCs/>
          <w:color w:val="auto"/>
          <w:sz w:val="24"/>
          <w:szCs w:val="24"/>
        </w:rPr>
      </w:pPr>
      <w:bookmarkStart w:id="164" w:name="_Toc153373831"/>
      <w:bookmarkEnd w:id="163"/>
      <w:r w:rsidRPr="006F68E9">
        <w:rPr>
          <w:rFonts w:ascii="Times New Roman" w:hAnsi="Times New Roman" w:cs="Times New Roman"/>
          <w:b/>
          <w:bCs/>
          <w:color w:val="auto"/>
          <w:sz w:val="24"/>
          <w:szCs w:val="24"/>
        </w:rPr>
        <w:t xml:space="preserve">Process </w:t>
      </w:r>
      <w:r>
        <w:rPr>
          <w:rFonts w:ascii="Times New Roman" w:hAnsi="Times New Roman" w:cs="Times New Roman"/>
          <w:b/>
          <w:bCs/>
          <w:color w:val="auto"/>
          <w:sz w:val="24"/>
          <w:szCs w:val="24"/>
        </w:rPr>
        <w:t>s</w:t>
      </w:r>
      <w:r w:rsidRPr="006F68E9">
        <w:rPr>
          <w:rFonts w:ascii="Times New Roman" w:hAnsi="Times New Roman" w:cs="Times New Roman"/>
          <w:b/>
          <w:bCs/>
          <w:color w:val="auto"/>
          <w:sz w:val="24"/>
          <w:szCs w:val="24"/>
        </w:rPr>
        <w:t xml:space="preserve">afety </w:t>
      </w:r>
      <w:r>
        <w:rPr>
          <w:rFonts w:ascii="Times New Roman" w:hAnsi="Times New Roman" w:cs="Times New Roman"/>
          <w:b/>
          <w:bCs/>
          <w:color w:val="auto"/>
          <w:sz w:val="24"/>
          <w:szCs w:val="24"/>
        </w:rPr>
        <w:t>i</w:t>
      </w:r>
      <w:r w:rsidRPr="006F68E9">
        <w:rPr>
          <w:rFonts w:ascii="Times New Roman" w:hAnsi="Times New Roman" w:cs="Times New Roman"/>
          <w:b/>
          <w:bCs/>
          <w:color w:val="auto"/>
          <w:sz w:val="24"/>
          <w:szCs w:val="24"/>
        </w:rPr>
        <w:t>nformation</w:t>
      </w:r>
      <w:bookmarkEnd w:id="164"/>
    </w:p>
    <w:p w:rsidR="00021D11" w:rsidRPr="00D6472E" w:rsidP="00021D11" w14:paraId="03102907" w14:textId="77777777">
      <w:pPr>
        <w:rPr>
          <w:rFonts w:ascii="Times New Roman" w:hAnsi="Times New Roman"/>
          <w:i/>
          <w:sz w:val="24"/>
        </w:rPr>
      </w:pPr>
      <w:r w:rsidRPr="00D6472E">
        <w:rPr>
          <w:rFonts w:ascii="Times New Roman" w:hAnsi="Times New Roman"/>
          <w:i/>
          <w:sz w:val="24"/>
        </w:rPr>
        <w:t>Support</w:t>
      </w:r>
    </w:p>
    <w:p w:rsidR="00021D11" w:rsidRPr="006F68E9" w:rsidP="00021D11" w14:paraId="1E029729" w14:textId="5D019A2C">
      <w:pPr>
        <w:rPr>
          <w:rFonts w:ascii="Times New Roman" w:hAnsi="Times New Roman"/>
          <w:sz w:val="24"/>
        </w:rPr>
      </w:pPr>
      <w:r>
        <w:rPr>
          <w:rFonts w:ascii="Times New Roman" w:hAnsi="Times New Roman"/>
          <w:b/>
          <w:bCs/>
          <w:sz w:val="24"/>
        </w:rPr>
        <w:t xml:space="preserve">Comment 14.2-01: </w:t>
      </w:r>
      <w:r w:rsidRPr="006F68E9">
        <w:rPr>
          <w:rFonts w:ascii="Times New Roman" w:hAnsi="Times New Roman"/>
          <w:sz w:val="24"/>
        </w:rPr>
        <w:t xml:space="preserve">A couple </w:t>
      </w:r>
      <w:r w:rsidRPr="006F68E9">
        <w:rPr>
          <w:rFonts w:ascii="Times New Roman" w:hAnsi="Times New Roman"/>
          <w:sz w:val="24"/>
        </w:rPr>
        <w:t xml:space="preserve">of </w:t>
      </w:r>
      <w:r w:rsidRPr="006F68E9">
        <w:rPr>
          <w:rFonts w:ascii="Times New Roman" w:hAnsi="Times New Roman"/>
          <w:sz w:val="24"/>
        </w:rPr>
        <w:t xml:space="preserve">commenters expressed support for EPA’s proposal to clarify that the requirement to keep process safety information up to date as it explicitly applies to Program 3 processes (0216, 0460). One of the commenters </w:t>
      </w:r>
      <w:r w:rsidR="00F12611">
        <w:rPr>
          <w:rFonts w:ascii="Times New Roman" w:hAnsi="Times New Roman"/>
          <w:sz w:val="24"/>
        </w:rPr>
        <w:t xml:space="preserve">stated </w:t>
      </w:r>
      <w:r w:rsidRPr="006F68E9" w:rsidR="00F12611">
        <w:rPr>
          <w:rFonts w:ascii="Times New Roman" w:hAnsi="Times New Roman"/>
          <w:sz w:val="24"/>
        </w:rPr>
        <w:t>that</w:t>
      </w:r>
      <w:r w:rsidRPr="006F68E9">
        <w:rPr>
          <w:rFonts w:ascii="Times New Roman" w:hAnsi="Times New Roman"/>
          <w:sz w:val="24"/>
        </w:rPr>
        <w:t xml:space="preserve"> process safety is of critical importance and works together with the RMP program (0216).</w:t>
      </w:r>
      <w:r w:rsidRPr="006439BE">
        <w:rPr>
          <w:rFonts w:ascii="Times New Roman" w:hAnsi="Times New Roman"/>
          <w:sz w:val="24"/>
        </w:rPr>
        <w:t xml:space="preserve"> </w:t>
      </w:r>
      <w:r w:rsidRPr="006F68E9">
        <w:rPr>
          <w:rFonts w:ascii="Times New Roman" w:hAnsi="Times New Roman"/>
          <w:sz w:val="24"/>
        </w:rPr>
        <w:t>One commenter asked EPA to restore and expand on the 2017 EPA rule to keep process safety information up to date (0456).</w:t>
      </w:r>
    </w:p>
    <w:p w:rsidR="00021D11" w:rsidRPr="006F68E9" w:rsidP="006F3CD8" w14:paraId="646DBA6A" w14:textId="77777777">
      <w:pPr>
        <w:ind w:left="720"/>
        <w:rPr>
          <w:rFonts w:ascii="Times New Roman" w:hAnsi="Times New Roman"/>
          <w:sz w:val="24"/>
        </w:rPr>
      </w:pPr>
      <w:r w:rsidRPr="0076216E">
        <w:rPr>
          <w:rFonts w:ascii="Times New Roman" w:hAnsi="Times New Roman"/>
          <w:b/>
          <w:bCs/>
          <w:sz w:val="24"/>
        </w:rPr>
        <w:t>EPA Response:</w:t>
      </w:r>
      <w:r>
        <w:rPr>
          <w:rFonts w:ascii="Times New Roman" w:hAnsi="Times New Roman"/>
          <w:sz w:val="24"/>
        </w:rPr>
        <w:t xml:space="preserve"> </w:t>
      </w:r>
      <w:r w:rsidRPr="00224B5F">
        <w:rPr>
          <w:rFonts w:ascii="Times New Roman" w:hAnsi="Times New Roman"/>
          <w:sz w:val="24"/>
        </w:rPr>
        <w:t>EPA appreciates the support for the Agency’s proposed clarifications to the PSI requirements and is finalizing the provision as proposed. EPA believes that refining the language of 40 CFR 68.65 to reflect existing requirements would clarify clarifies that such PSI is required to be up to date for Program 3 processes—just as it is for Program 2 processes—without the need for evaluating compliance with management of change, conducting a pre-startup safety review, or meeting PHA requirements.</w:t>
      </w:r>
    </w:p>
    <w:p w:rsidR="00021D11" w:rsidRPr="00D6472E" w:rsidP="00021D11" w14:paraId="60956007" w14:textId="77777777">
      <w:pPr>
        <w:rPr>
          <w:rFonts w:ascii="Times New Roman" w:hAnsi="Times New Roman"/>
          <w:i/>
          <w:sz w:val="24"/>
        </w:rPr>
      </w:pPr>
      <w:r w:rsidRPr="00D6472E">
        <w:rPr>
          <w:rFonts w:ascii="Times New Roman" w:hAnsi="Times New Roman"/>
          <w:i/>
          <w:iCs/>
          <w:sz w:val="24"/>
        </w:rPr>
        <w:t>Opposition</w:t>
      </w:r>
    </w:p>
    <w:p w:rsidR="00021D11" w:rsidRPr="006F68E9" w:rsidP="00021D11" w14:paraId="5D91DF7B" w14:textId="77777777">
      <w:pPr>
        <w:rPr>
          <w:rFonts w:ascii="Times New Roman" w:eastAsia="Times New Roman" w:hAnsi="Times New Roman"/>
          <w:sz w:val="24"/>
        </w:rPr>
      </w:pPr>
      <w:r>
        <w:rPr>
          <w:rFonts w:ascii="Times New Roman" w:hAnsi="Times New Roman"/>
          <w:b/>
          <w:bCs/>
          <w:sz w:val="24"/>
        </w:rPr>
        <w:t xml:space="preserve">Comment 14.2-02: </w:t>
      </w:r>
      <w:r w:rsidRPr="006F68E9">
        <w:rPr>
          <w:rFonts w:ascii="Times New Roman" w:hAnsi="Times New Roman"/>
          <w:sz w:val="24"/>
        </w:rPr>
        <w:t>Several commenters stated that the proposal to update PSIs is unnecessary, duplicative, and burdensome (0180, 0181, 0226, 0232, 0458).</w:t>
      </w:r>
      <w:r>
        <w:rPr>
          <w:rFonts w:ascii="Times New Roman" w:hAnsi="Times New Roman"/>
          <w:sz w:val="24"/>
        </w:rPr>
        <w:t xml:space="preserve"> </w:t>
      </w:r>
      <w:r w:rsidRPr="006F68E9">
        <w:rPr>
          <w:rFonts w:ascii="Times New Roman" w:eastAsia="Times New Roman" w:hAnsi="Times New Roman"/>
          <w:sz w:val="24"/>
        </w:rPr>
        <w:t xml:space="preserve">Another commenter asserted that EPA should not amend </w:t>
      </w:r>
      <w:r>
        <w:rPr>
          <w:rFonts w:ascii="Times New Roman" w:hAnsi="Times New Roman"/>
          <w:sz w:val="24"/>
        </w:rPr>
        <w:t>40 CFR</w:t>
      </w:r>
      <w:r w:rsidRPr="006F68E9">
        <w:rPr>
          <w:rFonts w:ascii="Times New Roman" w:hAnsi="Times New Roman"/>
          <w:sz w:val="24"/>
        </w:rPr>
        <w:t xml:space="preserve"> </w:t>
      </w:r>
      <w:r w:rsidRPr="006F68E9">
        <w:rPr>
          <w:rFonts w:ascii="Times New Roman" w:eastAsia="Times New Roman" w:hAnsi="Times New Roman"/>
          <w:sz w:val="24"/>
        </w:rPr>
        <w:t>68.65(a) as proposed and adhere to the existing regulatory language for Program 3 sources to ensure the long-standing consistency between the RMP and PSM Standard remain (0232).</w:t>
      </w:r>
      <w:r>
        <w:rPr>
          <w:rFonts w:ascii="Times New Roman" w:eastAsia="Times New Roman" w:hAnsi="Times New Roman"/>
          <w:sz w:val="24"/>
        </w:rPr>
        <w:t xml:space="preserve"> </w:t>
      </w:r>
      <w:r w:rsidRPr="006F68E9">
        <w:rPr>
          <w:rFonts w:ascii="Times New Roman" w:eastAsia="Times New Roman" w:hAnsi="Times New Roman"/>
          <w:sz w:val="24"/>
        </w:rPr>
        <w:t xml:space="preserve">Another commenter asserted that EPA should not amend </w:t>
      </w:r>
      <w:r>
        <w:rPr>
          <w:rFonts w:ascii="Times New Roman" w:hAnsi="Times New Roman"/>
          <w:sz w:val="24"/>
        </w:rPr>
        <w:t>40 CFR </w:t>
      </w:r>
      <w:r w:rsidRPr="006F68E9">
        <w:rPr>
          <w:rFonts w:ascii="Times New Roman" w:eastAsia="Times New Roman" w:hAnsi="Times New Roman"/>
          <w:sz w:val="24"/>
        </w:rPr>
        <w:t>68.65(a) as proposed and adhere to the existing regulatory language for Program 3 sources to ensure the long-standing consistency between the RMP and PSM Standard remain (0232).</w:t>
      </w:r>
    </w:p>
    <w:p w:rsidR="00021D11" w:rsidRPr="006F68E9" w:rsidP="00021D11" w14:paraId="403763F3" w14:textId="63F95247">
      <w:pPr>
        <w:ind w:left="720"/>
        <w:rPr>
          <w:rFonts w:ascii="Times New Roman" w:eastAsia="Times New Roman" w:hAnsi="Times New Roman"/>
          <w:sz w:val="24"/>
        </w:rPr>
      </w:pPr>
      <w:r w:rsidRPr="00006975">
        <w:rPr>
          <w:rFonts w:ascii="Times New Roman" w:hAnsi="Times New Roman"/>
          <w:b/>
          <w:sz w:val="24"/>
        </w:rPr>
        <w:t>EPA Response:</w:t>
      </w:r>
      <w:r>
        <w:rPr>
          <w:rFonts w:ascii="Times New Roman" w:hAnsi="Times New Roman"/>
          <w:sz w:val="24"/>
        </w:rPr>
        <w:t xml:space="preserve"> </w:t>
      </w:r>
      <w:r w:rsidRPr="00EA37EF">
        <w:rPr>
          <w:rFonts w:ascii="Times New Roman" w:eastAsia="Times New Roman" w:hAnsi="Times New Roman"/>
          <w:sz w:val="24"/>
        </w:rPr>
        <w:t xml:space="preserve">EPA disagrees that clarifying the PSI requirements is unnecessary. </w:t>
      </w:r>
      <w:r w:rsidRPr="00E406EC" w:rsidR="00E406EC">
        <w:rPr>
          <w:rFonts w:ascii="Times New Roman" w:eastAsia="Times New Roman" w:hAnsi="Times New Roman"/>
          <w:sz w:val="24"/>
        </w:rPr>
        <w:t>For processes subject to Program 2</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requirements, RMP regulatory text</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explicitly states in 40 CFR 68.48(a) that</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[t]he owner or operator shall compile</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and maintain the following up-to-date</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safety information related to the</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regulated substances, processes, and</w:t>
      </w:r>
      <w:r w:rsidR="00E406EC">
        <w:rPr>
          <w:rFonts w:ascii="Times New Roman" w:eastAsia="Times New Roman" w:hAnsi="Times New Roman"/>
          <w:sz w:val="24"/>
        </w:rPr>
        <w:t xml:space="preserve"> equipment</w:t>
      </w:r>
      <w:r w:rsidRPr="00E406EC" w:rsidR="00E406EC">
        <w:rPr>
          <w:rFonts w:ascii="Times New Roman" w:eastAsia="Times New Roman" w:hAnsi="Times New Roman"/>
          <w:sz w:val="24"/>
        </w:rPr>
        <w:t>.</w:t>
      </w:r>
      <w:r w:rsidR="00E406EC">
        <w:rPr>
          <w:rFonts w:ascii="Times New Roman" w:eastAsia="Times New Roman" w:hAnsi="Times New Roman"/>
          <w:sz w:val="24"/>
        </w:rPr>
        <w:t>”</w:t>
      </w:r>
      <w:r w:rsidRPr="00E406EC" w:rsidR="00E406EC">
        <w:rPr>
          <w:rFonts w:ascii="Times New Roman" w:eastAsia="Times New Roman" w:hAnsi="Times New Roman"/>
          <w:sz w:val="24"/>
        </w:rPr>
        <w:t xml:space="preserve"> This is also addressed in</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 xml:space="preserve">40 CFR 68.48(c), which states: </w:t>
      </w:r>
      <w:r w:rsidR="00E406EC">
        <w:rPr>
          <w:rFonts w:ascii="Times New Roman" w:eastAsia="Times New Roman" w:hAnsi="Times New Roman"/>
          <w:sz w:val="24"/>
        </w:rPr>
        <w:t>“</w:t>
      </w:r>
      <w:r w:rsidRPr="00E406EC" w:rsidR="00E406EC">
        <w:rPr>
          <w:rFonts w:ascii="Times New Roman" w:eastAsia="Times New Roman" w:hAnsi="Times New Roman"/>
          <w:sz w:val="24"/>
        </w:rPr>
        <w:t>The</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owner or operator shall update the</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safety information if a major change</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occurs that makes the information</w:t>
      </w:r>
      <w:r w:rsidR="00E406EC">
        <w:rPr>
          <w:rFonts w:ascii="Times New Roman" w:eastAsia="Times New Roman" w:hAnsi="Times New Roman"/>
          <w:sz w:val="24"/>
        </w:rPr>
        <w:t xml:space="preserve"> </w:t>
      </w:r>
      <w:r w:rsidRPr="00E406EC" w:rsidR="00E406EC">
        <w:rPr>
          <w:rFonts w:ascii="Times New Roman" w:eastAsia="Times New Roman" w:hAnsi="Times New Roman"/>
          <w:sz w:val="24"/>
        </w:rPr>
        <w:t>inaccurate.</w:t>
      </w:r>
      <w:r w:rsidR="00E406EC">
        <w:rPr>
          <w:rFonts w:ascii="Times New Roman" w:eastAsia="Times New Roman" w:hAnsi="Times New Roman"/>
          <w:sz w:val="24"/>
        </w:rPr>
        <w:t xml:space="preserve">” </w:t>
      </w:r>
      <w:r w:rsidRPr="00EA37EF">
        <w:rPr>
          <w:rFonts w:ascii="Times New Roman" w:eastAsia="Times New Roman" w:hAnsi="Times New Roman"/>
          <w:sz w:val="24"/>
        </w:rPr>
        <w:t xml:space="preserve">For processes subject to Program 3 requirements, the PSI requirements under 40 CFR 68.65 do not explicitly address updating PSI. Instead, that subject is addressed in several other parts of the Program 3 requirements, including the management of change requirements in 40 CFR 68.75, the pre-startup review requirements in 40 CFR 68.77, and the requirement to document that equipment complies with RAGAGEP in 40 CFR 68.65(d)(2). EPA is simply clarifying the PSI requirements in order to make the regulation more </w:t>
      </w:r>
      <w:r w:rsidRPr="5675C948" w:rsidR="2EBF433D">
        <w:rPr>
          <w:rFonts w:ascii="Times New Roman" w:eastAsia="Times New Roman" w:hAnsi="Times New Roman"/>
          <w:sz w:val="24"/>
        </w:rPr>
        <w:t>internally</w:t>
      </w:r>
      <w:r w:rsidRPr="5675C948">
        <w:rPr>
          <w:rFonts w:ascii="Times New Roman" w:eastAsia="Times New Roman" w:hAnsi="Times New Roman"/>
          <w:sz w:val="24"/>
        </w:rPr>
        <w:t xml:space="preserve"> </w:t>
      </w:r>
      <w:r w:rsidRPr="00EA37EF">
        <w:rPr>
          <w:rFonts w:ascii="Times New Roman" w:eastAsia="Times New Roman" w:hAnsi="Times New Roman"/>
          <w:sz w:val="24"/>
        </w:rPr>
        <w:t>consistent throughout.</w:t>
      </w:r>
    </w:p>
    <w:p w:rsidR="00021D11" w:rsidRPr="006F68E9" w:rsidP="00021D11" w14:paraId="28023B31" w14:textId="77777777">
      <w:pPr>
        <w:rPr>
          <w:rFonts w:ascii="Times New Roman" w:eastAsia="Times New Roman" w:hAnsi="Times New Roman"/>
          <w:sz w:val="24"/>
        </w:rPr>
      </w:pPr>
      <w:r>
        <w:rPr>
          <w:rFonts w:ascii="Times New Roman" w:eastAsia="Times New Roman" w:hAnsi="Times New Roman"/>
          <w:b/>
          <w:bCs/>
          <w:sz w:val="24"/>
        </w:rPr>
        <w:t xml:space="preserve">Comment 14.2-03: </w:t>
      </w:r>
      <w:r>
        <w:rPr>
          <w:rFonts w:ascii="Times New Roman" w:eastAsia="Times New Roman" w:hAnsi="Times New Roman"/>
          <w:sz w:val="24"/>
        </w:rPr>
        <w:t>Several</w:t>
      </w:r>
      <w:r w:rsidRPr="006F68E9">
        <w:rPr>
          <w:rFonts w:ascii="Times New Roman" w:eastAsia="Times New Roman" w:hAnsi="Times New Roman"/>
          <w:sz w:val="24"/>
        </w:rPr>
        <w:t xml:space="preserve"> commenters said </w:t>
      </w:r>
      <w:r>
        <w:rPr>
          <w:rFonts w:ascii="Times New Roman" w:eastAsia="Times New Roman" w:hAnsi="Times New Roman"/>
          <w:sz w:val="24"/>
        </w:rPr>
        <w:t>EPA’s proposal</w:t>
      </w:r>
      <w:r w:rsidRPr="006F68E9">
        <w:rPr>
          <w:rFonts w:ascii="Times New Roman" w:eastAsia="Times New Roman" w:hAnsi="Times New Roman"/>
          <w:sz w:val="24"/>
        </w:rPr>
        <w:t xml:space="preserve"> is already an OSHA PSM requirement, is redundant, and EPA’s proposed regulation change is not necessary (0180, 0181, 0226, 0232, 0458). Some of the commenters also stated that implementation would result in unnecessary costs on facilities (0180, 0226, 0233, 0458).</w:t>
      </w:r>
    </w:p>
    <w:p w:rsidR="00021D11" w:rsidRPr="006F68E9" w:rsidP="00021D11" w14:paraId="78A59F70" w14:textId="6686D1C7">
      <w:pPr>
        <w:ind w:left="720"/>
        <w:rPr>
          <w:rFonts w:ascii="Times New Roman" w:eastAsia="Times New Roman" w:hAnsi="Times New Roman"/>
          <w:sz w:val="24"/>
        </w:rPr>
      </w:pPr>
      <w:r w:rsidRPr="00CB169B">
        <w:rPr>
          <w:rFonts w:ascii="Times New Roman" w:eastAsia="Times New Roman" w:hAnsi="Times New Roman"/>
          <w:b/>
          <w:sz w:val="24"/>
        </w:rPr>
        <w:t xml:space="preserve">EPA </w:t>
      </w:r>
      <w:r w:rsidRPr="00CB169B">
        <w:rPr>
          <w:rFonts w:ascii="Times New Roman" w:eastAsia="Times New Roman" w:hAnsi="Times New Roman"/>
          <w:b/>
          <w:bCs/>
          <w:sz w:val="24"/>
        </w:rPr>
        <w:t>Response:</w:t>
      </w:r>
      <w:r>
        <w:rPr>
          <w:rFonts w:ascii="Times New Roman" w:eastAsia="Times New Roman" w:hAnsi="Times New Roman"/>
          <w:sz w:val="24"/>
        </w:rPr>
        <w:t xml:space="preserve"> </w:t>
      </w:r>
      <w:r w:rsidRPr="009F1ACC">
        <w:rPr>
          <w:rFonts w:ascii="Times New Roman" w:eastAsia="Times New Roman" w:hAnsi="Times New Roman"/>
          <w:sz w:val="24"/>
        </w:rPr>
        <w:t>In response to comments that the updated PSI requirements would be inconsistent or redundant with OSHA’s PSM requirements, EPA disagrees. EPA has coordinated with OSHA throughout the rulemaking process</w:t>
      </w:r>
      <w:r w:rsidR="0034270C">
        <w:rPr>
          <w:rFonts w:ascii="Times New Roman" w:eastAsia="Times New Roman" w:hAnsi="Times New Roman"/>
          <w:sz w:val="24"/>
        </w:rPr>
        <w:t xml:space="preserve"> </w:t>
      </w:r>
      <w:r w:rsidRPr="0034270C" w:rsidR="0034270C">
        <w:rPr>
          <w:rFonts w:ascii="Times New Roman" w:eastAsia="Times New Roman" w:hAnsi="Times New Roman"/>
          <w:sz w:val="24"/>
        </w:rPr>
        <w:t>(including but not limited to meetings on various dates in Appendix A to this document)</w:t>
      </w:r>
      <w:r w:rsidR="0034270C">
        <w:rPr>
          <w:rFonts w:ascii="Times New Roman" w:eastAsia="Times New Roman" w:hAnsi="Times New Roman"/>
          <w:sz w:val="24"/>
        </w:rPr>
        <w:t xml:space="preserve"> </w:t>
      </w:r>
      <w:r w:rsidRPr="009F1ACC">
        <w:rPr>
          <w:rFonts w:ascii="Times New Roman" w:eastAsia="Times New Roman" w:hAnsi="Times New Roman"/>
          <w:sz w:val="24"/>
        </w:rPr>
        <w:t xml:space="preserve">to ensure the intent of adding specificity and clarification to the RMP regulations </w:t>
      </w:r>
      <w:r w:rsidRPr="50B04357">
        <w:rPr>
          <w:rFonts w:ascii="Times New Roman" w:eastAsia="Times New Roman" w:hAnsi="Times New Roman"/>
          <w:sz w:val="24"/>
        </w:rPr>
        <w:t>does not create conflicts</w:t>
      </w:r>
      <w:r w:rsidRPr="009F1ACC">
        <w:rPr>
          <w:rFonts w:ascii="Times New Roman" w:eastAsia="Times New Roman" w:hAnsi="Times New Roman"/>
          <w:sz w:val="24"/>
        </w:rPr>
        <w:t xml:space="preserve"> with the </w:t>
      </w:r>
      <w:r w:rsidRPr="50B04357">
        <w:rPr>
          <w:rFonts w:ascii="Times New Roman" w:eastAsia="Times New Roman" w:hAnsi="Times New Roman"/>
          <w:sz w:val="24"/>
        </w:rPr>
        <w:t xml:space="preserve">requirements </w:t>
      </w:r>
      <w:r w:rsidRPr="009F1ACC">
        <w:rPr>
          <w:rFonts w:ascii="Times New Roman" w:eastAsia="Times New Roman" w:hAnsi="Times New Roman"/>
          <w:sz w:val="24"/>
        </w:rPr>
        <w:t>of the OSHA PSM standard</w:t>
      </w:r>
      <w:r w:rsidRPr="00815F2F" w:rsidR="00815F2F">
        <w:rPr>
          <w:rFonts w:ascii="Times New Roman" w:eastAsia="Times New Roman" w:hAnsi="Times New Roman"/>
          <w:sz w:val="24"/>
        </w:rPr>
        <w:t>.</w:t>
      </w:r>
    </w:p>
    <w:p w:rsidR="00021D11" w:rsidRPr="006F68E9" w:rsidP="00021D11" w14:paraId="04E28753" w14:textId="77777777">
      <w:pPr>
        <w:ind w:left="720"/>
        <w:rPr>
          <w:rFonts w:ascii="Times New Roman" w:eastAsia="Times New Roman" w:hAnsi="Times New Roman"/>
          <w:sz w:val="24"/>
        </w:rPr>
      </w:pPr>
      <w:r w:rsidRPr="00997C37">
        <w:rPr>
          <w:rFonts w:ascii="Times New Roman" w:eastAsia="Times New Roman" w:hAnsi="Times New Roman"/>
          <w:sz w:val="24"/>
        </w:rPr>
        <w:t>EPA disagrees that this modification will result in unnecessary costs on facilities. The intent of the changes to the regulatory text is to simplify implementation for facilities, as well as oversight, thereby improving chemical safety. The amendments do not change the meaning of the RMP rule. Therefore, EPA does not expect the changes to result in any additional costs for facilities.</w:t>
      </w:r>
    </w:p>
    <w:p w:rsidR="00021D11" w:rsidP="00021D11" w14:paraId="016E238B" w14:textId="77777777">
      <w:pPr>
        <w:rPr>
          <w:rFonts w:ascii="Times New Roman" w:eastAsia="Times New Roman" w:hAnsi="Times New Roman"/>
          <w:sz w:val="24"/>
        </w:rPr>
      </w:pPr>
      <w:r>
        <w:rPr>
          <w:rFonts w:ascii="Times New Roman" w:eastAsia="Times New Roman" w:hAnsi="Times New Roman"/>
          <w:b/>
          <w:bCs/>
          <w:sz w:val="24"/>
        </w:rPr>
        <w:t xml:space="preserve">Comment 14.2-04: </w:t>
      </w:r>
      <w:r w:rsidRPr="006F68E9">
        <w:rPr>
          <w:rFonts w:ascii="Times New Roman" w:eastAsia="Times New Roman" w:hAnsi="Times New Roman"/>
          <w:sz w:val="24"/>
        </w:rPr>
        <w:t xml:space="preserve">One commenter </w:t>
      </w:r>
      <w:r>
        <w:rPr>
          <w:rFonts w:ascii="Times New Roman" w:eastAsia="Times New Roman" w:hAnsi="Times New Roman"/>
          <w:sz w:val="24"/>
        </w:rPr>
        <w:t>said</w:t>
      </w:r>
      <w:r w:rsidRPr="006F68E9">
        <w:rPr>
          <w:rFonts w:ascii="Times New Roman" w:eastAsia="Times New Roman" w:hAnsi="Times New Roman"/>
          <w:sz w:val="24"/>
        </w:rPr>
        <w:t xml:space="preserve">, as currently written, the regulation does not impose a continuing obligation to maintain PSI. The commenter stated that the current regulation requires only that “the owner or operator complete a compilation of written process safety information before conducting any process hazard analysis required by the rule,” and that PSI be updated for specified process changes and facility changes that affect the process. The commenter </w:t>
      </w:r>
      <w:r>
        <w:rPr>
          <w:rFonts w:ascii="Times New Roman" w:eastAsia="Times New Roman" w:hAnsi="Times New Roman"/>
          <w:sz w:val="24"/>
        </w:rPr>
        <w:t>stated</w:t>
      </w:r>
      <w:r w:rsidRPr="006F68E9">
        <w:rPr>
          <w:rFonts w:ascii="Times New Roman" w:eastAsia="Times New Roman" w:hAnsi="Times New Roman"/>
          <w:sz w:val="24"/>
        </w:rPr>
        <w:t xml:space="preserve"> that as PHAs are conducted on five-year cycles, the applicable PSI need only be compiled on a corresponding five-year cycle (0233).</w:t>
      </w:r>
    </w:p>
    <w:p w:rsidR="00021D11" w:rsidRPr="006F68E9" w:rsidP="00021D11" w14:paraId="79563B4C" w14:textId="6C746FAA">
      <w:pPr>
        <w:ind w:left="720"/>
        <w:rPr>
          <w:rFonts w:ascii="Times New Roman" w:eastAsia="Times New Roman" w:hAnsi="Times New Roman"/>
          <w:sz w:val="24"/>
        </w:rPr>
      </w:pPr>
      <w:r w:rsidRPr="00CB169B">
        <w:rPr>
          <w:rFonts w:ascii="Times New Roman" w:eastAsia="Times New Roman" w:hAnsi="Times New Roman"/>
          <w:b/>
          <w:sz w:val="24"/>
        </w:rPr>
        <w:t xml:space="preserve">EPA </w:t>
      </w:r>
      <w:r w:rsidRPr="00CB169B">
        <w:rPr>
          <w:rFonts w:ascii="Times New Roman" w:eastAsia="Times New Roman" w:hAnsi="Times New Roman"/>
          <w:b/>
          <w:bCs/>
          <w:sz w:val="24"/>
        </w:rPr>
        <w:t>Response</w:t>
      </w:r>
      <w:r>
        <w:rPr>
          <w:rFonts w:ascii="Times New Roman" w:eastAsia="Times New Roman" w:hAnsi="Times New Roman"/>
          <w:sz w:val="24"/>
        </w:rPr>
        <w:t xml:space="preserve">: </w:t>
      </w:r>
      <w:r w:rsidRPr="004C3D91">
        <w:rPr>
          <w:rFonts w:ascii="Times New Roman" w:eastAsia="Times New Roman" w:hAnsi="Times New Roman"/>
          <w:sz w:val="24"/>
        </w:rPr>
        <w:t>EPA disagrees that the regulation, as currently written, does not impose a continuing obligation to maintain PSI. The requirement in 40 CFR§ 68.75(d) that PSI must be updated to reflect changes implies that PSI must be maintained. Further, the requirement to “document compliance with RAGAGEP” additionally supports that current PSI shall be maintained, since compliance cannot be documented without the maintaining of current PSI documents.</w:t>
      </w:r>
    </w:p>
    <w:p w:rsidR="00021D11" w:rsidRPr="006F68E9" w:rsidP="00560EA0" w14:paraId="7C2DCE77" w14:textId="77777777">
      <w:pPr>
        <w:pStyle w:val="Heading2"/>
        <w:tabs>
          <w:tab w:val="clear" w:pos="8684"/>
        </w:tabs>
        <w:spacing w:before="120"/>
        <w:rPr>
          <w:rFonts w:ascii="Times New Roman" w:hAnsi="Times New Roman" w:cs="Times New Roman"/>
          <w:b/>
          <w:bCs/>
          <w:color w:val="auto"/>
          <w:sz w:val="24"/>
          <w:szCs w:val="24"/>
        </w:rPr>
      </w:pPr>
      <w:bookmarkStart w:id="165" w:name="_Toc153373832"/>
      <w:r w:rsidRPr="006F68E9">
        <w:rPr>
          <w:rFonts w:ascii="Times New Roman" w:hAnsi="Times New Roman" w:cs="Times New Roman"/>
          <w:b/>
          <w:bCs/>
          <w:color w:val="auto"/>
          <w:sz w:val="24"/>
          <w:szCs w:val="24"/>
        </w:rPr>
        <w:t xml:space="preserve">Program 2 and 3 </w:t>
      </w:r>
      <w:r>
        <w:rPr>
          <w:rFonts w:ascii="Times New Roman" w:hAnsi="Times New Roman" w:cs="Times New Roman"/>
          <w:b/>
          <w:bCs/>
          <w:color w:val="auto"/>
          <w:sz w:val="24"/>
          <w:szCs w:val="24"/>
        </w:rPr>
        <w:t>r</w:t>
      </w:r>
      <w:r w:rsidRPr="006F68E9">
        <w:rPr>
          <w:rFonts w:ascii="Times New Roman" w:hAnsi="Times New Roman" w:cs="Times New Roman"/>
          <w:b/>
          <w:bCs/>
          <w:color w:val="auto"/>
          <w:sz w:val="24"/>
          <w:szCs w:val="24"/>
        </w:rPr>
        <w:t xml:space="preserve">equirements for </w:t>
      </w:r>
      <w:r>
        <w:rPr>
          <w:rFonts w:ascii="Times New Roman" w:hAnsi="Times New Roman" w:cs="Times New Roman"/>
          <w:b/>
          <w:bCs/>
          <w:color w:val="auto"/>
          <w:sz w:val="24"/>
          <w:szCs w:val="24"/>
        </w:rPr>
        <w:t>c</w:t>
      </w:r>
      <w:r w:rsidRPr="006F68E9">
        <w:rPr>
          <w:rFonts w:ascii="Times New Roman" w:hAnsi="Times New Roman" w:cs="Times New Roman"/>
          <w:b/>
          <w:bCs/>
          <w:color w:val="auto"/>
          <w:sz w:val="24"/>
          <w:szCs w:val="24"/>
        </w:rPr>
        <w:t>ompliance with RAGAGEP</w:t>
      </w:r>
      <w:bookmarkEnd w:id="165"/>
    </w:p>
    <w:p w:rsidR="00021D11" w:rsidRPr="00997C37" w:rsidP="00021D11" w14:paraId="04569A5A" w14:textId="77777777">
      <w:pPr>
        <w:rPr>
          <w:rFonts w:ascii="Times New Roman" w:hAnsi="Times New Roman"/>
          <w:i/>
          <w:iCs/>
          <w:sz w:val="24"/>
        </w:rPr>
      </w:pPr>
      <w:r w:rsidRPr="00997C37">
        <w:rPr>
          <w:rFonts w:ascii="Times New Roman" w:hAnsi="Times New Roman"/>
          <w:i/>
          <w:iCs/>
          <w:sz w:val="24"/>
        </w:rPr>
        <w:t>Support</w:t>
      </w:r>
    </w:p>
    <w:p w:rsidR="00021D11" w:rsidP="00021D11" w14:paraId="096C3090" w14:textId="77777777">
      <w:pPr>
        <w:rPr>
          <w:rFonts w:ascii="Times New Roman" w:hAnsi="Times New Roman"/>
          <w:sz w:val="24"/>
        </w:rPr>
      </w:pPr>
      <w:r>
        <w:rPr>
          <w:rFonts w:ascii="Times New Roman" w:hAnsi="Times New Roman"/>
          <w:b/>
          <w:bCs/>
          <w:sz w:val="24"/>
        </w:rPr>
        <w:t xml:space="preserve">Comment 14.3-01: </w:t>
      </w:r>
      <w:r w:rsidRPr="006F68E9">
        <w:rPr>
          <w:rFonts w:ascii="Times New Roman" w:hAnsi="Times New Roman"/>
          <w:sz w:val="24"/>
        </w:rPr>
        <w:t>The commenter supported EPA’s proposal</w:t>
      </w:r>
      <w:r>
        <w:rPr>
          <w:rFonts w:ascii="Times New Roman" w:hAnsi="Times New Roman"/>
          <w:sz w:val="24"/>
        </w:rPr>
        <w:t xml:space="preserve"> to</w:t>
      </w:r>
      <w:r w:rsidRPr="006F68E9">
        <w:rPr>
          <w:rFonts w:ascii="Times New Roman" w:hAnsi="Times New Roman"/>
          <w:sz w:val="24"/>
        </w:rPr>
        <w:t xml:space="preserve"> harmonize the Program 2 and 3 provisions (§§ 68.48(b) and 68.65(d)(2))</w:t>
      </w:r>
      <w:r>
        <w:rPr>
          <w:rFonts w:ascii="Times New Roman" w:hAnsi="Times New Roman"/>
          <w:sz w:val="24"/>
        </w:rPr>
        <w:t xml:space="preserve"> </w:t>
      </w:r>
      <w:r w:rsidRPr="006F68E9">
        <w:rPr>
          <w:rFonts w:ascii="Times New Roman" w:hAnsi="Times New Roman"/>
          <w:sz w:val="24"/>
        </w:rPr>
        <w:t>(0460).</w:t>
      </w:r>
    </w:p>
    <w:p w:rsidR="00021D11" w:rsidP="00021D11" w14:paraId="168FAAD4" w14:textId="77777777">
      <w:pPr>
        <w:rPr>
          <w:rFonts w:ascii="Times New Roman" w:hAnsi="Times New Roman"/>
          <w:sz w:val="24"/>
        </w:rPr>
      </w:pPr>
      <w:r w:rsidRPr="005105A2">
        <w:rPr>
          <w:rFonts w:ascii="Times New Roman" w:hAnsi="Times New Roman"/>
          <w:sz w:val="24"/>
        </w:rPr>
        <w:t>Another commenter expressed support for EPA’s proposed clarification of RAGAGEP and stated that this may help alleviate the various interpretations of RAGAGEP industry-wide (0216).</w:t>
      </w:r>
    </w:p>
    <w:p w:rsidR="00021D11" w:rsidRPr="00136F2A" w:rsidP="007C7280" w14:paraId="2099486E" w14:textId="257E69E2">
      <w:pPr>
        <w:ind w:left="720"/>
        <w:rPr>
          <w:rFonts w:ascii="Times New Roman" w:hAnsi="Times New Roman"/>
          <w:b/>
          <w:bCs/>
          <w:sz w:val="24"/>
        </w:rPr>
      </w:pPr>
      <w:r w:rsidRPr="00136F2A">
        <w:rPr>
          <w:rFonts w:ascii="Times New Roman" w:hAnsi="Times New Roman"/>
          <w:b/>
          <w:bCs/>
          <w:sz w:val="24"/>
        </w:rPr>
        <w:t xml:space="preserve">EPA Response: </w:t>
      </w:r>
      <w:r w:rsidRPr="00ED2162">
        <w:rPr>
          <w:rFonts w:ascii="Times New Roman" w:hAnsi="Times New Roman"/>
          <w:sz w:val="24"/>
        </w:rPr>
        <w:t>EPA appreciates the commenter</w:t>
      </w:r>
      <w:r>
        <w:rPr>
          <w:rFonts w:ascii="Times New Roman" w:hAnsi="Times New Roman"/>
          <w:sz w:val="24"/>
        </w:rPr>
        <w:t>s’</w:t>
      </w:r>
      <w:r w:rsidRPr="00ED2162">
        <w:rPr>
          <w:rFonts w:ascii="Times New Roman" w:hAnsi="Times New Roman"/>
          <w:sz w:val="24"/>
        </w:rPr>
        <w:t xml:space="preserve"> support.</w:t>
      </w:r>
      <w:r w:rsidRPr="007C7280" w:rsidR="007C7280">
        <w:t xml:space="preserve"> </w:t>
      </w:r>
      <w:r w:rsidRPr="007C7280" w:rsidR="007C7280">
        <w:rPr>
          <w:rFonts w:ascii="Times New Roman" w:hAnsi="Times New Roman"/>
          <w:sz w:val="24"/>
        </w:rPr>
        <w:t xml:space="preserve">EPA </w:t>
      </w:r>
      <w:r w:rsidR="007C7280">
        <w:rPr>
          <w:rFonts w:ascii="Times New Roman" w:hAnsi="Times New Roman"/>
          <w:sz w:val="24"/>
        </w:rPr>
        <w:t xml:space="preserve">believes that </w:t>
      </w:r>
      <w:r w:rsidR="00265A29">
        <w:rPr>
          <w:rFonts w:ascii="Times New Roman" w:hAnsi="Times New Roman"/>
          <w:sz w:val="24"/>
        </w:rPr>
        <w:t xml:space="preserve">finalizing these </w:t>
      </w:r>
      <w:r w:rsidR="00461C65">
        <w:rPr>
          <w:rFonts w:ascii="Times New Roman" w:hAnsi="Times New Roman"/>
          <w:sz w:val="24"/>
        </w:rPr>
        <w:t xml:space="preserve">regulatory text </w:t>
      </w:r>
      <w:r w:rsidR="00265A29">
        <w:rPr>
          <w:rFonts w:ascii="Times New Roman" w:hAnsi="Times New Roman"/>
          <w:sz w:val="24"/>
        </w:rPr>
        <w:t xml:space="preserve">changes </w:t>
      </w:r>
      <w:r w:rsidRPr="007C7280" w:rsidR="007C7280">
        <w:rPr>
          <w:rFonts w:ascii="Times New Roman" w:hAnsi="Times New Roman"/>
          <w:sz w:val="24"/>
        </w:rPr>
        <w:t>will clarify the requirements and address the concern that Federal or State regulations may lag behind current RAGAGEP.</w:t>
      </w:r>
    </w:p>
    <w:p w:rsidR="00021D11" w:rsidRPr="00F23E0C" w:rsidP="00021D11" w14:paraId="337C6D64" w14:textId="77777777">
      <w:pPr>
        <w:rPr>
          <w:rFonts w:ascii="Times New Roman" w:hAnsi="Times New Roman"/>
          <w:i/>
          <w:iCs/>
          <w:sz w:val="24"/>
        </w:rPr>
      </w:pPr>
      <w:r>
        <w:rPr>
          <w:rFonts w:ascii="Times New Roman" w:hAnsi="Times New Roman"/>
          <w:i/>
          <w:iCs/>
          <w:sz w:val="24"/>
        </w:rPr>
        <w:t>Opposition or recommended revisions</w:t>
      </w:r>
    </w:p>
    <w:p w:rsidR="00021D11" w:rsidRPr="006F68E9" w:rsidP="00021D11" w14:paraId="477D6F77" w14:textId="77777777">
      <w:pPr>
        <w:rPr>
          <w:rFonts w:ascii="Times New Roman" w:hAnsi="Times New Roman"/>
          <w:sz w:val="24"/>
        </w:rPr>
      </w:pPr>
      <w:r w:rsidRPr="00C50FC3">
        <w:rPr>
          <w:rFonts w:ascii="Times New Roman" w:hAnsi="Times New Roman"/>
          <w:b/>
          <w:bCs/>
          <w:sz w:val="24"/>
        </w:rPr>
        <w:t>Comment 14.3-02:</w:t>
      </w:r>
      <w:r>
        <w:rPr>
          <w:rFonts w:ascii="Times New Roman" w:hAnsi="Times New Roman"/>
          <w:sz w:val="24"/>
        </w:rPr>
        <w:t xml:space="preserve"> </w:t>
      </w:r>
      <w:r w:rsidRPr="006F68E9">
        <w:rPr>
          <w:rFonts w:ascii="Times New Roman" w:hAnsi="Times New Roman"/>
          <w:sz w:val="24"/>
        </w:rPr>
        <w:t>A couple of commenters stated the provisions that owners should ensure and document processes are designed in compliance with RAGAGEP is an existing PSM requirement and is not necessary (0181, 0262). One of the commenters stated that the sentence “</w:t>
      </w:r>
      <w:r w:rsidRPr="006F68E9">
        <w:rPr>
          <w:rStyle w:val="Emphasis"/>
        </w:rPr>
        <w:t>Compliance with Federal or state regulations that address industry-specific safe design or with industry-specific design codes and standards may be used to demonstrate compliance with this paragraph</w:t>
      </w:r>
      <w:r w:rsidRPr="006F68E9">
        <w:rPr>
          <w:rFonts w:ascii="Times New Roman" w:hAnsi="Times New Roman"/>
          <w:sz w:val="24"/>
        </w:rPr>
        <w:t xml:space="preserve">” should not be removed from the existing RMP standard. The commenter stated that EPA should advocate for specific federal or state regulations to be updated if EPA feels those lag current </w:t>
      </w:r>
      <w:r w:rsidRPr="006F68E9">
        <w:rPr>
          <w:rFonts w:ascii="Times New Roman" w:hAnsi="Times New Roman"/>
          <w:sz w:val="24"/>
        </w:rPr>
        <w:t>RAGAGEP (0181). Another commenter added the proposal to clarify that the requirement to keep process safety information up to date explicitly applies to Program 3 processes is already a requirement under OSHA and PSM and is also not necessary (0262).</w:t>
      </w:r>
    </w:p>
    <w:p w:rsidR="001E4D4C" w:rsidP="00021D11" w14:paraId="45E9F6CC" w14:textId="597CC351">
      <w:pPr>
        <w:rPr>
          <w:rFonts w:ascii="Times New Roman" w:hAnsi="Times New Roman"/>
          <w:sz w:val="24"/>
        </w:rPr>
      </w:pPr>
      <w:r w:rsidRPr="005105A2">
        <w:rPr>
          <w:rFonts w:ascii="Times New Roman" w:hAnsi="Times New Roman"/>
          <w:sz w:val="24"/>
        </w:rPr>
        <w:t>A few commenters urged EPA not to eliminate from the RMP rule the language that allows a facility to comply with RAGAGEP through compliance with Federal or state regulations that address industry-specific safe design or industry-specific design codes and standards (0242, 0244, 0267). One of the commenters asked EPA to either retain flexibility through the current language or allow for the use of another approved standard (0267). Another commenter suggested that because there may be alternatives that provide the same or equivalent standards as RAGAGEP, EPA should allow the same options as provided in 40 CFR 68.48 (0244).</w:t>
      </w:r>
      <w:r w:rsidRPr="00542F7A">
        <w:rPr>
          <w:rFonts w:ascii="Times New Roman" w:hAnsi="Times New Roman"/>
          <w:sz w:val="24"/>
        </w:rPr>
        <w:t xml:space="preserve"> </w:t>
      </w:r>
    </w:p>
    <w:p w:rsidR="00DA7D5A" w:rsidP="00DA7D5A" w14:paraId="7A13A252" w14:textId="215E1438">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the </w:t>
      </w:r>
      <w:r>
        <w:rPr>
          <w:rFonts w:ascii="Times New Roman" w:hAnsi="Times New Roman"/>
          <w:sz w:val="24"/>
        </w:rPr>
        <w:t>proposed rule</w:t>
      </w:r>
      <w:r w:rsidRPr="006F68E9">
        <w:rPr>
          <w:rFonts w:ascii="Times New Roman" w:hAnsi="Times New Roman"/>
          <w:sz w:val="24"/>
        </w:rPr>
        <w:t xml:space="preserve"> identifies no legal authority permitting these new requirements, no data demonstrating a need for them, or what benefits could be achieved by them (0207).</w:t>
      </w:r>
    </w:p>
    <w:p w:rsidR="00DA7D5A" w:rsidRPr="006F68E9" w:rsidP="00DA7D5A" w14:paraId="4E8A2912" w14:textId="35C2BCA5">
      <w:pPr>
        <w:rPr>
          <w:rFonts w:ascii="Times New Roman" w:hAnsi="Times New Roman"/>
          <w:sz w:val="24"/>
        </w:rPr>
      </w:pPr>
      <w:r w:rsidRPr="005105A2">
        <w:rPr>
          <w:rFonts w:ascii="Times New Roman" w:hAnsi="Times New Roman"/>
          <w:sz w:val="24"/>
        </w:rPr>
        <w:t xml:space="preserve">One commenter </w:t>
      </w:r>
      <w:r>
        <w:rPr>
          <w:rFonts w:ascii="Times New Roman" w:hAnsi="Times New Roman"/>
          <w:sz w:val="24"/>
        </w:rPr>
        <w:t>stated</w:t>
      </w:r>
      <w:r w:rsidRPr="005105A2">
        <w:rPr>
          <w:rFonts w:ascii="Times New Roman" w:hAnsi="Times New Roman"/>
          <w:sz w:val="24"/>
        </w:rPr>
        <w:t xml:space="preserve"> that compliance with Federal or State regulations is required by law and corporate policies; therefore, if OSHA flammable liquid standards in 49 CFR 1910.106 are not up to date with current National Fire Protection Association (NFPA) or International Fire Code Standards, the OSHA Standards should be updated. The commenter stated that the CAA does not grant EPA the authority to substitute compliance with current RAGAGEP for compliance with promulgated OSHA regulations (0238).</w:t>
      </w:r>
    </w:p>
    <w:p w:rsidR="00021D11" w:rsidRPr="00C217D5" w:rsidP="00021D11" w14:paraId="322A15C7" w14:textId="6165B605">
      <w:pPr>
        <w:ind w:left="720"/>
        <w:rPr>
          <w:rFonts w:ascii="Times New Roman" w:hAnsi="Times New Roman"/>
          <w:sz w:val="24"/>
        </w:rPr>
      </w:pPr>
      <w:r w:rsidRPr="00CB169B">
        <w:rPr>
          <w:rFonts w:ascii="Times New Roman" w:hAnsi="Times New Roman"/>
          <w:b/>
          <w:sz w:val="24"/>
        </w:rPr>
        <w:t xml:space="preserve">EPA </w:t>
      </w:r>
      <w:r w:rsidRPr="00CB169B">
        <w:rPr>
          <w:rFonts w:ascii="Times New Roman" w:hAnsi="Times New Roman"/>
          <w:b/>
          <w:bCs/>
          <w:sz w:val="24"/>
        </w:rPr>
        <w:t>Response:</w:t>
      </w:r>
      <w:r>
        <w:rPr>
          <w:rFonts w:ascii="Times New Roman" w:hAnsi="Times New Roman"/>
          <w:sz w:val="24"/>
        </w:rPr>
        <w:t xml:space="preserve"> </w:t>
      </w:r>
      <w:r w:rsidRPr="00C217D5">
        <w:rPr>
          <w:rFonts w:ascii="Times New Roman" w:hAnsi="Times New Roman"/>
          <w:sz w:val="24"/>
        </w:rPr>
        <w:t>EPA disagrees that the changes to the regulatory language are unnecessary. EPA has found that the distinction between “ensure” for Program 2 processes and “document” for Program 3 processes creates confusion, and requiring facilities to “document” compliance, rather than merely “ensure” compliance, removes this ambiguity.</w:t>
      </w:r>
      <w:r>
        <w:rPr>
          <w:rFonts w:ascii="Times New Roman" w:hAnsi="Times New Roman"/>
          <w:sz w:val="24"/>
        </w:rPr>
        <w:t xml:space="preserve"> </w:t>
      </w:r>
      <w:r w:rsidRPr="00C217D5">
        <w:rPr>
          <w:rFonts w:ascii="Times New Roman" w:hAnsi="Times New Roman"/>
          <w:sz w:val="24"/>
        </w:rPr>
        <w:t xml:space="preserve">With regards to Federal or State regulations that lag behind current RAGAGEP, EPA notes there is a difference when updated codes augment existing regulations versus when they conflict. To the extent they conflict, existing regulations reign over new RAGAGEP. However, if a facility can comply with existing regulations and new RAGAGEP, then there is an obligation to comply with both. </w:t>
      </w:r>
      <w:r w:rsidRPr="00B9197D" w:rsidR="00B9197D">
        <w:rPr>
          <w:rFonts w:ascii="Times New Roman" w:hAnsi="Times New Roman"/>
          <w:sz w:val="24"/>
        </w:rPr>
        <w:t>EPA believes this provision will help resolve confusion when more current RAGAGEP identify potential shortcomings in a facility’s process.</w:t>
      </w:r>
    </w:p>
    <w:p w:rsidR="00021D11" w:rsidRPr="00136F2A" w:rsidP="5675C948" w14:paraId="332FA92B" w14:textId="60873ED2">
      <w:pPr>
        <w:ind w:left="720"/>
        <w:rPr>
          <w:rFonts w:ascii="Times New Roman" w:hAnsi="Times New Roman"/>
          <w:sz w:val="24"/>
        </w:rPr>
      </w:pPr>
      <w:r w:rsidRPr="5675C948">
        <w:rPr>
          <w:rFonts w:ascii="Times New Roman" w:hAnsi="Times New Roman"/>
          <w:sz w:val="24"/>
        </w:rPr>
        <w:t>The legal authority for this provision is the same as the legal authority for all prevention program provisions. The authority is extensively discussed in t</w:t>
      </w:r>
      <w:r w:rsidRPr="5675C948" w:rsidR="6DD48511">
        <w:rPr>
          <w:rFonts w:ascii="Times New Roman" w:hAnsi="Times New Roman"/>
          <w:sz w:val="24"/>
        </w:rPr>
        <w:t>he preamble</w:t>
      </w:r>
      <w:r w:rsidR="00304669">
        <w:rPr>
          <w:rFonts w:ascii="Times New Roman" w:hAnsi="Times New Roman"/>
          <w:sz w:val="24"/>
        </w:rPr>
        <w:t>.</w:t>
      </w:r>
    </w:p>
    <w:p w:rsidR="00021D11" w:rsidRPr="00136F2A" w:rsidP="00021D11" w14:paraId="13923C34" w14:textId="37680511">
      <w:pPr>
        <w:ind w:left="720"/>
        <w:rPr>
          <w:rFonts w:ascii="Times New Roman" w:hAnsi="Times New Roman"/>
          <w:sz w:val="24"/>
        </w:rPr>
      </w:pPr>
      <w:r>
        <w:rPr>
          <w:rFonts w:ascii="Times New Roman" w:hAnsi="Times New Roman"/>
          <w:sz w:val="24"/>
        </w:rPr>
        <w:t xml:space="preserve">Further, </w:t>
      </w:r>
      <w:r w:rsidRPr="00C217D5">
        <w:rPr>
          <w:rFonts w:ascii="Times New Roman" w:hAnsi="Times New Roman"/>
          <w:sz w:val="24"/>
        </w:rPr>
        <w:t xml:space="preserve">EPA has coordinated with OSHA throughout the rulemaking process </w:t>
      </w:r>
      <w:r w:rsidRPr="0034270C" w:rsidR="0034270C">
        <w:rPr>
          <w:rFonts w:ascii="Times New Roman" w:hAnsi="Times New Roman"/>
          <w:sz w:val="24"/>
        </w:rPr>
        <w:t>(including but not limited to meetings on various dates in Appendix A to this document)</w:t>
      </w:r>
      <w:r w:rsidR="0034270C">
        <w:rPr>
          <w:rFonts w:ascii="Times New Roman" w:hAnsi="Times New Roman"/>
          <w:sz w:val="24"/>
        </w:rPr>
        <w:t xml:space="preserve"> </w:t>
      </w:r>
      <w:r w:rsidRPr="00C217D5">
        <w:rPr>
          <w:rFonts w:ascii="Times New Roman" w:hAnsi="Times New Roman"/>
          <w:sz w:val="24"/>
        </w:rPr>
        <w:t xml:space="preserve">to ensure the intent of adding specificity and clarification to the RMP regulations </w:t>
      </w:r>
      <w:r w:rsidRPr="50B04357">
        <w:rPr>
          <w:rFonts w:ascii="Times New Roman" w:hAnsi="Times New Roman"/>
          <w:sz w:val="24"/>
        </w:rPr>
        <w:t>does not create conflicts</w:t>
      </w:r>
      <w:r>
        <w:rPr>
          <w:rFonts w:ascii="Times New Roman" w:hAnsi="Times New Roman"/>
          <w:sz w:val="24"/>
        </w:rPr>
        <w:t xml:space="preserve"> </w:t>
      </w:r>
      <w:r w:rsidRPr="00C217D5">
        <w:rPr>
          <w:rFonts w:ascii="Times New Roman" w:hAnsi="Times New Roman"/>
          <w:sz w:val="24"/>
        </w:rPr>
        <w:t xml:space="preserve">with the </w:t>
      </w:r>
      <w:r w:rsidRPr="50B04357">
        <w:rPr>
          <w:rFonts w:ascii="Times New Roman" w:hAnsi="Times New Roman"/>
          <w:sz w:val="24"/>
        </w:rPr>
        <w:t>requirements</w:t>
      </w:r>
      <w:r w:rsidRPr="00C217D5">
        <w:rPr>
          <w:rFonts w:ascii="Times New Roman" w:hAnsi="Times New Roman"/>
          <w:sz w:val="24"/>
        </w:rPr>
        <w:t xml:space="preserve"> of the OSHA PSM.</w:t>
      </w:r>
    </w:p>
    <w:p w:rsidR="00021D11" w:rsidP="00021D11" w14:paraId="6C1C4040" w14:textId="77777777">
      <w:pPr>
        <w:rPr>
          <w:rFonts w:ascii="Times New Roman" w:hAnsi="Times New Roman"/>
          <w:sz w:val="24"/>
        </w:rPr>
      </w:pPr>
      <w:r w:rsidRPr="00136F2A">
        <w:rPr>
          <w:rFonts w:ascii="Times New Roman" w:hAnsi="Times New Roman"/>
          <w:b/>
          <w:sz w:val="24"/>
        </w:rPr>
        <w:t>Comment</w:t>
      </w:r>
      <w:r>
        <w:rPr>
          <w:rFonts w:ascii="Times New Roman" w:hAnsi="Times New Roman"/>
          <w:b/>
          <w:sz w:val="24"/>
        </w:rPr>
        <w:t xml:space="preserve"> 14.3-03</w:t>
      </w:r>
      <w:r w:rsidRPr="00136F2A">
        <w:rPr>
          <w:rFonts w:ascii="Times New Roman" w:hAnsi="Times New Roman"/>
          <w:b/>
          <w:sz w:val="24"/>
        </w:rPr>
        <w:t>:</w:t>
      </w:r>
      <w:r>
        <w:rPr>
          <w:rFonts w:ascii="Times New Roman" w:hAnsi="Times New Roman"/>
          <w:sz w:val="24"/>
        </w:rPr>
        <w:t xml:space="preserve"> One</w:t>
      </w:r>
      <w:r w:rsidRPr="006F68E9">
        <w:rPr>
          <w:rFonts w:ascii="Times New Roman" w:hAnsi="Times New Roman"/>
          <w:sz w:val="24"/>
        </w:rPr>
        <w:t xml:space="preserve"> commenter urged EPA to strengthen the proposed changes by expanding the scope of applicability of the RAGAGEP requirement to cover all facilities and require implementation. The commenter further added that facilities should be required to implement RAGAGEP to protect fenceline communities and workers. The commenter </w:t>
      </w:r>
      <w:r>
        <w:rPr>
          <w:rFonts w:ascii="Times New Roman" w:hAnsi="Times New Roman"/>
          <w:sz w:val="24"/>
        </w:rPr>
        <w:t>said</w:t>
      </w:r>
      <w:r w:rsidRPr="006F68E9">
        <w:rPr>
          <w:rFonts w:ascii="Times New Roman" w:hAnsi="Times New Roman"/>
          <w:sz w:val="24"/>
        </w:rPr>
        <w:t xml:space="preserve"> the statute directs EPA to ensure RAGAGEP is fully included in the assessment and process safety requirements, and mandates implementation “to the maximum extent practicable”</w:t>
      </w:r>
      <w:r>
        <w:rPr>
          <w:rFonts w:ascii="Times New Roman" w:hAnsi="Times New Roman"/>
          <w:sz w:val="24"/>
        </w:rPr>
        <w:t xml:space="preserve"> (0460). </w:t>
      </w:r>
    </w:p>
    <w:p w:rsidR="00021D11" w:rsidP="00021D11" w14:paraId="12D9BB48" w14:textId="08689B56">
      <w:pPr>
        <w:ind w:left="720"/>
        <w:rPr>
          <w:rFonts w:ascii="Times New Roman" w:hAnsi="Times New Roman"/>
          <w:sz w:val="24"/>
        </w:rPr>
      </w:pPr>
      <w:r>
        <w:rPr>
          <w:rFonts w:ascii="Times New Roman" w:hAnsi="Times New Roman"/>
          <w:b/>
          <w:bCs/>
          <w:sz w:val="24"/>
        </w:rPr>
        <w:t>EPA Response</w:t>
      </w:r>
      <w:r w:rsidRPr="006B7642">
        <w:rPr>
          <w:rFonts w:ascii="Times New Roman" w:hAnsi="Times New Roman"/>
          <w:b/>
          <w:bCs/>
          <w:sz w:val="24"/>
        </w:rPr>
        <w:t>:</w:t>
      </w:r>
      <w:r>
        <w:rPr>
          <w:rFonts w:ascii="Times New Roman" w:hAnsi="Times New Roman"/>
          <w:sz w:val="24"/>
        </w:rPr>
        <w:t xml:space="preserve"> </w:t>
      </w:r>
      <w:r w:rsidRPr="00C217D5">
        <w:rPr>
          <w:rFonts w:ascii="Times New Roman" w:hAnsi="Times New Roman"/>
          <w:sz w:val="24"/>
        </w:rPr>
        <w:t>EPA is finalizing the proposed changes to the regulatory language. EPA agrees that doing so will clarify the requirements and address the concern that Federal or State regulations may lag behind current RAGAGEP. At this time, EPA is not expanding the scope of RMP applicability of RAGAGEP beyond Program 2 and 3 processes</w:t>
      </w:r>
      <w:r w:rsidR="00B9023D">
        <w:rPr>
          <w:rFonts w:ascii="Times New Roman" w:hAnsi="Times New Roman"/>
          <w:sz w:val="24"/>
        </w:rPr>
        <w:t xml:space="preserve"> or requiring implementation</w:t>
      </w:r>
      <w:r w:rsidRPr="00C217D5">
        <w:rPr>
          <w:rFonts w:ascii="Times New Roman" w:hAnsi="Times New Roman"/>
          <w:sz w:val="24"/>
        </w:rPr>
        <w:t>. EPA does, however, encourage all facilities to use RAGAGEP as it reflects well known industry practices and lessons learned shown to improve process safety and prevent accidents.</w:t>
      </w:r>
    </w:p>
    <w:p w:rsidR="00021D11" w:rsidRPr="006F68E9" w:rsidP="00FC467A" w14:paraId="45F27F84" w14:textId="77777777">
      <w:pPr>
        <w:pStyle w:val="Heading2"/>
        <w:tabs>
          <w:tab w:val="clear" w:pos="8684"/>
        </w:tabs>
        <w:spacing w:before="120"/>
        <w:rPr>
          <w:rFonts w:ascii="Times New Roman" w:hAnsi="Times New Roman" w:cs="Times New Roman"/>
          <w:b/>
          <w:bCs/>
          <w:color w:val="auto"/>
          <w:sz w:val="24"/>
          <w:szCs w:val="24"/>
        </w:rPr>
      </w:pPr>
      <w:bookmarkStart w:id="166" w:name="_Toc153373833"/>
      <w:r w:rsidRPr="006F68E9">
        <w:rPr>
          <w:rFonts w:ascii="Times New Roman" w:hAnsi="Times New Roman" w:cs="Times New Roman"/>
          <w:b/>
          <w:bCs/>
          <w:color w:val="auto"/>
          <w:sz w:val="24"/>
          <w:szCs w:val="24"/>
        </w:rPr>
        <w:t xml:space="preserve">Retention of </w:t>
      </w:r>
      <w:r>
        <w:rPr>
          <w:rFonts w:ascii="Times New Roman" w:hAnsi="Times New Roman" w:cs="Times New Roman"/>
          <w:b/>
          <w:bCs/>
          <w:color w:val="auto"/>
          <w:sz w:val="24"/>
          <w:szCs w:val="24"/>
        </w:rPr>
        <w:t>h</w:t>
      </w:r>
      <w:r w:rsidRPr="006F68E9">
        <w:rPr>
          <w:rFonts w:ascii="Times New Roman" w:hAnsi="Times New Roman" w:cs="Times New Roman"/>
          <w:b/>
          <w:bCs/>
          <w:color w:val="auto"/>
          <w:sz w:val="24"/>
          <w:szCs w:val="24"/>
        </w:rPr>
        <w:t xml:space="preserve">ot </w:t>
      </w:r>
      <w:r>
        <w:rPr>
          <w:rFonts w:ascii="Times New Roman" w:hAnsi="Times New Roman" w:cs="Times New Roman"/>
          <w:b/>
          <w:bCs/>
          <w:color w:val="auto"/>
          <w:sz w:val="24"/>
          <w:szCs w:val="24"/>
        </w:rPr>
        <w:t>w</w:t>
      </w:r>
      <w:r w:rsidRPr="006F68E9">
        <w:rPr>
          <w:rFonts w:ascii="Times New Roman" w:hAnsi="Times New Roman" w:cs="Times New Roman"/>
          <w:b/>
          <w:bCs/>
          <w:color w:val="auto"/>
          <w:sz w:val="24"/>
          <w:szCs w:val="24"/>
        </w:rPr>
        <w:t xml:space="preserve">ork </w:t>
      </w:r>
      <w:r>
        <w:rPr>
          <w:rFonts w:ascii="Times New Roman" w:hAnsi="Times New Roman" w:cs="Times New Roman"/>
          <w:b/>
          <w:bCs/>
          <w:color w:val="auto"/>
          <w:sz w:val="24"/>
          <w:szCs w:val="24"/>
        </w:rPr>
        <w:t>p</w:t>
      </w:r>
      <w:r w:rsidRPr="006F68E9">
        <w:rPr>
          <w:rFonts w:ascii="Times New Roman" w:hAnsi="Times New Roman" w:cs="Times New Roman"/>
          <w:b/>
          <w:bCs/>
          <w:color w:val="auto"/>
          <w:sz w:val="24"/>
          <w:szCs w:val="24"/>
        </w:rPr>
        <w:t>ermits</w:t>
      </w:r>
      <w:bookmarkEnd w:id="166"/>
    </w:p>
    <w:p w:rsidR="00021D11" w:rsidRPr="0099500A" w:rsidP="00021D11" w14:paraId="0312B3F0" w14:textId="77777777">
      <w:pPr>
        <w:rPr>
          <w:rFonts w:ascii="Times New Roman" w:hAnsi="Times New Roman"/>
          <w:i/>
          <w:sz w:val="24"/>
        </w:rPr>
      </w:pPr>
      <w:r w:rsidRPr="0099500A">
        <w:rPr>
          <w:rFonts w:ascii="Times New Roman" w:hAnsi="Times New Roman"/>
          <w:i/>
          <w:sz w:val="24"/>
        </w:rPr>
        <w:t>Support</w:t>
      </w:r>
    </w:p>
    <w:p w:rsidR="00021D11" w:rsidP="00021D11" w14:paraId="7F8DAE83" w14:textId="77777777">
      <w:pPr>
        <w:rPr>
          <w:rFonts w:ascii="Times New Roman" w:hAnsi="Times New Roman"/>
          <w:sz w:val="24"/>
        </w:rPr>
      </w:pPr>
      <w:r>
        <w:rPr>
          <w:rFonts w:ascii="Times New Roman" w:hAnsi="Times New Roman"/>
          <w:b/>
          <w:bCs/>
          <w:sz w:val="24"/>
        </w:rPr>
        <w:t xml:space="preserve">Comment 14.4-01: </w:t>
      </w:r>
      <w:r w:rsidRPr="006F68E9">
        <w:rPr>
          <w:rFonts w:ascii="Times New Roman" w:hAnsi="Times New Roman"/>
          <w:sz w:val="24"/>
        </w:rPr>
        <w:t xml:space="preserve">A few commenters expressed support for the </w:t>
      </w:r>
      <w:r>
        <w:rPr>
          <w:rFonts w:ascii="Times New Roman" w:hAnsi="Times New Roman"/>
          <w:sz w:val="24"/>
        </w:rPr>
        <w:t>5</w:t>
      </w:r>
      <w:r w:rsidRPr="006F68E9">
        <w:rPr>
          <w:rFonts w:ascii="Times New Roman" w:hAnsi="Times New Roman"/>
          <w:sz w:val="24"/>
        </w:rPr>
        <w:t xml:space="preserve">-year retention period for hot work permits (0181, 0216, 0460). One of the commenters asked EPA to finalize the provision because it advances the rule’s directive </w:t>
      </w:r>
      <w:r w:rsidRPr="006F68E9">
        <w:rPr>
          <w:rStyle w:val="cf01"/>
          <w:rFonts w:ascii="Times New Roman" w:hAnsi="Times New Roman"/>
          <w:sz w:val="24"/>
        </w:rPr>
        <w:t>to ensure prevention and compliance</w:t>
      </w:r>
      <w:r w:rsidRPr="006F68E9">
        <w:rPr>
          <w:rFonts w:ascii="Times New Roman" w:hAnsi="Times New Roman"/>
          <w:sz w:val="24"/>
        </w:rPr>
        <w:t xml:space="preserve"> to the greatest extent practicable and assures compliance as expeditiously as practicable (0460). Another commenter stated that these simple recordkeeping requirements are not burdensome, contribute to further safety, and can help demonstrate compliance in the event of an audit (0216).</w:t>
      </w:r>
    </w:p>
    <w:p w:rsidR="00021D11" w:rsidRPr="006F68E9" w:rsidP="00021D11" w14:paraId="796CDDDC" w14:textId="21BAB44C">
      <w:pPr>
        <w:ind w:left="720"/>
        <w:rPr>
          <w:rFonts w:ascii="Times New Roman" w:hAnsi="Times New Roman"/>
          <w:sz w:val="24"/>
        </w:rPr>
      </w:pPr>
      <w:r w:rsidRPr="0087753F">
        <w:rPr>
          <w:rFonts w:ascii="Times New Roman" w:hAnsi="Times New Roman"/>
          <w:b/>
          <w:sz w:val="24"/>
        </w:rPr>
        <w:t xml:space="preserve">EPA </w:t>
      </w:r>
      <w:r w:rsidRPr="0087753F">
        <w:rPr>
          <w:rFonts w:ascii="Times New Roman" w:hAnsi="Times New Roman"/>
          <w:b/>
          <w:bCs/>
          <w:sz w:val="24"/>
        </w:rPr>
        <w:t>Response:</w:t>
      </w:r>
      <w:r>
        <w:rPr>
          <w:rFonts w:ascii="Times New Roman" w:hAnsi="Times New Roman"/>
          <w:sz w:val="24"/>
        </w:rPr>
        <w:t xml:space="preserve"> </w:t>
      </w:r>
      <w:r w:rsidRPr="006F5475">
        <w:rPr>
          <w:rFonts w:ascii="Times New Roman" w:hAnsi="Times New Roman"/>
          <w:sz w:val="24"/>
        </w:rPr>
        <w:t>EPA agrees that adding a requirement to retain hot work permits after the completion of operations would help ensure prevention and compliance to the greatest extent practicable and contribute to further safety. However, based on comments on the proposed timeframe, EPA is finalizing a three-year retention period of hot work permits as opposed to the five years that w</w:t>
      </w:r>
      <w:r w:rsidR="00D045E7">
        <w:rPr>
          <w:rFonts w:ascii="Times New Roman" w:hAnsi="Times New Roman"/>
          <w:sz w:val="24"/>
        </w:rPr>
        <w:t>as</w:t>
      </w:r>
      <w:r w:rsidRPr="006F5475">
        <w:rPr>
          <w:rFonts w:ascii="Times New Roman" w:hAnsi="Times New Roman"/>
          <w:sz w:val="24"/>
        </w:rPr>
        <w:t xml:space="preserve"> proposed.</w:t>
      </w:r>
    </w:p>
    <w:p w:rsidR="00021D11" w:rsidRPr="008C75B6" w:rsidP="00021D11" w14:paraId="60884505" w14:textId="77777777">
      <w:pPr>
        <w:rPr>
          <w:rFonts w:ascii="Times New Roman" w:hAnsi="Times New Roman"/>
          <w:i/>
          <w:sz w:val="24"/>
        </w:rPr>
      </w:pPr>
      <w:r w:rsidRPr="008C75B6">
        <w:rPr>
          <w:rFonts w:ascii="Times New Roman" w:hAnsi="Times New Roman"/>
          <w:i/>
          <w:sz w:val="24"/>
        </w:rPr>
        <w:t>Oppos</w:t>
      </w:r>
      <w:r>
        <w:rPr>
          <w:rFonts w:ascii="Times New Roman" w:hAnsi="Times New Roman"/>
          <w:i/>
          <w:sz w:val="24"/>
        </w:rPr>
        <w:t>ition</w:t>
      </w:r>
      <w:r>
        <w:rPr>
          <w:rFonts w:ascii="Times New Roman" w:hAnsi="Times New Roman"/>
          <w:i/>
          <w:iCs/>
          <w:sz w:val="24"/>
        </w:rPr>
        <w:t xml:space="preserve"> </w:t>
      </w:r>
    </w:p>
    <w:p w:rsidR="00021D11" w:rsidRPr="006F68E9" w:rsidP="00021D11" w14:paraId="66CCB3A5" w14:textId="77777777">
      <w:pPr>
        <w:rPr>
          <w:rFonts w:ascii="Times New Roman" w:hAnsi="Times New Roman"/>
          <w:sz w:val="24"/>
        </w:rPr>
      </w:pPr>
      <w:r>
        <w:rPr>
          <w:rFonts w:ascii="Times New Roman" w:hAnsi="Times New Roman"/>
          <w:b/>
          <w:bCs/>
          <w:sz w:val="24"/>
        </w:rPr>
        <w:t xml:space="preserve">Comment 14.4-02: </w:t>
      </w:r>
      <w:r w:rsidRPr="006F68E9">
        <w:rPr>
          <w:rFonts w:ascii="Times New Roman" w:hAnsi="Times New Roman"/>
          <w:sz w:val="24"/>
        </w:rPr>
        <w:t>Several commenters stated that the retention of hundreds of expired hot work permits for five years is unnecessary and creates a substantial recordkeeping and administrative burden on facilities (0184, 0193, 0207, 0233, 0237, 0238, 0242, 0244, 0267, 0268).</w:t>
      </w:r>
      <w:r>
        <w:rPr>
          <w:rFonts w:ascii="Times New Roman" w:hAnsi="Times New Roman"/>
          <w:sz w:val="24"/>
        </w:rPr>
        <w:t xml:space="preserve"> </w:t>
      </w:r>
      <w:r w:rsidRPr="006F68E9">
        <w:rPr>
          <w:rFonts w:ascii="Times New Roman" w:hAnsi="Times New Roman"/>
          <w:sz w:val="24"/>
        </w:rPr>
        <w:t xml:space="preserve">A few commenters </w:t>
      </w:r>
      <w:r>
        <w:rPr>
          <w:rFonts w:ascii="Times New Roman" w:hAnsi="Times New Roman"/>
          <w:sz w:val="24"/>
        </w:rPr>
        <w:t>stated</w:t>
      </w:r>
      <w:r w:rsidRPr="006F68E9">
        <w:rPr>
          <w:rFonts w:ascii="Times New Roman" w:hAnsi="Times New Roman"/>
          <w:sz w:val="24"/>
        </w:rPr>
        <w:t xml:space="preserve"> that retaining the hot work permits for five years provides no added safety benefits to the facility nor surrounding community (0238, 0242, 0267).</w:t>
      </w:r>
    </w:p>
    <w:p w:rsidR="00021D11" w:rsidRPr="006F68E9" w:rsidP="00021D11" w14:paraId="5614B12F"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EPA identified no instances where it required access to a hot work permit that was unavailable, and which led to an RMP incident. The commenter added that nothing in the administrative record suggests the existing recordkeeping obligation contributes to incidents, non-compliance, or other risk-based concerns that might justify an amendment. The commenter also stated keeping the retention period consistent with the retention period for other RMP records is arbitrary as the existing regulation functions well (0268).</w:t>
      </w:r>
    </w:p>
    <w:p w:rsidR="00021D11" w:rsidRPr="006F68E9" w:rsidP="00021D11" w14:paraId="72DE35A8" w14:textId="77777777">
      <w:pPr>
        <w:rPr>
          <w:rFonts w:ascii="Times New Roman" w:hAnsi="Times New Roman"/>
          <w:sz w:val="24"/>
        </w:rPr>
      </w:pPr>
      <w:r w:rsidRPr="006F68E9">
        <w:rPr>
          <w:rFonts w:ascii="Times New Roman" w:hAnsi="Times New Roman"/>
          <w:sz w:val="24"/>
        </w:rPr>
        <w:t xml:space="preserve">A few commenters stated that retention of hot work permits for five years is unnecessary to achieve EPA’s stated purpose of assisting implementing agencies in determining whether a facility has been conducting hot work in compliance with RMP requirements. The commenters </w:t>
      </w:r>
      <w:r>
        <w:rPr>
          <w:rFonts w:ascii="Times New Roman" w:hAnsi="Times New Roman"/>
          <w:sz w:val="24"/>
        </w:rPr>
        <w:t>stated</w:t>
      </w:r>
      <w:r w:rsidRPr="006F68E9">
        <w:rPr>
          <w:rFonts w:ascii="Times New Roman" w:hAnsi="Times New Roman"/>
          <w:sz w:val="24"/>
        </w:rPr>
        <w:t xml:space="preserve"> that facilities are already required to conduct compliance audits on three-year intervals and to retain the two most recent compliance audit reports, meaning that compliance audit documentation will be retained for at least six years (0193, 0233, 0242).</w:t>
      </w:r>
    </w:p>
    <w:p w:rsidR="00021D11" w:rsidRPr="006F68E9" w:rsidP="00021D11" w14:paraId="51BD6936" w14:textId="77777777">
      <w:pPr>
        <w:rPr>
          <w:rFonts w:ascii="Times New Roman" w:hAnsi="Times New Roman"/>
          <w:sz w:val="24"/>
        </w:rPr>
      </w:pPr>
      <w:r w:rsidRPr="006F68E9">
        <w:rPr>
          <w:rFonts w:ascii="Times New Roman" w:hAnsi="Times New Roman"/>
          <w:sz w:val="24"/>
        </w:rPr>
        <w:t>One commenter recommended reducing the retention period from five years to three years, adding that the three-year period is consistent with the three-year audit period under 40</w:t>
      </w:r>
      <w:r>
        <w:rPr>
          <w:rFonts w:ascii="Times New Roman" w:hAnsi="Times New Roman"/>
          <w:sz w:val="24"/>
        </w:rPr>
        <w:t> </w:t>
      </w:r>
      <w:r w:rsidRPr="006F68E9">
        <w:rPr>
          <w:rFonts w:ascii="Times New Roman" w:hAnsi="Times New Roman"/>
          <w:sz w:val="24"/>
        </w:rPr>
        <w:t>CFR</w:t>
      </w:r>
      <w:r>
        <w:rPr>
          <w:rFonts w:ascii="Times New Roman" w:hAnsi="Times New Roman"/>
          <w:sz w:val="24"/>
        </w:rPr>
        <w:t> </w:t>
      </w:r>
      <w:r w:rsidRPr="006F68E9">
        <w:rPr>
          <w:rFonts w:ascii="Times New Roman" w:hAnsi="Times New Roman"/>
          <w:sz w:val="24"/>
        </w:rPr>
        <w:t xml:space="preserve">68.58 and </w:t>
      </w:r>
      <w:r>
        <w:rPr>
          <w:rFonts w:ascii="Times New Roman" w:hAnsi="Times New Roman"/>
          <w:sz w:val="24"/>
        </w:rPr>
        <w:t>40 CFR</w:t>
      </w:r>
      <w:r w:rsidRPr="006F68E9">
        <w:rPr>
          <w:rFonts w:ascii="Times New Roman" w:hAnsi="Times New Roman"/>
          <w:sz w:val="24"/>
        </w:rPr>
        <w:t xml:space="preserve"> 68.79 for Level 2 and 3 facilities, respectively (0207).</w:t>
      </w:r>
    </w:p>
    <w:p w:rsidR="00021D11" w:rsidP="00021D11" w14:paraId="6A7A2E22"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said</w:t>
      </w:r>
      <w:r w:rsidRPr="006F68E9">
        <w:rPr>
          <w:rFonts w:ascii="Times New Roman" w:hAnsi="Times New Roman"/>
          <w:sz w:val="24"/>
        </w:rPr>
        <w:t xml:space="preserve"> that some insurance companies have a one-year retention requirement with which their insureds must comply and suggested that this should be a maximum upper bound on retention of hot work permits (0193).</w:t>
      </w:r>
    </w:p>
    <w:p w:rsidR="00021D11" w:rsidP="00021D11" w14:paraId="6C48AF4E" w14:textId="77777777">
      <w:pPr>
        <w:rPr>
          <w:rFonts w:ascii="Times New Roman" w:hAnsi="Times New Roman"/>
          <w:sz w:val="24"/>
        </w:rPr>
      </w:pPr>
      <w:r w:rsidRPr="00891872">
        <w:rPr>
          <w:rFonts w:ascii="Times New Roman" w:hAnsi="Times New Roman"/>
          <w:sz w:val="24"/>
        </w:rPr>
        <w:t>A couple commenters requested that EPA clarify that only hot work permits associated with the RMP regulated system, rather than all hot work permits, are required to be kept for a certain timeframe (0244, 0267). One of the commenters, who objected to the five-year retention period, asked EPA to clarify the reasons why hot work permits would be required to be kept for five years (0244).</w:t>
      </w:r>
      <w:r w:rsidRPr="00014D03">
        <w:rPr>
          <w:rFonts w:ascii="Times New Roman" w:hAnsi="Times New Roman"/>
          <w:sz w:val="24"/>
        </w:rPr>
        <w:t xml:space="preserve"> </w:t>
      </w:r>
      <w:r w:rsidRPr="006F68E9">
        <w:rPr>
          <w:rFonts w:ascii="Times New Roman" w:hAnsi="Times New Roman"/>
          <w:sz w:val="24"/>
        </w:rPr>
        <w:t xml:space="preserve">One commenter added that these audits will review hot work compliance and are available to implementing agency personnel, thus the proposed hot work permit retention requirement is excessive in proportion to the marginal benefit to implementing agencies (0233). Similarly, another commenter, who objected to the five-year retention period, </w:t>
      </w:r>
      <w:r>
        <w:rPr>
          <w:rFonts w:ascii="Times New Roman" w:hAnsi="Times New Roman"/>
          <w:sz w:val="24"/>
        </w:rPr>
        <w:t>stated</w:t>
      </w:r>
      <w:r w:rsidRPr="006F68E9">
        <w:rPr>
          <w:rFonts w:ascii="Times New Roman" w:hAnsi="Times New Roman"/>
          <w:sz w:val="24"/>
        </w:rPr>
        <w:t xml:space="preserve"> that facilities routinely retain a manageable number of hot work permits for the purpose of auditing (0193).</w:t>
      </w:r>
    </w:p>
    <w:p w:rsidR="00021D11" w:rsidRPr="006F68E9" w:rsidP="00021D11" w14:paraId="3B7A4530" w14:textId="77777777">
      <w:pPr>
        <w:rPr>
          <w:rFonts w:ascii="Times New Roman" w:hAnsi="Times New Roman"/>
          <w:sz w:val="24"/>
        </w:rPr>
      </w:pPr>
      <w:r w:rsidRPr="006F68E9">
        <w:rPr>
          <w:rFonts w:ascii="Times New Roman" w:hAnsi="Times New Roman"/>
          <w:sz w:val="24"/>
        </w:rPr>
        <w:t>One commenter said that there should be no requirement to retain hot work permits beyond the completion of the hot work authorized by each permit (0238). Some commenters suggested retaining hot work permits for periods of time other than five years (0184, 0193, 0238, 0268). A couple of commenters agreed that retaining hot work permits for some period of time is helpful, they suggested that a one-year retention requirement would be more appropriate (0184, 0237).</w:t>
      </w:r>
    </w:p>
    <w:p w:rsidR="00021D11" w:rsidRPr="00891872" w:rsidP="00021D11" w14:paraId="5CBD1408" w14:textId="77777777">
      <w:pPr>
        <w:rPr>
          <w:rFonts w:ascii="Times New Roman" w:hAnsi="Times New Roman"/>
          <w:sz w:val="24"/>
        </w:rPr>
      </w:pPr>
      <w:r w:rsidRPr="00891872">
        <w:rPr>
          <w:rFonts w:ascii="Times New Roman" w:hAnsi="Times New Roman"/>
          <w:sz w:val="24"/>
        </w:rPr>
        <w:t>One commenter recommended that EPA revise § 68.85(c) as follows (0193):</w:t>
      </w:r>
    </w:p>
    <w:p w:rsidR="00021D11" w:rsidRPr="006F68E9" w:rsidP="00021D11" w14:paraId="5CB66FB0" w14:textId="77777777">
      <w:pPr>
        <w:rPr>
          <w:rFonts w:ascii="Times New Roman" w:hAnsi="Times New Roman"/>
          <w:sz w:val="24"/>
        </w:rPr>
      </w:pPr>
      <w:r w:rsidRPr="00891872">
        <w:rPr>
          <w:rFonts w:ascii="Times New Roman" w:hAnsi="Times New Roman"/>
          <w:sz w:val="24"/>
        </w:rPr>
        <w:t>§ 68.85 Hot work permit.</w:t>
      </w:r>
      <w:r w:rsidRPr="00891872">
        <w:br/>
      </w:r>
      <w:r w:rsidRPr="00891872">
        <w:rPr>
          <w:rFonts w:ascii="Times New Roman" w:hAnsi="Times New Roman"/>
          <w:sz w:val="24"/>
        </w:rPr>
        <w:t>…</w:t>
      </w:r>
      <w:r w:rsidRPr="00891872">
        <w:br/>
      </w:r>
      <w:r w:rsidRPr="00891872">
        <w:rPr>
          <w:rFonts w:ascii="Times New Roman" w:hAnsi="Times New Roman"/>
          <w:sz w:val="24"/>
        </w:rPr>
        <w:t xml:space="preserve">(c) The permit shall be retained for five years after </w:t>
      </w:r>
      <w:r w:rsidRPr="00891872">
        <w:rPr>
          <w:rFonts w:ascii="Times New Roman" w:hAnsi="Times New Roman"/>
          <w:sz w:val="24"/>
          <w:u w:val="single"/>
        </w:rPr>
        <w:t>until</w:t>
      </w:r>
      <w:r w:rsidRPr="00891872">
        <w:rPr>
          <w:rFonts w:ascii="Times New Roman" w:hAnsi="Times New Roman"/>
          <w:sz w:val="24"/>
        </w:rPr>
        <w:t xml:space="preserve"> the completion of the hot work operations.</w:t>
      </w:r>
    </w:p>
    <w:p w:rsidR="00021D11" w:rsidRPr="00891872" w:rsidP="00021D11" w14:paraId="5DE7ABA5" w14:textId="77777777">
      <w:pPr>
        <w:ind w:left="720"/>
        <w:rPr>
          <w:rFonts w:ascii="Times New Roman" w:hAnsi="Times New Roman"/>
          <w:sz w:val="24"/>
        </w:rPr>
      </w:pPr>
      <w:r w:rsidRPr="001565E3">
        <w:rPr>
          <w:rFonts w:ascii="Times New Roman" w:hAnsi="Times New Roman"/>
          <w:b/>
          <w:bCs/>
          <w:sz w:val="24"/>
        </w:rPr>
        <w:t>EPA Response:</w:t>
      </w:r>
      <w:r w:rsidRPr="001565E3">
        <w:rPr>
          <w:rFonts w:ascii="Times New Roman" w:hAnsi="Times New Roman"/>
          <w:sz w:val="24"/>
        </w:rPr>
        <w:t xml:space="preserve"> EPA does not agree that retention of hot work permits after the completion of operations is unnecessary. Under the existing RMP regulations, it can be difficult for implementing agencies, and the owner or operator, through the compliance audit provision (40 CFR 68.58 and 68.79), to determine if the facility has been conducting hot work in compliance with the requirements of 40 CFR 68.85, unless the facility is conducting hot work at the time of the inspection or audit and has hot work permits on file. Adding a requirement to retain hot work permits after the completion of operations will address this issue. EPA is finalizing a three-year retention period of hot work permits in order to make the requirement less burdensome for facilities conducting hot work often and to align the requirement with the three-year audit period under 40</w:t>
      </w:r>
      <w:r>
        <w:rPr>
          <w:rFonts w:ascii="Times New Roman" w:hAnsi="Times New Roman"/>
          <w:sz w:val="24"/>
        </w:rPr>
        <w:t> </w:t>
      </w:r>
      <w:r w:rsidRPr="001565E3">
        <w:rPr>
          <w:rFonts w:ascii="Times New Roman" w:hAnsi="Times New Roman"/>
          <w:sz w:val="24"/>
        </w:rPr>
        <w:t>CFR 68.58 and 68.79.</w:t>
      </w:r>
    </w:p>
    <w:p w:rsidR="00021D11" w:rsidP="00021D11" w14:paraId="1BB0CAAF" w14:textId="77777777">
      <w:pPr>
        <w:rPr>
          <w:rFonts w:ascii="Times New Roman" w:hAnsi="Times New Roman"/>
          <w:sz w:val="24"/>
        </w:rPr>
      </w:pPr>
      <w:r>
        <w:rPr>
          <w:rFonts w:ascii="Times New Roman" w:hAnsi="Times New Roman"/>
          <w:b/>
          <w:bCs/>
          <w:sz w:val="24"/>
        </w:rPr>
        <w:t xml:space="preserve">Comment 14.4-03: </w:t>
      </w:r>
      <w:r w:rsidRPr="006F68E9">
        <w:rPr>
          <w:rFonts w:ascii="Times New Roman" w:hAnsi="Times New Roman"/>
          <w:sz w:val="24"/>
        </w:rPr>
        <w:t xml:space="preserve">A couple of commenters </w:t>
      </w:r>
      <w:r>
        <w:rPr>
          <w:rFonts w:ascii="Times New Roman" w:hAnsi="Times New Roman"/>
          <w:sz w:val="24"/>
        </w:rPr>
        <w:t>said</w:t>
      </w:r>
      <w:r w:rsidRPr="006F68E9">
        <w:rPr>
          <w:rFonts w:ascii="Times New Roman" w:hAnsi="Times New Roman"/>
          <w:sz w:val="24"/>
        </w:rPr>
        <w:t xml:space="preserve"> that the proposed language is overreach, given that OSHA does not even require that permits be retained beyond the completion of the hot work task (0207, 0242). Similarly, another commenter pointed out that EPA failed to acknowledge that a five-year record retention period for hot work permits would break from the existing PSM rule, where OSHA requires hot work permits to be maintained only during the hot work. The commenter </w:t>
      </w:r>
      <w:r>
        <w:rPr>
          <w:rFonts w:ascii="Times New Roman" w:hAnsi="Times New Roman"/>
          <w:sz w:val="24"/>
        </w:rPr>
        <w:t>stated</w:t>
      </w:r>
      <w:r w:rsidRPr="006F68E9">
        <w:rPr>
          <w:rFonts w:ascii="Times New Roman" w:hAnsi="Times New Roman"/>
          <w:sz w:val="24"/>
        </w:rPr>
        <w:t xml:space="preserve"> that this is consistent with the existing RMP rule and recommended that EPA maintain consistency with the PSM rule, particularly on a worker safety issue, such as hot work permits, which falls within OSHA’s primary jurisdiction over workplace safety (0268). </w:t>
      </w:r>
    </w:p>
    <w:p w:rsidR="00021D11" w:rsidRPr="006F68E9" w:rsidP="00021D11" w14:paraId="685C6B12" w14:textId="31CA74FA">
      <w:pPr>
        <w:ind w:left="720"/>
        <w:rPr>
          <w:rFonts w:ascii="Times New Roman" w:hAnsi="Times New Roman"/>
          <w:sz w:val="24"/>
        </w:rPr>
      </w:pPr>
      <w:r w:rsidRPr="00EB5150">
        <w:rPr>
          <w:rFonts w:ascii="Times New Roman" w:hAnsi="Times New Roman"/>
          <w:b/>
          <w:sz w:val="24"/>
        </w:rPr>
        <w:t xml:space="preserve">EPA </w:t>
      </w:r>
      <w:r w:rsidRPr="00EB5150">
        <w:rPr>
          <w:rFonts w:ascii="Times New Roman" w:hAnsi="Times New Roman"/>
          <w:b/>
          <w:bCs/>
          <w:sz w:val="24"/>
        </w:rPr>
        <w:t>Response:</w:t>
      </w:r>
      <w:r>
        <w:rPr>
          <w:rFonts w:ascii="Times New Roman" w:hAnsi="Times New Roman"/>
          <w:sz w:val="24"/>
        </w:rPr>
        <w:t xml:space="preserve"> </w:t>
      </w:r>
      <w:r w:rsidRPr="00EB56D4">
        <w:rPr>
          <w:rFonts w:ascii="Times New Roman" w:hAnsi="Times New Roman"/>
          <w:sz w:val="24"/>
        </w:rPr>
        <w:t xml:space="preserve">In response to comments that the proposed retention period would be inconsistent with OSHA’s PSM rule, EPA has coordinated with OSHA throughout the rulemaking process </w:t>
      </w:r>
      <w:r w:rsidRPr="00D97D9B" w:rsidR="00D97D9B">
        <w:rPr>
          <w:rFonts w:ascii="Times New Roman" w:hAnsi="Times New Roman"/>
          <w:sz w:val="24"/>
        </w:rPr>
        <w:t>(including but not limited to meetings on various dates in Appendix A to this document)</w:t>
      </w:r>
      <w:r w:rsidR="00D97D9B">
        <w:rPr>
          <w:rFonts w:ascii="Times New Roman" w:hAnsi="Times New Roman"/>
          <w:sz w:val="24"/>
        </w:rPr>
        <w:t xml:space="preserve"> </w:t>
      </w:r>
      <w:r w:rsidRPr="00EB56D4">
        <w:rPr>
          <w:rFonts w:ascii="Times New Roman" w:hAnsi="Times New Roman"/>
          <w:sz w:val="24"/>
        </w:rPr>
        <w:t xml:space="preserve">to ensure the intent of adding specificity and clarification to the RMP regulations </w:t>
      </w:r>
      <w:r w:rsidRPr="50B04357">
        <w:rPr>
          <w:rFonts w:ascii="Times New Roman" w:hAnsi="Times New Roman"/>
          <w:sz w:val="24"/>
        </w:rPr>
        <w:t xml:space="preserve">does not create conflicting </w:t>
      </w:r>
      <w:r w:rsidRPr="50B04357" w:rsidR="00AC1072">
        <w:rPr>
          <w:rFonts w:ascii="Times New Roman" w:hAnsi="Times New Roman"/>
          <w:sz w:val="24"/>
        </w:rPr>
        <w:t xml:space="preserve">requirements </w:t>
      </w:r>
      <w:r w:rsidRPr="00EB56D4" w:rsidR="00AC1072">
        <w:rPr>
          <w:rFonts w:ascii="Times New Roman" w:hAnsi="Times New Roman"/>
          <w:sz w:val="24"/>
        </w:rPr>
        <w:t>with</w:t>
      </w:r>
      <w:r w:rsidRPr="00EB56D4">
        <w:rPr>
          <w:rFonts w:ascii="Times New Roman" w:hAnsi="Times New Roman"/>
          <w:sz w:val="24"/>
        </w:rPr>
        <w:t xml:space="preserve"> OSHA PSM standard.</w:t>
      </w:r>
    </w:p>
    <w:p w:rsidR="00021D11" w:rsidRPr="006F68E9" w:rsidP="00A04BB6" w14:paraId="3C848707" w14:textId="77777777">
      <w:pPr>
        <w:pStyle w:val="Heading2"/>
        <w:tabs>
          <w:tab w:val="clear" w:pos="8684"/>
        </w:tabs>
        <w:spacing w:before="120"/>
        <w:rPr>
          <w:rFonts w:ascii="Times New Roman" w:hAnsi="Times New Roman" w:cs="Times New Roman"/>
          <w:b/>
          <w:bCs/>
          <w:color w:val="auto"/>
          <w:sz w:val="24"/>
          <w:szCs w:val="24"/>
        </w:rPr>
      </w:pPr>
      <w:bookmarkStart w:id="167" w:name="_Toc146880044"/>
      <w:bookmarkStart w:id="168" w:name="_Toc153373834"/>
      <w:r w:rsidRPr="006F68E9">
        <w:rPr>
          <w:rFonts w:ascii="Times New Roman" w:hAnsi="Times New Roman" w:cs="Times New Roman"/>
          <w:b/>
          <w:bCs/>
          <w:color w:val="auto"/>
          <w:sz w:val="24"/>
          <w:szCs w:val="24"/>
        </w:rPr>
        <w:t>“Storage incident to transportation” definition</w:t>
      </w:r>
      <w:bookmarkEnd w:id="167"/>
      <w:bookmarkEnd w:id="168"/>
    </w:p>
    <w:p w:rsidR="00021D11" w:rsidRPr="000173C2" w:rsidP="00021D11" w14:paraId="433CEA30" w14:textId="57B11979">
      <w:pPr>
        <w:rPr>
          <w:rFonts w:ascii="Times New Roman" w:hAnsi="Times New Roman"/>
          <w:i/>
          <w:iCs/>
          <w:sz w:val="24"/>
        </w:rPr>
      </w:pPr>
      <w:r>
        <w:rPr>
          <w:rFonts w:ascii="Times New Roman" w:hAnsi="Times New Roman"/>
          <w:i/>
          <w:iCs/>
          <w:sz w:val="24"/>
        </w:rPr>
        <w:t>General support and opposition to revising the definition of stationary source</w:t>
      </w:r>
    </w:p>
    <w:p w:rsidR="003A6368" w:rsidP="003A6368" w14:paraId="07C7C2CC" w14:textId="3844E505">
      <w:pPr>
        <w:rPr>
          <w:rFonts w:ascii="Times New Roman" w:hAnsi="Times New Roman"/>
          <w:sz w:val="24"/>
        </w:rPr>
      </w:pPr>
      <w:r>
        <w:rPr>
          <w:rFonts w:ascii="Times New Roman" w:hAnsi="Times New Roman"/>
          <w:b/>
          <w:bCs/>
          <w:sz w:val="24"/>
        </w:rPr>
        <w:t xml:space="preserve">Comment 14.5-01: </w:t>
      </w:r>
      <w:r w:rsidRPr="003A6368">
        <w:rPr>
          <w:rFonts w:ascii="Times New Roman" w:hAnsi="Times New Roman"/>
          <w:sz w:val="24"/>
        </w:rPr>
        <w:t xml:space="preserve"> </w:t>
      </w:r>
      <w:r w:rsidRPr="00FE1701">
        <w:rPr>
          <w:rFonts w:ascii="Times New Roman" w:hAnsi="Times New Roman"/>
          <w:sz w:val="24"/>
        </w:rPr>
        <w:t>Several commenters expressed concern about EPA’s proposed modification to the definition of “stationary source” to define what does and does not constitute “storage incident to transportation” (0206, 0215, 0222, 0246, 0247, 0253, 0262, 0270, 0272).</w:t>
      </w:r>
    </w:p>
    <w:p w:rsidR="00021D11" w:rsidRPr="006F68E9" w:rsidP="00021D11" w14:paraId="12F11AB1" w14:textId="1588B2ED">
      <w:pPr>
        <w:rPr>
          <w:rFonts w:ascii="Times New Roman" w:hAnsi="Times New Roman"/>
          <w:sz w:val="24"/>
        </w:rPr>
      </w:pPr>
      <w:r w:rsidRPr="006F68E9">
        <w:rPr>
          <w:rFonts w:ascii="Times New Roman" w:hAnsi="Times New Roman"/>
          <w:sz w:val="24"/>
        </w:rPr>
        <w:t xml:space="preserve">One commenter highlighted support for EPA’s proposal to continue to exclude from the 40 CFR 68.3 definition of “stationary source” facilities and equipment used in “transportation and storage incident to transportation” subject to the pipeline safety regulations or a state natural gas or hazardous liquid program. The commenter </w:t>
      </w:r>
      <w:r>
        <w:rPr>
          <w:rFonts w:ascii="Times New Roman" w:hAnsi="Times New Roman"/>
          <w:sz w:val="24"/>
        </w:rPr>
        <w:t>said</w:t>
      </w:r>
      <w:r w:rsidRPr="006F68E9">
        <w:rPr>
          <w:rFonts w:ascii="Times New Roman" w:hAnsi="Times New Roman"/>
          <w:sz w:val="24"/>
        </w:rPr>
        <w:t xml:space="preserve"> that this avoids duplication of the existing DOT regulations and continues the regulatory division of labor between EPA and DOT’s Pipeline and Hazardous Safety Administration (PHMSA) (0246).</w:t>
      </w:r>
    </w:p>
    <w:p w:rsidR="00021D11" w:rsidP="00021D11" w14:paraId="4699B751" w14:textId="77777777">
      <w:pPr>
        <w:rPr>
          <w:rFonts w:ascii="Times New Roman" w:hAnsi="Times New Roman"/>
          <w:sz w:val="24"/>
        </w:rPr>
      </w:pPr>
      <w:r w:rsidRPr="006F68E9">
        <w:rPr>
          <w:rFonts w:ascii="Times New Roman" w:hAnsi="Times New Roman"/>
          <w:sz w:val="24"/>
        </w:rPr>
        <w:t>One commenter expressed support for the proposed change to add language that a transportation container can be disconnected from the power unit for 48-hours and after that must be included in any RMP threshold calculation (0181).</w:t>
      </w:r>
      <w:r w:rsidRPr="00ED0061">
        <w:rPr>
          <w:rFonts w:ascii="Times New Roman" w:hAnsi="Times New Roman"/>
          <w:sz w:val="24"/>
        </w:rPr>
        <w:t xml:space="preserve"> </w:t>
      </w:r>
      <w:r w:rsidRPr="006F68E9">
        <w:rPr>
          <w:rFonts w:ascii="Times New Roman" w:hAnsi="Times New Roman"/>
          <w:sz w:val="24"/>
        </w:rPr>
        <w:t>Another commenter supported EPA’s proposal to continue excluding facilities and equipment used in transportation and storage incident to transportation subject to the pipeline safety regulations under 49 CFR parts 192, 193, or 195, or a state natural gas or hazardous liquid program for which the state has a DOT certification from the definition of stationary source (0224).</w:t>
      </w:r>
    </w:p>
    <w:p w:rsidR="00021D11" w:rsidRPr="00904FFE" w:rsidP="00021D11" w14:paraId="121A6F0D" w14:textId="396C3D4B">
      <w:pPr>
        <w:ind w:left="720"/>
        <w:rPr>
          <w:rFonts w:ascii="Times New Roman" w:hAnsi="Times New Roman"/>
          <w:sz w:val="24"/>
        </w:rPr>
      </w:pPr>
      <w:r>
        <w:rPr>
          <w:rFonts w:ascii="Times New Roman" w:hAnsi="Times New Roman"/>
          <w:b/>
          <w:bCs/>
          <w:sz w:val="24"/>
        </w:rPr>
        <w:t xml:space="preserve">EPA Response: </w:t>
      </w:r>
      <w:r w:rsidRPr="002A3C6A" w:rsidR="002A3C6A">
        <w:rPr>
          <w:rFonts w:ascii="Times New Roman" w:hAnsi="Times New Roman"/>
          <w:sz w:val="24"/>
        </w:rPr>
        <w:t>EPA is not finalizing the proposed regulatory language that includes a specified number of hours that a transportation container may be disconnected from the motive power that delivered it to the site before being considered part of the stationary source. As explained in the proposed rule, the term “storage not incident to transportation” is currently not defined in the RMP regulations. The proposed modification sought only to apply a specific timeframe to universally establish a structure to interpret the term. EPA hoped a specified timeframe would assist regulated entities and implementing agencies to more clearly determine when a transportation container used for onsite storage must be incorporated into a facility’s risk management plan. Nevertheless, after review of comments, EPA acknowledges some of the concerns with establishing a timeframe and chooses to further consider the feedback received on the proposed modification before pursuing the effort. EPA encourages regulated entities and implementing agencies to continue to rely on guidance EPA has provided to determine if a transportation container is considered a part of a stationary source.</w:t>
      </w:r>
    </w:p>
    <w:p w:rsidR="00021D11" w:rsidP="00021D11" w14:paraId="1B230A49" w14:textId="77777777">
      <w:pPr>
        <w:rPr>
          <w:rFonts w:ascii="Times New Roman" w:hAnsi="Times New Roman"/>
          <w:i/>
          <w:iCs/>
          <w:sz w:val="24"/>
        </w:rPr>
      </w:pPr>
      <w:r>
        <w:rPr>
          <w:rFonts w:ascii="Times New Roman" w:hAnsi="Times New Roman"/>
          <w:i/>
          <w:iCs/>
          <w:sz w:val="24"/>
        </w:rPr>
        <w:t xml:space="preserve">Opposition to revising the definition of stationary source </w:t>
      </w:r>
    </w:p>
    <w:p w:rsidR="00021D11" w:rsidP="00021D11" w14:paraId="698C5FD3" w14:textId="686883F0">
      <w:pPr>
        <w:rPr>
          <w:rFonts w:ascii="Times New Roman" w:hAnsi="Times New Roman"/>
          <w:sz w:val="24"/>
        </w:rPr>
      </w:pPr>
      <w:r w:rsidRPr="00EC3A4C">
        <w:rPr>
          <w:rFonts w:ascii="Times New Roman" w:hAnsi="Times New Roman"/>
          <w:b/>
          <w:bCs/>
          <w:sz w:val="24"/>
        </w:rPr>
        <w:t>Comment</w:t>
      </w:r>
      <w:r>
        <w:rPr>
          <w:rFonts w:ascii="Times New Roman" w:hAnsi="Times New Roman"/>
          <w:b/>
          <w:bCs/>
          <w:sz w:val="24"/>
        </w:rPr>
        <w:t xml:space="preserve"> 14.5-02</w:t>
      </w:r>
      <w:r w:rsidRPr="00EC3A4C">
        <w:rPr>
          <w:rFonts w:ascii="Times New Roman" w:hAnsi="Times New Roman"/>
          <w:b/>
          <w:bCs/>
          <w:sz w:val="24"/>
        </w:rPr>
        <w:t>:</w:t>
      </w:r>
      <w:r>
        <w:rPr>
          <w:rFonts w:ascii="Times New Roman" w:hAnsi="Times New Roman"/>
          <w:sz w:val="24"/>
        </w:rPr>
        <w:t xml:space="preserve"> Many commenters expressed concern about potential overlap with DOT regulations or lack of coordination with other Federal agencies. </w:t>
      </w:r>
    </w:p>
    <w:p w:rsidR="00021D11" w:rsidRPr="00FE1701" w:rsidP="00021D11" w14:paraId="49451677" w14:textId="77777777">
      <w:pPr>
        <w:rPr>
          <w:rFonts w:ascii="Times New Roman" w:hAnsi="Times New Roman"/>
          <w:sz w:val="24"/>
        </w:rPr>
      </w:pPr>
      <w:r w:rsidRPr="00FE1701">
        <w:rPr>
          <w:rFonts w:ascii="Times New Roman" w:hAnsi="Times New Roman"/>
          <w:sz w:val="24"/>
        </w:rPr>
        <w:t xml:space="preserve">A couple of commenters stated that the proposed definition would conflict with DOT requirements and could create an inconsistent understanding of the statutory term “transportation” (0188, 0215). One of the commenters further stated that the definition of </w:t>
      </w:r>
      <w:r w:rsidRPr="00FE1701">
        <w:rPr>
          <w:rFonts w:ascii="Times New Roman" w:hAnsi="Times New Roman"/>
          <w:sz w:val="24"/>
        </w:rPr>
        <w:t>“stationary source” in the RMP regulations appropriately excludes from that definition “storage incident to transportation,” as that which DOT defines under its statutes and regulations. The commenter expressed concern that an RMP definition inconsistent with DOT’s understanding of the term “transportation” would disrupt that uniform national scheme (0215). One commenter recommended that EPA consult and coordinate with DOT on any proposed changes to this definition (0188).</w:t>
      </w:r>
    </w:p>
    <w:p w:rsidR="00021D11" w:rsidRPr="00FE1701" w:rsidP="00021D11" w14:paraId="7A7BB3E2" w14:textId="77777777">
      <w:pPr>
        <w:rPr>
          <w:rFonts w:ascii="Times New Roman" w:hAnsi="Times New Roman"/>
          <w:sz w:val="24"/>
        </w:rPr>
      </w:pPr>
      <w:r w:rsidRPr="00FE1701">
        <w:rPr>
          <w:rFonts w:ascii="Times New Roman" w:hAnsi="Times New Roman"/>
          <w:sz w:val="24"/>
        </w:rPr>
        <w:t>Another commenter stated that the 48-hour rule proposed by EPA ignores DOT requirements and creates confusion for transporters. The commenter asked EPA to coordinate with DOT and note that transportation containers covered under active shipping papers are not subject to EPA regulation until the container is delivered to the final consignee, which is also consistent with the scope of EPCRA. Additionally, the commenter said that EPA provides no meaningful explanation for the proposed change (0272).</w:t>
      </w:r>
    </w:p>
    <w:p w:rsidR="00021D11" w:rsidRPr="00FE1701" w:rsidP="00021D11" w14:paraId="76B0F170" w14:textId="77777777">
      <w:pPr>
        <w:rPr>
          <w:rFonts w:ascii="Times New Roman" w:hAnsi="Times New Roman"/>
          <w:sz w:val="24"/>
        </w:rPr>
      </w:pPr>
      <w:r w:rsidRPr="00FE1701">
        <w:rPr>
          <w:rFonts w:ascii="Times New Roman" w:hAnsi="Times New Roman"/>
          <w:sz w:val="24"/>
        </w:rPr>
        <w:t xml:space="preserve">Several commenters pointed out that DOT rules provide greater flexibility than EPA’s proposed 48-hour rule, in that it excludes weekends and holidays (0215, 0229, 0253, 0272). A couple of the commenters also </w:t>
      </w:r>
      <w:r>
        <w:rPr>
          <w:rFonts w:ascii="Times New Roman" w:hAnsi="Times New Roman"/>
          <w:sz w:val="24"/>
        </w:rPr>
        <w:t>stated</w:t>
      </w:r>
      <w:r w:rsidRPr="00FE1701">
        <w:rPr>
          <w:rFonts w:ascii="Times New Roman" w:hAnsi="Times New Roman"/>
          <w:sz w:val="24"/>
        </w:rPr>
        <w:t xml:space="preserve"> that the DOT rule cited as the basis for the 48-hour timeframe does not apply to railcars once they are on private track (0253, 0272).</w:t>
      </w:r>
    </w:p>
    <w:p w:rsidR="00021D11" w:rsidP="00021D11" w14:paraId="7D2B5E21" w14:textId="77777777">
      <w:pPr>
        <w:rPr>
          <w:rFonts w:ascii="Times New Roman" w:hAnsi="Times New Roman"/>
          <w:sz w:val="24"/>
        </w:rPr>
      </w:pPr>
      <w:r w:rsidRPr="00FE1701">
        <w:rPr>
          <w:rFonts w:ascii="Times New Roman" w:hAnsi="Times New Roman"/>
          <w:sz w:val="24"/>
        </w:rPr>
        <w:t xml:space="preserve">Another commenter stated that the </w:t>
      </w:r>
      <w:r>
        <w:rPr>
          <w:rFonts w:ascii="Times New Roman" w:hAnsi="Times New Roman"/>
          <w:sz w:val="24"/>
        </w:rPr>
        <w:t>p</w:t>
      </w:r>
      <w:r w:rsidRPr="00FE1701">
        <w:rPr>
          <w:rFonts w:ascii="Times New Roman" w:hAnsi="Times New Roman"/>
          <w:sz w:val="24"/>
        </w:rPr>
        <w:t xml:space="preserve">roposed </w:t>
      </w:r>
      <w:r>
        <w:rPr>
          <w:rFonts w:ascii="Times New Roman" w:hAnsi="Times New Roman"/>
          <w:sz w:val="24"/>
        </w:rPr>
        <w:t>r</w:t>
      </w:r>
      <w:r w:rsidRPr="00FE1701">
        <w:rPr>
          <w:rFonts w:ascii="Times New Roman" w:hAnsi="Times New Roman"/>
          <w:sz w:val="24"/>
        </w:rPr>
        <w:t xml:space="preserve">ule to trigger the RMP regulation if a railcar is stored more than 48-hours in a disconnected transportation container directly conflicts with PHMSA’s Hazardous Materials Regulation (HMR) provision which has no time restriction provided that the original shipping documentation identifies the shipment as a through-shipment and its destination. The commenter added that transloading can take up to two months due to a variety of safety and logistics reasons and requiring transloaders to move more quickly might increase the risks of release that the </w:t>
      </w:r>
      <w:r>
        <w:rPr>
          <w:rFonts w:ascii="Times New Roman" w:hAnsi="Times New Roman"/>
          <w:sz w:val="24"/>
        </w:rPr>
        <w:t>p</w:t>
      </w:r>
      <w:r w:rsidRPr="00FE1701">
        <w:rPr>
          <w:rFonts w:ascii="Times New Roman" w:hAnsi="Times New Roman"/>
          <w:sz w:val="24"/>
        </w:rPr>
        <w:t xml:space="preserve">roposed </w:t>
      </w:r>
      <w:r>
        <w:rPr>
          <w:rFonts w:ascii="Times New Roman" w:hAnsi="Times New Roman"/>
          <w:sz w:val="24"/>
        </w:rPr>
        <w:t>r</w:t>
      </w:r>
      <w:r w:rsidRPr="00FE1701">
        <w:rPr>
          <w:rFonts w:ascii="Times New Roman" w:hAnsi="Times New Roman"/>
          <w:sz w:val="24"/>
        </w:rPr>
        <w:t>ule seeks to minimize (0222).</w:t>
      </w:r>
    </w:p>
    <w:p w:rsidR="00021D11" w:rsidRPr="00FE1701" w:rsidP="00021D11" w14:paraId="03C70F5A" w14:textId="77777777">
      <w:pPr>
        <w:rPr>
          <w:rFonts w:ascii="Times New Roman" w:hAnsi="Times New Roman"/>
          <w:sz w:val="24"/>
        </w:rPr>
      </w:pPr>
      <w:r w:rsidRPr="006F68E9">
        <w:rPr>
          <w:rFonts w:ascii="Times New Roman" w:hAnsi="Times New Roman"/>
          <w:sz w:val="24"/>
        </w:rPr>
        <w:t xml:space="preserve">One commenter expressed concern that proposed changes to regulatory definitions impacting the rail industry overlap and potentially conflict with PHMSA regulations governing the transportation of hazardous materials. The commenter stated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would make the distinction between a stationary source and a mobile source transporting hazardous materials unclear, and this could create potentially conflicting requirements and obligations. The commenter recommended that EPA coordinate with the DOT to adopt PHMSA’s existing definitions to be sure when a shipment is in transport and when a railcar is in storage incidental to transportation and with PHMSA’s jurisdiction. The commenter </w:t>
      </w:r>
      <w:r>
        <w:rPr>
          <w:rFonts w:ascii="Times New Roman" w:hAnsi="Times New Roman"/>
          <w:sz w:val="24"/>
        </w:rPr>
        <w:t>stated</w:t>
      </w:r>
      <w:r w:rsidRPr="006F68E9">
        <w:rPr>
          <w:rFonts w:ascii="Times New Roman" w:hAnsi="Times New Roman"/>
          <w:sz w:val="24"/>
        </w:rPr>
        <w:t xml:space="preserve"> that the </w:t>
      </w:r>
      <w:r>
        <w:rPr>
          <w:rFonts w:ascii="Times New Roman" w:hAnsi="Times New Roman"/>
          <w:sz w:val="24"/>
        </w:rPr>
        <w:t>proposed rule</w:t>
      </w:r>
      <w:r w:rsidRPr="006F68E9">
        <w:rPr>
          <w:rFonts w:ascii="Times New Roman" w:hAnsi="Times New Roman"/>
          <w:sz w:val="24"/>
        </w:rPr>
        <w:t xml:space="preserve"> would exceed EPA’s authority, would create confusion and conflicts with the applicability of PHMSA’s regulations versus EPA’s when applied to the rail industry, and would subject the rail industry to conflicting regulatory definitions and impractical requirements. The commenter suggested that EPA adopt PHMSA’s definitions of when materials are in transportation or when a railcar is in storage incident to transportation (0159).</w:t>
      </w:r>
    </w:p>
    <w:p w:rsidR="00021D11" w:rsidRPr="00FE1701" w:rsidP="00021D11" w14:paraId="06A4B0D0" w14:textId="77777777">
      <w:pPr>
        <w:rPr>
          <w:rFonts w:ascii="Times New Roman" w:hAnsi="Times New Roman"/>
          <w:sz w:val="24"/>
        </w:rPr>
      </w:pPr>
      <w:r w:rsidRPr="00FE1701">
        <w:rPr>
          <w:rFonts w:ascii="Times New Roman" w:hAnsi="Times New Roman"/>
          <w:sz w:val="24"/>
        </w:rPr>
        <w:t xml:space="preserve">One commenter stated that a time frame of 48-hours is too short with respect to rail transportation. The commenter pointed out that many railroads shifted operations to Precision Scheduled Railroading which sometimes causes unintended delays. The commenter asked EPA to consider eliminating the 48-hour requirement altogether, or as a minimum, extend it further for purposes of the RMP rule. The commenter </w:t>
      </w:r>
      <w:r>
        <w:rPr>
          <w:rFonts w:ascii="Times New Roman" w:hAnsi="Times New Roman"/>
          <w:sz w:val="24"/>
        </w:rPr>
        <w:t>stated</w:t>
      </w:r>
      <w:r w:rsidRPr="00FE1701">
        <w:rPr>
          <w:rFonts w:ascii="Times New Roman" w:hAnsi="Times New Roman"/>
          <w:sz w:val="24"/>
        </w:rPr>
        <w:t xml:space="preserve"> that concerns over safety to the surrounding environment due to an extended timeframe should be mitigated by the fact that railcars designed to transport hazardous materials must meet rigorous design specifications as specified by PHMSA in 49 CFR Part 179 (0247).</w:t>
      </w:r>
    </w:p>
    <w:p w:rsidR="00021D11" w:rsidRPr="00FE1701" w:rsidP="00021D11" w14:paraId="771FC91E" w14:textId="77777777">
      <w:pPr>
        <w:rPr>
          <w:rFonts w:ascii="Times New Roman" w:hAnsi="Times New Roman"/>
          <w:sz w:val="24"/>
        </w:rPr>
      </w:pPr>
      <w:r w:rsidRPr="00FE1701">
        <w:rPr>
          <w:rFonts w:ascii="Times New Roman" w:hAnsi="Times New Roman"/>
          <w:sz w:val="24"/>
        </w:rPr>
        <w:t xml:space="preserve">Referring to the proposed 48-hour rule, a couple of commenters </w:t>
      </w:r>
      <w:r>
        <w:rPr>
          <w:rFonts w:ascii="Times New Roman" w:hAnsi="Times New Roman"/>
          <w:sz w:val="24"/>
        </w:rPr>
        <w:t>said</w:t>
      </w:r>
      <w:r w:rsidRPr="00FE1701">
        <w:rPr>
          <w:rFonts w:ascii="Times New Roman" w:hAnsi="Times New Roman"/>
          <w:sz w:val="24"/>
        </w:rPr>
        <w:t xml:space="preserve"> that EPA’s preamble and the public docket provide no indication that EPA conferred with DOT on the proposed RMP text. The commenters asked EPA to do so and update the docket with DOT’s views and make appropriate revisions to definitions (0215, 0229).</w:t>
      </w:r>
    </w:p>
    <w:p w:rsidR="00021D11" w:rsidP="00021D11" w14:paraId="19736E86" w14:textId="77777777">
      <w:pPr>
        <w:rPr>
          <w:rFonts w:ascii="Times New Roman" w:hAnsi="Times New Roman"/>
          <w:sz w:val="24"/>
        </w:rPr>
      </w:pPr>
      <w:r w:rsidRPr="00FE1701">
        <w:rPr>
          <w:rFonts w:ascii="Times New Roman" w:hAnsi="Times New Roman"/>
          <w:sz w:val="24"/>
        </w:rPr>
        <w:t>One</w:t>
      </w:r>
      <w:r>
        <w:rPr>
          <w:rFonts w:ascii="Times New Roman" w:hAnsi="Times New Roman"/>
          <w:sz w:val="24"/>
        </w:rPr>
        <w:t xml:space="preserve"> </w:t>
      </w:r>
      <w:r w:rsidRPr="00FE1701">
        <w:rPr>
          <w:rFonts w:ascii="Times New Roman" w:hAnsi="Times New Roman"/>
          <w:sz w:val="24"/>
        </w:rPr>
        <w:t xml:space="preserve">commenter </w:t>
      </w:r>
      <w:r>
        <w:rPr>
          <w:rFonts w:ascii="Times New Roman" w:hAnsi="Times New Roman"/>
          <w:sz w:val="24"/>
        </w:rPr>
        <w:t>stated</w:t>
      </w:r>
      <w:r w:rsidRPr="00FE1701">
        <w:rPr>
          <w:rFonts w:ascii="Times New Roman" w:hAnsi="Times New Roman"/>
          <w:sz w:val="24"/>
        </w:rPr>
        <w:t xml:space="preserve"> that there are no provisions for coordination with DOT and DHS, although EPA states they collaborate with those departments (0163).</w:t>
      </w:r>
    </w:p>
    <w:p w:rsidR="00021D11" w:rsidP="00021D11" w14:paraId="7C63D06F" w14:textId="77777777">
      <w:pPr>
        <w:rPr>
          <w:rFonts w:ascii="Times New Roman" w:hAnsi="Times New Roman"/>
          <w:sz w:val="24"/>
        </w:rPr>
      </w:pPr>
      <w:r w:rsidRPr="006F68E9">
        <w:rPr>
          <w:rFonts w:ascii="Times New Roman" w:hAnsi="Times New Roman"/>
          <w:sz w:val="24"/>
        </w:rPr>
        <w:t xml:space="preserve">Another commenter disagreed with EPA’s proposal to change the definition of storage incident to transportation to state that a transportation container is in storage incident to transportation if it is attached to the motive power that delivered it to the site. The commenter asked EPA to clarify that storage facilities and storage containers connected to all pipeline systems or other transportation facilities subject to regulation under 49 CFR parts 192, 193 or 195—not just vehicles—are transportation or storage incident to transportation rather than stationary sources within the meaning of 40 CFR 68.3 (0224). </w:t>
      </w:r>
    </w:p>
    <w:p w:rsidR="00614622" w:rsidRPr="00195347" w:rsidP="00614622" w14:paraId="040DB8A0" w14:textId="7061EF23">
      <w:pPr>
        <w:ind w:left="720"/>
        <w:rPr>
          <w:rFonts w:ascii="Times New Roman" w:hAnsi="Times New Roman"/>
          <w:sz w:val="24"/>
        </w:rPr>
      </w:pPr>
      <w:r w:rsidRPr="00450877">
        <w:rPr>
          <w:rFonts w:ascii="Times New Roman" w:hAnsi="Times New Roman"/>
          <w:b/>
          <w:bCs/>
          <w:sz w:val="24"/>
        </w:rPr>
        <w:t xml:space="preserve">EPA Response: </w:t>
      </w:r>
      <w:r w:rsidRPr="0054055A" w:rsidR="0054055A">
        <w:rPr>
          <w:rFonts w:ascii="Times New Roman" w:hAnsi="Times New Roman"/>
          <w:sz w:val="24"/>
        </w:rPr>
        <w:t xml:space="preserve">EPA is not finalizing the proposed regulatory language that includes a specified number of hours that a transportation container may be disconnected from the motive power that delivered it to the site before being considered part of the stationary source. </w:t>
      </w:r>
      <w:r w:rsidR="0054055A">
        <w:rPr>
          <w:rFonts w:ascii="Times New Roman" w:hAnsi="Times New Roman"/>
          <w:sz w:val="24"/>
        </w:rPr>
        <w:t>Nevertheless, d</w:t>
      </w:r>
      <w:r w:rsidRPr="00ED11A9">
        <w:rPr>
          <w:rFonts w:ascii="Times New Roman" w:hAnsi="Times New Roman"/>
          <w:sz w:val="24"/>
        </w:rPr>
        <w:t xml:space="preserve">uring the development of the RMP </w:t>
      </w:r>
      <w:r>
        <w:rPr>
          <w:rFonts w:ascii="Times New Roman" w:hAnsi="Times New Roman"/>
          <w:sz w:val="24"/>
        </w:rPr>
        <w:t>SCCAP</w:t>
      </w:r>
      <w:r w:rsidRPr="00ED11A9">
        <w:rPr>
          <w:rFonts w:ascii="Times New Roman" w:hAnsi="Times New Roman"/>
          <w:sz w:val="24"/>
        </w:rPr>
        <w:t xml:space="preserve"> rule, EPA consulted and coordinated with </w:t>
      </w:r>
      <w:r>
        <w:rPr>
          <w:rFonts w:ascii="Times New Roman" w:hAnsi="Times New Roman"/>
          <w:sz w:val="24"/>
        </w:rPr>
        <w:t xml:space="preserve">other Federal agencies </w:t>
      </w:r>
      <w:r w:rsidRPr="00B71358">
        <w:rPr>
          <w:rFonts w:ascii="Times New Roman" w:hAnsi="Times New Roman"/>
          <w:sz w:val="24"/>
        </w:rPr>
        <w:t xml:space="preserve">to ensure the intent of adding specificity and clarification to the RMP regulations </w:t>
      </w:r>
      <w:r w:rsidR="000C5630">
        <w:rPr>
          <w:rFonts w:ascii="Times New Roman" w:hAnsi="Times New Roman"/>
          <w:sz w:val="24"/>
        </w:rPr>
        <w:t>would</w:t>
      </w:r>
      <w:r w:rsidRPr="00B71358">
        <w:rPr>
          <w:rFonts w:ascii="Times New Roman" w:hAnsi="Times New Roman"/>
          <w:sz w:val="24"/>
        </w:rPr>
        <w:t xml:space="preserve"> not create conflicts</w:t>
      </w:r>
      <w:r>
        <w:rPr>
          <w:rFonts w:ascii="Times New Roman" w:hAnsi="Times New Roman"/>
          <w:sz w:val="24"/>
        </w:rPr>
        <w:t xml:space="preserve"> with other Federal programs</w:t>
      </w:r>
      <w:r w:rsidR="00070DEB">
        <w:rPr>
          <w:rFonts w:ascii="Times New Roman" w:hAnsi="Times New Roman"/>
          <w:sz w:val="24"/>
        </w:rPr>
        <w:t xml:space="preserve">; this included meetings with </w:t>
      </w:r>
      <w:r>
        <w:rPr>
          <w:rFonts w:ascii="Times New Roman" w:hAnsi="Times New Roman"/>
          <w:sz w:val="24"/>
        </w:rPr>
        <w:t>DOT</w:t>
      </w:r>
      <w:r w:rsidRPr="00ED11A9">
        <w:rPr>
          <w:rFonts w:ascii="Times New Roman" w:hAnsi="Times New Roman"/>
          <w:sz w:val="24"/>
        </w:rPr>
        <w:t xml:space="preserve"> </w:t>
      </w:r>
      <w:r>
        <w:rPr>
          <w:rFonts w:ascii="Times New Roman" w:hAnsi="Times New Roman"/>
          <w:sz w:val="24"/>
        </w:rPr>
        <w:t>and DHS</w:t>
      </w:r>
      <w:r w:rsidRPr="00ED11A9">
        <w:rPr>
          <w:rFonts w:ascii="Times New Roman" w:hAnsi="Times New Roman"/>
          <w:sz w:val="24"/>
        </w:rPr>
        <w:t xml:space="preserve">. </w:t>
      </w:r>
    </w:p>
    <w:p w:rsidR="00021D11" w:rsidRPr="00E62595" w:rsidP="00021D11" w14:paraId="1C4036A6" w14:textId="6C025F58">
      <w:pPr>
        <w:ind w:left="720"/>
        <w:rPr>
          <w:rFonts w:ascii="Times New Roman" w:hAnsi="Times New Roman"/>
          <w:sz w:val="24"/>
        </w:rPr>
      </w:pPr>
      <w:r>
        <w:rPr>
          <w:rFonts w:ascii="Times New Roman" w:hAnsi="Times New Roman"/>
          <w:sz w:val="24"/>
        </w:rPr>
        <w:t xml:space="preserve">Further, </w:t>
      </w:r>
      <w:r w:rsidRPr="00E62595">
        <w:rPr>
          <w:rFonts w:ascii="Times New Roman" w:hAnsi="Times New Roman"/>
          <w:sz w:val="24"/>
        </w:rPr>
        <w:t>EPA has demonstrated its intent and application of when transportation containers are and are not part of the stationary source in guidance and through court decisions. In the January 1998 amendments to the RMP rule (63 FR 640)</w:t>
      </w:r>
      <w:r>
        <w:rPr>
          <w:rStyle w:val="FootnoteReference"/>
          <w:rFonts w:ascii="Times New Roman" w:hAnsi="Times New Roman"/>
          <w:sz w:val="24"/>
        </w:rPr>
        <w:footnoteReference w:id="187"/>
      </w:r>
      <w:r w:rsidRPr="00E62595">
        <w:rPr>
          <w:rFonts w:ascii="Times New Roman" w:hAnsi="Times New Roman"/>
          <w:sz w:val="24"/>
        </w:rPr>
        <w:t>, the Agency explained that EPA considers a container to be in transportation as long as it is attached to the motive power that delivered it to the site (e.g., a truck or locomotive). If a container remains attached to the motive power that delivered it to the site, even after a facility accepts delivery, it would be considered as still in transportation, and the contents would not be subject to threshold determination. Additionally, EPA’s guidance indicates that transportation containers used for storage which are not incident to transportation and transportation containers connected to equipment at a stationary source are considered part of the stationary source. Transportation containers that have been unhooked from the motive power that delivered them to the site (e.g., truck or locomotive) and left on a stationary source’s site for short-term or long-term storage are part of the stationary source.</w:t>
      </w:r>
      <w:r>
        <w:rPr>
          <w:rStyle w:val="FootnoteReference"/>
          <w:rFonts w:ascii="Times New Roman" w:hAnsi="Times New Roman"/>
          <w:sz w:val="24"/>
        </w:rPr>
        <w:footnoteReference w:id="188"/>
      </w:r>
      <w:r w:rsidRPr="00E62595">
        <w:rPr>
          <w:rFonts w:ascii="Times New Roman" w:hAnsi="Times New Roman"/>
          <w:sz w:val="24"/>
        </w:rPr>
        <w:t xml:space="preserve"> </w:t>
      </w:r>
    </w:p>
    <w:p w:rsidR="00021D11" w:rsidRPr="00E62595" w:rsidP="00021D11" w14:paraId="667D4FC0" w14:textId="77777777">
      <w:pPr>
        <w:ind w:left="720"/>
        <w:rPr>
          <w:rFonts w:ascii="Times New Roman" w:hAnsi="Times New Roman"/>
          <w:sz w:val="24"/>
        </w:rPr>
      </w:pPr>
      <w:r w:rsidRPr="00E62595">
        <w:rPr>
          <w:rFonts w:ascii="Times New Roman" w:hAnsi="Times New Roman"/>
          <w:sz w:val="24"/>
        </w:rPr>
        <w:t>Since EPA’s proposal, courts have also spoken to this issue. In February 2023, the U.S. Eastern District Court of Washington ruled in favor of the U.S. against Multistar Industries regarding RMP applicability to railcars used for stationary storage. The Court determined that railcars containing trimethylamine (TMA) in 2017 in Othello, WA, were used as storage outside the scope of transportation.</w:t>
      </w:r>
      <w:r>
        <w:rPr>
          <w:rStyle w:val="FootnoteReference"/>
          <w:rFonts w:ascii="Times New Roman" w:hAnsi="Times New Roman"/>
          <w:sz w:val="24"/>
        </w:rPr>
        <w:footnoteReference w:id="189"/>
      </w:r>
      <w:r w:rsidRPr="00E62595">
        <w:rPr>
          <w:rFonts w:ascii="Times New Roman" w:hAnsi="Times New Roman"/>
          <w:sz w:val="24"/>
        </w:rPr>
        <w:t xml:space="preserve"> The TMA-containing railcars sat for days or weeks before the TMA was eventually transloaded into trucks for transfer to the customer. Additionally, in 2017, the NC Department of Air Quality succeeded against </w:t>
      </w:r>
      <w:r w:rsidRPr="00E62595">
        <w:rPr>
          <w:rFonts w:ascii="Times New Roman" w:hAnsi="Times New Roman"/>
          <w:sz w:val="24"/>
        </w:rPr>
        <w:t>Aberdeen Carolina &amp; Western Railway</w:t>
      </w:r>
      <w:r w:rsidRPr="00E62595">
        <w:rPr>
          <w:rFonts w:ascii="Times New Roman" w:hAnsi="Times New Roman"/>
          <w:i/>
          <w:iCs/>
          <w:sz w:val="24"/>
        </w:rPr>
        <w:t xml:space="preserve"> </w:t>
      </w:r>
      <w:r w:rsidRPr="00E62595">
        <w:rPr>
          <w:rFonts w:ascii="Times New Roman" w:hAnsi="Times New Roman"/>
          <w:sz w:val="24"/>
        </w:rPr>
        <w:t>in demonstrating that EPA’s longstanding interpretation of the term “stationary source” includes railcars disconnected from locomotive power and stored for extended periods of time. In that case, between 2012 and 2016, in Star, NC, railcars containing butane were stored on tracks awaiting placement at a nearby terminal for up to 360 days.</w:t>
      </w:r>
      <w:r>
        <w:rPr>
          <w:rStyle w:val="FootnoteReference"/>
          <w:rFonts w:ascii="Times New Roman" w:hAnsi="Times New Roman"/>
          <w:sz w:val="24"/>
        </w:rPr>
        <w:footnoteReference w:id="190"/>
      </w:r>
      <w:r w:rsidRPr="00E62595">
        <w:rPr>
          <w:rFonts w:ascii="Times New Roman" w:hAnsi="Times New Roman"/>
          <w:sz w:val="24"/>
        </w:rPr>
        <w:t xml:space="preserve"> </w:t>
      </w:r>
    </w:p>
    <w:p w:rsidR="00021D11" w:rsidP="00021D11" w14:paraId="70696398" w14:textId="20D247F1">
      <w:pPr>
        <w:rPr>
          <w:rFonts w:ascii="Times New Roman" w:hAnsi="Times New Roman"/>
          <w:sz w:val="24"/>
        </w:rPr>
      </w:pPr>
      <w:r w:rsidRPr="004E2110">
        <w:rPr>
          <w:rFonts w:ascii="Times New Roman" w:hAnsi="Times New Roman"/>
          <w:b/>
          <w:bCs/>
          <w:sz w:val="24"/>
        </w:rPr>
        <w:t>Comment</w:t>
      </w:r>
      <w:r>
        <w:rPr>
          <w:rFonts w:ascii="Times New Roman" w:hAnsi="Times New Roman"/>
          <w:b/>
          <w:bCs/>
          <w:sz w:val="24"/>
        </w:rPr>
        <w:t xml:space="preserve"> 14.5-0</w:t>
      </w:r>
      <w:r w:rsidR="003A6368">
        <w:rPr>
          <w:rFonts w:ascii="Times New Roman" w:hAnsi="Times New Roman"/>
          <w:b/>
          <w:bCs/>
          <w:sz w:val="24"/>
        </w:rPr>
        <w:t>3</w:t>
      </w:r>
      <w:r w:rsidRPr="004E2110">
        <w:rPr>
          <w:rFonts w:ascii="Times New Roman" w:hAnsi="Times New Roman"/>
          <w:b/>
          <w:bCs/>
          <w:sz w:val="24"/>
        </w:rPr>
        <w:t>:</w:t>
      </w:r>
      <w:r>
        <w:rPr>
          <w:rFonts w:ascii="Times New Roman" w:hAnsi="Times New Roman"/>
          <w:sz w:val="24"/>
        </w:rPr>
        <w:t xml:space="preserve"> Many commenters requested clarification on specific aspects of EPA’s proposal. </w:t>
      </w:r>
    </w:p>
    <w:p w:rsidR="00021D11" w:rsidRPr="00FE1701" w:rsidP="00021D11" w14:paraId="161EBF2C" w14:textId="77777777">
      <w:pPr>
        <w:rPr>
          <w:rFonts w:ascii="Times New Roman" w:hAnsi="Times New Roman"/>
          <w:sz w:val="24"/>
        </w:rPr>
      </w:pPr>
      <w:r w:rsidRPr="00FE1701">
        <w:rPr>
          <w:rFonts w:ascii="Times New Roman" w:hAnsi="Times New Roman"/>
          <w:sz w:val="24"/>
        </w:rPr>
        <w:t xml:space="preserve">One commenter stated that proposed revisions to the definition of stationary source with respect to storage activities incidental to transportation and to expand the scope of covered facilities are confusing and need clarification. Specifically, the commenter </w:t>
      </w:r>
      <w:r>
        <w:rPr>
          <w:rFonts w:ascii="Times New Roman" w:hAnsi="Times New Roman"/>
          <w:sz w:val="24"/>
        </w:rPr>
        <w:t>stated</w:t>
      </w:r>
      <w:r w:rsidRPr="00FE1701">
        <w:rPr>
          <w:rFonts w:ascii="Times New Roman" w:hAnsi="Times New Roman"/>
          <w:sz w:val="24"/>
        </w:rPr>
        <w:t xml:space="preserve"> that EPA provides no explanation, data, or cost-benefit analysis to support the 48-hour exception whereby transportation containers would be excepted from the threshold determination for stationary sources. The commenter also stated that the proposed expansion of the stationary source definition ignores that the DOT rule cited as the source of the 48-hour timeframe does not apply to railcars once they are on private track and also includes exclusions and changing this would increase the paperwork burden on facilities. The commenter also stated that proposed language providing the 48-hour exception is unclear regarding what activities are encompassed within that exception (0268).</w:t>
      </w:r>
    </w:p>
    <w:p w:rsidR="00021D11" w:rsidRPr="006F68E9" w:rsidP="00021D11" w14:paraId="3498C5B0" w14:textId="4C2C517C">
      <w:pPr>
        <w:rPr>
          <w:rFonts w:ascii="Times New Roman" w:hAnsi="Times New Roman"/>
          <w:sz w:val="24"/>
        </w:rPr>
      </w:pPr>
      <w:r w:rsidRPr="006F68E9">
        <w:rPr>
          <w:rFonts w:ascii="Times New Roman" w:hAnsi="Times New Roman"/>
          <w:sz w:val="24"/>
        </w:rPr>
        <w:t xml:space="preserve">Regarding the proposed revision to </w:t>
      </w:r>
      <w:r>
        <w:rPr>
          <w:rFonts w:ascii="Times New Roman" w:hAnsi="Times New Roman"/>
          <w:sz w:val="24"/>
        </w:rPr>
        <w:t>40 CFR</w:t>
      </w:r>
      <w:r w:rsidRPr="006F68E9">
        <w:rPr>
          <w:rFonts w:ascii="Times New Roman" w:hAnsi="Times New Roman"/>
          <w:sz w:val="24"/>
        </w:rPr>
        <w:t xml:space="preserve"> 98.3 regarding “containers” and the exclusion of “storage incident to transportation,” one commenter </w:t>
      </w:r>
      <w:r>
        <w:rPr>
          <w:rFonts w:ascii="Times New Roman" w:hAnsi="Times New Roman"/>
          <w:sz w:val="24"/>
        </w:rPr>
        <w:t>said</w:t>
      </w:r>
      <w:r w:rsidRPr="006F68E9">
        <w:rPr>
          <w:rFonts w:ascii="Times New Roman" w:hAnsi="Times New Roman"/>
          <w:sz w:val="24"/>
        </w:rPr>
        <w:t xml:space="preserve"> that EPA appears to assume that the only type of transportation is by vehicle to a site rather than also by pipeline from a site. The commenter asked EPA to clarify that storage facilities and storage containers connected to pipeline systems or other transportation facilities subject to regulation under 49 CFR parts 192, 193 or 195 are transportation or storage incident to transportation excluded from the definition of “stationary source” within the meaning of 40 </w:t>
      </w:r>
      <w:r w:rsidRPr="006F68E9" w:rsidR="001B1E6D">
        <w:rPr>
          <w:rFonts w:ascii="Times New Roman" w:hAnsi="Times New Roman"/>
          <w:sz w:val="24"/>
        </w:rPr>
        <w:t>CFR 68.3.</w:t>
      </w:r>
      <w:r w:rsidRPr="006F68E9">
        <w:rPr>
          <w:rFonts w:ascii="Times New Roman" w:hAnsi="Times New Roman"/>
          <w:sz w:val="24"/>
        </w:rPr>
        <w:t> (0246).</w:t>
      </w:r>
    </w:p>
    <w:p w:rsidR="00021D11" w:rsidRPr="006F68E9" w:rsidP="00021D11" w14:paraId="63E4CE72" w14:textId="77777777">
      <w:pPr>
        <w:rPr>
          <w:rFonts w:ascii="Times New Roman" w:hAnsi="Times New Roman"/>
          <w:sz w:val="24"/>
        </w:rPr>
      </w:pPr>
      <w:r w:rsidRPr="006F68E9">
        <w:rPr>
          <w:rFonts w:ascii="Times New Roman" w:hAnsi="Times New Roman"/>
          <w:sz w:val="24"/>
        </w:rPr>
        <w:t>Another commenter stated that the proposed language to describe “storage incident to transportation” is confusing, making it difficult to understand whether issues reported by people in fenceline communities are sufficiently addressed by EPA’s update to the RMP rule (0270).</w:t>
      </w:r>
    </w:p>
    <w:p w:rsidR="00021D11" w:rsidRPr="006F68E9" w:rsidP="00021D11" w14:paraId="5BD0DFA0" w14:textId="77777777">
      <w:pPr>
        <w:rPr>
          <w:rFonts w:ascii="Times New Roman" w:hAnsi="Times New Roman"/>
          <w:sz w:val="24"/>
        </w:rPr>
      </w:pPr>
      <w:r w:rsidRPr="006F68E9">
        <w:rPr>
          <w:rFonts w:ascii="Times New Roman" w:hAnsi="Times New Roman"/>
          <w:sz w:val="24"/>
        </w:rPr>
        <w:t>One commenter urged EPA to make clear that storage (such as a rail container) of any regulated substance anywhere on-site for over 48-hours will trigger or contribute to RMP rule coverage even if connected motive power. The commenter stressed that the fact of connection to power does not show movement from storage to transportation (0460).</w:t>
      </w:r>
    </w:p>
    <w:p w:rsidR="00021D11" w:rsidRPr="00FE1701" w:rsidP="00021D11" w14:paraId="771FF2C2" w14:textId="77777777">
      <w:pPr>
        <w:rPr>
          <w:rFonts w:ascii="Times New Roman" w:hAnsi="Times New Roman"/>
          <w:sz w:val="24"/>
        </w:rPr>
      </w:pPr>
      <w:r w:rsidRPr="00FE1701">
        <w:rPr>
          <w:rFonts w:ascii="Times New Roman" w:hAnsi="Times New Roman"/>
          <w:sz w:val="24"/>
        </w:rPr>
        <w:t>One commenter stated that as currently drafted, the status of the motive power (connected versus unconnected) appears irrelevant to loading or unloading as transportation containers would be part of the stationary source regardless of when they are connected for loading to equipment at a stationary source. The commenter stated that this is of concern because transportation containers may be the only source at a facility that would contain sufficient material to trigger RMP requirements (0206).</w:t>
      </w:r>
    </w:p>
    <w:p w:rsidR="00021D11" w:rsidRPr="00FE1701" w:rsidP="00021D11" w14:paraId="1FB1036D" w14:textId="77777777">
      <w:pPr>
        <w:rPr>
          <w:rFonts w:ascii="Times New Roman" w:hAnsi="Times New Roman"/>
          <w:sz w:val="24"/>
        </w:rPr>
      </w:pPr>
      <w:r w:rsidRPr="00FE1701">
        <w:rPr>
          <w:rFonts w:ascii="Times New Roman" w:hAnsi="Times New Roman"/>
          <w:sz w:val="24"/>
        </w:rPr>
        <w:t xml:space="preserve">Regarding EPA’s proposal to add transportation containers that store for 48-hours or more to the threshold determination for stationary sources, another commenter </w:t>
      </w:r>
      <w:r>
        <w:rPr>
          <w:rFonts w:ascii="Times New Roman" w:hAnsi="Times New Roman"/>
          <w:sz w:val="24"/>
        </w:rPr>
        <w:t>said</w:t>
      </w:r>
      <w:r w:rsidRPr="00FE1701">
        <w:rPr>
          <w:rFonts w:ascii="Times New Roman" w:hAnsi="Times New Roman"/>
          <w:sz w:val="24"/>
        </w:rPr>
        <w:t xml:space="preserve"> that this would largely affect railyards and other transportation facilities that have long been exempted from the </w:t>
      </w:r>
      <w:r w:rsidRPr="00FE1701">
        <w:rPr>
          <w:rFonts w:ascii="Times New Roman" w:hAnsi="Times New Roman"/>
          <w:sz w:val="24"/>
        </w:rPr>
        <w:t>threshold stationary source determination. The commenter added that EPA provides no meaningful explanation for the change except providing clarity for which containers used for onsite storage must be incorporated into the facility RMP (0253).</w:t>
      </w:r>
    </w:p>
    <w:p w:rsidR="00021D11" w:rsidRPr="006F68E9" w:rsidP="00021D11" w14:paraId="64DD2551" w14:textId="77777777">
      <w:pPr>
        <w:rPr>
          <w:rFonts w:ascii="Times New Roman" w:hAnsi="Times New Roman"/>
          <w:sz w:val="24"/>
        </w:rPr>
      </w:pPr>
      <w:r w:rsidRPr="006F68E9">
        <w:rPr>
          <w:rFonts w:ascii="Times New Roman" w:hAnsi="Times New Roman"/>
          <w:sz w:val="24"/>
        </w:rPr>
        <w:t>Another commenter expressed support for EPA’s proposal to allow onsite storage for a period of time without its motive power but requested clarification of its applicability to “transportation containers connected to equipment at a stationary source for loading or unloading.” The commenter pointed out that this is consistent with the PHMSA definition of “transportation or transport” as “the movement of property and loading, unloading, or storage incidental to that movement.” (0206).</w:t>
      </w:r>
    </w:p>
    <w:p w:rsidR="00021D11" w:rsidRPr="006F68E9" w:rsidP="00021D11" w14:paraId="12ED8186" w14:textId="77777777">
      <w:pPr>
        <w:rPr>
          <w:rFonts w:ascii="Times New Roman" w:hAnsi="Times New Roman"/>
          <w:sz w:val="24"/>
        </w:rPr>
      </w:pPr>
      <w:r w:rsidRPr="006F68E9">
        <w:rPr>
          <w:rFonts w:ascii="Times New Roman" w:hAnsi="Times New Roman"/>
          <w:sz w:val="24"/>
        </w:rPr>
        <w:t>In specifying a 48-hour timeframe, one commenter asked EPA to clarify which entity, i.e., railroad, shipper or some other, is responsible for developing an RMP for those circumstances where no prior RMP was previously done (0247).</w:t>
      </w:r>
    </w:p>
    <w:p w:rsidR="00021D11" w:rsidRPr="006F68E9" w:rsidP="00021D11" w14:paraId="3C8EB724" w14:textId="77777777">
      <w:pPr>
        <w:rPr>
          <w:rFonts w:ascii="Times New Roman" w:hAnsi="Times New Roman"/>
          <w:sz w:val="24"/>
        </w:rPr>
      </w:pPr>
      <w:r w:rsidRPr="006F68E9">
        <w:rPr>
          <w:rFonts w:ascii="Times New Roman" w:hAnsi="Times New Roman"/>
          <w:sz w:val="24"/>
        </w:rPr>
        <w:t>Referring to transloading facilities at rail yards, another commenter asked EPA to apply the 48-hour rule cumulatively and, if adopted, to clarify that the cumulative requirement applies only to railcars that are delivered to the railyard for the purpose of transloading and that other railcars in a railyard that are passing through along the route to their ultimate destination are not subject to this cumulative treatment (0229).</w:t>
      </w:r>
    </w:p>
    <w:p w:rsidR="00021D11" w:rsidRPr="006F68E9" w:rsidP="00021D11" w14:paraId="4A14A22A" w14:textId="77777777">
      <w:pPr>
        <w:rPr>
          <w:rFonts w:ascii="Times New Roman" w:hAnsi="Times New Roman"/>
          <w:sz w:val="24"/>
        </w:rPr>
      </w:pPr>
      <w:r w:rsidRPr="006F68E9">
        <w:rPr>
          <w:rFonts w:ascii="Times New Roman" w:hAnsi="Times New Roman"/>
          <w:sz w:val="24"/>
        </w:rPr>
        <w:t xml:space="preserve">Referring to the 48-hour rule, a couple of commenters stated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creates ambiguity between the regulatory text and the preamble, which requires clarification and an opportunity for additional public input before EPA finalizes the change (0253, 0272).</w:t>
      </w:r>
    </w:p>
    <w:p w:rsidR="00021D11" w:rsidRPr="00450877" w:rsidP="00021D11" w14:paraId="149E070B" w14:textId="77777777">
      <w:pPr>
        <w:ind w:left="720"/>
        <w:rPr>
          <w:rFonts w:ascii="Times New Roman" w:hAnsi="Times New Roman"/>
          <w:b/>
          <w:bCs/>
          <w:sz w:val="24"/>
        </w:rPr>
      </w:pPr>
      <w:r w:rsidRPr="00450877">
        <w:rPr>
          <w:rFonts w:ascii="Times New Roman" w:hAnsi="Times New Roman"/>
          <w:b/>
          <w:bCs/>
          <w:sz w:val="24"/>
        </w:rPr>
        <w:t xml:space="preserve">EPA Response: </w:t>
      </w:r>
      <w:r w:rsidRPr="00B55653">
        <w:rPr>
          <w:rFonts w:ascii="Times New Roman" w:hAnsi="Times New Roman"/>
          <w:sz w:val="24"/>
        </w:rPr>
        <w:t>EPA acknowledges some of the concerns with establishing a timeframe and chooses to further consider the feedback received on the proposed modification before pursuing the effort. EPA encourages regulated entities and implementing agencies to continue to rely on guidance EPA has provided to determine if a transportation container is considered a part of a stationary source.</w:t>
      </w:r>
    </w:p>
    <w:p w:rsidR="00ED515C" w:rsidRPr="00861CC7" w:rsidP="00ED515C" w14:paraId="6E34FB89" w14:textId="53D93D11">
      <w:pPr>
        <w:rPr>
          <w:rFonts w:ascii="Times New Roman" w:hAnsi="Times New Roman"/>
          <w:b/>
          <w:sz w:val="24"/>
        </w:rPr>
      </w:pPr>
      <w:r w:rsidRPr="0048515D">
        <w:rPr>
          <w:rFonts w:ascii="Times New Roman" w:hAnsi="Times New Roman"/>
          <w:b/>
          <w:bCs/>
          <w:sz w:val="24"/>
        </w:rPr>
        <w:t>Comment</w:t>
      </w:r>
      <w:r>
        <w:rPr>
          <w:rFonts w:ascii="Times New Roman" w:hAnsi="Times New Roman"/>
          <w:b/>
          <w:bCs/>
          <w:sz w:val="24"/>
        </w:rPr>
        <w:t xml:space="preserve"> 1</w:t>
      </w:r>
      <w:r w:rsidR="008A655D">
        <w:rPr>
          <w:rFonts w:ascii="Times New Roman" w:hAnsi="Times New Roman"/>
          <w:b/>
          <w:bCs/>
          <w:sz w:val="24"/>
        </w:rPr>
        <w:t>4.5-0</w:t>
      </w:r>
      <w:r w:rsidR="003A6368">
        <w:rPr>
          <w:rFonts w:ascii="Times New Roman" w:hAnsi="Times New Roman"/>
          <w:b/>
          <w:bCs/>
          <w:sz w:val="24"/>
        </w:rPr>
        <w:t>4</w:t>
      </w:r>
      <w:r w:rsidRPr="0048515D">
        <w:rPr>
          <w:rFonts w:ascii="Times New Roman" w:hAnsi="Times New Roman"/>
          <w:b/>
          <w:bCs/>
          <w:sz w:val="24"/>
        </w:rPr>
        <w:t xml:space="preserve">: </w:t>
      </w:r>
      <w:r>
        <w:rPr>
          <w:rFonts w:ascii="Times New Roman" w:hAnsi="Times New Roman"/>
          <w:sz w:val="24"/>
        </w:rPr>
        <w:t>One</w:t>
      </w:r>
      <w:r w:rsidRPr="006F68E9">
        <w:rPr>
          <w:rFonts w:ascii="Times New Roman" w:hAnsi="Times New Roman"/>
          <w:sz w:val="24"/>
        </w:rPr>
        <w:t xml:space="preserve"> commenter expressed agreement with </w:t>
      </w:r>
      <w:r w:rsidR="008A655D">
        <w:rPr>
          <w:rFonts w:ascii="Times New Roman" w:hAnsi="Times New Roman"/>
          <w:sz w:val="24"/>
        </w:rPr>
        <w:t xml:space="preserve">the </w:t>
      </w:r>
      <w:r w:rsidRPr="006F68E9">
        <w:rPr>
          <w:rFonts w:ascii="Times New Roman" w:hAnsi="Times New Roman"/>
          <w:sz w:val="24"/>
        </w:rPr>
        <w:t>historical definition of stationary source which would include transportation containers only when they are no longer in transportation in commerce (0227).</w:t>
      </w:r>
    </w:p>
    <w:p w:rsidR="00ED515C" w:rsidRPr="008A655D" w:rsidP="008A655D" w14:paraId="0C9F912C" w14:textId="03B2CA2E">
      <w:pPr>
        <w:ind w:left="720"/>
        <w:rPr>
          <w:rFonts w:ascii="Times New Roman" w:hAnsi="Times New Roman"/>
          <w:sz w:val="24"/>
        </w:rPr>
      </w:pPr>
      <w:r w:rsidRPr="00362146">
        <w:rPr>
          <w:rFonts w:ascii="Times New Roman" w:hAnsi="Times New Roman"/>
          <w:b/>
          <w:bCs/>
          <w:sz w:val="24"/>
        </w:rPr>
        <w:t xml:space="preserve">EPA Response: </w:t>
      </w:r>
      <w:r w:rsidRPr="003E10E8">
        <w:rPr>
          <w:rFonts w:ascii="Times New Roman" w:hAnsi="Times New Roman"/>
          <w:sz w:val="24"/>
        </w:rPr>
        <w:t xml:space="preserve">EPA is not finalizing the proposed regulatory language that includes a specified number of hours that a transportation container may be disconnected from the motive power that delivered it to the site before being considered part of the stationary source. As explained in the proposed rule, the term “storage not incident to transportation” is currently not defined in the RMP regulations. The proposed modification sought only to apply a specific timeframe to universally establish a structure to interpret the term. EPA hoped a specified timeframe would assist regulated entities and implementing agencies to more clearly determine when a transportation container used for onsite storage must be incorporated into a facility’s risk management plan. Nevertheless, after review of comments, EPA acknowledges some of the concerns with establishing a timeframe and chooses to further consider the feedback received on the proposed modification before pursuing the effort. EPA encourages regulated entities and implementing agencies to continue to rely on guidance EPA has provided to determine if a transportation container is considered a part of a stationary source. </w:t>
      </w:r>
    </w:p>
    <w:p w:rsidR="00021D11" w:rsidP="00021D11" w14:paraId="0D80E60C" w14:textId="5DBBE726">
      <w:pPr>
        <w:rPr>
          <w:rFonts w:ascii="Times New Roman" w:hAnsi="Times New Roman"/>
          <w:i/>
          <w:iCs/>
          <w:sz w:val="24"/>
        </w:rPr>
      </w:pPr>
      <w:r w:rsidRPr="003E476A">
        <w:rPr>
          <w:rFonts w:ascii="Times New Roman" w:hAnsi="Times New Roman"/>
          <w:i/>
          <w:iCs/>
          <w:sz w:val="24"/>
        </w:rPr>
        <w:t>Recommended revisions</w:t>
      </w:r>
    </w:p>
    <w:p w:rsidR="00021D11" w:rsidP="00021D11" w14:paraId="250624EA" w14:textId="578A2FC1">
      <w:pPr>
        <w:rPr>
          <w:rFonts w:ascii="Times New Roman" w:hAnsi="Times New Roman"/>
          <w:b/>
          <w:bCs/>
          <w:sz w:val="24"/>
        </w:rPr>
      </w:pPr>
      <w:r>
        <w:rPr>
          <w:rFonts w:ascii="Times New Roman" w:hAnsi="Times New Roman"/>
          <w:b/>
          <w:bCs/>
          <w:sz w:val="24"/>
        </w:rPr>
        <w:t>Comment 14.5-0</w:t>
      </w:r>
      <w:r w:rsidR="003A6368">
        <w:rPr>
          <w:rFonts w:ascii="Times New Roman" w:hAnsi="Times New Roman"/>
          <w:b/>
          <w:bCs/>
          <w:sz w:val="24"/>
        </w:rPr>
        <w:t>5</w:t>
      </w:r>
      <w:r>
        <w:rPr>
          <w:rFonts w:ascii="Times New Roman" w:hAnsi="Times New Roman"/>
          <w:b/>
          <w:bCs/>
          <w:sz w:val="24"/>
        </w:rPr>
        <w:t xml:space="preserve">: </w:t>
      </w:r>
      <w:r w:rsidRPr="004C4B2E">
        <w:rPr>
          <w:rFonts w:ascii="Times New Roman" w:hAnsi="Times New Roman"/>
          <w:sz w:val="24"/>
        </w:rPr>
        <w:t>Many commenters proposed revisions to EPA’s proposal.</w:t>
      </w:r>
      <w:r>
        <w:rPr>
          <w:rFonts w:ascii="Times New Roman" w:hAnsi="Times New Roman"/>
          <w:b/>
          <w:bCs/>
          <w:sz w:val="24"/>
        </w:rPr>
        <w:t xml:space="preserve"> </w:t>
      </w:r>
    </w:p>
    <w:p w:rsidR="00021D11" w:rsidRPr="00FE1701" w:rsidP="00021D11" w14:paraId="77C2F494" w14:textId="77777777">
      <w:pPr>
        <w:rPr>
          <w:rFonts w:ascii="Times New Roman" w:hAnsi="Times New Roman"/>
          <w:sz w:val="24"/>
        </w:rPr>
      </w:pPr>
      <w:r w:rsidRPr="00FE1701">
        <w:rPr>
          <w:rFonts w:ascii="Times New Roman" w:hAnsi="Times New Roman"/>
          <w:sz w:val="24"/>
        </w:rPr>
        <w:t>A commenter urged EPA to strengthen the definition of stationary source to expand the coverage facility-wide so that a facility with any covered process under the RMP must be fully covered. The commenter stated that EPA should ensure any facility that stores or uses a chemical regulated under the RMP must follow RMP requirements for all processes and all equipment and must ensure that all hazardous chemicals at the site are accounted for. The commenter described the 2013 West, Texas fertilizer plant explosion, the 2017 Arkema fire, a fire at a storage building at a chemical facility, and a July 2021 chemical disaster in LaPorte, Texas as examples of facilities that were only partially covered by EPA’s rules. The commenter also pointed to near misses of HF acid tanks in refineries as examples. The commenter stated that EPA should change the RMP to cover the oil drilling process (0460).</w:t>
      </w:r>
    </w:p>
    <w:p w:rsidR="00021D11" w:rsidRPr="00FE1701" w:rsidP="00021D11" w14:paraId="0D2DCE3A" w14:textId="77777777">
      <w:pPr>
        <w:rPr>
          <w:rFonts w:ascii="Times New Roman" w:hAnsi="Times New Roman"/>
          <w:sz w:val="24"/>
        </w:rPr>
      </w:pPr>
      <w:r>
        <w:rPr>
          <w:rFonts w:ascii="Times New Roman" w:hAnsi="Times New Roman"/>
          <w:sz w:val="24"/>
        </w:rPr>
        <w:t xml:space="preserve">One </w:t>
      </w:r>
      <w:r w:rsidRPr="00FE1701">
        <w:rPr>
          <w:rFonts w:ascii="Times New Roman" w:hAnsi="Times New Roman"/>
          <w:sz w:val="24"/>
        </w:rPr>
        <w:t>commenter asked EPA to shorten the 48-hour window to the shortest time possible needed to advance the Act’s core preventions goals and trigger RMP protections. The commenter also said that once the container is disconnected from power, the RMP requirements should be triggered because a container’s short time frame at a location does not offset the bigger picture of cumulative impacts and risks of multiple containers arriving and leaving (0460).</w:t>
      </w:r>
    </w:p>
    <w:p w:rsidR="00021D11" w:rsidRPr="00FE1701" w:rsidP="00021D11" w14:paraId="314D2F4F" w14:textId="77777777">
      <w:pPr>
        <w:rPr>
          <w:rFonts w:ascii="Times New Roman" w:hAnsi="Times New Roman"/>
          <w:sz w:val="24"/>
        </w:rPr>
      </w:pPr>
      <w:r w:rsidRPr="00FE1701">
        <w:rPr>
          <w:rFonts w:ascii="Times New Roman" w:hAnsi="Times New Roman"/>
          <w:sz w:val="24"/>
        </w:rPr>
        <w:t>One commenter stated that it is not clear whether the 48-hour clock resets at each location where the loaded rail car comes to rest along the route or is cumulative, whereas DOT’s rule resets the clock at each railyard along the route of movement. The commenter asked EPA to clarify its proposal to be consistent with the DOT rule to the extent that it is relying upon the logic of that rule (0229).</w:t>
      </w:r>
    </w:p>
    <w:p w:rsidR="00021D11" w:rsidRPr="00FE1701" w:rsidP="00021D11" w14:paraId="791CB1ED" w14:textId="77777777">
      <w:pPr>
        <w:rPr>
          <w:rFonts w:ascii="Times New Roman" w:hAnsi="Times New Roman"/>
          <w:sz w:val="24"/>
        </w:rPr>
      </w:pPr>
      <w:r w:rsidRPr="00FE1701">
        <w:rPr>
          <w:rFonts w:ascii="Times New Roman" w:hAnsi="Times New Roman"/>
          <w:sz w:val="24"/>
        </w:rPr>
        <w:t xml:space="preserve">One commenter </w:t>
      </w:r>
      <w:r>
        <w:rPr>
          <w:rFonts w:ascii="Times New Roman" w:hAnsi="Times New Roman"/>
          <w:sz w:val="24"/>
        </w:rPr>
        <w:t>stated</w:t>
      </w:r>
      <w:r w:rsidRPr="00FE1701">
        <w:rPr>
          <w:rFonts w:ascii="Times New Roman" w:hAnsi="Times New Roman"/>
          <w:sz w:val="24"/>
        </w:rPr>
        <w:t xml:space="preserve"> that the preamble and the proposed regulatory text mention delivery to the site or onsite storage, indicating that EPA does not intend to expand the scope of the RMP rule to cover railcars stored off-site from an RMP facility. The commenter asked that EPA clarify this interpretation (0268).</w:t>
      </w:r>
    </w:p>
    <w:p w:rsidR="00021D11" w:rsidRPr="00FE1701" w:rsidP="00021D11" w14:paraId="5CE2D532" w14:textId="2B1DF26B">
      <w:pPr>
        <w:rPr>
          <w:rFonts w:ascii="Times New Roman" w:hAnsi="Times New Roman"/>
          <w:sz w:val="24"/>
        </w:rPr>
      </w:pPr>
      <w:r w:rsidRPr="00FE1701">
        <w:rPr>
          <w:rFonts w:ascii="Times New Roman" w:hAnsi="Times New Roman"/>
          <w:sz w:val="24"/>
        </w:rPr>
        <w:t xml:space="preserve">One commenter </w:t>
      </w:r>
      <w:r>
        <w:rPr>
          <w:rFonts w:ascii="Times New Roman" w:hAnsi="Times New Roman"/>
          <w:sz w:val="24"/>
        </w:rPr>
        <w:t>said</w:t>
      </w:r>
      <w:r w:rsidRPr="00FE1701">
        <w:rPr>
          <w:rFonts w:ascii="Times New Roman" w:hAnsi="Times New Roman"/>
          <w:sz w:val="24"/>
        </w:rPr>
        <w:t xml:space="preserve"> that the 48-hour timeframe is based on the PHMSA regulations related to shipments of hazardous materials in rail carriers; however, RCRA regulated hazardous waste facilities use trucks to transport waste operate differently. The commenter explained that when trucks deliver waste materials to RCRA facilities a longer timeframe is needed because the waste materials, under RCRA, are required to be tested and sampled before the facility can accept them. The commenter requested that facilities be given a minimum of 72 hours before a disconnected transportation container is considered part of the stationary source (0262)</w:t>
      </w:r>
      <w:r w:rsidR="00B234C7">
        <w:rPr>
          <w:rFonts w:ascii="Times New Roman" w:hAnsi="Times New Roman"/>
          <w:sz w:val="24"/>
        </w:rPr>
        <w:t>.</w:t>
      </w:r>
    </w:p>
    <w:p w:rsidR="00021D11" w:rsidRPr="00FE1701" w:rsidP="00021D11" w14:paraId="0519C200" w14:textId="77777777">
      <w:pPr>
        <w:rPr>
          <w:rFonts w:ascii="Times New Roman" w:hAnsi="Times New Roman"/>
          <w:sz w:val="24"/>
        </w:rPr>
      </w:pPr>
      <w:r w:rsidRPr="00FE1701">
        <w:rPr>
          <w:rFonts w:ascii="Times New Roman" w:hAnsi="Times New Roman"/>
          <w:sz w:val="24"/>
        </w:rPr>
        <w:t xml:space="preserve">Another commenter asked EPA to specify the 48-hour timeline begins once the transportation container reaches the threshold quantity of a regulated substance determined under 40 CFR  68.115 and 68.130 (0206). </w:t>
      </w:r>
    </w:p>
    <w:p w:rsidR="00021D11" w:rsidRPr="006F68E9" w:rsidP="00021D11" w14:paraId="48341D84" w14:textId="77777777">
      <w:pPr>
        <w:rPr>
          <w:rFonts w:ascii="Times New Roman" w:hAnsi="Times New Roman"/>
          <w:sz w:val="24"/>
        </w:rPr>
      </w:pPr>
      <w:r>
        <w:rPr>
          <w:rFonts w:ascii="Times New Roman" w:hAnsi="Times New Roman"/>
          <w:sz w:val="24"/>
        </w:rPr>
        <w:t>One commenter recommended specific revisions to the regulatory language for the definition of stationary source</w:t>
      </w:r>
      <w:r w:rsidRPr="006F68E9">
        <w:rPr>
          <w:rFonts w:ascii="Times New Roman" w:hAnsi="Times New Roman"/>
          <w:sz w:val="24"/>
        </w:rPr>
        <w:t xml:space="preserve"> (0206)</w:t>
      </w:r>
      <w:r>
        <w:rPr>
          <w:rFonts w:ascii="Times New Roman" w:hAnsi="Times New Roman"/>
          <w:sz w:val="24"/>
        </w:rPr>
        <w:t>.</w:t>
      </w:r>
    </w:p>
    <w:p w:rsidR="00021D11" w:rsidRPr="006F68E9" w:rsidP="00021D11" w14:paraId="125D2E8B" w14:textId="77777777">
      <w:pPr>
        <w:rPr>
          <w:rFonts w:ascii="Times New Roman" w:hAnsi="Times New Roman"/>
          <w:sz w:val="24"/>
        </w:rPr>
      </w:pPr>
      <w:r w:rsidRPr="006F68E9">
        <w:rPr>
          <w:rFonts w:ascii="Times New Roman" w:hAnsi="Times New Roman"/>
          <w:sz w:val="24"/>
        </w:rPr>
        <w:t xml:space="preserve">One commenter suggested removing “actively engaged in transloading activities” from “railyards and other stationary sources actively engaged in transloading activities may store regulated substances up to 48 hours ….” (0268). </w:t>
      </w:r>
    </w:p>
    <w:p w:rsidR="00021D11" w:rsidRPr="00450877" w:rsidP="00021D11" w14:paraId="1BCF38F4" w14:textId="0A0E8DBB">
      <w:pPr>
        <w:ind w:left="720"/>
        <w:rPr>
          <w:rFonts w:ascii="Times New Roman" w:hAnsi="Times New Roman"/>
          <w:sz w:val="24"/>
        </w:rPr>
      </w:pPr>
      <w:r w:rsidRPr="00450877">
        <w:rPr>
          <w:rFonts w:ascii="Times New Roman" w:hAnsi="Times New Roman"/>
          <w:b/>
          <w:bCs/>
          <w:sz w:val="24"/>
        </w:rPr>
        <w:t xml:space="preserve">EPA Response: </w:t>
      </w:r>
      <w:r w:rsidRPr="00B55653">
        <w:rPr>
          <w:rFonts w:ascii="Times New Roman" w:hAnsi="Times New Roman"/>
          <w:sz w:val="24"/>
        </w:rPr>
        <w:t xml:space="preserve">EPA acknowledges some of the concerns with establishing a timeframe and chooses to further consider the feedback received on the proposed modification before pursuing the effort. EPA encourages regulated entities and implementing agencies </w:t>
      </w:r>
      <w:r w:rsidRPr="00B55653">
        <w:rPr>
          <w:rFonts w:ascii="Times New Roman" w:hAnsi="Times New Roman"/>
          <w:sz w:val="24"/>
        </w:rPr>
        <w:t>to continue to rely on guidance EPA has provided to determine if a transportation container is considered a part of a stationary source.</w:t>
      </w:r>
      <w:r w:rsidRPr="5675C948" w:rsidR="40ECC17D">
        <w:rPr>
          <w:rFonts w:ascii="Times New Roman" w:hAnsi="Times New Roman"/>
          <w:sz w:val="24"/>
        </w:rPr>
        <w:t xml:space="preserve"> Changing the applicability of the RMP rule to cover an entire facility if the facility has a covered process </w:t>
      </w:r>
      <w:r w:rsidRPr="5675C948" w:rsidR="08AE72B0">
        <w:rPr>
          <w:rFonts w:ascii="Times New Roman" w:hAnsi="Times New Roman"/>
          <w:sz w:val="24"/>
        </w:rPr>
        <w:t xml:space="preserve">was not assessed before proposal and is beyond the scope of the SCCAP rulemaking. It would introduce </w:t>
      </w:r>
      <w:r w:rsidRPr="5675C948" w:rsidR="4A098D7E">
        <w:rPr>
          <w:rFonts w:ascii="Times New Roman" w:hAnsi="Times New Roman"/>
          <w:sz w:val="24"/>
        </w:rPr>
        <w:t>an inconsistency in the scope of PSM and RMP coverage</w:t>
      </w:r>
      <w:r w:rsidRPr="5675C948" w:rsidR="43A2F71A">
        <w:rPr>
          <w:rFonts w:ascii="Times New Roman" w:hAnsi="Times New Roman"/>
          <w:sz w:val="24"/>
        </w:rPr>
        <w:t xml:space="preserve"> that would benefit from further notice and comment as well as interagency coordination.</w:t>
      </w:r>
    </w:p>
    <w:p w:rsidR="00021D11" w:rsidRPr="003E476A" w:rsidP="00021D11" w14:paraId="77C8B3CA" w14:textId="77777777">
      <w:pPr>
        <w:rPr>
          <w:rFonts w:ascii="Times New Roman" w:hAnsi="Times New Roman"/>
          <w:i/>
          <w:iCs/>
          <w:sz w:val="24"/>
        </w:rPr>
      </w:pPr>
      <w:r>
        <w:rPr>
          <w:rFonts w:ascii="Times New Roman" w:hAnsi="Times New Roman"/>
          <w:i/>
          <w:iCs/>
          <w:sz w:val="24"/>
        </w:rPr>
        <w:t>Safety concerns</w:t>
      </w:r>
    </w:p>
    <w:p w:rsidR="00021D11" w:rsidRPr="00FE1701" w:rsidP="00021D11" w14:paraId="69A653B3" w14:textId="49B08E50">
      <w:pPr>
        <w:rPr>
          <w:rFonts w:ascii="Times New Roman" w:hAnsi="Times New Roman"/>
          <w:sz w:val="24"/>
        </w:rPr>
      </w:pPr>
      <w:r w:rsidRPr="00FA0C68">
        <w:rPr>
          <w:rFonts w:ascii="Times New Roman" w:hAnsi="Times New Roman"/>
          <w:b/>
          <w:bCs/>
          <w:sz w:val="24"/>
        </w:rPr>
        <w:t>Comment</w:t>
      </w:r>
      <w:r>
        <w:rPr>
          <w:rFonts w:ascii="Times New Roman" w:hAnsi="Times New Roman"/>
          <w:b/>
          <w:bCs/>
          <w:sz w:val="24"/>
        </w:rPr>
        <w:t xml:space="preserve"> 14.5-0</w:t>
      </w:r>
      <w:r w:rsidR="001A5DC0">
        <w:rPr>
          <w:rFonts w:ascii="Times New Roman" w:hAnsi="Times New Roman"/>
          <w:b/>
          <w:bCs/>
          <w:sz w:val="24"/>
        </w:rPr>
        <w:t>6</w:t>
      </w:r>
      <w:r w:rsidRPr="00FA0C68">
        <w:rPr>
          <w:rFonts w:ascii="Times New Roman" w:hAnsi="Times New Roman"/>
          <w:b/>
          <w:bCs/>
          <w:sz w:val="24"/>
        </w:rPr>
        <w:t>:</w:t>
      </w:r>
      <w:r>
        <w:rPr>
          <w:rFonts w:ascii="Times New Roman" w:hAnsi="Times New Roman"/>
          <w:sz w:val="24"/>
        </w:rPr>
        <w:t xml:space="preserve"> </w:t>
      </w:r>
      <w:r w:rsidRPr="00FE1701">
        <w:rPr>
          <w:rFonts w:ascii="Times New Roman" w:hAnsi="Times New Roman"/>
          <w:sz w:val="24"/>
        </w:rPr>
        <w:t xml:space="preserve">A couple of commenters expressed safety concerns for communities near railroad tracks where containers sit for days, sometimes with engines running or locomotives attached (0270, 0460). One of the commenters expressed concern that communities near railroad tracks are being used as chemical storage sites for RMP facilities. The commenter added that the presence of chemical railcars multiplies the risk for communities by blocking emergency evacuation routes and increasing air pollution (0270). </w:t>
      </w:r>
    </w:p>
    <w:p w:rsidR="00021D11" w:rsidRPr="00FE1701" w:rsidP="00021D11" w14:paraId="2CE5FC08" w14:textId="77777777">
      <w:pPr>
        <w:rPr>
          <w:rFonts w:ascii="Times New Roman" w:hAnsi="Times New Roman"/>
          <w:sz w:val="24"/>
        </w:rPr>
      </w:pPr>
      <w:r w:rsidRPr="00FE1701">
        <w:rPr>
          <w:rFonts w:ascii="Times New Roman" w:hAnsi="Times New Roman"/>
          <w:sz w:val="24"/>
        </w:rPr>
        <w:t xml:space="preserve">Noting EPA’s request for comment on whether any safety concerns may arise from transportation containers exempt from the RMP regulation when disconnected for less than a total of 48-hours, one commenter stated the hazard posed by the presence of that chemical is increased for the facility and neighboring community regardless of the length of time, whether or not the container is attached to a power source, and whether or not that source is in motion. The commenter asked EPA to use its authority to address these hazards (0270). </w:t>
      </w:r>
    </w:p>
    <w:p w:rsidR="00021D11" w:rsidRPr="00FE1701" w:rsidP="00021D11" w14:paraId="0E027801" w14:textId="77777777">
      <w:pPr>
        <w:rPr>
          <w:rFonts w:ascii="Times New Roman" w:hAnsi="Times New Roman"/>
          <w:sz w:val="24"/>
        </w:rPr>
      </w:pPr>
      <w:r w:rsidRPr="00FE1701">
        <w:rPr>
          <w:rFonts w:ascii="Times New Roman" w:hAnsi="Times New Roman"/>
          <w:sz w:val="24"/>
        </w:rPr>
        <w:t xml:space="preserve">Another commenter </w:t>
      </w:r>
      <w:r>
        <w:rPr>
          <w:rFonts w:ascii="Times New Roman" w:hAnsi="Times New Roman"/>
          <w:sz w:val="24"/>
        </w:rPr>
        <w:t>discussed</w:t>
      </w:r>
      <w:r w:rsidRPr="00FE1701">
        <w:rPr>
          <w:rFonts w:ascii="Times New Roman" w:hAnsi="Times New Roman"/>
          <w:sz w:val="24"/>
        </w:rPr>
        <w:t xml:space="preserve"> cumulative impacts and risks regardless of length of time at a location and asked EPA to work with local community groups to best resolve the safety concern (0460).</w:t>
      </w:r>
    </w:p>
    <w:p w:rsidR="00021D11" w:rsidRPr="00FE1701" w:rsidP="00021D11" w14:paraId="0FC28194" w14:textId="77777777">
      <w:pPr>
        <w:rPr>
          <w:rFonts w:ascii="Times New Roman" w:hAnsi="Times New Roman"/>
          <w:sz w:val="24"/>
        </w:rPr>
      </w:pPr>
      <w:r w:rsidRPr="00FE1701">
        <w:rPr>
          <w:rFonts w:ascii="Times New Roman" w:hAnsi="Times New Roman"/>
          <w:sz w:val="24"/>
        </w:rPr>
        <w:t xml:space="preserve">One commenter stated that the </w:t>
      </w:r>
      <w:r>
        <w:rPr>
          <w:rFonts w:ascii="Times New Roman" w:hAnsi="Times New Roman"/>
          <w:sz w:val="24"/>
        </w:rPr>
        <w:t>p</w:t>
      </w:r>
      <w:r w:rsidRPr="00FE1701">
        <w:rPr>
          <w:rFonts w:ascii="Times New Roman" w:hAnsi="Times New Roman"/>
          <w:sz w:val="24"/>
        </w:rPr>
        <w:t>roposed</w:t>
      </w:r>
      <w:r w:rsidRPr="00FE1701">
        <w:rPr>
          <w:rFonts w:ascii="Times New Roman" w:hAnsi="Times New Roman"/>
          <w:sz w:val="24"/>
        </w:rPr>
        <w:t xml:space="preserve"> </w:t>
      </w:r>
      <w:r>
        <w:rPr>
          <w:rFonts w:ascii="Times New Roman" w:hAnsi="Times New Roman"/>
          <w:sz w:val="24"/>
        </w:rPr>
        <w:t>r</w:t>
      </w:r>
      <w:r w:rsidRPr="00FE1701">
        <w:rPr>
          <w:rFonts w:ascii="Times New Roman" w:hAnsi="Times New Roman"/>
          <w:sz w:val="24"/>
        </w:rPr>
        <w:t>ule fails to protect the community and workers because it does not consider risk from transportation of chemicals capable of mass casualties</w:t>
      </w:r>
      <w:r>
        <w:rPr>
          <w:rFonts w:ascii="Times New Roman" w:hAnsi="Times New Roman"/>
          <w:sz w:val="24"/>
        </w:rPr>
        <w:t xml:space="preserve"> (0163).</w:t>
      </w:r>
    </w:p>
    <w:p w:rsidR="00021D11" w:rsidRPr="008A621F" w:rsidP="00021D11" w14:paraId="33F1BB9F" w14:textId="5E8C7FEF">
      <w:pPr>
        <w:ind w:left="720"/>
        <w:rPr>
          <w:rFonts w:ascii="Times New Roman" w:hAnsi="Times New Roman"/>
          <w:sz w:val="24"/>
        </w:rPr>
      </w:pPr>
      <w:r>
        <w:rPr>
          <w:rFonts w:ascii="Times New Roman" w:hAnsi="Times New Roman"/>
          <w:b/>
          <w:bCs/>
          <w:sz w:val="24"/>
        </w:rPr>
        <w:t xml:space="preserve">EPA Response: </w:t>
      </w:r>
      <w:r w:rsidRPr="008A621F">
        <w:rPr>
          <w:rFonts w:ascii="Times New Roman" w:hAnsi="Times New Roman"/>
          <w:sz w:val="24"/>
        </w:rPr>
        <w:t xml:space="preserve">EPA </w:t>
      </w:r>
      <w:r>
        <w:rPr>
          <w:rFonts w:ascii="Times New Roman" w:hAnsi="Times New Roman"/>
          <w:sz w:val="24"/>
        </w:rPr>
        <w:t>will</w:t>
      </w:r>
      <w:r w:rsidRPr="008A621F">
        <w:rPr>
          <w:rFonts w:ascii="Times New Roman" w:hAnsi="Times New Roman"/>
          <w:sz w:val="24"/>
        </w:rPr>
        <w:t xml:space="preserve"> consider th</w:t>
      </w:r>
      <w:r>
        <w:rPr>
          <w:rFonts w:ascii="Times New Roman" w:hAnsi="Times New Roman"/>
          <w:sz w:val="24"/>
        </w:rPr>
        <w:t>is</w:t>
      </w:r>
      <w:r w:rsidRPr="008A621F">
        <w:rPr>
          <w:rFonts w:ascii="Times New Roman" w:hAnsi="Times New Roman"/>
          <w:sz w:val="24"/>
        </w:rPr>
        <w:t xml:space="preserve"> feedback received </w:t>
      </w:r>
      <w:r w:rsidR="00570550">
        <w:rPr>
          <w:rFonts w:ascii="Times New Roman" w:hAnsi="Times New Roman"/>
          <w:sz w:val="24"/>
        </w:rPr>
        <w:t>if</w:t>
      </w:r>
      <w:r w:rsidR="002277DD">
        <w:rPr>
          <w:rFonts w:ascii="Times New Roman" w:hAnsi="Times New Roman"/>
          <w:sz w:val="24"/>
        </w:rPr>
        <w:t xml:space="preserve"> deciding</w:t>
      </w:r>
      <w:r w:rsidR="00570550">
        <w:rPr>
          <w:rFonts w:ascii="Times New Roman" w:hAnsi="Times New Roman"/>
          <w:sz w:val="24"/>
        </w:rPr>
        <w:t xml:space="preserve"> to </w:t>
      </w:r>
      <w:r w:rsidR="002277DD">
        <w:rPr>
          <w:rFonts w:ascii="Times New Roman" w:hAnsi="Times New Roman"/>
          <w:sz w:val="24"/>
        </w:rPr>
        <w:t>later</w:t>
      </w:r>
      <w:r w:rsidR="00570550">
        <w:rPr>
          <w:rFonts w:ascii="Times New Roman" w:hAnsi="Times New Roman"/>
          <w:sz w:val="24"/>
        </w:rPr>
        <w:t xml:space="preserve"> pursue this matter</w:t>
      </w:r>
      <w:r w:rsidRPr="008A621F">
        <w:rPr>
          <w:rFonts w:ascii="Times New Roman" w:hAnsi="Times New Roman"/>
          <w:sz w:val="24"/>
        </w:rPr>
        <w:t xml:space="preserve">. </w:t>
      </w:r>
    </w:p>
    <w:p w:rsidR="00021D11" w:rsidRPr="006F68E9" w:rsidP="00B234C7" w14:paraId="5BB786B8" w14:textId="77777777">
      <w:pPr>
        <w:pStyle w:val="Heading2"/>
        <w:tabs>
          <w:tab w:val="clear" w:pos="8684"/>
        </w:tabs>
        <w:spacing w:before="120"/>
        <w:rPr>
          <w:rFonts w:ascii="Times New Roman" w:hAnsi="Times New Roman" w:cs="Times New Roman"/>
          <w:b/>
          <w:bCs/>
          <w:color w:val="auto"/>
          <w:sz w:val="24"/>
          <w:szCs w:val="24"/>
        </w:rPr>
      </w:pPr>
      <w:bookmarkStart w:id="169" w:name="_Toc146880048"/>
      <w:bookmarkStart w:id="170" w:name="_Toc153373835"/>
      <w:r w:rsidRPr="006F68E9">
        <w:rPr>
          <w:rFonts w:ascii="Times New Roman" w:hAnsi="Times New Roman" w:cs="Times New Roman"/>
          <w:b/>
          <w:bCs/>
          <w:color w:val="auto"/>
          <w:sz w:val="24"/>
          <w:szCs w:val="24"/>
        </w:rPr>
        <w:t xml:space="preserve">Retail </w:t>
      </w:r>
      <w:r>
        <w:rPr>
          <w:rFonts w:ascii="Times New Roman" w:hAnsi="Times New Roman" w:cs="Times New Roman"/>
          <w:b/>
          <w:bCs/>
          <w:color w:val="auto"/>
          <w:sz w:val="24"/>
          <w:szCs w:val="24"/>
        </w:rPr>
        <w:t>f</w:t>
      </w:r>
      <w:r w:rsidRPr="006F68E9">
        <w:rPr>
          <w:rFonts w:ascii="Times New Roman" w:hAnsi="Times New Roman" w:cs="Times New Roman"/>
          <w:b/>
          <w:bCs/>
          <w:color w:val="auto"/>
          <w:sz w:val="24"/>
          <w:szCs w:val="24"/>
        </w:rPr>
        <w:t xml:space="preserve">acility </w:t>
      </w:r>
      <w:r>
        <w:rPr>
          <w:rFonts w:ascii="Times New Roman" w:hAnsi="Times New Roman" w:cs="Times New Roman"/>
          <w:b/>
          <w:bCs/>
          <w:color w:val="auto"/>
          <w:sz w:val="24"/>
          <w:szCs w:val="24"/>
        </w:rPr>
        <w:t>e</w:t>
      </w:r>
      <w:r w:rsidRPr="006F68E9">
        <w:rPr>
          <w:rFonts w:ascii="Times New Roman" w:hAnsi="Times New Roman" w:cs="Times New Roman"/>
          <w:b/>
          <w:bCs/>
          <w:color w:val="auto"/>
          <w:sz w:val="24"/>
          <w:szCs w:val="24"/>
        </w:rPr>
        <w:t>xemption</w:t>
      </w:r>
      <w:bookmarkEnd w:id="169"/>
      <w:bookmarkEnd w:id="170"/>
    </w:p>
    <w:p w:rsidR="00021D11" w:rsidP="00021D11" w14:paraId="2AB83762" w14:textId="77777777">
      <w:pPr>
        <w:rPr>
          <w:rFonts w:ascii="Times New Roman" w:hAnsi="Times New Roman"/>
          <w:i/>
          <w:iCs/>
          <w:sz w:val="24"/>
        </w:rPr>
      </w:pPr>
      <w:r w:rsidRPr="00C70D98">
        <w:rPr>
          <w:rFonts w:ascii="Times New Roman" w:hAnsi="Times New Roman"/>
          <w:i/>
          <w:iCs/>
          <w:sz w:val="24"/>
        </w:rPr>
        <w:t>Opposition to retail facility exemption</w:t>
      </w:r>
    </w:p>
    <w:p w:rsidR="00021D11" w:rsidP="00021D11" w14:paraId="78316BB6" w14:textId="1CCA9909">
      <w:pPr>
        <w:rPr>
          <w:rFonts w:ascii="Times New Roman" w:hAnsi="Times New Roman"/>
          <w:sz w:val="24"/>
        </w:rPr>
      </w:pPr>
      <w:r>
        <w:rPr>
          <w:rFonts w:ascii="Times New Roman" w:hAnsi="Times New Roman"/>
          <w:b/>
          <w:bCs/>
          <w:sz w:val="24"/>
        </w:rPr>
        <w:t xml:space="preserve">Comment 14.6-01: </w:t>
      </w:r>
      <w:r w:rsidRPr="006F68E9">
        <w:rPr>
          <w:rFonts w:ascii="Times New Roman" w:hAnsi="Times New Roman"/>
          <w:sz w:val="24"/>
        </w:rPr>
        <w:t>Several commenters opposed EPA changes to the definition of “retail facility” (0202, 0227, 0229, 0247, 0272).</w:t>
      </w:r>
      <w:r>
        <w:rPr>
          <w:rFonts w:ascii="Times New Roman" w:hAnsi="Times New Roman"/>
          <w:sz w:val="24"/>
        </w:rPr>
        <w:t xml:space="preserve"> Some </w:t>
      </w:r>
      <w:r w:rsidRPr="006F68E9">
        <w:rPr>
          <w:rFonts w:ascii="Times New Roman" w:hAnsi="Times New Roman"/>
          <w:sz w:val="24"/>
        </w:rPr>
        <w:t>commenters also contended that the proposed changes to the definition of retail facility lack justification (0229, 0272). One of the commenters said that EPA’s proposed definition fails to</w:t>
      </w:r>
      <w:r>
        <w:rPr>
          <w:rFonts w:ascii="Times New Roman" w:hAnsi="Times New Roman"/>
          <w:sz w:val="24"/>
        </w:rPr>
        <w:t>:</w:t>
      </w:r>
      <w:r w:rsidRPr="006F68E9">
        <w:rPr>
          <w:rFonts w:ascii="Times New Roman" w:hAnsi="Times New Roman"/>
          <w:sz w:val="24"/>
        </w:rPr>
        <w:t xml:space="preserve"> (1) provide any support for its assertion that owners and operators of facilities storing propane or other flammable substances are unclear how to determine whether they qualify as retail facilities, (2) provide any information to suggest that the current definition creates safety concerns, and (3) cite to enforcement concerns at facilities claiming to be retail facilities (0229).</w:t>
      </w:r>
    </w:p>
    <w:p w:rsidR="00021D11" w:rsidRPr="006F68E9" w:rsidP="00021D11" w14:paraId="1AFE1F67" w14:textId="58151F2E">
      <w:pPr>
        <w:ind w:left="720"/>
        <w:rPr>
          <w:rFonts w:ascii="Times New Roman" w:hAnsi="Times New Roman"/>
          <w:sz w:val="24"/>
        </w:rPr>
      </w:pPr>
      <w:r w:rsidRPr="0073718B">
        <w:rPr>
          <w:rFonts w:ascii="Times New Roman" w:hAnsi="Times New Roman"/>
          <w:b/>
          <w:bCs/>
          <w:sz w:val="24"/>
        </w:rPr>
        <w:t xml:space="preserve">EPA Response: </w:t>
      </w:r>
      <w:r w:rsidRPr="00152775">
        <w:rPr>
          <w:rFonts w:ascii="Times New Roman" w:hAnsi="Times New Roman"/>
          <w:sz w:val="24"/>
        </w:rPr>
        <w:t xml:space="preserve">EPA disagrees that the proposed changes to the definition of “retail facility” lack justification. With the current definition, the period of sales to end users is unclear; it lacks a definite time frame in which to calculate whether more than one-half of the facility’s direct sales are to end users. Specifying a definite period of time would eliminate this uncertainty and allows owners and operators to determine more accurately whether regulated substances in a process are subject to the RMP provisions. It also may </w:t>
      </w:r>
      <w:r w:rsidRPr="00152775">
        <w:rPr>
          <w:rFonts w:ascii="Times New Roman" w:hAnsi="Times New Roman"/>
          <w:sz w:val="24"/>
        </w:rPr>
        <w:t xml:space="preserve">reduce the amount of sales documentation that the owner or operator of a regulated facility must provide </w:t>
      </w:r>
      <w:r w:rsidR="00514049">
        <w:rPr>
          <w:rFonts w:ascii="Times New Roman" w:hAnsi="Times New Roman"/>
          <w:sz w:val="24"/>
        </w:rPr>
        <w:t xml:space="preserve">in response to </w:t>
      </w:r>
      <w:r w:rsidR="009B5234">
        <w:rPr>
          <w:rFonts w:ascii="Times New Roman" w:hAnsi="Times New Roman"/>
          <w:sz w:val="24"/>
        </w:rPr>
        <w:t xml:space="preserve">an EPA information request </w:t>
      </w:r>
      <w:r w:rsidRPr="00152775">
        <w:rPr>
          <w:rFonts w:ascii="Times New Roman" w:hAnsi="Times New Roman"/>
          <w:sz w:val="24"/>
        </w:rPr>
        <w:t xml:space="preserve">to establish </w:t>
      </w:r>
      <w:r w:rsidR="003F0F62">
        <w:rPr>
          <w:rFonts w:ascii="Times New Roman" w:hAnsi="Times New Roman"/>
          <w:sz w:val="24"/>
        </w:rPr>
        <w:t xml:space="preserve">the </w:t>
      </w:r>
      <w:r w:rsidR="00341840">
        <w:rPr>
          <w:rFonts w:ascii="Times New Roman" w:hAnsi="Times New Roman"/>
          <w:sz w:val="24"/>
        </w:rPr>
        <w:t>facility’s</w:t>
      </w:r>
      <w:r w:rsidR="003F0F62">
        <w:rPr>
          <w:rFonts w:ascii="Times New Roman" w:hAnsi="Times New Roman"/>
          <w:sz w:val="24"/>
        </w:rPr>
        <w:t xml:space="preserve"> </w:t>
      </w:r>
      <w:r w:rsidRPr="00152775">
        <w:rPr>
          <w:rFonts w:ascii="Times New Roman" w:hAnsi="Times New Roman"/>
          <w:sz w:val="24"/>
        </w:rPr>
        <w:t xml:space="preserve">status as a retail facility. EPA is finalizing the “one year of sales activity” </w:t>
      </w:r>
      <w:r w:rsidRPr="50B04357">
        <w:rPr>
          <w:rFonts w:ascii="Times New Roman" w:hAnsi="Times New Roman"/>
          <w:sz w:val="24"/>
        </w:rPr>
        <w:t>amendment</w:t>
      </w:r>
      <w:r w:rsidRPr="00152775">
        <w:rPr>
          <w:rFonts w:ascii="Times New Roman" w:hAnsi="Times New Roman"/>
          <w:sz w:val="24"/>
        </w:rPr>
        <w:t xml:space="preserve"> because the Agency believes it captures the seasonality of propane sales at propane distribution facilities.</w:t>
      </w:r>
    </w:p>
    <w:p w:rsidR="00021D11" w:rsidP="00021D11" w14:paraId="220776AE" w14:textId="77777777">
      <w:pPr>
        <w:rPr>
          <w:rFonts w:ascii="Times New Roman" w:hAnsi="Times New Roman"/>
          <w:sz w:val="24"/>
        </w:rPr>
      </w:pPr>
      <w:r>
        <w:rPr>
          <w:rFonts w:ascii="Times New Roman" w:hAnsi="Times New Roman"/>
          <w:b/>
          <w:bCs/>
          <w:sz w:val="24"/>
        </w:rPr>
        <w:t xml:space="preserve">Comment 14.6-02: </w:t>
      </w:r>
      <w:r w:rsidRPr="0073718B">
        <w:rPr>
          <w:rFonts w:ascii="Times New Roman" w:hAnsi="Times New Roman"/>
          <w:sz w:val="24"/>
        </w:rPr>
        <w:t>A couple commenters urged EPA to maintain its existing definition of a retail facility, which is consistent with the definition set forth in the Fuels Regulatory Relief Act and OSHA PSM Standard enforcement guidance and interpretations (0229, 0272). One of the commenters added that the definition change would result in burdensome changes to longstanding EPA and industry practice (0272).</w:t>
      </w:r>
      <w:r>
        <w:rPr>
          <w:rFonts w:ascii="Times New Roman" w:hAnsi="Times New Roman"/>
          <w:sz w:val="24"/>
        </w:rPr>
        <w:t xml:space="preserve"> </w:t>
      </w:r>
      <w:r w:rsidRPr="006F68E9">
        <w:rPr>
          <w:rFonts w:ascii="Times New Roman" w:hAnsi="Times New Roman"/>
          <w:sz w:val="24"/>
        </w:rPr>
        <w:t xml:space="preserve">One commenter urged EPA to use the retail facility definition used for the RMP and OSHA PSM, which has been in place for a long time and is well understood by the industry and enforceable by the Agencies (0202). </w:t>
      </w:r>
    </w:p>
    <w:p w:rsidR="00021D11" w:rsidRPr="006F68E9" w:rsidP="00021D11" w14:paraId="1360B6E6" w14:textId="144A45D5">
      <w:pPr>
        <w:ind w:left="720"/>
        <w:rPr>
          <w:rFonts w:ascii="Times New Roman" w:hAnsi="Times New Roman"/>
          <w:sz w:val="24"/>
        </w:rPr>
      </w:pPr>
      <w:r w:rsidRPr="0073718B">
        <w:rPr>
          <w:rFonts w:ascii="Times New Roman" w:hAnsi="Times New Roman"/>
          <w:b/>
          <w:bCs/>
          <w:sz w:val="24"/>
        </w:rPr>
        <w:t xml:space="preserve">EPA Response: </w:t>
      </w:r>
      <w:r w:rsidRPr="0082423F">
        <w:rPr>
          <w:rFonts w:ascii="Times New Roman" w:hAnsi="Times New Roman"/>
          <w:sz w:val="24"/>
        </w:rPr>
        <w:t xml:space="preserve">EPA disagrees with comments arguing that EPA’s proposed definition would be inconsistent with OSHA’s PSM regulations. EPA has coordinated with OSHA throughout the rulemaking process </w:t>
      </w:r>
      <w:r w:rsidRPr="0034270C" w:rsidR="00646E07">
        <w:rPr>
          <w:rFonts w:ascii="Times New Roman" w:hAnsi="Times New Roman"/>
          <w:sz w:val="24"/>
        </w:rPr>
        <w:t>(including but not limited to meetings on various dates in Appendix A to this document)</w:t>
      </w:r>
      <w:r w:rsidR="00646E07">
        <w:rPr>
          <w:rFonts w:ascii="Times New Roman" w:hAnsi="Times New Roman"/>
          <w:sz w:val="24"/>
        </w:rPr>
        <w:t xml:space="preserve"> </w:t>
      </w:r>
      <w:r w:rsidRPr="0082423F">
        <w:rPr>
          <w:rFonts w:ascii="Times New Roman" w:hAnsi="Times New Roman"/>
          <w:sz w:val="24"/>
        </w:rPr>
        <w:t xml:space="preserve">to ensure the intent of adding specificity and clarification to the RMP regulations </w:t>
      </w:r>
      <w:r w:rsidRPr="50B04357">
        <w:rPr>
          <w:rFonts w:ascii="Times New Roman" w:hAnsi="Times New Roman"/>
          <w:sz w:val="24"/>
        </w:rPr>
        <w:t>does not create conflicts</w:t>
      </w:r>
      <w:r w:rsidRPr="0082423F">
        <w:rPr>
          <w:rFonts w:ascii="Times New Roman" w:hAnsi="Times New Roman"/>
          <w:sz w:val="24"/>
        </w:rPr>
        <w:t xml:space="preserve"> with the </w:t>
      </w:r>
      <w:r w:rsidRPr="50B04357">
        <w:rPr>
          <w:rFonts w:ascii="Times New Roman" w:hAnsi="Times New Roman"/>
          <w:sz w:val="24"/>
        </w:rPr>
        <w:t>requirements</w:t>
      </w:r>
      <w:r w:rsidRPr="0082423F">
        <w:rPr>
          <w:rFonts w:ascii="Times New Roman" w:hAnsi="Times New Roman"/>
          <w:sz w:val="24"/>
        </w:rPr>
        <w:t xml:space="preserve"> of the OSHA PSM standard. EPA believes that the provisions it proposed and is finalizing are compatible and do not conflict with the prevention provisions of OSHA’s PSM regulations.</w:t>
      </w:r>
    </w:p>
    <w:p w:rsidR="00021D11" w:rsidP="00021D11" w14:paraId="00554630" w14:textId="77777777">
      <w:pPr>
        <w:rPr>
          <w:rFonts w:ascii="Times New Roman" w:hAnsi="Times New Roman"/>
          <w:sz w:val="24"/>
        </w:rPr>
      </w:pPr>
      <w:r>
        <w:rPr>
          <w:rFonts w:ascii="Times New Roman" w:hAnsi="Times New Roman"/>
          <w:b/>
          <w:bCs/>
          <w:sz w:val="24"/>
        </w:rPr>
        <w:t xml:space="preserve">Comment 14.6-03: </w:t>
      </w:r>
      <w:r w:rsidRPr="006F68E9">
        <w:rPr>
          <w:rFonts w:ascii="Times New Roman" w:hAnsi="Times New Roman"/>
          <w:sz w:val="24"/>
        </w:rPr>
        <w:t>A couple of commenters recommended that if EPA moves forward to adjust the definition of retail facility, the Agency provide businesses and/or facilities with the option of selecting either fiscal year or calendar year when determining annual income from direct sales to end users (0227, 0272).</w:t>
      </w:r>
      <w:r>
        <w:rPr>
          <w:rFonts w:ascii="Times New Roman" w:hAnsi="Times New Roman"/>
          <w:sz w:val="24"/>
        </w:rPr>
        <w:t xml:space="preserve"> </w:t>
      </w:r>
      <w:r w:rsidRPr="006F68E9">
        <w:rPr>
          <w:rFonts w:ascii="Times New Roman" w:hAnsi="Times New Roman"/>
          <w:sz w:val="24"/>
        </w:rPr>
        <w:t xml:space="preserve">Given the seasonal nature of propane sales, one commenter recommended changing “calendar year” to “fiscal year” to facilitate the income calculation for those companies whose fiscal year may not coincide with the calendar year (0247). Regarding the annual sales and calendar year criteria in the proposed retail facility definition, another commenter </w:t>
      </w:r>
      <w:r>
        <w:rPr>
          <w:rFonts w:ascii="Times New Roman" w:hAnsi="Times New Roman"/>
          <w:sz w:val="24"/>
        </w:rPr>
        <w:t>stated</w:t>
      </w:r>
      <w:r w:rsidRPr="006F68E9">
        <w:rPr>
          <w:rFonts w:ascii="Times New Roman" w:hAnsi="Times New Roman"/>
          <w:sz w:val="24"/>
        </w:rPr>
        <w:t xml:space="preserve"> that EPA provided no justification of its calendar year requirement (0229).</w:t>
      </w:r>
    </w:p>
    <w:p w:rsidR="00021D11" w:rsidRPr="006F68E9" w:rsidP="00021D11" w14:paraId="62724E7E" w14:textId="77777777">
      <w:pPr>
        <w:ind w:left="720"/>
        <w:rPr>
          <w:rFonts w:ascii="Times New Roman" w:hAnsi="Times New Roman"/>
          <w:sz w:val="24"/>
        </w:rPr>
      </w:pPr>
      <w:r w:rsidRPr="007B5701">
        <w:rPr>
          <w:rFonts w:ascii="Times New Roman" w:hAnsi="Times New Roman"/>
          <w:b/>
          <w:bCs/>
          <w:sz w:val="24"/>
        </w:rPr>
        <w:t xml:space="preserve">EPA Response: </w:t>
      </w:r>
      <w:r w:rsidRPr="006B1FD7">
        <w:rPr>
          <w:rFonts w:ascii="Times New Roman" w:hAnsi="Times New Roman"/>
          <w:sz w:val="24"/>
        </w:rPr>
        <w:t>In response to comments recommending that EPA adjust the definition to provide facilities the option of selecting either fiscal year or calendar year, EPA agrees with this suggestion and is adopting it in the final rule. The Agency believes this option provides flexibility in using records in the configuration that may already exist at facilities.</w:t>
      </w:r>
      <w:r>
        <w:rPr>
          <w:rFonts w:ascii="Times New Roman" w:hAnsi="Times New Roman"/>
          <w:sz w:val="24"/>
        </w:rPr>
        <w:t xml:space="preserve"> </w:t>
      </w:r>
    </w:p>
    <w:p w:rsidR="00021D11" w:rsidRPr="006F68E9" w:rsidP="00B234C7" w14:paraId="563A144F" w14:textId="77777777">
      <w:pPr>
        <w:pStyle w:val="Heading2"/>
        <w:tabs>
          <w:tab w:val="clear" w:pos="8684"/>
        </w:tabs>
        <w:spacing w:before="120"/>
        <w:rPr>
          <w:rFonts w:ascii="Times New Roman" w:hAnsi="Times New Roman" w:cs="Times New Roman"/>
          <w:b/>
          <w:bCs/>
          <w:color w:val="auto"/>
          <w:sz w:val="24"/>
          <w:szCs w:val="24"/>
        </w:rPr>
      </w:pPr>
      <w:bookmarkStart w:id="171" w:name="_Toc146880049"/>
      <w:bookmarkStart w:id="172" w:name="_Toc153373836"/>
      <w:r w:rsidRPr="006F68E9">
        <w:rPr>
          <w:rFonts w:ascii="Times New Roman" w:hAnsi="Times New Roman" w:cs="Times New Roman"/>
          <w:b/>
          <w:bCs/>
          <w:color w:val="auto"/>
          <w:sz w:val="24"/>
          <w:szCs w:val="24"/>
        </w:rPr>
        <w:t>RAGAGEP</w:t>
      </w:r>
      <w:bookmarkEnd w:id="171"/>
      <w:r>
        <w:rPr>
          <w:rFonts w:ascii="Times New Roman" w:hAnsi="Times New Roman" w:cs="Times New Roman"/>
          <w:b/>
          <w:bCs/>
          <w:color w:val="auto"/>
          <w:sz w:val="24"/>
          <w:szCs w:val="24"/>
        </w:rPr>
        <w:t xml:space="preserve"> gap analysis </w:t>
      </w:r>
      <w:bookmarkEnd w:id="172"/>
    </w:p>
    <w:p w:rsidR="00021D11" w:rsidRPr="007B5701" w:rsidP="00021D11" w14:paraId="0D2A0F71" w14:textId="77777777">
      <w:pPr>
        <w:rPr>
          <w:rFonts w:ascii="Times New Roman" w:hAnsi="Times New Roman"/>
          <w:i/>
          <w:iCs/>
          <w:sz w:val="24"/>
        </w:rPr>
      </w:pPr>
      <w:r w:rsidRPr="007B5701">
        <w:rPr>
          <w:rFonts w:ascii="Times New Roman" w:hAnsi="Times New Roman"/>
          <w:i/>
          <w:iCs/>
          <w:sz w:val="24"/>
        </w:rPr>
        <w:t>Support</w:t>
      </w:r>
      <w:r>
        <w:rPr>
          <w:rFonts w:ascii="Times New Roman" w:hAnsi="Times New Roman"/>
          <w:i/>
          <w:iCs/>
          <w:sz w:val="24"/>
        </w:rPr>
        <w:t xml:space="preserve"> for RAGAGEP gap analysis provisions</w:t>
      </w:r>
    </w:p>
    <w:p w:rsidR="00021D11" w:rsidP="00021D11" w14:paraId="219F1561" w14:textId="77777777">
      <w:pPr>
        <w:rPr>
          <w:rFonts w:ascii="Times New Roman" w:hAnsi="Times New Roman"/>
          <w:sz w:val="24"/>
        </w:rPr>
      </w:pPr>
      <w:r w:rsidRPr="0034317C">
        <w:rPr>
          <w:rFonts w:ascii="Times New Roman" w:hAnsi="Times New Roman"/>
          <w:b/>
          <w:bCs/>
          <w:sz w:val="24"/>
        </w:rPr>
        <w:t>Comment</w:t>
      </w:r>
      <w:r>
        <w:rPr>
          <w:rFonts w:ascii="Times New Roman" w:hAnsi="Times New Roman"/>
          <w:b/>
          <w:bCs/>
          <w:sz w:val="24"/>
        </w:rPr>
        <w:t xml:space="preserve"> 14.7-01</w:t>
      </w:r>
      <w:r w:rsidRPr="0034317C">
        <w:rPr>
          <w:rFonts w:ascii="Times New Roman" w:hAnsi="Times New Roman"/>
          <w:b/>
          <w:bCs/>
          <w:sz w:val="24"/>
        </w:rPr>
        <w:t>:</w:t>
      </w:r>
      <w:r>
        <w:rPr>
          <w:rFonts w:ascii="Times New Roman" w:hAnsi="Times New Roman"/>
          <w:sz w:val="24"/>
        </w:rPr>
        <w:t xml:space="preserve"> One commenter supported EPA’s proposal </w:t>
      </w:r>
      <w:r w:rsidRPr="006F68E9">
        <w:rPr>
          <w:rFonts w:ascii="Times New Roman" w:hAnsi="Times New Roman"/>
          <w:sz w:val="24"/>
        </w:rPr>
        <w:t>to make clear that a PHA must include an analysis of the most recently promulgated RAGAGEP and any gaps between the facility’s design, maintenance, or operation and the most current version of RAGAGEP (§ 68.67(c)(10)) and to require facilities to specify why any PHA recommendation associated with adopting most current codes, standards, or practices are not implemented (if not implemented) (§</w:t>
      </w:r>
      <w:r>
        <w:rPr>
          <w:rFonts w:ascii="Times New Roman" w:hAnsi="Times New Roman"/>
          <w:sz w:val="24"/>
        </w:rPr>
        <w:t> </w:t>
      </w:r>
      <w:r w:rsidRPr="006F68E9">
        <w:rPr>
          <w:rFonts w:ascii="Times New Roman" w:hAnsi="Times New Roman"/>
          <w:sz w:val="24"/>
        </w:rPr>
        <w:t>68.175(e)(9))</w:t>
      </w:r>
      <w:r>
        <w:rPr>
          <w:rFonts w:ascii="Times New Roman" w:hAnsi="Times New Roman"/>
          <w:sz w:val="24"/>
        </w:rPr>
        <w:t xml:space="preserve"> (0460).</w:t>
      </w:r>
    </w:p>
    <w:p w:rsidR="00021D11" w:rsidP="00021D11" w14:paraId="6F03EDF9" w14:textId="77777777">
      <w:pPr>
        <w:rPr>
          <w:rFonts w:ascii="Times New Roman" w:hAnsi="Times New Roman"/>
          <w:sz w:val="24"/>
        </w:rPr>
      </w:pPr>
      <w:r w:rsidRPr="006F68E9">
        <w:rPr>
          <w:rFonts w:ascii="Times New Roman" w:hAnsi="Times New Roman"/>
          <w:sz w:val="24"/>
        </w:rPr>
        <w:t xml:space="preserve">The commenter pointed out that OSHA has acknowledged that published RAGAGEP is often appropriately restated in internal procedures of the owner or operator, meaning that details of the </w:t>
      </w:r>
      <w:r w:rsidRPr="006F68E9">
        <w:rPr>
          <w:rFonts w:ascii="Times New Roman" w:hAnsi="Times New Roman"/>
          <w:sz w:val="24"/>
        </w:rPr>
        <w:t>published RAGAGEP may not appear in the internal procedures. The commenter added that such restatements are necessary to adapt published RAGAGEP to the specific circumstances and technology of a particular stationary source and to eliminate inapplicable or overly technical provisions in published RAGAGEP to make the internal procedures useful to site personnel. The commenter contended that such departures from published RAGAGEP are essential to ensure safety (0215).</w:t>
      </w:r>
    </w:p>
    <w:p w:rsidR="00021D11" w:rsidP="00CB103D" w14:paraId="04CD4B18" w14:textId="2772F3E3">
      <w:pPr>
        <w:ind w:left="720"/>
        <w:rPr>
          <w:rFonts w:ascii="Times New Roman" w:hAnsi="Times New Roman"/>
          <w:sz w:val="24"/>
        </w:rPr>
      </w:pPr>
      <w:r w:rsidRPr="00E16568">
        <w:rPr>
          <w:rFonts w:ascii="Times New Roman" w:hAnsi="Times New Roman"/>
          <w:b/>
          <w:bCs/>
          <w:sz w:val="24"/>
        </w:rPr>
        <w:t>EPA Response:</w:t>
      </w:r>
      <w:r>
        <w:rPr>
          <w:rFonts w:ascii="Times New Roman" w:hAnsi="Times New Roman"/>
          <w:sz w:val="24"/>
        </w:rPr>
        <w:t xml:space="preserve"> EPA appreciates the commenters’ support.</w:t>
      </w:r>
      <w:r w:rsidRPr="00CB103D" w:rsidR="00CB103D">
        <w:t xml:space="preserve"> </w:t>
      </w:r>
      <w:r w:rsidRPr="00CB103D" w:rsidR="00CB103D">
        <w:rPr>
          <w:rFonts w:ascii="Times New Roman" w:hAnsi="Times New Roman"/>
          <w:sz w:val="24"/>
        </w:rPr>
        <w:t>EPA notes that this RAGAGEP gap analysis is already expected under 40 CFR 68.65(d)(2) and (3) for Program 3 processes. EPA notes this PHA modification merely clarifies when facilities must, at minimum, conduct or review previous analyses when determining their compliance with 40 CFR 68.65(d)(2) and (3).</w:t>
      </w:r>
      <w:r w:rsidRPr="04D34AD3" w:rsidR="630DC293">
        <w:rPr>
          <w:rFonts w:ascii="Times New Roman" w:hAnsi="Times New Roman"/>
          <w:sz w:val="24"/>
        </w:rPr>
        <w:t xml:space="preserve"> Nothing in the RMP rule or these amendments prohibits sta</w:t>
      </w:r>
      <w:r w:rsidRPr="04D34AD3" w:rsidR="5985CA26">
        <w:rPr>
          <w:rFonts w:ascii="Times New Roman" w:hAnsi="Times New Roman"/>
          <w:sz w:val="24"/>
        </w:rPr>
        <w:t>t</w:t>
      </w:r>
      <w:r w:rsidRPr="04D34AD3" w:rsidR="630DC293">
        <w:rPr>
          <w:rFonts w:ascii="Times New Roman" w:hAnsi="Times New Roman"/>
          <w:sz w:val="24"/>
        </w:rPr>
        <w:t xml:space="preserve">ionary source-specific </w:t>
      </w:r>
      <w:r w:rsidRPr="04D34AD3" w:rsidR="7B819E33">
        <w:rPr>
          <w:rFonts w:ascii="Times New Roman" w:hAnsi="Times New Roman"/>
          <w:sz w:val="24"/>
        </w:rPr>
        <w:t xml:space="preserve">restatements </w:t>
      </w:r>
      <w:r w:rsidRPr="5BDCB3CC" w:rsidR="63AC1D0E">
        <w:rPr>
          <w:rFonts w:ascii="Times New Roman" w:hAnsi="Times New Roman"/>
          <w:sz w:val="24"/>
        </w:rPr>
        <w:t>that eliminate inapplicable or overly</w:t>
      </w:r>
      <w:r w:rsidRPr="5BDCB3CC" w:rsidR="47BE5A18">
        <w:rPr>
          <w:rFonts w:ascii="Times New Roman" w:hAnsi="Times New Roman"/>
          <w:sz w:val="24"/>
        </w:rPr>
        <w:t xml:space="preserve"> </w:t>
      </w:r>
      <w:r w:rsidRPr="5BDCB3CC" w:rsidR="63AC1D0E">
        <w:rPr>
          <w:rFonts w:ascii="Times New Roman" w:hAnsi="Times New Roman"/>
          <w:sz w:val="24"/>
        </w:rPr>
        <w:t xml:space="preserve">technical phrasing </w:t>
      </w:r>
      <w:r w:rsidRPr="04D34AD3" w:rsidR="7B819E33">
        <w:rPr>
          <w:rFonts w:ascii="Times New Roman" w:hAnsi="Times New Roman"/>
          <w:sz w:val="24"/>
        </w:rPr>
        <w:t>of RAGAGEP in in</w:t>
      </w:r>
      <w:r w:rsidRPr="04D34AD3" w:rsidR="53ED8CCB">
        <w:rPr>
          <w:rFonts w:ascii="Times New Roman" w:hAnsi="Times New Roman"/>
          <w:sz w:val="24"/>
        </w:rPr>
        <w:t xml:space="preserve">ternal procedures so long as the hazard identified by </w:t>
      </w:r>
      <w:r w:rsidRPr="15ADD62E" w:rsidR="293F958A">
        <w:rPr>
          <w:rFonts w:ascii="Times New Roman" w:hAnsi="Times New Roman"/>
          <w:sz w:val="24"/>
        </w:rPr>
        <w:t>more recently promulgated</w:t>
      </w:r>
      <w:r w:rsidRPr="6673C298" w:rsidR="0CE6176D">
        <w:rPr>
          <w:rFonts w:ascii="Times New Roman" w:hAnsi="Times New Roman"/>
          <w:sz w:val="24"/>
        </w:rPr>
        <w:t xml:space="preserve"> RAGAGEP is addressed consistently with more </w:t>
      </w:r>
      <w:r w:rsidRPr="15ADD62E" w:rsidR="0CE6176D">
        <w:rPr>
          <w:rFonts w:ascii="Times New Roman" w:hAnsi="Times New Roman"/>
          <w:sz w:val="24"/>
        </w:rPr>
        <w:t>recently pro</w:t>
      </w:r>
      <w:r w:rsidRPr="15ADD62E" w:rsidR="58B8471A">
        <w:rPr>
          <w:rFonts w:ascii="Times New Roman" w:hAnsi="Times New Roman"/>
          <w:sz w:val="24"/>
        </w:rPr>
        <w:t xml:space="preserve">mulgated </w:t>
      </w:r>
      <w:r w:rsidRPr="15ADD62E" w:rsidR="0CE6176D">
        <w:rPr>
          <w:rFonts w:ascii="Times New Roman" w:hAnsi="Times New Roman"/>
          <w:sz w:val="24"/>
        </w:rPr>
        <w:t>RAGAGEP</w:t>
      </w:r>
      <w:r w:rsidRPr="6673C298" w:rsidR="0CE6176D">
        <w:rPr>
          <w:rFonts w:ascii="Times New Roman" w:hAnsi="Times New Roman"/>
          <w:sz w:val="24"/>
        </w:rPr>
        <w:t>.</w:t>
      </w:r>
    </w:p>
    <w:p w:rsidR="00021D11" w:rsidP="00021D11" w14:paraId="52C67EE8" w14:textId="77777777">
      <w:pPr>
        <w:rPr>
          <w:rFonts w:ascii="Times New Roman" w:hAnsi="Times New Roman"/>
          <w:sz w:val="24"/>
        </w:rPr>
      </w:pPr>
      <w:r>
        <w:rPr>
          <w:rFonts w:ascii="Times New Roman" w:hAnsi="Times New Roman"/>
          <w:b/>
          <w:bCs/>
          <w:sz w:val="24"/>
        </w:rPr>
        <w:t xml:space="preserve">Comment 14.7-02: </w:t>
      </w:r>
      <w:r w:rsidRPr="005105A2">
        <w:rPr>
          <w:rFonts w:ascii="Times New Roman" w:hAnsi="Times New Roman"/>
          <w:sz w:val="24"/>
        </w:rPr>
        <w:t xml:space="preserve">One commenter said that ensuring practicable implementation is essential because industrial facilities have failed to make common-sense safety decisions on the scale needed to save lives. The commenter urged EPA to require implementation of all practicable safer technologies, processes, and practices, NaTech or natural/external hazard, power loss, and stationary source siting mitigation, compliance auditor and incident investigation recommendations, and </w:t>
      </w:r>
      <w:r>
        <w:rPr>
          <w:rFonts w:ascii="Times New Roman" w:hAnsi="Times New Roman"/>
          <w:sz w:val="24"/>
        </w:rPr>
        <w:t>RAGAGEP</w:t>
      </w:r>
      <w:r w:rsidRPr="005105A2">
        <w:rPr>
          <w:rFonts w:ascii="Times New Roman" w:hAnsi="Times New Roman"/>
          <w:sz w:val="24"/>
        </w:rPr>
        <w:t>. The commenter added that failing to require this would fail to assure prevention, as the statute directs, to the greatest extent practicable (0460).</w:t>
      </w:r>
    </w:p>
    <w:p w:rsidR="00021D11" w:rsidP="00021D11" w14:paraId="23FF640C" w14:textId="2B5860BB">
      <w:pPr>
        <w:ind w:left="720"/>
        <w:rPr>
          <w:rFonts w:ascii="Times New Roman" w:hAnsi="Times New Roman"/>
          <w:b/>
          <w:bCs/>
          <w:sz w:val="24"/>
        </w:rPr>
      </w:pPr>
      <w:r w:rsidRPr="00617D01">
        <w:rPr>
          <w:rFonts w:ascii="Times New Roman" w:hAnsi="Times New Roman"/>
          <w:b/>
          <w:bCs/>
          <w:sz w:val="24"/>
        </w:rPr>
        <w:t>EPA Response:</w:t>
      </w:r>
      <w:r w:rsidRPr="00363989" w:rsidR="00363989">
        <w:rPr>
          <w:shd w:val="clear" w:color="auto" w:fill="FFFFFF"/>
        </w:rPr>
        <w:t xml:space="preserve"> </w:t>
      </w:r>
      <w:r w:rsidRPr="00BF78F8" w:rsidR="000343A4">
        <w:rPr>
          <w:rFonts w:ascii="Times New Roman" w:hAnsi="Times New Roman"/>
          <w:sz w:val="24"/>
          <w:shd w:val="clear" w:color="auto" w:fill="FFFFFF"/>
        </w:rPr>
        <w:t xml:space="preserve">Other than </w:t>
      </w:r>
      <w:r w:rsidRPr="00BF78F8" w:rsidR="00B44F14">
        <w:rPr>
          <w:rFonts w:ascii="Times New Roman" w:hAnsi="Times New Roman"/>
          <w:sz w:val="24"/>
          <w:shd w:val="clear" w:color="auto" w:fill="FFFFFF"/>
        </w:rPr>
        <w:t xml:space="preserve">the </w:t>
      </w:r>
      <w:r w:rsidR="00BF78F8">
        <w:rPr>
          <w:rFonts w:ascii="Times New Roman" w:hAnsi="Times New Roman"/>
          <w:sz w:val="24"/>
          <w:shd w:val="clear" w:color="auto" w:fill="FFFFFF"/>
        </w:rPr>
        <w:t xml:space="preserve">STAA </w:t>
      </w:r>
      <w:r w:rsidRPr="00BF78F8" w:rsidR="00B44F14">
        <w:rPr>
          <w:rFonts w:ascii="Times New Roman" w:hAnsi="Times New Roman"/>
          <w:sz w:val="24"/>
          <w:shd w:val="clear" w:color="auto" w:fill="FFFFFF"/>
        </w:rPr>
        <w:t xml:space="preserve">requirement </w:t>
      </w:r>
      <w:r w:rsidR="00BF78F8">
        <w:rPr>
          <w:rFonts w:ascii="Times New Roman" w:hAnsi="Times New Roman"/>
          <w:sz w:val="24"/>
          <w:shd w:val="clear" w:color="auto" w:fill="FFFFFF"/>
        </w:rPr>
        <w:t xml:space="preserve">in this final rule </w:t>
      </w:r>
      <w:r w:rsidRPr="00BF78F8" w:rsidR="00B44F14">
        <w:rPr>
          <w:rFonts w:ascii="Times New Roman" w:hAnsi="Times New Roman"/>
          <w:sz w:val="24"/>
          <w:shd w:val="clear" w:color="auto" w:fill="FFFFFF"/>
        </w:rPr>
        <w:t xml:space="preserve">to implement </w:t>
      </w:r>
      <w:r w:rsidRPr="00BF78F8" w:rsidR="00FB7347">
        <w:rPr>
          <w:rFonts w:ascii="Times New Roman" w:hAnsi="Times New Roman"/>
          <w:sz w:val="24"/>
          <w:shd w:val="clear" w:color="auto" w:fill="FFFFFF"/>
        </w:rPr>
        <w:t>at least one passive measure, or an inherently safer technology or design, or a combination of active and procedural measures equivalent to or greater than the risk reduction of a passive measure</w:t>
      </w:r>
      <w:r w:rsidR="00BF78F8">
        <w:rPr>
          <w:rFonts w:ascii="Times New Roman" w:hAnsi="Times New Roman"/>
          <w:sz w:val="24"/>
          <w:shd w:val="clear" w:color="auto" w:fill="FFFFFF"/>
        </w:rPr>
        <w:t>,</w:t>
      </w:r>
      <w:r w:rsidR="00BF78F8">
        <w:rPr>
          <w:shd w:val="clear" w:color="auto" w:fill="FFFFFF"/>
        </w:rPr>
        <w:t xml:space="preserve"> </w:t>
      </w:r>
      <w:r w:rsidRPr="00F45127" w:rsidR="00560431">
        <w:rPr>
          <w:rFonts w:ascii="Times New Roman" w:hAnsi="Times New Roman"/>
          <w:sz w:val="24"/>
          <w:shd w:val="clear" w:color="auto" w:fill="FFFFFF"/>
        </w:rPr>
        <w:t xml:space="preserve">EPA is not requiring implementation of </w:t>
      </w:r>
      <w:r w:rsidRPr="00F45127" w:rsidR="00C63DE8">
        <w:rPr>
          <w:rFonts w:ascii="Times New Roman" w:hAnsi="Times New Roman"/>
          <w:sz w:val="24"/>
          <w:shd w:val="clear" w:color="auto" w:fill="FFFFFF"/>
        </w:rPr>
        <w:t xml:space="preserve">all </w:t>
      </w:r>
      <w:r w:rsidRPr="00F45127" w:rsidR="00560431">
        <w:rPr>
          <w:rFonts w:ascii="Times New Roman" w:hAnsi="Times New Roman"/>
          <w:sz w:val="24"/>
          <w:shd w:val="clear" w:color="auto" w:fill="FFFFFF"/>
        </w:rPr>
        <w:t>protective measures</w:t>
      </w:r>
      <w:r w:rsidRPr="00F45127" w:rsidR="002D427B">
        <w:rPr>
          <w:rFonts w:ascii="Times New Roman" w:hAnsi="Times New Roman"/>
          <w:sz w:val="24"/>
          <w:shd w:val="clear" w:color="auto" w:fill="FFFFFF"/>
        </w:rPr>
        <w:t xml:space="preserve"> resulting from hazard evaluation</w:t>
      </w:r>
      <w:r w:rsidR="00617D01">
        <w:rPr>
          <w:rFonts w:ascii="Times New Roman" w:hAnsi="Times New Roman"/>
          <w:sz w:val="24"/>
          <w:shd w:val="clear" w:color="auto" w:fill="FFFFFF"/>
        </w:rPr>
        <w:t>s</w:t>
      </w:r>
      <w:r w:rsidRPr="00F45127" w:rsidR="002D427B">
        <w:rPr>
          <w:rFonts w:ascii="Times New Roman" w:hAnsi="Times New Roman"/>
          <w:sz w:val="24"/>
          <w:shd w:val="clear" w:color="auto" w:fill="FFFFFF"/>
        </w:rPr>
        <w:t>.</w:t>
      </w:r>
      <w:r w:rsidR="00617D01">
        <w:rPr>
          <w:rFonts w:ascii="Times New Roman" w:hAnsi="Times New Roman"/>
          <w:sz w:val="24"/>
          <w:shd w:val="clear" w:color="auto" w:fill="FFFFFF"/>
        </w:rPr>
        <w:t xml:space="preserve"> </w:t>
      </w:r>
      <w:r w:rsidRPr="5BDCB3CC" w:rsidR="0CCC4A9F">
        <w:rPr>
          <w:rFonts w:ascii="Times New Roman" w:hAnsi="Times New Roman"/>
          <w:sz w:val="24"/>
          <w:shd w:val="clear" w:color="auto" w:fill="FFFFFF"/>
        </w:rPr>
        <w:t xml:space="preserve">We are retaining the performance-based structure of the rule. </w:t>
      </w:r>
      <w:r w:rsidRPr="5BDCB3CC" w:rsidR="1C4B6F50">
        <w:rPr>
          <w:rFonts w:ascii="Times New Roman" w:hAnsi="Times New Roman"/>
          <w:sz w:val="24"/>
          <w:shd w:val="clear" w:color="auto" w:fill="FFFFFF"/>
        </w:rPr>
        <w:t xml:space="preserve">As a general matter, we require assessments of factors </w:t>
      </w:r>
      <w:r w:rsidRPr="5BDCB3CC" w:rsidR="792CED0F">
        <w:rPr>
          <w:rFonts w:ascii="Times New Roman" w:hAnsi="Times New Roman"/>
          <w:sz w:val="24"/>
          <w:shd w:val="clear" w:color="auto" w:fill="FFFFFF"/>
        </w:rPr>
        <w:t>related to hazards and risks of accidental releases</w:t>
      </w:r>
      <w:r w:rsidRPr="5BDCB3CC" w:rsidR="64F4AD3C">
        <w:rPr>
          <w:rFonts w:ascii="Times New Roman" w:hAnsi="Times New Roman"/>
          <w:sz w:val="24"/>
          <w:shd w:val="clear" w:color="auto" w:fill="FFFFFF"/>
        </w:rPr>
        <w:t>,</w:t>
      </w:r>
      <w:r w:rsidRPr="5BDCB3CC" w:rsidR="792CED0F">
        <w:rPr>
          <w:rFonts w:ascii="Times New Roman" w:hAnsi="Times New Roman"/>
          <w:sz w:val="24"/>
          <w:shd w:val="clear" w:color="auto" w:fill="FFFFFF"/>
        </w:rPr>
        <w:t xml:space="preserve"> methods to remedy</w:t>
      </w:r>
      <w:r w:rsidRPr="5BDCB3CC" w:rsidR="00617D01">
        <w:rPr>
          <w:rFonts w:ascii="Times New Roman" w:hAnsi="Times New Roman"/>
          <w:sz w:val="24"/>
          <w:shd w:val="clear" w:color="auto" w:fill="FFFFFF"/>
        </w:rPr>
        <w:t xml:space="preserve"> </w:t>
      </w:r>
      <w:r w:rsidRPr="5BDCB3CC" w:rsidR="660FA2C8">
        <w:rPr>
          <w:rFonts w:ascii="Times New Roman" w:hAnsi="Times New Roman"/>
          <w:sz w:val="24"/>
          <w:shd w:val="clear" w:color="auto" w:fill="FFFFFF"/>
        </w:rPr>
        <w:t xml:space="preserve">such hazards and risks, </w:t>
      </w:r>
      <w:r w:rsidRPr="0A3C926E" w:rsidR="5DB2A45E">
        <w:rPr>
          <w:rFonts w:ascii="Times New Roman" w:hAnsi="Times New Roman"/>
          <w:sz w:val="24"/>
          <w:shd w:val="clear" w:color="auto" w:fill="FFFFFF"/>
        </w:rPr>
        <w:t xml:space="preserve">reasoned </w:t>
      </w:r>
      <w:r w:rsidRPr="3E86EEB9" w:rsidR="5DB2A45E">
        <w:rPr>
          <w:rFonts w:ascii="Times New Roman" w:hAnsi="Times New Roman"/>
          <w:sz w:val="24"/>
          <w:shd w:val="clear" w:color="auto" w:fill="FFFFFF"/>
        </w:rPr>
        <w:t>decision</w:t>
      </w:r>
      <w:r w:rsidRPr="3E86EEB9" w:rsidR="75A59675">
        <w:rPr>
          <w:rFonts w:ascii="Times New Roman" w:hAnsi="Times New Roman"/>
          <w:sz w:val="24"/>
          <w:shd w:val="clear" w:color="auto" w:fill="FFFFFF"/>
        </w:rPr>
        <w:t>-</w:t>
      </w:r>
      <w:r w:rsidRPr="3E86EEB9" w:rsidR="5DB2A45E">
        <w:rPr>
          <w:rFonts w:ascii="Times New Roman" w:hAnsi="Times New Roman"/>
          <w:sz w:val="24"/>
          <w:shd w:val="clear" w:color="auto" w:fill="FFFFFF"/>
        </w:rPr>
        <w:t>making</w:t>
      </w:r>
      <w:r w:rsidRPr="0A3C926E" w:rsidR="5DB2A45E">
        <w:rPr>
          <w:rFonts w:ascii="Times New Roman" w:hAnsi="Times New Roman"/>
          <w:sz w:val="24"/>
          <w:shd w:val="clear" w:color="auto" w:fill="FFFFFF"/>
        </w:rPr>
        <w:t xml:space="preserve"> by the facility, </w:t>
      </w:r>
      <w:r w:rsidRPr="5BDCB3CC" w:rsidR="660FA2C8">
        <w:rPr>
          <w:rFonts w:ascii="Times New Roman" w:hAnsi="Times New Roman"/>
          <w:sz w:val="24"/>
          <w:shd w:val="clear" w:color="auto" w:fill="FFFFFF"/>
        </w:rPr>
        <w:t>and communication of decisions about these factors in a way that allows for public u</w:t>
      </w:r>
      <w:r w:rsidRPr="5BDCB3CC" w:rsidR="16B4C2DA">
        <w:rPr>
          <w:rFonts w:ascii="Times New Roman" w:hAnsi="Times New Roman"/>
          <w:sz w:val="24"/>
          <w:shd w:val="clear" w:color="auto" w:fill="FFFFFF"/>
        </w:rPr>
        <w:t xml:space="preserve">se of the information as well as oversight by regulatory bodies and stakeholders. </w:t>
      </w:r>
      <w:r w:rsidR="00974C8B">
        <w:rPr>
          <w:rFonts w:ascii="Times New Roman" w:hAnsi="Times New Roman"/>
          <w:sz w:val="24"/>
          <w:shd w:val="clear" w:color="auto" w:fill="FFFFFF"/>
        </w:rPr>
        <w:t>R</w:t>
      </w:r>
      <w:r w:rsidRPr="00F45127" w:rsidR="008E6685">
        <w:rPr>
          <w:rFonts w:ascii="Times New Roman" w:hAnsi="Times New Roman"/>
          <w:sz w:val="24"/>
          <w:shd w:val="clear" w:color="auto" w:fill="FFFFFF"/>
        </w:rPr>
        <w:t>egarding RAGAGEP</w:t>
      </w:r>
      <w:r w:rsidR="00974C8B">
        <w:rPr>
          <w:rFonts w:ascii="Times New Roman" w:hAnsi="Times New Roman"/>
          <w:sz w:val="24"/>
          <w:shd w:val="clear" w:color="auto" w:fill="FFFFFF"/>
        </w:rPr>
        <w:t xml:space="preserve"> implementation as it pertains to this provision</w:t>
      </w:r>
      <w:r w:rsidRPr="00F45127" w:rsidR="008E6685">
        <w:rPr>
          <w:rFonts w:ascii="Times New Roman" w:hAnsi="Times New Roman"/>
          <w:sz w:val="24"/>
          <w:shd w:val="clear" w:color="auto" w:fill="FFFFFF"/>
        </w:rPr>
        <w:t>, a</w:t>
      </w:r>
      <w:r w:rsidRPr="00F45127" w:rsidR="00203A2A">
        <w:rPr>
          <w:rFonts w:ascii="Times New Roman" w:hAnsi="Times New Roman"/>
          <w:sz w:val="24"/>
          <w:shd w:val="clear" w:color="auto" w:fill="FFFFFF"/>
        </w:rPr>
        <w:t>s indicated in a Frequently Asked Question</w:t>
      </w:r>
      <w:r w:rsidRPr="00F45127" w:rsidR="008E6685">
        <w:rPr>
          <w:rFonts w:ascii="Times New Roman" w:hAnsi="Times New Roman"/>
          <w:sz w:val="24"/>
          <w:shd w:val="clear" w:color="auto" w:fill="FFFFFF"/>
        </w:rPr>
        <w:t>,</w:t>
      </w:r>
      <w:r>
        <w:rPr>
          <w:rFonts w:ascii="Times New Roman" w:hAnsi="Times New Roman"/>
          <w:sz w:val="24"/>
          <w:shd w:val="clear" w:color="auto" w:fill="FFFFFF"/>
          <w:vertAlign w:val="superscript"/>
        </w:rPr>
        <w:footnoteReference w:id="191"/>
      </w:r>
      <w:r w:rsidRPr="00F45127" w:rsidR="00203A2A">
        <w:rPr>
          <w:rFonts w:ascii="Times New Roman" w:hAnsi="Times New Roman"/>
          <w:sz w:val="24"/>
          <w:shd w:val="clear" w:color="auto" w:fill="FFFFFF"/>
        </w:rPr>
        <w:t xml:space="preserve"> </w:t>
      </w:r>
      <w:r w:rsidRPr="00F45127" w:rsidR="008E6685">
        <w:rPr>
          <w:rFonts w:ascii="Times New Roman" w:hAnsi="Times New Roman"/>
          <w:sz w:val="24"/>
          <w:shd w:val="clear" w:color="auto" w:fill="FFFFFF"/>
        </w:rPr>
        <w:t xml:space="preserve">EPA explains that </w:t>
      </w:r>
      <w:r w:rsidRPr="00F45127" w:rsidR="005711EA">
        <w:rPr>
          <w:rFonts w:ascii="Times New Roman" w:hAnsi="Times New Roman"/>
          <w:sz w:val="24"/>
          <w:shd w:val="clear" w:color="auto" w:fill="FFFFFF"/>
        </w:rPr>
        <w:t>w</w:t>
      </w:r>
      <w:r w:rsidRPr="00F45127" w:rsidR="00363989">
        <w:rPr>
          <w:rFonts w:ascii="Times New Roman" w:hAnsi="Times New Roman"/>
          <w:sz w:val="24"/>
          <w:shd w:val="clear" w:color="auto" w:fill="FFFFFF"/>
        </w:rPr>
        <w:t xml:space="preserve">here RAGAGEP are updated to be more protective, but are not explicitly retroactive, per 40 CFR 68.65(d)(3), the owner or operator should thoroughly evaluate how their process could still be considered safe amid new industry knowledge. Simply indicating that a </w:t>
      </w:r>
      <w:r w:rsidRPr="00F45127" w:rsidR="00363989">
        <w:rPr>
          <w:rFonts w:ascii="Times New Roman" w:hAnsi="Times New Roman"/>
          <w:sz w:val="24"/>
        </w:rPr>
        <w:t>process</w:t>
      </w:r>
      <w:r w:rsidRPr="00F45127" w:rsidR="00363989">
        <w:rPr>
          <w:rFonts w:ascii="Times New Roman" w:hAnsi="Times New Roman"/>
          <w:sz w:val="24"/>
          <w:shd w:val="clear" w:color="auto" w:fill="FFFFFF"/>
        </w:rPr>
        <w:t xml:space="preserve"> incident has yet to occur is an inappropriate evaluation for choosing not to adhere to updated RAGAGEP, especially considering changes to RAGAGEP may result from industry accidents, industry operating experience, and improved understanding of existing and newly recognized hazards. Oftentimes it will be difficult for the owner or operator to document equipment is designed, maintained, inspected, </w:t>
      </w:r>
      <w:r w:rsidRPr="00F45127" w:rsidR="00363989">
        <w:rPr>
          <w:rFonts w:ascii="Times New Roman" w:hAnsi="Times New Roman"/>
          <w:sz w:val="24"/>
        </w:rPr>
        <w:t>testing</w:t>
      </w:r>
      <w:r w:rsidRPr="00F45127" w:rsidR="00363989">
        <w:rPr>
          <w:rFonts w:ascii="Times New Roman" w:hAnsi="Times New Roman"/>
          <w:sz w:val="24"/>
          <w:shd w:val="clear" w:color="auto" w:fill="FFFFFF"/>
        </w:rPr>
        <w:t xml:space="preserve">, and </w:t>
      </w:r>
      <w:r w:rsidRPr="00F45127" w:rsidR="00363989">
        <w:rPr>
          <w:rFonts w:ascii="Times New Roman" w:hAnsi="Times New Roman"/>
          <w:sz w:val="24"/>
          <w:shd w:val="clear" w:color="auto" w:fill="FFFFFF"/>
        </w:rPr>
        <w:t>operat</w:t>
      </w:r>
      <w:r w:rsidRPr="00F45127" w:rsidR="00363989">
        <w:rPr>
          <w:rFonts w:ascii="Times New Roman" w:hAnsi="Times New Roman"/>
          <w:sz w:val="24"/>
        </w:rPr>
        <w:t>ing</w:t>
      </w:r>
      <w:r w:rsidRPr="00F45127" w:rsidR="00363989">
        <w:rPr>
          <w:rFonts w:ascii="Times New Roman" w:hAnsi="Times New Roman"/>
          <w:sz w:val="24"/>
          <w:shd w:val="clear" w:color="auto" w:fill="FFFFFF"/>
        </w:rPr>
        <w:t xml:space="preserve"> in a safe manner when there is extensive industry knowledge that indicates aspects of older process operations are no longer safe.</w:t>
      </w:r>
      <w:r w:rsidRPr="00193D24" w:rsidR="00363989">
        <w:rPr>
          <w:rFonts w:ascii="Times New Roman" w:hAnsi="Times New Roman"/>
          <w:sz w:val="24"/>
          <w:shd w:val="clear" w:color="auto" w:fill="FFFFFF"/>
        </w:rPr>
        <w:t> </w:t>
      </w:r>
    </w:p>
    <w:p w:rsidR="00021D11" w:rsidP="00021D11" w14:paraId="17ADEB11" w14:textId="77777777">
      <w:pPr>
        <w:rPr>
          <w:rFonts w:ascii="Times New Roman" w:hAnsi="Times New Roman"/>
          <w:i/>
          <w:iCs/>
          <w:sz w:val="24"/>
        </w:rPr>
      </w:pPr>
      <w:r>
        <w:rPr>
          <w:rFonts w:ascii="Times New Roman" w:hAnsi="Times New Roman"/>
          <w:i/>
          <w:iCs/>
          <w:sz w:val="24"/>
        </w:rPr>
        <w:t>Opposition to RAGAGEP gap analysis provisions</w:t>
      </w:r>
    </w:p>
    <w:p w:rsidR="00021D11" w:rsidP="00021D11" w14:paraId="061FA254" w14:textId="77777777">
      <w:pPr>
        <w:rPr>
          <w:rFonts w:ascii="Times New Roman" w:hAnsi="Times New Roman"/>
          <w:sz w:val="24"/>
        </w:rPr>
      </w:pPr>
      <w:r>
        <w:rPr>
          <w:rFonts w:ascii="Times New Roman" w:hAnsi="Times New Roman"/>
          <w:b/>
          <w:bCs/>
          <w:sz w:val="24"/>
        </w:rPr>
        <w:t xml:space="preserve">Comment 14.7-03: </w:t>
      </w:r>
      <w:r w:rsidRPr="006F68E9">
        <w:rPr>
          <w:rFonts w:ascii="Times New Roman" w:hAnsi="Times New Roman"/>
          <w:sz w:val="24"/>
        </w:rPr>
        <w:t xml:space="preserve">Several commenters opposed the proposal to include analysis of the most recently promulgated RAGAGEP to identify possible gaps and/or the commenters opposed the proposal to identify RAGAGEP recommendations that are not implemented and include a justification as to why they were not adopted (0173, 0181, 0184, 0205, 0207, 0210, 0215, 0217, 0224, 0229, 0232, 0233, 0234, 0237, 0242, 0244, 0253, 0262, 0267, 0268, 0272).Some commenters urged EPA not to finalize the RAGAGEP requirements (0207, 0233, 0234, 0267). </w:t>
      </w:r>
    </w:p>
    <w:p w:rsidR="00021D11" w:rsidRPr="006F68E9" w:rsidP="00021D11" w14:paraId="06A31802" w14:textId="77777777">
      <w:pPr>
        <w:rPr>
          <w:rFonts w:ascii="Times New Roman" w:hAnsi="Times New Roman"/>
          <w:sz w:val="24"/>
        </w:rPr>
      </w:pPr>
      <w:r w:rsidRPr="006F68E9">
        <w:rPr>
          <w:rFonts w:ascii="Times New Roman" w:hAnsi="Times New Roman"/>
          <w:sz w:val="24"/>
        </w:rPr>
        <w:t>One commenter disagreed with EPA’s characterization of the gap analysis as “technical” and added that they consider it a substantive amendment (0237).</w:t>
      </w:r>
    </w:p>
    <w:p w:rsidR="00206FBA" w:rsidRPr="00206FBA" w:rsidP="00206FBA" w14:paraId="30602281" w14:textId="1E6617DE">
      <w:pPr>
        <w:ind w:left="720"/>
        <w:rPr>
          <w:rFonts w:ascii="Times New Roman" w:hAnsi="Times New Roman"/>
          <w:sz w:val="24"/>
        </w:rPr>
      </w:pPr>
      <w:r w:rsidRPr="00E16568">
        <w:rPr>
          <w:rFonts w:ascii="Times New Roman" w:hAnsi="Times New Roman"/>
          <w:b/>
          <w:bCs/>
          <w:sz w:val="24"/>
        </w:rPr>
        <w:t>EPA Response:</w:t>
      </w:r>
      <w:r>
        <w:rPr>
          <w:rFonts w:ascii="Times New Roman" w:hAnsi="Times New Roman"/>
          <w:b/>
          <w:bCs/>
          <w:sz w:val="24"/>
        </w:rPr>
        <w:t xml:space="preserve"> </w:t>
      </w:r>
      <w:r w:rsidRPr="00566DEE">
        <w:rPr>
          <w:rFonts w:ascii="Times New Roman" w:hAnsi="Times New Roman"/>
          <w:sz w:val="24"/>
        </w:rPr>
        <w:t xml:space="preserve">EPA notes that this RAGAGEP gap analysis is already expected under 40 CFR 68.65(d)(2) and (3) for Program 3 processes. EPA notes this PHA modification merely clarifies when facilities must, at minimum, conduct or review previous analyses when determining their compliance with 40 CFR 68.65(d)(2) and (3). </w:t>
      </w:r>
      <w:r w:rsidRPr="00206FBA">
        <w:rPr>
          <w:rFonts w:ascii="Times New Roman" w:hAnsi="Times New Roman"/>
          <w:sz w:val="24"/>
        </w:rPr>
        <w:t>Evaluation</w:t>
      </w:r>
      <w:r w:rsidR="00045968">
        <w:rPr>
          <w:rFonts w:ascii="Times New Roman" w:hAnsi="Times New Roman"/>
          <w:sz w:val="24"/>
        </w:rPr>
        <w:t>s</w:t>
      </w:r>
      <w:r w:rsidRPr="00206FBA">
        <w:rPr>
          <w:rFonts w:ascii="Times New Roman" w:hAnsi="Times New Roman"/>
          <w:sz w:val="24"/>
        </w:rPr>
        <w:t xml:space="preserve"> of updated RAGAGEP already </w:t>
      </w:r>
      <w:r w:rsidR="00045968">
        <w:rPr>
          <w:rFonts w:ascii="Times New Roman" w:hAnsi="Times New Roman"/>
          <w:sz w:val="24"/>
        </w:rPr>
        <w:t>is</w:t>
      </w:r>
      <w:r w:rsidRPr="00206FBA">
        <w:rPr>
          <w:rFonts w:ascii="Times New Roman" w:hAnsi="Times New Roman"/>
          <w:sz w:val="24"/>
        </w:rPr>
        <w:t xml:space="preserve"> an RMP requirement, as shown in enforcement actions against facilities not complying with this provision. For example, in 2022, EPA took an enforcement action against a refinery in Hawaii that failed to comply with the latest versions of applicable refining industry standards, API Recommended Practice 941, “Steels for Hydrogen Service at Elevated Temperatures” (8</w:t>
      </w:r>
      <w:r w:rsidRPr="00206FBA">
        <w:rPr>
          <w:rFonts w:ascii="Times New Roman" w:hAnsi="Times New Roman"/>
          <w:sz w:val="24"/>
          <w:vertAlign w:val="superscript"/>
        </w:rPr>
        <w:t>th</w:t>
      </w:r>
      <w:r w:rsidRPr="00206FBA">
        <w:rPr>
          <w:rFonts w:ascii="Times New Roman" w:hAnsi="Times New Roman"/>
          <w:sz w:val="24"/>
        </w:rPr>
        <w:t xml:space="preserve"> edition, February 2016), and 581, “Risk Based Inspection” (3</w:t>
      </w:r>
      <w:r w:rsidRPr="00206FBA">
        <w:rPr>
          <w:rFonts w:ascii="Times New Roman" w:hAnsi="Times New Roman"/>
          <w:sz w:val="24"/>
          <w:vertAlign w:val="superscript"/>
        </w:rPr>
        <w:t>rd</w:t>
      </w:r>
      <w:r w:rsidRPr="00206FBA">
        <w:rPr>
          <w:rFonts w:ascii="Times New Roman" w:hAnsi="Times New Roman"/>
          <w:sz w:val="24"/>
        </w:rPr>
        <w:t xml:space="preserve"> edition, April 2016).</w:t>
      </w:r>
      <w:r>
        <w:rPr>
          <w:rFonts w:ascii="Times New Roman" w:hAnsi="Times New Roman"/>
          <w:sz w:val="24"/>
          <w:vertAlign w:val="superscript"/>
        </w:rPr>
        <w:footnoteReference w:id="192"/>
      </w:r>
      <w:r w:rsidRPr="00206FBA">
        <w:rPr>
          <w:rFonts w:ascii="Times New Roman" w:hAnsi="Times New Roman"/>
          <w:sz w:val="24"/>
        </w:rPr>
        <w:t xml:space="preserve"> In February 2021, EPA also took an enforcement action against a seafood processing facility in Massachusetts that failed to comply with the latest version (at that time) of an applicable ammonia refrigeration industry standard, International Institute of Ammonia Refrigeration (IIAR) 2-2014, “Safe Design of Closed-Circuit Ammonia Refrigeration Systems</w:t>
      </w:r>
      <w:r w:rsidRPr="00206FBA">
        <w:rPr>
          <w:rFonts w:ascii="Times New Roman" w:hAnsi="Times New Roman"/>
          <w:i/>
          <w:iCs/>
          <w:sz w:val="24"/>
        </w:rPr>
        <w:t>.</w:t>
      </w:r>
      <w:r w:rsidRPr="00206FBA">
        <w:rPr>
          <w:rFonts w:ascii="Times New Roman" w:hAnsi="Times New Roman"/>
          <w:sz w:val="24"/>
        </w:rPr>
        <w:t>”</w:t>
      </w:r>
      <w:r>
        <w:rPr>
          <w:rFonts w:ascii="Times New Roman" w:hAnsi="Times New Roman"/>
          <w:sz w:val="24"/>
          <w:vertAlign w:val="superscript"/>
        </w:rPr>
        <w:footnoteReference w:id="193"/>
      </w:r>
      <w:r w:rsidRPr="00206FBA">
        <w:rPr>
          <w:rFonts w:ascii="Times New Roman" w:hAnsi="Times New Roman"/>
          <w:sz w:val="24"/>
        </w:rPr>
        <w:t xml:space="preserve"> In both cases, the processes at these facilities were built prior to the updated RAGAGEP cited. </w:t>
      </w:r>
    </w:p>
    <w:p w:rsidR="00021D11" w:rsidP="00021D11" w14:paraId="61FE26CC" w14:textId="77777777">
      <w:pPr>
        <w:rPr>
          <w:rFonts w:ascii="Times New Roman" w:hAnsi="Times New Roman"/>
          <w:sz w:val="24"/>
        </w:rPr>
      </w:pPr>
      <w:r w:rsidRPr="00E34930">
        <w:rPr>
          <w:rFonts w:ascii="Times New Roman" w:hAnsi="Times New Roman"/>
          <w:b/>
          <w:bCs/>
          <w:sz w:val="24"/>
        </w:rPr>
        <w:t>Comment</w:t>
      </w:r>
      <w:r>
        <w:rPr>
          <w:rFonts w:ascii="Times New Roman" w:hAnsi="Times New Roman"/>
          <w:b/>
          <w:bCs/>
          <w:sz w:val="24"/>
        </w:rPr>
        <w:t xml:space="preserve"> 14.7-04</w:t>
      </w:r>
      <w:r w:rsidRPr="00E34930">
        <w:rPr>
          <w:rFonts w:ascii="Times New Roman" w:hAnsi="Times New Roman"/>
          <w:b/>
          <w:bCs/>
          <w:sz w:val="24"/>
        </w:rPr>
        <w:t>:</w:t>
      </w:r>
      <w:r>
        <w:rPr>
          <w:rFonts w:ascii="Times New Roman" w:hAnsi="Times New Roman"/>
          <w:sz w:val="24"/>
        </w:rPr>
        <w:t xml:space="preserve"> Many commenters expressed concerns related to overlap with OSHA’s regulations. </w:t>
      </w:r>
    </w:p>
    <w:p w:rsidR="00021D11" w:rsidP="00021D11" w14:paraId="6E233F1E" w14:textId="4B859B7F">
      <w:pPr>
        <w:rPr>
          <w:rFonts w:ascii="Times New Roman" w:hAnsi="Times New Roman"/>
          <w:sz w:val="24"/>
        </w:rPr>
      </w:pPr>
      <w:r w:rsidRPr="006F68E9">
        <w:rPr>
          <w:rFonts w:ascii="Times New Roman" w:hAnsi="Times New Roman"/>
          <w:sz w:val="24"/>
        </w:rPr>
        <w:t xml:space="preserve">A couple commenters stated that the proposed gap analysis encroaches on OSHA’s </w:t>
      </w:r>
      <w:r w:rsidRPr="3C47D647">
        <w:rPr>
          <w:rFonts w:ascii="Times New Roman" w:hAnsi="Times New Roman"/>
          <w:sz w:val="24"/>
        </w:rPr>
        <w:t>PS</w:t>
      </w:r>
      <w:r w:rsidRPr="3C47D647" w:rsidR="59FC22A6">
        <w:rPr>
          <w:rFonts w:ascii="Times New Roman" w:hAnsi="Times New Roman"/>
          <w:sz w:val="24"/>
        </w:rPr>
        <w:t>M</w:t>
      </w:r>
      <w:r w:rsidRPr="006F68E9">
        <w:rPr>
          <w:rFonts w:ascii="Times New Roman" w:hAnsi="Times New Roman"/>
          <w:sz w:val="24"/>
        </w:rPr>
        <w:t xml:space="preserve"> regulation (0232, 0237). Some commenters pointed out that EPA adopted their regulation verbatim from OSHA’s PSM regulation, and OSHA has made clear that its regulations require the verification of safe equipment, not a continual review of RAGAGEP (0207, 0229, 0253, 0268, 0272). Several commenters said that EPA did not explain how the proposed gap analysis would work in tandem with OSHA regulation, which the proposal fails to repeal or revise (0207, 0229, 0253, 0268, 0272). One of the commenters added that ignoring existing regulations is arbitrary government action (0268).</w:t>
      </w:r>
    </w:p>
    <w:p w:rsidR="00021D11" w:rsidP="00021D11" w14:paraId="59394806" w14:textId="77777777">
      <w:pPr>
        <w:rPr>
          <w:rFonts w:ascii="Times New Roman" w:hAnsi="Times New Roman"/>
          <w:sz w:val="24"/>
        </w:rPr>
      </w:pPr>
      <w:r w:rsidRPr="007E0CF6">
        <w:rPr>
          <w:rFonts w:ascii="Times New Roman" w:hAnsi="Times New Roman"/>
          <w:sz w:val="24"/>
        </w:rPr>
        <w:t xml:space="preserve">One commenter stated that EPA’s proposed change to 40 CFR 68.65(a) conflicts with the PSM Standard’s PSI requirements set forth in 29 CFR 1910.119(d). The commenter asserted that EPA </w:t>
      </w:r>
      <w:r w:rsidRPr="007E0CF6">
        <w:rPr>
          <w:rFonts w:ascii="Times New Roman" w:hAnsi="Times New Roman"/>
          <w:sz w:val="24"/>
        </w:rPr>
        <w:t xml:space="preserve">should not amend </w:t>
      </w:r>
      <w:r>
        <w:rPr>
          <w:rFonts w:ascii="Times New Roman" w:hAnsi="Times New Roman"/>
          <w:sz w:val="24"/>
        </w:rPr>
        <w:t>40 CFR</w:t>
      </w:r>
      <w:r w:rsidRPr="007E0CF6">
        <w:rPr>
          <w:rFonts w:ascii="Times New Roman" w:hAnsi="Times New Roman"/>
          <w:sz w:val="24"/>
        </w:rPr>
        <w:t xml:space="preserve"> 68.65(a) as proposed but adhere to the existing regulatory language for Program 3 sources to ensure the long-standing consistency between the RMP and PSM Standard remain (0229).</w:t>
      </w:r>
    </w:p>
    <w:p w:rsidR="00021D11" w:rsidP="00021D11" w14:paraId="058CFE34" w14:textId="77777777">
      <w:pPr>
        <w:rPr>
          <w:rFonts w:ascii="Times New Roman" w:hAnsi="Times New Roman"/>
          <w:sz w:val="24"/>
        </w:rPr>
      </w:pPr>
      <w:r w:rsidRPr="006F68E9">
        <w:rPr>
          <w:rFonts w:ascii="Times New Roman" w:hAnsi="Times New Roman"/>
          <w:sz w:val="24"/>
        </w:rPr>
        <w:t xml:space="preserve">Another commenter said that there is no material difference between the RMP and the PSM requirement, and the proposed gap analysis requirement except that the proposal would require it to be conducted during the PHA and would require facilities to document results of the analysis in their Risk Management Plans, rather than in their PSI. The commenter also </w:t>
      </w:r>
      <w:r>
        <w:rPr>
          <w:rFonts w:ascii="Times New Roman" w:hAnsi="Times New Roman"/>
          <w:sz w:val="24"/>
        </w:rPr>
        <w:t>said</w:t>
      </w:r>
      <w:r w:rsidRPr="006F68E9">
        <w:rPr>
          <w:rFonts w:ascii="Times New Roman" w:hAnsi="Times New Roman"/>
          <w:sz w:val="24"/>
        </w:rPr>
        <w:t xml:space="preserve"> that the gap analysis would create inconsistencies with the OSHA PSM standard provisions concerning adherence to RAGAGEP no longer in general use (0233).</w:t>
      </w:r>
      <w:r>
        <w:rPr>
          <w:rFonts w:ascii="Times New Roman" w:hAnsi="Times New Roman"/>
          <w:sz w:val="24"/>
        </w:rPr>
        <w:t xml:space="preserve"> </w:t>
      </w:r>
      <w:r w:rsidRPr="006F68E9">
        <w:rPr>
          <w:rFonts w:ascii="Times New Roman" w:hAnsi="Times New Roman"/>
          <w:sz w:val="24"/>
        </w:rPr>
        <w:t>The commenter stated that an ongoing duty for facilities to ensure that their process equipment is designed, maintained, and operated in accordance with the most current version of RAGAGEP is inconsistent with owners’ and operators’ obligations under the PSM standard. The commenter added that EPA did not acknowledge this inconsistency in its proposal, nor does EPA provide any reasoned explanation why it has chosen to depart from OSHA’s interpretation of the comparable requirements of the PSM standard (0233).</w:t>
      </w:r>
    </w:p>
    <w:p w:rsidR="00021D11" w:rsidRPr="006F68E9" w:rsidP="00021D11" w14:paraId="0D00B336" w14:textId="77777777">
      <w:pPr>
        <w:rPr>
          <w:rFonts w:ascii="Times New Roman" w:hAnsi="Times New Roman"/>
          <w:sz w:val="24"/>
        </w:rPr>
      </w:pPr>
      <w:r w:rsidRPr="005105A2">
        <w:rPr>
          <w:rFonts w:ascii="Times New Roman" w:hAnsi="Times New Roman"/>
          <w:sz w:val="24"/>
        </w:rPr>
        <w:t>One commenter asked EPA to recognize that the RAGAGEP proposed language contains “should” provisions. The commenter added that OSHA has recognized that non-compliance with “should” provisions does not create a presumption of noncompliance, and that non-compliance with “shall” provisions is not necessarily a violation of a regulatory RAGAGEP requirement (0215).</w:t>
      </w:r>
    </w:p>
    <w:p w:rsidR="005B6082" w:rsidP="005B6082" w14:paraId="653526F1" w14:textId="707C97E4">
      <w:pPr>
        <w:ind w:left="720"/>
        <w:rPr>
          <w:rFonts w:ascii="Times New Roman" w:hAnsi="Times New Roman"/>
          <w:sz w:val="24"/>
        </w:rPr>
      </w:pPr>
      <w:r w:rsidRPr="00346B23">
        <w:rPr>
          <w:rFonts w:ascii="Times New Roman" w:hAnsi="Times New Roman"/>
          <w:b/>
          <w:bCs/>
          <w:sz w:val="24"/>
        </w:rPr>
        <w:t xml:space="preserve">EPA Response: </w:t>
      </w:r>
      <w:r w:rsidRPr="00346B23">
        <w:rPr>
          <w:rFonts w:ascii="Times New Roman" w:hAnsi="Times New Roman"/>
          <w:sz w:val="24"/>
        </w:rPr>
        <w:t xml:space="preserve">In response to comments that the provisions encroach on OSHA’s PSM regulations, EPA disagrees. This new PHA requirement is meant to complement OSHA’s equivalent requirement in 29 CFR 1910.119(d)(3)(iii) and provide a framework for undertaking the analysis. </w:t>
      </w:r>
      <w:r w:rsidRPr="28F556F6" w:rsidR="4101BB61">
        <w:rPr>
          <w:rFonts w:ascii="Times New Roman" w:hAnsi="Times New Roman"/>
          <w:sz w:val="24"/>
        </w:rPr>
        <w:t>Citing the discussion in the 2019 Rec</w:t>
      </w:r>
      <w:r w:rsidR="00773906">
        <w:rPr>
          <w:rFonts w:ascii="Times New Roman" w:hAnsi="Times New Roman"/>
          <w:sz w:val="24"/>
        </w:rPr>
        <w:t>onsideration</w:t>
      </w:r>
      <w:r w:rsidRPr="28F556F6" w:rsidR="4101BB61">
        <w:rPr>
          <w:rFonts w:ascii="Times New Roman" w:hAnsi="Times New Roman"/>
          <w:sz w:val="24"/>
        </w:rPr>
        <w:t xml:space="preserve"> rule</w:t>
      </w:r>
      <w:r w:rsidRPr="6EDC2149" w:rsidR="707D4919">
        <w:rPr>
          <w:rFonts w:ascii="Times New Roman" w:hAnsi="Times New Roman"/>
          <w:sz w:val="24"/>
        </w:rPr>
        <w:t xml:space="preserve"> and</w:t>
      </w:r>
      <w:r w:rsidRPr="28F556F6" w:rsidR="4101BB61">
        <w:rPr>
          <w:rFonts w:ascii="Times New Roman" w:hAnsi="Times New Roman"/>
          <w:sz w:val="24"/>
        </w:rPr>
        <w:t xml:space="preserve"> </w:t>
      </w:r>
      <w:r w:rsidRPr="28F556F6" w:rsidR="5D99A4A8">
        <w:rPr>
          <w:rFonts w:ascii="Times New Roman" w:hAnsi="Times New Roman"/>
          <w:sz w:val="24"/>
        </w:rPr>
        <w:t>the proposed SCCAP</w:t>
      </w:r>
      <w:r w:rsidRPr="28F556F6" w:rsidR="064C7D4D">
        <w:rPr>
          <w:rFonts w:ascii="Times New Roman" w:hAnsi="Times New Roman"/>
          <w:sz w:val="24"/>
        </w:rPr>
        <w:t>,</w:t>
      </w:r>
      <w:r w:rsidRPr="28F556F6" w:rsidR="5D99A4A8">
        <w:rPr>
          <w:rFonts w:ascii="Times New Roman" w:hAnsi="Times New Roman"/>
          <w:sz w:val="24"/>
        </w:rPr>
        <w:t xml:space="preserve"> EPA explained that </w:t>
      </w:r>
      <w:r w:rsidRPr="28F556F6" w:rsidR="5E4E96CF">
        <w:rPr>
          <w:rFonts w:ascii="Times New Roman" w:hAnsi="Times New Roman"/>
          <w:sz w:val="24"/>
        </w:rPr>
        <w:t>there is no legal requirement to defer to OSHA in rulemaking</w:t>
      </w:r>
      <w:r w:rsidRPr="28F556F6" w:rsidR="2BF3ACF5">
        <w:rPr>
          <w:rFonts w:ascii="Times New Roman" w:hAnsi="Times New Roman"/>
          <w:sz w:val="24"/>
        </w:rPr>
        <w:t xml:space="preserve">, to hold off from rulemaking until OSHA amends its rules, or to </w:t>
      </w:r>
      <w:r w:rsidRPr="6EDC2149" w:rsidR="6F0F6B63">
        <w:rPr>
          <w:rFonts w:ascii="Times New Roman" w:hAnsi="Times New Roman"/>
          <w:sz w:val="24"/>
        </w:rPr>
        <w:t>not</w:t>
      </w:r>
      <w:r w:rsidRPr="6EDC2149" w:rsidR="2BF3ACF5">
        <w:rPr>
          <w:rFonts w:ascii="Times New Roman" w:hAnsi="Times New Roman"/>
          <w:sz w:val="24"/>
        </w:rPr>
        <w:t xml:space="preserve"> </w:t>
      </w:r>
      <w:r w:rsidRPr="28F556F6" w:rsidR="4610A256">
        <w:rPr>
          <w:rFonts w:ascii="Times New Roman" w:hAnsi="Times New Roman"/>
          <w:sz w:val="24"/>
        </w:rPr>
        <w:t>differ from PSM given the agencies separate mis</w:t>
      </w:r>
      <w:r w:rsidRPr="28F556F6" w:rsidR="61769051">
        <w:rPr>
          <w:rFonts w:ascii="Times New Roman" w:hAnsi="Times New Roman"/>
          <w:sz w:val="24"/>
        </w:rPr>
        <w:t>sions.</w:t>
      </w:r>
      <w:r w:rsidRPr="28F556F6">
        <w:rPr>
          <w:rFonts w:ascii="Times New Roman" w:hAnsi="Times New Roman"/>
          <w:sz w:val="24"/>
        </w:rPr>
        <w:t xml:space="preserve"> </w:t>
      </w:r>
      <w:r w:rsidRPr="28F556F6" w:rsidR="56D3CBBC">
        <w:rPr>
          <w:rFonts w:ascii="Times New Roman" w:hAnsi="Times New Roman"/>
          <w:sz w:val="24"/>
        </w:rPr>
        <w:t xml:space="preserve">87 </w:t>
      </w:r>
      <w:r w:rsidR="009E13F6">
        <w:rPr>
          <w:rFonts w:ascii="Times New Roman" w:hAnsi="Times New Roman"/>
          <w:sz w:val="24"/>
        </w:rPr>
        <w:t>FR</w:t>
      </w:r>
      <w:r w:rsidRPr="28F556F6" w:rsidR="56D3CBBC">
        <w:rPr>
          <w:rFonts w:ascii="Times New Roman" w:hAnsi="Times New Roman"/>
          <w:sz w:val="24"/>
        </w:rPr>
        <w:t xml:space="preserve"> 5356</w:t>
      </w:r>
      <w:r w:rsidR="00F93936">
        <w:rPr>
          <w:rFonts w:ascii="Times New Roman" w:hAnsi="Times New Roman"/>
          <w:sz w:val="24"/>
        </w:rPr>
        <w:t>4</w:t>
      </w:r>
      <w:r w:rsidRPr="28F556F6" w:rsidR="56D3CBBC">
        <w:rPr>
          <w:rFonts w:ascii="Times New Roman" w:hAnsi="Times New Roman"/>
          <w:sz w:val="24"/>
        </w:rPr>
        <w:t xml:space="preserve">. </w:t>
      </w:r>
      <w:r w:rsidRPr="28F556F6" w:rsidR="57716C27">
        <w:rPr>
          <w:rFonts w:ascii="Times New Roman" w:hAnsi="Times New Roman"/>
          <w:sz w:val="24"/>
        </w:rPr>
        <w:t xml:space="preserve">While </w:t>
      </w:r>
      <w:r w:rsidRPr="28F556F6">
        <w:rPr>
          <w:rFonts w:ascii="Times New Roman" w:hAnsi="Times New Roman"/>
          <w:sz w:val="24"/>
        </w:rPr>
        <w:t xml:space="preserve">EPA </w:t>
      </w:r>
      <w:r w:rsidR="00112A25">
        <w:rPr>
          <w:rFonts w:ascii="Times New Roman" w:hAnsi="Times New Roman"/>
          <w:sz w:val="24"/>
        </w:rPr>
        <w:t>favors</w:t>
      </w:r>
      <w:r w:rsidRPr="00346B23">
        <w:rPr>
          <w:rFonts w:ascii="Times New Roman" w:hAnsi="Times New Roman"/>
          <w:sz w:val="24"/>
        </w:rPr>
        <w:t xml:space="preserve"> consistency with OSHA’s PSM standard, </w:t>
      </w:r>
      <w:r w:rsidRPr="3C47D647" w:rsidR="06416C4E">
        <w:rPr>
          <w:rFonts w:ascii="Times New Roman" w:hAnsi="Times New Roman"/>
          <w:sz w:val="24"/>
        </w:rPr>
        <w:t xml:space="preserve">EPA </w:t>
      </w:r>
      <w:r w:rsidRPr="3C47D647" w:rsidR="00B26B36">
        <w:rPr>
          <w:rFonts w:ascii="Times New Roman" w:hAnsi="Times New Roman"/>
          <w:sz w:val="24"/>
        </w:rPr>
        <w:t>must</w:t>
      </w:r>
      <w:r w:rsidRPr="00346B23" w:rsidR="00B26B36">
        <w:rPr>
          <w:rFonts w:ascii="Times New Roman" w:hAnsi="Times New Roman"/>
          <w:sz w:val="24"/>
        </w:rPr>
        <w:t xml:space="preserve"> also</w:t>
      </w:r>
      <w:r w:rsidRPr="00346B23">
        <w:rPr>
          <w:rFonts w:ascii="Times New Roman" w:hAnsi="Times New Roman"/>
          <w:sz w:val="24"/>
        </w:rPr>
        <w:t xml:space="preserve"> </w:t>
      </w:r>
      <w:r w:rsidRPr="3C47D647" w:rsidR="60483E0E">
        <w:rPr>
          <w:rFonts w:ascii="Times New Roman" w:hAnsi="Times New Roman"/>
          <w:sz w:val="24"/>
        </w:rPr>
        <w:t xml:space="preserve">ensure </w:t>
      </w:r>
      <w:r w:rsidR="00452820">
        <w:rPr>
          <w:rFonts w:ascii="Times New Roman" w:hAnsi="Times New Roman"/>
          <w:sz w:val="24"/>
        </w:rPr>
        <w:t>compliance</w:t>
      </w:r>
      <w:r w:rsidRPr="3C47D647" w:rsidR="00452820">
        <w:rPr>
          <w:rFonts w:ascii="Times New Roman" w:hAnsi="Times New Roman"/>
          <w:sz w:val="24"/>
        </w:rPr>
        <w:t xml:space="preserve"> </w:t>
      </w:r>
      <w:r w:rsidRPr="00346B23">
        <w:rPr>
          <w:rFonts w:ascii="Times New Roman" w:hAnsi="Times New Roman"/>
          <w:sz w:val="24"/>
        </w:rPr>
        <w:t xml:space="preserve">with the CAA. </w:t>
      </w:r>
      <w:r w:rsidRPr="00346B23">
        <w:rPr>
          <w:rFonts w:ascii="Times New Roman" w:hAnsi="Times New Roman"/>
          <w:sz w:val="24"/>
        </w:rPr>
        <w:t>CAA section 112(r)(1), 42 U.S.C. 7412(r)(1), Purpose and general duty, states that, “It shall be the objective of the regulations and programs authorized under this subsection to prevent the accidental release and to minimize the consequences of any such release of any substance listed pursuant to paragraph (3) or any other extremely hazardous substance.” Congress further clarified in legislative history that it intended facility owners and operators to implement all feasible means to reduce the threat of death, serious injury, or substantial property damage to satisfy the requirements of the GDC.</w:t>
      </w:r>
      <w:r>
        <w:rPr>
          <w:rFonts w:ascii="Times New Roman" w:hAnsi="Times New Roman"/>
          <w:sz w:val="24"/>
          <w:vertAlign w:val="superscript"/>
        </w:rPr>
        <w:footnoteReference w:id="194"/>
      </w:r>
      <w:r w:rsidRPr="00346B23">
        <w:rPr>
          <w:rFonts w:ascii="Times New Roman" w:hAnsi="Times New Roman"/>
          <w:sz w:val="24"/>
        </w:rPr>
        <w:t xml:space="preserve"> Obligations under the regulatory program authorized by CAA section 112(r)(7) build upon those under the general duty rather than undercut it. Accordingly, using the RMP regulations to permanently lock into place obsolete or out-of-date RAGAGEP is inconsistent with the purpose and intent of the CAA. </w:t>
      </w:r>
      <w:r w:rsidRPr="28F556F6" w:rsidR="28F15BE2">
        <w:rPr>
          <w:rFonts w:ascii="Times New Roman" w:hAnsi="Times New Roman"/>
          <w:sz w:val="24"/>
        </w:rPr>
        <w:t xml:space="preserve">EPA does not view the gap analysis for RAGAGEP to be inconsistent with </w:t>
      </w:r>
      <w:r w:rsidR="002C68B6">
        <w:rPr>
          <w:rFonts w:ascii="Times New Roman" w:hAnsi="Times New Roman"/>
          <w:sz w:val="24"/>
        </w:rPr>
        <w:t xml:space="preserve">the </w:t>
      </w:r>
      <w:r w:rsidR="00AF12A9">
        <w:rPr>
          <w:rFonts w:ascii="Times New Roman" w:hAnsi="Times New Roman"/>
          <w:sz w:val="24"/>
        </w:rPr>
        <w:t xml:space="preserve">OSHA </w:t>
      </w:r>
      <w:r w:rsidRPr="28F556F6" w:rsidR="28F15BE2">
        <w:rPr>
          <w:rFonts w:ascii="Times New Roman" w:hAnsi="Times New Roman"/>
          <w:sz w:val="24"/>
        </w:rPr>
        <w:t>PSM</w:t>
      </w:r>
      <w:r w:rsidR="00AF12A9">
        <w:rPr>
          <w:rFonts w:ascii="Times New Roman" w:hAnsi="Times New Roman"/>
          <w:sz w:val="24"/>
        </w:rPr>
        <w:t xml:space="preserve"> standard</w:t>
      </w:r>
      <w:r w:rsidRPr="28F556F6" w:rsidR="28F15BE2">
        <w:rPr>
          <w:rFonts w:ascii="Times New Roman" w:hAnsi="Times New Roman"/>
          <w:sz w:val="24"/>
        </w:rPr>
        <w:t xml:space="preserve">. The </w:t>
      </w:r>
      <w:r w:rsidRPr="28F556F6" w:rsidR="0DBF5BD5">
        <w:rPr>
          <w:rFonts w:ascii="Times New Roman" w:hAnsi="Times New Roman"/>
          <w:sz w:val="24"/>
        </w:rPr>
        <w:t>gap analysis complements PSM by bringing awareness of potential</w:t>
      </w:r>
      <w:r w:rsidRPr="28F556F6" w:rsidR="0E9B8A02">
        <w:rPr>
          <w:rFonts w:ascii="Times New Roman" w:hAnsi="Times New Roman"/>
          <w:sz w:val="24"/>
        </w:rPr>
        <w:t xml:space="preserve"> safety concerns to the attention of the employer</w:t>
      </w:r>
      <w:r w:rsidRPr="28F556F6" w:rsidR="479CFE48">
        <w:rPr>
          <w:rFonts w:ascii="Times New Roman" w:hAnsi="Times New Roman"/>
          <w:sz w:val="24"/>
        </w:rPr>
        <w:t>.</w:t>
      </w:r>
    </w:p>
    <w:p w:rsidR="005B6082" w:rsidRPr="00955729" w:rsidP="005B6082" w14:paraId="6E13D220" w14:textId="61EEDE6C">
      <w:pPr>
        <w:ind w:left="720"/>
        <w:rPr>
          <w:rFonts w:ascii="Times New Roman" w:hAnsi="Times New Roman"/>
          <w:sz w:val="24"/>
        </w:rPr>
      </w:pPr>
      <w:r w:rsidRPr="00955729">
        <w:rPr>
          <w:rFonts w:ascii="Times New Roman" w:hAnsi="Times New Roman"/>
          <w:sz w:val="24"/>
        </w:rPr>
        <w:t>Further, the</w:t>
      </w:r>
      <w:r w:rsidR="00955729">
        <w:rPr>
          <w:rFonts w:ascii="Times New Roman" w:hAnsi="Times New Roman"/>
          <w:sz w:val="24"/>
        </w:rPr>
        <w:t xml:space="preserve"> proposed and </w:t>
      </w:r>
      <w:r w:rsidR="00A94054">
        <w:rPr>
          <w:rFonts w:ascii="Times New Roman" w:hAnsi="Times New Roman"/>
          <w:sz w:val="24"/>
        </w:rPr>
        <w:t xml:space="preserve">the unchanged </w:t>
      </w:r>
      <w:r w:rsidR="00955729">
        <w:rPr>
          <w:rFonts w:ascii="Times New Roman" w:hAnsi="Times New Roman"/>
          <w:sz w:val="24"/>
        </w:rPr>
        <w:t>final</w:t>
      </w:r>
      <w:r w:rsidRPr="00955729">
        <w:rPr>
          <w:rFonts w:ascii="Times New Roman" w:hAnsi="Times New Roman"/>
          <w:sz w:val="24"/>
        </w:rPr>
        <w:t xml:space="preserve"> regulatory text changes </w:t>
      </w:r>
      <w:r w:rsidRPr="00955729" w:rsidR="00703904">
        <w:rPr>
          <w:rFonts w:ascii="Times New Roman" w:hAnsi="Times New Roman"/>
          <w:sz w:val="24"/>
        </w:rPr>
        <w:t xml:space="preserve">associated with this provision </w:t>
      </w:r>
      <w:r w:rsidRPr="00955729" w:rsidR="00CF6CE0">
        <w:rPr>
          <w:rFonts w:ascii="Times New Roman" w:hAnsi="Times New Roman"/>
          <w:sz w:val="24"/>
        </w:rPr>
        <w:t xml:space="preserve">do not include </w:t>
      </w:r>
      <w:r w:rsidR="00955729">
        <w:rPr>
          <w:rFonts w:ascii="Times New Roman" w:hAnsi="Times New Roman"/>
          <w:sz w:val="24"/>
        </w:rPr>
        <w:t>“</w:t>
      </w:r>
      <w:r w:rsidRPr="00955729" w:rsidR="00CF6CE0">
        <w:rPr>
          <w:rFonts w:ascii="Times New Roman" w:hAnsi="Times New Roman"/>
          <w:sz w:val="24"/>
        </w:rPr>
        <w:t>should</w:t>
      </w:r>
      <w:r w:rsidR="00955729">
        <w:rPr>
          <w:rFonts w:ascii="Times New Roman" w:hAnsi="Times New Roman"/>
          <w:sz w:val="24"/>
        </w:rPr>
        <w:t>”</w:t>
      </w:r>
      <w:r w:rsidRPr="00955729" w:rsidR="009B12BE">
        <w:rPr>
          <w:rFonts w:ascii="Times New Roman" w:hAnsi="Times New Roman"/>
          <w:sz w:val="24"/>
        </w:rPr>
        <w:t>,</w:t>
      </w:r>
      <w:r w:rsidR="00955729">
        <w:rPr>
          <w:rFonts w:ascii="Times New Roman" w:hAnsi="Times New Roman"/>
          <w:sz w:val="24"/>
        </w:rPr>
        <w:t xml:space="preserve"> rather</w:t>
      </w:r>
      <w:r w:rsidR="00921714">
        <w:rPr>
          <w:rFonts w:ascii="Times New Roman" w:hAnsi="Times New Roman"/>
          <w:sz w:val="24"/>
        </w:rPr>
        <w:t xml:space="preserve">, </w:t>
      </w:r>
      <w:r w:rsidR="0005077F">
        <w:rPr>
          <w:rFonts w:ascii="Times New Roman" w:hAnsi="Times New Roman"/>
          <w:sz w:val="24"/>
        </w:rPr>
        <w:t xml:space="preserve">40 CFR </w:t>
      </w:r>
      <w:r w:rsidRPr="00955729" w:rsidR="00955729">
        <w:rPr>
          <w:rFonts w:ascii="Times New Roman" w:hAnsi="Times New Roman"/>
          <w:sz w:val="24"/>
        </w:rPr>
        <w:t>68.6</w:t>
      </w:r>
      <w:r w:rsidR="0005077F">
        <w:rPr>
          <w:rFonts w:ascii="Times New Roman" w:hAnsi="Times New Roman"/>
          <w:sz w:val="24"/>
        </w:rPr>
        <w:t>7</w:t>
      </w:r>
      <w:r w:rsidRPr="00955729" w:rsidR="00955729">
        <w:rPr>
          <w:rFonts w:ascii="Times New Roman" w:hAnsi="Times New Roman"/>
          <w:sz w:val="24"/>
        </w:rPr>
        <w:t>(c)</w:t>
      </w:r>
      <w:r w:rsidR="00921714">
        <w:rPr>
          <w:rFonts w:ascii="Times New Roman" w:hAnsi="Times New Roman"/>
          <w:sz w:val="24"/>
        </w:rPr>
        <w:t>(10) indicates: (c)</w:t>
      </w:r>
      <w:r w:rsidRPr="00955729" w:rsidR="00955729">
        <w:rPr>
          <w:rFonts w:ascii="Times New Roman" w:hAnsi="Times New Roman"/>
          <w:sz w:val="24"/>
        </w:rPr>
        <w:t xml:space="preserve"> </w:t>
      </w:r>
      <w:r w:rsidRPr="00955729" w:rsidR="00955729">
        <w:rPr>
          <w:rFonts w:ascii="Times New Roman" w:hAnsi="Times New Roman"/>
          <w:i/>
          <w:iCs/>
          <w:sz w:val="24"/>
        </w:rPr>
        <w:t>The process hazard analysis shall address</w:t>
      </w:r>
      <w:r w:rsidRPr="3C47D647" w:rsidR="00955729">
        <w:rPr>
          <w:rFonts w:ascii="Times New Roman" w:hAnsi="Times New Roman"/>
          <w:i/>
          <w:sz w:val="24"/>
        </w:rPr>
        <w:t xml:space="preserve"> </w:t>
      </w:r>
      <w:r w:rsidRPr="3C47D647" w:rsidR="4CF0401D">
        <w:rPr>
          <w:rFonts w:ascii="Times New Roman" w:hAnsi="Times New Roman"/>
          <w:i/>
          <w:iCs/>
          <w:sz w:val="24"/>
        </w:rPr>
        <w:t>. . .</w:t>
      </w:r>
      <w:r w:rsidRPr="3C47D647" w:rsidR="00955729">
        <w:rPr>
          <w:rFonts w:ascii="Times New Roman" w:hAnsi="Times New Roman"/>
          <w:sz w:val="24"/>
        </w:rPr>
        <w:t xml:space="preserve"> </w:t>
      </w:r>
      <w:r w:rsidRPr="00DE331A" w:rsidR="00D35930">
        <w:rPr>
          <w:rFonts w:ascii="Times New Roman" w:hAnsi="Times New Roman"/>
          <w:i/>
          <w:iCs/>
          <w:sz w:val="24"/>
        </w:rPr>
        <w:t xml:space="preserve">(10) </w:t>
      </w:r>
      <w:r w:rsidRPr="00955729" w:rsidR="00D35930">
        <w:rPr>
          <w:rFonts w:ascii="Times New Roman" w:hAnsi="Times New Roman"/>
          <w:i/>
          <w:iCs/>
          <w:sz w:val="24"/>
        </w:rPr>
        <w:t>Any gaps in safety between the codes, standards, or practices to which the process was designed and constructed and the most current version of applicable codes, standards, or practices.</w:t>
      </w:r>
      <w:r w:rsidRPr="62C05239" w:rsidR="3F2C3A9B">
        <w:rPr>
          <w:rFonts w:ascii="Times New Roman" w:hAnsi="Times New Roman"/>
          <w:i/>
          <w:iCs/>
          <w:sz w:val="24"/>
        </w:rPr>
        <w:t xml:space="preserve"> </w:t>
      </w:r>
      <w:r w:rsidRPr="62C05239" w:rsidR="3F2C3A9B">
        <w:rPr>
          <w:rFonts w:ascii="Times New Roman" w:hAnsi="Times New Roman"/>
          <w:sz w:val="24"/>
        </w:rPr>
        <w:t xml:space="preserve">Where </w:t>
      </w:r>
      <w:r w:rsidRPr="62C05239" w:rsidR="1DCA2E7D">
        <w:rPr>
          <w:rFonts w:ascii="Times New Roman" w:hAnsi="Times New Roman"/>
          <w:sz w:val="24"/>
        </w:rPr>
        <w:t xml:space="preserve">the relevant RAGAGEP is phrased as the </w:t>
      </w:r>
      <w:r w:rsidRPr="62C05239" w:rsidR="4884402E">
        <w:rPr>
          <w:rFonts w:ascii="Times New Roman" w:hAnsi="Times New Roman"/>
          <w:sz w:val="24"/>
        </w:rPr>
        <w:t xml:space="preserve">owner or operator “should” undertake an action, </w:t>
      </w:r>
      <w:r w:rsidRPr="62C05239" w:rsidR="2BEE1D4F">
        <w:rPr>
          <w:rFonts w:ascii="Times New Roman" w:hAnsi="Times New Roman"/>
          <w:sz w:val="24"/>
        </w:rPr>
        <w:t xml:space="preserve">EPA would expect </w:t>
      </w:r>
      <w:r w:rsidRPr="003B609D" w:rsidR="003B609D">
        <w:rPr>
          <w:rFonts w:ascii="Times New Roman" w:hAnsi="Times New Roman"/>
          <w:sz w:val="24"/>
        </w:rPr>
        <w:t>the owner or operator to evaluate whether its chosen RAGAGEP reflects recognized and generally accepted good engineering practices</w:t>
      </w:r>
      <w:r w:rsidRPr="005C5A5E" w:rsidR="005C5A5E">
        <w:rPr>
          <w:rFonts w:ascii="Times New Roman" w:hAnsi="Times New Roman"/>
          <w:sz w:val="24"/>
        </w:rPr>
        <w:t xml:space="preserve">, document that the owner or operator reviewed the most recent version of </w:t>
      </w:r>
      <w:r w:rsidRPr="005C5A5E" w:rsidR="008E31E1">
        <w:rPr>
          <w:rFonts w:ascii="Times New Roman" w:hAnsi="Times New Roman"/>
          <w:sz w:val="24"/>
        </w:rPr>
        <w:t>RAGAGEP and</w:t>
      </w:r>
      <w:r w:rsidRPr="005C5A5E" w:rsidR="005C5A5E">
        <w:rPr>
          <w:rFonts w:ascii="Times New Roman" w:hAnsi="Times New Roman"/>
          <w:sz w:val="24"/>
        </w:rPr>
        <w:t xml:space="preserve"> address any safety gaps as required by 40 C.F.R 68.67(c)(10).</w:t>
      </w:r>
    </w:p>
    <w:p w:rsidR="00021D11" w:rsidP="00021D11" w14:paraId="29D5C9F1" w14:textId="34CA6386">
      <w:pPr>
        <w:rPr>
          <w:rFonts w:ascii="Times New Roman" w:hAnsi="Times New Roman"/>
          <w:sz w:val="24"/>
        </w:rPr>
      </w:pPr>
      <w:r w:rsidRPr="005472E4">
        <w:rPr>
          <w:rFonts w:ascii="Times New Roman" w:hAnsi="Times New Roman"/>
          <w:b/>
          <w:bCs/>
          <w:sz w:val="24"/>
        </w:rPr>
        <w:t>Comment</w:t>
      </w:r>
      <w:r>
        <w:rPr>
          <w:rFonts w:ascii="Times New Roman" w:hAnsi="Times New Roman"/>
          <w:b/>
          <w:bCs/>
          <w:sz w:val="24"/>
        </w:rPr>
        <w:t xml:space="preserve"> 14.7-0</w:t>
      </w:r>
      <w:r w:rsidR="007B36E0">
        <w:rPr>
          <w:rFonts w:ascii="Times New Roman" w:hAnsi="Times New Roman"/>
          <w:b/>
          <w:bCs/>
          <w:sz w:val="24"/>
        </w:rPr>
        <w:t>5</w:t>
      </w:r>
      <w:r w:rsidRPr="005472E4">
        <w:rPr>
          <w:rFonts w:ascii="Times New Roman" w:hAnsi="Times New Roman"/>
          <w:b/>
          <w:bCs/>
          <w:sz w:val="24"/>
        </w:rPr>
        <w:t>:</w:t>
      </w:r>
      <w:r w:rsidRPr="006F68E9">
        <w:rPr>
          <w:rFonts w:ascii="Times New Roman" w:hAnsi="Times New Roman"/>
          <w:sz w:val="24"/>
        </w:rPr>
        <w:t xml:space="preserve"> Several commenters opposed the added RAG</w:t>
      </w:r>
      <w:r>
        <w:rPr>
          <w:rFonts w:ascii="Times New Roman" w:hAnsi="Times New Roman"/>
          <w:sz w:val="24"/>
        </w:rPr>
        <w:t>A</w:t>
      </w:r>
      <w:r w:rsidRPr="006F68E9">
        <w:rPr>
          <w:rFonts w:ascii="Times New Roman" w:hAnsi="Times New Roman"/>
          <w:sz w:val="24"/>
        </w:rPr>
        <w:t>G</w:t>
      </w:r>
      <w:r>
        <w:rPr>
          <w:rFonts w:ascii="Times New Roman" w:hAnsi="Times New Roman"/>
          <w:sz w:val="24"/>
        </w:rPr>
        <w:t>E</w:t>
      </w:r>
      <w:r w:rsidRPr="006F68E9">
        <w:rPr>
          <w:rFonts w:ascii="Times New Roman" w:hAnsi="Times New Roman"/>
          <w:sz w:val="24"/>
        </w:rPr>
        <w:t>P regulations as unnecessary and duplicative, citing that it does not have a demonstratable safety benefit and that it is already included in the PSM regulations (0205, 0217, 0232, 0237).</w:t>
      </w:r>
      <w:r w:rsidRPr="005472E4">
        <w:rPr>
          <w:rFonts w:ascii="Times New Roman" w:hAnsi="Times New Roman"/>
          <w:sz w:val="24"/>
        </w:rPr>
        <w:t xml:space="preserve"> </w:t>
      </w:r>
      <w:r w:rsidRPr="006F68E9">
        <w:rPr>
          <w:rFonts w:ascii="Times New Roman" w:hAnsi="Times New Roman"/>
          <w:sz w:val="24"/>
        </w:rPr>
        <w:t>One commenter stated that EPA breaks from the longstanding application of RAGAGEP by imposing unreasonable, prescriptive requirements in the PHA. The commenter added that nowhere in the preamble did EPA analyze the safety benefit of conducting a gap analysis of RAGAGEP (0268). Relatedly, another commenter said that the gap analysis provides no corresponding accident prevention benefit, and the required gap analysis is not appropriate as part of a PHA (0233).</w:t>
      </w:r>
      <w:r>
        <w:rPr>
          <w:rFonts w:ascii="Times New Roman" w:hAnsi="Times New Roman"/>
          <w:sz w:val="24"/>
        </w:rPr>
        <w:t xml:space="preserve"> Another commenter said that EPA’s proposed</w:t>
      </w:r>
      <w:r w:rsidRPr="006F68E9">
        <w:rPr>
          <w:rFonts w:ascii="Times New Roman" w:hAnsi="Times New Roman"/>
          <w:sz w:val="24"/>
        </w:rPr>
        <w:t xml:space="preserve"> requirements have no clear safety benefit and would divert resources away from existing RMP programs and processes (</w:t>
      </w:r>
      <w:r w:rsidRPr="005105A2">
        <w:rPr>
          <w:rFonts w:ascii="Times New Roman" w:hAnsi="Times New Roman"/>
          <w:sz w:val="24"/>
        </w:rPr>
        <w:t>0233</w:t>
      </w:r>
      <w:r w:rsidR="00E46781">
        <w:rPr>
          <w:rFonts w:ascii="Times New Roman" w:hAnsi="Times New Roman"/>
          <w:sz w:val="24"/>
        </w:rPr>
        <w:t>).</w:t>
      </w:r>
    </w:p>
    <w:p w:rsidR="00021D11" w:rsidP="00021D11" w14:paraId="09B0EE9B" w14:textId="77777777">
      <w:pPr>
        <w:rPr>
          <w:rFonts w:ascii="Times New Roman" w:hAnsi="Times New Roman"/>
          <w:sz w:val="24"/>
        </w:rPr>
      </w:pPr>
      <w:r w:rsidRPr="006F68E9">
        <w:rPr>
          <w:rFonts w:ascii="Times New Roman" w:hAnsi="Times New Roman"/>
          <w:sz w:val="24"/>
        </w:rPr>
        <w:t xml:space="preserve">One of the commenters </w:t>
      </w:r>
      <w:r>
        <w:rPr>
          <w:rFonts w:ascii="Times New Roman" w:hAnsi="Times New Roman"/>
          <w:sz w:val="24"/>
        </w:rPr>
        <w:t>stated</w:t>
      </w:r>
      <w:r w:rsidRPr="006F68E9">
        <w:rPr>
          <w:rFonts w:ascii="Times New Roman" w:hAnsi="Times New Roman"/>
          <w:sz w:val="24"/>
        </w:rPr>
        <w:t xml:space="preserve"> that OSHA does not impose a duty to ensure continual RAGAGEP compliance, rather it imposes a duty to ensure safety (0237).</w:t>
      </w:r>
      <w:r>
        <w:rPr>
          <w:rFonts w:ascii="Times New Roman" w:hAnsi="Times New Roman"/>
          <w:sz w:val="24"/>
        </w:rPr>
        <w:t xml:space="preserve"> </w:t>
      </w:r>
    </w:p>
    <w:p w:rsidR="00021D11" w:rsidP="00021D11" w14:paraId="63BE71CB" w14:textId="77777777">
      <w:pPr>
        <w:rPr>
          <w:rFonts w:ascii="Times New Roman" w:hAnsi="Times New Roman"/>
          <w:sz w:val="24"/>
        </w:rPr>
      </w:pPr>
      <w:r w:rsidRPr="006F68E9">
        <w:rPr>
          <w:rFonts w:ascii="Times New Roman" w:hAnsi="Times New Roman"/>
          <w:sz w:val="24"/>
        </w:rPr>
        <w:t xml:space="preserve">Another commenter pointed to the CAA 112(r)(7)(B)(i), which requires EPA to develop reasonable regulations to account for “voluntary actions of such sources to prevent such releases and respond to such releases.” The commenter added that under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EPA failed to provide any examples of an RMP incident that would have been prevented had the RAGAGEP portion of the proposal been in place (0268).</w:t>
      </w:r>
    </w:p>
    <w:p w:rsidR="00021D11" w:rsidRPr="006F68E9" w:rsidP="00021D11" w14:paraId="1C206F83"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also said that EPA failed to acknowledge the high likelihood that the personnel time and facility resources spent analyzing the most recently promulgated RAGAGEP could detract from other core components of the PHA and thus be counterproductive to safety (0233).</w:t>
      </w:r>
    </w:p>
    <w:p w:rsidR="00021D11" w:rsidP="00021D11" w14:paraId="2362A43F" w14:textId="40F5A075">
      <w:pPr>
        <w:rPr>
          <w:rFonts w:ascii="Times New Roman" w:hAnsi="Times New Roman"/>
          <w:sz w:val="24"/>
        </w:rPr>
      </w:pPr>
      <w:r w:rsidRPr="006F68E9">
        <w:rPr>
          <w:rFonts w:ascii="Times New Roman" w:hAnsi="Times New Roman"/>
          <w:sz w:val="24"/>
        </w:rPr>
        <w:t xml:space="preserve">The commenter stated that the requirements to use the PHA to identify </w:t>
      </w:r>
      <w:r w:rsidRPr="28F556F6">
        <w:rPr>
          <w:rFonts w:ascii="Times New Roman" w:hAnsi="Times New Roman"/>
          <w:sz w:val="24"/>
        </w:rPr>
        <w:t>RAG</w:t>
      </w:r>
      <w:r w:rsidRPr="28F556F6" w:rsidR="7A34FBBA">
        <w:rPr>
          <w:rFonts w:ascii="Times New Roman" w:hAnsi="Times New Roman"/>
          <w:sz w:val="24"/>
        </w:rPr>
        <w:t>A</w:t>
      </w:r>
      <w:r w:rsidRPr="28F556F6">
        <w:rPr>
          <w:rFonts w:ascii="Times New Roman" w:hAnsi="Times New Roman"/>
          <w:sz w:val="24"/>
        </w:rPr>
        <w:t xml:space="preserve">GEP </w:t>
      </w:r>
      <w:r w:rsidRPr="006F68E9">
        <w:rPr>
          <w:rFonts w:ascii="Times New Roman" w:hAnsi="Times New Roman"/>
          <w:sz w:val="24"/>
        </w:rPr>
        <w:t xml:space="preserve">practices should not be included in the </w:t>
      </w:r>
      <w:r>
        <w:rPr>
          <w:rFonts w:ascii="Times New Roman" w:hAnsi="Times New Roman"/>
          <w:sz w:val="24"/>
        </w:rPr>
        <w:t>final rule</w:t>
      </w:r>
      <w:r w:rsidRPr="006F68E9">
        <w:rPr>
          <w:rFonts w:ascii="Times New Roman" w:hAnsi="Times New Roman"/>
          <w:sz w:val="24"/>
        </w:rPr>
        <w:t>. The commenter contended that this is an unnecessary intrusion into internal practices at a facility and does not improve good decision-making or that facility’s safety. Also, because EPA should not require disclosure of decisions not to implement PHA recommendations, including RAGAGEP decisions, the commenter said that there is no need to provide specific categories for reporting that information publicly (0215).</w:t>
      </w:r>
    </w:p>
    <w:p w:rsidR="00021D11" w:rsidRPr="00362707" w:rsidP="00021D11" w14:paraId="1A43CC72" w14:textId="77777777">
      <w:pPr>
        <w:ind w:left="720"/>
        <w:rPr>
          <w:rFonts w:ascii="Times New Roman" w:hAnsi="Times New Roman"/>
          <w:sz w:val="24"/>
          <w:shd w:val="clear" w:color="auto" w:fill="FFFFFF"/>
        </w:rPr>
      </w:pPr>
      <w:r w:rsidRPr="00362707">
        <w:rPr>
          <w:rFonts w:ascii="Times New Roman" w:hAnsi="Times New Roman"/>
          <w:b/>
          <w:bCs/>
          <w:sz w:val="24"/>
        </w:rPr>
        <w:t xml:space="preserve">EPA Response: </w:t>
      </w:r>
      <w:r w:rsidRPr="00362707">
        <w:rPr>
          <w:rFonts w:ascii="Times New Roman" w:hAnsi="Times New Roman"/>
          <w:sz w:val="24"/>
        </w:rPr>
        <w:t>As indicated in a Frequently Asked Question,</w:t>
      </w:r>
      <w:r>
        <w:rPr>
          <w:rStyle w:val="FootnoteReference"/>
          <w:rFonts w:ascii="Times New Roman" w:hAnsi="Times New Roman"/>
          <w:sz w:val="24"/>
        </w:rPr>
        <w:footnoteReference w:id="195"/>
      </w:r>
      <w:r w:rsidRPr="00362707">
        <w:rPr>
          <w:rFonts w:ascii="Times New Roman" w:hAnsi="Times New Roman"/>
          <w:sz w:val="24"/>
        </w:rPr>
        <w:t xml:space="preserve"> </w:t>
      </w:r>
      <w:r w:rsidRPr="00362707">
        <w:rPr>
          <w:rFonts w:ascii="Times New Roman" w:hAnsi="Times New Roman"/>
          <w:sz w:val="24"/>
          <w:shd w:val="clear" w:color="auto" w:fill="FFFFFF"/>
        </w:rPr>
        <w:t xml:space="preserve">EPA expects owners and operators to regularly review new and updated RAGAGEP applicable to their industry to determine where safety gaps exist within their current process. If the updated document explicitly provides that new clauses or requirements are retroactive, those updates are relevant to determining whether the owner or operator’s practice continues to </w:t>
      </w:r>
      <w:r w:rsidRPr="00362707">
        <w:rPr>
          <w:rFonts w:ascii="Times New Roman" w:hAnsi="Times New Roman"/>
          <w:sz w:val="24"/>
          <w:shd w:val="clear" w:color="auto" w:fill="FFFFFF"/>
        </w:rPr>
        <w:t xml:space="preserve">conform to RAGAGEP per 40 CFR 68.65(d)(2). Where RAGAGEP are updated to be more protective, but are not explicitly retroactive, per 40 CFR 68.65(d)(3), the owner or operator should thoroughly evaluate how their process could still be considered safe amid new industry knowledge. Simply indicating that a </w:t>
      </w:r>
      <w:r w:rsidRPr="00362707">
        <w:rPr>
          <w:rFonts w:ascii="Times New Roman" w:hAnsi="Times New Roman"/>
          <w:sz w:val="24"/>
        </w:rPr>
        <w:t>process</w:t>
      </w:r>
      <w:r w:rsidRPr="00362707">
        <w:rPr>
          <w:rFonts w:ascii="Times New Roman" w:hAnsi="Times New Roman"/>
          <w:sz w:val="24"/>
          <w:shd w:val="clear" w:color="auto" w:fill="FFFFFF"/>
        </w:rPr>
        <w:t xml:space="preserve"> incident has yet to occur is an inappropriate evaluation for choosing not to adhere to updated RAGAGEP, especially considering changes to RAGAGEP may result from industry accidents, industry operating experience, and improved understanding of existing and newly recognized hazards. Oftentimes it will be difficult for the owner or operator to document equipment is designed, maintained, inspected, </w:t>
      </w:r>
      <w:r w:rsidRPr="00362707">
        <w:rPr>
          <w:rFonts w:ascii="Times New Roman" w:hAnsi="Times New Roman"/>
          <w:sz w:val="24"/>
        </w:rPr>
        <w:t>testing</w:t>
      </w:r>
      <w:r w:rsidRPr="00362707">
        <w:rPr>
          <w:rFonts w:ascii="Times New Roman" w:hAnsi="Times New Roman"/>
          <w:sz w:val="24"/>
          <w:shd w:val="clear" w:color="auto" w:fill="FFFFFF"/>
        </w:rPr>
        <w:t>, and operat</w:t>
      </w:r>
      <w:r w:rsidRPr="00362707">
        <w:rPr>
          <w:rFonts w:ascii="Times New Roman" w:hAnsi="Times New Roman"/>
          <w:sz w:val="24"/>
        </w:rPr>
        <w:t>ing</w:t>
      </w:r>
      <w:r w:rsidRPr="00362707">
        <w:rPr>
          <w:rFonts w:ascii="Times New Roman" w:hAnsi="Times New Roman"/>
          <w:sz w:val="24"/>
          <w:shd w:val="clear" w:color="auto" w:fill="FFFFFF"/>
        </w:rPr>
        <w:t xml:space="preserve"> in a safe manner when there is extensive industry knowledge that indicates aspects of older process operations are no longer safe. </w:t>
      </w:r>
    </w:p>
    <w:p w:rsidR="00021D11" w:rsidRPr="00362707" w:rsidP="00021D11" w14:paraId="3606F6CC" w14:textId="0C0DB86D">
      <w:pPr>
        <w:ind w:left="720"/>
        <w:rPr>
          <w:rFonts w:ascii="Times New Roman" w:hAnsi="Times New Roman"/>
          <w:sz w:val="24"/>
        </w:rPr>
      </w:pPr>
      <w:r w:rsidRPr="00362707">
        <w:rPr>
          <w:rFonts w:ascii="Times New Roman" w:hAnsi="Times New Roman"/>
          <w:sz w:val="24"/>
          <w:shd w:val="clear" w:color="auto" w:fill="FFFFFF"/>
        </w:rPr>
        <w:t xml:space="preserve">Evaluation of updated RAGAGEP already </w:t>
      </w:r>
      <w:r w:rsidR="00323F1A">
        <w:rPr>
          <w:rFonts w:ascii="Times New Roman" w:hAnsi="Times New Roman"/>
          <w:sz w:val="24"/>
          <w:shd w:val="clear" w:color="auto" w:fill="FFFFFF"/>
        </w:rPr>
        <w:t>is</w:t>
      </w:r>
      <w:r w:rsidRPr="00362707">
        <w:rPr>
          <w:rFonts w:ascii="Times New Roman" w:hAnsi="Times New Roman"/>
          <w:sz w:val="24"/>
          <w:shd w:val="clear" w:color="auto" w:fill="FFFFFF"/>
        </w:rPr>
        <w:t xml:space="preserve"> an RMP requirement, as shown in enforcement actions against facilities not complying with this provision.</w:t>
      </w:r>
      <w:r w:rsidRPr="00362707">
        <w:rPr>
          <w:rFonts w:ascii="Times New Roman" w:hAnsi="Times New Roman"/>
          <w:sz w:val="24"/>
        </w:rPr>
        <w:t xml:space="preserve"> For example, in 2022, EPA took an enforcement action against a refinery in Hawaii that failed to comply with the latest versions of applicable refining industry standards, API Recommended Practice 941, “Steels for Hydrogen Service at Elevated Temperatures” (8</w:t>
      </w:r>
      <w:r w:rsidRPr="00362707">
        <w:rPr>
          <w:rFonts w:ascii="Times New Roman" w:hAnsi="Times New Roman"/>
          <w:sz w:val="24"/>
          <w:vertAlign w:val="superscript"/>
        </w:rPr>
        <w:t>th</w:t>
      </w:r>
      <w:r w:rsidRPr="00362707">
        <w:rPr>
          <w:rFonts w:ascii="Times New Roman" w:hAnsi="Times New Roman"/>
          <w:sz w:val="24"/>
        </w:rPr>
        <w:t xml:space="preserve"> edition, February 2016), and 581, “Risk Based Inspection” (3</w:t>
      </w:r>
      <w:r w:rsidRPr="00362707">
        <w:rPr>
          <w:rFonts w:ascii="Times New Roman" w:hAnsi="Times New Roman"/>
          <w:sz w:val="24"/>
          <w:vertAlign w:val="superscript"/>
        </w:rPr>
        <w:t>rd</w:t>
      </w:r>
      <w:r w:rsidRPr="00362707">
        <w:rPr>
          <w:rFonts w:ascii="Times New Roman" w:hAnsi="Times New Roman"/>
          <w:sz w:val="24"/>
        </w:rPr>
        <w:t xml:space="preserve"> edition, April 2016).</w:t>
      </w:r>
      <w:r>
        <w:rPr>
          <w:rStyle w:val="FootnoteReference"/>
          <w:rFonts w:ascii="Times New Roman" w:hAnsi="Times New Roman"/>
          <w:sz w:val="24"/>
        </w:rPr>
        <w:footnoteReference w:id="196"/>
      </w:r>
      <w:r w:rsidRPr="00362707">
        <w:rPr>
          <w:rFonts w:ascii="Times New Roman" w:hAnsi="Times New Roman"/>
          <w:sz w:val="24"/>
        </w:rPr>
        <w:t xml:space="preserve"> In February 2021, EPA also took an enforcement action against a seafood processing facility in Massachusetts that failed to comply with the latest version (at that time) of an applicable ammonia refrigeration industry standard, International Institute of Ammonia Refrigeration (IIAR) 2-2014, “Safe Design of Closed-Circuit Ammonia Refrigeration Systems</w:t>
      </w:r>
      <w:r w:rsidRPr="00362707">
        <w:rPr>
          <w:rFonts w:ascii="Times New Roman" w:hAnsi="Times New Roman"/>
          <w:i/>
          <w:iCs/>
          <w:sz w:val="24"/>
        </w:rPr>
        <w:t>.</w:t>
      </w:r>
      <w:r w:rsidRPr="00362707">
        <w:rPr>
          <w:rFonts w:ascii="Times New Roman" w:hAnsi="Times New Roman"/>
          <w:sz w:val="24"/>
        </w:rPr>
        <w:t>”</w:t>
      </w:r>
      <w:r>
        <w:rPr>
          <w:rStyle w:val="FootnoteReference"/>
          <w:rFonts w:ascii="Times New Roman" w:hAnsi="Times New Roman"/>
          <w:sz w:val="24"/>
        </w:rPr>
        <w:footnoteReference w:id="197"/>
      </w:r>
      <w:r w:rsidRPr="00362707">
        <w:rPr>
          <w:rFonts w:ascii="Times New Roman" w:hAnsi="Times New Roman"/>
          <w:sz w:val="24"/>
        </w:rPr>
        <w:t xml:space="preserve"> In both cases, the processes at these facilities were built prior to the updated RAGAGEP cited. </w:t>
      </w:r>
    </w:p>
    <w:p w:rsidR="00021D11" w:rsidP="00021D11" w14:paraId="20B5FA08" w14:textId="7D515F8C">
      <w:pPr>
        <w:rPr>
          <w:rFonts w:ascii="Times New Roman" w:hAnsi="Times New Roman"/>
          <w:sz w:val="24"/>
        </w:rPr>
      </w:pPr>
      <w:r w:rsidRPr="00542F7A">
        <w:rPr>
          <w:rFonts w:ascii="Times New Roman" w:hAnsi="Times New Roman"/>
          <w:b/>
          <w:bCs/>
          <w:sz w:val="24"/>
        </w:rPr>
        <w:t>Comment</w:t>
      </w:r>
      <w:r>
        <w:rPr>
          <w:rFonts w:ascii="Times New Roman" w:hAnsi="Times New Roman"/>
          <w:b/>
          <w:bCs/>
          <w:sz w:val="24"/>
        </w:rPr>
        <w:t xml:space="preserve"> 14.7-0</w:t>
      </w:r>
      <w:r w:rsidR="00DA7D5A">
        <w:rPr>
          <w:rFonts w:ascii="Times New Roman" w:hAnsi="Times New Roman"/>
          <w:b/>
          <w:bCs/>
          <w:sz w:val="24"/>
        </w:rPr>
        <w:t>6</w:t>
      </w:r>
      <w:r w:rsidRPr="00B359A4">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Several commenters contended that the effort to find and explain any safety gaps between current codes, standards, or practices of a system built to codes is unnecessary. The commenters added that to require facilities to include this information in their risk management plans would result in unnecessary costs on facilities (0184, 0205, 0232, 0233, 0234, 0237, 0253, 0268, 0272).</w:t>
      </w:r>
    </w:p>
    <w:p w:rsidR="00021D11" w:rsidRPr="006F68E9" w:rsidP="00021D11" w14:paraId="0045C2BA" w14:textId="77777777">
      <w:pPr>
        <w:rPr>
          <w:rFonts w:ascii="Times New Roman" w:hAnsi="Times New Roman"/>
          <w:sz w:val="24"/>
        </w:rPr>
      </w:pPr>
      <w:r w:rsidRPr="006F68E9">
        <w:rPr>
          <w:rFonts w:ascii="Times New Roman" w:hAnsi="Times New Roman"/>
          <w:sz w:val="24"/>
        </w:rPr>
        <w:t>One commenter said that it is generally both unnecessary and infeasible for owners and operators to keep their processes compliant with recent changes in updated RAGAGEP, noting that the RAGAGEP itself recognizes this. The commenter pointed out that many consensus standards identify changes to updated standards with indications of whether the changes are “retroactive,” but few changes are so marked because updates to RAGAGEP are in the nature of continuous incremental improvements, rather than newly recognized step changes essential to process safety (0215).</w:t>
      </w:r>
    </w:p>
    <w:p w:rsidR="00021D11" w:rsidP="00021D11" w14:paraId="0F4C076E" w14:textId="77777777">
      <w:pPr>
        <w:rPr>
          <w:rFonts w:ascii="Times New Roman" w:hAnsi="Times New Roman"/>
          <w:sz w:val="24"/>
        </w:rPr>
      </w:pPr>
      <w:r w:rsidRPr="006F68E9">
        <w:rPr>
          <w:rFonts w:ascii="Times New Roman" w:hAnsi="Times New Roman"/>
          <w:sz w:val="24"/>
        </w:rPr>
        <w:t xml:space="preserve">A few commenters </w:t>
      </w:r>
      <w:r>
        <w:rPr>
          <w:rFonts w:ascii="Times New Roman" w:hAnsi="Times New Roman"/>
          <w:sz w:val="24"/>
        </w:rPr>
        <w:t>said</w:t>
      </w:r>
      <w:r w:rsidRPr="006F68E9">
        <w:rPr>
          <w:rFonts w:ascii="Times New Roman" w:hAnsi="Times New Roman"/>
          <w:sz w:val="24"/>
        </w:rPr>
        <w:t xml:space="preserve"> that EPA’s failure to consider costs in the RIA deprives the public of an opportunity to assess the full costs and benefits of the proposal (0253, 0268, 0272).</w:t>
      </w:r>
    </w:p>
    <w:p w:rsidR="00021D11" w:rsidRPr="00422C8F" w:rsidP="00021D11" w14:paraId="72C5C0BB" w14:textId="689957E1">
      <w:pPr>
        <w:ind w:left="720"/>
        <w:rPr>
          <w:rFonts w:ascii="Times New Roman" w:hAnsi="Times New Roman"/>
          <w:sz w:val="24"/>
        </w:rPr>
      </w:pPr>
      <w:r w:rsidRPr="00422C8F">
        <w:rPr>
          <w:rFonts w:ascii="Times New Roman" w:hAnsi="Times New Roman"/>
          <w:b/>
          <w:bCs/>
          <w:sz w:val="24"/>
        </w:rPr>
        <w:t>EPA Response:</w:t>
      </w:r>
      <w:r w:rsidRPr="00422C8F">
        <w:rPr>
          <w:rFonts w:ascii="Times New Roman" w:hAnsi="Times New Roman"/>
          <w:sz w:val="24"/>
        </w:rPr>
        <w:t xml:space="preserve"> In response to comments that EPA provided no reasonable explanation for the requirement, there would be difficulty in implementing the provision, and costs </w:t>
      </w:r>
      <w:r w:rsidRPr="00422C8F">
        <w:rPr>
          <w:rFonts w:ascii="Times New Roman" w:hAnsi="Times New Roman"/>
          <w:sz w:val="24"/>
        </w:rPr>
        <w:t xml:space="preserve">for the requirement were not considered, EPA notes that this RAGAGEP gap analysis is already expected under </w:t>
      </w:r>
      <w:bookmarkStart w:id="173" w:name="_Hlk129765802"/>
      <w:r w:rsidRPr="00422C8F">
        <w:rPr>
          <w:rFonts w:ascii="Times New Roman" w:hAnsi="Times New Roman"/>
          <w:sz w:val="24"/>
        </w:rPr>
        <w:t xml:space="preserve">40 CFR 68.65(d)(2) and (3) </w:t>
      </w:r>
      <w:bookmarkEnd w:id="173"/>
      <w:r w:rsidRPr="00422C8F">
        <w:rPr>
          <w:rFonts w:ascii="Times New Roman" w:hAnsi="Times New Roman"/>
          <w:sz w:val="24"/>
        </w:rPr>
        <w:t>for Program 3 processes. EPA notes this PHA modification merely clarifies when facilities must, at minimum, conduct or review previous analyses when determining their compliance with 40 CFR 68.65(d)(2) and (3). Therefore, EPA does not believe that the Agency must consider and assess the costs of this provision in the RIA</w:t>
      </w:r>
      <w:r w:rsidRPr="69329E45" w:rsidR="007676D8">
        <w:rPr>
          <w:rFonts w:ascii="Times New Roman" w:hAnsi="Times New Roman"/>
          <w:sz w:val="24"/>
        </w:rPr>
        <w:t xml:space="preserve"> as sources already should be in compliance</w:t>
      </w:r>
      <w:r w:rsidRPr="69329E45">
        <w:rPr>
          <w:rFonts w:ascii="Times New Roman" w:hAnsi="Times New Roman"/>
          <w:sz w:val="24"/>
        </w:rPr>
        <w:t>.</w:t>
      </w:r>
    </w:p>
    <w:p w:rsidR="00021D11" w:rsidP="00021D11" w14:paraId="277FAFDE" w14:textId="1E2D9A28">
      <w:pPr>
        <w:rPr>
          <w:rFonts w:ascii="Times New Roman" w:hAnsi="Times New Roman"/>
          <w:sz w:val="24"/>
        </w:rPr>
      </w:pPr>
      <w:r w:rsidRPr="0002312D">
        <w:rPr>
          <w:rFonts w:ascii="Times New Roman" w:hAnsi="Times New Roman"/>
          <w:b/>
          <w:bCs/>
          <w:sz w:val="24"/>
        </w:rPr>
        <w:t>Comment</w:t>
      </w:r>
      <w:r>
        <w:rPr>
          <w:rFonts w:ascii="Times New Roman" w:hAnsi="Times New Roman"/>
          <w:b/>
          <w:bCs/>
          <w:sz w:val="24"/>
        </w:rPr>
        <w:t xml:space="preserve"> 14.7-0</w:t>
      </w:r>
      <w:r w:rsidR="00DA7D5A">
        <w:rPr>
          <w:rFonts w:ascii="Times New Roman" w:hAnsi="Times New Roman"/>
          <w:b/>
          <w:bCs/>
          <w:sz w:val="24"/>
        </w:rPr>
        <w:t>7</w:t>
      </w:r>
      <w:r w:rsidRPr="0002312D">
        <w:rPr>
          <w:rFonts w:ascii="Times New Roman" w:hAnsi="Times New Roman"/>
          <w:b/>
          <w:bCs/>
          <w:sz w:val="24"/>
        </w:rPr>
        <w:t>:</w:t>
      </w:r>
      <w:r>
        <w:rPr>
          <w:rFonts w:ascii="Times New Roman" w:hAnsi="Times New Roman"/>
          <w:sz w:val="24"/>
        </w:rPr>
        <w:t xml:space="preserve"> Many commenters addressed the feasibility of implementing the proposed RAGAGEP gap analysis requirements. </w:t>
      </w:r>
    </w:p>
    <w:p w:rsidR="00021D11" w:rsidP="00021D11" w14:paraId="688A8CEC" w14:textId="77777777">
      <w:pPr>
        <w:rPr>
          <w:rFonts w:ascii="Times New Roman" w:hAnsi="Times New Roman"/>
          <w:sz w:val="24"/>
        </w:rPr>
      </w:pPr>
      <w:r w:rsidRPr="006F68E9">
        <w:rPr>
          <w:rFonts w:ascii="Times New Roman" w:hAnsi="Times New Roman"/>
          <w:sz w:val="24"/>
        </w:rPr>
        <w:t xml:space="preserve">A few commenters stated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is of no benefit if older equipment is still accepted under RAGAGEPs or if they are not adequately covered under newer RAGAGEPs. The commenters added that a PHA is not the correct tool to perform the RAGAGEP gap analysis (0181, 0237, 0262). </w:t>
      </w:r>
    </w:p>
    <w:p w:rsidR="00021D11" w:rsidP="00021D11" w14:paraId="264D1932" w14:textId="77777777">
      <w:pPr>
        <w:rPr>
          <w:rFonts w:ascii="Times New Roman" w:hAnsi="Times New Roman"/>
          <w:sz w:val="24"/>
        </w:rPr>
      </w:pPr>
      <w:r w:rsidRPr="006F68E9">
        <w:rPr>
          <w:rFonts w:ascii="Times New Roman" w:hAnsi="Times New Roman"/>
          <w:sz w:val="24"/>
        </w:rPr>
        <w:t xml:space="preserve">Another commenter </w:t>
      </w:r>
      <w:r>
        <w:rPr>
          <w:rFonts w:ascii="Times New Roman" w:hAnsi="Times New Roman"/>
          <w:sz w:val="24"/>
        </w:rPr>
        <w:t>said</w:t>
      </w:r>
      <w:r w:rsidRPr="006F68E9">
        <w:rPr>
          <w:rFonts w:ascii="Times New Roman" w:hAnsi="Times New Roman"/>
          <w:sz w:val="24"/>
        </w:rPr>
        <w:t xml:space="preserve"> that equipment built to RAGAGEP code is expected to comply with it for the life of the equipment unless it is significantly modified to subject it to more recent codes. The commenter added that although design codes and standards change over time, it is unusual for any code enforcement agency to require the process to be continually modified to reflect current RAGAGEP. The commenter also said that OSHA tried to enforce something similar and was informed by court order they could not (0173).</w:t>
      </w:r>
    </w:p>
    <w:p w:rsidR="00021D11" w:rsidRPr="006F68E9" w:rsidP="00021D11" w14:paraId="76CC565F" w14:textId="77777777">
      <w:pPr>
        <w:rPr>
          <w:rFonts w:ascii="Times New Roman" w:hAnsi="Times New Roman"/>
          <w:sz w:val="24"/>
        </w:rPr>
      </w:pPr>
      <w:r w:rsidRPr="006F68E9">
        <w:rPr>
          <w:rFonts w:ascii="Times New Roman" w:hAnsi="Times New Roman"/>
          <w:sz w:val="24"/>
        </w:rPr>
        <w:t xml:space="preserve">One commenter pointed out that the existing RMP regulations already address gaps in RAGAGEP through the process safety information requirement, 40 CFR § 68.65(d)(3) (0272). </w:t>
      </w:r>
    </w:p>
    <w:p w:rsidR="00021D11" w:rsidP="00021D11" w14:paraId="181A7818" w14:textId="77777777">
      <w:pPr>
        <w:rPr>
          <w:rFonts w:ascii="Times New Roman" w:hAnsi="Times New Roman"/>
          <w:sz w:val="24"/>
        </w:rPr>
      </w:pPr>
      <w:r w:rsidRPr="006F68E9">
        <w:rPr>
          <w:rFonts w:ascii="Times New Roman" w:hAnsi="Times New Roman"/>
          <w:sz w:val="24"/>
        </w:rPr>
        <w:t>Although another commenter said they did not oppose a clarification to require consideration of the gap between as-built RAGAGEP and current RAGAGEP, they stated that the RMP rule already requires evaluation of whether current equipment built using outdated codes is still safe (0215).</w:t>
      </w:r>
    </w:p>
    <w:p w:rsidR="00021D11" w:rsidRPr="006F68E9" w:rsidP="00021D11" w14:paraId="4A7DF4AE" w14:textId="77777777">
      <w:pPr>
        <w:rPr>
          <w:rFonts w:ascii="Times New Roman" w:hAnsi="Times New Roman"/>
          <w:sz w:val="24"/>
        </w:rPr>
      </w:pPr>
      <w:r w:rsidRPr="006F68E9">
        <w:rPr>
          <w:rFonts w:ascii="Times New Roman" w:hAnsi="Times New Roman"/>
          <w:sz w:val="24"/>
        </w:rPr>
        <w:t>One commenter pointed out that industry standards are locked into place once a facility is constructed and each facility is designed, engineered, and built according to the standards of that time. The commenter added that in some cases it would be impossible to document that equipment, which may be 20 or 30 years old, to comply with RAGAGEP when RAGAGEP continually changes (0207).</w:t>
      </w:r>
    </w:p>
    <w:p w:rsidR="00021D11" w:rsidP="00021D11" w14:paraId="43F6A214" w14:textId="77777777">
      <w:pPr>
        <w:rPr>
          <w:rFonts w:ascii="Times New Roman" w:hAnsi="Times New Roman"/>
          <w:sz w:val="24"/>
        </w:rPr>
      </w:pPr>
      <w:r w:rsidRPr="006F68E9">
        <w:rPr>
          <w:rFonts w:ascii="Times New Roman" w:hAnsi="Times New Roman"/>
          <w:sz w:val="24"/>
        </w:rPr>
        <w:t xml:space="preserve">Another commenter expressed concern that the proposed RAGAGEP provision could create misinterpretation, leading to judging a process on current RAGAGEP, which could result in costly changes to a process that was properly designed and built to older RAGAGEP. The commenter added that as approved by a facility or required by the AHJ, the operating and maintenance practices and procedures should follow current RAGAGEP from the industry and should also incorporate manufacturers recommendations; however, if there is some issue relating to safety a recommendation it should be remedied. The commenter also </w:t>
      </w:r>
      <w:r>
        <w:rPr>
          <w:rFonts w:ascii="Times New Roman" w:hAnsi="Times New Roman"/>
          <w:sz w:val="24"/>
        </w:rPr>
        <w:t>stated</w:t>
      </w:r>
      <w:r w:rsidRPr="006F68E9">
        <w:rPr>
          <w:rFonts w:ascii="Times New Roman" w:hAnsi="Times New Roman"/>
          <w:sz w:val="24"/>
        </w:rPr>
        <w:t xml:space="preserve"> that documenting the rationale of why a recommendation is declined should already be done under “</w:t>
      </w:r>
      <w:r w:rsidRPr="006F68E9">
        <w:rPr>
          <w:rFonts w:ascii="Times New Roman" w:hAnsi="Times New Roman"/>
          <w:i/>
          <w:iCs/>
          <w:sz w:val="24"/>
        </w:rPr>
        <w:t>Actions taken/Supporting Documentation</w:t>
      </w:r>
      <w:r w:rsidRPr="006F68E9">
        <w:rPr>
          <w:rFonts w:ascii="Times New Roman" w:hAnsi="Times New Roman"/>
          <w:sz w:val="24"/>
        </w:rPr>
        <w:t>” as shown in the IIAR PSM/RMP guidelines for doing a PHA (0184).</w:t>
      </w:r>
    </w:p>
    <w:p w:rsidR="00021D11" w:rsidP="00021D11" w14:paraId="67B4AD2F" w14:textId="77777777">
      <w:pPr>
        <w:rPr>
          <w:rFonts w:ascii="Times New Roman" w:hAnsi="Times New Roman"/>
          <w:sz w:val="24"/>
        </w:rPr>
      </w:pPr>
      <w:r w:rsidRPr="006F68E9">
        <w:rPr>
          <w:rFonts w:ascii="Times New Roman" w:hAnsi="Times New Roman"/>
          <w:sz w:val="24"/>
        </w:rPr>
        <w:t>A couple of commenters suggested that the proposal to report recommendations declined from the gap analysis would invite second-guessing and be misunderstood by the public (0233, 0262).</w:t>
      </w:r>
    </w:p>
    <w:p w:rsidR="00021D11" w:rsidP="00021D11" w14:paraId="1964CEB3" w14:textId="729585F3">
      <w:pPr>
        <w:rPr>
          <w:rFonts w:ascii="Times New Roman" w:hAnsi="Times New Roman"/>
          <w:sz w:val="24"/>
        </w:rPr>
      </w:pPr>
      <w:r w:rsidRPr="006F68E9">
        <w:rPr>
          <w:rFonts w:ascii="Times New Roman" w:hAnsi="Times New Roman"/>
          <w:sz w:val="24"/>
        </w:rPr>
        <w:t xml:space="preserve">The commenter </w:t>
      </w:r>
      <w:r>
        <w:rPr>
          <w:rFonts w:ascii="Times New Roman" w:hAnsi="Times New Roman"/>
          <w:sz w:val="24"/>
        </w:rPr>
        <w:t>stated</w:t>
      </w:r>
      <w:r w:rsidRPr="006F68E9">
        <w:rPr>
          <w:rFonts w:ascii="Times New Roman" w:hAnsi="Times New Roman"/>
          <w:sz w:val="24"/>
        </w:rPr>
        <w:t xml:space="preserve"> that the proposed gap analysis ignores several practical difficulties in implementation, such as how facilities are to identify the most current version of applicable </w:t>
      </w:r>
      <w:r w:rsidRPr="006F68E9">
        <w:rPr>
          <w:rFonts w:ascii="Times New Roman" w:hAnsi="Times New Roman"/>
          <w:sz w:val="24"/>
        </w:rPr>
        <w:t>RAGAGEP, how they are to account for non-mandatory RAGAGEP provisions in the analysis, and how this analysis can be completed in a timely manner. The commenter added that the proposed requirement ignores existing obligations to determine and document that equipment designed and constructed is in accordance with RAGAGEP (0233</w:t>
      </w:r>
      <w:r w:rsidRPr="006F68E9" w:rsidR="00D57123">
        <w:rPr>
          <w:rFonts w:ascii="Times New Roman" w:hAnsi="Times New Roman"/>
          <w:sz w:val="24"/>
        </w:rPr>
        <w:t>). The</w:t>
      </w:r>
      <w:r w:rsidRPr="006F68E9">
        <w:rPr>
          <w:rFonts w:ascii="Times New Roman" w:hAnsi="Times New Roman"/>
          <w:sz w:val="24"/>
        </w:rPr>
        <w:t xml:space="preserve"> commenter asked EPA to allow PHA teams to focus on process hazards using appropriate team members and methodologies, and not detract from the PHA by burdening it with extraneous requirements, such as STAA, RAGAGEP gap analysis, and natural hazard evaluations. The commenter added that EPA failed to consider how the gap analysis requirement may be inappropriate for and reduce effectiveness of the PHA by cluttering the PHA process with an extra analytical requirement that the PHA team may be ill-suited to perform (0233).</w:t>
      </w:r>
    </w:p>
    <w:p w:rsidR="00021D11" w:rsidP="00021D11" w14:paraId="4B5A6EB6" w14:textId="77777777">
      <w:pPr>
        <w:rPr>
          <w:rFonts w:ascii="Times New Roman" w:hAnsi="Times New Roman"/>
          <w:sz w:val="24"/>
        </w:rPr>
      </w:pPr>
      <w:r w:rsidRPr="006F68E9">
        <w:rPr>
          <w:rFonts w:ascii="Times New Roman" w:hAnsi="Times New Roman"/>
          <w:sz w:val="24"/>
        </w:rPr>
        <w:t>The commenter pointed out that the proposed gap analysis requirement is inappropriate for the PHA because it would require the PHA team to perform a function that it is ill-suited to perform, namely a comparative evaluation of codes, standards, and practices. The commenter added that incorporation of the gap analysis requirement will over-extend the PHA team and divert time and resources from the principal purpose of the PHA process: to identify, evaluate, and control hazards in a process as it exists (0233).</w:t>
      </w:r>
    </w:p>
    <w:p w:rsidR="00141ABF" w:rsidP="00021D11" w14:paraId="429EB2C3" w14:textId="511943ED">
      <w:pPr>
        <w:ind w:left="720"/>
        <w:rPr>
          <w:rFonts w:ascii="Times New Roman" w:hAnsi="Times New Roman"/>
          <w:sz w:val="24"/>
        </w:rPr>
      </w:pPr>
      <w:r w:rsidRPr="00E16568">
        <w:rPr>
          <w:rFonts w:ascii="Times New Roman" w:hAnsi="Times New Roman"/>
          <w:b/>
          <w:bCs/>
          <w:sz w:val="24"/>
        </w:rPr>
        <w:t>EPA Response:</w:t>
      </w:r>
      <w:r>
        <w:rPr>
          <w:rFonts w:ascii="Times New Roman" w:hAnsi="Times New Roman"/>
          <w:b/>
          <w:bCs/>
          <w:sz w:val="24"/>
        </w:rPr>
        <w:t xml:space="preserve"> </w:t>
      </w:r>
      <w:r w:rsidRPr="00141ABF">
        <w:rPr>
          <w:rFonts w:ascii="Times New Roman" w:hAnsi="Times New Roman"/>
          <w:sz w:val="24"/>
        </w:rPr>
        <w:t>EPA notes that this RAGAGEP gap analysis is already expected under 40 CFR 68.65(d)(2) and (3) for Program 3 processes. EPA notes this PHA modification merely clarifies when facilities must, at minimum, conduct or review previous analyses when determining their compliance with 40 CFR 68.65(d)(2) and (3).</w:t>
      </w:r>
    </w:p>
    <w:p w:rsidR="00397154" w:rsidRPr="00397154" w:rsidP="00021D11" w14:paraId="7A02CEE7" w14:textId="487AE341">
      <w:pPr>
        <w:ind w:left="720"/>
        <w:rPr>
          <w:rFonts w:ascii="Times New Roman" w:hAnsi="Times New Roman"/>
          <w:sz w:val="24"/>
        </w:rPr>
      </w:pPr>
      <w:r w:rsidRPr="00397154">
        <w:rPr>
          <w:rFonts w:ascii="Times New Roman" w:hAnsi="Times New Roman"/>
          <w:sz w:val="24"/>
        </w:rPr>
        <w:t xml:space="preserve">As indicated in a Frequently Asked </w:t>
      </w:r>
      <w:r w:rsidRPr="00397154" w:rsidR="00B064C1">
        <w:rPr>
          <w:rFonts w:ascii="Times New Roman" w:hAnsi="Times New Roman"/>
          <w:sz w:val="24"/>
        </w:rPr>
        <w:t>Question</w:t>
      </w:r>
      <w:r>
        <w:rPr>
          <w:rStyle w:val="FootnoteReference"/>
          <w:rFonts w:ascii="Times New Roman" w:hAnsi="Times New Roman"/>
          <w:sz w:val="24"/>
        </w:rPr>
        <w:footnoteReference w:id="198"/>
      </w:r>
      <w:r w:rsidRPr="00397154" w:rsidR="00B064C1">
        <w:rPr>
          <w:rFonts w:ascii="Times New Roman" w:hAnsi="Times New Roman"/>
          <w:sz w:val="24"/>
        </w:rPr>
        <w:t>, EPA</w:t>
      </w:r>
      <w:r w:rsidRPr="00397154">
        <w:rPr>
          <w:rFonts w:ascii="Times New Roman" w:hAnsi="Times New Roman"/>
          <w:sz w:val="24"/>
        </w:rPr>
        <w:t xml:space="preserve"> expects owners and operators to regularly review new and updated RAGAGEP applicable to their industry to determine where safety gaps exist within their current process. If the updated document explicitly provides that new clauses or requirements are retroactive, those updates are relevant to determining whether the owner or operator’s practice continues to conform to RAGAGEP per 40 CFR 68.65(d)(2). Where RAGAGEP are updated to be more protective, but are not explicitly retroactive, per 40 CFR 68.65(d)(3), the owner or operator should thoroughly evaluate how their process could still be considered safe amid new industry knowledge. Simply indicating that a process incident has yet to occur is an inappropriate evaluation for choosing not to adhere to updated RAGAGEP, especially considering changes to RAGAGEP may result from industry accidents, industry operating experience, and improved understanding of existing and newly recognized hazards. Oftentimes it will be difficult for the owner or operator to document equipment is designed, maintained, inspected, testing, and operating in a safe manner when there is extensive industry knowledge that indicates aspects of older process operations are no longer safe.</w:t>
      </w:r>
    </w:p>
    <w:p w:rsidR="008C3F47" w:rsidP="00BA5225" w14:paraId="5C5A9AFF" w14:textId="77777777">
      <w:pPr>
        <w:ind w:left="720"/>
        <w:rPr>
          <w:rFonts w:ascii="Times New Roman" w:hAnsi="Times New Roman"/>
          <w:sz w:val="24"/>
        </w:rPr>
      </w:pPr>
      <w:r w:rsidRPr="0055286A">
        <w:rPr>
          <w:rFonts w:ascii="Times New Roman" w:hAnsi="Times New Roman"/>
          <w:sz w:val="24"/>
        </w:rPr>
        <w:t xml:space="preserve">EPA disagrees that the RAGAGEP analysis is ill-suited for the PHA team to perform. PHA teams should include staff who are aware of industry design standards. The PHA team requirement under 40 CFR 68.67(d) specifies that the PHA shall be performed by a team with expertise in engineering and process operations, and EPA expects an expert to be one that has knowledge of current industry standards. Additionally, industry trade associations are likely to ease the burden on facilities by identifying which of their </w:t>
      </w:r>
      <w:r w:rsidRPr="0055286A">
        <w:rPr>
          <w:rFonts w:ascii="Times New Roman" w:hAnsi="Times New Roman"/>
          <w:sz w:val="24"/>
        </w:rPr>
        <w:t>current RAGAGEP should be broadly applied to the industry, regardless of when the process was designed. For example, the ammonia refrigeration industry has already done so, specifically in the ANSI/IIAR Standard 9-2020, “American National Standard for Minimum System Safety Requirements for Existing Closed-Circuit Ammonia Refrigeration Systems.”</w:t>
      </w:r>
    </w:p>
    <w:p w:rsidR="00BA5225" w:rsidP="00BA5225" w14:paraId="4729607F" w14:textId="7E65D595">
      <w:pPr>
        <w:ind w:left="720"/>
        <w:rPr>
          <w:rFonts w:ascii="Times New Roman" w:hAnsi="Times New Roman"/>
          <w:sz w:val="24"/>
        </w:rPr>
      </w:pPr>
      <w:r w:rsidRPr="008C3F47">
        <w:rPr>
          <w:rFonts w:ascii="Times New Roman" w:hAnsi="Times New Roman"/>
          <w:sz w:val="24"/>
        </w:rPr>
        <w:t>For many years, EPA and OSHA have established a regular meeting to consult with the DOL and coordinate the PSM and RMP programs, including but not limited to interpretation of overlapping regulatory provisions and the development of potential amendments to the rules. During several of these regular meetings (including but not limited to meetings on various dates in listed in Appendix A to this document), staff from the agencies discussed the development of the RMP SCCAP rule.</w:t>
      </w:r>
      <w:r w:rsidR="00000FA7">
        <w:rPr>
          <w:rFonts w:ascii="Times New Roman" w:hAnsi="Times New Roman"/>
          <w:sz w:val="24"/>
        </w:rPr>
        <w:t xml:space="preserve"> This </w:t>
      </w:r>
      <w:r w:rsidR="000A7599">
        <w:rPr>
          <w:rFonts w:ascii="Times New Roman" w:hAnsi="Times New Roman"/>
          <w:sz w:val="24"/>
        </w:rPr>
        <w:t xml:space="preserve">PHA </w:t>
      </w:r>
      <w:r w:rsidR="00000FA7">
        <w:rPr>
          <w:rFonts w:ascii="Times New Roman" w:hAnsi="Times New Roman"/>
          <w:sz w:val="24"/>
        </w:rPr>
        <w:t xml:space="preserve">regulatory text change was included in those discussions. </w:t>
      </w:r>
      <w:r w:rsidRPr="00BD54BA" w:rsidR="00BD54BA">
        <w:rPr>
          <w:rFonts w:ascii="Times New Roman" w:hAnsi="Times New Roman"/>
          <w:sz w:val="24"/>
        </w:rPr>
        <w:t>This PHA requirement is meant to complement OSHA’s equivalent requirement in 29 CFR 1910.119(d)(3)(iii) and provide a framework for undertaking the analysis.</w:t>
      </w:r>
    </w:p>
    <w:p w:rsidR="00021D11" w:rsidP="00021D11" w14:paraId="6C27EE96" w14:textId="3F9CD315">
      <w:pPr>
        <w:rPr>
          <w:rFonts w:ascii="Times New Roman" w:hAnsi="Times New Roman"/>
          <w:sz w:val="24"/>
        </w:rPr>
      </w:pPr>
      <w:r w:rsidRPr="00384D20">
        <w:rPr>
          <w:rFonts w:ascii="Times New Roman" w:hAnsi="Times New Roman"/>
          <w:b/>
          <w:bCs/>
          <w:sz w:val="24"/>
        </w:rPr>
        <w:t>Comment</w:t>
      </w:r>
      <w:r>
        <w:rPr>
          <w:rFonts w:ascii="Times New Roman" w:hAnsi="Times New Roman"/>
          <w:b/>
          <w:bCs/>
          <w:sz w:val="24"/>
        </w:rPr>
        <w:t xml:space="preserve"> 14.7-</w:t>
      </w:r>
      <w:r w:rsidR="007B36E0">
        <w:rPr>
          <w:rFonts w:ascii="Times New Roman" w:hAnsi="Times New Roman"/>
          <w:b/>
          <w:bCs/>
          <w:sz w:val="24"/>
        </w:rPr>
        <w:t>0</w:t>
      </w:r>
      <w:r w:rsidR="00DA7D5A">
        <w:rPr>
          <w:rFonts w:ascii="Times New Roman" w:hAnsi="Times New Roman"/>
          <w:b/>
          <w:bCs/>
          <w:sz w:val="24"/>
        </w:rPr>
        <w:t>8</w:t>
      </w:r>
      <w:r w:rsidRPr="00384D20">
        <w:rPr>
          <w:rFonts w:ascii="Times New Roman" w:hAnsi="Times New Roman"/>
          <w:b/>
          <w:bCs/>
          <w:sz w:val="24"/>
        </w:rPr>
        <w:t>:</w:t>
      </w:r>
      <w:r>
        <w:rPr>
          <w:rFonts w:ascii="Times New Roman" w:hAnsi="Times New Roman"/>
          <w:sz w:val="24"/>
        </w:rPr>
        <w:t xml:space="preserve"> One</w:t>
      </w:r>
      <w:r w:rsidRPr="005105A2">
        <w:rPr>
          <w:rFonts w:ascii="Times New Roman" w:hAnsi="Times New Roman"/>
          <w:sz w:val="24"/>
        </w:rPr>
        <w:t xml:space="preserve"> commenter stated that power sector facilities (i.e., NAICS codes 2211 and 221210) should not be required, as a regulatory condition, to meet RAGAGEP with respect to PHAs. The commenter added that while this may be appropriate for other industrial sectors, the power sector is too diverse to be subject to across-the-board RAGAGEP. The commenter clarified that regulated utility facilities should adhere to RAGAGEP whenever applicable and practical, but that the lack of readily available, sector wide RAGAGEP makes this an unnecessary and impractical regulatory obligation to place on the power sector (0224).</w:t>
      </w:r>
    </w:p>
    <w:p w:rsidR="00A85811" w:rsidP="00A85811" w14:paraId="0E1D6EC7" w14:textId="77777777">
      <w:pPr>
        <w:rPr>
          <w:rFonts w:ascii="Times New Roman" w:hAnsi="Times New Roman"/>
          <w:sz w:val="24"/>
        </w:rPr>
      </w:pPr>
      <w:r w:rsidRPr="00706439">
        <w:rPr>
          <w:rFonts w:ascii="Times New Roman" w:hAnsi="Times New Roman"/>
          <w:sz w:val="24"/>
        </w:rPr>
        <w:t xml:space="preserve">One commenter contended that EPA’s proposed requirement for facilities to conduct a gap analysis against RAGAGEP in PHAs does not make sense for all RMP facilities. The commenter </w:t>
      </w:r>
      <w:r>
        <w:rPr>
          <w:rFonts w:ascii="Times New Roman" w:hAnsi="Times New Roman"/>
          <w:sz w:val="24"/>
        </w:rPr>
        <w:t>stated</w:t>
      </w:r>
      <w:r w:rsidRPr="00706439">
        <w:rPr>
          <w:rFonts w:ascii="Times New Roman" w:hAnsi="Times New Roman"/>
          <w:sz w:val="24"/>
        </w:rPr>
        <w:t xml:space="preserve"> that because smelter facilities are relatively rare, there are no formal uniform design, maintenance, and operation standards for copper smelters that are regularly reviewed and or updated. The commenter added that EPA’s requirement creates substantial confusion for them and said it is unclear how compliance could be demonstrated at the smelter. As a result, the commenter requests that EPA not finalize this proposed requirement, or in the alternative, that EPA pause this rulemaking and take the time to engage with a variety of facilities subject to the RMP rules to further inform its rulemaking process (0210).</w:t>
      </w:r>
    </w:p>
    <w:p w:rsidR="00021D11" w:rsidRPr="00BE4392" w:rsidP="00021D11" w14:paraId="52F8F364" w14:textId="7D769AC1">
      <w:pPr>
        <w:ind w:left="720"/>
        <w:rPr>
          <w:rFonts w:ascii="Times New Roman" w:hAnsi="Times New Roman"/>
          <w:sz w:val="24"/>
        </w:rPr>
      </w:pPr>
      <w:r w:rsidRPr="009733AD">
        <w:rPr>
          <w:rFonts w:ascii="Times New Roman" w:hAnsi="Times New Roman"/>
          <w:b/>
          <w:bCs/>
          <w:sz w:val="24"/>
        </w:rPr>
        <w:t>EPA Response:</w:t>
      </w:r>
      <w:r w:rsidRPr="003836C8" w:rsidR="003836C8">
        <w:t xml:space="preserve"> </w:t>
      </w:r>
      <w:r w:rsidRPr="00C5764E" w:rsidR="00787CE5">
        <w:rPr>
          <w:rFonts w:ascii="Times New Roman" w:hAnsi="Times New Roman"/>
          <w:sz w:val="24"/>
        </w:rPr>
        <w:t xml:space="preserve">EPA disagrees that </w:t>
      </w:r>
      <w:r w:rsidR="00686804">
        <w:rPr>
          <w:rFonts w:ascii="Times New Roman" w:hAnsi="Times New Roman"/>
          <w:sz w:val="24"/>
        </w:rPr>
        <w:t>some sectors</w:t>
      </w:r>
      <w:r w:rsidRPr="00C5764E" w:rsidR="00787CE5">
        <w:rPr>
          <w:rFonts w:ascii="Times New Roman" w:hAnsi="Times New Roman"/>
          <w:sz w:val="24"/>
        </w:rPr>
        <w:t xml:space="preserve"> should </w:t>
      </w:r>
      <w:r w:rsidRPr="00C5764E" w:rsidR="00DA0701">
        <w:rPr>
          <w:rFonts w:ascii="Times New Roman" w:hAnsi="Times New Roman"/>
          <w:sz w:val="24"/>
        </w:rPr>
        <w:t xml:space="preserve">be exempt from this already existing provision. </w:t>
      </w:r>
      <w:r w:rsidR="00BD2D86">
        <w:rPr>
          <w:rFonts w:ascii="Times New Roman" w:hAnsi="Times New Roman"/>
          <w:sz w:val="24"/>
        </w:rPr>
        <w:t xml:space="preserve">As the commentor </w:t>
      </w:r>
      <w:r w:rsidR="00FE5014">
        <w:rPr>
          <w:rFonts w:ascii="Times New Roman" w:hAnsi="Times New Roman"/>
          <w:sz w:val="24"/>
        </w:rPr>
        <w:t xml:space="preserve">acknowledges, </w:t>
      </w:r>
      <w:r w:rsidR="009F091D">
        <w:rPr>
          <w:rFonts w:ascii="Times New Roman" w:hAnsi="Times New Roman"/>
          <w:sz w:val="24"/>
        </w:rPr>
        <w:t xml:space="preserve">and </w:t>
      </w:r>
      <w:r w:rsidR="00FE5014">
        <w:rPr>
          <w:rFonts w:ascii="Times New Roman" w:hAnsi="Times New Roman"/>
          <w:sz w:val="24"/>
        </w:rPr>
        <w:t>EPA agrees</w:t>
      </w:r>
      <w:r w:rsidR="009733AD">
        <w:rPr>
          <w:rFonts w:ascii="Times New Roman" w:hAnsi="Times New Roman"/>
          <w:sz w:val="24"/>
        </w:rPr>
        <w:t xml:space="preserve">, </w:t>
      </w:r>
      <w:r w:rsidR="00FE5014">
        <w:rPr>
          <w:rFonts w:ascii="Times New Roman" w:hAnsi="Times New Roman"/>
          <w:sz w:val="24"/>
        </w:rPr>
        <w:t>adhering to RAGAGEP whenever applicable an</w:t>
      </w:r>
      <w:r w:rsidR="00F73357">
        <w:rPr>
          <w:rFonts w:ascii="Times New Roman" w:hAnsi="Times New Roman"/>
          <w:sz w:val="24"/>
        </w:rPr>
        <w:t xml:space="preserve">d </w:t>
      </w:r>
      <w:r w:rsidR="009F091D">
        <w:rPr>
          <w:rFonts w:ascii="Times New Roman" w:hAnsi="Times New Roman"/>
          <w:sz w:val="24"/>
        </w:rPr>
        <w:t>practical</w:t>
      </w:r>
      <w:r w:rsidR="00DE79D3">
        <w:rPr>
          <w:rFonts w:ascii="Times New Roman" w:hAnsi="Times New Roman"/>
          <w:sz w:val="24"/>
        </w:rPr>
        <w:t xml:space="preserve"> is necessary. </w:t>
      </w:r>
      <w:r w:rsidR="009733AD">
        <w:rPr>
          <w:rFonts w:ascii="Times New Roman" w:hAnsi="Times New Roman"/>
          <w:sz w:val="24"/>
        </w:rPr>
        <w:t xml:space="preserve">Therefore, </w:t>
      </w:r>
      <w:r w:rsidRPr="009F091D" w:rsidR="009F091D">
        <w:rPr>
          <w:rFonts w:ascii="Times New Roman" w:hAnsi="Times New Roman"/>
          <w:sz w:val="24"/>
        </w:rPr>
        <w:t xml:space="preserve">EPA expects </w:t>
      </w:r>
      <w:r w:rsidR="009733AD">
        <w:rPr>
          <w:rFonts w:ascii="Times New Roman" w:hAnsi="Times New Roman"/>
          <w:sz w:val="24"/>
        </w:rPr>
        <w:t xml:space="preserve">all </w:t>
      </w:r>
      <w:r w:rsidRPr="009F091D" w:rsidR="009F091D">
        <w:rPr>
          <w:rFonts w:ascii="Times New Roman" w:hAnsi="Times New Roman"/>
          <w:sz w:val="24"/>
        </w:rPr>
        <w:t xml:space="preserve">owners and operators to regularly review </w:t>
      </w:r>
      <w:r w:rsidR="004D1387">
        <w:rPr>
          <w:rFonts w:ascii="Times New Roman" w:hAnsi="Times New Roman"/>
          <w:sz w:val="24"/>
        </w:rPr>
        <w:t xml:space="preserve">if there are any </w:t>
      </w:r>
      <w:r w:rsidRPr="009F091D" w:rsidR="009F091D">
        <w:rPr>
          <w:rFonts w:ascii="Times New Roman" w:hAnsi="Times New Roman"/>
          <w:sz w:val="24"/>
        </w:rPr>
        <w:t xml:space="preserve">new and updated RAGAGEP applicable to their industry to determine </w:t>
      </w:r>
      <w:r w:rsidR="00C0280A">
        <w:rPr>
          <w:rFonts w:ascii="Times New Roman" w:hAnsi="Times New Roman"/>
          <w:sz w:val="24"/>
        </w:rPr>
        <w:t xml:space="preserve">if and </w:t>
      </w:r>
      <w:r w:rsidRPr="009F091D" w:rsidR="009F091D">
        <w:rPr>
          <w:rFonts w:ascii="Times New Roman" w:hAnsi="Times New Roman"/>
          <w:sz w:val="24"/>
        </w:rPr>
        <w:t xml:space="preserve">where safety gaps exist within their current process. </w:t>
      </w:r>
    </w:p>
    <w:p w:rsidR="00146F8D" w:rsidRPr="00BE4392" w:rsidP="00146F8D" w14:paraId="07A684A1" w14:textId="77777777">
      <w:pPr>
        <w:rPr>
          <w:rFonts w:ascii="Times New Roman" w:hAnsi="Times New Roman"/>
          <w:sz w:val="24"/>
        </w:rPr>
      </w:pPr>
    </w:p>
    <w:p w:rsidR="00021D11" w:rsidRPr="00146F8D" w:rsidP="00146F8D" w14:paraId="339E29C2" w14:textId="049716CF">
      <w:pPr>
        <w:pStyle w:val="Heading1"/>
        <w:spacing w:before="120"/>
      </w:pPr>
      <w:bookmarkStart w:id="174" w:name="_Toc146880050"/>
      <w:bookmarkStart w:id="175" w:name="_Toc153373837"/>
      <w:r w:rsidRPr="006F68E9">
        <w:t xml:space="preserve">Compliance </w:t>
      </w:r>
      <w:r w:rsidRPr="00146F8D">
        <w:t>dates</w:t>
      </w:r>
      <w:bookmarkEnd w:id="174"/>
      <w:bookmarkEnd w:id="175"/>
    </w:p>
    <w:p w:rsidR="00021D11" w:rsidRPr="00847046" w:rsidP="00021D11" w14:paraId="55B4B691" w14:textId="77777777">
      <w:pPr>
        <w:rPr>
          <w:rFonts w:ascii="Times New Roman" w:hAnsi="Times New Roman"/>
          <w:i/>
          <w:iCs/>
          <w:sz w:val="24"/>
        </w:rPr>
      </w:pPr>
      <w:r w:rsidRPr="00847046">
        <w:rPr>
          <w:rFonts w:ascii="Times New Roman" w:hAnsi="Times New Roman"/>
          <w:i/>
          <w:iCs/>
          <w:sz w:val="24"/>
        </w:rPr>
        <w:t>Support</w:t>
      </w:r>
      <w:r>
        <w:rPr>
          <w:rFonts w:ascii="Times New Roman" w:hAnsi="Times New Roman"/>
          <w:i/>
          <w:iCs/>
          <w:sz w:val="24"/>
        </w:rPr>
        <w:t xml:space="preserve"> for compliance dates</w:t>
      </w:r>
    </w:p>
    <w:p w:rsidR="00021D11" w:rsidP="00021D11" w14:paraId="10CCB045" w14:textId="20A006C9">
      <w:pPr>
        <w:rPr>
          <w:rFonts w:ascii="Times New Roman" w:hAnsi="Times New Roman"/>
          <w:sz w:val="24"/>
        </w:rPr>
      </w:pPr>
      <w:r>
        <w:rPr>
          <w:rFonts w:ascii="Times New Roman" w:hAnsi="Times New Roman"/>
          <w:b/>
          <w:bCs/>
          <w:sz w:val="24"/>
        </w:rPr>
        <w:t>Comment 1</w:t>
      </w:r>
      <w:r w:rsidR="00194DAA">
        <w:rPr>
          <w:rFonts w:ascii="Times New Roman" w:hAnsi="Times New Roman"/>
          <w:b/>
          <w:bCs/>
          <w:sz w:val="24"/>
        </w:rPr>
        <w:t>5</w:t>
      </w:r>
      <w:r>
        <w:rPr>
          <w:rFonts w:ascii="Times New Roman" w:hAnsi="Times New Roman"/>
          <w:b/>
          <w:bCs/>
          <w:sz w:val="24"/>
        </w:rPr>
        <w:t xml:space="preserve">-01: </w:t>
      </w:r>
      <w:r w:rsidRPr="006F68E9">
        <w:rPr>
          <w:rFonts w:ascii="Times New Roman" w:hAnsi="Times New Roman"/>
          <w:sz w:val="24"/>
        </w:rPr>
        <w:t xml:space="preserve">One </w:t>
      </w:r>
      <w:r w:rsidRPr="69329E45">
        <w:rPr>
          <w:rFonts w:ascii="Times New Roman" w:hAnsi="Times New Roman"/>
          <w:sz w:val="24"/>
        </w:rPr>
        <w:t>commenter</w:t>
      </w:r>
      <w:r w:rsidRPr="006F68E9">
        <w:rPr>
          <w:rFonts w:ascii="Times New Roman" w:hAnsi="Times New Roman"/>
          <w:sz w:val="24"/>
        </w:rPr>
        <w:t xml:space="preserve"> expressed support for the compliance dates proposed by EPA consistent with CAA § 112</w:t>
      </w:r>
      <w:r>
        <w:rPr>
          <w:rFonts w:ascii="Times New Roman" w:hAnsi="Times New Roman"/>
          <w:sz w:val="24"/>
        </w:rPr>
        <w:t>I</w:t>
      </w:r>
      <w:r w:rsidRPr="006F68E9">
        <w:rPr>
          <w:rFonts w:ascii="Times New Roman" w:hAnsi="Times New Roman"/>
          <w:sz w:val="24"/>
        </w:rPr>
        <w:t xml:space="preserve">(7)(B)(i), with compliance required three years after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 xml:space="preserve">ule and four years after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to update and resubmit RMPs (0238).</w:t>
      </w:r>
      <w:r>
        <w:rPr>
          <w:rFonts w:ascii="Times New Roman" w:hAnsi="Times New Roman"/>
          <w:sz w:val="24"/>
        </w:rPr>
        <w:t xml:space="preserve"> </w:t>
      </w:r>
    </w:p>
    <w:p w:rsidR="00021D11" w:rsidP="00021D11" w14:paraId="17930782" w14:textId="021AA342">
      <w:pPr>
        <w:rPr>
          <w:rFonts w:ascii="Times New Roman" w:hAnsi="Times New Roman"/>
          <w:b/>
          <w:bCs/>
          <w:sz w:val="24"/>
        </w:rPr>
      </w:pPr>
      <w:r>
        <w:rPr>
          <w:rFonts w:ascii="Times New Roman" w:hAnsi="Times New Roman"/>
          <w:sz w:val="24"/>
        </w:rPr>
        <w:t>Regarding RAGAGEP technical clarifications, one</w:t>
      </w:r>
      <w:r w:rsidRPr="006F68E9">
        <w:rPr>
          <w:rFonts w:ascii="Times New Roman" w:hAnsi="Times New Roman"/>
          <w:sz w:val="24"/>
        </w:rPr>
        <w:t xml:space="preserve"> commenter stated that the proposed effective date of the </w:t>
      </w:r>
      <w:r>
        <w:rPr>
          <w:rFonts w:ascii="Times New Roman" w:hAnsi="Times New Roman"/>
          <w:sz w:val="24"/>
        </w:rPr>
        <w:t>final rule</w:t>
      </w:r>
      <w:r w:rsidRPr="006F68E9">
        <w:rPr>
          <w:rFonts w:ascii="Times New Roman" w:hAnsi="Times New Roman"/>
          <w:sz w:val="24"/>
        </w:rPr>
        <w:t xml:space="preserve"> being the compliance date for these technical changes is appropriate, and it is important to add the RAGAGEP requirements because codes, standards, and practices change over time</w:t>
      </w:r>
      <w:r>
        <w:rPr>
          <w:rFonts w:ascii="Times New Roman" w:hAnsi="Times New Roman"/>
          <w:sz w:val="24"/>
        </w:rPr>
        <w:t xml:space="preserve"> (0460)</w:t>
      </w:r>
      <w:r w:rsidR="00625758">
        <w:rPr>
          <w:rFonts w:ascii="Times New Roman" w:hAnsi="Times New Roman"/>
          <w:sz w:val="24"/>
        </w:rPr>
        <w:t>.</w:t>
      </w:r>
    </w:p>
    <w:p w:rsidR="00021D11" w:rsidP="00021D11" w14:paraId="7E93C1CB" w14:textId="77777777">
      <w:pPr>
        <w:ind w:left="720"/>
        <w:rPr>
          <w:rFonts w:ascii="Times New Roman" w:hAnsi="Times New Roman"/>
          <w:bCs/>
          <w:sz w:val="24"/>
        </w:rPr>
      </w:pPr>
      <w:r w:rsidRPr="009A06E6">
        <w:rPr>
          <w:rFonts w:ascii="Times New Roman" w:hAnsi="Times New Roman"/>
          <w:b/>
          <w:bCs/>
          <w:sz w:val="24"/>
        </w:rPr>
        <w:t>EPA Response:</w:t>
      </w:r>
      <w:r>
        <w:rPr>
          <w:rFonts w:ascii="Times New Roman" w:hAnsi="Times New Roman"/>
          <w:b/>
          <w:bCs/>
          <w:sz w:val="24"/>
        </w:rPr>
        <w:t xml:space="preserve"> </w:t>
      </w:r>
      <w:r>
        <w:rPr>
          <w:rFonts w:ascii="Times New Roman" w:hAnsi="Times New Roman"/>
          <w:bCs/>
          <w:sz w:val="24"/>
        </w:rPr>
        <w:t xml:space="preserve">EPA appreciates the commenters’ support. </w:t>
      </w:r>
    </w:p>
    <w:p w:rsidR="00021D11" w:rsidRPr="00847046" w:rsidP="00021D11" w14:paraId="057E7219" w14:textId="77777777">
      <w:pPr>
        <w:rPr>
          <w:rFonts w:ascii="Times New Roman" w:hAnsi="Times New Roman"/>
          <w:i/>
          <w:iCs/>
          <w:sz w:val="24"/>
        </w:rPr>
      </w:pPr>
      <w:r>
        <w:rPr>
          <w:rFonts w:ascii="Times New Roman" w:hAnsi="Times New Roman"/>
          <w:i/>
          <w:iCs/>
          <w:sz w:val="24"/>
        </w:rPr>
        <w:t xml:space="preserve">Requests to shorten compliance dates </w:t>
      </w:r>
    </w:p>
    <w:p w:rsidR="00021D11" w:rsidP="00021D11" w14:paraId="5EEBEB8B" w14:textId="51DF1C68">
      <w:pPr>
        <w:rPr>
          <w:rFonts w:ascii="Times New Roman" w:hAnsi="Times New Roman"/>
          <w:sz w:val="24"/>
        </w:rPr>
      </w:pPr>
      <w:r w:rsidRPr="00847046">
        <w:rPr>
          <w:rFonts w:ascii="Times New Roman" w:hAnsi="Times New Roman"/>
          <w:b/>
          <w:bCs/>
          <w:sz w:val="24"/>
        </w:rPr>
        <w:t>Comment</w:t>
      </w:r>
      <w:r>
        <w:rPr>
          <w:rFonts w:ascii="Times New Roman" w:hAnsi="Times New Roman"/>
          <w:b/>
          <w:bCs/>
          <w:sz w:val="24"/>
        </w:rPr>
        <w:t xml:space="preserve"> 1</w:t>
      </w:r>
      <w:r w:rsidR="00194DAA">
        <w:rPr>
          <w:rFonts w:ascii="Times New Roman" w:hAnsi="Times New Roman"/>
          <w:b/>
          <w:bCs/>
          <w:sz w:val="24"/>
        </w:rPr>
        <w:t>5</w:t>
      </w:r>
      <w:r>
        <w:rPr>
          <w:rFonts w:ascii="Times New Roman" w:hAnsi="Times New Roman"/>
          <w:b/>
          <w:bCs/>
          <w:sz w:val="24"/>
        </w:rPr>
        <w:t>-02</w:t>
      </w:r>
      <w:r w:rsidRPr="0084704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A couple of commenters urged EPA to shorten the 4-year timeline for facilities to submit updated RMPs (0208, 0450).</w:t>
      </w:r>
    </w:p>
    <w:p w:rsidR="00021D11" w:rsidRPr="00206348" w:rsidP="00021D11" w14:paraId="1BB811C2" w14:textId="77777777">
      <w:pPr>
        <w:tabs>
          <w:tab w:val="left" w:pos="720"/>
        </w:tabs>
        <w:ind w:left="720"/>
        <w:rPr>
          <w:rFonts w:ascii="Times New Roman" w:hAnsi="Times New Roman"/>
          <w:bCs/>
          <w:sz w:val="24"/>
        </w:rPr>
      </w:pPr>
      <w:r w:rsidRPr="00206348">
        <w:rPr>
          <w:rFonts w:ascii="Times New Roman" w:hAnsi="Times New Roman"/>
          <w:b/>
          <w:sz w:val="24"/>
        </w:rPr>
        <w:t>EPA Response:</w:t>
      </w:r>
      <w:r w:rsidRPr="00206348">
        <w:rPr>
          <w:rFonts w:ascii="Times New Roman" w:hAnsi="Times New Roman"/>
          <w:bCs/>
          <w:sz w:val="24"/>
        </w:rPr>
        <w:t xml:space="preserve"> EPA disagrees with commenters and is </w:t>
      </w:r>
      <w:bookmarkStart w:id="176" w:name="_Hlk127871118"/>
      <w:r w:rsidRPr="00206348">
        <w:rPr>
          <w:rFonts w:ascii="Times New Roman" w:hAnsi="Times New Roman"/>
          <w:bCs/>
          <w:sz w:val="24"/>
        </w:rPr>
        <w:t>finalizing the four-year compliance date for this provision, as proposed</w:t>
      </w:r>
      <w:bookmarkEnd w:id="176"/>
      <w:r w:rsidRPr="00206348">
        <w:rPr>
          <w:rFonts w:ascii="Times New Roman" w:hAnsi="Times New Roman"/>
          <w:bCs/>
          <w:sz w:val="24"/>
        </w:rPr>
        <w:t>. This timeframe will allow owners and operators an opportunity to begin to comply with revised rule provisions prior to certifying compliance in the RMP. Additionally, the Agency will revise its online RMP submission system, RMP*eSubmit, to include the additional data elements, and sources will not be able to update RMPs with new or revised data elements until the submission system is ready. Also, once it is ready, allowing an additional year for sources to update RMPs will prevent potential problems with thousands of sources submitting updated RMPs on the same day.</w:t>
      </w:r>
    </w:p>
    <w:p w:rsidR="00021D11" w:rsidP="00021D11" w14:paraId="7F8E0648" w14:textId="06B462FA">
      <w:pPr>
        <w:rPr>
          <w:rFonts w:ascii="Times New Roman" w:hAnsi="Times New Roman"/>
          <w:sz w:val="24"/>
        </w:rPr>
      </w:pPr>
      <w:r>
        <w:rPr>
          <w:rFonts w:ascii="Times New Roman" w:hAnsi="Times New Roman"/>
          <w:b/>
          <w:bCs/>
          <w:sz w:val="24"/>
        </w:rPr>
        <w:t>Comment 1</w:t>
      </w:r>
      <w:r w:rsidR="00194DAA">
        <w:rPr>
          <w:rFonts w:ascii="Times New Roman" w:hAnsi="Times New Roman"/>
          <w:b/>
          <w:bCs/>
          <w:sz w:val="24"/>
        </w:rPr>
        <w:t>5</w:t>
      </w:r>
      <w:r>
        <w:rPr>
          <w:rFonts w:ascii="Times New Roman" w:hAnsi="Times New Roman"/>
          <w:b/>
          <w:bCs/>
          <w:sz w:val="24"/>
        </w:rPr>
        <w:t xml:space="preserve">-03: </w:t>
      </w:r>
      <w:r w:rsidRPr="006F68E9">
        <w:rPr>
          <w:rFonts w:ascii="Times New Roman" w:hAnsi="Times New Roman"/>
          <w:sz w:val="24"/>
        </w:rPr>
        <w:t>One commenter stated that EPA should set a deadline and require reporting on emergency response field exercises – but should speed up compliance because 10 years is too long to wait for this essential emergency planning, especially in communities with multiple RMP facilities (0264).</w:t>
      </w:r>
    </w:p>
    <w:p w:rsidR="00021D11" w:rsidP="00021D11" w14:paraId="0693EAF3" w14:textId="77777777">
      <w:pPr>
        <w:rPr>
          <w:rFonts w:ascii="Times New Roman" w:hAnsi="Times New Roman"/>
          <w:sz w:val="24"/>
        </w:rPr>
      </w:pPr>
      <w:r w:rsidRPr="002F6304">
        <w:rPr>
          <w:rFonts w:ascii="Times New Roman" w:hAnsi="Times New Roman"/>
          <w:sz w:val="24"/>
        </w:rPr>
        <w:t xml:space="preserve">One </w:t>
      </w:r>
      <w:r w:rsidRPr="006F68E9">
        <w:rPr>
          <w:rFonts w:ascii="Times New Roman" w:hAnsi="Times New Roman"/>
          <w:sz w:val="24"/>
        </w:rPr>
        <w:t xml:space="preserve">commenter recommended that the compliance period under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be shortened to two years for the emergency response public notification and exercise evaluation report</w:t>
      </w:r>
      <w:r>
        <w:rPr>
          <w:rFonts w:ascii="Times New Roman" w:hAnsi="Times New Roman"/>
          <w:sz w:val="24"/>
        </w:rPr>
        <w:t xml:space="preserve"> provisions (0444)</w:t>
      </w:r>
      <w:r w:rsidRPr="006F68E9">
        <w:rPr>
          <w:rFonts w:ascii="Times New Roman" w:hAnsi="Times New Roman"/>
          <w:sz w:val="24"/>
        </w:rPr>
        <w:t>.</w:t>
      </w:r>
    </w:p>
    <w:p w:rsidR="00021D11" w:rsidP="00021D11" w14:paraId="73A92A3D" w14:textId="77777777">
      <w:pPr>
        <w:ind w:left="720"/>
        <w:rPr>
          <w:rFonts w:ascii="Times New Roman" w:hAnsi="Times New Roman"/>
          <w:sz w:val="24"/>
        </w:rPr>
      </w:pPr>
      <w:r w:rsidRPr="00BB0C28">
        <w:rPr>
          <w:rFonts w:ascii="Times New Roman" w:hAnsi="Times New Roman"/>
          <w:b/>
          <w:bCs/>
          <w:sz w:val="24"/>
        </w:rPr>
        <w:t xml:space="preserve">EPA Response: </w:t>
      </w:r>
      <w:r w:rsidRPr="00BB0C28">
        <w:rPr>
          <w:rFonts w:ascii="Times New Roman" w:hAnsi="Times New Roman"/>
          <w:sz w:val="24"/>
        </w:rPr>
        <w:t>EPA disagrees that field exercises should be required on an annual, biennial, or triennial basis. Requiring field exercises to be held at shorter minimum frequencies, such as these would significantly increase compliance costs to both regulated facilities and local responder agencies. Such an approach would discourage the participation of local emergency responders in field exercises, which is voluntary under the RMP rule. Additionally, table-top exercises of the emergency plan have value for protecting the nearby community, and these occur every three years. The community would not be without a type of “basic emergency response exercise.” Therefore, EPA is finalizing the compliance date for owners or operators of sources to have planned, scheduled, and conducted their first field exercise by March 15, 2027.</w:t>
      </w:r>
    </w:p>
    <w:p w:rsidR="00F94023" w:rsidP="00021D11" w14:paraId="6082676B" w14:textId="657E6195">
      <w:pPr>
        <w:ind w:left="720"/>
        <w:rPr>
          <w:rFonts w:ascii="Times New Roman" w:hAnsi="Times New Roman"/>
          <w:iCs/>
          <w:sz w:val="24"/>
        </w:rPr>
      </w:pPr>
      <w:r w:rsidRPr="0006340A">
        <w:rPr>
          <w:rFonts w:ascii="Times New Roman" w:hAnsi="Times New Roman"/>
          <w:iCs/>
          <w:sz w:val="24"/>
        </w:rPr>
        <w:t>EPA is finalizing the 3-year compliance date</w:t>
      </w:r>
      <w:r w:rsidR="007031DD">
        <w:rPr>
          <w:rFonts w:ascii="Times New Roman" w:hAnsi="Times New Roman"/>
          <w:iCs/>
          <w:sz w:val="24"/>
        </w:rPr>
        <w:t xml:space="preserve"> for ensuring a public notification</w:t>
      </w:r>
      <w:r w:rsidR="00D84DB6">
        <w:rPr>
          <w:rFonts w:ascii="Times New Roman" w:hAnsi="Times New Roman"/>
          <w:iCs/>
          <w:sz w:val="24"/>
        </w:rPr>
        <w:t xml:space="preserve"> </w:t>
      </w:r>
      <w:r w:rsidRPr="0006340A">
        <w:rPr>
          <w:rFonts w:ascii="Times New Roman" w:hAnsi="Times New Roman"/>
          <w:iCs/>
          <w:sz w:val="24"/>
        </w:rPr>
        <w:t>as proposed</w:t>
      </w:r>
      <w:r w:rsidR="00D5758A">
        <w:rPr>
          <w:rFonts w:ascii="Times New Roman" w:hAnsi="Times New Roman"/>
          <w:iCs/>
          <w:sz w:val="24"/>
        </w:rPr>
        <w:t xml:space="preserve"> rather than shorten it</w:t>
      </w:r>
      <w:r w:rsidR="002955C6">
        <w:rPr>
          <w:rFonts w:ascii="Times New Roman" w:hAnsi="Times New Roman"/>
          <w:iCs/>
          <w:sz w:val="24"/>
        </w:rPr>
        <w:t xml:space="preserve">. </w:t>
      </w:r>
      <w:r w:rsidRPr="000B4EBF" w:rsidR="000B4EBF">
        <w:rPr>
          <w:rFonts w:ascii="Times New Roman" w:hAnsi="Times New Roman"/>
          <w:iCs/>
          <w:sz w:val="24"/>
        </w:rPr>
        <w:t xml:space="preserve">This provision is for facility owners and operators to work with the local responders to ensure that, during a release, a notification system is in place that will notify the public of the impending situation. EPA expects the partnership to occur at least during annual coordination discussions under 40 CFR 68.93. Under 40 CFR 68.93, owners and operators are required to annually coordinate response needs with local emergency planning and response organizations to determine how the facility is addressed in the community emergency response plan, among other things. A component of the community emergency response plan is public notification of chemical releases; </w:t>
      </w:r>
      <w:r w:rsidRPr="000B4EBF" w:rsidR="000B4EBF">
        <w:rPr>
          <w:rFonts w:ascii="Times New Roman" w:hAnsi="Times New Roman"/>
          <w:iCs/>
          <w:sz w:val="24"/>
        </w:rPr>
        <w:t>therefore, it is expected that this component will be discussed and documented by the facility owner or operator as part of the annual coordination obligations.</w:t>
      </w:r>
      <w:r w:rsidR="007031DD">
        <w:rPr>
          <w:rFonts w:ascii="Times New Roman" w:hAnsi="Times New Roman"/>
          <w:iCs/>
          <w:sz w:val="24"/>
        </w:rPr>
        <w:t xml:space="preserve"> EPA expects that</w:t>
      </w:r>
      <w:r w:rsidRPr="000B4EBF" w:rsidR="000B4EBF">
        <w:rPr>
          <w:rFonts w:ascii="Times New Roman" w:hAnsi="Times New Roman"/>
          <w:iCs/>
          <w:sz w:val="24"/>
        </w:rPr>
        <w:t xml:space="preserve"> </w:t>
      </w:r>
      <w:r w:rsidR="007031DD">
        <w:rPr>
          <w:rFonts w:ascii="Times New Roman" w:hAnsi="Times New Roman"/>
          <w:iCs/>
          <w:sz w:val="24"/>
        </w:rPr>
        <w:t>o</w:t>
      </w:r>
      <w:r w:rsidR="00800C67">
        <w:rPr>
          <w:rFonts w:ascii="Times New Roman" w:hAnsi="Times New Roman"/>
          <w:iCs/>
          <w:sz w:val="24"/>
        </w:rPr>
        <w:t xml:space="preserve">nce the coordination </w:t>
      </w:r>
      <w:r w:rsidR="007031DD">
        <w:rPr>
          <w:rFonts w:ascii="Times New Roman" w:hAnsi="Times New Roman"/>
          <w:iCs/>
          <w:sz w:val="24"/>
        </w:rPr>
        <w:t>meeting occurs</w:t>
      </w:r>
      <w:r w:rsidR="001B1A19">
        <w:rPr>
          <w:rFonts w:ascii="Times New Roman" w:hAnsi="Times New Roman"/>
          <w:iCs/>
          <w:sz w:val="24"/>
        </w:rPr>
        <w:t xml:space="preserve"> additional time in needed </w:t>
      </w:r>
      <w:r w:rsidR="007031DD">
        <w:rPr>
          <w:rFonts w:ascii="Times New Roman" w:hAnsi="Times New Roman"/>
          <w:iCs/>
          <w:sz w:val="24"/>
        </w:rPr>
        <w:t xml:space="preserve">to </w:t>
      </w:r>
      <w:r w:rsidR="0024348B">
        <w:rPr>
          <w:rFonts w:ascii="Times New Roman" w:hAnsi="Times New Roman"/>
          <w:iCs/>
          <w:sz w:val="24"/>
        </w:rPr>
        <w:t xml:space="preserve">further </w:t>
      </w:r>
      <w:r w:rsidR="00A90BD7">
        <w:rPr>
          <w:rFonts w:ascii="Times New Roman" w:hAnsi="Times New Roman"/>
          <w:iCs/>
          <w:sz w:val="24"/>
        </w:rPr>
        <w:t xml:space="preserve">acquire potential technologies and prepare the </w:t>
      </w:r>
      <w:r w:rsidR="00D84DB6">
        <w:rPr>
          <w:rFonts w:ascii="Times New Roman" w:hAnsi="Times New Roman"/>
          <w:iCs/>
          <w:sz w:val="24"/>
        </w:rPr>
        <w:t xml:space="preserve">community to utilize the system thorough outreach efforts to ensure citizens are aware the system is operation and functional if and when an accident occurs. </w:t>
      </w:r>
      <w:r w:rsidR="00FA690F">
        <w:rPr>
          <w:rFonts w:ascii="Times New Roman" w:hAnsi="Times New Roman"/>
          <w:iCs/>
          <w:sz w:val="24"/>
        </w:rPr>
        <w:t xml:space="preserve"> </w:t>
      </w:r>
    </w:p>
    <w:p w:rsidR="0006340A" w:rsidP="00021D11" w14:paraId="0D42BBB7" w14:textId="56AFDF28">
      <w:pPr>
        <w:ind w:left="720"/>
        <w:rPr>
          <w:rFonts w:ascii="Times New Roman" w:hAnsi="Times New Roman"/>
          <w:iCs/>
          <w:sz w:val="24"/>
        </w:rPr>
      </w:pPr>
      <w:r w:rsidRPr="0006340A">
        <w:rPr>
          <w:rFonts w:ascii="Times New Roman" w:hAnsi="Times New Roman"/>
          <w:iCs/>
          <w:sz w:val="24"/>
        </w:rPr>
        <w:t>EPA did not receive any comments specific to the three-year compliance date for exercise evaluation reports other than as a general comment. Therefore, EPA is finalizing the date for this provision, as proposed.</w:t>
      </w:r>
    </w:p>
    <w:p w:rsidR="00021D11" w:rsidP="00021D11" w14:paraId="3BC66EAE" w14:textId="0CBB19F1">
      <w:pPr>
        <w:rPr>
          <w:rFonts w:ascii="Times New Roman" w:hAnsi="Times New Roman"/>
          <w:sz w:val="24"/>
        </w:rPr>
      </w:pPr>
      <w:r>
        <w:rPr>
          <w:rFonts w:ascii="Times New Roman" w:hAnsi="Times New Roman"/>
          <w:b/>
          <w:bCs/>
          <w:sz w:val="24"/>
        </w:rPr>
        <w:t>Comment 1</w:t>
      </w:r>
      <w:r w:rsidR="00194DAA">
        <w:rPr>
          <w:rFonts w:ascii="Times New Roman" w:hAnsi="Times New Roman"/>
          <w:b/>
          <w:bCs/>
          <w:sz w:val="24"/>
        </w:rPr>
        <w:t>5</w:t>
      </w:r>
      <w:r>
        <w:rPr>
          <w:rFonts w:ascii="Times New Roman" w:hAnsi="Times New Roman"/>
          <w:b/>
          <w:bCs/>
          <w:sz w:val="24"/>
        </w:rPr>
        <w:t xml:space="preserve">-04: </w:t>
      </w:r>
      <w:r w:rsidRPr="006F68E9">
        <w:rPr>
          <w:rFonts w:ascii="Times New Roman" w:hAnsi="Times New Roman"/>
          <w:sz w:val="24"/>
        </w:rPr>
        <w:t xml:space="preserve">A commenter recommended that the compliance period under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be shortened to two years for </w:t>
      </w:r>
      <w:r>
        <w:rPr>
          <w:rFonts w:ascii="Times New Roman" w:hAnsi="Times New Roman"/>
          <w:sz w:val="24"/>
        </w:rPr>
        <w:t xml:space="preserve">the </w:t>
      </w:r>
      <w:r w:rsidRPr="006F68E9">
        <w:rPr>
          <w:rFonts w:ascii="Times New Roman" w:hAnsi="Times New Roman"/>
          <w:sz w:val="24"/>
        </w:rPr>
        <w:t xml:space="preserve">employee participation and information availability provisions. The commenter added that statutory language reflects Congress’s intent that EPA ensure adequate safeguards are promptly put in place to protect workers and surrounding communities from releases of dangerous chemicals. The commenter further stated that EPA’s proposal should contain shorter compliance deadlines as compared to the 1996 </w:t>
      </w:r>
      <w:r w:rsidRPr="50B04357">
        <w:rPr>
          <w:rFonts w:ascii="Times New Roman" w:hAnsi="Times New Roman"/>
          <w:sz w:val="24"/>
        </w:rPr>
        <w:t xml:space="preserve">RMP </w:t>
      </w:r>
      <w:r w:rsidRPr="006F68E9">
        <w:rPr>
          <w:rFonts w:ascii="Times New Roman" w:hAnsi="Times New Roman"/>
          <w:sz w:val="24"/>
        </w:rPr>
        <w:t xml:space="preserve">Rule because the </w:t>
      </w:r>
      <w:r w:rsidRPr="50B04357">
        <w:rPr>
          <w:rFonts w:ascii="Times New Roman" w:hAnsi="Times New Roman"/>
          <w:sz w:val="24"/>
        </w:rPr>
        <w:t>proposed r</w:t>
      </w:r>
      <w:r w:rsidRPr="006F68E9">
        <w:rPr>
          <w:rFonts w:ascii="Times New Roman" w:hAnsi="Times New Roman"/>
          <w:sz w:val="24"/>
        </w:rPr>
        <w:t>ule is not as extensive as developing a full RMP program. (0444).</w:t>
      </w:r>
    </w:p>
    <w:p w:rsidR="00021D11" w:rsidP="00021D11" w14:paraId="4690E140" w14:textId="1F18EBDC">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826E11">
        <w:rPr>
          <w:rFonts w:ascii="Times New Roman" w:hAnsi="Times New Roman"/>
          <w:sz w:val="24"/>
        </w:rPr>
        <w:t xml:space="preserve">EPA disagrees that the compliance dates for some or all provisions should be shortened to one or two years or should be lengthened to five years or three years after guidance is issued. The Agency believes there is a good balance with three years as the compliance date for most new provisions while also assuring compliance as expeditiously as practicable. Moreover, the initial 1996 RMP rule required compliance per the statute within three years. EPA believes the provisions finalized in this rule are not as extensive as developing a full RMP program. Nevertheless, time is needed for facility owners and operators to understand the revised rule; train facility personnel on the revised provisions; learn new investigation techniques, as appropriate; research safer technologies; arrange for emergency response resources; incorporate changes into their RMPs; and establish a strategy to notify the public that certain information is available upon request. This time is necessary to achieve compliance with the new provisions because as a performance-based rule, EPA has not </w:t>
      </w:r>
      <w:r w:rsidR="00063301">
        <w:rPr>
          <w:rFonts w:ascii="Times New Roman" w:hAnsi="Times New Roman"/>
          <w:sz w:val="24"/>
        </w:rPr>
        <w:t>specified</w:t>
      </w:r>
      <w:r w:rsidRPr="00826E11" w:rsidR="00063301">
        <w:rPr>
          <w:rFonts w:ascii="Times New Roman" w:hAnsi="Times New Roman"/>
          <w:sz w:val="24"/>
        </w:rPr>
        <w:t xml:space="preserve"> </w:t>
      </w:r>
      <w:r w:rsidRPr="00826E11">
        <w:rPr>
          <w:rFonts w:ascii="Times New Roman" w:hAnsi="Times New Roman"/>
          <w:sz w:val="24"/>
        </w:rPr>
        <w:t xml:space="preserve">how facilities apply these provisions to manage and improve process safety at their facility, whether it involves conforming to minimum standards, such as codes, or trying to reduce risk to as low as reasonably practical, or whether it uses qualitative or quantitative assessments. Furthermore, EPA intends to publish guidance for certain provisions, such as STAA, root cause analysis, third-party audits, and employee participation, etc. Once these materials are complete, owners and operators can have time to familiarize themselves with the new materials if needing assistance in applying the provisions to improve </w:t>
      </w:r>
      <w:r w:rsidRPr="00826E11">
        <w:rPr>
          <w:rFonts w:ascii="Times New Roman" w:hAnsi="Times New Roman"/>
          <w:sz w:val="24"/>
        </w:rPr>
        <w:t xml:space="preserve">process safety. </w:t>
      </w:r>
      <w:r w:rsidR="00DB51F8">
        <w:rPr>
          <w:rFonts w:ascii="Times New Roman" w:hAnsi="Times New Roman"/>
          <w:sz w:val="24"/>
        </w:rPr>
        <w:t xml:space="preserve">EPA expects to develop and release this information approximately one year after this final rule. </w:t>
      </w:r>
      <w:r w:rsidRPr="00826E11">
        <w:rPr>
          <w:rFonts w:ascii="Times New Roman" w:hAnsi="Times New Roman"/>
          <w:sz w:val="24"/>
        </w:rPr>
        <w:t>However, most provisions for a source are a site-specific determination, so EPA expects all regulated RMP facilities to be successful in beginning to address the provisions immediately.</w:t>
      </w:r>
    </w:p>
    <w:p w:rsidR="00021D11" w:rsidRPr="006F68E9" w:rsidP="00021D11" w14:paraId="3F1E3E80" w14:textId="246FA8F6">
      <w:pPr>
        <w:rPr>
          <w:rFonts w:ascii="Times New Roman" w:hAnsi="Times New Roman"/>
          <w:sz w:val="24"/>
        </w:rPr>
      </w:pPr>
      <w:r>
        <w:rPr>
          <w:rFonts w:ascii="Times New Roman" w:hAnsi="Times New Roman"/>
          <w:b/>
          <w:bCs/>
          <w:sz w:val="24"/>
        </w:rPr>
        <w:t>Comment 1</w:t>
      </w:r>
      <w:r w:rsidR="008332B5">
        <w:rPr>
          <w:rFonts w:ascii="Times New Roman" w:hAnsi="Times New Roman"/>
          <w:b/>
          <w:bCs/>
          <w:sz w:val="24"/>
        </w:rPr>
        <w:t>5</w:t>
      </w:r>
      <w:r>
        <w:rPr>
          <w:rFonts w:ascii="Times New Roman" w:hAnsi="Times New Roman"/>
          <w:b/>
          <w:bCs/>
          <w:sz w:val="24"/>
        </w:rPr>
        <w:t xml:space="preserve">-05: </w:t>
      </w:r>
      <w:r w:rsidRPr="006F68E9">
        <w:rPr>
          <w:rFonts w:ascii="Times New Roman" w:hAnsi="Times New Roman"/>
          <w:sz w:val="24"/>
        </w:rPr>
        <w:t xml:space="preserve">One commenter asked EPA to clarify the requirement date for compliance with the natural hazard assessment and the power loss evaluations. The commenter asserted that this should occur as expeditiously as practicable, within one year after the effective date of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and facilities should be directed to report that they have completed these assessments soon after completion (0460).</w:t>
      </w:r>
    </w:p>
    <w:p w:rsidR="00021D11" w:rsidP="00021D11" w14:paraId="06507DB5" w14:textId="414165BB">
      <w:pPr>
        <w:rPr>
          <w:rFonts w:ascii="Times New Roman" w:hAnsi="Times New Roman"/>
          <w:sz w:val="24"/>
        </w:rPr>
      </w:pPr>
      <w:r w:rsidRPr="006F68E9">
        <w:rPr>
          <w:rFonts w:ascii="Times New Roman" w:hAnsi="Times New Roman"/>
          <w:sz w:val="24"/>
        </w:rPr>
        <w:t xml:space="preserve">Referring to compliance date for natural hazards and power loss evaluations, another commenter requested EPA clarify how 40 CFR 68.190(b) interacts with 40 CFR 68.10(i) and “assur[e] compliance as expeditiously as practicable.” For example, the commenter </w:t>
      </w:r>
      <w:r>
        <w:rPr>
          <w:rFonts w:ascii="Times New Roman" w:hAnsi="Times New Roman"/>
          <w:sz w:val="24"/>
        </w:rPr>
        <w:t>stated</w:t>
      </w:r>
      <w:r w:rsidRPr="006F68E9">
        <w:rPr>
          <w:rFonts w:ascii="Times New Roman" w:hAnsi="Times New Roman"/>
          <w:sz w:val="24"/>
        </w:rPr>
        <w:t xml:space="preserve"> that if the </w:t>
      </w:r>
      <w:r>
        <w:rPr>
          <w:rFonts w:ascii="Times New Roman" w:hAnsi="Times New Roman"/>
          <w:sz w:val="24"/>
        </w:rPr>
        <w:t>proposed rule</w:t>
      </w:r>
      <w:r w:rsidRPr="006F68E9">
        <w:rPr>
          <w:rFonts w:ascii="Times New Roman" w:hAnsi="Times New Roman"/>
          <w:sz w:val="24"/>
        </w:rPr>
        <w:t xml:space="preserve"> is finalized in 2023 and compliance is required by 2027, but 40 CFR 68.190(b) requires revision of a facility’s RMP by 2025, the current proposal should clarify that the 2025 revised RMP must comply (0460).</w:t>
      </w:r>
    </w:p>
    <w:p w:rsidR="007A444B" w:rsidP="00021D11" w14:paraId="20A36290" w14:textId="3F1FDFAB">
      <w:pPr>
        <w:ind w:left="720"/>
        <w:rPr>
          <w:rFonts w:ascii="Times New Roman" w:hAnsi="Times New Roman"/>
          <w:sz w:val="24"/>
          <w:szCs w:val="28"/>
        </w:rPr>
      </w:pPr>
      <w:r w:rsidRPr="005B3AE3">
        <w:rPr>
          <w:rFonts w:ascii="Times New Roman" w:hAnsi="Times New Roman"/>
          <w:b/>
          <w:bCs/>
          <w:sz w:val="24"/>
          <w:szCs w:val="28"/>
        </w:rPr>
        <w:t>EPA Response:</w:t>
      </w:r>
      <w:r w:rsidRPr="005B3AE3">
        <w:rPr>
          <w:rFonts w:ascii="Times New Roman" w:hAnsi="Times New Roman"/>
          <w:sz w:val="24"/>
          <w:szCs w:val="28"/>
        </w:rPr>
        <w:t xml:space="preserve"> </w:t>
      </w:r>
      <w:r w:rsidRPr="007A444B">
        <w:t xml:space="preserve"> </w:t>
      </w:r>
      <w:r w:rsidRPr="007A444B">
        <w:rPr>
          <w:rFonts w:ascii="Times New Roman" w:hAnsi="Times New Roman"/>
          <w:sz w:val="24"/>
          <w:szCs w:val="28"/>
        </w:rPr>
        <w:t>EPA notes that components of the hazards evaluation amplifications and the other areas of technical clarification in sections V.A. and VIII of th</w:t>
      </w:r>
      <w:r>
        <w:rPr>
          <w:rFonts w:ascii="Times New Roman" w:hAnsi="Times New Roman"/>
          <w:sz w:val="24"/>
          <w:szCs w:val="28"/>
        </w:rPr>
        <w:t>e</w:t>
      </w:r>
      <w:r w:rsidRPr="007A444B">
        <w:rPr>
          <w:rFonts w:ascii="Times New Roman" w:hAnsi="Times New Roman"/>
          <w:sz w:val="24"/>
          <w:szCs w:val="28"/>
        </w:rPr>
        <w:t xml:space="preserve"> preamble impose no new requirements on facilities because they codify existing industry practice and </w:t>
      </w:r>
      <w:r w:rsidR="002C2110">
        <w:rPr>
          <w:rFonts w:ascii="Times New Roman" w:hAnsi="Times New Roman"/>
          <w:sz w:val="24"/>
          <w:szCs w:val="28"/>
        </w:rPr>
        <w:t xml:space="preserve">re-emphasize </w:t>
      </w:r>
      <w:r w:rsidRPr="007A444B">
        <w:rPr>
          <w:rFonts w:ascii="Times New Roman" w:hAnsi="Times New Roman"/>
          <w:sz w:val="24"/>
          <w:szCs w:val="28"/>
        </w:rPr>
        <w:t>current RMP requirements and do not change the meaning of the RMP rule. Compliance for these provisions is therefore already required and should be updated on their normal schedule. For example, an evaluation of natural hazards on a process should already be occurring as part of the hazard review (40 CFR 68.50) or PHA (40 CFR 68.67) and should be updated at least once every 5 years. Additionally, any update to the RMP required by 40 CFR 68.190 should continue to occur as normal and should include updating the RMP with current information required by Subpart G. The intent of the amplifications and clarifications discussed in this final rule are to simplify implementation for facilities, thereby improving chemical safety.</w:t>
      </w:r>
    </w:p>
    <w:p w:rsidR="00021D11" w:rsidP="00021D11" w14:paraId="58F34DFD" w14:textId="173791A9">
      <w:pPr>
        <w:ind w:left="720"/>
        <w:rPr>
          <w:rFonts w:ascii="Times New Roman" w:hAnsi="Times New Roman"/>
          <w:sz w:val="24"/>
        </w:rPr>
      </w:pPr>
      <w:r>
        <w:rPr>
          <w:rFonts w:ascii="Times New Roman" w:hAnsi="Times New Roman"/>
          <w:sz w:val="24"/>
        </w:rPr>
        <w:t>Regarding the</w:t>
      </w:r>
      <w:r w:rsidRPr="00DD0C48">
        <w:rPr>
          <w:rFonts w:ascii="Times New Roman" w:hAnsi="Times New Roman"/>
          <w:sz w:val="24"/>
        </w:rPr>
        <w:t xml:space="preserve"> compliance date for requiring standby or backup power for continuous operation of air monitoring equipment associated with prevention and detection of accidental releases from covered processes, EPA has adopted the three-year compliance date and has amended the regulatory language. EPA believes three years will allow time to evaluate and secure standby or backup power needs for air monitoring equipment and assure their safe operation.</w:t>
      </w:r>
    </w:p>
    <w:p w:rsidR="00021D11" w:rsidP="00021D11" w14:paraId="0903B675" w14:textId="3DD5F326">
      <w:pPr>
        <w:rPr>
          <w:rFonts w:ascii="Times New Roman" w:hAnsi="Times New Roman"/>
          <w:sz w:val="24"/>
        </w:rPr>
      </w:pPr>
      <w:r>
        <w:rPr>
          <w:rFonts w:ascii="Times New Roman" w:hAnsi="Times New Roman"/>
          <w:b/>
          <w:bCs/>
          <w:sz w:val="24"/>
        </w:rPr>
        <w:t>Comment 1</w:t>
      </w:r>
      <w:r w:rsidR="008332B5">
        <w:rPr>
          <w:rFonts w:ascii="Times New Roman" w:hAnsi="Times New Roman"/>
          <w:b/>
          <w:bCs/>
          <w:sz w:val="24"/>
        </w:rPr>
        <w:t>5</w:t>
      </w:r>
      <w:r>
        <w:rPr>
          <w:rFonts w:ascii="Times New Roman" w:hAnsi="Times New Roman"/>
          <w:b/>
          <w:bCs/>
          <w:sz w:val="24"/>
        </w:rPr>
        <w:t xml:space="preserve">-06: </w:t>
      </w:r>
      <w:r w:rsidRPr="00F82B3F">
        <w:rPr>
          <w:rFonts w:ascii="Times New Roman" w:hAnsi="Times New Roman"/>
          <w:sz w:val="24"/>
        </w:rPr>
        <w:t xml:space="preserve">A couple </w:t>
      </w:r>
      <w:r w:rsidRPr="00F82B3F">
        <w:rPr>
          <w:rFonts w:ascii="Times New Roman" w:hAnsi="Times New Roman"/>
          <w:sz w:val="24"/>
        </w:rPr>
        <w:t xml:space="preserve">of </w:t>
      </w:r>
      <w:r w:rsidRPr="00F82B3F">
        <w:rPr>
          <w:rFonts w:ascii="Times New Roman" w:hAnsi="Times New Roman"/>
          <w:sz w:val="24"/>
        </w:rPr>
        <w:t>commenters expressed concern that the 45-day period to receive information once requested is too long for people to wait that urgently need information (0251, 0460).</w:t>
      </w:r>
      <w:r>
        <w:rPr>
          <w:rFonts w:ascii="Times New Roman" w:hAnsi="Times New Roman"/>
          <w:sz w:val="24"/>
        </w:rPr>
        <w:t xml:space="preserve"> A couple of commenters suggested that the required response time be shortened (0203, 0251). </w:t>
      </w:r>
    </w:p>
    <w:p w:rsidR="00021D11" w:rsidRPr="00903E6F" w:rsidP="00021D11" w14:paraId="1042C0D0" w14:textId="095EA9AF">
      <w:pPr>
        <w:ind w:left="720"/>
        <w:rPr>
          <w:rFonts w:ascii="Times New Roman" w:hAnsi="Times New Roman"/>
          <w:sz w:val="24"/>
        </w:rPr>
      </w:pPr>
      <w:r w:rsidRPr="00483C25">
        <w:rPr>
          <w:rFonts w:ascii="Times New Roman" w:hAnsi="Times New Roman"/>
          <w:b/>
          <w:bCs/>
          <w:sz w:val="24"/>
        </w:rPr>
        <w:t>EPA Response:</w:t>
      </w:r>
      <w:r>
        <w:rPr>
          <w:rFonts w:ascii="Times New Roman" w:hAnsi="Times New Roman"/>
          <w:sz w:val="24"/>
        </w:rPr>
        <w:t xml:space="preserve"> </w:t>
      </w:r>
      <w:r w:rsidRPr="00450898">
        <w:t xml:space="preserve"> </w:t>
      </w:r>
      <w:r w:rsidRPr="00903E6F">
        <w:rPr>
          <w:rFonts w:ascii="Times New Roman" w:hAnsi="Times New Roman"/>
          <w:sz w:val="24"/>
        </w:rPr>
        <w:t xml:space="preserve">EPA disagrees with these commenters and is finalizing a three-year compliance date for the information availability provision. This means that three years after the effective date of the rule, the facility owner or operator must have notifications in place to inform the public that information specified in 40 CFR 68.210(b) is available upon request. EPA believes that this timeframe is </w:t>
      </w:r>
      <w:r w:rsidR="00660408">
        <w:rPr>
          <w:rFonts w:ascii="Times New Roman" w:hAnsi="Times New Roman"/>
          <w:sz w:val="24"/>
        </w:rPr>
        <w:t>needed</w:t>
      </w:r>
      <w:r w:rsidRPr="00903E6F">
        <w:rPr>
          <w:rFonts w:ascii="Times New Roman" w:hAnsi="Times New Roman"/>
          <w:sz w:val="24"/>
        </w:rPr>
        <w:t xml:space="preserve"> to allow facility staff an opportunity to determine the best method for providing notifications to the public, to assemble and format information, including securing appropriate language translation services, and to prepare to respond to information requests. EPA is therefore finalizing the three-year compliance date for the information availability provision. </w:t>
      </w:r>
    </w:p>
    <w:p w:rsidR="00021D11" w:rsidRPr="00F70283" w:rsidP="00021D11" w14:paraId="6BEB9A64" w14:textId="77777777">
      <w:pPr>
        <w:rPr>
          <w:rFonts w:ascii="Times New Roman" w:hAnsi="Times New Roman"/>
          <w:i/>
          <w:sz w:val="24"/>
        </w:rPr>
      </w:pPr>
      <w:r>
        <w:rPr>
          <w:rFonts w:ascii="Times New Roman" w:hAnsi="Times New Roman"/>
          <w:i/>
          <w:iCs/>
          <w:sz w:val="24"/>
        </w:rPr>
        <w:t xml:space="preserve">Recommendations to extend compliance dates </w:t>
      </w:r>
    </w:p>
    <w:p w:rsidR="00021D11" w:rsidP="00021D11" w14:paraId="488EDC53" w14:textId="40636F07">
      <w:pPr>
        <w:rPr>
          <w:rFonts w:ascii="Times New Roman" w:hAnsi="Times New Roman"/>
          <w:sz w:val="24"/>
        </w:rPr>
      </w:pPr>
      <w:r>
        <w:rPr>
          <w:rFonts w:ascii="Times New Roman" w:hAnsi="Times New Roman"/>
          <w:b/>
          <w:bCs/>
          <w:sz w:val="24"/>
        </w:rPr>
        <w:t>Comment 1</w:t>
      </w:r>
      <w:r w:rsidR="008332B5">
        <w:rPr>
          <w:rFonts w:ascii="Times New Roman" w:hAnsi="Times New Roman"/>
          <w:b/>
          <w:bCs/>
          <w:sz w:val="24"/>
        </w:rPr>
        <w:t>5</w:t>
      </w:r>
      <w:r>
        <w:rPr>
          <w:rFonts w:ascii="Times New Roman" w:hAnsi="Times New Roman"/>
          <w:b/>
          <w:bCs/>
          <w:sz w:val="24"/>
        </w:rPr>
        <w:t xml:space="preserve">-07: </w:t>
      </w:r>
      <w:r w:rsidRPr="006F68E9">
        <w:rPr>
          <w:rFonts w:ascii="Times New Roman" w:hAnsi="Times New Roman"/>
          <w:sz w:val="24"/>
        </w:rPr>
        <w:t xml:space="preserve">Several commenters stated that there are too many proposed changes to accomplish in three years and asked EPA to extend the compliance deadlines to five years after the effective date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(0181, 0240, 0253, 0262).</w:t>
      </w:r>
    </w:p>
    <w:p w:rsidR="00021D11" w:rsidP="00021D11" w14:paraId="2BA72881" w14:textId="77777777">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who objected to the effective dates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as too restrictive, said EPA failed to meet its CAA obligation to set RMP effective dates in a manner that assures compliance as “expeditiously as practicable” (0233).</w:t>
      </w:r>
    </w:p>
    <w:p w:rsidR="0018002E" w:rsidP="00021D11" w14:paraId="255B476F" w14:textId="51CD717E">
      <w:pPr>
        <w:rPr>
          <w:rFonts w:ascii="Times New Roman" w:hAnsi="Times New Roman"/>
          <w:sz w:val="24"/>
        </w:rPr>
      </w:pPr>
      <w:r w:rsidRPr="00903E6F">
        <w:rPr>
          <w:rFonts w:ascii="Times New Roman" w:hAnsi="Times New Roman"/>
          <w:sz w:val="24"/>
        </w:rPr>
        <w:t xml:space="preserve">One </w:t>
      </w:r>
      <w:r>
        <w:rPr>
          <w:rFonts w:ascii="Times New Roman" w:hAnsi="Times New Roman"/>
          <w:sz w:val="24"/>
        </w:rPr>
        <w:t xml:space="preserve">of the </w:t>
      </w:r>
      <w:r w:rsidRPr="00903E6F">
        <w:rPr>
          <w:rFonts w:ascii="Times New Roman" w:hAnsi="Times New Roman"/>
          <w:sz w:val="24"/>
        </w:rPr>
        <w:t>commenter</w:t>
      </w:r>
      <w:r>
        <w:rPr>
          <w:rFonts w:ascii="Times New Roman" w:hAnsi="Times New Roman"/>
          <w:sz w:val="24"/>
        </w:rPr>
        <w:t>s</w:t>
      </w:r>
      <w:r w:rsidRPr="00903E6F">
        <w:rPr>
          <w:rFonts w:ascii="Times New Roman" w:hAnsi="Times New Roman"/>
          <w:sz w:val="24"/>
        </w:rPr>
        <w:t xml:space="preserve"> opposed allowing companies three years after the effective date of the proposed rule to comply. The commenter stated that this period is too long, given that most companies are already complying with an existing version of the RMP rule. The commenter suggested a one-year timeline is most appropriate (0254).</w:t>
      </w:r>
    </w:p>
    <w:p w:rsidR="00021D11" w:rsidRPr="006F68E9" w:rsidP="00021D11" w14:paraId="46C9BA39" w14:textId="5D69A16C">
      <w:pPr>
        <w:tabs>
          <w:tab w:val="left" w:pos="720"/>
        </w:tabs>
        <w:ind w:left="720"/>
        <w:rPr>
          <w:rFonts w:ascii="Times New Roman" w:hAnsi="Times New Roman"/>
          <w:sz w:val="24"/>
        </w:rPr>
      </w:pPr>
      <w:r w:rsidRPr="00826E11">
        <w:rPr>
          <w:rFonts w:ascii="Times New Roman" w:hAnsi="Times New Roman"/>
          <w:b/>
          <w:bCs/>
          <w:sz w:val="24"/>
        </w:rPr>
        <w:t>EPA Response:</w:t>
      </w:r>
      <w:r w:rsidRPr="00826E11">
        <w:rPr>
          <w:rFonts w:ascii="Times New Roman" w:hAnsi="Times New Roman"/>
          <w:sz w:val="24"/>
        </w:rPr>
        <w:t xml:space="preserve"> EPA disagrees that the compliance dates for some or all provisions should be shortened to one or two years or should be lengthened to five years or three years after guidance is issued. The Agency believes there is a good balance with three years as the compliance date for most new provisions while also assuring compliance as expeditiously as practicable. Moreover, the initial 1996 RMP rule required compliance per the statute within three years. EPA believes the provisions finalized in this rule are not as extensive as developing a full RMP program. Nevertheless, time is needed for facility owners and operators to understand the revised rule; train facility personnel on the revised provisions; learn new investigation techniques, as appropriate; research safer technologies; arrange for emergency response resources; incorporate changes into their RMPs; and establish a strategy to notify the public that certain information is available upon request. This time is necessary to achieve compliance with the new provisions because as a performance-based rule, EPA has not </w:t>
      </w:r>
      <w:r w:rsidR="00063301">
        <w:rPr>
          <w:rFonts w:ascii="Times New Roman" w:hAnsi="Times New Roman"/>
          <w:sz w:val="24"/>
        </w:rPr>
        <w:t>specified</w:t>
      </w:r>
      <w:r w:rsidRPr="00826E11" w:rsidR="00063301">
        <w:rPr>
          <w:rFonts w:ascii="Times New Roman" w:hAnsi="Times New Roman"/>
          <w:sz w:val="24"/>
        </w:rPr>
        <w:t xml:space="preserve"> </w:t>
      </w:r>
      <w:r w:rsidRPr="00826E11">
        <w:rPr>
          <w:rFonts w:ascii="Times New Roman" w:hAnsi="Times New Roman"/>
          <w:sz w:val="24"/>
        </w:rPr>
        <w:t xml:space="preserve">how facilities apply these provisions to manage and improve process safety at their facility, whether it involves conforming to minimum standards, such as codes, or trying to reduce risk to as low as reasonably practical, or whether it uses qualitative or quantitative assessments. Furthermore, EPA intends to publish guidance for certain provisions, such as STAA, root cause analysis, third-party audits, and employee participation, etc. Once these materials are complete, owners and operators can have time to familiarize themselves with the new materials if needing assistance in applying the provisions to improve process safety. </w:t>
      </w:r>
      <w:r w:rsidR="00386590">
        <w:rPr>
          <w:rFonts w:ascii="Times New Roman" w:hAnsi="Times New Roman"/>
          <w:sz w:val="24"/>
        </w:rPr>
        <w:t xml:space="preserve">EPA expects to develop and release this information approximately one year after this final rule. </w:t>
      </w:r>
      <w:r w:rsidRPr="00826E11">
        <w:rPr>
          <w:rFonts w:ascii="Times New Roman" w:hAnsi="Times New Roman"/>
          <w:sz w:val="24"/>
        </w:rPr>
        <w:t>However, most provisions for a source are a site-specific determination, so EPA expects all regulated RMP facilities to be successful in beginning to address the provisions immediately.</w:t>
      </w:r>
    </w:p>
    <w:p w:rsidR="00021D11" w:rsidP="00021D11" w14:paraId="43FA02FC" w14:textId="299D9D4F">
      <w:pPr>
        <w:rPr>
          <w:rFonts w:ascii="Times New Roman" w:hAnsi="Times New Roman"/>
          <w:sz w:val="24"/>
        </w:rPr>
      </w:pPr>
      <w:r w:rsidRPr="003E6248">
        <w:rPr>
          <w:rFonts w:ascii="Times New Roman" w:hAnsi="Times New Roman"/>
          <w:b/>
          <w:bCs/>
          <w:sz w:val="24"/>
        </w:rPr>
        <w:t>Comment</w:t>
      </w:r>
      <w:r>
        <w:rPr>
          <w:rFonts w:ascii="Times New Roman" w:hAnsi="Times New Roman"/>
          <w:b/>
          <w:bCs/>
          <w:sz w:val="24"/>
        </w:rPr>
        <w:t xml:space="preserve"> 1</w:t>
      </w:r>
      <w:r w:rsidR="008332B5">
        <w:rPr>
          <w:rFonts w:ascii="Times New Roman" w:hAnsi="Times New Roman"/>
          <w:b/>
          <w:bCs/>
          <w:sz w:val="24"/>
        </w:rPr>
        <w:t>5</w:t>
      </w:r>
      <w:r>
        <w:rPr>
          <w:rFonts w:ascii="Times New Roman" w:hAnsi="Times New Roman"/>
          <w:b/>
          <w:bCs/>
          <w:sz w:val="24"/>
        </w:rPr>
        <w:t>-08</w:t>
      </w:r>
      <w:r w:rsidRPr="003E6248">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pointed out that EPA’s proposal would require facilities to comply with the proposed revisions in the PHAs upon the effective date of the rule. The commenter said that the deadline is infeasible because it would take years to address the host of expansive new PHA requirements that require analysis of a wide range of issues. Accordingly, the commenter asked EPA to clarify that the deadline for any new requirements is when the PHA becomes due as part of its </w:t>
      </w:r>
      <w:r>
        <w:rPr>
          <w:rFonts w:ascii="Times New Roman" w:hAnsi="Times New Roman"/>
          <w:sz w:val="24"/>
        </w:rPr>
        <w:t>five</w:t>
      </w:r>
      <w:r w:rsidRPr="006F68E9">
        <w:rPr>
          <w:rFonts w:ascii="Times New Roman" w:hAnsi="Times New Roman"/>
          <w:sz w:val="24"/>
        </w:rPr>
        <w:t xml:space="preserve">-year cycle, or </w:t>
      </w:r>
      <w:r>
        <w:rPr>
          <w:rFonts w:ascii="Times New Roman" w:hAnsi="Times New Roman"/>
          <w:sz w:val="24"/>
        </w:rPr>
        <w:t>three</w:t>
      </w:r>
      <w:r w:rsidRPr="006F68E9">
        <w:rPr>
          <w:rFonts w:ascii="Times New Roman" w:hAnsi="Times New Roman"/>
          <w:sz w:val="24"/>
        </w:rPr>
        <w:t xml:space="preserve"> years after the effective date of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whichever comes later (0268).</w:t>
      </w:r>
      <w:r>
        <w:rPr>
          <w:rFonts w:ascii="Times New Roman" w:hAnsi="Times New Roman"/>
          <w:sz w:val="24"/>
        </w:rPr>
        <w:t xml:space="preserve"> </w:t>
      </w:r>
      <w:r w:rsidRPr="006F68E9">
        <w:rPr>
          <w:rFonts w:ascii="Times New Roman" w:hAnsi="Times New Roman"/>
          <w:sz w:val="24"/>
        </w:rPr>
        <w:t xml:space="preserve">Referring to the natural hazards assessment, another commenter requested an implementation date of no sooner than five years after the effective date of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 (0233).</w:t>
      </w:r>
    </w:p>
    <w:p w:rsidR="001B7AF4" w:rsidP="00021D11" w14:paraId="2FE195AA" w14:textId="4405277B">
      <w:pPr>
        <w:tabs>
          <w:tab w:val="left" w:pos="720"/>
        </w:tabs>
        <w:ind w:left="720"/>
        <w:rPr>
          <w:rFonts w:ascii="Times New Roman" w:hAnsi="Times New Roman"/>
          <w:sz w:val="24"/>
        </w:rPr>
      </w:pPr>
      <w:r w:rsidRPr="00FA200B">
        <w:rPr>
          <w:rFonts w:ascii="Times New Roman" w:hAnsi="Times New Roman"/>
          <w:b/>
          <w:bCs/>
          <w:sz w:val="24"/>
        </w:rPr>
        <w:t>EPA Response:</w:t>
      </w:r>
      <w:r w:rsidRPr="00FA200B">
        <w:rPr>
          <w:rFonts w:ascii="Times New Roman" w:hAnsi="Times New Roman"/>
          <w:sz w:val="24"/>
        </w:rPr>
        <w:t xml:space="preserve"> EPA notes that components of the hazards evaluation amplifications and the other areas of technical clarification in sections V.A. and VIII of this preamble impose no new requirements on facilities because they codify existing industry practice and </w:t>
      </w:r>
      <w:r w:rsidR="002C2110">
        <w:rPr>
          <w:rFonts w:ascii="Times New Roman" w:hAnsi="Times New Roman"/>
          <w:sz w:val="24"/>
        </w:rPr>
        <w:t xml:space="preserve">re-emphasize </w:t>
      </w:r>
      <w:r w:rsidRPr="00FA200B">
        <w:rPr>
          <w:rFonts w:ascii="Times New Roman" w:hAnsi="Times New Roman"/>
          <w:sz w:val="24"/>
        </w:rPr>
        <w:t xml:space="preserve">current RMP requirements and do not change the meaning of the RMP rule. Compliance for these provisions is therefore already required and should be updated </w:t>
      </w:r>
      <w:r w:rsidRPr="00FA200B">
        <w:rPr>
          <w:rFonts w:ascii="Times New Roman" w:hAnsi="Times New Roman"/>
          <w:sz w:val="24"/>
        </w:rPr>
        <w:t>on their normal schedule. For example, an evaluation of natural hazards on a process should already be occurring as part of the hazard review (40 CFR 68.50) or PHA (40 CFR 68.67) and should be updated at least once every 5 years. Additionally, any update to the RMP required by 40 CFR 68.190 should continue to occur as normal and should include updating the RMP with current information required by Subpart G. The intent of the amplifications and clarifications discussed in this final rule are to simplify implementation for facilities, thereby improving chemical safety.</w:t>
      </w:r>
    </w:p>
    <w:p w:rsidR="001B7AF4" w:rsidRPr="00FA200B" w:rsidP="00021D11" w14:paraId="4CE47EE4" w14:textId="046672B7">
      <w:pPr>
        <w:tabs>
          <w:tab w:val="left" w:pos="720"/>
        </w:tabs>
        <w:ind w:left="720"/>
        <w:rPr>
          <w:rFonts w:ascii="Times New Roman" w:hAnsi="Times New Roman"/>
          <w:sz w:val="24"/>
        </w:rPr>
      </w:pPr>
      <w:r w:rsidRPr="001B7AF4">
        <w:rPr>
          <w:rFonts w:ascii="Times New Roman" w:hAnsi="Times New Roman"/>
          <w:sz w:val="24"/>
        </w:rPr>
        <w:t xml:space="preserve">EPA is finalizing a three-year compliance date for the STAA evaluation and </w:t>
      </w:r>
      <w:r w:rsidR="00BE4E41">
        <w:rPr>
          <w:rFonts w:ascii="Times New Roman" w:hAnsi="Times New Roman"/>
          <w:sz w:val="24"/>
        </w:rPr>
        <w:t xml:space="preserve">IST/ISD </w:t>
      </w:r>
      <w:r w:rsidRPr="001B7AF4">
        <w:rPr>
          <w:rFonts w:ascii="Times New Roman" w:hAnsi="Times New Roman"/>
          <w:sz w:val="24"/>
        </w:rPr>
        <w:t xml:space="preserve">practicability assessment. Sources subject to this provision are among the largest and most complex sources regulated under 40 CFR part 68, and therefore PHAs and PHA updates and revalidations at these sources typically require a significant level planning. While PHA updates are normally done at five-year intervals, the Agency recognizes that some sources may be far enough along with their PHAs that they will not be able to schedule their STAAs as part of their PHAs. Such sources have the option of not performing STAA as part of their PHA so long as they perform a STAA within 3 years of the effective date of the final rule. Considering updates or revalidations to the initial STAA activities will likely require less effort, the Agency expects many of these sources will later incorporate further STAA updates on their normal PHA update schedule. Regarding the STAA </w:t>
      </w:r>
      <w:r w:rsidR="00BE4E41">
        <w:rPr>
          <w:rFonts w:ascii="Times New Roman" w:hAnsi="Times New Roman"/>
          <w:sz w:val="24"/>
        </w:rPr>
        <w:t xml:space="preserve">safeguard </w:t>
      </w:r>
      <w:r w:rsidRPr="001B7AF4">
        <w:rPr>
          <w:rFonts w:ascii="Times New Roman" w:hAnsi="Times New Roman"/>
          <w:sz w:val="24"/>
        </w:rPr>
        <w:t>implementation provision, since implementation (of at least one passive measure, or an inherently safer technology or design, or a combination of active and procedural measures equivalent to or greater than the risk reduction of a passive measure) is required each PHA cycle, EPA expects implementation to be commenced within that cycle and scheduled for completion as soon as practicable.</w:t>
      </w:r>
    </w:p>
    <w:p w:rsidR="00021D11" w:rsidP="00021D11" w14:paraId="703926A5" w14:textId="5BEA72E7">
      <w:pPr>
        <w:rPr>
          <w:rFonts w:ascii="Times New Roman" w:hAnsi="Times New Roman"/>
          <w:sz w:val="24"/>
        </w:rPr>
      </w:pPr>
      <w:r w:rsidRPr="003E6248">
        <w:rPr>
          <w:rFonts w:ascii="Times New Roman" w:hAnsi="Times New Roman"/>
          <w:b/>
          <w:bCs/>
          <w:sz w:val="24"/>
        </w:rPr>
        <w:t>Comment</w:t>
      </w:r>
      <w:r>
        <w:rPr>
          <w:rFonts w:ascii="Times New Roman" w:hAnsi="Times New Roman"/>
          <w:b/>
          <w:bCs/>
          <w:sz w:val="24"/>
        </w:rPr>
        <w:t xml:space="preserve"> 1</w:t>
      </w:r>
      <w:r w:rsidR="008332B5">
        <w:rPr>
          <w:rFonts w:ascii="Times New Roman" w:hAnsi="Times New Roman"/>
          <w:b/>
          <w:bCs/>
          <w:sz w:val="24"/>
        </w:rPr>
        <w:t>5</w:t>
      </w:r>
      <w:r>
        <w:rPr>
          <w:rFonts w:ascii="Times New Roman" w:hAnsi="Times New Roman"/>
          <w:b/>
          <w:bCs/>
          <w:sz w:val="24"/>
        </w:rPr>
        <w:t>-09</w:t>
      </w:r>
      <w:r w:rsidRPr="003E6248">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The commenter pointed out that the STAA requirement effective date would disrupt PHA cycles. They stated that the proposed STAA deadline is impracticable for facilities scheduled to complete their PHA update and re-validation any time after August 1, 2021. The commenter requested that EPA modify the effective date to perform a STAA as part of the next-scheduled PHA update and re-validation that occurs any time after three years from EPA’s issuance of the intended STAA guidance or the </w:t>
      </w:r>
      <w:r>
        <w:rPr>
          <w:rFonts w:ascii="Times New Roman" w:hAnsi="Times New Roman"/>
          <w:sz w:val="24"/>
        </w:rPr>
        <w:t>f</w:t>
      </w:r>
      <w:r w:rsidRPr="006F68E9">
        <w:rPr>
          <w:rFonts w:ascii="Times New Roman" w:hAnsi="Times New Roman"/>
          <w:sz w:val="24"/>
        </w:rPr>
        <w:t xml:space="preserve">inal </w:t>
      </w:r>
      <w:r>
        <w:rPr>
          <w:rFonts w:ascii="Times New Roman" w:hAnsi="Times New Roman"/>
          <w:sz w:val="24"/>
        </w:rPr>
        <w:t>r</w:t>
      </w:r>
      <w:r w:rsidRPr="006F68E9">
        <w:rPr>
          <w:rFonts w:ascii="Times New Roman" w:hAnsi="Times New Roman"/>
          <w:sz w:val="24"/>
        </w:rPr>
        <w:t>ule’s effective date, whichever is later (0233).</w:t>
      </w:r>
    </w:p>
    <w:p w:rsidR="00DD6547" w:rsidP="00021D11" w14:paraId="5C6FF537" w14:textId="2914D369">
      <w:pPr>
        <w:rPr>
          <w:rFonts w:ascii="Times New Roman" w:hAnsi="Times New Roman"/>
          <w:sz w:val="24"/>
        </w:rPr>
      </w:pPr>
      <w:r>
        <w:rPr>
          <w:rFonts w:ascii="Times New Roman" w:hAnsi="Times New Roman"/>
          <w:sz w:val="24"/>
        </w:rPr>
        <w:t xml:space="preserve">One </w:t>
      </w:r>
      <w:r w:rsidRPr="006F68E9">
        <w:rPr>
          <w:rFonts w:ascii="Times New Roman" w:hAnsi="Times New Roman"/>
          <w:sz w:val="24"/>
        </w:rPr>
        <w:t xml:space="preserve">commenter stated that the compliance schedule for STAA is unreasonable, and even though the commenter expressed support for STAA taking place during the design phase, the commenter stated that it is inappropriate to extend the requirement to existing processes (0268). </w:t>
      </w:r>
    </w:p>
    <w:p w:rsidR="00021D11" w:rsidP="00021D11" w14:paraId="5B8C6DFE" w14:textId="06C9AD78">
      <w:pPr>
        <w:ind w:left="720"/>
        <w:rPr>
          <w:rFonts w:ascii="Times New Roman" w:hAnsi="Times New Roman"/>
          <w:sz w:val="24"/>
        </w:rPr>
      </w:pPr>
      <w:r w:rsidRPr="00ED229C">
        <w:rPr>
          <w:rFonts w:ascii="Times New Roman" w:hAnsi="Times New Roman"/>
          <w:b/>
          <w:bCs/>
          <w:sz w:val="24"/>
        </w:rPr>
        <w:t>EPA Response:</w:t>
      </w:r>
      <w:r w:rsidRPr="00ED229C">
        <w:rPr>
          <w:rFonts w:ascii="Times New Roman" w:hAnsi="Times New Roman"/>
          <w:sz w:val="24"/>
        </w:rPr>
        <w:t xml:space="preserve"> EPA disagrees with commenters and is finalizing a three-year compliance date for the STAA evaluation and </w:t>
      </w:r>
      <w:r w:rsidR="00BE4E41">
        <w:rPr>
          <w:rFonts w:ascii="Times New Roman" w:hAnsi="Times New Roman"/>
          <w:sz w:val="24"/>
        </w:rPr>
        <w:t xml:space="preserve">IST/ISD </w:t>
      </w:r>
      <w:r w:rsidRPr="00ED229C">
        <w:rPr>
          <w:rFonts w:ascii="Times New Roman" w:hAnsi="Times New Roman"/>
          <w:sz w:val="24"/>
        </w:rPr>
        <w:t>practicability assessment. Sources subject to this provision are among the largest and most complex sources regulated under 40 CFR part 68, and therefore PHAs and PHA updates and revalidations at these sources typically require a significant level planning.</w:t>
      </w:r>
      <w:r w:rsidRPr="00ED229C">
        <w:rPr>
          <w:rFonts w:ascii="Times New Roman" w:hAnsi="Times New Roman"/>
          <w:sz w:val="24"/>
        </w:rPr>
        <w:t xml:space="preserve"> </w:t>
      </w:r>
      <w:r w:rsidRPr="00ED229C">
        <w:rPr>
          <w:rFonts w:ascii="Times New Roman" w:hAnsi="Times New Roman"/>
          <w:sz w:val="24"/>
        </w:rPr>
        <w:t xml:space="preserve">While PHA updates are normally done at five-year intervals, the Agency recognizes that some sources may be far enough along with their PHAs that they will not be able to schedule their STAAs as part of their PHAs. Such sources have the option of not performing STAA as part of their PHA so long as they perform a STAA within 3 years of the effective date of the final rule. Considering updates or revalidations to the initial STAA activities will likely require less effort, the Agency expects many of these sources will later incorporate further STAA updates on their normal PHA update schedule. Regarding the STAA </w:t>
      </w:r>
      <w:r w:rsidR="00BE4E41">
        <w:rPr>
          <w:rFonts w:ascii="Times New Roman" w:hAnsi="Times New Roman"/>
          <w:sz w:val="24"/>
        </w:rPr>
        <w:t xml:space="preserve">safeguard </w:t>
      </w:r>
      <w:r w:rsidRPr="00ED229C">
        <w:rPr>
          <w:rFonts w:ascii="Times New Roman" w:hAnsi="Times New Roman"/>
          <w:sz w:val="24"/>
        </w:rPr>
        <w:t xml:space="preserve">implementation </w:t>
      </w:r>
      <w:r w:rsidRPr="00ED229C">
        <w:rPr>
          <w:rFonts w:ascii="Times New Roman" w:hAnsi="Times New Roman"/>
          <w:sz w:val="24"/>
        </w:rPr>
        <w:t xml:space="preserve">provision, since implementation (of at least one passive measure, or an inherently safer technology or design, or a combination of active and procedural measures equivalent to or greater than the risk reduction of a passive measure) is required each PHA cycle, EPA expects implementation to be commenced within that cycle and scheduled for completion as soon as practicable.  </w:t>
      </w:r>
    </w:p>
    <w:p w:rsidR="00021D11" w:rsidRPr="006F68E9" w:rsidP="00021D11" w14:paraId="35649266" w14:textId="30B2B0A9">
      <w:pPr>
        <w:rPr>
          <w:rFonts w:ascii="Times New Roman" w:hAnsi="Times New Roman"/>
          <w:sz w:val="24"/>
        </w:rPr>
      </w:pPr>
      <w:r>
        <w:rPr>
          <w:rFonts w:ascii="Times New Roman" w:hAnsi="Times New Roman"/>
          <w:b/>
          <w:bCs/>
          <w:sz w:val="24"/>
        </w:rPr>
        <w:t>Comment 1</w:t>
      </w:r>
      <w:r w:rsidR="008332B5">
        <w:rPr>
          <w:rFonts w:ascii="Times New Roman" w:hAnsi="Times New Roman"/>
          <w:b/>
          <w:bCs/>
          <w:sz w:val="24"/>
        </w:rPr>
        <w:t>5</w:t>
      </w:r>
      <w:r>
        <w:rPr>
          <w:rFonts w:ascii="Times New Roman" w:hAnsi="Times New Roman"/>
          <w:b/>
          <w:bCs/>
          <w:sz w:val="24"/>
        </w:rPr>
        <w:t xml:space="preserve">-10: </w:t>
      </w:r>
      <w:r w:rsidRPr="006F68E9">
        <w:rPr>
          <w:rFonts w:ascii="Times New Roman" w:hAnsi="Times New Roman"/>
          <w:sz w:val="24"/>
        </w:rPr>
        <w:t>Regarding the community notification system requirements, the commenter said it will take more than three years to implement because it will be a significant undertaking requiring involvement of and coordination with several different parties (0233).</w:t>
      </w:r>
    </w:p>
    <w:p w:rsidR="00021D11" w:rsidRPr="006F68E9" w:rsidP="00021D11" w14:paraId="6E5126D2" w14:textId="77777777">
      <w:pPr>
        <w:rPr>
          <w:rFonts w:ascii="Times New Roman" w:hAnsi="Times New Roman"/>
          <w:sz w:val="24"/>
        </w:rPr>
      </w:pPr>
      <w:r w:rsidRPr="006F68E9">
        <w:rPr>
          <w:rFonts w:ascii="Times New Roman" w:hAnsi="Times New Roman"/>
          <w:sz w:val="24"/>
        </w:rPr>
        <w:t xml:space="preserve">The commenter stated that to the extent that EPA intends to rely on forthcoming guidance in interpreting and enforcing the new RMP provisions, it is imperative that these new requirements not take effect until at least three years after the relevant guidance is issued, instead of three years after the effective date of the </w:t>
      </w:r>
      <w:r>
        <w:rPr>
          <w:rFonts w:ascii="Times New Roman" w:hAnsi="Times New Roman"/>
          <w:sz w:val="24"/>
        </w:rPr>
        <w:t>final rule</w:t>
      </w:r>
      <w:r w:rsidRPr="006F68E9">
        <w:rPr>
          <w:rFonts w:ascii="Times New Roman" w:hAnsi="Times New Roman"/>
          <w:sz w:val="24"/>
        </w:rPr>
        <w:t xml:space="preserve"> as EPA has proposed (0233).</w:t>
      </w:r>
    </w:p>
    <w:p w:rsidR="00021D11" w:rsidP="00021D11" w14:paraId="3A4B4957" w14:textId="77777777">
      <w:pPr>
        <w:ind w:left="720"/>
        <w:rPr>
          <w:rFonts w:ascii="Times New Roman" w:hAnsi="Times New Roman"/>
          <w:sz w:val="24"/>
        </w:rPr>
      </w:pPr>
      <w:r w:rsidRPr="000C1329">
        <w:rPr>
          <w:rFonts w:ascii="Times New Roman" w:hAnsi="Times New Roman"/>
          <w:b/>
          <w:bCs/>
          <w:sz w:val="24"/>
        </w:rPr>
        <w:t>EPA Response:</w:t>
      </w:r>
      <w:r w:rsidRPr="000C1329">
        <w:rPr>
          <w:rFonts w:ascii="Times New Roman" w:hAnsi="Times New Roman"/>
          <w:sz w:val="24"/>
        </w:rPr>
        <w:t xml:space="preserve"> EPA disagrees with commenters that this provision will take longer than three years to implement. This provision is for facility owners and operators to work with the local responders to ensure that, during a release, a notification system is in place that will notify the public of the impending situation. EPA expects the partnership to occur at least during annual coordination discussions under 40 CFR 68.93. Under 40 CFR 68.93, owners and operators are required to annually coordinate response needs with local emergency planning and response organizations to determine how the facility is addressed in the community emergency response plan, among other things. A component of the community emergency response plan is public notification of chemical releases; therefore, it is expected that this component will be discussed and documented by the facility owner or operator as part of the annual coordination obligations. Therefore, EPA is finalizing the 3-year compliance date as proposed. </w:t>
      </w:r>
    </w:p>
    <w:p w:rsidR="00DF29F7" w:rsidP="00021D11" w14:paraId="3845CF29" w14:textId="44463D4E">
      <w:pPr>
        <w:ind w:left="720"/>
        <w:rPr>
          <w:rFonts w:ascii="Times New Roman" w:hAnsi="Times New Roman"/>
          <w:sz w:val="24"/>
        </w:rPr>
      </w:pPr>
      <w:r>
        <w:rPr>
          <w:rFonts w:ascii="Times New Roman" w:hAnsi="Times New Roman"/>
          <w:sz w:val="24"/>
        </w:rPr>
        <w:t>As indicated in the proposal and in this final rule</w:t>
      </w:r>
      <w:r w:rsidRPr="00DF29F7">
        <w:rPr>
          <w:rFonts w:ascii="Times New Roman" w:hAnsi="Times New Roman"/>
          <w:sz w:val="24"/>
        </w:rPr>
        <w:t xml:space="preserve">, EPA intends to publish guidance for certain provisions, such as STAA, root cause analysis, third-party audits, and employee participation, etc. Once these materials are complete, owners and operators can have time to familiarize themselves with the new materials if needing assistance in applying the provisions to improve process safety. </w:t>
      </w:r>
      <w:r w:rsidR="00386590">
        <w:rPr>
          <w:rFonts w:ascii="Times New Roman" w:hAnsi="Times New Roman"/>
          <w:sz w:val="24"/>
        </w:rPr>
        <w:t xml:space="preserve">EPA expects to develop and release this information approximately one year after this final rule. </w:t>
      </w:r>
      <w:r w:rsidRPr="00DF29F7">
        <w:rPr>
          <w:rFonts w:ascii="Times New Roman" w:hAnsi="Times New Roman"/>
          <w:sz w:val="24"/>
        </w:rPr>
        <w:t>However, most provisions for a source are a site-specific determination, so EPA expects all regulated RMP facilities to be successful in beginning to address the provisions immediately.</w:t>
      </w:r>
    </w:p>
    <w:p w:rsidR="00021D11" w:rsidRPr="000C1329" w:rsidP="00F92448" w14:paraId="75495C9A" w14:textId="1BC0B2BC">
      <w:pPr>
        <w:rPr>
          <w:rFonts w:ascii="Times New Roman" w:hAnsi="Times New Roman"/>
          <w:sz w:val="24"/>
        </w:rPr>
      </w:pPr>
      <w:bookmarkStart w:id="177" w:name="_Toc146880051"/>
    </w:p>
    <w:p w:rsidR="00A46730" w:rsidRPr="00411437" w:rsidP="00291A85" w14:paraId="1F7552C4" w14:textId="363770C3">
      <w:pPr>
        <w:pStyle w:val="Heading1"/>
        <w:spacing w:before="120"/>
      </w:pPr>
      <w:bookmarkStart w:id="178" w:name="_Toc153373838"/>
      <w:r w:rsidRPr="00411437">
        <w:t>Regulatory Impact Analysis</w:t>
      </w:r>
      <w:bookmarkEnd w:id="177"/>
      <w:r w:rsidRPr="00411437">
        <w:t xml:space="preserve"> </w:t>
      </w:r>
      <w:bookmarkEnd w:id="178"/>
    </w:p>
    <w:p w:rsidR="00A46730" w:rsidRPr="00472DB0" w:rsidP="00A46730" w14:paraId="72F4E046" w14:textId="77777777">
      <w:pPr>
        <w:rPr>
          <w:rFonts w:ascii="Times New Roman" w:eastAsia="Times New Roman" w:hAnsi="Times New Roman"/>
          <w:i/>
          <w:iCs/>
          <w:sz w:val="24"/>
        </w:rPr>
      </w:pPr>
      <w:r w:rsidRPr="00472DB0">
        <w:rPr>
          <w:rFonts w:ascii="Times New Roman" w:eastAsia="Times New Roman" w:hAnsi="Times New Roman"/>
          <w:i/>
          <w:iCs/>
          <w:sz w:val="24"/>
        </w:rPr>
        <w:t xml:space="preserve">Concerns regarding underlying data and assumptions </w:t>
      </w:r>
    </w:p>
    <w:p w:rsidR="00A46730" w:rsidRPr="00A46730" w:rsidP="00A46730" w14:paraId="374CCAAD" w14:textId="25E1E366">
      <w:pPr>
        <w:rPr>
          <w:rFonts w:ascii="Times New Roman" w:hAnsi="Times New Roman"/>
          <w:sz w:val="24"/>
        </w:rPr>
      </w:pPr>
      <w:r w:rsidRPr="00A46730">
        <w:rPr>
          <w:rFonts w:ascii="Times New Roman" w:hAnsi="Times New Roman"/>
          <w:b/>
          <w:bCs/>
          <w:sz w:val="24"/>
        </w:rPr>
        <w:t>Comment 1</w:t>
      </w:r>
      <w:r w:rsidR="00884D1A">
        <w:rPr>
          <w:rFonts w:ascii="Times New Roman" w:hAnsi="Times New Roman"/>
          <w:b/>
          <w:bCs/>
          <w:sz w:val="24"/>
        </w:rPr>
        <w:t>6</w:t>
      </w:r>
      <w:r w:rsidRPr="00A46730">
        <w:rPr>
          <w:rFonts w:ascii="Times New Roman" w:hAnsi="Times New Roman"/>
          <w:b/>
          <w:bCs/>
          <w:sz w:val="24"/>
        </w:rPr>
        <w:t>-01</w:t>
      </w:r>
      <w:r w:rsidRPr="00A46730">
        <w:rPr>
          <w:rFonts w:ascii="Times New Roman" w:hAnsi="Times New Roman"/>
          <w:sz w:val="24"/>
        </w:rPr>
        <w:t>: One commenter stated that EPA cites no new, relevant information identifying any deficiencies in the 2019 Reconsideration Rule since it became effective. The commenter noted that the RIA presents a single year of data after the effective date (2020), asserting that the data EPA cites still fails to provide a rational basis for deviating from the 2019 Reconsideration Rule (0207).</w:t>
      </w:r>
    </w:p>
    <w:p w:rsidR="00A46730" w:rsidRPr="00A46730" w:rsidP="00A46730" w14:paraId="18082265" w14:textId="2FC0C7AE">
      <w:pPr>
        <w:ind w:left="720"/>
        <w:rPr>
          <w:rFonts w:ascii="Times New Roman" w:hAnsi="Times New Roman"/>
          <w:sz w:val="24"/>
        </w:rPr>
      </w:pPr>
      <w:r w:rsidRPr="00A46730">
        <w:rPr>
          <w:rFonts w:ascii="Times New Roman" w:hAnsi="Times New Roman"/>
          <w:b/>
          <w:bCs/>
          <w:sz w:val="24"/>
        </w:rPr>
        <w:t xml:space="preserve">EPA Response: </w:t>
      </w:r>
      <w:r w:rsidRPr="00A46730">
        <w:rPr>
          <w:rFonts w:ascii="Times New Roman" w:hAnsi="Times New Roman"/>
          <w:sz w:val="24"/>
        </w:rPr>
        <w:t xml:space="preserve">The final rule RIA uses 2020 RMP data which is reported by the </w:t>
      </w:r>
      <w:r w:rsidRPr="00A46730">
        <w:rPr>
          <w:rFonts w:ascii="Times New Roman" w:hAnsi="Times New Roman"/>
          <w:sz w:val="24"/>
        </w:rPr>
        <w:t xml:space="preserve">facilities themselves and reflects the most recent, fully available, and vetted source of </w:t>
      </w:r>
      <w:r w:rsidRPr="00A46730">
        <w:rPr>
          <w:rFonts w:ascii="Times New Roman" w:hAnsi="Times New Roman"/>
          <w:sz w:val="24"/>
        </w:rPr>
        <w:t>facility data.</w:t>
      </w:r>
      <w:r>
        <w:rPr>
          <w:rStyle w:val="FootnoteReference"/>
          <w:rFonts w:ascii="Times New Roman" w:hAnsi="Times New Roman"/>
          <w:sz w:val="24"/>
        </w:rPr>
        <w:footnoteReference w:id="199"/>
      </w:r>
      <w:r w:rsidRPr="002428BF" w:rsidR="0030691F">
        <w:rPr>
          <w:rFonts w:ascii="Times New Roman" w:hAnsi="Times New Roman"/>
          <w:sz w:val="24"/>
        </w:rPr>
        <w:t xml:space="preserve"> </w:t>
      </w:r>
      <w:r w:rsidRPr="00A46730">
        <w:rPr>
          <w:rFonts w:ascii="Times New Roman" w:hAnsi="Times New Roman"/>
          <w:sz w:val="24"/>
        </w:rPr>
        <w:t xml:space="preserve"> </w:t>
      </w:r>
      <w:r w:rsidRPr="00A46730">
        <w:rPr>
          <w:rFonts w:ascii="Times New Roman" w:hAnsi="Times New Roman"/>
          <w:sz w:val="24"/>
        </w:rPr>
        <w:t>These data, along with public comments received, informed the development of this final rule.</w:t>
      </w:r>
    </w:p>
    <w:p w:rsidR="00A46730" w:rsidRPr="00A46730" w:rsidP="00A46730" w14:paraId="0B1C447A" w14:textId="1E941F2F">
      <w:pPr>
        <w:rPr>
          <w:rFonts w:ascii="Times New Roman" w:hAnsi="Times New Roman"/>
          <w:sz w:val="24"/>
        </w:rPr>
      </w:pPr>
      <w:r w:rsidRPr="00A46730">
        <w:rPr>
          <w:rFonts w:ascii="Times New Roman" w:hAnsi="Times New Roman"/>
          <w:b/>
          <w:bCs/>
          <w:sz w:val="24"/>
        </w:rPr>
        <w:t>Comment 1</w:t>
      </w:r>
      <w:r w:rsidR="00884D1A">
        <w:rPr>
          <w:rFonts w:ascii="Times New Roman" w:hAnsi="Times New Roman"/>
          <w:b/>
          <w:bCs/>
          <w:sz w:val="24"/>
        </w:rPr>
        <w:t>6</w:t>
      </w:r>
      <w:r w:rsidRPr="00A46730">
        <w:rPr>
          <w:rFonts w:ascii="Times New Roman" w:hAnsi="Times New Roman"/>
          <w:b/>
          <w:bCs/>
          <w:sz w:val="24"/>
        </w:rPr>
        <w:t>-02</w:t>
      </w:r>
      <w:r w:rsidRPr="00A46730">
        <w:rPr>
          <w:rFonts w:ascii="Times New Roman" w:hAnsi="Times New Roman"/>
          <w:sz w:val="24"/>
        </w:rPr>
        <w:t>: One commenter stated that EPA’s prior assessments of the data on incidents that caused ecological harm were based on what EPA called reportable harm incidents (i.e., incidents that facilities must report pursuant to 40 CFR 68.42 every five years, and within six months of an incident pursuant to 40 CFR 68.195, due to harm caused). The commenter stated that the new analysis of the current RMP data on incidents shows that EPA appeared to focus only on incidents that caused direct human impact (e.g., death, injury, shelter-in-place, evacuations) or property damage (0456).</w:t>
      </w:r>
    </w:p>
    <w:p w:rsidR="00A46730" w:rsidRPr="00A46730" w:rsidP="00A46730" w14:paraId="567BB03F" w14:textId="28080C04">
      <w:pPr>
        <w:ind w:left="720"/>
        <w:rPr>
          <w:rFonts w:ascii="Times New Roman" w:hAnsi="Times New Roman"/>
          <w:sz w:val="24"/>
        </w:rPr>
      </w:pPr>
      <w:r w:rsidRPr="00A46730">
        <w:rPr>
          <w:rFonts w:ascii="Times New Roman" w:hAnsi="Times New Roman"/>
          <w:b/>
          <w:bCs/>
          <w:sz w:val="24"/>
        </w:rPr>
        <w:t xml:space="preserve">EPA Response: </w:t>
      </w:r>
      <w:r w:rsidRPr="00A46730">
        <w:rPr>
          <w:rFonts w:ascii="Times New Roman" w:hAnsi="Times New Roman"/>
          <w:sz w:val="24"/>
        </w:rPr>
        <w:t>EPA expects that the final rule will reduce the frequency and severity of e</w:t>
      </w:r>
      <w:r w:rsidR="00F452AA">
        <w:rPr>
          <w:rFonts w:ascii="Times New Roman" w:hAnsi="Times New Roman"/>
          <w:sz w:val="24"/>
        </w:rPr>
        <w:t xml:space="preserve">nvironmentally </w:t>
      </w:r>
      <w:r w:rsidRPr="00A46730">
        <w:rPr>
          <w:rFonts w:ascii="Times New Roman" w:hAnsi="Times New Roman"/>
          <w:sz w:val="24"/>
        </w:rPr>
        <w:t>harmful incidents as well as incidents with direct human impacts or property damage. While e</w:t>
      </w:r>
      <w:r w:rsidR="00F452AA">
        <w:rPr>
          <w:rFonts w:ascii="Times New Roman" w:hAnsi="Times New Roman"/>
          <w:sz w:val="24"/>
        </w:rPr>
        <w:t>nvironmental</w:t>
      </w:r>
      <w:r w:rsidRPr="00A46730">
        <w:rPr>
          <w:rFonts w:ascii="Times New Roman" w:hAnsi="Times New Roman"/>
          <w:sz w:val="24"/>
        </w:rPr>
        <w:t xml:space="preserve"> harm, direct human impacts, and property damage are all important concerns, more data is available to monetize direct human impacts and property </w:t>
      </w:r>
      <w:r w:rsidR="00F452AA">
        <w:rPr>
          <w:rFonts w:ascii="Times New Roman" w:hAnsi="Times New Roman"/>
          <w:sz w:val="24"/>
        </w:rPr>
        <w:t>impacts compared to environmental impacts</w:t>
      </w:r>
      <w:r w:rsidRPr="00A46730">
        <w:rPr>
          <w:rFonts w:ascii="Times New Roman" w:hAnsi="Times New Roman"/>
          <w:sz w:val="24"/>
        </w:rPr>
        <w:t xml:space="preserve">. RMP accident history reports indicate only general categories of environmental damage without specific information to quantify the magnitude of these damages. However, some </w:t>
      </w:r>
      <w:r w:rsidR="00F452AA">
        <w:rPr>
          <w:rFonts w:ascii="Times New Roman" w:hAnsi="Times New Roman"/>
          <w:sz w:val="24"/>
        </w:rPr>
        <w:t xml:space="preserve">environmental </w:t>
      </w:r>
      <w:r w:rsidRPr="00A46730">
        <w:rPr>
          <w:rFonts w:ascii="Times New Roman" w:hAnsi="Times New Roman"/>
          <w:sz w:val="24"/>
        </w:rPr>
        <w:t>harm from an incident may be reflected in property damage estimates.</w:t>
      </w:r>
    </w:p>
    <w:p w:rsidR="00A46730" w:rsidRPr="00A46730" w:rsidP="00A46730" w14:paraId="62253601" w14:textId="4C15A56E">
      <w:pPr>
        <w:rPr>
          <w:rFonts w:ascii="Times New Roman" w:hAnsi="Times New Roman"/>
          <w:sz w:val="24"/>
        </w:rPr>
      </w:pPr>
      <w:r w:rsidRPr="00A46730">
        <w:rPr>
          <w:rFonts w:ascii="Times New Roman" w:hAnsi="Times New Roman"/>
          <w:b/>
          <w:bCs/>
          <w:sz w:val="24"/>
        </w:rPr>
        <w:t>Comment 1</w:t>
      </w:r>
      <w:r w:rsidR="00884D1A">
        <w:rPr>
          <w:rFonts w:ascii="Times New Roman" w:hAnsi="Times New Roman"/>
          <w:b/>
          <w:bCs/>
          <w:sz w:val="24"/>
        </w:rPr>
        <w:t>6</w:t>
      </w:r>
      <w:r w:rsidRPr="00A46730">
        <w:rPr>
          <w:rFonts w:ascii="Times New Roman" w:hAnsi="Times New Roman"/>
          <w:b/>
          <w:bCs/>
          <w:sz w:val="24"/>
        </w:rPr>
        <w:t>-03</w:t>
      </w:r>
      <w:r w:rsidRPr="00A46730">
        <w:rPr>
          <w:rFonts w:ascii="Times New Roman" w:hAnsi="Times New Roman"/>
          <w:sz w:val="24"/>
        </w:rPr>
        <w:t xml:space="preserve">: One commenter stated that either EPA has erroneously left out data in the proposed revisions or the Agency potentially failed to properly enforce existing RMP regulations. The commenter stated that neither option provides public confidence in the underlying data and assumptions being made by EPA in the development of these major RMP regulatory changes that will incur significant costs on all impacted industries (0227). </w:t>
      </w:r>
    </w:p>
    <w:p w:rsidR="00A46730" w:rsidRPr="00A46730" w:rsidP="00A46730" w14:paraId="4895AB64" w14:textId="77777777">
      <w:pPr>
        <w:ind w:left="720"/>
        <w:rPr>
          <w:rFonts w:ascii="Times New Roman" w:hAnsi="Times New Roman"/>
          <w:sz w:val="24"/>
        </w:rPr>
      </w:pPr>
      <w:r w:rsidRPr="00A46730">
        <w:rPr>
          <w:rFonts w:ascii="Times New Roman" w:hAnsi="Times New Roman"/>
          <w:b/>
          <w:bCs/>
          <w:sz w:val="24"/>
        </w:rPr>
        <w:t xml:space="preserve">EPA Response: </w:t>
      </w:r>
      <w:r w:rsidRPr="00A46730">
        <w:rPr>
          <w:rFonts w:ascii="Times New Roman" w:hAnsi="Times New Roman"/>
          <w:sz w:val="24"/>
        </w:rPr>
        <w:t>EPA has assessed the costs of final rule provisions based on the best available data which is facility reported data in RMPs. The RIA, in Chapter 3, presents the different characteristics of data used to assess the number of facilities impacted by each provision. Chapter 4 provides the assumptions and data used to quantify the costs for impacted facilities.</w:t>
      </w:r>
    </w:p>
    <w:p w:rsidR="00A46730" w:rsidRPr="00A46730" w:rsidP="00A46730" w14:paraId="30DCEBCD" w14:textId="3907BBEA">
      <w:pPr>
        <w:rPr>
          <w:rFonts w:ascii="Times New Roman" w:hAnsi="Times New Roman"/>
          <w:sz w:val="24"/>
        </w:rPr>
      </w:pPr>
      <w:r w:rsidRPr="00A46730">
        <w:rPr>
          <w:rFonts w:ascii="Times New Roman" w:hAnsi="Times New Roman"/>
          <w:b/>
          <w:bCs/>
          <w:sz w:val="24"/>
        </w:rPr>
        <w:t>Comment 1</w:t>
      </w:r>
      <w:r w:rsidR="00884D1A">
        <w:rPr>
          <w:rFonts w:ascii="Times New Roman" w:hAnsi="Times New Roman"/>
          <w:b/>
          <w:bCs/>
          <w:sz w:val="24"/>
        </w:rPr>
        <w:t>6</w:t>
      </w:r>
      <w:r w:rsidRPr="00A46730">
        <w:rPr>
          <w:rFonts w:ascii="Times New Roman" w:hAnsi="Times New Roman"/>
          <w:b/>
          <w:bCs/>
          <w:sz w:val="24"/>
        </w:rPr>
        <w:t>-04</w:t>
      </w:r>
      <w:r w:rsidRPr="00A46730">
        <w:rPr>
          <w:rFonts w:ascii="Times New Roman" w:hAnsi="Times New Roman"/>
          <w:sz w:val="24"/>
        </w:rPr>
        <w:t>: One commenter asserted that EPA is either using incorrect numbers or has changed its approach since the prior rulemaking and as a result, EPA should either revise and correct its figures or explain the change in its approach (0239).</w:t>
      </w:r>
    </w:p>
    <w:p w:rsidR="00A46730" w:rsidRPr="00A46730" w:rsidP="00A46730" w14:paraId="264EF476" w14:textId="77777777">
      <w:pPr>
        <w:ind w:left="720"/>
        <w:rPr>
          <w:rFonts w:ascii="Times New Roman" w:hAnsi="Times New Roman"/>
          <w:sz w:val="24"/>
        </w:rPr>
      </w:pPr>
      <w:r w:rsidRPr="00A46730">
        <w:rPr>
          <w:rFonts w:ascii="Times New Roman" w:hAnsi="Times New Roman"/>
          <w:b/>
          <w:bCs/>
          <w:sz w:val="24"/>
        </w:rPr>
        <w:t xml:space="preserve">EPA Response: </w:t>
      </w:r>
      <w:r w:rsidRPr="00A46730">
        <w:rPr>
          <w:rFonts w:ascii="Times New Roman" w:hAnsi="Times New Roman"/>
          <w:sz w:val="24"/>
        </w:rPr>
        <w:t xml:space="preserve">EPA continually updates cost calculations to reflect the best available data and information. The prior rulemaking relied on data from the universe of facilities </w:t>
      </w:r>
      <w:r w:rsidRPr="00A46730">
        <w:rPr>
          <w:rFonts w:ascii="Times New Roman" w:hAnsi="Times New Roman"/>
          <w:sz w:val="24"/>
        </w:rPr>
        <w:t>in 2015, whereas this final rule relies on data from the universe of facilities as of December 31, 2020.</w:t>
      </w:r>
    </w:p>
    <w:p w:rsidR="00A46730" w:rsidP="00A46730" w14:paraId="3E05164E" w14:textId="15BDCD37">
      <w:pPr>
        <w:rPr>
          <w:rFonts w:ascii="Times New Roman" w:hAnsi="Times New Roman"/>
          <w:sz w:val="24"/>
        </w:rPr>
      </w:pPr>
      <w:r w:rsidRPr="00A46730">
        <w:rPr>
          <w:rFonts w:ascii="Times New Roman" w:hAnsi="Times New Roman"/>
          <w:b/>
          <w:bCs/>
          <w:sz w:val="24"/>
        </w:rPr>
        <w:t>Comment 1</w:t>
      </w:r>
      <w:r w:rsidR="00884D1A">
        <w:rPr>
          <w:rFonts w:ascii="Times New Roman" w:hAnsi="Times New Roman"/>
          <w:b/>
          <w:bCs/>
          <w:sz w:val="24"/>
        </w:rPr>
        <w:t>6</w:t>
      </w:r>
      <w:r w:rsidRPr="00A46730">
        <w:rPr>
          <w:rFonts w:ascii="Times New Roman" w:hAnsi="Times New Roman"/>
          <w:b/>
          <w:bCs/>
          <w:sz w:val="24"/>
        </w:rPr>
        <w:t>-05:</w:t>
      </w:r>
      <w:r w:rsidRPr="00A46730">
        <w:rPr>
          <w:rFonts w:ascii="Times New Roman" w:hAnsi="Times New Roman"/>
          <w:sz w:val="24"/>
        </w:rPr>
        <w:t xml:space="preserve"> One commenter stated that the RIA relies on stale data and simply adopts cost and burden estimates used in support of the 2017 RMP Amendments Rule, which are now over five years old (0233).</w:t>
      </w:r>
    </w:p>
    <w:p w:rsidR="00094ADD" w:rsidRPr="0024346D" w:rsidP="007162C9" w14:paraId="0EA91DD6" w14:textId="7532FE1E">
      <w:pPr>
        <w:spacing w:line="259" w:lineRule="auto"/>
        <w:ind w:left="720" w:right="51"/>
        <w:rPr>
          <w:rFonts w:ascii="Times New Roman" w:hAnsi="Times New Roman"/>
          <w:sz w:val="24"/>
        </w:rPr>
      </w:pPr>
      <w:r w:rsidRPr="00BB5A46">
        <w:rPr>
          <w:rFonts w:ascii="Times New Roman" w:hAnsi="Times New Roman"/>
          <w:b/>
          <w:sz w:val="24"/>
        </w:rPr>
        <w:t xml:space="preserve">EPA Response: </w:t>
      </w:r>
      <w:r w:rsidRPr="00BB5A46">
        <w:rPr>
          <w:rFonts w:ascii="Times New Roman" w:hAnsi="Times New Roman"/>
          <w:sz w:val="24"/>
        </w:rPr>
        <w:t xml:space="preserve">EPA considered the information provided by commenters on specific rule provisions and updated </w:t>
      </w:r>
      <w:r w:rsidR="002C767F">
        <w:rPr>
          <w:rFonts w:ascii="Times New Roman" w:hAnsi="Times New Roman"/>
          <w:sz w:val="24"/>
        </w:rPr>
        <w:t>the</w:t>
      </w:r>
      <w:r w:rsidRPr="00BB5A46">
        <w:rPr>
          <w:rFonts w:ascii="Times New Roman" w:hAnsi="Times New Roman"/>
          <w:sz w:val="24"/>
        </w:rPr>
        <w:t xml:space="preserve"> assumptions and data </w:t>
      </w:r>
      <w:r w:rsidR="002C767F">
        <w:rPr>
          <w:rFonts w:ascii="Times New Roman" w:hAnsi="Times New Roman"/>
          <w:sz w:val="24"/>
        </w:rPr>
        <w:t>that EPA believed made sense to update</w:t>
      </w:r>
      <w:r w:rsidRPr="00BB5A46">
        <w:rPr>
          <w:rFonts w:ascii="Times New Roman" w:hAnsi="Times New Roman"/>
          <w:sz w:val="24"/>
        </w:rPr>
        <w:t xml:space="preserve">, </w:t>
      </w:r>
      <w:r w:rsidR="002C767F">
        <w:rPr>
          <w:rFonts w:ascii="Times New Roman" w:hAnsi="Times New Roman"/>
          <w:sz w:val="24"/>
        </w:rPr>
        <w:t xml:space="preserve">which </w:t>
      </w:r>
      <w:r w:rsidRPr="00BB5A46">
        <w:rPr>
          <w:rFonts w:ascii="Times New Roman" w:hAnsi="Times New Roman"/>
          <w:sz w:val="24"/>
        </w:rPr>
        <w:t>result</w:t>
      </w:r>
      <w:r w:rsidR="002C767F">
        <w:rPr>
          <w:rFonts w:ascii="Times New Roman" w:hAnsi="Times New Roman"/>
          <w:sz w:val="24"/>
        </w:rPr>
        <w:t>ed</w:t>
      </w:r>
      <w:r w:rsidRPr="00BB5A46">
        <w:rPr>
          <w:rFonts w:ascii="Times New Roman" w:hAnsi="Times New Roman"/>
          <w:sz w:val="24"/>
        </w:rPr>
        <w:t xml:space="preserve"> in </w:t>
      </w:r>
      <w:r w:rsidR="002C767F">
        <w:rPr>
          <w:rFonts w:ascii="Times New Roman" w:hAnsi="Times New Roman"/>
          <w:sz w:val="24"/>
        </w:rPr>
        <w:t xml:space="preserve">some </w:t>
      </w:r>
      <w:r w:rsidRPr="00BB5A46">
        <w:rPr>
          <w:rFonts w:ascii="Times New Roman" w:hAnsi="Times New Roman"/>
          <w:sz w:val="24"/>
        </w:rPr>
        <w:t xml:space="preserve">adjustments to the cost estimates. For example, EPA added costs estimates for facilities to provide justification for not implementing recommendations to address natural hazards, facility siting, and RAGAGEP and aligned the rule familiarization hours assumptions for delegated implementing agencies, LEPCs, and P1, P2, and simple P3 facilities. In addition to adjusting the cost estimate for the final rule to incorporate these justification cost burdens and to align the rule familiarization hours assumption, EPA also adjusted the estimate to add costs associated with final rule provisions that were not included in the proposed rule (e.g., implementation of STAA measures), and to account for structural changes between proposed and final rule provisions for certain rule elements (e.g., the final rule requires translation of RMP information and training employees on the employee participation plan). EPA also updated its estimated labor rates to the most recent (2022) values available from the BLS and updated other costs to be in 2022 dollars as well. Moreover, EPA used 2020 RMP data instead of the 2015 RMP data used in the 2017 </w:t>
      </w:r>
      <w:r w:rsidR="008A64BB">
        <w:rPr>
          <w:rFonts w:ascii="Times New Roman" w:hAnsi="Times New Roman"/>
          <w:sz w:val="24"/>
        </w:rPr>
        <w:t>a</w:t>
      </w:r>
      <w:r w:rsidRPr="00BB5A46">
        <w:rPr>
          <w:rFonts w:ascii="Times New Roman" w:hAnsi="Times New Roman"/>
          <w:sz w:val="24"/>
        </w:rPr>
        <w:t>mendments</w:t>
      </w:r>
      <w:r w:rsidR="008A64BB">
        <w:rPr>
          <w:rFonts w:ascii="Times New Roman" w:hAnsi="Times New Roman"/>
          <w:sz w:val="24"/>
        </w:rPr>
        <w:t xml:space="preserve"> r</w:t>
      </w:r>
      <w:r w:rsidRPr="00BB5A46" w:rsidR="008A64BB">
        <w:rPr>
          <w:rFonts w:ascii="Times New Roman" w:hAnsi="Times New Roman"/>
          <w:sz w:val="24"/>
        </w:rPr>
        <w:t>ule</w:t>
      </w:r>
      <w:r w:rsidRPr="00BB5A46">
        <w:rPr>
          <w:rFonts w:ascii="Times New Roman" w:hAnsi="Times New Roman"/>
          <w:sz w:val="24"/>
        </w:rPr>
        <w:t xml:space="preserve">, so total cost estimates in this final rule reflect the number of facilities active as of December 31, 2020. EPA also acknowledges that estimates – both in terms of unit costs and numbers of facilities – may not perfectly match specific industry sectors. To the extent possible, EPA made adjustments to facility-provided data in the RMP database to address some of the more obvious discrepancies. </w:t>
      </w:r>
    </w:p>
    <w:p w:rsidR="00435D4D" w:rsidRPr="00472DB0" w:rsidP="00435D4D" w14:paraId="42CA5959" w14:textId="77777777">
      <w:pPr>
        <w:rPr>
          <w:rFonts w:ascii="Times New Roman" w:eastAsia="Times New Roman" w:hAnsi="Times New Roman"/>
          <w:i/>
          <w:iCs/>
          <w:sz w:val="24"/>
        </w:rPr>
      </w:pPr>
      <w:r w:rsidRPr="00472DB0">
        <w:rPr>
          <w:rFonts w:ascii="Times New Roman" w:eastAsia="Times New Roman" w:hAnsi="Times New Roman"/>
          <w:i/>
          <w:iCs/>
          <w:sz w:val="24"/>
        </w:rPr>
        <w:t>Suggestions regarding risk assessment</w:t>
      </w:r>
    </w:p>
    <w:p w:rsidR="00435D4D" w:rsidRPr="006F68E9" w:rsidP="00435D4D" w14:paraId="67D291C2" w14:textId="30D47FCF">
      <w:pPr>
        <w:rPr>
          <w:rFonts w:ascii="Times New Roman" w:hAnsi="Times New Roman"/>
          <w:sz w:val="24"/>
        </w:rPr>
      </w:pPr>
      <w:r w:rsidRPr="007B3035">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-06</w:t>
      </w:r>
      <w:r>
        <w:rPr>
          <w:rFonts w:ascii="Times New Roman" w:hAnsi="Times New Roman"/>
          <w:sz w:val="24"/>
        </w:rPr>
        <w:t xml:space="preserve">: </w:t>
      </w:r>
      <w:r w:rsidRPr="006F68E9">
        <w:rPr>
          <w:rFonts w:ascii="Times New Roman" w:hAnsi="Times New Roman"/>
          <w:sz w:val="24"/>
        </w:rPr>
        <w:t>One commenter stated that, given the industry’s low accident rate, it is not clear how additional regulatory requirements could meaningfully reduce the risk of reportable incidents. The commenter recommended that EPA assess the risk reduction that would be achieved by the proposed rule and differentiate the stringency of program requirements based on the risk profile of regulated processes (0239).</w:t>
      </w:r>
    </w:p>
    <w:p w:rsidR="00001B9B" w:rsidP="00001B9B" w14:paraId="4E8ACD8D" w14:textId="4A5E2F81">
      <w:pPr>
        <w:ind w:left="720"/>
        <w:rPr>
          <w:rFonts w:ascii="Times New Roman" w:hAnsi="Times New Roman"/>
          <w:sz w:val="24"/>
        </w:rPr>
      </w:pPr>
      <w:r w:rsidRPr="4E9ECD47">
        <w:rPr>
          <w:rFonts w:ascii="Times New Roman" w:hAnsi="Times New Roman"/>
          <w:b/>
          <w:bCs/>
          <w:sz w:val="24"/>
        </w:rPr>
        <w:t>EPA Response:</w:t>
      </w:r>
      <w:r>
        <w:rPr>
          <w:rFonts w:ascii="Times New Roman" w:hAnsi="Times New Roman"/>
          <w:b/>
          <w:bCs/>
          <w:sz w:val="24"/>
        </w:rPr>
        <w:t xml:space="preserve"> </w:t>
      </w:r>
      <w:r w:rsidRPr="4E9ECD47">
        <w:rPr>
          <w:rFonts w:ascii="Times New Roman" w:hAnsi="Times New Roman"/>
          <w:sz w:val="24"/>
        </w:rPr>
        <w:t xml:space="preserve">EPA does not have </w:t>
      </w:r>
      <w:r w:rsidRPr="2C28B29C">
        <w:rPr>
          <w:rFonts w:ascii="Times New Roman" w:hAnsi="Times New Roman"/>
          <w:sz w:val="24"/>
        </w:rPr>
        <w:t xml:space="preserve">the </w:t>
      </w:r>
      <w:r w:rsidRPr="4E9ECD47">
        <w:rPr>
          <w:rFonts w:ascii="Times New Roman" w:hAnsi="Times New Roman"/>
          <w:sz w:val="24"/>
        </w:rPr>
        <w:t xml:space="preserve">data to </w:t>
      </w:r>
      <w:r w:rsidRPr="2C28B29C">
        <w:rPr>
          <w:rFonts w:ascii="Times New Roman" w:hAnsi="Times New Roman"/>
          <w:sz w:val="24"/>
        </w:rPr>
        <w:t xml:space="preserve">estimate </w:t>
      </w:r>
      <w:r w:rsidR="00193F94">
        <w:rPr>
          <w:rFonts w:ascii="Times New Roman" w:hAnsi="Times New Roman"/>
          <w:sz w:val="24"/>
        </w:rPr>
        <w:t xml:space="preserve">the </w:t>
      </w:r>
      <w:r w:rsidRPr="4E9ECD47">
        <w:rPr>
          <w:rFonts w:ascii="Times New Roman" w:hAnsi="Times New Roman"/>
          <w:sz w:val="24"/>
        </w:rPr>
        <w:t xml:space="preserve">risk reduction </w:t>
      </w:r>
      <w:r w:rsidR="00193F94">
        <w:rPr>
          <w:rFonts w:ascii="Times New Roman" w:hAnsi="Times New Roman"/>
          <w:sz w:val="24"/>
        </w:rPr>
        <w:t xml:space="preserve">that could result </w:t>
      </w:r>
      <w:r w:rsidRPr="2C28B29C">
        <w:rPr>
          <w:rFonts w:ascii="Times New Roman" w:hAnsi="Times New Roman"/>
          <w:sz w:val="24"/>
        </w:rPr>
        <w:t>from</w:t>
      </w:r>
      <w:r w:rsidRPr="4E9ECD47">
        <w:rPr>
          <w:rFonts w:ascii="Times New Roman" w:hAnsi="Times New Roman"/>
          <w:sz w:val="24"/>
        </w:rPr>
        <w:t xml:space="preserve"> each </w:t>
      </w:r>
      <w:r w:rsidRPr="479E7AA8">
        <w:rPr>
          <w:rFonts w:ascii="Times New Roman" w:hAnsi="Times New Roman"/>
          <w:sz w:val="24"/>
        </w:rPr>
        <w:t>requirement</w:t>
      </w:r>
      <w:r w:rsidRPr="2C28B29C">
        <w:rPr>
          <w:rFonts w:ascii="Times New Roman" w:hAnsi="Times New Roman"/>
          <w:sz w:val="24"/>
        </w:rPr>
        <w:t xml:space="preserve">. </w:t>
      </w:r>
      <w:r w:rsidRPr="1316AF52">
        <w:rPr>
          <w:rFonts w:ascii="Times New Roman" w:hAnsi="Times New Roman"/>
          <w:sz w:val="24"/>
        </w:rPr>
        <w:t>Instead, EPA perform</w:t>
      </w:r>
      <w:r w:rsidR="00193F94">
        <w:rPr>
          <w:rFonts w:ascii="Times New Roman" w:hAnsi="Times New Roman"/>
          <w:sz w:val="24"/>
        </w:rPr>
        <w:t>ed</w:t>
      </w:r>
      <w:r w:rsidRPr="1316AF52">
        <w:rPr>
          <w:rFonts w:ascii="Times New Roman" w:hAnsi="Times New Roman"/>
          <w:sz w:val="24"/>
        </w:rPr>
        <w:t xml:space="preserve"> a breakeven analysis illustrating the degree of risk reduction overall that the final rule must achieve for quantified benefits to exceed quantified costs</w:t>
      </w:r>
      <w:r w:rsidRPr="27833B1A">
        <w:rPr>
          <w:rFonts w:ascii="Times New Roman" w:hAnsi="Times New Roman"/>
          <w:sz w:val="24"/>
        </w:rPr>
        <w:t>.</w:t>
      </w:r>
      <w:r w:rsidR="00DD6623">
        <w:rPr>
          <w:rFonts w:ascii="Times New Roman" w:hAnsi="Times New Roman"/>
          <w:sz w:val="24"/>
        </w:rPr>
        <w:t xml:space="preserve"> In addition, the RIA includes a discussion of additional, unquantified benefits</w:t>
      </w:r>
      <w:r w:rsidRPr="00BE428E" w:rsidR="00A7696A">
        <w:rPr>
          <w:rFonts w:ascii="Times New Roman" w:hAnsi="Times New Roman"/>
          <w:sz w:val="24"/>
        </w:rPr>
        <w:t>, including avoided damages</w:t>
      </w:r>
      <w:r w:rsidRPr="00BE428E" w:rsidR="008055A4">
        <w:rPr>
          <w:rFonts w:ascii="Times New Roman" w:hAnsi="Times New Roman"/>
          <w:sz w:val="24"/>
        </w:rPr>
        <w:t>,</w:t>
      </w:r>
      <w:r w:rsidR="00DD6623">
        <w:rPr>
          <w:rFonts w:ascii="Times New Roman" w:hAnsi="Times New Roman"/>
          <w:sz w:val="24"/>
        </w:rPr>
        <w:t xml:space="preserve"> that cannot be accounted for in the breakeven analysis.</w:t>
      </w:r>
      <w:r w:rsidRPr="27833B1A">
        <w:rPr>
          <w:rFonts w:ascii="Times New Roman" w:hAnsi="Times New Roman"/>
          <w:sz w:val="24"/>
        </w:rPr>
        <w:t xml:space="preserve"> </w:t>
      </w:r>
      <w:r>
        <w:rPr>
          <w:rFonts w:ascii="Times New Roman" w:hAnsi="Times New Roman"/>
          <w:sz w:val="24"/>
        </w:rPr>
        <w:t>However, EPA considered the accident history of different program levels and sectors, and s</w:t>
      </w:r>
      <w:r w:rsidRPr="27833B1A">
        <w:rPr>
          <w:rFonts w:ascii="Times New Roman" w:hAnsi="Times New Roman"/>
          <w:sz w:val="24"/>
        </w:rPr>
        <w:t>ome final rule provisions target specific program levels and sectors.</w:t>
      </w:r>
      <w:r>
        <w:rPr>
          <w:rFonts w:ascii="Times New Roman" w:hAnsi="Times New Roman"/>
          <w:sz w:val="24"/>
        </w:rPr>
        <w:t xml:space="preserve"> For example, STAA provisions only apply to NAICS 324 and 325 Program 3 facilities.</w:t>
      </w:r>
    </w:p>
    <w:p w:rsidR="00750D01" w:rsidRPr="00472DB0" w:rsidP="00750D01" w14:paraId="6C283269" w14:textId="77777777">
      <w:pPr>
        <w:rPr>
          <w:rFonts w:ascii="Times New Roman" w:eastAsia="Times New Roman" w:hAnsi="Times New Roman"/>
          <w:i/>
          <w:iCs/>
          <w:sz w:val="24"/>
        </w:rPr>
      </w:pPr>
      <w:r w:rsidRPr="00472DB0">
        <w:rPr>
          <w:rFonts w:ascii="Times New Roman" w:eastAsia="Times New Roman" w:hAnsi="Times New Roman"/>
          <w:i/>
          <w:iCs/>
          <w:sz w:val="24"/>
        </w:rPr>
        <w:t xml:space="preserve">Inconsistency with RIA guidance or requirements </w:t>
      </w:r>
    </w:p>
    <w:p w:rsidR="00750D01" w:rsidRPr="00404C64" w:rsidP="00750D01" w14:paraId="5D22E42C" w14:textId="2B525FC3">
      <w:pPr>
        <w:rPr>
          <w:rFonts w:ascii="Times New Roman" w:hAnsi="Times New Roman"/>
          <w:sz w:val="24"/>
        </w:rPr>
      </w:pPr>
      <w:r w:rsidRPr="00404C64">
        <w:rPr>
          <w:rFonts w:ascii="Times New Roman" w:hAnsi="Times New Roman"/>
          <w:b/>
          <w:bCs/>
          <w:sz w:val="24"/>
        </w:rPr>
        <w:t>Comment 1</w:t>
      </w:r>
      <w:r w:rsidR="00884D1A">
        <w:rPr>
          <w:rFonts w:ascii="Times New Roman" w:hAnsi="Times New Roman"/>
          <w:b/>
          <w:bCs/>
          <w:sz w:val="24"/>
        </w:rPr>
        <w:t>6</w:t>
      </w:r>
      <w:r w:rsidRPr="00404C64">
        <w:rPr>
          <w:rFonts w:ascii="Times New Roman" w:hAnsi="Times New Roman"/>
          <w:b/>
          <w:bCs/>
          <w:sz w:val="24"/>
        </w:rPr>
        <w:t>-07</w:t>
      </w:r>
      <w:r w:rsidRPr="00404C64">
        <w:rPr>
          <w:rFonts w:ascii="Times New Roman" w:hAnsi="Times New Roman"/>
          <w:sz w:val="24"/>
        </w:rPr>
        <w:t>: One commenter stated that the RIA was inconsistent with EPA’s Economic Analysis Guidelines, Executive Order 12866 and other relevant executive orders, and government-wide requirements for regulatory analysis issued by the Office of Management and Budget (OMB). The commenter stated that the Agency’s use of proprietary data sources, which are not provided for public inspection, directly violates the “reproducibility standard” for influential information used to inform federal decisions as detailed in OMB Circular M-19-15 and associated guidelines. The commenter identified instances where the Agency failed to take into account or use its own databases and resources, inferring that EPA did not engage in the appropriate level of internal coordination to ensure that the proposed rule is adequately informed by its own data and expertise. The commenter also stated that EPA does not appear to have satisfied the Information Quality Act (IQA) requirements for data reproducibility and transparency (0239).</w:t>
      </w:r>
    </w:p>
    <w:p w:rsidR="00750D01" w:rsidRPr="00404C64" w:rsidP="00750D01" w14:paraId="1E9859E8" w14:textId="77777777">
      <w:pPr>
        <w:ind w:left="720"/>
        <w:rPr>
          <w:rFonts w:ascii="Times New Roman" w:hAnsi="Times New Roman"/>
          <w:sz w:val="24"/>
        </w:rPr>
      </w:pPr>
      <w:r w:rsidRPr="00404C64">
        <w:rPr>
          <w:rFonts w:ascii="Times New Roman" w:hAnsi="Times New Roman"/>
          <w:b/>
          <w:bCs/>
          <w:sz w:val="24"/>
        </w:rPr>
        <w:t xml:space="preserve">EPA Response: </w:t>
      </w:r>
      <w:r w:rsidRPr="00404C64">
        <w:rPr>
          <w:rFonts w:ascii="Times New Roman" w:hAnsi="Times New Roman"/>
          <w:sz w:val="24"/>
        </w:rPr>
        <w:t>To increase transparency, EPA added additional explanation on data and assumptions throughout the Final Rule RIA. Additionally, EPA developed a second small entity analysis with data from Dun &amp; Bradstreet (D&amp;B) Hoovers in final rule RIA Appendix C. This analysis replicates and confirms the results of the original analysis that uses Data Axle data. EPA is making the second small entity analysis publicly available in the docket for this rulemaking. To the extent practicable, EPA coordinated within the agency to adequately inform the rulemaking.</w:t>
      </w:r>
    </w:p>
    <w:p w:rsidR="00750D01" w:rsidRPr="00404C64" w:rsidP="00750D01" w14:paraId="55BDDEAA" w14:textId="3006986C">
      <w:pPr>
        <w:rPr>
          <w:rFonts w:ascii="Times New Roman" w:hAnsi="Times New Roman"/>
          <w:sz w:val="24"/>
        </w:rPr>
      </w:pPr>
      <w:r w:rsidRPr="00404C64">
        <w:rPr>
          <w:rFonts w:ascii="Times New Roman" w:hAnsi="Times New Roman"/>
          <w:b/>
          <w:bCs/>
          <w:sz w:val="24"/>
        </w:rPr>
        <w:t>Comment 1</w:t>
      </w:r>
      <w:r w:rsidR="00884D1A">
        <w:rPr>
          <w:rFonts w:ascii="Times New Roman" w:hAnsi="Times New Roman"/>
          <w:b/>
          <w:bCs/>
          <w:sz w:val="24"/>
        </w:rPr>
        <w:t>6</w:t>
      </w:r>
      <w:r w:rsidRPr="00404C64">
        <w:rPr>
          <w:rFonts w:ascii="Times New Roman" w:hAnsi="Times New Roman"/>
          <w:b/>
          <w:bCs/>
          <w:sz w:val="24"/>
        </w:rPr>
        <w:t>-08</w:t>
      </w:r>
      <w:r w:rsidRPr="00404C64">
        <w:rPr>
          <w:rFonts w:ascii="Times New Roman" w:hAnsi="Times New Roman"/>
          <w:sz w:val="24"/>
        </w:rPr>
        <w:t>: One commenter asserted that the proposed rule’s use of a five-year average, while ignoring potential outliers, contradicts EPA’s own statistical guidance (0207).</w:t>
      </w:r>
    </w:p>
    <w:p w:rsidR="00750D01" w:rsidRPr="00404C64" w:rsidP="00750D01" w14:paraId="7014013D" w14:textId="77777777">
      <w:pPr>
        <w:ind w:left="720"/>
        <w:rPr>
          <w:rFonts w:ascii="Times New Roman" w:hAnsi="Times New Roman"/>
          <w:sz w:val="24"/>
        </w:rPr>
      </w:pPr>
      <w:r w:rsidRPr="00404C64">
        <w:rPr>
          <w:rFonts w:ascii="Times New Roman" w:hAnsi="Times New Roman"/>
          <w:b/>
          <w:bCs/>
          <w:sz w:val="24"/>
        </w:rPr>
        <w:t xml:space="preserve">EPA Response: </w:t>
      </w:r>
      <w:r w:rsidRPr="00404C64">
        <w:rPr>
          <w:rFonts w:ascii="Times New Roman" w:hAnsi="Times New Roman"/>
          <w:sz w:val="24"/>
        </w:rPr>
        <w:t>Owners or operators of facilities subject to the RMP rule must submit an RMP every five years. EPA used five-year annual averages to smooth over year-to-year fluctuations. This five-year period was chosen to reflect the most recent trends regarding RMP accidents. It is the same period on which the analysis of accident data was based to develop cost estimates. Therefore, the annual average costs based on five-year accident data is matched with the average annual baseline damages. EPA generally includes all values in the five-year average, even potential outliers.</w:t>
      </w:r>
    </w:p>
    <w:p w:rsidR="00750D01" w:rsidRPr="00404C64" w:rsidP="00750D01" w14:paraId="4A806710" w14:textId="4CDEB48E">
      <w:pPr>
        <w:rPr>
          <w:rFonts w:ascii="Times New Roman" w:hAnsi="Times New Roman"/>
          <w:sz w:val="24"/>
        </w:rPr>
      </w:pPr>
      <w:r w:rsidRPr="00404C64">
        <w:rPr>
          <w:rFonts w:ascii="Times New Roman" w:hAnsi="Times New Roman"/>
          <w:b/>
          <w:bCs/>
          <w:sz w:val="24"/>
        </w:rPr>
        <w:t>Comment 1</w:t>
      </w:r>
      <w:r w:rsidR="00884D1A">
        <w:rPr>
          <w:rFonts w:ascii="Times New Roman" w:hAnsi="Times New Roman"/>
          <w:b/>
          <w:bCs/>
          <w:sz w:val="24"/>
        </w:rPr>
        <w:t>6</w:t>
      </w:r>
      <w:r w:rsidRPr="00404C64">
        <w:rPr>
          <w:rFonts w:ascii="Times New Roman" w:hAnsi="Times New Roman"/>
          <w:b/>
          <w:bCs/>
          <w:sz w:val="24"/>
        </w:rPr>
        <w:t>-09</w:t>
      </w:r>
      <w:r w:rsidRPr="00404C64">
        <w:rPr>
          <w:rFonts w:ascii="Times New Roman" w:hAnsi="Times New Roman"/>
          <w:sz w:val="24"/>
        </w:rPr>
        <w:t>: One commenter suggested that EPA revisit the RIA, correct “infirmities,” and offer the public additional time to comment on the revised RIA and the technical documents supporting its analysis before finalizing any rule, consistent with the IQA (0239).</w:t>
      </w:r>
    </w:p>
    <w:p w:rsidR="00750D01" w:rsidRPr="00404C64" w:rsidP="00750D01" w14:paraId="3AFEABDA" w14:textId="77777777">
      <w:pPr>
        <w:ind w:left="720"/>
        <w:rPr>
          <w:rFonts w:ascii="Times New Roman" w:hAnsi="Times New Roman"/>
          <w:sz w:val="24"/>
        </w:rPr>
      </w:pPr>
      <w:r w:rsidRPr="00404C64">
        <w:rPr>
          <w:rFonts w:ascii="Times New Roman" w:hAnsi="Times New Roman"/>
          <w:b/>
          <w:bCs/>
          <w:sz w:val="24"/>
        </w:rPr>
        <w:t xml:space="preserve">EPA Response: </w:t>
      </w:r>
      <w:r w:rsidRPr="00404C64">
        <w:rPr>
          <w:rFonts w:ascii="Times New Roman" w:hAnsi="Times New Roman"/>
          <w:sz w:val="24"/>
        </w:rPr>
        <w:t xml:space="preserve">The EPA comment period for both the NPRM and the RIA and technical documents allow for public comment. The final rule RIA takes into account comments made on the proposed rule RIA, such as data sources in Chapter 3, data assumptions in Chapter 4, and a secondary small entity analysis in Appendix C. </w:t>
      </w:r>
    </w:p>
    <w:p w:rsidR="00750D01" w:rsidRPr="00404C64" w:rsidP="00750D01" w14:paraId="57139845" w14:textId="5E918824">
      <w:pPr>
        <w:rPr>
          <w:rFonts w:ascii="Times New Roman" w:hAnsi="Times New Roman"/>
          <w:sz w:val="24"/>
        </w:rPr>
      </w:pPr>
      <w:r w:rsidRPr="00404C64">
        <w:rPr>
          <w:rFonts w:ascii="Times New Roman" w:hAnsi="Times New Roman"/>
          <w:b/>
          <w:bCs/>
          <w:sz w:val="24"/>
        </w:rPr>
        <w:t>Comment 1</w:t>
      </w:r>
      <w:r w:rsidR="00884D1A">
        <w:rPr>
          <w:rFonts w:ascii="Times New Roman" w:hAnsi="Times New Roman"/>
          <w:b/>
          <w:bCs/>
          <w:sz w:val="24"/>
        </w:rPr>
        <w:t>6</w:t>
      </w:r>
      <w:r w:rsidRPr="00404C64">
        <w:rPr>
          <w:rFonts w:ascii="Times New Roman" w:hAnsi="Times New Roman"/>
          <w:b/>
          <w:bCs/>
          <w:sz w:val="24"/>
        </w:rPr>
        <w:t>-10</w:t>
      </w:r>
      <w:r w:rsidRPr="00404C64">
        <w:rPr>
          <w:rFonts w:ascii="Times New Roman" w:hAnsi="Times New Roman"/>
          <w:sz w:val="24"/>
        </w:rPr>
        <w:t>: One commenter noted that EPA was not in compliance with the CAA and APA rulemaking procedures which require an agency “to identify and make available technical studies and data that it has employed in reaching the decisions to propose particular rules,” such that “[a]n agency commits serious procedural error when it fails to reveal portions of the technical basis for a proposed rule in time to allow for meaningful commentary.” The commenter stated that EPA must explain the evidence available and must offer a rational connection between the facts found and the choice made. The commenter ultimately stated that they were unable to replicate EPA’s analysis because the data tables for small entity analysis are based on proprietary information and thus have not been made available for public (0239).</w:t>
      </w:r>
    </w:p>
    <w:p w:rsidR="00750D01" w:rsidRPr="00F57BE2" w:rsidP="00750D01" w14:paraId="25C5733F" w14:textId="6AC803E1">
      <w:pPr>
        <w:ind w:left="720"/>
        <w:rPr>
          <w:rFonts w:ascii="Times New Roman" w:hAnsi="Times New Roman"/>
          <w:sz w:val="24"/>
        </w:rPr>
      </w:pPr>
      <w:bookmarkStart w:id="179" w:name="_Hlk148025544"/>
      <w:r w:rsidRPr="00404C64">
        <w:rPr>
          <w:rFonts w:ascii="Times New Roman" w:hAnsi="Times New Roman"/>
          <w:b/>
          <w:bCs/>
          <w:sz w:val="24"/>
        </w:rPr>
        <w:t>EPA Response:</w:t>
      </w:r>
      <w:r w:rsidRPr="00404C64">
        <w:rPr>
          <w:rFonts w:ascii="Times New Roman" w:hAnsi="Times New Roman"/>
          <w:sz w:val="24"/>
        </w:rPr>
        <w:t xml:space="preserve"> To </w:t>
      </w:r>
      <w:r w:rsidR="00DB31BB">
        <w:rPr>
          <w:rFonts w:ascii="Times New Roman" w:hAnsi="Times New Roman"/>
          <w:sz w:val="24"/>
        </w:rPr>
        <w:t>increase</w:t>
      </w:r>
      <w:r w:rsidRPr="00404C64">
        <w:rPr>
          <w:rFonts w:ascii="Times New Roman" w:hAnsi="Times New Roman"/>
          <w:sz w:val="24"/>
        </w:rPr>
        <w:t xml:space="preserve"> transparency for the small entity analysis</w:t>
      </w:r>
      <w:r w:rsidR="00DB31BB">
        <w:rPr>
          <w:rFonts w:ascii="Times New Roman" w:hAnsi="Times New Roman"/>
          <w:sz w:val="24"/>
        </w:rPr>
        <w:t>,</w:t>
      </w:r>
      <w:r w:rsidRPr="00404C64">
        <w:rPr>
          <w:rFonts w:ascii="Times New Roman" w:hAnsi="Times New Roman"/>
          <w:b/>
          <w:bCs/>
          <w:sz w:val="24"/>
        </w:rPr>
        <w:t xml:space="preserve"> </w:t>
      </w:r>
      <w:r w:rsidRPr="00404C64">
        <w:rPr>
          <w:rFonts w:ascii="Times New Roman" w:hAnsi="Times New Roman"/>
          <w:sz w:val="24"/>
        </w:rPr>
        <w:t>EPA developed a second small entity analysis with data from Dun &amp; Bradstreet (D&amp;B) Hoovers. This small entity analysis is compared with the analysis using Data Axle data in the final rule RIA Appendix C. EPA is making the second small entity analysis publicly available in the docket for this rulemaking.</w:t>
      </w:r>
      <w:r>
        <w:rPr>
          <w:rFonts w:ascii="Times New Roman" w:hAnsi="Times New Roman"/>
          <w:sz w:val="24"/>
        </w:rPr>
        <w:t xml:space="preserve"> </w:t>
      </w:r>
    </w:p>
    <w:bookmarkEnd w:id="179"/>
    <w:p w:rsidR="00D775A2" w:rsidP="00D775A2" w14:paraId="5FE15417" w14:textId="1508C4DC">
      <w:pPr>
        <w:rPr>
          <w:rFonts w:ascii="Times New Roman" w:hAnsi="Times New Roman"/>
          <w:sz w:val="24"/>
        </w:rPr>
      </w:pPr>
      <w:r w:rsidRPr="006A6097">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-11</w:t>
      </w:r>
      <w:r w:rsidRPr="006A609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Several commenters stated that EPA’s breakeven analysis is not a substitute for a benefit-cost analysis (0232, 0268). The commenter stated that, while EPA’s ‘Guidelines for Preparing Economic Analyses’ indicates a breakeven analysis can be appropriate to ‘support benefits valuation when robust value estimates and/or risk estimates are lacking, the Guidelines caution that because breakeven analyses “do not estimate the net benefits of a policy or regulation, they fall short of [benefit-cost analysis] in their ability to identify an economically efficient policy.” The commenter argued that breakeven analyses are typically a “sensitivity analysis” to and not a replacement of a benefit-cost analysis (0268).</w:t>
      </w:r>
    </w:p>
    <w:p w:rsidR="003D5795" w:rsidP="00D775A2" w14:paraId="06A77DC3" w14:textId="6DDFF730">
      <w:pPr>
        <w:rPr>
          <w:rFonts w:ascii="Times New Roman" w:hAnsi="Times New Roman"/>
          <w:sz w:val="24"/>
        </w:rPr>
      </w:pPr>
      <w:r w:rsidRPr="006F68E9">
        <w:rPr>
          <w:rFonts w:ascii="Times New Roman" w:hAnsi="Times New Roman"/>
          <w:sz w:val="24"/>
        </w:rPr>
        <w:t>One commenter stated that instead of conducting a formal cost-benefit analysis, EPA presents a “breakeven analysis,” which is not a substitute for a cost-benefit analysis according to EPA’s own Economic Guidelines. The commenter stated that EPA excludes many proposed provisions from its breakeven analysis which makes the analysis invalid (0253).</w:t>
      </w:r>
    </w:p>
    <w:p w:rsidR="00464BFD" w:rsidRPr="008519EE" w:rsidP="008519EE" w14:paraId="57A940DD" w14:textId="48E366EB">
      <w:pPr>
        <w:ind w:left="720"/>
        <w:rPr>
          <w:rFonts w:ascii="Times New Roman" w:hAnsi="Times New Roman"/>
          <w:sz w:val="24"/>
        </w:rPr>
      </w:pPr>
      <w:r w:rsidRPr="4E9ECD47">
        <w:rPr>
          <w:rFonts w:ascii="Times New Roman" w:hAnsi="Times New Roman"/>
          <w:b/>
          <w:bCs/>
          <w:sz w:val="24"/>
        </w:rPr>
        <w:t>EPA Response:</w:t>
      </w:r>
      <w:r>
        <w:rPr>
          <w:rFonts w:ascii="Times New Roman" w:hAnsi="Times New Roman"/>
          <w:b/>
          <w:bCs/>
          <w:sz w:val="24"/>
        </w:rPr>
        <w:t xml:space="preserve"> </w:t>
      </w:r>
      <w:r w:rsidRPr="005C318E" w:rsidR="00DE20C2">
        <w:rPr>
          <w:rFonts w:ascii="Times New Roman" w:hAnsi="Times New Roman"/>
          <w:sz w:val="24"/>
        </w:rPr>
        <w:t xml:space="preserve">EPA </w:t>
      </w:r>
      <w:r w:rsidR="002E045E">
        <w:rPr>
          <w:rFonts w:ascii="Times New Roman" w:hAnsi="Times New Roman"/>
          <w:sz w:val="24"/>
        </w:rPr>
        <w:t xml:space="preserve">estimated costs for all final rule provisions expected to impose costs. </w:t>
      </w:r>
      <w:r w:rsidRPr="005C318E" w:rsidR="00DE20C2">
        <w:rPr>
          <w:rFonts w:ascii="Times New Roman" w:hAnsi="Times New Roman"/>
          <w:sz w:val="24"/>
        </w:rPr>
        <w:t xml:space="preserve">EPA conducted a breakeven analysis instead of a standard cost benefit analysis because while EPA was able to estimate the costs of the final rule, it cannot estimate the benefits. The incremental impact on the risk of an RMP facility release resulting from each of the revised RMP rule provisions is uncertain, as is the value of a wide variety of benefit categories as described </w:t>
      </w:r>
      <w:r w:rsidR="00DE20C2">
        <w:rPr>
          <w:rFonts w:ascii="Times New Roman" w:hAnsi="Times New Roman"/>
          <w:sz w:val="24"/>
        </w:rPr>
        <w:t>in the final rule RIA Chapter 6</w:t>
      </w:r>
      <w:r w:rsidRPr="005C318E" w:rsidR="00DE20C2">
        <w:rPr>
          <w:rFonts w:ascii="Times New Roman" w:hAnsi="Times New Roman"/>
          <w:sz w:val="24"/>
        </w:rPr>
        <w:t xml:space="preserve"> (lost productivity, responder costs, property value impacts, and so on). The final rule </w:t>
      </w:r>
      <w:r w:rsidR="00DE20C2">
        <w:rPr>
          <w:rFonts w:ascii="Times New Roman" w:hAnsi="Times New Roman"/>
          <w:sz w:val="24"/>
        </w:rPr>
        <w:t>RIA Chapter 6 section 6.3 Avoided Accident Impacts: Breakeven Analysis discusses the breakeven analysis results</w:t>
      </w:r>
      <w:r w:rsidRPr="005C318E" w:rsidR="00DE20C2">
        <w:rPr>
          <w:rFonts w:ascii="Times New Roman" w:hAnsi="Times New Roman"/>
          <w:sz w:val="24"/>
        </w:rPr>
        <w:t>. When considering the rule’s likely benefits of avoiding some portion of the monetized accident impacts, as well as the additional nonmonetized benefits, EPA believes the costs of the rule are reasonable in comparison to its expected benefits</w:t>
      </w:r>
      <w:r w:rsidR="00DE20C2">
        <w:rPr>
          <w:rFonts w:ascii="Times New Roman" w:hAnsi="Times New Roman"/>
          <w:sz w:val="24"/>
        </w:rPr>
        <w:t>.</w:t>
      </w:r>
    </w:p>
    <w:p w:rsidR="008D6227" w:rsidRPr="008D6227" w:rsidP="008D6227" w14:paraId="273FA45A" w14:textId="6AD932AE">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-12</w:t>
      </w:r>
      <w:r w:rsidRPr="008D44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w:t>
      </w:r>
      <w:r w:rsidRPr="008D6227">
        <w:rPr>
          <w:rFonts w:ascii="Times New Roman" w:hAnsi="Times New Roman"/>
          <w:sz w:val="24"/>
        </w:rPr>
        <w:t>recommended that EPA ensure that the RIA appropriately identifies the costs and benefits associated with each of the proposed rule’s provisions to ensure compliance with the APA (0243).</w:t>
      </w:r>
    </w:p>
    <w:p w:rsidR="008D6227" w:rsidRPr="008D6227" w:rsidP="008D6227" w14:paraId="4F90CA8A" w14:textId="77777777">
      <w:pPr>
        <w:ind w:left="720"/>
        <w:rPr>
          <w:rFonts w:ascii="Times New Roman" w:hAnsi="Times New Roman"/>
          <w:sz w:val="24"/>
        </w:rPr>
      </w:pPr>
      <w:r w:rsidRPr="008D6227">
        <w:rPr>
          <w:rFonts w:ascii="Times New Roman" w:hAnsi="Times New Roman"/>
          <w:b/>
          <w:bCs/>
          <w:sz w:val="24"/>
        </w:rPr>
        <w:t>EPA Response:</w:t>
      </w:r>
      <w:r w:rsidRPr="008D6227">
        <w:rPr>
          <w:rFonts w:ascii="Times New Roman" w:hAnsi="Times New Roman"/>
          <w:sz w:val="24"/>
        </w:rPr>
        <w:t xml:space="preserve"> EPA identifies and discusses in the RIA the expected costs and benefits of each provision that would be expected to result in costs or benefits. In response to comments, and from new requirements in the final rule, EPA quantified additional costs beyond those quantified in the NPRM, including public costs to request and receive RMP information and facility costs to translate RMP information into other languages, implement STAA measures, train employees on the employee participation plan, and provide justifications for not implementing recommendations to address natural hazards, facility siting, and RAGAGEP. </w:t>
      </w:r>
    </w:p>
    <w:p w:rsidR="008D6227" w:rsidRPr="008D6227" w:rsidP="008D6227" w14:paraId="00B6F2AB" w14:textId="5649CB2D">
      <w:pPr>
        <w:rPr>
          <w:rFonts w:ascii="Times New Roman" w:hAnsi="Times New Roman"/>
          <w:sz w:val="24"/>
        </w:rPr>
      </w:pPr>
      <w:r w:rsidRPr="008D6227">
        <w:rPr>
          <w:rFonts w:ascii="Times New Roman" w:hAnsi="Times New Roman"/>
          <w:b/>
          <w:bCs/>
          <w:sz w:val="24"/>
        </w:rPr>
        <w:t>Comment 1</w:t>
      </w:r>
      <w:r w:rsidR="00884D1A">
        <w:rPr>
          <w:rFonts w:ascii="Times New Roman" w:hAnsi="Times New Roman"/>
          <w:b/>
          <w:bCs/>
          <w:sz w:val="24"/>
        </w:rPr>
        <w:t>6</w:t>
      </w:r>
      <w:r w:rsidRPr="008D6227">
        <w:rPr>
          <w:rFonts w:ascii="Times New Roman" w:hAnsi="Times New Roman"/>
          <w:b/>
          <w:bCs/>
          <w:sz w:val="24"/>
        </w:rPr>
        <w:t>-</w:t>
      </w:r>
      <w:r w:rsidR="00D94B25">
        <w:rPr>
          <w:rFonts w:ascii="Times New Roman" w:hAnsi="Times New Roman"/>
          <w:b/>
          <w:bCs/>
          <w:sz w:val="24"/>
        </w:rPr>
        <w:t>13</w:t>
      </w:r>
      <w:r w:rsidRPr="008D6227">
        <w:rPr>
          <w:rFonts w:ascii="Times New Roman" w:hAnsi="Times New Roman"/>
          <w:b/>
          <w:bCs/>
          <w:sz w:val="24"/>
        </w:rPr>
        <w:t>:</w:t>
      </w:r>
      <w:r w:rsidRPr="008D6227">
        <w:rPr>
          <w:rFonts w:ascii="Times New Roman" w:hAnsi="Times New Roman"/>
          <w:sz w:val="24"/>
        </w:rPr>
        <w:t xml:space="preserve"> One commenter stated that EPA should analyze the distributional implications of its preferred approach and of each alternative – consistent with Circular A-4’s guidance that “‘an examination of alternative approaches’ [is] one of the three basic elements of a good regulatory analysis.” The commenter stated that EPA should consider the distributional consequences of the alternatives it proposes. The commenter stated that this analytical step is a </w:t>
      </w:r>
      <w:r w:rsidRPr="008D6227">
        <w:rPr>
          <w:rFonts w:ascii="Times New Roman" w:hAnsi="Times New Roman"/>
          <w:sz w:val="24"/>
        </w:rPr>
        <w:t>natural extension of EPA’s existing analysis, which already assesses the costs and benefits of a more stringent alternative and less stringent alternative. The commenter stated that if EPA also considered the distributional impacts of alternatives, EPA would be able to assess whether another option is better from a distributional perspective (0266).</w:t>
      </w:r>
    </w:p>
    <w:p w:rsidR="008D6227" w:rsidRPr="006F68E9" w:rsidP="008D6227" w14:paraId="05883822" w14:textId="77777777">
      <w:pPr>
        <w:ind w:left="720"/>
        <w:rPr>
          <w:rFonts w:ascii="Times New Roman" w:hAnsi="Times New Roman"/>
          <w:sz w:val="24"/>
        </w:rPr>
      </w:pPr>
      <w:r w:rsidRPr="008D6227">
        <w:rPr>
          <w:rFonts w:ascii="Times New Roman" w:hAnsi="Times New Roman"/>
          <w:b/>
          <w:sz w:val="24"/>
        </w:rPr>
        <w:t>EPA Response:</w:t>
      </w:r>
      <w:r w:rsidRPr="008D6227">
        <w:rPr>
          <w:rFonts w:ascii="Times New Roman" w:hAnsi="Times New Roman"/>
          <w:sz w:val="24"/>
        </w:rPr>
        <w:t xml:space="preserve"> EPA considered several distributional components in both its cost analysis (RIA Chapter 5) and its regulatory alternatives (RIA Chapter 7), including costs by facility type, sector, and size and by provision. Furthermore, the small entity analysis in RIA Chapter 8 provides distributional effects by detailed NAICS industry and size of entities. The distributional cost to different communities located near RMP facilities is also assessed in Chapter 9 of the RIA, the environmental justice analysis.</w:t>
      </w:r>
    </w:p>
    <w:p w:rsidR="001736FB" w:rsidP="00DC2DB6" w14:paraId="400FC0F4" w14:textId="1E342381">
      <w:pPr>
        <w:rPr>
          <w:rFonts w:ascii="Times New Roman" w:hAnsi="Times New Roman"/>
          <w:sz w:val="24"/>
        </w:rPr>
      </w:pPr>
      <w:r w:rsidRPr="008520CD">
        <w:rPr>
          <w:rFonts w:ascii="Times New Roman" w:hAnsi="Times New Roman"/>
          <w:b/>
          <w:bCs/>
          <w:sz w:val="24"/>
        </w:rPr>
        <w:t>Comment 1</w:t>
      </w:r>
      <w:r w:rsidR="00884D1A">
        <w:rPr>
          <w:rFonts w:ascii="Times New Roman" w:hAnsi="Times New Roman"/>
          <w:b/>
          <w:bCs/>
          <w:sz w:val="24"/>
        </w:rPr>
        <w:t>6</w:t>
      </w:r>
      <w:r w:rsidRPr="008520CD">
        <w:rPr>
          <w:rFonts w:ascii="Times New Roman" w:hAnsi="Times New Roman"/>
          <w:b/>
          <w:bCs/>
          <w:sz w:val="24"/>
        </w:rPr>
        <w:t>-1</w:t>
      </w:r>
      <w:r w:rsidR="00D94B25">
        <w:rPr>
          <w:rFonts w:ascii="Times New Roman" w:hAnsi="Times New Roman"/>
          <w:b/>
          <w:bCs/>
          <w:sz w:val="24"/>
        </w:rPr>
        <w:t>4</w:t>
      </w:r>
      <w:r w:rsidRPr="008520CD">
        <w:rPr>
          <w:rFonts w:ascii="Times New Roman" w:hAnsi="Times New Roman"/>
          <w:b/>
          <w:bCs/>
          <w:sz w:val="24"/>
        </w:rPr>
        <w:t>:</w:t>
      </w:r>
      <w:r w:rsidRPr="008520CD">
        <w:rPr>
          <w:rFonts w:ascii="Times New Roman" w:hAnsi="Times New Roman"/>
          <w:sz w:val="24"/>
        </w:rPr>
        <w:t xml:space="preserve"> One commenter stated that the Proposal should be withdrawn until EPA conducts an appropriate consideration of costs weighed against benefits, consistent with the requirements of § 112(r) and with </w:t>
      </w:r>
      <w:r w:rsidRPr="006105D8">
        <w:rPr>
          <w:rFonts w:ascii="Times New Roman" w:hAnsi="Times New Roman"/>
          <w:i/>
          <w:sz w:val="24"/>
        </w:rPr>
        <w:t>Michigan</w:t>
      </w:r>
      <w:r w:rsidRPr="008520CD">
        <w:rPr>
          <w:rFonts w:ascii="Times New Roman" w:hAnsi="Times New Roman"/>
          <w:sz w:val="24"/>
        </w:rPr>
        <w:t xml:space="preserve"> (0272). Similarly, another commenter noted that the Proposed Rule failed to show that the RMP regulations are “reasonable” in light of costs before moving forward, required by the CAA. The commenter stated that the limited analysis in the RIA fails to fulfill EPA’s statutory duty to make a finding that the regulation is reasonable and appropriate in light of costs. The commenter went on to state that EPA must also assess the costs and benefits of the proposed revisions, including a detailed analysis of how such measures would actually mitigate the risks of offsite consequences of an accidental release. The commenter claimed that EPA did not fulfill this requirement in the Proposed Rule and the failure to conduct a proper cost-benefit analysis invalidates the Proposed Rule (0268). </w:t>
      </w:r>
    </w:p>
    <w:p w:rsidR="001736FB" w:rsidRPr="00505F7C" w:rsidP="00DC2DB6" w14:paraId="013CA7B8" w14:textId="1DA56021">
      <w:pPr>
        <w:rPr>
          <w:rFonts w:ascii="Times New Roman" w:hAnsi="Times New Roman"/>
          <w:sz w:val="24"/>
          <w:highlight w:val="magenta"/>
        </w:rPr>
      </w:pPr>
      <w:r w:rsidRPr="00A30EE4">
        <w:rPr>
          <w:rFonts w:ascii="Times New Roman" w:hAnsi="Times New Roman"/>
          <w:sz w:val="24"/>
        </w:rPr>
        <w:t xml:space="preserve">One commenter stated that EPA has not complied with these principles of EO 12866 because EPA’s estimates of both the costs and benefits of the proposed rule are inaccurate and/or incomplete. The commenter requested that EPA conduct a proper cost-benefit analysis before adopting a final rule, applying the same level of analytical rigor that it applied in preparing its economic analysis for the 1996 RMP </w:t>
      </w:r>
      <w:r>
        <w:rPr>
          <w:rFonts w:ascii="Times New Roman" w:hAnsi="Times New Roman"/>
          <w:sz w:val="24"/>
        </w:rPr>
        <w:t>final rule</w:t>
      </w:r>
      <w:r w:rsidRPr="00A30EE4">
        <w:rPr>
          <w:rFonts w:ascii="Times New Roman" w:hAnsi="Times New Roman"/>
          <w:sz w:val="24"/>
        </w:rPr>
        <w:t xml:space="preserve"> (0233).</w:t>
      </w:r>
    </w:p>
    <w:p w:rsidR="005A1074" w:rsidRPr="00E77A69" w:rsidP="00DC2DB6" w14:paraId="6D781D3F" w14:textId="376A39EA">
      <w:pPr>
        <w:rPr>
          <w:rFonts w:ascii="Times New Roman" w:hAnsi="Times New Roman"/>
          <w:sz w:val="24"/>
        </w:rPr>
      </w:pPr>
      <w:r w:rsidRPr="008520CD">
        <w:rPr>
          <w:rFonts w:ascii="Times New Roman" w:hAnsi="Times New Roman"/>
          <w:sz w:val="24"/>
        </w:rPr>
        <w:t>In contrast, one commenter noted that although the RIA well supports the proposed rule, by statute, EPA is not required to find that the costs of the rule are “reasonable” in comparison to its benefits (0460). Another commenter stated that EPA is not required under the statute to demonstrate that the benefits of a rule are expected to exceed its costs (much less show that the quantified benefits of a rule will exceed its costs), elaborating that, in light of the proposed rule’s relatively low annual cost and substantial benefits to workers and fenceline communities, it easily meets these criteria (0444).</w:t>
      </w:r>
      <w:r w:rsidRPr="006F68E9">
        <w:rPr>
          <w:rFonts w:ascii="Times New Roman" w:hAnsi="Times New Roman"/>
          <w:sz w:val="24"/>
        </w:rPr>
        <w:t xml:space="preserve"> </w:t>
      </w:r>
    </w:p>
    <w:p w:rsidR="00EF7F2C" w:rsidRPr="00F432C5" w:rsidP="00EF7F2C" w14:paraId="52F4DBDF" w14:textId="59D81F91">
      <w:pPr>
        <w:ind w:left="720"/>
        <w:rPr>
          <w:rFonts w:ascii="Times New Roman" w:hAnsi="Times New Roman"/>
          <w:sz w:val="24"/>
        </w:rPr>
      </w:pPr>
      <w:r w:rsidRPr="00F432C5">
        <w:rPr>
          <w:rFonts w:ascii="Times New Roman" w:hAnsi="Times New Roman"/>
          <w:b/>
          <w:bCs/>
          <w:sz w:val="24"/>
        </w:rPr>
        <w:t>EPA Response:</w:t>
      </w:r>
      <w:r w:rsidRPr="00F432C5">
        <w:rPr>
          <w:rFonts w:ascii="Times New Roman" w:hAnsi="Times New Roman"/>
          <w:sz w:val="24"/>
        </w:rPr>
        <w:t xml:space="preserve"> EPA provided quantitative estimates wherever it could and discusses qualitatively the costs and benefits it could not quantify. The EPA does not believe that the Agency must demonstrate that the </w:t>
      </w:r>
      <w:r w:rsidRPr="26A96FF6" w:rsidR="3CFD7DD7">
        <w:rPr>
          <w:rFonts w:ascii="Times New Roman" w:hAnsi="Times New Roman"/>
          <w:sz w:val="24"/>
        </w:rPr>
        <w:t>quantified</w:t>
      </w:r>
      <w:r w:rsidRPr="26A96FF6">
        <w:rPr>
          <w:rFonts w:ascii="Times New Roman" w:hAnsi="Times New Roman"/>
          <w:sz w:val="24"/>
        </w:rPr>
        <w:t xml:space="preserve"> </w:t>
      </w:r>
      <w:r w:rsidRPr="00F432C5">
        <w:rPr>
          <w:rFonts w:ascii="Times New Roman" w:hAnsi="Times New Roman"/>
          <w:sz w:val="24"/>
        </w:rPr>
        <w:t xml:space="preserve">costs of the rule outweigh the </w:t>
      </w:r>
      <w:r w:rsidRPr="26A96FF6" w:rsidR="2E71AA09">
        <w:rPr>
          <w:rFonts w:ascii="Times New Roman" w:hAnsi="Times New Roman"/>
          <w:sz w:val="24"/>
        </w:rPr>
        <w:t xml:space="preserve">quantified </w:t>
      </w:r>
      <w:r w:rsidRPr="00F432C5">
        <w:rPr>
          <w:rFonts w:ascii="Times New Roman" w:hAnsi="Times New Roman"/>
          <w:sz w:val="24"/>
        </w:rPr>
        <w:t>benefits in order to move forward with the rulemaking. The claim is not supported by the CAA</w:t>
      </w:r>
      <w:r w:rsidRPr="0747526A" w:rsidR="4AAB8B89">
        <w:rPr>
          <w:rFonts w:ascii="Times New Roman" w:hAnsi="Times New Roman"/>
          <w:sz w:val="24"/>
        </w:rPr>
        <w:t xml:space="preserve"> nor has EPA adopted such an approach in the 1996 RMP rule, the 2017 </w:t>
      </w:r>
      <w:r w:rsidR="004F0425">
        <w:rPr>
          <w:rFonts w:ascii="Times New Roman" w:hAnsi="Times New Roman"/>
          <w:sz w:val="24"/>
        </w:rPr>
        <w:t>a</w:t>
      </w:r>
      <w:r w:rsidRPr="0747526A" w:rsidR="4AAB8B89">
        <w:rPr>
          <w:rFonts w:ascii="Times New Roman" w:hAnsi="Times New Roman"/>
          <w:sz w:val="24"/>
        </w:rPr>
        <w:t xml:space="preserve">mendments rule, and the 2019 </w:t>
      </w:r>
      <w:r w:rsidR="004F0425">
        <w:rPr>
          <w:rFonts w:ascii="Times New Roman" w:hAnsi="Times New Roman"/>
          <w:sz w:val="24"/>
        </w:rPr>
        <w:t>r</w:t>
      </w:r>
      <w:r w:rsidRPr="0747526A" w:rsidR="00EB4E65">
        <w:rPr>
          <w:rFonts w:ascii="Times New Roman" w:hAnsi="Times New Roman"/>
          <w:sz w:val="24"/>
        </w:rPr>
        <w:t>e</w:t>
      </w:r>
      <w:r w:rsidR="00EB4E65">
        <w:rPr>
          <w:rFonts w:ascii="Times New Roman" w:hAnsi="Times New Roman"/>
          <w:sz w:val="24"/>
        </w:rPr>
        <w:t xml:space="preserve">consideration </w:t>
      </w:r>
      <w:r w:rsidRPr="0747526A" w:rsidR="4AAB8B89">
        <w:rPr>
          <w:rFonts w:ascii="Times New Roman" w:hAnsi="Times New Roman"/>
          <w:sz w:val="24"/>
        </w:rPr>
        <w:t>rule</w:t>
      </w:r>
      <w:r w:rsidRPr="0747526A">
        <w:rPr>
          <w:rFonts w:ascii="Times New Roman" w:hAnsi="Times New Roman"/>
          <w:sz w:val="24"/>
        </w:rPr>
        <w:t>.</w:t>
      </w:r>
      <w:r w:rsidRPr="00F432C5">
        <w:rPr>
          <w:rFonts w:ascii="Times New Roman" w:hAnsi="Times New Roman"/>
          <w:sz w:val="24"/>
        </w:rPr>
        <w:t xml:space="preserve"> Furthermore, EPA was unable to quantify the benefits of the SCCAP final rule, so it would not be possible to monetize the benefits associated with the final rule provisions. </w:t>
      </w:r>
    </w:p>
    <w:p w:rsidR="00EF7F2C" w:rsidRPr="00F432C5" w:rsidP="00EF7F2C" w14:paraId="16A3D773" w14:textId="77777777">
      <w:pPr>
        <w:ind w:left="720"/>
        <w:rPr>
          <w:rFonts w:ascii="Times New Roman" w:hAnsi="Times New Roman"/>
          <w:sz w:val="24"/>
        </w:rPr>
      </w:pPr>
      <w:r w:rsidRPr="00F432C5">
        <w:rPr>
          <w:rFonts w:ascii="Times New Roman" w:hAnsi="Times New Roman"/>
          <w:sz w:val="24"/>
        </w:rPr>
        <w:t xml:space="preserve">While EPA is authorized to promulgate regulations that provide for the prevention and detection of accidental releases to the greatest extent practicable, so too must these regulations be reasonable. The relevant statutory phrase describing EPA’s authority to </w:t>
      </w:r>
      <w:r w:rsidRPr="00F432C5">
        <w:rPr>
          <w:rFonts w:ascii="Times New Roman" w:hAnsi="Times New Roman"/>
          <w:sz w:val="24"/>
        </w:rPr>
        <w:t>regulate under CAA section 112(r)(7)(B)(i), authorizes “reasonable regulations . . . to provide, to the greatest extent practicable,” for the prevention and detection of and response to accidental releases of substances listed in 40 CFR 68.130. EPA interprets the term “practicable” in this context to include concepts such as cost-effectiveness of the regulatory and implementation approach, as well as the availability of relevant technical expertise and resources to the implementing and enforcement agencies and the owners and operators who must comply with the rule. Further, an interpretation of the statute that does not give meaning to the qualifier “reasonable” to the authority to regulate “to the greatest extent practicable,” as the commenters suggest, would be inconsistent with the structure of the statute.</w:t>
      </w:r>
      <w:r w:rsidRPr="00F432C5">
        <w:rPr>
          <w:rFonts w:ascii="Times New Roman" w:hAnsi="Times New Roman"/>
          <w:sz w:val="24"/>
        </w:rPr>
        <w:t xml:space="preserve"> </w:t>
      </w:r>
    </w:p>
    <w:p w:rsidR="00EF7F2C" w:rsidRPr="00F432C5" w:rsidP="00EF7F2C" w14:paraId="268D1DA9" w14:textId="7464429A">
      <w:pPr>
        <w:ind w:left="720"/>
        <w:rPr>
          <w:rFonts w:ascii="Times New Roman" w:hAnsi="Times New Roman"/>
          <w:sz w:val="24"/>
        </w:rPr>
      </w:pPr>
      <w:r w:rsidRPr="00F432C5">
        <w:rPr>
          <w:rFonts w:ascii="Times New Roman" w:hAnsi="Times New Roman"/>
          <w:sz w:val="24"/>
        </w:rPr>
        <w:t xml:space="preserve">As recognized by the Supreme Court in Michigan v. EPA, 135 S. Ct. 2699, 2707 (2015), “reasonable regulation” generally involves some sort of examination of the benefits and the burdens of a rule. Nevertheless, the Court in Michigan v. EPA did not mandate a strict analysis of quantified cost and benefits and limit the Agency to adopting only those measures that have quantified costs exceeding benefits. </w:t>
      </w:r>
      <w:r w:rsidR="007C7589">
        <w:rPr>
          <w:rFonts w:ascii="Times New Roman" w:hAnsi="Times New Roman"/>
          <w:sz w:val="24"/>
        </w:rPr>
        <w:t>In assessing the types of benefits EPA should consider in a rulemaking under CAA 112(r)(7)</w:t>
      </w:r>
      <w:r w:rsidR="00094040">
        <w:rPr>
          <w:rFonts w:ascii="Times New Roman" w:hAnsi="Times New Roman"/>
          <w:sz w:val="24"/>
        </w:rPr>
        <w:t xml:space="preserve">, EPA recognizes </w:t>
      </w:r>
      <w:r w:rsidRPr="00F432C5">
        <w:rPr>
          <w:rFonts w:ascii="Times New Roman" w:hAnsi="Times New Roman"/>
          <w:sz w:val="24"/>
        </w:rPr>
        <w:t xml:space="preserve">that a major purpose of the accidental release provisions of the CAA is to prevent large scale catastrophic incidents that are rare and therefore difficult to quantify. Both the Senate and the House committee reports on the CAAA specifically identify the </w:t>
      </w:r>
      <w:r w:rsidR="00094040">
        <w:rPr>
          <w:rFonts w:ascii="Times New Roman" w:hAnsi="Times New Roman"/>
          <w:sz w:val="24"/>
        </w:rPr>
        <w:t>Union Carbide</w:t>
      </w:r>
      <w:r w:rsidR="00980C31">
        <w:rPr>
          <w:rFonts w:ascii="Times New Roman" w:hAnsi="Times New Roman"/>
          <w:sz w:val="24"/>
        </w:rPr>
        <w:t>-</w:t>
      </w:r>
      <w:r w:rsidRPr="00F432C5">
        <w:rPr>
          <w:rFonts w:ascii="Times New Roman" w:hAnsi="Times New Roman"/>
          <w:sz w:val="24"/>
        </w:rPr>
        <w:t>Bhopal</w:t>
      </w:r>
      <w:r w:rsidR="00980C31">
        <w:rPr>
          <w:rFonts w:ascii="Times New Roman" w:hAnsi="Times New Roman"/>
          <w:sz w:val="24"/>
        </w:rPr>
        <w:t xml:space="preserve"> incident</w:t>
      </w:r>
      <w:r w:rsidRPr="00F432C5">
        <w:rPr>
          <w:rFonts w:ascii="Times New Roman" w:hAnsi="Times New Roman"/>
          <w:sz w:val="24"/>
        </w:rPr>
        <w:t xml:space="preserve"> as one that demonstrated the need for the accidental release prevention provision (House Report at 155-57; Senate Report at 134-35, 143-44). The Congressional reports and floor debates also cite an EPA study identifying 17 events that, based only on the volume and toxicity of the chemicals involved (and not accounting for factors such as location, climate, and operating conditions) had the potential for more damage than the </w:t>
      </w:r>
      <w:r w:rsidR="00980C31">
        <w:rPr>
          <w:rFonts w:ascii="Times New Roman" w:hAnsi="Times New Roman"/>
          <w:sz w:val="24"/>
        </w:rPr>
        <w:t>Union Carbide-</w:t>
      </w:r>
      <w:r w:rsidRPr="00F432C5">
        <w:rPr>
          <w:rFonts w:ascii="Times New Roman" w:hAnsi="Times New Roman"/>
          <w:sz w:val="24"/>
        </w:rPr>
        <w:t>Bhopal incident.</w:t>
      </w:r>
      <w:r>
        <w:rPr>
          <w:rFonts w:ascii="Times New Roman" w:hAnsi="Times New Roman"/>
          <w:sz w:val="24"/>
          <w:vertAlign w:val="superscript"/>
        </w:rPr>
        <w:footnoteReference w:id="200"/>
      </w:r>
      <w:r w:rsidRPr="00F432C5">
        <w:rPr>
          <w:rFonts w:ascii="Times New Roman" w:hAnsi="Times New Roman"/>
          <w:sz w:val="24"/>
        </w:rPr>
        <w:t xml:space="preserve"> </w:t>
      </w:r>
      <w:r w:rsidRPr="00F432C5">
        <w:rPr>
          <w:rFonts w:ascii="Times New Roman" w:hAnsi="Times New Roman"/>
          <w:sz w:val="24"/>
        </w:rPr>
        <w:t xml:space="preserve">Therefore, when assessing the reasonableness of the benefits and burdens of various regulatory options, EPA places weight on both preventing more common accidental releases captured in the accident history portion of the RMP database while also placing weight on less quantifiable potential catastrophic events. Our judgment as to what regulations are “reasonable” is informed by both quantifiable and unquantifiable burdens and benefits. </w:t>
      </w:r>
    </w:p>
    <w:p w:rsidR="00EF7F2C" w:rsidRPr="00F432C5" w:rsidP="00EF7F2C" w14:paraId="0EB7AFCB" w14:textId="7552F3AC">
      <w:pPr>
        <w:ind w:left="720"/>
        <w:rPr>
          <w:rFonts w:ascii="Times New Roman" w:hAnsi="Times New Roman"/>
          <w:sz w:val="24"/>
        </w:rPr>
      </w:pPr>
      <w:r>
        <w:rPr>
          <w:rFonts w:ascii="Times New Roman" w:hAnsi="Times New Roman"/>
          <w:sz w:val="24"/>
        </w:rPr>
        <w:t>The</w:t>
      </w:r>
      <w:r w:rsidRPr="00F432C5">
        <w:rPr>
          <w:rFonts w:ascii="Times New Roman" w:hAnsi="Times New Roman"/>
          <w:sz w:val="24"/>
        </w:rPr>
        <w:t xml:space="preserve"> </w:t>
      </w:r>
      <w:r w:rsidRPr="00F432C5">
        <w:rPr>
          <w:rFonts w:ascii="Times New Roman" w:hAnsi="Times New Roman"/>
          <w:sz w:val="24"/>
        </w:rPr>
        <w:t>fact that accidents continue to occur shows that we still have reason to exercise statutory authority to promulgate reasonable regulations to provide for the prevention and detection of those accidents to the greatest extent practicable when the opportunity exists to improve the performance of our regulatory program. In determining what is “reasonable” when developing regulations under CAA section 112(r)(7)(B)</w:t>
      </w:r>
      <w:r w:rsidR="008E5EB3">
        <w:rPr>
          <w:rFonts w:ascii="Times New Roman" w:hAnsi="Times New Roman"/>
          <w:sz w:val="24"/>
        </w:rPr>
        <w:t>(i)</w:t>
      </w:r>
      <w:r w:rsidRPr="00F432C5">
        <w:rPr>
          <w:rFonts w:ascii="Times New Roman" w:hAnsi="Times New Roman"/>
          <w:sz w:val="24"/>
        </w:rPr>
        <w:t xml:space="preserve">, EPA acknowledges that some facilities are less likely to have an accidental release than others and that the statute gives the Agency the authority to distinguish among classes of facilities. When developing this rulemaking, EPA therefore had the authority to include multiple factors when </w:t>
      </w:r>
      <w:r w:rsidRPr="00F432C5">
        <w:rPr>
          <w:rFonts w:ascii="Times New Roman" w:hAnsi="Times New Roman"/>
          <w:sz w:val="24"/>
        </w:rPr>
        <w:t>determining what is reasonable, such as frequency of RMP accidents or proximity to both nearby communities and</w:t>
      </w:r>
      <w:r w:rsidRPr="00F432C5">
        <w:rPr>
          <w:rFonts w:ascii="Times New Roman" w:hAnsi="Times New Roman"/>
          <w:sz w:val="24"/>
        </w:rPr>
        <w:t xml:space="preserve"> </w:t>
      </w:r>
      <w:r w:rsidRPr="00F432C5">
        <w:rPr>
          <w:rFonts w:ascii="Times New Roman" w:hAnsi="Times New Roman"/>
          <w:sz w:val="24"/>
        </w:rPr>
        <w:t xml:space="preserve">other RMP facilities that could, as a result, make the communities and other facilities be more susceptible to being exposed to a worst-case scenario. </w:t>
      </w:r>
      <w:r w:rsidRPr="00507B2C" w:rsidR="00507B2C">
        <w:rPr>
          <w:rFonts w:ascii="Times New Roman" w:hAnsi="Times New Roman"/>
          <w:sz w:val="24"/>
        </w:rPr>
        <w:t>For example, as mentioned in the proposed rulemaking, the per facility accident rate between 2016 and 2020</w:t>
      </w:r>
      <w:r>
        <w:rPr>
          <w:rStyle w:val="FootnoteReference"/>
          <w:rFonts w:ascii="Times New Roman" w:hAnsi="Times New Roman"/>
          <w:sz w:val="24"/>
        </w:rPr>
        <w:footnoteReference w:id="201"/>
      </w:r>
      <w:r w:rsidRPr="00507B2C" w:rsidR="00507B2C">
        <w:rPr>
          <w:rFonts w:ascii="Times New Roman" w:hAnsi="Times New Roman"/>
          <w:sz w:val="24"/>
        </w:rPr>
        <w:t xml:space="preserve"> </w:t>
      </w:r>
      <w:r w:rsidRPr="00507B2C" w:rsidR="00507B2C">
        <w:rPr>
          <w:rFonts w:ascii="Times New Roman" w:hAnsi="Times New Roman"/>
          <w:sz w:val="24"/>
        </w:rPr>
        <w:t>for all regulated facilities was 3 percent (n = 382 facilities reporting at least one accident out of 12,855 unique facilities reporting between 2016 and 2020), the sector accident rates (number of unique facilities with accidents per sector divided by the number of unique facilities in each sector) for petroleum and coal manufacturing were seven times higher (23 percent, n = 41 out of 177) and two times higher for chemical manufacturing (6 percent, n = 96 out of 1631).  Also, based on accidents occurring between 2016 and 2020, communities located near facilities in NAICS 324/325 that are located within 1 mile of another 324/325 facility are 1.5 times more likely to have been exposed to accidents at these facilities as compared to communities near facilities in NAICS 324/325 that are not located within 1 mile of another 324/325 facility (87 FR 53578)</w:t>
      </w:r>
      <w:r>
        <w:rPr>
          <w:rStyle w:val="FootnoteReference"/>
          <w:rFonts w:ascii="Times New Roman" w:hAnsi="Times New Roman"/>
          <w:sz w:val="24"/>
        </w:rPr>
        <w:footnoteReference w:id="202"/>
      </w:r>
      <w:r w:rsidRPr="00507B2C" w:rsidR="00507B2C">
        <w:rPr>
          <w:rFonts w:ascii="Times New Roman" w:hAnsi="Times New Roman"/>
          <w:sz w:val="24"/>
        </w:rPr>
        <w:t>. Also</w:t>
      </w:r>
      <w:r w:rsidRPr="00F432C5">
        <w:rPr>
          <w:rFonts w:ascii="Times New Roman" w:hAnsi="Times New Roman"/>
          <w:sz w:val="24"/>
        </w:rPr>
        <w:t xml:space="preserve"> mentioned in the proposed rulemaking, these surrounding communities would benefit from rule-based prevention prior to incidents, rather than the case-by-case oversight approach of the 2019 reconsideration rule</w:t>
      </w:r>
      <w:r w:rsidR="001B1FCE">
        <w:rPr>
          <w:rFonts w:ascii="Times New Roman" w:hAnsi="Times New Roman"/>
          <w:sz w:val="24"/>
        </w:rPr>
        <w:t xml:space="preserve"> </w:t>
      </w:r>
      <w:r w:rsidRPr="001B1FCE" w:rsidR="001B1FCE">
        <w:rPr>
          <w:rFonts w:ascii="Times New Roman" w:hAnsi="Times New Roman"/>
          <w:sz w:val="24"/>
        </w:rPr>
        <w:t>(87 FR 53565)</w:t>
      </w:r>
      <w:r w:rsidRPr="00F432C5">
        <w:rPr>
          <w:rFonts w:ascii="Times New Roman" w:hAnsi="Times New Roman"/>
          <w:sz w:val="24"/>
        </w:rPr>
        <w:t>. Therefore, EPA now believes the benefits of rule-based prevention for certain high-risk classes of facilities could help prevent high consequence accidents that affect communities and are therefore reasonable</w:t>
      </w:r>
      <w:r w:rsidR="00480AF2">
        <w:rPr>
          <w:rFonts w:ascii="Times New Roman" w:hAnsi="Times New Roman"/>
          <w:sz w:val="24"/>
        </w:rPr>
        <w:t xml:space="preserve"> and necessary to meet the statutory objective “to the greatest extent practicable</w:t>
      </w:r>
      <w:r w:rsidRPr="00F432C5">
        <w:rPr>
          <w:rFonts w:ascii="Times New Roman" w:hAnsi="Times New Roman"/>
          <w:sz w:val="24"/>
        </w:rPr>
        <w:t>.</w:t>
      </w:r>
      <w:r w:rsidR="00480AF2">
        <w:rPr>
          <w:rFonts w:ascii="Times New Roman" w:hAnsi="Times New Roman"/>
          <w:sz w:val="24"/>
        </w:rPr>
        <w:t>”</w:t>
      </w:r>
    </w:p>
    <w:p w:rsidR="00EF7F2C" w:rsidP="00EF7F2C" w14:paraId="37DFB897" w14:textId="6A1B652E">
      <w:pPr>
        <w:ind w:left="720" w:right="51"/>
        <w:rPr>
          <w:rFonts w:ascii="Times New Roman" w:hAnsi="Times New Roman"/>
          <w:sz w:val="24"/>
        </w:rPr>
      </w:pPr>
      <w:r w:rsidRPr="00F432C5">
        <w:rPr>
          <w:rFonts w:ascii="Times New Roman" w:hAnsi="Times New Roman"/>
          <w:sz w:val="24"/>
        </w:rPr>
        <w:t xml:space="preserve">In general, the cost elements analyzed represent provisions of the rule that will incur net new costs as a result of implementation. To the extent that the rule will require other actions, the Agency believes that these </w:t>
      </w:r>
      <w:r w:rsidRPr="00F432C5" w:rsidR="0007364E">
        <w:rPr>
          <w:rFonts w:ascii="Times New Roman" w:hAnsi="Times New Roman"/>
          <w:sz w:val="24"/>
        </w:rPr>
        <w:t xml:space="preserve">either </w:t>
      </w:r>
      <w:r w:rsidRPr="00F432C5">
        <w:rPr>
          <w:rFonts w:ascii="Times New Roman" w:hAnsi="Times New Roman"/>
          <w:sz w:val="24"/>
        </w:rPr>
        <w:t>will be similar to what was required in previous iterations of the RMP rule or will be de minimis.</w:t>
      </w:r>
      <w:r w:rsidRPr="00F432C5">
        <w:rPr>
          <w:rFonts w:ascii="Times New Roman" w:hAnsi="Times New Roman"/>
          <w:b/>
          <w:bCs/>
          <w:sz w:val="24"/>
        </w:rPr>
        <w:t xml:space="preserve"> </w:t>
      </w:r>
      <w:r w:rsidRPr="00F432C5">
        <w:rPr>
          <w:rFonts w:ascii="Times New Roman" w:hAnsi="Times New Roman"/>
          <w:sz w:val="24"/>
        </w:rPr>
        <w:t>Although EPA did not specifically separate out a “no change” baseline alternative, the discussion of final rule provisions indicated how each provision differs from the baseline “null” scenario and indicated that costs calculated represent incremental costs above the current baseline. Baseline accidents for the purposes of discussing benefits are discussed in chapter 3 of the RIA.</w:t>
      </w:r>
    </w:p>
    <w:p w:rsidR="00363CC5" w:rsidRPr="006F68E9" w:rsidP="00363CC5" w14:paraId="00271E10" w14:textId="5B019945">
      <w:pPr>
        <w:rPr>
          <w:rFonts w:ascii="Times New Roman" w:hAnsi="Times New Roman"/>
          <w:sz w:val="24"/>
        </w:rPr>
      </w:pPr>
      <w:r w:rsidRPr="00772994">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w:t>
      </w:r>
      <w:r w:rsidR="001341F6">
        <w:rPr>
          <w:rFonts w:ascii="Times New Roman" w:hAnsi="Times New Roman"/>
          <w:b/>
          <w:bCs/>
          <w:sz w:val="24"/>
        </w:rPr>
        <w:t>1</w:t>
      </w:r>
      <w:r w:rsidR="00D94B25">
        <w:rPr>
          <w:rFonts w:ascii="Times New Roman" w:hAnsi="Times New Roman"/>
          <w:b/>
          <w:bCs/>
          <w:sz w:val="24"/>
        </w:rPr>
        <w:t>5</w:t>
      </w:r>
      <w:r w:rsidRPr="00772994">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the EPA’s cost benefit discussion in the RIA selectively uses empirical data, most often focused on potential costs, while making no attempts to quantify the benefits, </w:t>
      </w:r>
      <w:r>
        <w:rPr>
          <w:rFonts w:ascii="Times New Roman" w:hAnsi="Times New Roman"/>
          <w:sz w:val="24"/>
        </w:rPr>
        <w:t xml:space="preserve">which the commenter asserted is </w:t>
      </w:r>
      <w:r w:rsidRPr="006F68E9">
        <w:rPr>
          <w:rFonts w:ascii="Times New Roman" w:hAnsi="Times New Roman"/>
          <w:sz w:val="24"/>
        </w:rPr>
        <w:t xml:space="preserve">denying the principals of traditional </w:t>
      </w:r>
      <w:r w:rsidRPr="006F68E9">
        <w:rPr>
          <w:rFonts w:ascii="Times New Roman" w:hAnsi="Times New Roman"/>
          <w:sz w:val="24"/>
        </w:rPr>
        <w:t xml:space="preserve">benefit cost and guidance from OMB. The commenter stated that OMB guidance strongly encourages agencies to perform sensitivity analyses and provide the public the results, but EPA has not done so here. The commenter </w:t>
      </w:r>
      <w:r>
        <w:rPr>
          <w:rFonts w:ascii="Times New Roman" w:hAnsi="Times New Roman"/>
          <w:sz w:val="24"/>
        </w:rPr>
        <w:t>said</w:t>
      </w:r>
      <w:r w:rsidRPr="006F68E9">
        <w:rPr>
          <w:rFonts w:ascii="Times New Roman" w:hAnsi="Times New Roman"/>
          <w:sz w:val="24"/>
        </w:rPr>
        <w:t xml:space="preserve"> that by not providing a sensitivity analysis that excludes this small number of incidents, EPA has skewed the cost benefit analysis (0239).</w:t>
      </w:r>
    </w:p>
    <w:p w:rsidR="00363CC5" w:rsidRPr="00217673" w:rsidP="00217673" w14:paraId="27BA5BD9" w14:textId="307A0066">
      <w:pPr>
        <w:ind w:left="720"/>
        <w:rPr>
          <w:rFonts w:ascii="Times New Roman" w:hAnsi="Times New Roman"/>
          <w:sz w:val="24"/>
        </w:rPr>
      </w:pPr>
      <w:r w:rsidRPr="00127758">
        <w:rPr>
          <w:rFonts w:ascii="Times New Roman" w:hAnsi="Times New Roman"/>
          <w:b/>
          <w:sz w:val="24"/>
        </w:rPr>
        <w:t>EPA Response</w:t>
      </w:r>
      <w:r w:rsidRPr="00127758">
        <w:rPr>
          <w:rFonts w:ascii="Times New Roman" w:hAnsi="Times New Roman"/>
          <w:sz w:val="24"/>
        </w:rPr>
        <w:t>: OMB guidance for estimating the benefits and costs of proposed regulatory or deregulatory actions states that agencies should conduct a benefit-cost analysis to estimate the benefits and costs associated with a proposed action and each alternative approach. OMB states that “the benefits and costs should be quantified and monetized to the extent possible, and presented in both physical units (e.g., number of illnesses avoided) and monetary terms. When quantification of a particular benefit or cost is not possible, it should be described qualitatively.” (OMB Circular A-4). OMB has also stated that “If the agency cannot quantify a benefit or cost, the agency should explain why and present any available quantitative information.” (OMB Circular A-4). EPA believes it cannot quantify the impacts of the final rule provisions due to a lack of available data and has sufficiently evaluated the qualitative benefits of final rule provisions in accordance with OMB guidance.</w:t>
      </w:r>
    </w:p>
    <w:p w:rsidR="00A109E0" w:rsidRPr="00ED682D" w:rsidP="00A109E0" w14:paraId="1A00CA08" w14:textId="77777777">
      <w:pPr>
        <w:rPr>
          <w:rFonts w:ascii="Times New Roman" w:eastAsia="Times New Roman" w:hAnsi="Times New Roman"/>
          <w:i/>
          <w:iCs/>
          <w:sz w:val="24"/>
        </w:rPr>
      </w:pPr>
      <w:r w:rsidRPr="00ED682D">
        <w:rPr>
          <w:rFonts w:ascii="Times New Roman" w:eastAsia="Times New Roman" w:hAnsi="Times New Roman"/>
          <w:i/>
          <w:iCs/>
          <w:sz w:val="24"/>
        </w:rPr>
        <w:t>Inconsistency with previous RIAs</w:t>
      </w:r>
    </w:p>
    <w:p w:rsidR="00A109E0" w:rsidRPr="004C3299" w:rsidP="00A109E0" w14:paraId="2B5362E8" w14:textId="10DC8F7D">
      <w:pPr>
        <w:rPr>
          <w:rFonts w:ascii="Times New Roman" w:hAnsi="Times New Roman"/>
          <w:sz w:val="24"/>
        </w:rPr>
      </w:pPr>
      <w:r w:rsidRPr="004C3299">
        <w:rPr>
          <w:rFonts w:ascii="Times New Roman" w:hAnsi="Times New Roman"/>
          <w:b/>
          <w:bCs/>
          <w:sz w:val="24"/>
        </w:rPr>
        <w:t>Comment 1</w:t>
      </w:r>
      <w:r w:rsidR="00884D1A">
        <w:rPr>
          <w:rFonts w:ascii="Times New Roman" w:hAnsi="Times New Roman"/>
          <w:b/>
          <w:bCs/>
          <w:sz w:val="24"/>
        </w:rPr>
        <w:t>6</w:t>
      </w:r>
      <w:r w:rsidRPr="004C3299">
        <w:rPr>
          <w:rFonts w:ascii="Times New Roman" w:hAnsi="Times New Roman"/>
          <w:b/>
          <w:bCs/>
          <w:sz w:val="24"/>
        </w:rPr>
        <w:t>-</w:t>
      </w:r>
      <w:r w:rsidR="00D94B25">
        <w:rPr>
          <w:rFonts w:ascii="Times New Roman" w:hAnsi="Times New Roman"/>
          <w:b/>
          <w:bCs/>
          <w:sz w:val="24"/>
        </w:rPr>
        <w:t>16</w:t>
      </w:r>
      <w:r w:rsidRPr="004C3299">
        <w:rPr>
          <w:rFonts w:ascii="Times New Roman" w:hAnsi="Times New Roman"/>
          <w:b/>
          <w:bCs/>
          <w:sz w:val="24"/>
        </w:rPr>
        <w:t>:</w:t>
      </w:r>
      <w:r w:rsidRPr="004C3299">
        <w:rPr>
          <w:rFonts w:ascii="Times New Roman" w:hAnsi="Times New Roman"/>
          <w:sz w:val="24"/>
        </w:rPr>
        <w:t xml:space="preserve"> One commenter stated that, in its reconsideration of the 2017 RMP rule in late November 2019, EPA cited as much as $884 million in undiscounted avoided costs to the private sector in its decision to rescind that rule, along with unquantifiable benefits to information security for affected facilities. The commenter asked how, precisely, that figure would be estimated today (0214).</w:t>
      </w:r>
    </w:p>
    <w:p w:rsidR="00A109E0" w:rsidRPr="004C3299" w:rsidP="00A109E0" w14:paraId="39063B7E" w14:textId="5333AA57">
      <w:pPr>
        <w:ind w:left="810"/>
        <w:rPr>
          <w:rFonts w:ascii="Times New Roman" w:hAnsi="Times New Roman"/>
          <w:sz w:val="24"/>
        </w:rPr>
      </w:pPr>
      <w:r w:rsidRPr="004C3299">
        <w:rPr>
          <w:rFonts w:ascii="Times New Roman" w:hAnsi="Times New Roman"/>
          <w:b/>
          <w:bCs/>
          <w:sz w:val="24"/>
        </w:rPr>
        <w:t>EPA Response:</w:t>
      </w:r>
      <w:r w:rsidRPr="004C3299">
        <w:rPr>
          <w:rFonts w:ascii="Times New Roman" w:hAnsi="Times New Roman"/>
          <w:sz w:val="24"/>
        </w:rPr>
        <w:t xml:space="preserve"> The RIA estimates </w:t>
      </w:r>
      <w:r w:rsidR="00221630">
        <w:rPr>
          <w:rFonts w:ascii="Times New Roman" w:hAnsi="Times New Roman"/>
          <w:sz w:val="24"/>
        </w:rPr>
        <w:t xml:space="preserve">costs for </w:t>
      </w:r>
      <w:r w:rsidRPr="004C3299">
        <w:rPr>
          <w:rFonts w:ascii="Times New Roman" w:hAnsi="Times New Roman"/>
          <w:sz w:val="24"/>
        </w:rPr>
        <w:t>this final rule’s provisions</w:t>
      </w:r>
      <w:r w:rsidR="00221630">
        <w:rPr>
          <w:rFonts w:ascii="Times New Roman" w:hAnsi="Times New Roman"/>
          <w:sz w:val="24"/>
        </w:rPr>
        <w:t>,</w:t>
      </w:r>
      <w:r w:rsidRPr="004C3299">
        <w:rPr>
          <w:rFonts w:ascii="Times New Roman" w:hAnsi="Times New Roman"/>
          <w:sz w:val="24"/>
        </w:rPr>
        <w:t xml:space="preserve"> which differ from prior rule provisions. Updated costs for rule familiarization and for third party audits, root cause analysis, public disclosure, and STAA initial evaluation and practicability study provisions are in the RIA. However, the content and scope of some of these provisions has changed.</w:t>
      </w:r>
    </w:p>
    <w:p w:rsidR="00A109E0" w:rsidRPr="004C3299" w:rsidP="00DC2DB6" w14:paraId="2672CE18" w14:textId="451E5EEA">
      <w:pPr>
        <w:rPr>
          <w:rFonts w:ascii="Times New Roman" w:hAnsi="Times New Roman"/>
          <w:sz w:val="24"/>
        </w:rPr>
      </w:pPr>
      <w:r w:rsidRPr="004C3299">
        <w:rPr>
          <w:rFonts w:ascii="Times New Roman" w:hAnsi="Times New Roman"/>
          <w:b/>
          <w:bCs/>
          <w:sz w:val="24"/>
        </w:rPr>
        <w:t>Comment 1</w:t>
      </w:r>
      <w:r w:rsidR="00884D1A">
        <w:rPr>
          <w:rFonts w:ascii="Times New Roman" w:hAnsi="Times New Roman"/>
          <w:b/>
          <w:bCs/>
          <w:sz w:val="24"/>
        </w:rPr>
        <w:t>6</w:t>
      </w:r>
      <w:r w:rsidRPr="004C3299">
        <w:rPr>
          <w:rFonts w:ascii="Times New Roman" w:hAnsi="Times New Roman"/>
          <w:b/>
          <w:bCs/>
          <w:sz w:val="24"/>
        </w:rPr>
        <w:t>-1</w:t>
      </w:r>
      <w:r w:rsidR="00D94B25">
        <w:rPr>
          <w:rFonts w:ascii="Times New Roman" w:hAnsi="Times New Roman"/>
          <w:b/>
          <w:bCs/>
          <w:sz w:val="24"/>
        </w:rPr>
        <w:t>7</w:t>
      </w:r>
      <w:r w:rsidRPr="004C3299">
        <w:rPr>
          <w:rFonts w:ascii="Times New Roman" w:hAnsi="Times New Roman"/>
          <w:b/>
          <w:bCs/>
          <w:sz w:val="24"/>
        </w:rPr>
        <w:t>:</w:t>
      </w:r>
      <w:r w:rsidRPr="004C3299">
        <w:rPr>
          <w:rFonts w:ascii="Times New Roman" w:hAnsi="Times New Roman"/>
          <w:sz w:val="24"/>
        </w:rPr>
        <w:t xml:space="preserve"> One commenter stated that EPA’s failure to appropriately consider costs and benefits is all the more unreasonable because the Agency has conducted a cost-benefit analysis in past RMP rulemakings, and nothing in the proposed rule record explains EPA’s failure to use the same or similar methodology here (0272).</w:t>
      </w:r>
    </w:p>
    <w:p w:rsidR="0096426F" w:rsidRPr="004976ED" w:rsidP="0096426F" w14:paraId="6B1BC62F" w14:textId="5A2A8646">
      <w:pPr>
        <w:ind w:left="720"/>
        <w:rPr>
          <w:rFonts w:ascii="Times New Roman" w:hAnsi="Times New Roman"/>
          <w:sz w:val="24"/>
        </w:rPr>
      </w:pPr>
      <w:r w:rsidRPr="00436E70">
        <w:rPr>
          <w:rFonts w:ascii="Times New Roman" w:hAnsi="Times New Roman"/>
          <w:b/>
          <w:bCs/>
          <w:sz w:val="24"/>
        </w:rPr>
        <w:t>EPA Response:</w:t>
      </w:r>
      <w:r w:rsidRPr="00436E70">
        <w:rPr>
          <w:rFonts w:ascii="Times New Roman" w:hAnsi="Times New Roman"/>
          <w:sz w:val="24"/>
        </w:rPr>
        <w:t xml:space="preserve"> </w:t>
      </w:r>
      <w:r>
        <w:rPr>
          <w:rFonts w:ascii="Times New Roman" w:hAnsi="Times New Roman"/>
          <w:sz w:val="24"/>
        </w:rPr>
        <w:t xml:space="preserve">Both the 2017 </w:t>
      </w:r>
      <w:r w:rsidR="00D15077">
        <w:rPr>
          <w:rFonts w:ascii="Times New Roman" w:hAnsi="Times New Roman"/>
          <w:sz w:val="24"/>
        </w:rPr>
        <w:t>a</w:t>
      </w:r>
      <w:r>
        <w:rPr>
          <w:rFonts w:ascii="Times New Roman" w:hAnsi="Times New Roman"/>
          <w:sz w:val="24"/>
        </w:rPr>
        <w:t xml:space="preserve">mendments </w:t>
      </w:r>
      <w:r w:rsidR="00D15077">
        <w:rPr>
          <w:rFonts w:ascii="Times New Roman" w:hAnsi="Times New Roman"/>
          <w:sz w:val="24"/>
        </w:rPr>
        <w:t>r</w:t>
      </w:r>
      <w:r>
        <w:rPr>
          <w:rFonts w:ascii="Times New Roman" w:hAnsi="Times New Roman"/>
          <w:sz w:val="24"/>
        </w:rPr>
        <w:t xml:space="preserve">ule and 2019 </w:t>
      </w:r>
      <w:r w:rsidR="00D15077">
        <w:rPr>
          <w:rFonts w:ascii="Times New Roman" w:hAnsi="Times New Roman"/>
          <w:sz w:val="24"/>
        </w:rPr>
        <w:t>r</w:t>
      </w:r>
      <w:r>
        <w:rPr>
          <w:rFonts w:ascii="Times New Roman" w:hAnsi="Times New Roman"/>
          <w:sz w:val="24"/>
        </w:rPr>
        <w:t xml:space="preserve">econsideration </w:t>
      </w:r>
      <w:r w:rsidR="00D15077">
        <w:rPr>
          <w:rFonts w:ascii="Times New Roman" w:hAnsi="Times New Roman"/>
          <w:sz w:val="24"/>
        </w:rPr>
        <w:t>r</w:t>
      </w:r>
      <w:r>
        <w:rPr>
          <w:rFonts w:ascii="Times New Roman" w:hAnsi="Times New Roman"/>
          <w:sz w:val="24"/>
        </w:rPr>
        <w:t xml:space="preserve">ule RIAs </w:t>
      </w:r>
      <w:r w:rsidR="00E14B5B">
        <w:rPr>
          <w:rFonts w:ascii="Times New Roman" w:hAnsi="Times New Roman"/>
          <w:sz w:val="24"/>
        </w:rPr>
        <w:t xml:space="preserve">included </w:t>
      </w:r>
      <w:r>
        <w:rPr>
          <w:rFonts w:ascii="Times New Roman" w:hAnsi="Times New Roman"/>
          <w:sz w:val="24"/>
        </w:rPr>
        <w:t xml:space="preserve">only qualitatively discussed benefits. The 2019 </w:t>
      </w:r>
      <w:r w:rsidR="00D15077">
        <w:rPr>
          <w:rFonts w:ascii="Times New Roman" w:hAnsi="Times New Roman"/>
          <w:sz w:val="24"/>
        </w:rPr>
        <w:t>r</w:t>
      </w:r>
      <w:r>
        <w:rPr>
          <w:rFonts w:ascii="Times New Roman" w:hAnsi="Times New Roman"/>
          <w:sz w:val="24"/>
        </w:rPr>
        <w:t xml:space="preserve">econsideration </w:t>
      </w:r>
      <w:r w:rsidR="00D15077">
        <w:rPr>
          <w:rFonts w:ascii="Times New Roman" w:hAnsi="Times New Roman"/>
          <w:sz w:val="24"/>
        </w:rPr>
        <w:t>r</w:t>
      </w:r>
      <w:r>
        <w:rPr>
          <w:rFonts w:ascii="Times New Roman" w:hAnsi="Times New Roman"/>
          <w:sz w:val="24"/>
        </w:rPr>
        <w:t xml:space="preserve">ule included both cost and cost savings because it rescinded some requirements from the 2017 </w:t>
      </w:r>
      <w:r w:rsidR="00D15077">
        <w:rPr>
          <w:rFonts w:ascii="Times New Roman" w:hAnsi="Times New Roman"/>
          <w:sz w:val="24"/>
        </w:rPr>
        <w:t>a</w:t>
      </w:r>
      <w:r>
        <w:rPr>
          <w:rFonts w:ascii="Times New Roman" w:hAnsi="Times New Roman"/>
          <w:sz w:val="24"/>
        </w:rPr>
        <w:t xml:space="preserve">mendments </w:t>
      </w:r>
      <w:r w:rsidR="00D15077">
        <w:rPr>
          <w:rFonts w:ascii="Times New Roman" w:hAnsi="Times New Roman"/>
          <w:sz w:val="24"/>
        </w:rPr>
        <w:t>r</w:t>
      </w:r>
      <w:r>
        <w:rPr>
          <w:rFonts w:ascii="Times New Roman" w:hAnsi="Times New Roman"/>
          <w:sz w:val="24"/>
        </w:rPr>
        <w:t>ule but did not quantify any expected resulting change in the value of damages from accidents. As discussed in Chapter 4 of this final rule’s RIA, EPA uses the same methodology as in the 2017 and 2019 rulemakings to estimate costs of third-party audits and root cause analysis provisions. The third-party audits and root cause analysis provision estimates were</w:t>
      </w:r>
      <w:r>
        <w:rPr>
          <w:rFonts w:ascii="Times New Roman" w:hAnsi="Times New Roman"/>
          <w:sz w:val="24"/>
        </w:rPr>
        <w:t xml:space="preserve"> </w:t>
      </w:r>
      <w:r>
        <w:rPr>
          <w:rFonts w:ascii="Times New Roman" w:hAnsi="Times New Roman"/>
          <w:sz w:val="24"/>
        </w:rPr>
        <w:t>updated to use the number of active facilities in 2020, average annual number of accidents from 2016 to 2020, and 2022 wage and dollar values. One additional change is that the root cause in the final rule only requires a root cause analysis on RMP-reportable accidents rather than RMP-reportable accidents and near-misses.</w:t>
      </w:r>
    </w:p>
    <w:p w:rsidR="00287392" w:rsidRPr="00ED682D" w:rsidP="00287392" w14:paraId="1EF2EB3B" w14:textId="77777777">
      <w:pPr>
        <w:rPr>
          <w:rFonts w:ascii="Times New Roman" w:eastAsia="Times New Roman" w:hAnsi="Times New Roman"/>
          <w:i/>
          <w:iCs/>
          <w:sz w:val="24"/>
        </w:rPr>
      </w:pPr>
      <w:r w:rsidRPr="00ED682D">
        <w:rPr>
          <w:rFonts w:ascii="Times New Roman" w:eastAsia="Times New Roman" w:hAnsi="Times New Roman"/>
          <w:i/>
          <w:iCs/>
          <w:sz w:val="24"/>
        </w:rPr>
        <w:t>Reevaluate, revise, and/or reopen for public comment</w:t>
      </w:r>
    </w:p>
    <w:p w:rsidR="00287392" w:rsidP="00287392" w14:paraId="683700D6" w14:textId="5069A294">
      <w:pPr>
        <w:rPr>
          <w:rFonts w:ascii="Times New Roman" w:hAnsi="Times New Roman"/>
          <w:sz w:val="24"/>
        </w:rPr>
      </w:pPr>
      <w:r w:rsidRPr="00403BA6">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-1</w:t>
      </w:r>
      <w:r w:rsidR="00D94B25">
        <w:rPr>
          <w:rFonts w:ascii="Times New Roman" w:hAnsi="Times New Roman"/>
          <w:b/>
          <w:bCs/>
          <w:sz w:val="24"/>
        </w:rPr>
        <w:t>8</w:t>
      </w:r>
      <w:r w:rsidRPr="00403BA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Another commenter requested that EPA more closely reevaluate all the proposed RMP Rule requirements by sector and with an eye toward a more thorough evaluation of the minimal potential to reduce already low incident rates and to avoid unintended consequences (0197).</w:t>
      </w:r>
    </w:p>
    <w:p w:rsidR="00473A19" w:rsidRPr="00686D92" w:rsidP="00473A19" w14:paraId="59DF3FD8" w14:textId="01C5A045">
      <w:pPr>
        <w:ind w:left="720"/>
        <w:rPr>
          <w:rFonts w:ascii="Times New Roman" w:hAnsi="Times New Roman"/>
          <w:i/>
          <w:sz w:val="24"/>
        </w:rPr>
      </w:pPr>
      <w:r w:rsidRPr="00C7791F">
        <w:rPr>
          <w:rFonts w:ascii="Times New Roman" w:hAnsi="Times New Roman"/>
          <w:b/>
          <w:bCs/>
          <w:sz w:val="24"/>
        </w:rPr>
        <w:t xml:space="preserve">EPA Response: </w:t>
      </w:r>
      <w:r w:rsidRPr="00C7791F">
        <w:rPr>
          <w:rFonts w:ascii="Times New Roman" w:hAnsi="Times New Roman"/>
          <w:sz w:val="24"/>
        </w:rPr>
        <w:t>EPA cost estimates differ by sector</w:t>
      </w:r>
      <w:r w:rsidR="001D61E1">
        <w:rPr>
          <w:rFonts w:ascii="Times New Roman" w:hAnsi="Times New Roman"/>
          <w:sz w:val="24"/>
        </w:rPr>
        <w:t>,</w:t>
      </w:r>
      <w:r w:rsidRPr="00C7791F">
        <w:rPr>
          <w:rFonts w:ascii="Times New Roman" w:hAnsi="Times New Roman"/>
          <w:sz w:val="24"/>
        </w:rPr>
        <w:t xml:space="preserve"> where appropriate. For example, in final rule RIA section</w:t>
      </w:r>
      <w:r>
        <w:rPr>
          <w:rFonts w:ascii="Times New Roman" w:hAnsi="Times New Roman"/>
          <w:sz w:val="24"/>
        </w:rPr>
        <w:t>s</w:t>
      </w:r>
      <w:r w:rsidRPr="00C7791F">
        <w:rPr>
          <w:rFonts w:ascii="Times New Roman" w:hAnsi="Times New Roman"/>
          <w:sz w:val="24"/>
        </w:rPr>
        <w:t xml:space="preserve"> </w:t>
      </w:r>
      <w:r>
        <w:rPr>
          <w:rFonts w:ascii="Times New Roman" w:hAnsi="Times New Roman"/>
          <w:sz w:val="24"/>
        </w:rPr>
        <w:t>4.4.1 and 4.4.2</w:t>
      </w:r>
      <w:r w:rsidRPr="00C7791F">
        <w:rPr>
          <w:rFonts w:ascii="Times New Roman" w:hAnsi="Times New Roman"/>
          <w:sz w:val="24"/>
        </w:rPr>
        <w:t xml:space="preserve">, EPA </w:t>
      </w:r>
      <w:r w:rsidR="001D61E1">
        <w:rPr>
          <w:rFonts w:ascii="Times New Roman" w:hAnsi="Times New Roman"/>
          <w:sz w:val="24"/>
        </w:rPr>
        <w:t>disaggregated</w:t>
      </w:r>
      <w:r w:rsidRPr="00C7791F">
        <w:rPr>
          <w:rFonts w:ascii="Times New Roman" w:hAnsi="Times New Roman"/>
          <w:sz w:val="24"/>
        </w:rPr>
        <w:t xml:space="preserve"> </w:t>
      </w:r>
      <w:r>
        <w:rPr>
          <w:rFonts w:ascii="Times New Roman" w:hAnsi="Times New Roman"/>
          <w:sz w:val="24"/>
        </w:rPr>
        <w:t xml:space="preserve">STAA </w:t>
      </w:r>
      <w:r w:rsidRPr="00C7791F">
        <w:rPr>
          <w:rFonts w:ascii="Times New Roman" w:hAnsi="Times New Roman"/>
          <w:sz w:val="24"/>
        </w:rPr>
        <w:t xml:space="preserve">costs by </w:t>
      </w:r>
      <w:r>
        <w:rPr>
          <w:rFonts w:ascii="Times New Roman" w:hAnsi="Times New Roman"/>
          <w:sz w:val="24"/>
        </w:rPr>
        <w:t>sector</w:t>
      </w:r>
      <w:r w:rsidRPr="00C7791F">
        <w:rPr>
          <w:rFonts w:ascii="Times New Roman" w:hAnsi="Times New Roman"/>
          <w:sz w:val="24"/>
        </w:rPr>
        <w:t xml:space="preserve">. </w:t>
      </w:r>
      <w:r>
        <w:rPr>
          <w:rFonts w:ascii="Times New Roman" w:hAnsi="Times New Roman"/>
          <w:sz w:val="24"/>
        </w:rPr>
        <w:t>RMP accidents are costly, with RMP Reportable accidents averaging $454.58 million</w:t>
      </w:r>
      <w:r w:rsidR="00A32D45">
        <w:rPr>
          <w:rFonts w:ascii="Times New Roman" w:hAnsi="Times New Roman"/>
          <w:sz w:val="24"/>
        </w:rPr>
        <w:t xml:space="preserve"> per year</w:t>
      </w:r>
      <w:r>
        <w:rPr>
          <w:rFonts w:ascii="Times New Roman" w:hAnsi="Times New Roman"/>
          <w:sz w:val="24"/>
        </w:rPr>
        <w:t xml:space="preserve"> from 2016-2020. EPA believes the final rule provisions will reduce these costly accidents as described in Chapter 6, </w:t>
      </w:r>
      <w:r>
        <w:rPr>
          <w:rFonts w:ascii="Times New Roman" w:hAnsi="Times New Roman"/>
          <w:i/>
          <w:iCs/>
          <w:sz w:val="24"/>
        </w:rPr>
        <w:t>Benefits.</w:t>
      </w:r>
    </w:p>
    <w:p w:rsidR="00287392" w:rsidP="00287392" w14:paraId="15A4CC5C" w14:textId="42375E29">
      <w:pPr>
        <w:rPr>
          <w:rFonts w:ascii="Times New Roman" w:hAnsi="Times New Roman"/>
          <w:sz w:val="24"/>
        </w:rPr>
      </w:pPr>
      <w:r w:rsidRPr="00403BA6">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w:t>
      </w:r>
      <w:r w:rsidR="008A4FD0">
        <w:rPr>
          <w:rFonts w:ascii="Times New Roman" w:hAnsi="Times New Roman"/>
          <w:b/>
          <w:bCs/>
          <w:sz w:val="24"/>
        </w:rPr>
        <w:t>19</w:t>
      </w:r>
      <w:r w:rsidRPr="00403BA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the analysis should be </w:t>
      </w:r>
      <w:r w:rsidRPr="006F68E9" w:rsidR="00591CF9">
        <w:rPr>
          <w:rFonts w:ascii="Times New Roman" w:hAnsi="Times New Roman"/>
          <w:sz w:val="24"/>
        </w:rPr>
        <w:t>revised,</w:t>
      </w:r>
      <w:r w:rsidRPr="006F68E9">
        <w:rPr>
          <w:rFonts w:ascii="Times New Roman" w:hAnsi="Times New Roman"/>
          <w:sz w:val="24"/>
        </w:rPr>
        <w:t xml:space="preserve"> and the public should be allowed additional time to comment on the revised proposal and RIA (0239).</w:t>
      </w:r>
    </w:p>
    <w:p w:rsidR="00C72596" w:rsidRPr="009A0B8D" w:rsidP="00C72596" w14:paraId="6E0EC038" w14:textId="77777777">
      <w:pPr>
        <w:ind w:left="720"/>
        <w:rPr>
          <w:rFonts w:ascii="Times New Roman" w:hAnsi="Times New Roman"/>
          <w:sz w:val="24"/>
        </w:rPr>
      </w:pPr>
      <w:bookmarkStart w:id="181" w:name="_Hlk148707843"/>
      <w:r w:rsidRPr="00436E70">
        <w:rPr>
          <w:rFonts w:ascii="Times New Roman" w:hAnsi="Times New Roman"/>
          <w:b/>
          <w:bCs/>
          <w:sz w:val="24"/>
        </w:rPr>
        <w:t>EPA Response:</w:t>
      </w:r>
      <w:r w:rsidRPr="00436E70">
        <w:rPr>
          <w:rFonts w:ascii="Times New Roman" w:hAnsi="Times New Roman"/>
          <w:sz w:val="24"/>
        </w:rPr>
        <w:t xml:space="preserve"> </w:t>
      </w:r>
      <w:r>
        <w:rPr>
          <w:rFonts w:ascii="Times New Roman" w:hAnsi="Times New Roman"/>
          <w:sz w:val="24"/>
        </w:rPr>
        <w:t>EPA has reviewed comments on the NPRM and updated the RIA accordingly. Updates include adding cost estimates for the requirements to provide written justification for declining natural hazards, facility siting, and RAGAGEP recommendations; assuming all entities except for P3 complex facilities require five hours for rule familiarization; and updating numbers to use 2022 wage and dollar values.</w:t>
      </w:r>
    </w:p>
    <w:bookmarkEnd w:id="181"/>
    <w:p w:rsidR="00287392" w:rsidP="00287392" w14:paraId="6E40B332" w14:textId="2A318266">
      <w:pPr>
        <w:rPr>
          <w:rFonts w:ascii="Times New Roman" w:hAnsi="Times New Roman"/>
          <w:sz w:val="24"/>
        </w:rPr>
      </w:pPr>
      <w:r w:rsidRPr="00403BA6">
        <w:rPr>
          <w:rFonts w:ascii="Times New Roman" w:hAnsi="Times New Roman"/>
          <w:b/>
          <w:bCs/>
          <w:sz w:val="24"/>
        </w:rPr>
        <w:t>Comment</w:t>
      </w:r>
      <w:r>
        <w:rPr>
          <w:rFonts w:ascii="Times New Roman" w:hAnsi="Times New Roman"/>
          <w:b/>
          <w:bCs/>
          <w:sz w:val="24"/>
        </w:rPr>
        <w:t xml:space="preserve"> 1</w:t>
      </w:r>
      <w:r w:rsidR="00884D1A">
        <w:rPr>
          <w:rFonts w:ascii="Times New Roman" w:hAnsi="Times New Roman"/>
          <w:b/>
          <w:bCs/>
          <w:sz w:val="24"/>
        </w:rPr>
        <w:t>6</w:t>
      </w:r>
      <w:r>
        <w:rPr>
          <w:rFonts w:ascii="Times New Roman" w:hAnsi="Times New Roman"/>
          <w:b/>
          <w:bCs/>
          <w:sz w:val="24"/>
        </w:rPr>
        <w:t>-2</w:t>
      </w:r>
      <w:r w:rsidR="008A4FD0">
        <w:rPr>
          <w:rFonts w:ascii="Times New Roman" w:hAnsi="Times New Roman"/>
          <w:b/>
          <w:bCs/>
          <w:sz w:val="24"/>
        </w:rPr>
        <w:t>0</w:t>
      </w:r>
      <w:r w:rsidRPr="00403BA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urged EPA to re-evaluate the RIA to accurately quantify the Proposed Rule’s costs and benefits (0243).</w:t>
      </w:r>
      <w:r w:rsidR="00C57985">
        <w:rPr>
          <w:rFonts w:ascii="Times New Roman" w:hAnsi="Times New Roman"/>
          <w:sz w:val="24"/>
        </w:rPr>
        <w:t xml:space="preserve"> Another </w:t>
      </w:r>
      <w:r w:rsidRPr="006F68E9" w:rsidR="00C57985">
        <w:rPr>
          <w:rFonts w:ascii="Times New Roman" w:hAnsi="Times New Roman"/>
          <w:sz w:val="24"/>
        </w:rPr>
        <w:t>commenter stated that EPA should conduct this analysis and provide an explanation for public comment before proceeding to finalize this requirement (0272).</w:t>
      </w:r>
    </w:p>
    <w:p w:rsidR="00CE1B39" w:rsidRPr="00510E07" w:rsidP="00CE1B39" w14:paraId="0026DE67" w14:textId="1740FB20">
      <w:pPr>
        <w:ind w:left="720"/>
        <w:rPr>
          <w:rFonts w:ascii="Times New Roman" w:hAnsi="Times New Roman"/>
          <w:sz w:val="24"/>
        </w:rPr>
      </w:pPr>
      <w:r w:rsidRPr="00436E70">
        <w:rPr>
          <w:rFonts w:ascii="Times New Roman" w:hAnsi="Times New Roman"/>
          <w:b/>
          <w:bCs/>
          <w:sz w:val="24"/>
        </w:rPr>
        <w:t>EPA Response:</w:t>
      </w:r>
      <w:r w:rsidRPr="00436E70">
        <w:rPr>
          <w:rFonts w:ascii="Times New Roman" w:hAnsi="Times New Roman"/>
          <w:sz w:val="24"/>
        </w:rPr>
        <w:t xml:space="preserve"> </w:t>
      </w:r>
      <w:r w:rsidRPr="00510E07">
        <w:rPr>
          <w:rFonts w:ascii="Times New Roman" w:hAnsi="Times New Roman"/>
          <w:sz w:val="24"/>
        </w:rPr>
        <w:t>EPA provided quantitative estimates wherever it could and discusses qualitatively the costs and benefits it could not quantify.</w:t>
      </w:r>
      <w:r>
        <w:rPr>
          <w:rFonts w:ascii="Times New Roman" w:hAnsi="Times New Roman"/>
          <w:sz w:val="24"/>
        </w:rPr>
        <w:t xml:space="preserve"> EPA has reviewed comments on the NPRM and updated the RIA accordingly. Updates include adding cost estimates for the requirements to provide written justification for declining natural hazards, facility siting, and RAGAGEP recommendations; assuming all entities except for P3 complex facilities require five hours for rule familiarization; and updat</w:t>
      </w:r>
      <w:r w:rsidR="00A36AC6">
        <w:rPr>
          <w:rFonts w:ascii="Times New Roman" w:hAnsi="Times New Roman"/>
          <w:sz w:val="24"/>
        </w:rPr>
        <w:t>ed</w:t>
      </w:r>
      <w:r>
        <w:rPr>
          <w:rFonts w:ascii="Times New Roman" w:hAnsi="Times New Roman"/>
          <w:sz w:val="24"/>
        </w:rPr>
        <w:t xml:space="preserve"> 2022 wage and dollar values.</w:t>
      </w:r>
    </w:p>
    <w:p w:rsidR="0002736F" w:rsidRPr="00E20756" w:rsidP="0002736F" w14:paraId="30481065" w14:textId="2CDECD73">
      <w:pPr>
        <w:pStyle w:val="Heading2"/>
        <w:numPr>
          <w:ilvl w:val="0"/>
          <w:numId w:val="0"/>
        </w:numPr>
        <w:tabs>
          <w:tab w:val="clear" w:pos="8684"/>
        </w:tabs>
        <w:ind w:left="408" w:hanging="408"/>
        <w:rPr>
          <w:rFonts w:ascii="Times New Roman" w:hAnsi="Times New Roman" w:cs="Times New Roman"/>
          <w:b/>
          <w:color w:val="auto"/>
          <w:sz w:val="24"/>
          <w:szCs w:val="24"/>
        </w:rPr>
      </w:pPr>
      <w:bookmarkStart w:id="182" w:name="_Toc146880052"/>
      <w:bookmarkStart w:id="183" w:name="_Toc153373839"/>
      <w:r w:rsidRPr="00E20756">
        <w:rPr>
          <w:rFonts w:ascii="Times New Roman" w:hAnsi="Times New Roman" w:cs="Times New Roman"/>
          <w:b/>
          <w:bCs/>
          <w:color w:val="auto"/>
          <w:sz w:val="24"/>
          <w:szCs w:val="24"/>
        </w:rPr>
        <w:t>1</w:t>
      </w:r>
      <w:r w:rsidR="00411437">
        <w:rPr>
          <w:rFonts w:ascii="Times New Roman" w:hAnsi="Times New Roman" w:cs="Times New Roman"/>
          <w:b/>
          <w:bCs/>
          <w:color w:val="auto"/>
          <w:sz w:val="24"/>
          <w:szCs w:val="24"/>
        </w:rPr>
        <w:t>6</w:t>
      </w:r>
      <w:r w:rsidRPr="00E20756">
        <w:rPr>
          <w:rFonts w:ascii="Times New Roman" w:hAnsi="Times New Roman" w:cs="Times New Roman"/>
          <w:b/>
          <w:bCs/>
          <w:color w:val="auto"/>
          <w:sz w:val="24"/>
          <w:szCs w:val="24"/>
        </w:rPr>
        <w:t>.1</w:t>
      </w:r>
      <w:r w:rsidRPr="00E20756">
        <w:rPr>
          <w:rFonts w:ascii="Times New Roman" w:hAnsi="Times New Roman" w:cs="Times New Roman"/>
          <w:b/>
          <w:bCs/>
          <w:color w:val="auto"/>
          <w:sz w:val="24"/>
          <w:szCs w:val="24"/>
        </w:rPr>
        <w:tab/>
      </w:r>
      <w:r w:rsidRPr="00E20756">
        <w:rPr>
          <w:rFonts w:ascii="Times New Roman" w:hAnsi="Times New Roman" w:cs="Times New Roman"/>
          <w:b/>
          <w:color w:val="auto"/>
          <w:sz w:val="24"/>
          <w:szCs w:val="24"/>
        </w:rPr>
        <w:t>Small business impacts</w:t>
      </w:r>
      <w:bookmarkEnd w:id="182"/>
      <w:bookmarkEnd w:id="183"/>
    </w:p>
    <w:p w:rsidR="0002736F" w:rsidRPr="00E20756" w:rsidP="0002736F" w14:paraId="57A9D0BA" w14:textId="09E1638B">
      <w:pPr>
        <w:rPr>
          <w:rFonts w:ascii="Times New Roman" w:hAnsi="Times New Roman"/>
          <w:sz w:val="24"/>
        </w:rPr>
      </w:pPr>
      <w:r w:rsidRPr="00E20756">
        <w:rPr>
          <w:rFonts w:ascii="Times New Roman" w:hAnsi="Times New Roman"/>
          <w:b/>
          <w:bCs/>
          <w:sz w:val="24"/>
        </w:rPr>
        <w:t>Comment 1</w:t>
      </w:r>
      <w:r w:rsidR="00AF6F19">
        <w:rPr>
          <w:rFonts w:ascii="Times New Roman" w:hAnsi="Times New Roman"/>
          <w:b/>
          <w:bCs/>
          <w:sz w:val="24"/>
        </w:rPr>
        <w:t>6</w:t>
      </w:r>
      <w:r w:rsidRPr="00E20756">
        <w:rPr>
          <w:rFonts w:ascii="Times New Roman" w:hAnsi="Times New Roman"/>
          <w:b/>
          <w:bCs/>
          <w:sz w:val="24"/>
        </w:rPr>
        <w:t>.1-01</w:t>
      </w:r>
      <w:r w:rsidRPr="00E20756">
        <w:rPr>
          <w:rFonts w:ascii="Times New Roman" w:hAnsi="Times New Roman"/>
          <w:sz w:val="24"/>
        </w:rPr>
        <w:t>: Several commenters expressed concern about EPA’s draft RIA small business impacts assessment (0180, 0188, 0202, 0217, 0226, 0227, 0234, 0239, 0259, 0459).</w:t>
      </w:r>
    </w:p>
    <w:p w:rsidR="00E83E9D" w:rsidRPr="00D62E15" w:rsidP="00E83E9D" w14:paraId="1F5F144D" w14:textId="77777777">
      <w:pPr>
        <w:ind w:left="720"/>
        <w:rPr>
          <w:rFonts w:ascii="Times New Roman" w:hAnsi="Times New Roman"/>
          <w:sz w:val="24"/>
        </w:rPr>
      </w:pPr>
      <w:r>
        <w:rPr>
          <w:rFonts w:ascii="Times New Roman" w:hAnsi="Times New Roman"/>
          <w:b/>
          <w:bCs/>
          <w:sz w:val="24"/>
        </w:rPr>
        <w:t xml:space="preserve">EPA Response: </w:t>
      </w:r>
      <w:r>
        <w:rPr>
          <w:rFonts w:ascii="Times New Roman" w:hAnsi="Times New Roman"/>
          <w:sz w:val="24"/>
        </w:rPr>
        <w:t xml:space="preserve">EPA made several updates in the final rule RIA, including an expanded analysis by NAICS code and a secondary </w:t>
      </w:r>
      <w:r w:rsidRPr="001F386C">
        <w:rPr>
          <w:rFonts w:ascii="Times New Roman" w:hAnsi="Times New Roman"/>
          <w:sz w:val="24"/>
        </w:rPr>
        <w:t xml:space="preserve">small entity </w:t>
      </w:r>
      <w:r>
        <w:rPr>
          <w:rFonts w:ascii="Times New Roman" w:hAnsi="Times New Roman"/>
          <w:sz w:val="24"/>
        </w:rPr>
        <w:t xml:space="preserve">analysis using D&amp;B Hoovers data. The secondary analysis found small entity impacts to be </w:t>
      </w:r>
      <w:r w:rsidRPr="001F386C">
        <w:rPr>
          <w:rFonts w:ascii="Times New Roman" w:hAnsi="Times New Roman"/>
          <w:sz w:val="24"/>
        </w:rPr>
        <w:t>similar to</w:t>
      </w:r>
      <w:r>
        <w:rPr>
          <w:rFonts w:ascii="Times New Roman" w:hAnsi="Times New Roman"/>
          <w:sz w:val="24"/>
        </w:rPr>
        <w:t xml:space="preserve"> the small entity analysis using Data Axle data, which can be found in </w:t>
      </w:r>
      <w:r w:rsidRPr="001F386C">
        <w:rPr>
          <w:rFonts w:ascii="Times New Roman" w:hAnsi="Times New Roman"/>
          <w:sz w:val="24"/>
        </w:rPr>
        <w:t xml:space="preserve">final rule RIA </w:t>
      </w:r>
      <w:r>
        <w:rPr>
          <w:rFonts w:ascii="Times New Roman" w:hAnsi="Times New Roman"/>
          <w:sz w:val="24"/>
        </w:rPr>
        <w:t>Appendix C.</w:t>
      </w:r>
    </w:p>
    <w:p w:rsidR="0002736F" w:rsidRPr="00ED682D" w:rsidP="0002736F" w14:paraId="6705B588" w14:textId="77777777">
      <w:pPr>
        <w:rPr>
          <w:rFonts w:ascii="Times New Roman" w:eastAsia="Times New Roman" w:hAnsi="Times New Roman"/>
          <w:i/>
          <w:iCs/>
          <w:sz w:val="24"/>
        </w:rPr>
      </w:pPr>
      <w:r w:rsidRPr="00ED682D">
        <w:rPr>
          <w:rFonts w:ascii="Times New Roman" w:eastAsia="Times New Roman" w:hAnsi="Times New Roman"/>
          <w:i/>
          <w:iCs/>
          <w:sz w:val="24"/>
        </w:rPr>
        <w:t xml:space="preserve">Number of small entities </w:t>
      </w:r>
    </w:p>
    <w:p w:rsidR="0002736F" w:rsidRPr="00E20756" w:rsidP="0002736F" w14:paraId="6112059C" w14:textId="5DEA4FD8">
      <w:pPr>
        <w:rPr>
          <w:rFonts w:ascii="Times New Roman" w:hAnsi="Times New Roman"/>
          <w:sz w:val="24"/>
        </w:rPr>
      </w:pPr>
      <w:r w:rsidRPr="00E20756">
        <w:rPr>
          <w:rFonts w:ascii="Times New Roman" w:hAnsi="Times New Roman"/>
          <w:b/>
          <w:bCs/>
          <w:sz w:val="24"/>
        </w:rPr>
        <w:t>Comment 1</w:t>
      </w:r>
      <w:r w:rsidR="00AF6F19">
        <w:rPr>
          <w:rFonts w:ascii="Times New Roman" w:hAnsi="Times New Roman"/>
          <w:b/>
          <w:bCs/>
          <w:sz w:val="24"/>
        </w:rPr>
        <w:t>6</w:t>
      </w:r>
      <w:r w:rsidRPr="00E20756">
        <w:rPr>
          <w:rFonts w:ascii="Times New Roman" w:hAnsi="Times New Roman"/>
          <w:b/>
          <w:bCs/>
          <w:sz w:val="24"/>
        </w:rPr>
        <w:t>.1-02:</w:t>
      </w:r>
      <w:r w:rsidRPr="00E20756">
        <w:rPr>
          <w:rFonts w:ascii="Times New Roman" w:hAnsi="Times New Roman"/>
          <w:sz w:val="24"/>
        </w:rPr>
        <w:t xml:space="preserve"> One commenter stated that, compared to the 2016 Small Business Regulatory Enforcement Fairness Act (SBREFA) analysis, the proposed rule suggests that there has been a 36% reduction in the number of small government entities (communities of 50,000 or less) and a 26% reduction in the number of small private entities covered by the rule and/or potential changes – a significant change for which the proposed rule and accompanying docket does not include an explanation (0239).</w:t>
      </w:r>
    </w:p>
    <w:p w:rsidR="000D015C" w:rsidRPr="00C614DD" w:rsidP="000D015C" w14:paraId="6F713459" w14:textId="5AB8C54A">
      <w:pPr>
        <w:ind w:left="720"/>
        <w:rPr>
          <w:rFonts w:ascii="Times New Roman" w:hAnsi="Times New Roman"/>
          <w:sz w:val="24"/>
        </w:rPr>
      </w:pPr>
      <w:r>
        <w:rPr>
          <w:rFonts w:ascii="Times New Roman" w:hAnsi="Times New Roman"/>
          <w:b/>
          <w:bCs/>
          <w:sz w:val="24"/>
        </w:rPr>
        <w:t xml:space="preserve">EPA Response: </w:t>
      </w:r>
      <w:r>
        <w:rPr>
          <w:rFonts w:ascii="Times New Roman" w:hAnsi="Times New Roman"/>
          <w:sz w:val="24"/>
        </w:rPr>
        <w:t xml:space="preserve">EPA’s final rule RIA </w:t>
      </w:r>
      <w:r w:rsidRPr="00C614DD">
        <w:rPr>
          <w:rFonts w:ascii="Times New Roman" w:hAnsi="Times New Roman"/>
          <w:sz w:val="24"/>
        </w:rPr>
        <w:t xml:space="preserve">improved on the 2016 analysis by utilizing entity specific data. For each </w:t>
      </w:r>
      <w:r>
        <w:rPr>
          <w:rFonts w:ascii="Times New Roman" w:hAnsi="Times New Roman"/>
          <w:sz w:val="24"/>
        </w:rPr>
        <w:t>private facility</w:t>
      </w:r>
      <w:r w:rsidRPr="00C614DD">
        <w:rPr>
          <w:rFonts w:ascii="Times New Roman" w:hAnsi="Times New Roman"/>
          <w:sz w:val="24"/>
        </w:rPr>
        <w:t xml:space="preserve">, EPA retrieved data from Data Axle on the revenue, NAICS code, and employee count for each entity, parent company, or corporate entity as appropriate. Additionally, EPA developed a </w:t>
      </w:r>
      <w:r w:rsidRPr="00075073">
        <w:rPr>
          <w:rFonts w:ascii="Times New Roman" w:hAnsi="Times New Roman"/>
          <w:sz w:val="24"/>
        </w:rPr>
        <w:t>second small entity analysis with data from Dun &amp; Bradstreet (D&amp;B) Hoovers in final rule RIA Appendix C</w:t>
      </w:r>
      <w:r w:rsidR="00A36AC6">
        <w:rPr>
          <w:rFonts w:ascii="Times New Roman" w:hAnsi="Times New Roman"/>
          <w:sz w:val="24"/>
        </w:rPr>
        <w:t>.</w:t>
      </w:r>
      <w:r w:rsidRPr="00075073">
        <w:rPr>
          <w:rFonts w:ascii="Times New Roman" w:hAnsi="Times New Roman"/>
          <w:sz w:val="24"/>
        </w:rPr>
        <w:t xml:space="preserve"> </w:t>
      </w:r>
      <w:r w:rsidR="00A36AC6">
        <w:rPr>
          <w:rFonts w:ascii="Times New Roman" w:hAnsi="Times New Roman"/>
          <w:sz w:val="24"/>
        </w:rPr>
        <w:t>F</w:t>
      </w:r>
      <w:r w:rsidRPr="00075073">
        <w:rPr>
          <w:rFonts w:ascii="Times New Roman" w:hAnsi="Times New Roman"/>
          <w:sz w:val="24"/>
        </w:rPr>
        <w:t xml:space="preserve">inal rule RIA </w:t>
      </w:r>
      <w:r w:rsidR="00A36AC6">
        <w:rPr>
          <w:rFonts w:ascii="Times New Roman" w:hAnsi="Times New Roman"/>
          <w:sz w:val="24"/>
        </w:rPr>
        <w:t>E</w:t>
      </w:r>
      <w:r w:rsidRPr="00075073">
        <w:rPr>
          <w:rFonts w:ascii="Times New Roman" w:hAnsi="Times New Roman"/>
          <w:sz w:val="24"/>
        </w:rPr>
        <w:t>xhibit C-1 summarizes the number of facilities, the number of unique entities, the breakdown of private sector and government entities, and their size classifications.</w:t>
      </w:r>
      <w:r>
        <w:rPr>
          <w:rFonts w:ascii="Times New Roman" w:hAnsi="Times New Roman"/>
          <w:sz w:val="24"/>
        </w:rPr>
        <w:t xml:space="preserve"> To determine the number of small government entities, EPA utilized the population sizes consistent with the 2019 reconsideration rule and data from U.S. Census Bureau (USCB) County Population Totals.</w:t>
      </w:r>
    </w:p>
    <w:p w:rsidR="0002736F" w:rsidRPr="00E20756" w:rsidP="0002736F" w14:paraId="1A90D1AD" w14:textId="7A1F5E48">
      <w:pPr>
        <w:rPr>
          <w:rFonts w:ascii="Times New Roman" w:hAnsi="Times New Roman"/>
          <w:sz w:val="24"/>
        </w:rPr>
      </w:pPr>
      <w:r w:rsidRPr="00E20756">
        <w:rPr>
          <w:rFonts w:ascii="Times New Roman" w:hAnsi="Times New Roman"/>
          <w:b/>
          <w:bCs/>
          <w:sz w:val="24"/>
        </w:rPr>
        <w:t>Comment 1</w:t>
      </w:r>
      <w:r w:rsidR="00AF6F19">
        <w:rPr>
          <w:rFonts w:ascii="Times New Roman" w:hAnsi="Times New Roman"/>
          <w:b/>
          <w:bCs/>
          <w:sz w:val="24"/>
        </w:rPr>
        <w:t>6</w:t>
      </w:r>
      <w:r w:rsidRPr="00E20756">
        <w:rPr>
          <w:rFonts w:ascii="Times New Roman" w:hAnsi="Times New Roman"/>
          <w:b/>
          <w:bCs/>
          <w:sz w:val="24"/>
        </w:rPr>
        <w:t>.1-03:</w:t>
      </w:r>
      <w:r w:rsidRPr="00E20756">
        <w:rPr>
          <w:rFonts w:ascii="Times New Roman" w:hAnsi="Times New Roman"/>
          <w:sz w:val="24"/>
        </w:rPr>
        <w:t xml:space="preserve"> One commenter stated that the 2022 assessment does not provide a breakdown of the number of small entities by NAICS (0239).</w:t>
      </w:r>
    </w:p>
    <w:p w:rsidR="0002736F" w:rsidRPr="00E20756" w:rsidP="00E20756" w14:paraId="40C88A2D" w14:textId="16053425">
      <w:pPr>
        <w:ind w:left="720"/>
        <w:rPr>
          <w:rFonts w:ascii="Times New Roman" w:hAnsi="Times New Roman"/>
          <w:sz w:val="24"/>
        </w:rPr>
      </w:pPr>
      <w:r w:rsidRPr="00E20756">
        <w:rPr>
          <w:rFonts w:ascii="Times New Roman" w:hAnsi="Times New Roman"/>
          <w:b/>
          <w:sz w:val="24"/>
        </w:rPr>
        <w:t>EPA Response:</w:t>
      </w:r>
      <w:r w:rsidRPr="00E20756">
        <w:rPr>
          <w:rFonts w:ascii="Times New Roman" w:hAnsi="Times New Roman"/>
          <w:sz w:val="24"/>
        </w:rPr>
        <w:t xml:space="preserve"> EPA has added the number of small private entities by NAICS affected to the small entity analysis</w:t>
      </w:r>
      <w:r w:rsidR="000653F2">
        <w:rPr>
          <w:rFonts w:ascii="Times New Roman" w:hAnsi="Times New Roman"/>
          <w:sz w:val="24"/>
        </w:rPr>
        <w:t xml:space="preserve"> in </w:t>
      </w:r>
      <w:r w:rsidRPr="00E20756">
        <w:rPr>
          <w:rFonts w:ascii="Times New Roman" w:hAnsi="Times New Roman"/>
          <w:sz w:val="24"/>
        </w:rPr>
        <w:t>Exhibit 8-6 at the three-digit NAICS industry-level. The number of small entities affect</w:t>
      </w:r>
      <w:r w:rsidR="000653F2">
        <w:rPr>
          <w:rFonts w:ascii="Times New Roman" w:hAnsi="Times New Roman"/>
          <w:sz w:val="24"/>
        </w:rPr>
        <w:t xml:space="preserve">ed </w:t>
      </w:r>
      <w:r w:rsidRPr="00E20756">
        <w:rPr>
          <w:rFonts w:ascii="Times New Roman" w:hAnsi="Times New Roman"/>
          <w:sz w:val="24"/>
        </w:rPr>
        <w:t xml:space="preserve">at the six-digit NAICS level </w:t>
      </w:r>
      <w:r w:rsidR="000653F2">
        <w:rPr>
          <w:rFonts w:ascii="Times New Roman" w:hAnsi="Times New Roman"/>
          <w:sz w:val="24"/>
        </w:rPr>
        <w:t>is also</w:t>
      </w:r>
      <w:r w:rsidR="00364AA9">
        <w:rPr>
          <w:rFonts w:ascii="Times New Roman" w:hAnsi="Times New Roman"/>
          <w:sz w:val="24"/>
        </w:rPr>
        <w:t xml:space="preserve"> presented </w:t>
      </w:r>
      <w:r w:rsidRPr="00E20756">
        <w:rPr>
          <w:rFonts w:ascii="Times New Roman" w:hAnsi="Times New Roman"/>
          <w:sz w:val="24"/>
        </w:rPr>
        <w:t>in RIA Exhibit 8-8.</w:t>
      </w:r>
    </w:p>
    <w:p w:rsidR="00523A46" w:rsidRPr="00E20756" w:rsidP="00DC2DB6" w14:paraId="31D56C20" w14:textId="493E584C">
      <w:pPr>
        <w:rPr>
          <w:rFonts w:ascii="Times New Roman" w:hAnsi="Times New Roman"/>
          <w:sz w:val="24"/>
        </w:rPr>
      </w:pPr>
      <w:r w:rsidRPr="00E20756">
        <w:rPr>
          <w:rFonts w:ascii="Times New Roman" w:hAnsi="Times New Roman"/>
          <w:b/>
          <w:bCs/>
          <w:sz w:val="24"/>
        </w:rPr>
        <w:t>Comment 1</w:t>
      </w:r>
      <w:r w:rsidR="00AF6F19">
        <w:rPr>
          <w:rFonts w:ascii="Times New Roman" w:hAnsi="Times New Roman"/>
          <w:b/>
          <w:bCs/>
          <w:sz w:val="24"/>
        </w:rPr>
        <w:t>6</w:t>
      </w:r>
      <w:r w:rsidRPr="00E20756">
        <w:rPr>
          <w:rFonts w:ascii="Times New Roman" w:hAnsi="Times New Roman"/>
          <w:b/>
          <w:bCs/>
          <w:sz w:val="24"/>
        </w:rPr>
        <w:t>.1-04:</w:t>
      </w:r>
      <w:r w:rsidRPr="00E20756">
        <w:rPr>
          <w:rFonts w:ascii="Times New Roman" w:hAnsi="Times New Roman"/>
          <w:sz w:val="24"/>
        </w:rPr>
        <w:t xml:space="preserve"> One commenter disagreed with EPA’s estimate</w:t>
      </w:r>
      <w:r w:rsidR="008124F3">
        <w:rPr>
          <w:rFonts w:ascii="Times New Roman" w:hAnsi="Times New Roman"/>
          <w:sz w:val="24"/>
        </w:rPr>
        <w:t>d number</w:t>
      </w:r>
      <w:r w:rsidRPr="00E20756">
        <w:rPr>
          <w:rFonts w:ascii="Times New Roman" w:hAnsi="Times New Roman"/>
          <w:sz w:val="24"/>
        </w:rPr>
        <w:t xml:space="preserve"> of small water facilities, noting that given water systems are essential to daily life and the basic functioning of a community, they rarely go out of business. The commenter asserted that the 2019 RIA determined that 49% of water sector facilities were classified as small (992). The commenter estimated that assuming water systems remain in business and apply</w:t>
      </w:r>
      <w:r w:rsidR="00A626DC">
        <w:rPr>
          <w:rFonts w:ascii="Times New Roman" w:hAnsi="Times New Roman"/>
          <w:sz w:val="24"/>
        </w:rPr>
        <w:t>ing</w:t>
      </w:r>
      <w:r w:rsidRPr="00E20756">
        <w:rPr>
          <w:rFonts w:ascii="Times New Roman" w:hAnsi="Times New Roman"/>
          <w:sz w:val="24"/>
        </w:rPr>
        <w:t xml:space="preserve"> the proportion to the total number of registered systems in 2022, there should be approximately 964 small water systems. The commenter continued that EPA’s 2022 RIA estimated 630 of the 1,111 government entities are small</w:t>
      </w:r>
      <w:r w:rsidR="00C47B2A">
        <w:rPr>
          <w:rFonts w:ascii="Times New Roman" w:hAnsi="Times New Roman"/>
          <w:sz w:val="24"/>
        </w:rPr>
        <w:t xml:space="preserve"> based on </w:t>
      </w:r>
      <w:r w:rsidR="00AB133D">
        <w:rPr>
          <w:rFonts w:ascii="Times New Roman" w:hAnsi="Times New Roman"/>
          <w:sz w:val="24"/>
        </w:rPr>
        <w:t>C</w:t>
      </w:r>
      <w:r w:rsidR="004F5D4A">
        <w:rPr>
          <w:rFonts w:ascii="Times New Roman" w:hAnsi="Times New Roman"/>
          <w:sz w:val="24"/>
        </w:rPr>
        <w:t>ensus data</w:t>
      </w:r>
      <w:r w:rsidR="00DF13C9">
        <w:rPr>
          <w:rFonts w:ascii="Times New Roman" w:hAnsi="Times New Roman"/>
          <w:sz w:val="24"/>
        </w:rPr>
        <w:t xml:space="preserve">, which the commenter </w:t>
      </w:r>
      <w:r w:rsidR="007275D5">
        <w:rPr>
          <w:rFonts w:ascii="Times New Roman" w:hAnsi="Times New Roman"/>
          <w:sz w:val="24"/>
        </w:rPr>
        <w:t xml:space="preserve">described as presenting </w:t>
      </w:r>
      <w:r w:rsidR="00936EEE">
        <w:rPr>
          <w:rFonts w:ascii="Times New Roman" w:hAnsi="Times New Roman"/>
          <w:sz w:val="24"/>
        </w:rPr>
        <w:t>issues</w:t>
      </w:r>
      <w:r w:rsidRPr="00E20756">
        <w:rPr>
          <w:rFonts w:ascii="Times New Roman" w:hAnsi="Times New Roman"/>
          <w:sz w:val="24"/>
        </w:rPr>
        <w:t xml:space="preserve">. </w:t>
      </w:r>
      <w:r w:rsidR="00936EEE">
        <w:rPr>
          <w:rFonts w:ascii="Times New Roman" w:hAnsi="Times New Roman"/>
          <w:sz w:val="24"/>
        </w:rPr>
        <w:t>Specifically, t</w:t>
      </w:r>
      <w:r w:rsidRPr="00E20756">
        <w:rPr>
          <w:rFonts w:ascii="Times New Roman" w:hAnsi="Times New Roman"/>
          <w:sz w:val="24"/>
        </w:rPr>
        <w:t>he commenter called attention to the difference in the total number of government systems referenced in the RIA (1,111) and the value reported in Table 1 of the Proposed Rule and Exhibit 3-4 of the RIA</w:t>
      </w:r>
      <w:r w:rsidR="000B7F19">
        <w:rPr>
          <w:rFonts w:ascii="Times New Roman" w:hAnsi="Times New Roman"/>
          <w:sz w:val="24"/>
        </w:rPr>
        <w:t xml:space="preserve"> of</w:t>
      </w:r>
      <w:r w:rsidRPr="00E20756">
        <w:rPr>
          <w:rFonts w:ascii="Times New Roman" w:hAnsi="Times New Roman"/>
          <w:sz w:val="24"/>
        </w:rPr>
        <w:t>1,449 government entities – a difference of 338 entities when compared to the Census data referenced by EPA (0239).</w:t>
      </w:r>
    </w:p>
    <w:p w:rsidR="00D760B1" w:rsidRPr="00945F60" w:rsidP="004D26A8" w14:paraId="76A04D4A" w14:textId="01C59C55">
      <w:pPr>
        <w:ind w:left="720"/>
        <w:rPr>
          <w:rFonts w:ascii="Times New Roman" w:hAnsi="Times New Roman" w:eastAsiaTheme="minorHAnsi"/>
          <w:sz w:val="24"/>
          <w:shd w:val="clear" w:color="auto" w:fill="FFFFFF"/>
        </w:rPr>
      </w:pPr>
      <w:r w:rsidRPr="00E20756">
        <w:rPr>
          <w:rFonts w:ascii="Times New Roman" w:hAnsi="Times New Roman"/>
          <w:b/>
          <w:bCs/>
          <w:sz w:val="24"/>
        </w:rPr>
        <w:t xml:space="preserve">EPA Response: </w:t>
      </w:r>
      <w:r w:rsidRPr="00945F60">
        <w:rPr>
          <w:rFonts w:ascii="Times New Roman" w:hAnsi="Times New Roman"/>
          <w:sz w:val="24"/>
        </w:rPr>
        <w:t xml:space="preserve">EPA’s analysis of small water entities analyzed both private and government-owned water entities. For entities private water facilities, for each unique business, EPA retrieved data from Data Axle on the revenue, NAICS code, and employee count, parent company, or corporate entity as appropriate. To identify the number of small government entities, EPA utilized the population sizes consistent with the 2019 reconsideration rule and data from U.S. Census Bureau (USCB) County Population Totals. </w:t>
      </w:r>
      <w:r w:rsidRPr="00945F60">
        <w:rPr>
          <w:rFonts w:ascii="Times New Roman" w:hAnsi="Times New Roman"/>
          <w:sz w:val="24"/>
          <w:shd w:val="clear" w:color="auto" w:fill="FFFFFF"/>
        </w:rPr>
        <w:t xml:space="preserve">For the final rule RIA, EPA explored alternative data sources to classify NAICS 2213 facilities as private or government owned. EPA used its Facility Registry System (FRS) to crosswalk the data universal numbering system (DUNS) numbers (unique nine-digit business identifiers) reported by facilities in their RMP with their Water System ID for identification in EPA’s Safe Drinking Water Information System (SDWIS) dataset. SDWIS has information on registered water facilities and their ownership. Completing this exercise identified </w:t>
      </w:r>
      <w:r w:rsidR="00ED30F2">
        <w:rPr>
          <w:rFonts w:ascii="Times New Roman" w:hAnsi="Times New Roman"/>
          <w:sz w:val="24"/>
          <w:shd w:val="clear" w:color="auto" w:fill="FFFFFF"/>
        </w:rPr>
        <w:t xml:space="preserve">only </w:t>
      </w:r>
      <w:r w:rsidRPr="00945F60">
        <w:rPr>
          <w:rFonts w:ascii="Times New Roman" w:hAnsi="Times New Roman"/>
          <w:sz w:val="24"/>
          <w:shd w:val="clear" w:color="auto" w:fill="FFFFFF"/>
        </w:rPr>
        <w:t>731 facilities in SDWIS, a count that is lower than the number of facilities that identify as NAICS 2231 in their RMPs regardless of ownership</w:t>
      </w:r>
      <w:r>
        <w:rPr>
          <w:rFonts w:ascii="Times New Roman" w:hAnsi="Times New Roman"/>
          <w:sz w:val="24"/>
          <w:shd w:val="clear" w:color="auto" w:fill="FFFFFF"/>
        </w:rPr>
        <w:t xml:space="preserve">, which is described in final rule RIA section 3.1.2, </w:t>
      </w:r>
      <w:r>
        <w:rPr>
          <w:rFonts w:ascii="Times New Roman" w:hAnsi="Times New Roman"/>
          <w:i/>
          <w:iCs/>
          <w:sz w:val="24"/>
          <w:shd w:val="clear" w:color="auto" w:fill="FFFFFF"/>
        </w:rPr>
        <w:t>Manual Adjustments</w:t>
      </w:r>
      <w:r>
        <w:rPr>
          <w:rFonts w:ascii="Times New Roman" w:hAnsi="Times New Roman"/>
          <w:sz w:val="24"/>
          <w:shd w:val="clear" w:color="auto" w:fill="FFFFFF"/>
        </w:rPr>
        <w:t>.</w:t>
      </w:r>
      <w:r w:rsidRPr="00945F60">
        <w:rPr>
          <w:rFonts w:ascii="Times New Roman" w:hAnsi="Times New Roman"/>
          <w:sz w:val="24"/>
          <w:shd w:val="clear" w:color="auto" w:fill="FFFFFF"/>
        </w:rPr>
        <w:t xml:space="preserve"> Therefore, EPA relied on the manual adjustments performed during the proposed rule stage to more accurately identify the facilities that are NAICS 2213</w:t>
      </w:r>
      <w:r>
        <w:rPr>
          <w:rFonts w:ascii="Times New Roman" w:hAnsi="Times New Roman"/>
          <w:sz w:val="24"/>
          <w:shd w:val="clear" w:color="auto" w:fill="FFFFFF"/>
        </w:rPr>
        <w:t>.</w:t>
      </w:r>
    </w:p>
    <w:p w:rsidR="00E20756" w:rsidRPr="00B3613E" w:rsidP="00C34F83" w14:paraId="1EE80F88" w14:textId="6C20DAAA">
      <w:pPr>
        <w:ind w:left="720"/>
        <w:rPr>
          <w:rFonts w:ascii="Times New Roman" w:hAnsi="Times New Roman"/>
          <w:sz w:val="24"/>
        </w:rPr>
      </w:pPr>
      <w:r>
        <w:rPr>
          <w:rFonts w:ascii="Times New Roman" w:hAnsi="Times New Roman"/>
          <w:sz w:val="24"/>
        </w:rPr>
        <w:t>The 1,111 value in both the proposed rule and final rule RIA refer</w:t>
      </w:r>
      <w:r w:rsidR="00ED30F2">
        <w:rPr>
          <w:rFonts w:ascii="Times New Roman" w:hAnsi="Times New Roman"/>
          <w:sz w:val="24"/>
        </w:rPr>
        <w:t>s</w:t>
      </w:r>
      <w:r>
        <w:rPr>
          <w:rFonts w:ascii="Times New Roman" w:hAnsi="Times New Roman"/>
          <w:sz w:val="24"/>
        </w:rPr>
        <w:t xml:space="preserve"> to the number of entities, while the 1,449 </w:t>
      </w:r>
      <w:r w:rsidRPr="00AD3CA7">
        <w:rPr>
          <w:rFonts w:ascii="Times New Roman" w:hAnsi="Times New Roman"/>
          <w:sz w:val="24"/>
        </w:rPr>
        <w:t xml:space="preserve">value in proposed rule exhibit 3-4 refers to the number of facilities. As described in final rule RIA section 3.1.3, </w:t>
      </w:r>
      <w:r w:rsidRPr="00AD3CA7">
        <w:rPr>
          <w:rFonts w:ascii="Times New Roman" w:eastAsia="Calibri" w:hAnsi="Times New Roman"/>
          <w:sz w:val="24"/>
        </w:rPr>
        <w:t>of the 1,111 government entities directly affected</w:t>
      </w:r>
      <w:r>
        <w:rPr>
          <w:rFonts w:ascii="Times New Roman" w:eastAsia="Calibri" w:hAnsi="Times New Roman"/>
          <w:sz w:val="24"/>
        </w:rPr>
        <w:t xml:space="preserve"> multiple own more than one RMP facility.</w:t>
      </w:r>
      <w:r w:rsidRPr="00AD3CA7">
        <w:rPr>
          <w:rFonts w:ascii="Times New Roman" w:eastAsia="Calibri" w:hAnsi="Times New Roman"/>
          <w:sz w:val="24"/>
        </w:rPr>
        <w:t xml:space="preserve"> </w:t>
      </w:r>
    </w:p>
    <w:p w:rsidR="00B3613E" w:rsidRPr="00300DF4" w:rsidP="00B3613E" w14:paraId="64FD815F" w14:textId="0455B3FE">
      <w:pPr>
        <w:rPr>
          <w:rFonts w:ascii="Times New Roman" w:hAnsi="Times New Roman"/>
          <w:sz w:val="24"/>
        </w:rPr>
      </w:pPr>
      <w:r w:rsidRPr="00300DF4">
        <w:rPr>
          <w:rFonts w:ascii="Times New Roman" w:hAnsi="Times New Roman"/>
          <w:b/>
          <w:bCs/>
          <w:sz w:val="24"/>
        </w:rPr>
        <w:t>Comment 1</w:t>
      </w:r>
      <w:r w:rsidR="00AF6F19">
        <w:rPr>
          <w:rFonts w:ascii="Times New Roman" w:hAnsi="Times New Roman"/>
          <w:b/>
          <w:bCs/>
          <w:sz w:val="24"/>
        </w:rPr>
        <w:t>6</w:t>
      </w:r>
      <w:r w:rsidRPr="00300DF4">
        <w:rPr>
          <w:rFonts w:ascii="Times New Roman" w:hAnsi="Times New Roman"/>
          <w:b/>
          <w:bCs/>
          <w:sz w:val="24"/>
        </w:rPr>
        <w:t xml:space="preserve">.1-05: </w:t>
      </w:r>
      <w:r w:rsidRPr="00300DF4">
        <w:rPr>
          <w:rFonts w:ascii="Times New Roman" w:hAnsi="Times New Roman"/>
          <w:sz w:val="24"/>
        </w:rPr>
        <w:t>One commenter recommended that, to support a factual basis for certification, EPA should provide a more granular analysis of small entity impacts, such as the six-digit NAICS level. The commenter also stated that it is not appropriate to look at impacts averaged across industries, as this may mask significant effects in individual industries. Instead, the commenter recommended that EPA demonstrate the number of affected entities in each industry relative to the number of significantly affected small entities in each industry (0188).</w:t>
      </w:r>
    </w:p>
    <w:p w:rsidR="00B3613E" w:rsidRPr="00300DF4" w:rsidP="00B3613E" w14:paraId="6C58FE4A" w14:textId="33A0D66B">
      <w:pPr>
        <w:ind w:left="720"/>
        <w:rPr>
          <w:rFonts w:ascii="Times New Roman" w:hAnsi="Times New Roman"/>
          <w:sz w:val="24"/>
        </w:rPr>
      </w:pPr>
      <w:r w:rsidRPr="00300DF4">
        <w:rPr>
          <w:rFonts w:ascii="Times New Roman" w:hAnsi="Times New Roman"/>
          <w:b/>
          <w:sz w:val="24"/>
        </w:rPr>
        <w:t>EPA Response:</w:t>
      </w:r>
      <w:r w:rsidRPr="00300DF4">
        <w:rPr>
          <w:rFonts w:ascii="Times New Roman" w:hAnsi="Times New Roman"/>
          <w:sz w:val="24"/>
        </w:rPr>
        <w:t xml:space="preserve"> EPA added </w:t>
      </w:r>
      <w:r w:rsidRPr="00300DF4" w:rsidR="00946F76">
        <w:rPr>
          <w:rFonts w:ascii="Times New Roman" w:hAnsi="Times New Roman"/>
          <w:sz w:val="24"/>
        </w:rPr>
        <w:t>Exhibit 8-6</w:t>
      </w:r>
      <w:r w:rsidR="008266E3">
        <w:rPr>
          <w:rFonts w:ascii="Times New Roman" w:hAnsi="Times New Roman"/>
          <w:sz w:val="24"/>
        </w:rPr>
        <w:t xml:space="preserve"> which provides</w:t>
      </w:r>
      <w:r w:rsidRPr="00300DF4">
        <w:rPr>
          <w:rFonts w:ascii="Times New Roman" w:hAnsi="Times New Roman"/>
          <w:sz w:val="24"/>
        </w:rPr>
        <w:t xml:space="preserve"> the top ten six-digit NAICS sectors with the largest share of small entities relative to other industries. Exhibit 8-6 shows that no </w:t>
      </w:r>
      <w:r w:rsidR="00946F76">
        <w:rPr>
          <w:rFonts w:ascii="Times New Roman" w:hAnsi="Times New Roman"/>
          <w:sz w:val="24"/>
        </w:rPr>
        <w:t xml:space="preserve">single </w:t>
      </w:r>
      <w:r w:rsidRPr="00300DF4">
        <w:rPr>
          <w:rFonts w:ascii="Times New Roman" w:hAnsi="Times New Roman"/>
          <w:sz w:val="24"/>
        </w:rPr>
        <w:t>industry makes up a significant share of the small entities impacted by this rule. Exhibit 8-8 also provides the distribution of revenue impacts within each of the top ten six-digit NAICS industries</w:t>
      </w:r>
      <w:r w:rsidR="00946F76">
        <w:rPr>
          <w:rFonts w:ascii="Times New Roman" w:hAnsi="Times New Roman"/>
          <w:sz w:val="24"/>
        </w:rPr>
        <w:t xml:space="preserve"> and</w:t>
      </w:r>
      <w:r w:rsidR="00C85B27">
        <w:rPr>
          <w:rFonts w:ascii="Times New Roman" w:hAnsi="Times New Roman"/>
          <w:sz w:val="24"/>
        </w:rPr>
        <w:t xml:space="preserve"> </w:t>
      </w:r>
      <w:r w:rsidRPr="00300DF4">
        <w:rPr>
          <w:rFonts w:ascii="Times New Roman" w:hAnsi="Times New Roman"/>
          <w:sz w:val="24"/>
        </w:rPr>
        <w:t xml:space="preserve">addresses the commenter’s suggestion to explore revenue impacts within each industry and does not present revenue impacts across industries. </w:t>
      </w:r>
    </w:p>
    <w:p w:rsidR="00B3613E" w:rsidRPr="00ED682D" w:rsidP="00B3613E" w14:paraId="2D20427D" w14:textId="77777777">
      <w:pPr>
        <w:rPr>
          <w:rFonts w:ascii="Times New Roman" w:eastAsia="Times New Roman" w:hAnsi="Times New Roman"/>
          <w:i/>
          <w:iCs/>
          <w:sz w:val="24"/>
        </w:rPr>
      </w:pPr>
      <w:r w:rsidRPr="00ED682D">
        <w:rPr>
          <w:rFonts w:ascii="Times New Roman" w:eastAsia="Times New Roman" w:hAnsi="Times New Roman"/>
          <w:i/>
          <w:iCs/>
          <w:sz w:val="24"/>
        </w:rPr>
        <w:t xml:space="preserve">Costs to small entities </w:t>
      </w:r>
    </w:p>
    <w:p w:rsidR="00B3613E" w:rsidRPr="00300DF4" w:rsidP="00B3613E" w14:paraId="49A37493" w14:textId="4B163FF4">
      <w:pPr>
        <w:rPr>
          <w:rFonts w:ascii="Times New Roman" w:hAnsi="Times New Roman"/>
          <w:sz w:val="24"/>
        </w:rPr>
      </w:pPr>
      <w:r w:rsidRPr="00300DF4">
        <w:rPr>
          <w:rFonts w:ascii="Times New Roman" w:hAnsi="Times New Roman"/>
          <w:b/>
          <w:bCs/>
          <w:sz w:val="24"/>
        </w:rPr>
        <w:t>Comment 1</w:t>
      </w:r>
      <w:r w:rsidR="00AF6F19">
        <w:rPr>
          <w:rFonts w:ascii="Times New Roman" w:hAnsi="Times New Roman"/>
          <w:b/>
          <w:bCs/>
          <w:sz w:val="24"/>
        </w:rPr>
        <w:t>6</w:t>
      </w:r>
      <w:r w:rsidRPr="00300DF4">
        <w:rPr>
          <w:rFonts w:ascii="Times New Roman" w:hAnsi="Times New Roman"/>
          <w:b/>
          <w:bCs/>
          <w:sz w:val="24"/>
        </w:rPr>
        <w:t>.1-06:</w:t>
      </w:r>
      <w:r w:rsidRPr="00300DF4">
        <w:rPr>
          <w:rFonts w:ascii="Times New Roman" w:hAnsi="Times New Roman"/>
          <w:sz w:val="24"/>
        </w:rPr>
        <w:t xml:space="preserve"> Several commenters stated that it is not realistic to conclude that only 0.2% of small entities will experience a financial impact of more than 3% and urged EPA to reevaluate its estimated cost as it applies to small businesses (0180, 0217, 0226, 0234, 0459).</w:t>
      </w:r>
    </w:p>
    <w:p w:rsidR="00B3613E" w:rsidRPr="00300DF4" w:rsidP="00B3613E" w14:paraId="1EBC09F7" w14:textId="472F016E">
      <w:pPr>
        <w:ind w:left="720"/>
        <w:rPr>
          <w:rFonts w:ascii="Times New Roman" w:hAnsi="Times New Roman"/>
          <w:sz w:val="24"/>
        </w:rPr>
      </w:pPr>
      <w:r w:rsidRPr="00300DF4">
        <w:rPr>
          <w:rFonts w:ascii="Times New Roman" w:hAnsi="Times New Roman"/>
          <w:b/>
          <w:bCs/>
          <w:sz w:val="24"/>
        </w:rPr>
        <w:t xml:space="preserve">EPA Response: </w:t>
      </w:r>
      <w:r w:rsidRPr="00300DF4">
        <w:rPr>
          <w:rFonts w:ascii="Times New Roman" w:hAnsi="Times New Roman"/>
          <w:sz w:val="24"/>
        </w:rPr>
        <w:t>EPA developed a second small entity analysis with data from Dun &amp; Bradstreet (D&amp;B) Hoovers</w:t>
      </w:r>
      <w:r w:rsidR="008266E3">
        <w:rPr>
          <w:rFonts w:ascii="Times New Roman" w:hAnsi="Times New Roman"/>
          <w:sz w:val="24"/>
        </w:rPr>
        <w:t xml:space="preserve"> and </w:t>
      </w:r>
      <w:r w:rsidRPr="00300DF4">
        <w:rPr>
          <w:rFonts w:ascii="Times New Roman" w:hAnsi="Times New Roman"/>
          <w:sz w:val="24"/>
        </w:rPr>
        <w:t xml:space="preserve">compared </w:t>
      </w:r>
      <w:r w:rsidR="008266E3">
        <w:rPr>
          <w:rFonts w:ascii="Times New Roman" w:hAnsi="Times New Roman"/>
          <w:sz w:val="24"/>
        </w:rPr>
        <w:t xml:space="preserve">it to </w:t>
      </w:r>
      <w:r w:rsidRPr="00300DF4">
        <w:rPr>
          <w:rFonts w:ascii="Times New Roman" w:hAnsi="Times New Roman"/>
          <w:sz w:val="24"/>
        </w:rPr>
        <w:t>the analysis using Data Axle data in the final rule RIA Appendix C. EPA found the analyses using Data Axle and D&amp;B Hoovers show the same cost-to-revenue impacts</w:t>
      </w:r>
      <w:r w:rsidR="008266E3">
        <w:rPr>
          <w:rFonts w:ascii="Times New Roman" w:hAnsi="Times New Roman"/>
          <w:sz w:val="24"/>
        </w:rPr>
        <w:t xml:space="preserve"> under</w:t>
      </w:r>
      <w:r w:rsidRPr="00300DF4" w:rsidR="008266E3">
        <w:rPr>
          <w:rFonts w:ascii="Times New Roman" w:hAnsi="Times New Roman"/>
          <w:sz w:val="24"/>
        </w:rPr>
        <w:t xml:space="preserve"> the proposed rule</w:t>
      </w:r>
      <w:r w:rsidRPr="00300DF4">
        <w:rPr>
          <w:rFonts w:ascii="Times New Roman" w:hAnsi="Times New Roman"/>
          <w:sz w:val="24"/>
        </w:rPr>
        <w:t>,</w:t>
      </w:r>
      <w:r w:rsidRPr="00300DF4">
        <w:rPr>
          <w:rFonts w:ascii="Times New Roman" w:hAnsi="Times New Roman"/>
          <w:sz w:val="24"/>
        </w:rPr>
        <w:t xml:space="preserve"> with estimates that 0.2 percent of small entities will incur cost impacts greater than 3 percent. For the final rule, the results show that the analyses using Data Axle and D&amp;B Hoovers are similar in impact. Based on Data Axle and D&amp;B Hoovers data</w:t>
      </w:r>
      <w:r w:rsidRPr="00300DF4">
        <w:rPr>
          <w:rFonts w:ascii="Times New Roman" w:hAnsi="Times New Roman"/>
          <w:sz w:val="24"/>
        </w:rPr>
        <w:t xml:space="preserve">, </w:t>
      </w:r>
      <w:r w:rsidRPr="00300DF4">
        <w:rPr>
          <w:rFonts w:ascii="Times New Roman" w:hAnsi="Times New Roman"/>
          <w:sz w:val="24"/>
        </w:rPr>
        <w:t>an estimated 2.8 and 1.9 percent of small entities will incur cost impacts that are greater than 3 percent, respectively.</w:t>
      </w:r>
    </w:p>
    <w:p w:rsidR="00B3613E" w:rsidRPr="00300DF4" w:rsidP="00B3613E" w14:paraId="2ED7050D" w14:textId="43FE2390">
      <w:pPr>
        <w:rPr>
          <w:rFonts w:ascii="Times New Roman" w:hAnsi="Times New Roman"/>
          <w:sz w:val="24"/>
        </w:rPr>
      </w:pPr>
      <w:r w:rsidRPr="00300DF4">
        <w:rPr>
          <w:rFonts w:ascii="Times New Roman" w:hAnsi="Times New Roman"/>
          <w:b/>
          <w:bCs/>
          <w:sz w:val="24"/>
        </w:rPr>
        <w:t>Comment 1</w:t>
      </w:r>
      <w:r w:rsidR="00AF6F19">
        <w:rPr>
          <w:rFonts w:ascii="Times New Roman" w:hAnsi="Times New Roman"/>
          <w:b/>
          <w:bCs/>
          <w:sz w:val="24"/>
        </w:rPr>
        <w:t>6</w:t>
      </w:r>
      <w:r w:rsidRPr="00300DF4">
        <w:rPr>
          <w:rFonts w:ascii="Times New Roman" w:hAnsi="Times New Roman"/>
          <w:b/>
          <w:bCs/>
          <w:sz w:val="24"/>
        </w:rPr>
        <w:t>.1-07:</w:t>
      </w:r>
      <w:r w:rsidRPr="00300DF4">
        <w:rPr>
          <w:rFonts w:ascii="Times New Roman" w:hAnsi="Times New Roman"/>
          <w:sz w:val="24"/>
        </w:rPr>
        <w:t xml:space="preserve"> One commenter stated that EPA must account for missing and underestimated costs, discussed below, in its small entity impact analysis. The commenter expressed concerned that proposed provisions characterized as amplifications of existing requirements will have costs that are not included, including the requirement to provide written justifications for declining relevant recommendations for the natural hazard, power loss, and chemical siting provisions. The commenter also stated that EPA proposes to include justifications for declined recommendations and findings for other proposed provisions but does not provide a cost associated with this documentation requirement. The commenter recommended that EPA include costs of employee training in the RFA analysis as there is no estimate for the cost to small entities of training employees on employee participation or on implementation of any other provisions of the rule. The commenter strongly urged the Agency to include these costs as part of its calculation of the economic impact on small entities as part of its factual basis to support its RFA certification.</w:t>
      </w:r>
    </w:p>
    <w:p w:rsidR="00B3613E" w:rsidRPr="00300DF4" w:rsidP="00B3613E" w14:paraId="09E97FAB" w14:textId="3E109594">
      <w:pPr>
        <w:rPr>
          <w:rFonts w:ascii="Times New Roman" w:hAnsi="Times New Roman"/>
          <w:sz w:val="24"/>
        </w:rPr>
      </w:pPr>
      <w:r w:rsidRPr="00300DF4">
        <w:rPr>
          <w:rFonts w:ascii="Times New Roman" w:hAnsi="Times New Roman"/>
          <w:sz w:val="24"/>
        </w:rPr>
        <w:t>The commenter recommended including several costs that the commenter stated are not accounted for in the cost analysis, including: requirement to provide written justifications for declining relevant recommendations for the natural hazard, power loss, and chemical siting provisions; gap analysis and documentation associated with EPA’s proposal to include an analysis of the most recent recognized and generally accepted good engineering practices related to the facility's design, maintenance, and operation; employee training; and, the cost information availability.</w:t>
      </w:r>
    </w:p>
    <w:p w:rsidR="00CB209A" w:rsidRPr="00300DF4" w:rsidP="00DC2DB6" w14:paraId="7B972943" w14:textId="6FA27B73">
      <w:pPr>
        <w:rPr>
          <w:rFonts w:ascii="Times New Roman" w:hAnsi="Times New Roman"/>
          <w:sz w:val="24"/>
        </w:rPr>
      </w:pPr>
      <w:r w:rsidRPr="00300DF4">
        <w:rPr>
          <w:rFonts w:ascii="Times New Roman" w:hAnsi="Times New Roman"/>
          <w:sz w:val="24"/>
        </w:rPr>
        <w:t>The commenter stated that it is not clear what EPA’s basis is for assuming that 50% of facilities would receive a request in a given year. The commenter recommended that EPA should address the possibility of a high volume of requests in the analysis given that there is not a limit on the frequency. The commenter recommended that there should also be an estimate of the cost of translating and providing information in the requested languages and the cost to verify whether the requestor is within the six-mile boundary (0188).</w:t>
      </w:r>
    </w:p>
    <w:p w:rsidR="00BE0C4B" w:rsidRPr="006F68E9" w:rsidP="00BE0C4B" w14:paraId="569A8978" w14:textId="6688BA56">
      <w:pPr>
        <w:ind w:left="720"/>
        <w:rPr>
          <w:rFonts w:ascii="Times New Roman" w:hAnsi="Times New Roman"/>
          <w:sz w:val="24"/>
        </w:rPr>
      </w:pPr>
      <w:r>
        <w:rPr>
          <w:rFonts w:ascii="Times New Roman" w:hAnsi="Times New Roman"/>
          <w:b/>
          <w:bCs/>
          <w:sz w:val="24"/>
        </w:rPr>
        <w:t xml:space="preserve">EPA Response: </w:t>
      </w:r>
      <w:r>
        <w:rPr>
          <w:rFonts w:ascii="Times New Roman" w:hAnsi="Times New Roman"/>
          <w:sz w:val="24"/>
        </w:rPr>
        <w:t xml:space="preserve">Both the proposed and final rule RIA include cost estimates for justifications for declining to implement backup power to address power loss. EPA added cost estimates in the final rule RIA for information availability (translation and verification costs), for the requirement to train employees on employee participation, and for the requirements to provide justifications for declining recommendations to address natural hazards, facility siting, and RAGAGEP. For information availability, the final rule RIA assumed an average of one request per facility per year and that 50 percent of request verifications would occur in person. EPA has incorporated these </w:t>
      </w:r>
      <w:r w:rsidR="0058176F">
        <w:rPr>
          <w:rFonts w:ascii="Times New Roman" w:hAnsi="Times New Roman"/>
          <w:sz w:val="24"/>
        </w:rPr>
        <w:t xml:space="preserve">assumptions </w:t>
      </w:r>
      <w:r>
        <w:rPr>
          <w:rFonts w:ascii="Times New Roman" w:hAnsi="Times New Roman"/>
          <w:sz w:val="24"/>
        </w:rPr>
        <w:t>into the final rule</w:t>
      </w:r>
      <w:r w:rsidR="0058176F">
        <w:rPr>
          <w:rFonts w:ascii="Times New Roman" w:hAnsi="Times New Roman"/>
          <w:sz w:val="24"/>
        </w:rPr>
        <w:t xml:space="preserve"> RIA</w:t>
      </w:r>
      <w:r>
        <w:rPr>
          <w:rFonts w:ascii="Times New Roman" w:hAnsi="Times New Roman"/>
          <w:sz w:val="24"/>
        </w:rPr>
        <w:t>.</w:t>
      </w:r>
    </w:p>
    <w:p w:rsidR="00DC3F86" w:rsidRPr="00DC3F86" w:rsidP="00DC3F86" w14:paraId="0D72FFFA" w14:textId="0E2C4E3F">
      <w:pPr>
        <w:rPr>
          <w:rFonts w:ascii="Times New Roman" w:hAnsi="Times New Roman"/>
          <w:sz w:val="24"/>
        </w:rPr>
      </w:pPr>
      <w:r w:rsidRPr="00DC3F86">
        <w:rPr>
          <w:rFonts w:ascii="Times New Roman" w:hAnsi="Times New Roman"/>
          <w:b/>
          <w:bCs/>
          <w:sz w:val="24"/>
        </w:rPr>
        <w:t>Comment 1</w:t>
      </w:r>
      <w:r w:rsidR="00AF6F19">
        <w:rPr>
          <w:rFonts w:ascii="Times New Roman" w:hAnsi="Times New Roman"/>
          <w:b/>
          <w:bCs/>
          <w:sz w:val="24"/>
        </w:rPr>
        <w:t>6</w:t>
      </w:r>
      <w:r w:rsidRPr="00DC3F86">
        <w:rPr>
          <w:rFonts w:ascii="Times New Roman" w:hAnsi="Times New Roman"/>
          <w:b/>
          <w:bCs/>
          <w:sz w:val="24"/>
        </w:rPr>
        <w:t xml:space="preserve">.1-08: </w:t>
      </w:r>
      <w:r w:rsidRPr="00DC3F86">
        <w:rPr>
          <w:rFonts w:ascii="Times New Roman" w:hAnsi="Times New Roman"/>
          <w:sz w:val="24"/>
        </w:rPr>
        <w:t>One commenter self-identified as a small business entity and commented that they believe the proposed rule would significantly impact operations and burden the business with additional operating costs, potentially diverting resources from value-added activities to address administrative aspects. The commenter noted that small refineries spend just as much as</w:t>
      </w:r>
      <w:r w:rsidRPr="00DC3F86">
        <w:rPr>
          <w:rFonts w:ascii="Times New Roman" w:hAnsi="Times New Roman"/>
          <w:sz w:val="24"/>
        </w:rPr>
        <w:t xml:space="preserve"> </w:t>
      </w:r>
      <w:r w:rsidRPr="00DC3F86">
        <w:rPr>
          <w:rFonts w:ascii="Times New Roman" w:hAnsi="Times New Roman"/>
          <w:sz w:val="24"/>
        </w:rPr>
        <w:t>larger, complex refineries on PHAs, third party audits, and other regulatory-required reports. The commenter stated that EPA’s analysis of the impact on small entities is flawed and incomplete. The commenter questioned how the proposed rule justifies small businesses spending considerable resources for largely administrative activities that do not improve risk prevention (0259).</w:t>
      </w:r>
    </w:p>
    <w:p w:rsidR="00DC3F86" w:rsidP="00DC3F86" w14:paraId="0FD2C056" w14:textId="2538624C">
      <w:pPr>
        <w:ind w:left="720"/>
        <w:rPr>
          <w:rFonts w:ascii="Times New Roman" w:hAnsi="Times New Roman"/>
          <w:sz w:val="24"/>
        </w:rPr>
      </w:pPr>
      <w:r w:rsidRPr="00DC3F86">
        <w:rPr>
          <w:rFonts w:ascii="Times New Roman" w:hAnsi="Times New Roman"/>
          <w:b/>
          <w:bCs/>
          <w:sz w:val="24"/>
        </w:rPr>
        <w:t>EPA Response</w:t>
      </w:r>
      <w:r w:rsidRPr="00DC3F86">
        <w:rPr>
          <w:rFonts w:ascii="Times New Roman" w:hAnsi="Times New Roman"/>
          <w:sz w:val="24"/>
        </w:rPr>
        <w:t>: EPA updated its cost estimates from the proposed rule in response to comments by adding costs for information availability, for the requirements to train employees on employee participation, providing justifications for declining recommendations to address power loss, natural hazard, facility siting, and RAGAGEP. EPA used the per facility costs from the RIA to estimate the impact on small entities as described in Chapter 8 of the final rule RIA. EPA found that 90.8% of small entities would have revenue impacts less than 1 percent, and only 2.7% of small entities would have revenue impacts larger than 3 percent.</w:t>
      </w:r>
    </w:p>
    <w:p w:rsidR="000C7748" w:rsidRPr="00ED682D" w:rsidP="000C7748" w14:paraId="76EF1D0A" w14:textId="77777777">
      <w:pPr>
        <w:rPr>
          <w:rFonts w:ascii="Times New Roman" w:eastAsia="Times New Roman" w:hAnsi="Times New Roman"/>
          <w:i/>
          <w:iCs/>
          <w:sz w:val="24"/>
        </w:rPr>
      </w:pPr>
      <w:r w:rsidRPr="00ED682D">
        <w:rPr>
          <w:rFonts w:ascii="Times New Roman" w:eastAsia="Times New Roman" w:hAnsi="Times New Roman"/>
          <w:i/>
          <w:iCs/>
          <w:sz w:val="24"/>
        </w:rPr>
        <w:t xml:space="preserve">Benefits for small entities </w:t>
      </w:r>
    </w:p>
    <w:p w:rsidR="000C7748" w:rsidRPr="004727AA" w:rsidP="00DC2DB6" w14:paraId="5A283F3F" w14:textId="0E2137F0">
      <w:pPr>
        <w:rPr>
          <w:rFonts w:ascii="Times New Roman" w:hAnsi="Times New Roman"/>
          <w:sz w:val="24"/>
        </w:rPr>
      </w:pPr>
      <w:r w:rsidRPr="00716BF3">
        <w:rPr>
          <w:rFonts w:ascii="Times New Roman" w:hAnsi="Times New Roman"/>
          <w:b/>
          <w:bCs/>
          <w:sz w:val="24"/>
        </w:rPr>
        <w:t>Comment</w:t>
      </w:r>
      <w:r>
        <w:rPr>
          <w:rFonts w:ascii="Times New Roman" w:hAnsi="Times New Roman"/>
          <w:b/>
          <w:bCs/>
          <w:sz w:val="24"/>
        </w:rPr>
        <w:t xml:space="preserve"> 1</w:t>
      </w:r>
      <w:r w:rsidR="00AF6F19">
        <w:rPr>
          <w:rFonts w:ascii="Times New Roman" w:hAnsi="Times New Roman"/>
          <w:b/>
          <w:bCs/>
          <w:sz w:val="24"/>
        </w:rPr>
        <w:t>6</w:t>
      </w:r>
      <w:r>
        <w:rPr>
          <w:rFonts w:ascii="Times New Roman" w:hAnsi="Times New Roman"/>
          <w:b/>
          <w:bCs/>
          <w:sz w:val="24"/>
        </w:rPr>
        <w:t>.1-09</w:t>
      </w:r>
      <w:r w:rsidRPr="00716BF3">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The commenter stated that they were concerned with EPA’s proposal to add costly requirements to its existing regulations without providing any quantitative benefits. The commenter stated that EPA does not provide any quantitative benefits associated with the changes proposed in this rule. The commenter stated that before requiring small entities to pay </w:t>
      </w:r>
      <w:r w:rsidRPr="006F68E9">
        <w:rPr>
          <w:rFonts w:ascii="Times New Roman" w:hAnsi="Times New Roman"/>
          <w:sz w:val="24"/>
        </w:rPr>
        <w:t xml:space="preserve">the costs of implementing this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EPA should be able to show how the provisions of the rule will result in benefits. The commenter stated that the breakeven analysis provided is insufficient to support the selection of optimal provisions or sectors to target with those provisions and that it seems possible based on the information EPA has provided that the implementation costs paid by small entities would yield little or no benefits (0188).</w:t>
      </w:r>
    </w:p>
    <w:p w:rsidR="0020579A" w:rsidRPr="00A34331" w:rsidP="0020579A" w14:paraId="2F110D3C" w14:textId="34A26371">
      <w:pPr>
        <w:ind w:left="720"/>
        <w:rPr>
          <w:rFonts w:ascii="Times New Roman" w:hAnsi="Times New Roman"/>
          <w:sz w:val="24"/>
        </w:rPr>
      </w:pPr>
      <w:bookmarkStart w:id="184" w:name="_Toc146880053"/>
      <w:r>
        <w:rPr>
          <w:rFonts w:ascii="Times New Roman" w:hAnsi="Times New Roman"/>
          <w:b/>
          <w:bCs/>
          <w:sz w:val="24"/>
        </w:rPr>
        <w:t>EPA Response:</w:t>
      </w:r>
      <w:r>
        <w:rPr>
          <w:rFonts w:ascii="Times New Roman" w:hAnsi="Times New Roman"/>
          <w:sz w:val="24"/>
        </w:rPr>
        <w:t xml:space="preserve"> </w:t>
      </w:r>
      <w:r w:rsidRPr="005C318E">
        <w:rPr>
          <w:rFonts w:ascii="Times New Roman" w:hAnsi="Times New Roman"/>
          <w:sz w:val="24"/>
        </w:rPr>
        <w:t xml:space="preserve">EPA conducted a breakeven analysis instead of a standard cost benefit analysis because while EPA was able to estimate the costs of the final rule, it cannot estimate the benefits. The incremental impact on the risk of an RMP facility release resulting from each of the revised RMP rule provisions is uncertain, as is the value of a wide variety of benefit categories as described </w:t>
      </w:r>
      <w:r>
        <w:rPr>
          <w:rFonts w:ascii="Times New Roman" w:hAnsi="Times New Roman"/>
          <w:sz w:val="24"/>
        </w:rPr>
        <w:t>in the final rule RIA Chapter 6</w:t>
      </w:r>
      <w:r w:rsidRPr="005C318E">
        <w:rPr>
          <w:rFonts w:ascii="Times New Roman" w:hAnsi="Times New Roman"/>
          <w:sz w:val="24"/>
        </w:rPr>
        <w:t xml:space="preserve"> (lost productivity, responder costs, property value impacts, and so on). The final rule </w:t>
      </w:r>
      <w:r>
        <w:rPr>
          <w:rFonts w:ascii="Times New Roman" w:hAnsi="Times New Roman"/>
          <w:sz w:val="24"/>
        </w:rPr>
        <w:t>RIA Chapter 6 section 6.3 Avoided Accident Impacts: Breakeven Analysis discusses the breakeven analysis results</w:t>
      </w:r>
      <w:r w:rsidRPr="005C318E">
        <w:rPr>
          <w:rFonts w:ascii="Times New Roman" w:hAnsi="Times New Roman"/>
          <w:sz w:val="24"/>
        </w:rPr>
        <w:t>. When considering the rule’s likely benefits of avoiding some portion of the monetized accident impacts, as well as the additional nonmonetized benefits, EPA believes the costs of the rule are reasonable in comparison to its expected benefits</w:t>
      </w:r>
      <w:r>
        <w:rPr>
          <w:rFonts w:ascii="Times New Roman" w:hAnsi="Times New Roman"/>
          <w:sz w:val="24"/>
        </w:rPr>
        <w:t xml:space="preserve">. </w:t>
      </w:r>
    </w:p>
    <w:p w:rsidR="00EE0D64" w:rsidRPr="000D6C4C" w:rsidP="004D26A8" w14:paraId="14D86FFE" w14:textId="7CB17146">
      <w:pPr>
        <w:pStyle w:val="Heading2"/>
        <w:numPr>
          <w:ilvl w:val="0"/>
          <w:numId w:val="0"/>
        </w:numPr>
        <w:tabs>
          <w:tab w:val="clear" w:pos="8684"/>
        </w:tabs>
        <w:spacing w:before="120"/>
        <w:ind w:left="408" w:hanging="408"/>
        <w:rPr>
          <w:rFonts w:ascii="Times New Roman" w:hAnsi="Times New Roman" w:cs="Times New Roman"/>
          <w:b/>
          <w:bCs/>
          <w:color w:val="auto"/>
          <w:sz w:val="24"/>
          <w:szCs w:val="24"/>
        </w:rPr>
      </w:pPr>
      <w:bookmarkStart w:id="185" w:name="_Toc153373840"/>
      <w:r w:rsidRPr="000D6C4C">
        <w:rPr>
          <w:rFonts w:ascii="Times New Roman" w:hAnsi="Times New Roman" w:cs="Times New Roman"/>
          <w:b/>
          <w:bCs/>
          <w:color w:val="auto"/>
          <w:sz w:val="24"/>
          <w:szCs w:val="24"/>
        </w:rPr>
        <w:t>1</w:t>
      </w:r>
      <w:r w:rsidR="00411437">
        <w:rPr>
          <w:rFonts w:ascii="Times New Roman" w:hAnsi="Times New Roman" w:cs="Times New Roman"/>
          <w:b/>
          <w:bCs/>
          <w:color w:val="auto"/>
          <w:sz w:val="24"/>
          <w:szCs w:val="24"/>
        </w:rPr>
        <w:t>6</w:t>
      </w:r>
      <w:r w:rsidRPr="000D6C4C">
        <w:rPr>
          <w:rFonts w:ascii="Times New Roman" w:hAnsi="Times New Roman" w:cs="Times New Roman"/>
          <w:b/>
          <w:bCs/>
          <w:color w:val="auto"/>
          <w:sz w:val="24"/>
          <w:szCs w:val="24"/>
        </w:rPr>
        <w:t>.2</w:t>
      </w:r>
      <w:r w:rsidRPr="000D6C4C">
        <w:rPr>
          <w:rFonts w:ascii="Times New Roman" w:hAnsi="Times New Roman" w:cs="Times New Roman"/>
          <w:b/>
          <w:bCs/>
          <w:color w:val="auto"/>
          <w:sz w:val="24"/>
          <w:szCs w:val="24"/>
        </w:rPr>
        <w:tab/>
        <w:t>Small government impacts</w:t>
      </w:r>
      <w:bookmarkEnd w:id="184"/>
      <w:bookmarkEnd w:id="185"/>
    </w:p>
    <w:p w:rsidR="00EE0D64" w:rsidRPr="00ED682D" w:rsidP="00EE0D64" w14:paraId="4E4D12ED" w14:textId="77777777">
      <w:pPr>
        <w:rPr>
          <w:rFonts w:ascii="Times New Roman" w:eastAsia="Times New Roman" w:hAnsi="Times New Roman"/>
          <w:i/>
          <w:iCs/>
          <w:sz w:val="24"/>
        </w:rPr>
      </w:pPr>
      <w:r w:rsidRPr="00ED682D">
        <w:rPr>
          <w:rFonts w:ascii="Times New Roman" w:eastAsia="Times New Roman" w:hAnsi="Times New Roman"/>
          <w:i/>
          <w:iCs/>
          <w:sz w:val="24"/>
        </w:rPr>
        <w:t xml:space="preserve">Number of small entities </w:t>
      </w:r>
    </w:p>
    <w:p w:rsidR="00EE0D64" w:rsidRPr="000D6C4C" w:rsidP="00EE0D64" w14:paraId="7DDBFC04" w14:textId="74A736D0">
      <w:pPr>
        <w:rPr>
          <w:rFonts w:ascii="Times New Roman" w:hAnsi="Times New Roman"/>
          <w:sz w:val="24"/>
        </w:rPr>
      </w:pPr>
      <w:r w:rsidRPr="000D6C4C">
        <w:rPr>
          <w:rFonts w:ascii="Times New Roman" w:hAnsi="Times New Roman"/>
          <w:b/>
          <w:bCs/>
          <w:sz w:val="24"/>
        </w:rPr>
        <w:t>Comment 1</w:t>
      </w:r>
      <w:r w:rsidR="00890991">
        <w:rPr>
          <w:rFonts w:ascii="Times New Roman" w:hAnsi="Times New Roman"/>
          <w:b/>
          <w:bCs/>
          <w:sz w:val="24"/>
        </w:rPr>
        <w:t>6</w:t>
      </w:r>
      <w:r w:rsidRPr="000D6C4C">
        <w:rPr>
          <w:rFonts w:ascii="Times New Roman" w:hAnsi="Times New Roman"/>
          <w:b/>
          <w:bCs/>
          <w:sz w:val="24"/>
        </w:rPr>
        <w:t>.2-01:</w:t>
      </w:r>
      <w:r w:rsidRPr="000D6C4C">
        <w:rPr>
          <w:rFonts w:ascii="Times New Roman" w:hAnsi="Times New Roman"/>
          <w:sz w:val="24"/>
        </w:rPr>
        <w:t xml:space="preserve"> The commenter stated that there does not seem to be an estimate for the total costs for the 630 small government entities affected by the rule (0188).</w:t>
      </w:r>
    </w:p>
    <w:p w:rsidR="00EE0D64" w:rsidRPr="005F5953" w:rsidP="004D26A8" w14:paraId="4475B6D6" w14:textId="724BDA59">
      <w:pPr>
        <w:ind w:left="720"/>
        <w:rPr>
          <w:rFonts w:ascii="Times New Roman" w:hAnsi="Times New Roman"/>
          <w:sz w:val="24"/>
        </w:rPr>
      </w:pPr>
      <w:r w:rsidRPr="000D6C4C">
        <w:rPr>
          <w:rFonts w:ascii="Times New Roman" w:hAnsi="Times New Roman"/>
          <w:b/>
          <w:bCs/>
          <w:sz w:val="24"/>
        </w:rPr>
        <w:t xml:space="preserve">EPA Response: </w:t>
      </w:r>
      <w:r w:rsidRPr="000D6C4C">
        <w:rPr>
          <w:rFonts w:ascii="Times New Roman" w:hAnsi="Times New Roman"/>
          <w:sz w:val="24"/>
        </w:rPr>
        <w:t xml:space="preserve">EPA evaluated the cost of the rule </w:t>
      </w:r>
      <w:r w:rsidR="007962C7">
        <w:rPr>
          <w:rFonts w:ascii="Times New Roman" w:hAnsi="Times New Roman"/>
          <w:sz w:val="24"/>
        </w:rPr>
        <w:t>to</w:t>
      </w:r>
      <w:r w:rsidRPr="000D6C4C">
        <w:rPr>
          <w:rFonts w:ascii="Times New Roman" w:hAnsi="Times New Roman"/>
          <w:sz w:val="24"/>
        </w:rPr>
        <w:t xml:space="preserve"> small government entities in section 8.3.2 of the final rule RIA. Final rule RIA </w:t>
      </w:r>
      <w:r w:rsidR="008A6F7F">
        <w:rPr>
          <w:rFonts w:ascii="Times New Roman" w:hAnsi="Times New Roman"/>
          <w:sz w:val="24"/>
        </w:rPr>
        <w:t>E</w:t>
      </w:r>
      <w:r w:rsidRPr="000D6C4C">
        <w:rPr>
          <w:rFonts w:ascii="Times New Roman" w:hAnsi="Times New Roman"/>
          <w:sz w:val="24"/>
        </w:rPr>
        <w:t xml:space="preserve">xhibits 8-9 and 8-10 summarize the impacts of the final rule on small governments. </w:t>
      </w:r>
      <w:r w:rsidR="008A6F7F">
        <w:rPr>
          <w:rFonts w:ascii="Times New Roman" w:hAnsi="Times New Roman"/>
          <w:sz w:val="24"/>
        </w:rPr>
        <w:t xml:space="preserve">The analysis found that </w:t>
      </w:r>
      <w:r w:rsidRPr="000D6C4C">
        <w:rPr>
          <w:rFonts w:ascii="Times New Roman" w:hAnsi="Times New Roman"/>
          <w:sz w:val="24"/>
        </w:rPr>
        <w:t xml:space="preserve">the majority of small </w:t>
      </w:r>
      <w:r w:rsidRPr="005F5953">
        <w:rPr>
          <w:rFonts w:ascii="Times New Roman" w:hAnsi="Times New Roman"/>
          <w:sz w:val="24"/>
        </w:rPr>
        <w:t xml:space="preserve">governments, except those with between 15,000 and 50,000 residents, will experience total impacts from the final rule estimated between $2,000 and $3,000. </w:t>
      </w:r>
    </w:p>
    <w:p w:rsidR="00101E3D" w:rsidRPr="005F5953" w:rsidP="00101E3D" w14:paraId="72F3F652" w14:textId="1B2D8FAF">
      <w:pPr>
        <w:rPr>
          <w:rFonts w:ascii="Times New Roman" w:hAnsi="Times New Roman"/>
          <w:sz w:val="24"/>
        </w:rPr>
      </w:pPr>
      <w:r w:rsidRPr="005F5953">
        <w:rPr>
          <w:rFonts w:ascii="Times New Roman" w:hAnsi="Times New Roman"/>
          <w:b/>
          <w:bCs/>
          <w:sz w:val="24"/>
        </w:rPr>
        <w:t>Comment 1</w:t>
      </w:r>
      <w:r w:rsidR="00890991">
        <w:rPr>
          <w:rFonts w:ascii="Times New Roman" w:hAnsi="Times New Roman"/>
          <w:b/>
          <w:bCs/>
          <w:sz w:val="24"/>
        </w:rPr>
        <w:t>6</w:t>
      </w:r>
      <w:r w:rsidRPr="005F5953">
        <w:rPr>
          <w:rFonts w:ascii="Times New Roman" w:hAnsi="Times New Roman"/>
          <w:b/>
          <w:bCs/>
          <w:sz w:val="24"/>
        </w:rPr>
        <w:t>.2-02:</w:t>
      </w:r>
      <w:r w:rsidRPr="005F5953">
        <w:rPr>
          <w:rFonts w:ascii="Times New Roman" w:hAnsi="Times New Roman"/>
          <w:sz w:val="24"/>
        </w:rPr>
        <w:t xml:space="preserve"> One commenter asserted that EPA did not clearly state its assumptions regarding differences in burden between small and large government entities (0239).</w:t>
      </w:r>
    </w:p>
    <w:p w:rsidR="00AC009B" w:rsidRPr="00BD479B" w:rsidP="00644780" w14:paraId="3B96FFE7" w14:textId="33171FC4">
      <w:pPr>
        <w:ind w:left="1440" w:hanging="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EPA discusses its assumptions regarding differences in burden between large and small government (and non-government) entities in </w:t>
      </w:r>
      <w:r w:rsidR="007962C7">
        <w:rPr>
          <w:rFonts w:ascii="Times New Roman" w:hAnsi="Times New Roman"/>
          <w:sz w:val="24"/>
        </w:rPr>
        <w:t xml:space="preserve">the RIA </w:t>
      </w:r>
      <w:r w:rsidRPr="00D45A03">
        <w:rPr>
          <w:rFonts w:ascii="Times New Roman" w:hAnsi="Times New Roman"/>
          <w:sz w:val="24"/>
        </w:rPr>
        <w:t>Chapter 4</w:t>
      </w:r>
      <w:r>
        <w:rPr>
          <w:rFonts w:ascii="Times New Roman" w:hAnsi="Times New Roman"/>
          <w:sz w:val="24"/>
        </w:rPr>
        <w:t>.</w:t>
      </w:r>
      <w:r w:rsidRPr="00D45A03">
        <w:rPr>
          <w:rFonts w:ascii="Times New Roman" w:hAnsi="Times New Roman"/>
          <w:sz w:val="24"/>
        </w:rPr>
        <w:t xml:space="preserve"> </w:t>
      </w:r>
      <w:r>
        <w:rPr>
          <w:rFonts w:ascii="Times New Roman" w:hAnsi="Times New Roman"/>
          <w:sz w:val="24"/>
        </w:rPr>
        <w:t xml:space="preserve">Provisions with cost differences assumed between small and large entities include: third-party audits, employee participation plan, and information availability. </w:t>
      </w:r>
      <w:r w:rsidR="007962C7">
        <w:rPr>
          <w:rFonts w:ascii="Times New Roman" w:hAnsi="Times New Roman"/>
          <w:sz w:val="24"/>
        </w:rPr>
        <w:t>S</w:t>
      </w:r>
      <w:r>
        <w:rPr>
          <w:rFonts w:ascii="Times New Roman" w:hAnsi="Times New Roman"/>
          <w:sz w:val="24"/>
        </w:rPr>
        <w:t>ee S</w:t>
      </w:r>
      <w:r w:rsidRPr="00D45A03">
        <w:rPr>
          <w:rFonts w:ascii="Times New Roman" w:hAnsi="Times New Roman"/>
          <w:sz w:val="24"/>
        </w:rPr>
        <w:t>ection 4.4.4 Third-party audits</w:t>
      </w:r>
      <w:r>
        <w:rPr>
          <w:rFonts w:ascii="Times New Roman" w:hAnsi="Times New Roman"/>
          <w:sz w:val="24"/>
        </w:rPr>
        <w:t xml:space="preserve">, Section 4.4.5 Employee Participation Plan, and Section 4.7 Information Availability. </w:t>
      </w:r>
    </w:p>
    <w:p w:rsidR="00101E3D" w:rsidRPr="005F5953" w:rsidP="00101E3D" w14:paraId="143DAC0A" w14:textId="14EE88DF">
      <w:pPr>
        <w:rPr>
          <w:rFonts w:ascii="Times New Roman" w:hAnsi="Times New Roman"/>
          <w:sz w:val="24"/>
        </w:rPr>
      </w:pPr>
      <w:r w:rsidRPr="005F5953">
        <w:rPr>
          <w:rFonts w:ascii="Times New Roman" w:hAnsi="Times New Roman"/>
          <w:b/>
          <w:bCs/>
          <w:sz w:val="24"/>
        </w:rPr>
        <w:t>Comment 1</w:t>
      </w:r>
      <w:r w:rsidR="00890991">
        <w:rPr>
          <w:rFonts w:ascii="Times New Roman" w:hAnsi="Times New Roman"/>
          <w:b/>
          <w:bCs/>
          <w:sz w:val="24"/>
        </w:rPr>
        <w:t>6</w:t>
      </w:r>
      <w:r w:rsidRPr="005F5953">
        <w:rPr>
          <w:rFonts w:ascii="Times New Roman" w:hAnsi="Times New Roman"/>
          <w:b/>
          <w:bCs/>
          <w:sz w:val="24"/>
        </w:rPr>
        <w:t>.2-03:</w:t>
      </w:r>
      <w:r w:rsidRPr="005F5953">
        <w:rPr>
          <w:rFonts w:ascii="Times New Roman" w:hAnsi="Times New Roman"/>
          <w:sz w:val="24"/>
        </w:rPr>
        <w:t xml:space="preserve"> One commenter stated that they cannot meaningfully review or provide comments on EPA’s burden assessment for the proposed rule because of the arbitrary and confusing way that EPA has organized water utilities into facility types in the analysis. The commenter elaborated that, for the purposes of examining the burden on the water sector, the only difference would be instances in which the system is considered small or large. The commenter </w:t>
      </w:r>
      <w:r w:rsidR="0011627E">
        <w:rPr>
          <w:rFonts w:ascii="Times New Roman" w:hAnsi="Times New Roman"/>
          <w:sz w:val="24"/>
        </w:rPr>
        <w:t>also</w:t>
      </w:r>
      <w:r w:rsidRPr="005F5953">
        <w:rPr>
          <w:rFonts w:ascii="Times New Roman" w:hAnsi="Times New Roman"/>
          <w:sz w:val="24"/>
        </w:rPr>
        <w:t xml:space="preserve"> </w:t>
      </w:r>
      <w:r w:rsidRPr="005F5953">
        <w:rPr>
          <w:rFonts w:ascii="Times New Roman" w:hAnsi="Times New Roman"/>
          <w:sz w:val="24"/>
        </w:rPr>
        <w:t>state</w:t>
      </w:r>
      <w:r w:rsidR="0011627E">
        <w:rPr>
          <w:rFonts w:ascii="Times New Roman" w:hAnsi="Times New Roman"/>
          <w:sz w:val="24"/>
        </w:rPr>
        <w:t>d</w:t>
      </w:r>
      <w:r w:rsidRPr="005F5953">
        <w:rPr>
          <w:rFonts w:ascii="Times New Roman" w:hAnsi="Times New Roman"/>
          <w:sz w:val="24"/>
        </w:rPr>
        <w:t xml:space="preserve"> that the absence of </w:t>
      </w:r>
      <w:r w:rsidR="00880B0D">
        <w:rPr>
          <w:rFonts w:ascii="Times New Roman" w:hAnsi="Times New Roman"/>
          <w:sz w:val="24"/>
        </w:rPr>
        <w:t xml:space="preserve">a </w:t>
      </w:r>
      <w:r w:rsidRPr="005F5953">
        <w:rPr>
          <w:rFonts w:ascii="Times New Roman" w:hAnsi="Times New Roman"/>
          <w:sz w:val="24"/>
        </w:rPr>
        <w:t>clear explanation of how many entities within the water sector fall within the various types made the review of sector-level burden impossible to replicate. Additionally, the commenter stated that the Agency does not explain the purpose of using multiple facility types to assess cost and why they were not uniformly applied (0239).</w:t>
      </w:r>
    </w:p>
    <w:p w:rsidR="00101E3D" w:rsidP="00101E3D" w14:paraId="1CFDC60A" w14:textId="036F4EAE">
      <w:pPr>
        <w:ind w:left="720"/>
        <w:rPr>
          <w:rFonts w:ascii="Times New Roman" w:hAnsi="Times New Roman"/>
          <w:sz w:val="24"/>
        </w:rPr>
      </w:pPr>
      <w:r w:rsidRPr="005F5953">
        <w:rPr>
          <w:rFonts w:ascii="Times New Roman" w:hAnsi="Times New Roman"/>
          <w:b/>
          <w:bCs/>
          <w:sz w:val="24"/>
        </w:rPr>
        <w:t>EPA Response:</w:t>
      </w:r>
      <w:r w:rsidRPr="005F5953">
        <w:rPr>
          <w:rFonts w:ascii="Times New Roman" w:hAnsi="Times New Roman"/>
          <w:sz w:val="24"/>
        </w:rPr>
        <w:t xml:space="preserve"> In its final rule RIA, EPA expla</w:t>
      </w:r>
      <w:r w:rsidR="00880B0D">
        <w:rPr>
          <w:rFonts w:ascii="Times New Roman" w:hAnsi="Times New Roman"/>
          <w:sz w:val="24"/>
        </w:rPr>
        <w:t>ined</w:t>
      </w:r>
      <w:r w:rsidRPr="005F5953">
        <w:rPr>
          <w:rFonts w:ascii="Times New Roman" w:hAnsi="Times New Roman"/>
          <w:sz w:val="24"/>
        </w:rPr>
        <w:t xml:space="preserve"> how it classified Water and Sewage Utilities Sector (NAICS 2213) facilities as private or government owned in RIA Section 3.1.2. Facilities self-report in their RMPs their sector, and some water facilities report as NAICS 2213 and some as NAICS 92. EPA used manual adjustments</w:t>
      </w:r>
      <w:r w:rsidRPr="005F5953">
        <w:rPr>
          <w:rFonts w:ascii="Times New Roman" w:hAnsi="Times New Roman"/>
          <w:sz w:val="24"/>
        </w:rPr>
        <w:t xml:space="preserve"> </w:t>
      </w:r>
      <w:r w:rsidRPr="005F5953">
        <w:rPr>
          <w:rFonts w:ascii="Times New Roman" w:hAnsi="Times New Roman"/>
          <w:sz w:val="24"/>
        </w:rPr>
        <w:t>to more accurately identify the facilities that are NAICS 2213 privately-owned versus government-owned by searching for facility names. Furthermore, EPA estimated private small entity per facility costs of the rule in its small entity analysis in Chapter 8.</w:t>
      </w:r>
    </w:p>
    <w:p w:rsidR="00E42AF3" w:rsidP="00E42AF3" w14:paraId="73FB33D6" w14:textId="791965D0">
      <w:pPr>
        <w:rPr>
          <w:rFonts w:ascii="Times New Roman" w:hAnsi="Times New Roman"/>
          <w:sz w:val="24"/>
        </w:rPr>
      </w:pPr>
      <w:r w:rsidRPr="008D2D07">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.2-04</w:t>
      </w:r>
      <w:r w:rsidRPr="008D2D0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the RIA’s approach to determining if a registered government-owned water system satisfied the small entity threshold, assuming that the 2019 Census population of a registered facility’s city is representative of the water system’s customer base, is flawed because the Census population of a community often is not representative of the customer service area of a drinking water or wastewater system. The commenter went on to recommend that the RIA use EPA data in related compliance datasets like SDWIS that provide the actual population served by a drinking water system</w:t>
      </w:r>
      <w:r>
        <w:rPr>
          <w:rFonts w:ascii="Times New Roman" w:hAnsi="Times New Roman"/>
          <w:sz w:val="24"/>
        </w:rPr>
        <w:t xml:space="preserve">.  </w:t>
      </w:r>
    </w:p>
    <w:p w:rsidR="00313158" w:rsidP="00313158" w14:paraId="39EA70D7" w14:textId="641CC977">
      <w:pPr>
        <w:rPr>
          <w:rFonts w:ascii="Times New Roman" w:hAnsi="Times New Roman"/>
          <w:sz w:val="24"/>
        </w:rPr>
      </w:pPr>
      <w:r>
        <w:rPr>
          <w:rFonts w:ascii="Times New Roman" w:hAnsi="Times New Roman"/>
          <w:sz w:val="24"/>
        </w:rPr>
        <w:t xml:space="preserve">The </w:t>
      </w:r>
      <w:r w:rsidRPr="00BF69E3">
        <w:rPr>
          <w:rFonts w:ascii="Times New Roman" w:hAnsi="Times New Roman"/>
          <w:sz w:val="24"/>
        </w:rPr>
        <w:t xml:space="preserve">commenter </w:t>
      </w:r>
      <w:r w:rsidR="0069318F">
        <w:rPr>
          <w:rFonts w:ascii="Times New Roman" w:hAnsi="Times New Roman"/>
          <w:sz w:val="24"/>
        </w:rPr>
        <w:t xml:space="preserve">also </w:t>
      </w:r>
      <w:r w:rsidRPr="00BF69E3">
        <w:rPr>
          <w:rFonts w:ascii="Times New Roman" w:hAnsi="Times New Roman"/>
          <w:sz w:val="24"/>
        </w:rPr>
        <w:t>asserted that EPA used a flawed approach to determine the difference in ownership status</w:t>
      </w:r>
      <w:r>
        <w:rPr>
          <w:rFonts w:ascii="Times New Roman" w:hAnsi="Times New Roman"/>
          <w:sz w:val="24"/>
        </w:rPr>
        <w:t xml:space="preserve"> between government-owned versus non-government-owned water entities. </w:t>
      </w:r>
      <w:r w:rsidRPr="00BF69E3">
        <w:rPr>
          <w:rFonts w:ascii="Times New Roman" w:hAnsi="Times New Roman"/>
          <w:sz w:val="24"/>
        </w:rPr>
        <w:t xml:space="preserve">The commenter stated that it was unclear why EPA did not use the universal EPA ID number to crosscheck the RMP facility list with Safe Drinking Water Information System (SDWIS) or EPA’s Permit Compliance System to determine the actual </w:t>
      </w:r>
      <w:r>
        <w:rPr>
          <w:rFonts w:ascii="Times New Roman" w:hAnsi="Times New Roman"/>
          <w:sz w:val="24"/>
        </w:rPr>
        <w:t xml:space="preserve">number of </w:t>
      </w:r>
      <w:r w:rsidRPr="00BF69E3">
        <w:rPr>
          <w:rFonts w:ascii="Times New Roman" w:hAnsi="Times New Roman"/>
          <w:sz w:val="24"/>
        </w:rPr>
        <w:t xml:space="preserve">water entities (0239). </w:t>
      </w:r>
    </w:p>
    <w:p w:rsidR="002672AC" w:rsidRPr="0061412B" w:rsidP="002672AC" w14:paraId="622BD8A2" w14:textId="2237D6D1">
      <w:pPr>
        <w:ind w:left="810"/>
        <w:rPr>
          <w:rFonts w:ascii="Times New Roman" w:hAnsi="Times New Roman"/>
          <w:sz w:val="24"/>
        </w:rPr>
      </w:pPr>
      <w:r w:rsidRPr="003A2B20">
        <w:rPr>
          <w:rFonts w:ascii="Times New Roman" w:hAnsi="Times New Roman"/>
          <w:b/>
          <w:bCs/>
          <w:sz w:val="24"/>
        </w:rPr>
        <w:t>EPA Response</w:t>
      </w:r>
      <w:r>
        <w:rPr>
          <w:rFonts w:ascii="Times New Roman" w:hAnsi="Times New Roman"/>
          <w:sz w:val="24"/>
        </w:rPr>
        <w:t>: EPA explored alternative data sources in the final rule to classify water system facilities (NAICS 2213) as private o</w:t>
      </w:r>
      <w:r w:rsidR="009B1EFA">
        <w:rPr>
          <w:rFonts w:ascii="Times New Roman" w:hAnsi="Times New Roman"/>
          <w:sz w:val="24"/>
        </w:rPr>
        <w:t>r</w:t>
      </w:r>
      <w:r>
        <w:rPr>
          <w:rFonts w:ascii="Times New Roman" w:hAnsi="Times New Roman"/>
          <w:sz w:val="24"/>
        </w:rPr>
        <w:t xml:space="preserve"> government owned, including its </w:t>
      </w:r>
      <w:r w:rsidRPr="00E74A2B">
        <w:rPr>
          <w:rFonts w:ascii="Times New Roman" w:hAnsi="Times New Roman"/>
          <w:sz w:val="24"/>
        </w:rPr>
        <w:t>Facility Registry System (FRS)</w:t>
      </w:r>
      <w:r w:rsidR="009B1EFA">
        <w:rPr>
          <w:rFonts w:ascii="Times New Roman" w:hAnsi="Times New Roman"/>
          <w:sz w:val="24"/>
        </w:rPr>
        <w:t>,</w:t>
      </w:r>
      <w:r w:rsidRPr="00E74A2B">
        <w:rPr>
          <w:rFonts w:ascii="Times New Roman" w:hAnsi="Times New Roman"/>
          <w:sz w:val="24"/>
        </w:rPr>
        <w:t xml:space="preserve"> </w:t>
      </w:r>
      <w:r>
        <w:rPr>
          <w:rFonts w:ascii="Times New Roman" w:hAnsi="Times New Roman"/>
          <w:sz w:val="24"/>
        </w:rPr>
        <w:t>to identify facilities’</w:t>
      </w:r>
      <w:r w:rsidRPr="00E74A2B">
        <w:rPr>
          <w:rFonts w:ascii="Times New Roman" w:hAnsi="Times New Roman"/>
          <w:sz w:val="24"/>
        </w:rPr>
        <w:t xml:space="preserve"> Water System ID in EPA’s Safe Drinking Water Information System (SDWIS) dataset</w:t>
      </w:r>
      <w:r>
        <w:rPr>
          <w:rFonts w:ascii="Times New Roman" w:hAnsi="Times New Roman"/>
          <w:sz w:val="24"/>
        </w:rPr>
        <w:t xml:space="preserve">. However, only a small number of facilities were </w:t>
      </w:r>
      <w:r w:rsidR="006018D9">
        <w:rPr>
          <w:rFonts w:ascii="Times New Roman" w:hAnsi="Times New Roman"/>
          <w:sz w:val="24"/>
        </w:rPr>
        <w:t>able to be matched in SDWIS</w:t>
      </w:r>
      <w:r>
        <w:rPr>
          <w:rFonts w:ascii="Times New Roman" w:hAnsi="Times New Roman"/>
          <w:sz w:val="24"/>
        </w:rPr>
        <w:t>. Therefore, EPA relied on the manual adjustments to properly identify water system facilities as described in the proposed rule RIA. More detail on EPA’s approach may be found in RIA Section 3.1.2.</w:t>
      </w:r>
    </w:p>
    <w:p w:rsidR="00313158" w:rsidRPr="00A52C52" w:rsidP="00313158" w14:paraId="45547B11" w14:textId="1C802D64">
      <w:pPr>
        <w:rPr>
          <w:rFonts w:ascii="Times New Roman" w:hAnsi="Times New Roman"/>
          <w:sz w:val="24"/>
        </w:rPr>
      </w:pPr>
      <w:r w:rsidRPr="006A2B48">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.2-0</w:t>
      </w:r>
      <w:r w:rsidR="00CD7C96">
        <w:rPr>
          <w:rFonts w:ascii="Times New Roman" w:hAnsi="Times New Roman"/>
          <w:b/>
          <w:bCs/>
          <w:sz w:val="24"/>
        </w:rPr>
        <w:t>5</w:t>
      </w:r>
      <w:r w:rsidRPr="006A2B48">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w:t>
      </w:r>
      <w:r>
        <w:rPr>
          <w:rFonts w:ascii="Times New Roman" w:hAnsi="Times New Roman"/>
          <w:sz w:val="24"/>
        </w:rPr>
        <w:t xml:space="preserve">commenter </w:t>
      </w:r>
      <w:r w:rsidRPr="006F68E9">
        <w:rPr>
          <w:rFonts w:ascii="Times New Roman" w:hAnsi="Times New Roman"/>
          <w:sz w:val="24"/>
        </w:rPr>
        <w:t xml:space="preserve">took issue with the RIA’s estimate of revenue for drinking water or wastewater utility operations, stating that water utility budgets are directly linked to payments from actual customers and not the total number of individuals or entities that may be taxed by a city. As a result, the comment stated that the methodology applied by EPA is flawed and appears to underestimate the number of small government systems that may be impacted by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and does not accurately capture the ways these costs will impact environmental justice communities (0239).</w:t>
      </w:r>
    </w:p>
    <w:p w:rsidR="00313158" w:rsidRPr="008B51EC" w:rsidP="00DA5E0E" w14:paraId="5502062E" w14:textId="5824E32C">
      <w:pPr>
        <w:ind w:left="720"/>
        <w:rPr>
          <w:rFonts w:ascii="Times New Roman" w:hAnsi="Times New Roman"/>
        </w:rPr>
      </w:pPr>
      <w:r>
        <w:rPr>
          <w:rFonts w:ascii="Times New Roman" w:hAnsi="Times New Roman"/>
          <w:b/>
          <w:bCs/>
          <w:sz w:val="24"/>
        </w:rPr>
        <w:t xml:space="preserve">EPA </w:t>
      </w:r>
      <w:r w:rsidRPr="0019628C">
        <w:rPr>
          <w:rFonts w:ascii="Times New Roman" w:hAnsi="Times New Roman"/>
          <w:b/>
          <w:bCs/>
          <w:sz w:val="24"/>
        </w:rPr>
        <w:t xml:space="preserve">Response: </w:t>
      </w:r>
      <w:r w:rsidRPr="0019628C">
        <w:rPr>
          <w:rFonts w:ascii="Times New Roman" w:hAnsi="Times New Roman"/>
          <w:sz w:val="24"/>
        </w:rPr>
        <w:t>EPA’s analysis of small water entities analyzed both private and government-owned water entities. For entities classified as private water facilities, EPA utilized entity-specific revenue data from Data Axle. For government entities, government budget data was not available</w:t>
      </w:r>
      <w:r w:rsidR="00DB2668">
        <w:rPr>
          <w:rFonts w:ascii="Times New Roman" w:hAnsi="Times New Roman"/>
          <w:sz w:val="24"/>
        </w:rPr>
        <w:t>. However, EPA estimated that</w:t>
      </w:r>
      <w:r w:rsidRPr="0019628C">
        <w:rPr>
          <w:rFonts w:ascii="Times New Roman" w:hAnsi="Times New Roman"/>
          <w:sz w:val="24"/>
        </w:rPr>
        <w:t xml:space="preserve"> the majority of small governments, except those with between 15,000 and 50,000 residents, will experience total impacts from the final rule</w:t>
      </w:r>
      <w:r w:rsidRPr="0019628C">
        <w:rPr>
          <w:rFonts w:ascii="Times New Roman" w:hAnsi="Times New Roman"/>
          <w:sz w:val="24"/>
        </w:rPr>
        <w:t xml:space="preserve"> </w:t>
      </w:r>
      <w:r w:rsidRPr="0019628C">
        <w:rPr>
          <w:rFonts w:ascii="Times New Roman" w:hAnsi="Times New Roman"/>
          <w:sz w:val="24"/>
        </w:rPr>
        <w:t xml:space="preserve">between $2,000 and $3,000, shown in final rule RIA </w:t>
      </w:r>
      <w:r w:rsidR="00DB2668">
        <w:rPr>
          <w:rFonts w:ascii="Times New Roman" w:hAnsi="Times New Roman"/>
          <w:sz w:val="24"/>
        </w:rPr>
        <w:t>E</w:t>
      </w:r>
      <w:r w:rsidRPr="0019628C">
        <w:rPr>
          <w:rFonts w:ascii="Times New Roman" w:hAnsi="Times New Roman"/>
          <w:sz w:val="24"/>
        </w:rPr>
        <w:t>xhibit 8-10.</w:t>
      </w:r>
      <w:r>
        <w:rPr>
          <w:rFonts w:ascii="Times New Roman" w:hAnsi="Times New Roman"/>
          <w:sz w:val="24"/>
        </w:rPr>
        <w:t xml:space="preserve"> </w:t>
      </w:r>
      <w:r w:rsidRPr="0019628C">
        <w:rPr>
          <w:rFonts w:ascii="Times New Roman" w:hAnsi="Times New Roman"/>
          <w:sz w:val="24"/>
        </w:rPr>
        <w:t>Additionally</w:t>
      </w:r>
      <w:r w:rsidRPr="00CE7556">
        <w:rPr>
          <w:rFonts w:ascii="Times New Roman" w:hAnsi="Times New Roman"/>
          <w:sz w:val="24"/>
        </w:rPr>
        <w:t>, EPA was able to locate budget data for a small sample of governments or special districts. One small city operates a combined water system, power system, and cable system; although the water system produces revenues of $2.5 million, the combined system reported revenues of $190 million.</w:t>
      </w:r>
      <w:r>
        <w:rPr>
          <w:rFonts w:ascii="Times New Roman" w:hAnsi="Times New Roman"/>
        </w:rPr>
        <w:t xml:space="preserve"> </w:t>
      </w:r>
      <w:r>
        <w:rPr>
          <w:rFonts w:ascii="Times New Roman" w:hAnsi="Times New Roman"/>
          <w:sz w:val="24"/>
        </w:rPr>
        <w:t xml:space="preserve">This discussion of size determination and small entity economic impact can be found in final rule RIA </w:t>
      </w:r>
      <w:r>
        <w:rPr>
          <w:rFonts w:ascii="Times New Roman" w:hAnsi="Times New Roman"/>
          <w:sz w:val="24"/>
        </w:rPr>
        <w:t xml:space="preserve">section 8.2, </w:t>
      </w:r>
      <w:r>
        <w:rPr>
          <w:rFonts w:ascii="Times New Roman" w:hAnsi="Times New Roman"/>
          <w:i/>
          <w:iCs/>
          <w:sz w:val="24"/>
        </w:rPr>
        <w:t xml:space="preserve">Estimating the Number of Small Entities, </w:t>
      </w:r>
      <w:r>
        <w:rPr>
          <w:rFonts w:ascii="Times New Roman" w:hAnsi="Times New Roman"/>
          <w:sz w:val="24"/>
        </w:rPr>
        <w:t xml:space="preserve">and section 8.3, </w:t>
      </w:r>
      <w:r>
        <w:rPr>
          <w:rFonts w:ascii="Times New Roman" w:hAnsi="Times New Roman"/>
          <w:i/>
          <w:iCs/>
          <w:sz w:val="24"/>
        </w:rPr>
        <w:t>Economic Impact on Small Entities</w:t>
      </w:r>
      <w:r>
        <w:rPr>
          <w:rFonts w:ascii="Times New Roman" w:hAnsi="Times New Roman"/>
          <w:sz w:val="24"/>
        </w:rPr>
        <w:t>.</w:t>
      </w:r>
    </w:p>
    <w:p w:rsidR="00313158" w:rsidRPr="00A7388A" w:rsidP="00313158" w14:paraId="49B3E5BB" w14:textId="77777777">
      <w:pPr>
        <w:rPr>
          <w:rFonts w:ascii="Times New Roman" w:hAnsi="Times New Roman"/>
          <w:i/>
          <w:sz w:val="24"/>
        </w:rPr>
      </w:pPr>
      <w:r w:rsidRPr="00A7388A">
        <w:rPr>
          <w:rFonts w:ascii="Times New Roman" w:hAnsi="Times New Roman"/>
          <w:i/>
          <w:sz w:val="24"/>
        </w:rPr>
        <w:t xml:space="preserve">Costs to small entities </w:t>
      </w:r>
    </w:p>
    <w:p w:rsidR="00313158" w:rsidRPr="004C7B2D" w:rsidP="00313158" w14:paraId="15811AAB" w14:textId="79FEDDFE">
      <w:pPr>
        <w:rPr>
          <w:rFonts w:ascii="Times New Roman" w:hAnsi="Times New Roman"/>
          <w:sz w:val="24"/>
        </w:rPr>
      </w:pPr>
      <w:r w:rsidRPr="0087649A">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.2-0</w:t>
      </w:r>
      <w:r w:rsidR="00CD7C96">
        <w:rPr>
          <w:rFonts w:ascii="Times New Roman" w:hAnsi="Times New Roman"/>
          <w:b/>
          <w:bCs/>
          <w:sz w:val="24"/>
        </w:rPr>
        <w:t>6</w:t>
      </w:r>
      <w:r w:rsidRPr="0087649A">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Several commenters expressed concern about EPA’s draft RIA regarding small government impacts (0188, 0197, 0239, 0243).</w:t>
      </w:r>
    </w:p>
    <w:p w:rsidR="008528FE" w:rsidRPr="004C7B2D" w:rsidP="008528FE" w14:paraId="1A968D0D" w14:textId="3263C06B">
      <w:pPr>
        <w:ind w:left="720"/>
        <w:rPr>
          <w:rFonts w:ascii="Times New Roman" w:hAnsi="Times New Roman"/>
          <w:sz w:val="24"/>
        </w:rPr>
      </w:pPr>
      <w:r w:rsidRPr="0038015D">
        <w:rPr>
          <w:rFonts w:ascii="Times New Roman" w:hAnsi="Times New Roman"/>
          <w:b/>
          <w:bCs/>
          <w:sz w:val="24"/>
        </w:rPr>
        <w:t xml:space="preserve">EPA Response: </w:t>
      </w:r>
      <w:r w:rsidRPr="003F0FB2">
        <w:rPr>
          <w:rFonts w:ascii="Times New Roman" w:hAnsi="Times New Roman"/>
          <w:sz w:val="24"/>
        </w:rPr>
        <w:t>EPA’s small entity analysis describes small government entities in final rule RIA section 8.2.2 and discusses cost impacts on small government impacts in section 8.3.2. A combined total of 798 facilities are owned and operated by small governments.</w:t>
      </w:r>
      <w:r w:rsidRPr="003F0FB2">
        <w:rPr>
          <w:rFonts w:ascii="Times New Roman" w:hAnsi="Times New Roman"/>
          <w:sz w:val="24"/>
        </w:rPr>
        <w:t xml:space="preserve"> </w:t>
      </w:r>
      <w:r w:rsidRPr="003F0FB2">
        <w:rPr>
          <w:rFonts w:ascii="Times New Roman" w:hAnsi="Times New Roman"/>
          <w:sz w:val="24"/>
        </w:rPr>
        <w:t xml:space="preserve">EPA does not have data to estimate the percent revenue impacts on specific government entities. However, based on costs to small governments and their respective populations, EPA concludes that it is unlikely that a </w:t>
      </w:r>
      <w:r>
        <w:rPr>
          <w:rFonts w:ascii="Times New Roman" w:hAnsi="Times New Roman"/>
          <w:sz w:val="24"/>
        </w:rPr>
        <w:t xml:space="preserve">significant number of </w:t>
      </w:r>
      <w:r w:rsidRPr="003F0FB2">
        <w:rPr>
          <w:rFonts w:ascii="Times New Roman" w:hAnsi="Times New Roman"/>
          <w:sz w:val="24"/>
        </w:rPr>
        <w:t>small government</w:t>
      </w:r>
      <w:r>
        <w:rPr>
          <w:rFonts w:ascii="Times New Roman" w:hAnsi="Times New Roman"/>
          <w:sz w:val="24"/>
        </w:rPr>
        <w:t>s</w:t>
      </w:r>
      <w:r w:rsidRPr="003F0FB2">
        <w:rPr>
          <w:rFonts w:ascii="Times New Roman" w:hAnsi="Times New Roman"/>
          <w:sz w:val="24"/>
        </w:rPr>
        <w:t xml:space="preserve"> will experience a cost impact larger than 1 percent of revenue.</w:t>
      </w:r>
    </w:p>
    <w:p w:rsidR="00313158" w:rsidP="00313158" w14:paraId="3F957FE7" w14:textId="1341B460">
      <w:pPr>
        <w:rPr>
          <w:rFonts w:ascii="Times New Roman" w:hAnsi="Times New Roman"/>
          <w:sz w:val="24"/>
        </w:rPr>
      </w:pPr>
      <w:r w:rsidRPr="00B63303">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.2-0</w:t>
      </w:r>
      <w:r w:rsidR="00CD7C96">
        <w:rPr>
          <w:rFonts w:ascii="Times New Roman" w:hAnsi="Times New Roman"/>
          <w:b/>
          <w:bCs/>
          <w:sz w:val="24"/>
        </w:rPr>
        <w:t>7</w:t>
      </w:r>
      <w:r w:rsidRPr="00B63303">
        <w:rPr>
          <w:rFonts w:ascii="Times New Roman" w:hAnsi="Times New Roman"/>
          <w:b/>
          <w:bCs/>
          <w:sz w:val="24"/>
        </w:rPr>
        <w:t>:</w:t>
      </w:r>
      <w:r w:rsidRPr="006F68E9">
        <w:rPr>
          <w:rFonts w:ascii="Times New Roman" w:hAnsi="Times New Roman"/>
          <w:sz w:val="24"/>
        </w:rPr>
        <w:t xml:space="preserve"> In addition, the commenter requested that EPA consider indirect implications of resource impacts on air agencies as some of the recommendations in this rule could increase the need for facilities to obtain air permits including major Prevention of Significant Deterioration (PSD) or nonattainment area New Source Review permits. The commenter stated that these regulations are another example of the increased complexity and workload on Part 70 permit and compliance programs resulting from a wide variety of updated and new EPA regulations and grant programs. The commenter recommended that EPA provide resources to agencies to allow for full support of the implementation of new and revised air regulations in a timely manner (0199).</w:t>
      </w:r>
    </w:p>
    <w:p w:rsidR="00313158" w:rsidRPr="006F68E9" w:rsidP="00313158" w14:paraId="65589A3B" w14:textId="4494ED6F">
      <w:pPr>
        <w:ind w:left="720"/>
        <w:rPr>
          <w:rFonts w:ascii="Times New Roman" w:hAnsi="Times New Roman"/>
          <w:sz w:val="24"/>
        </w:rPr>
      </w:pPr>
      <w:r w:rsidRPr="00F36AC4">
        <w:rPr>
          <w:rFonts w:ascii="Times New Roman" w:hAnsi="Times New Roman"/>
          <w:b/>
          <w:bCs/>
          <w:sz w:val="24"/>
        </w:rPr>
        <w:t>EPA Response:</w:t>
      </w:r>
      <w:r>
        <w:rPr>
          <w:rFonts w:ascii="Times New Roman" w:hAnsi="Times New Roman"/>
          <w:sz w:val="24"/>
        </w:rPr>
        <w:t xml:space="preserve"> </w:t>
      </w:r>
      <w:r w:rsidRPr="0F82451B" w:rsidR="41305B2F">
        <w:rPr>
          <w:rFonts w:ascii="Times New Roman" w:hAnsi="Times New Roman"/>
          <w:sz w:val="24"/>
        </w:rPr>
        <w:t>EPA is</w:t>
      </w:r>
      <w:r>
        <w:rPr>
          <w:rFonts w:ascii="Times New Roman" w:hAnsi="Times New Roman"/>
          <w:sz w:val="24"/>
        </w:rPr>
        <w:t xml:space="preserve"> not </w:t>
      </w:r>
      <w:r w:rsidRPr="0F82451B" w:rsidR="41305B2F">
        <w:rPr>
          <w:rFonts w:ascii="Times New Roman" w:hAnsi="Times New Roman"/>
          <w:sz w:val="24"/>
        </w:rPr>
        <w:t xml:space="preserve">requiring adoption of IST/ISD as </w:t>
      </w:r>
      <w:r w:rsidRPr="0F82451B" w:rsidR="39892A12">
        <w:rPr>
          <w:rFonts w:ascii="Times New Roman" w:hAnsi="Times New Roman"/>
          <w:sz w:val="24"/>
        </w:rPr>
        <w:t>under the STAA provision. The STAA implementation requirement rela</w:t>
      </w:r>
      <w:r w:rsidRPr="0F82451B" w:rsidR="45FDA62F">
        <w:rPr>
          <w:rFonts w:ascii="Times New Roman" w:hAnsi="Times New Roman"/>
          <w:sz w:val="24"/>
        </w:rPr>
        <w:t xml:space="preserve">ted to passive </w:t>
      </w:r>
      <w:r w:rsidRPr="0F82451B" w:rsidR="00C01A65">
        <w:rPr>
          <w:rFonts w:ascii="Times New Roman" w:hAnsi="Times New Roman"/>
          <w:sz w:val="24"/>
        </w:rPr>
        <w:t>measures,</w:t>
      </w:r>
      <w:r w:rsidRPr="0F82451B" w:rsidR="45FDA62F">
        <w:rPr>
          <w:rFonts w:ascii="Times New Roman" w:hAnsi="Times New Roman"/>
          <w:sz w:val="24"/>
        </w:rPr>
        <w:t xml:space="preserve"> </w:t>
      </w:r>
      <w:r w:rsidRPr="0F82451B" w:rsidR="40828C45">
        <w:rPr>
          <w:rFonts w:ascii="Times New Roman" w:hAnsi="Times New Roman"/>
          <w:sz w:val="24"/>
        </w:rPr>
        <w:t xml:space="preserve">or their equivalent </w:t>
      </w:r>
      <w:r w:rsidRPr="0F82451B" w:rsidR="41F720A0">
        <w:rPr>
          <w:rFonts w:ascii="Times New Roman" w:hAnsi="Times New Roman"/>
          <w:sz w:val="24"/>
        </w:rPr>
        <w:t xml:space="preserve">is unlikely to lead to a significant emission increase </w:t>
      </w:r>
      <w:r>
        <w:rPr>
          <w:rFonts w:ascii="Times New Roman" w:hAnsi="Times New Roman"/>
          <w:sz w:val="24"/>
        </w:rPr>
        <w:t xml:space="preserve">that </w:t>
      </w:r>
      <w:r w:rsidRPr="0F82451B" w:rsidR="41F720A0">
        <w:rPr>
          <w:rFonts w:ascii="Times New Roman" w:hAnsi="Times New Roman"/>
          <w:sz w:val="24"/>
        </w:rPr>
        <w:t>would tri</w:t>
      </w:r>
      <w:r w:rsidRPr="0F82451B" w:rsidR="67A9D340">
        <w:rPr>
          <w:rFonts w:ascii="Times New Roman" w:hAnsi="Times New Roman"/>
          <w:sz w:val="24"/>
        </w:rPr>
        <w:t xml:space="preserve">gger PSD or nonattainment NSR. To the extent that provisions </w:t>
      </w:r>
      <w:r w:rsidRPr="0F82451B" w:rsidR="17043270">
        <w:rPr>
          <w:rFonts w:ascii="Times New Roman" w:hAnsi="Times New Roman"/>
          <w:sz w:val="24"/>
        </w:rPr>
        <w:t xml:space="preserve">of the CAA, such as limitations on the hours of emergency backup generators, would prohibit the adoption of </w:t>
      </w:r>
      <w:r w:rsidRPr="0F82451B" w:rsidR="1369DFD6">
        <w:rPr>
          <w:rFonts w:ascii="Times New Roman" w:hAnsi="Times New Roman"/>
          <w:sz w:val="24"/>
        </w:rPr>
        <w:t xml:space="preserve">backup power </w:t>
      </w:r>
      <w:r>
        <w:rPr>
          <w:rFonts w:ascii="Times New Roman" w:hAnsi="Times New Roman"/>
          <w:sz w:val="24"/>
        </w:rPr>
        <w:t>require</w:t>
      </w:r>
      <w:r w:rsidR="003B5B5B">
        <w:rPr>
          <w:rFonts w:ascii="Times New Roman" w:hAnsi="Times New Roman"/>
          <w:sz w:val="24"/>
        </w:rPr>
        <w:t>ment</w:t>
      </w:r>
      <w:r>
        <w:rPr>
          <w:rFonts w:ascii="Times New Roman" w:hAnsi="Times New Roman"/>
          <w:sz w:val="24"/>
        </w:rPr>
        <w:t>s</w:t>
      </w:r>
      <w:r>
        <w:rPr>
          <w:rFonts w:ascii="Times New Roman" w:hAnsi="Times New Roman"/>
          <w:sz w:val="24"/>
        </w:rPr>
        <w:t xml:space="preserve"> </w:t>
      </w:r>
      <w:r w:rsidRPr="0F82451B" w:rsidR="1369DFD6">
        <w:rPr>
          <w:rFonts w:ascii="Times New Roman" w:hAnsi="Times New Roman"/>
          <w:sz w:val="24"/>
        </w:rPr>
        <w:t xml:space="preserve">for monitors directed at accidental releases, such provisions may be cited in setting </w:t>
      </w:r>
      <w:r w:rsidRPr="0F82451B" w:rsidR="2F7E6704">
        <w:rPr>
          <w:rFonts w:ascii="Times New Roman" w:hAnsi="Times New Roman"/>
          <w:sz w:val="24"/>
        </w:rPr>
        <w:t xml:space="preserve">out the basis for not adopting various measures. Therefore, EPA does not anticipate </w:t>
      </w:r>
      <w:r w:rsidRPr="0F82451B" w:rsidR="678CE2A0">
        <w:rPr>
          <w:rFonts w:ascii="Times New Roman" w:hAnsi="Times New Roman"/>
          <w:sz w:val="24"/>
        </w:rPr>
        <w:t>t</w:t>
      </w:r>
      <w:r w:rsidRPr="0F82451B">
        <w:rPr>
          <w:rFonts w:ascii="Times New Roman" w:hAnsi="Times New Roman"/>
          <w:sz w:val="24"/>
        </w:rPr>
        <w:t xml:space="preserve">he RMP regulations </w:t>
      </w:r>
      <w:r>
        <w:rPr>
          <w:rFonts w:ascii="Times New Roman" w:hAnsi="Times New Roman"/>
          <w:sz w:val="24"/>
        </w:rPr>
        <w:t xml:space="preserve">of this final rule will </w:t>
      </w:r>
      <w:r w:rsidR="00693053">
        <w:rPr>
          <w:rFonts w:ascii="Times New Roman" w:hAnsi="Times New Roman"/>
          <w:sz w:val="24"/>
        </w:rPr>
        <w:t xml:space="preserve">increase </w:t>
      </w:r>
      <w:r w:rsidRPr="0F82451B" w:rsidR="00693053">
        <w:rPr>
          <w:rFonts w:ascii="Times New Roman" w:hAnsi="Times New Roman"/>
          <w:sz w:val="24"/>
        </w:rPr>
        <w:t>the</w:t>
      </w:r>
      <w:r>
        <w:rPr>
          <w:rFonts w:ascii="Times New Roman" w:hAnsi="Times New Roman"/>
          <w:sz w:val="24"/>
        </w:rPr>
        <w:t xml:space="preserve"> need for Prevention of Significant Deterioration or nonattainment area New Source Review permits. </w:t>
      </w:r>
    </w:p>
    <w:p w:rsidR="00313158" w:rsidP="00313158" w14:paraId="1321B70F" w14:textId="6398B800">
      <w:pPr>
        <w:rPr>
          <w:rFonts w:ascii="Times New Roman" w:hAnsi="Times New Roman"/>
          <w:sz w:val="24"/>
        </w:rPr>
      </w:pPr>
      <w:r w:rsidRPr="0087649A">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.2-0</w:t>
      </w:r>
      <w:r w:rsidR="00B368A7">
        <w:rPr>
          <w:rFonts w:ascii="Times New Roman" w:hAnsi="Times New Roman"/>
          <w:b/>
          <w:bCs/>
          <w:sz w:val="24"/>
        </w:rPr>
        <w:t>8</w:t>
      </w:r>
      <w:r w:rsidRPr="0087649A">
        <w:rPr>
          <w:rFonts w:ascii="Times New Roman" w:hAnsi="Times New Roman"/>
          <w:b/>
          <w:bCs/>
          <w:sz w:val="24"/>
        </w:rPr>
        <w:t xml:space="preserve">: </w:t>
      </w:r>
      <w:r w:rsidRPr="006F68E9">
        <w:rPr>
          <w:rFonts w:ascii="Times New Roman" w:hAnsi="Times New Roman"/>
          <w:sz w:val="24"/>
        </w:rPr>
        <w:t>One commenter stated that they were concerned about EPA’s estimated impacts for small government entities. The commenter stated that EPA estimates 77% of small government entities will have costs less than $1,000, yet it seems that if small government entities had any cost beyond rule familiarization, they would likely exceed $1,000 in costs. The commenter recommended that EPA explicitly state which provisions apply to small government entities and that they provide the basis for the cost estimates for each category: 77 percent that incur costs of less than $1,000, 17 percent costs ranging from $1,000 to $2,000, 3 percent costs ranging from $2,000 to $3,000, and one incurring costs of more than $10,000 (0188).</w:t>
      </w:r>
    </w:p>
    <w:p w:rsidR="00554076" w:rsidRPr="0099564B" w:rsidP="00554076" w14:paraId="5033FC3A" w14:textId="0EFF23B7">
      <w:pPr>
        <w:ind w:left="720"/>
        <w:rPr>
          <w:rFonts w:ascii="Times New Roman" w:hAnsi="Times New Roman"/>
          <w:b/>
          <w:sz w:val="24"/>
        </w:rPr>
      </w:pPr>
      <w:r>
        <w:rPr>
          <w:rFonts w:ascii="Times New Roman" w:hAnsi="Times New Roman"/>
          <w:b/>
          <w:bCs/>
          <w:sz w:val="24"/>
        </w:rPr>
        <w:t xml:space="preserve">EPA Response: </w:t>
      </w:r>
      <w:r>
        <w:rPr>
          <w:rFonts w:ascii="Times New Roman" w:hAnsi="Times New Roman"/>
          <w:sz w:val="24"/>
        </w:rPr>
        <w:t>Provision costs are applied to entities based on the regulated facilities</w:t>
      </w:r>
      <w:r w:rsidR="00AB7FD0">
        <w:rPr>
          <w:rFonts w:ascii="Times New Roman" w:hAnsi="Times New Roman"/>
          <w:sz w:val="24"/>
        </w:rPr>
        <w:t>’</w:t>
      </w:r>
      <w:r>
        <w:rPr>
          <w:rFonts w:ascii="Times New Roman" w:hAnsi="Times New Roman"/>
          <w:sz w:val="24"/>
        </w:rPr>
        <w:t xml:space="preserve"> sector, program level, accident history, perimeter monitors,</w:t>
      </w:r>
      <w:r w:rsidR="00AB7FD0">
        <w:rPr>
          <w:rFonts w:ascii="Times New Roman" w:hAnsi="Times New Roman"/>
          <w:sz w:val="24"/>
        </w:rPr>
        <w:t xml:space="preserve"> and</w:t>
      </w:r>
      <w:r>
        <w:rPr>
          <w:rFonts w:ascii="Times New Roman" w:hAnsi="Times New Roman"/>
          <w:sz w:val="24"/>
        </w:rPr>
        <w:t xml:space="preserve"> use of HF alkylation, which are described in more detail in</w:t>
      </w:r>
      <w:r w:rsidR="00AB7FD0">
        <w:rPr>
          <w:rFonts w:ascii="Times New Roman" w:hAnsi="Times New Roman"/>
          <w:sz w:val="24"/>
        </w:rPr>
        <w:t xml:space="preserve"> the</w:t>
      </w:r>
      <w:r>
        <w:rPr>
          <w:rFonts w:ascii="Times New Roman" w:hAnsi="Times New Roman"/>
          <w:sz w:val="24"/>
        </w:rPr>
        <w:t xml:space="preserve"> final rule RIA Chapter 3 and Chapter 4. For example, information availability and rule familiarization provision costs apply to all facilities, while backup power for perimeter monitors</w:t>
      </w:r>
      <w:r>
        <w:rPr>
          <w:rFonts w:ascii="Times New Roman" w:hAnsi="Times New Roman"/>
          <w:sz w:val="24"/>
        </w:rPr>
        <w:t xml:space="preserve"> </w:t>
      </w:r>
      <w:r>
        <w:rPr>
          <w:rFonts w:ascii="Times New Roman" w:hAnsi="Times New Roman"/>
          <w:sz w:val="24"/>
        </w:rPr>
        <w:t>applies</w:t>
      </w:r>
      <w:r w:rsidR="00034D30">
        <w:rPr>
          <w:rFonts w:ascii="Times New Roman" w:hAnsi="Times New Roman"/>
          <w:sz w:val="24"/>
        </w:rPr>
        <w:t xml:space="preserve"> only</w:t>
      </w:r>
      <w:r>
        <w:rPr>
          <w:rFonts w:ascii="Times New Roman" w:hAnsi="Times New Roman"/>
          <w:sz w:val="24"/>
        </w:rPr>
        <w:t xml:space="preserve"> to RMP-regulated </w:t>
      </w:r>
      <w:r>
        <w:rPr>
          <w:rFonts w:ascii="Times New Roman" w:hAnsi="Times New Roman"/>
          <w:sz w:val="24"/>
        </w:rPr>
        <w:t>processes where power loss has been identified as a major hazard. EPA has facility data from RMP filings for the number of processes that require backup power and applied a per process cost to the relevant facilities. Costs are then added across provisions and analyzed. The small government cost impact is summarized in final rule RIA exhibits 8-9 and 8-10.</w:t>
      </w:r>
    </w:p>
    <w:p w:rsidR="00313158" w:rsidP="00313158" w14:paraId="0F7863F6" w14:textId="26C605BD">
      <w:pPr>
        <w:rPr>
          <w:rFonts w:ascii="Times New Roman" w:hAnsi="Times New Roman"/>
          <w:sz w:val="24"/>
        </w:rPr>
      </w:pPr>
      <w:r w:rsidRPr="00475DAE">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w:t>
      </w:r>
      <w:r w:rsidR="00B368A7">
        <w:rPr>
          <w:rFonts w:ascii="Times New Roman" w:hAnsi="Times New Roman"/>
          <w:b/>
          <w:bCs/>
          <w:sz w:val="24"/>
        </w:rPr>
        <w:t>09</w:t>
      </w:r>
      <w:r w:rsidRPr="00475DAE">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many water utilities are small entities or are owned and operated by municipal government entities operating on fixed budgets that are not easily adapted to costly Federal mandates. The commenter went on to state that </w:t>
      </w:r>
      <w:r>
        <w:rPr>
          <w:rFonts w:ascii="Times New Roman" w:hAnsi="Times New Roman"/>
          <w:sz w:val="24"/>
        </w:rPr>
        <w:t>the proposed</w:t>
      </w:r>
      <w:r w:rsidRPr="006F68E9">
        <w:rPr>
          <w:rFonts w:ascii="Times New Roman" w:hAnsi="Times New Roman"/>
          <w:sz w:val="24"/>
        </w:rPr>
        <w:t xml:space="preserve"> </w:t>
      </w:r>
      <w:r>
        <w:rPr>
          <w:rFonts w:ascii="Times New Roman" w:hAnsi="Times New Roman"/>
          <w:sz w:val="24"/>
        </w:rPr>
        <w:t>r</w:t>
      </w:r>
      <w:r w:rsidRPr="006F68E9">
        <w:rPr>
          <w:rFonts w:ascii="Times New Roman" w:hAnsi="Times New Roman"/>
          <w:sz w:val="24"/>
        </w:rPr>
        <w:t>ule does not take into account the operational imperatives that these systems face when making decisions about resource tradeoffs</w:t>
      </w:r>
      <w:r>
        <w:rPr>
          <w:rFonts w:ascii="Times New Roman" w:hAnsi="Times New Roman"/>
          <w:sz w:val="24"/>
        </w:rPr>
        <w:t xml:space="preserve"> (0239).</w:t>
      </w:r>
    </w:p>
    <w:p w:rsidR="00313158" w:rsidP="00313158" w14:paraId="189F9FF9" w14:textId="1FDA6131">
      <w:pPr>
        <w:ind w:left="720"/>
        <w:rPr>
          <w:rFonts w:ascii="Times New Roman" w:hAnsi="Times New Roman"/>
          <w:sz w:val="24"/>
        </w:rPr>
      </w:pPr>
      <w:r w:rsidRPr="004F61A9">
        <w:rPr>
          <w:rFonts w:ascii="Times New Roman" w:hAnsi="Times New Roman"/>
          <w:b/>
          <w:bCs/>
          <w:sz w:val="24"/>
        </w:rPr>
        <w:t>EPA Response:</w:t>
      </w:r>
      <w:r>
        <w:rPr>
          <w:rFonts w:ascii="Times New Roman" w:hAnsi="Times New Roman"/>
          <w:sz w:val="24"/>
        </w:rPr>
        <w:t xml:space="preserve"> In the final rule RIA</w:t>
      </w:r>
      <w:r w:rsidR="00693053">
        <w:rPr>
          <w:rFonts w:ascii="Times New Roman" w:hAnsi="Times New Roman"/>
          <w:sz w:val="24"/>
        </w:rPr>
        <w:t>,</w:t>
      </w:r>
      <w:r>
        <w:rPr>
          <w:rFonts w:ascii="Times New Roman" w:hAnsi="Times New Roman"/>
          <w:sz w:val="24"/>
        </w:rPr>
        <w:t xml:space="preserve"> EPA estimated the costs of the rule to small entities, including government entities. EPA estimated that 97 percent of small government entities will face costs less than $10,000 and the majority, or 58 percent, will face costs less than $3,000. For more detail</w:t>
      </w:r>
      <w:r w:rsidR="007B71AA">
        <w:rPr>
          <w:rFonts w:ascii="Times New Roman" w:hAnsi="Times New Roman"/>
          <w:sz w:val="24"/>
        </w:rPr>
        <w:t>s</w:t>
      </w:r>
      <w:r>
        <w:rPr>
          <w:rFonts w:ascii="Times New Roman" w:hAnsi="Times New Roman"/>
          <w:sz w:val="24"/>
        </w:rPr>
        <w:t>, see Chapter 8 of the final rule RIA.</w:t>
      </w:r>
    </w:p>
    <w:p w:rsidR="00313158" w:rsidP="00313158" w14:paraId="3EC8D180" w14:textId="043B3D1F">
      <w:pPr>
        <w:rPr>
          <w:rFonts w:ascii="Times New Roman" w:hAnsi="Times New Roman"/>
          <w:sz w:val="24"/>
        </w:rPr>
      </w:pPr>
      <w:r w:rsidRPr="00D54E6A">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.2-1</w:t>
      </w:r>
      <w:r w:rsidR="00B368A7">
        <w:rPr>
          <w:rFonts w:ascii="Times New Roman" w:hAnsi="Times New Roman"/>
          <w:b/>
          <w:bCs/>
          <w:sz w:val="24"/>
        </w:rPr>
        <w:t>0</w:t>
      </w:r>
      <w:r w:rsidRPr="00D54E6A">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urged EPA to include a full accounting of possible cost burdens posed by this Proposed Rule to local governments, rather than tak</w:t>
      </w:r>
      <w:r w:rsidR="007B71AA">
        <w:rPr>
          <w:rFonts w:ascii="Times New Roman" w:hAnsi="Times New Roman"/>
          <w:sz w:val="24"/>
        </w:rPr>
        <w:t>e</w:t>
      </w:r>
      <w:r w:rsidRPr="006F68E9">
        <w:rPr>
          <w:rFonts w:ascii="Times New Roman" w:hAnsi="Times New Roman"/>
          <w:sz w:val="24"/>
        </w:rPr>
        <w:t xml:space="preserve"> a surface level view of direct financial concerns (0243).</w:t>
      </w:r>
    </w:p>
    <w:p w:rsidR="00313158" w:rsidRPr="006F68E9" w:rsidP="00313158" w14:paraId="3919DE43" w14:textId="3A872C2C">
      <w:pPr>
        <w:ind w:left="720"/>
        <w:rPr>
          <w:rFonts w:ascii="Times New Roman" w:hAnsi="Times New Roman"/>
          <w:sz w:val="24"/>
        </w:rPr>
      </w:pPr>
      <w:r w:rsidRPr="00842012">
        <w:rPr>
          <w:rFonts w:ascii="Times New Roman" w:hAnsi="Times New Roman"/>
          <w:b/>
          <w:bCs/>
          <w:sz w:val="24"/>
        </w:rPr>
        <w:t>EPA Response:</w:t>
      </w:r>
      <w:r>
        <w:rPr>
          <w:rFonts w:ascii="Times New Roman" w:hAnsi="Times New Roman"/>
          <w:sz w:val="24"/>
        </w:rPr>
        <w:t xml:space="preserve"> In RIA Chapter 8, EPA analyzed the impacts of the final rule on small governments, </w:t>
      </w:r>
      <w:r w:rsidR="007B71AA">
        <w:rPr>
          <w:rFonts w:ascii="Times New Roman" w:hAnsi="Times New Roman"/>
          <w:sz w:val="24"/>
        </w:rPr>
        <w:t>defined as</w:t>
      </w:r>
      <w:r>
        <w:rPr>
          <w:rFonts w:ascii="Times New Roman" w:hAnsi="Times New Roman"/>
          <w:sz w:val="24"/>
        </w:rPr>
        <w:t xml:space="preserve"> those who serve fewer than 50,000 residents. Costs from the final rule to each of the 798 facilities owned and operated by small governments were estimated.</w:t>
      </w:r>
    </w:p>
    <w:p w:rsidR="00313158" w:rsidP="00313158" w14:paraId="3070841C" w14:textId="63745000">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.2-1</w:t>
      </w:r>
      <w:r w:rsidR="00B368A7">
        <w:rPr>
          <w:rFonts w:ascii="Times New Roman" w:hAnsi="Times New Roman"/>
          <w:b/>
          <w:bCs/>
          <w:sz w:val="24"/>
        </w:rPr>
        <w:t>1</w:t>
      </w:r>
      <w:r w:rsidRPr="008D44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the cost-benefit analysis and RIA are incomplete and insufficient, and elaborated that EPA has over-inflated the benefits and underestimated the costs related to local governments’ ability to implement these new requirements (0243).</w:t>
      </w:r>
    </w:p>
    <w:p w:rsidR="00313158" w:rsidRPr="006F68E9" w:rsidP="00313158" w14:paraId="678902DB" w14:textId="7F1CA078">
      <w:pPr>
        <w:ind w:left="720"/>
        <w:rPr>
          <w:rFonts w:ascii="Times New Roman" w:hAnsi="Times New Roman"/>
          <w:sz w:val="24"/>
        </w:rPr>
      </w:pPr>
      <w:r w:rsidRPr="00020451">
        <w:rPr>
          <w:rFonts w:ascii="Times New Roman" w:hAnsi="Times New Roman"/>
          <w:b/>
          <w:bCs/>
          <w:sz w:val="24"/>
        </w:rPr>
        <w:t>EPA Response:</w:t>
      </w:r>
      <w:r>
        <w:rPr>
          <w:rFonts w:ascii="Times New Roman" w:hAnsi="Times New Roman"/>
          <w:sz w:val="24"/>
        </w:rPr>
        <w:t xml:space="preserve"> In the final rule, EPA identified and analyzed the impacts of the final rule on small governments in RIA Chapter 8. </w:t>
      </w:r>
      <w:r w:rsidR="007B71AA">
        <w:rPr>
          <w:rFonts w:ascii="Times New Roman" w:hAnsi="Times New Roman"/>
          <w:sz w:val="24"/>
        </w:rPr>
        <w:t xml:space="preserve">The analysis </w:t>
      </w:r>
      <w:r>
        <w:rPr>
          <w:rFonts w:ascii="Times New Roman" w:hAnsi="Times New Roman"/>
          <w:sz w:val="24"/>
        </w:rPr>
        <w:t>found that the vast majority of small government entities will not incur large costs. Only 3 percent of small governments were estimated to incur costs larger than $10,000.</w:t>
      </w:r>
    </w:p>
    <w:p w:rsidR="00313158" w:rsidP="00313158" w14:paraId="0E3F7FDA" w14:textId="5761F2F9">
      <w:pPr>
        <w:rPr>
          <w:rFonts w:ascii="Times New Roman" w:hAnsi="Times New Roman"/>
          <w:sz w:val="24"/>
        </w:rPr>
      </w:pPr>
      <w:r w:rsidRPr="00C10217">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.2-1</w:t>
      </w:r>
      <w:r w:rsidR="00B368A7">
        <w:rPr>
          <w:rFonts w:ascii="Times New Roman" w:hAnsi="Times New Roman"/>
          <w:b/>
          <w:bCs/>
          <w:sz w:val="24"/>
        </w:rPr>
        <w:t>2</w:t>
      </w:r>
      <w:r w:rsidRPr="00C10217">
        <w:rPr>
          <w:rFonts w:ascii="Times New Roman" w:hAnsi="Times New Roman"/>
          <w:b/>
          <w:bCs/>
          <w:sz w:val="24"/>
        </w:rPr>
        <w:t>:</w:t>
      </w:r>
      <w:r>
        <w:rPr>
          <w:rFonts w:ascii="Times New Roman" w:hAnsi="Times New Roman"/>
          <w:sz w:val="24"/>
        </w:rPr>
        <w:t xml:space="preserve"> </w:t>
      </w:r>
      <w:r w:rsidRPr="00122B3F">
        <w:rPr>
          <w:rFonts w:ascii="Times New Roman" w:hAnsi="Times New Roman"/>
          <w:sz w:val="24"/>
        </w:rPr>
        <w:t xml:space="preserve">One commenter </w:t>
      </w:r>
      <w:r>
        <w:rPr>
          <w:rFonts w:ascii="Times New Roman" w:hAnsi="Times New Roman"/>
          <w:sz w:val="24"/>
        </w:rPr>
        <w:t>stated that</w:t>
      </w:r>
      <w:r w:rsidRPr="00122B3F">
        <w:rPr>
          <w:rFonts w:ascii="Times New Roman" w:hAnsi="Times New Roman"/>
          <w:sz w:val="24"/>
        </w:rPr>
        <w:t xml:space="preserve"> their district implemented the previous RMP provisions, have not had any accidents since implementing them in their district, and have not received any comments regarding the cost of the provisions in their district (0211).</w:t>
      </w:r>
    </w:p>
    <w:p w:rsidR="00313158" w:rsidRPr="006F68E9" w:rsidP="00313158" w14:paraId="35187E13" w14:textId="3C071034">
      <w:pPr>
        <w:ind w:left="720"/>
        <w:rPr>
          <w:rFonts w:ascii="Times New Roman" w:hAnsi="Times New Roman"/>
          <w:sz w:val="24"/>
        </w:rPr>
      </w:pPr>
      <w:r w:rsidRPr="00294E76">
        <w:rPr>
          <w:rFonts w:ascii="Times New Roman" w:hAnsi="Times New Roman"/>
          <w:b/>
          <w:bCs/>
          <w:sz w:val="24"/>
        </w:rPr>
        <w:t>EPA Response:</w:t>
      </w:r>
      <w:r>
        <w:rPr>
          <w:rFonts w:ascii="Times New Roman" w:hAnsi="Times New Roman"/>
          <w:sz w:val="24"/>
        </w:rPr>
        <w:t xml:space="preserve"> EPA’s goal for the RMP regulations </w:t>
      </w:r>
      <w:r w:rsidR="007B71AA">
        <w:rPr>
          <w:rFonts w:ascii="Times New Roman" w:hAnsi="Times New Roman"/>
          <w:sz w:val="24"/>
        </w:rPr>
        <w:t>is</w:t>
      </w:r>
      <w:r>
        <w:rPr>
          <w:rFonts w:ascii="Times New Roman" w:hAnsi="Times New Roman"/>
          <w:sz w:val="24"/>
        </w:rPr>
        <w:t xml:space="preserve"> to prevent accidents from occurring at </w:t>
      </w:r>
      <w:r w:rsidR="00FC4B9E">
        <w:rPr>
          <w:rFonts w:ascii="Times New Roman" w:hAnsi="Times New Roman"/>
          <w:sz w:val="24"/>
        </w:rPr>
        <w:t>any</w:t>
      </w:r>
      <w:r>
        <w:rPr>
          <w:rFonts w:ascii="Times New Roman" w:hAnsi="Times New Roman"/>
          <w:sz w:val="24"/>
        </w:rPr>
        <w:t xml:space="preserve"> facilities processing regulated substances as well as establish better detection and response procedures. The final rule and RIA discuss the history and background of the regulations in more detail.</w:t>
      </w:r>
    </w:p>
    <w:p w:rsidR="00313158" w:rsidRPr="00A7388A" w:rsidP="00313158" w14:paraId="07A97B5E" w14:textId="77777777">
      <w:pPr>
        <w:rPr>
          <w:rFonts w:ascii="Times New Roman" w:hAnsi="Times New Roman"/>
          <w:i/>
          <w:sz w:val="24"/>
        </w:rPr>
      </w:pPr>
      <w:r w:rsidRPr="00A7388A">
        <w:rPr>
          <w:rFonts w:ascii="Times New Roman" w:hAnsi="Times New Roman"/>
          <w:i/>
          <w:sz w:val="24"/>
        </w:rPr>
        <w:t xml:space="preserve">Impacts on water utilities </w:t>
      </w:r>
    </w:p>
    <w:p w:rsidR="00313158" w:rsidP="00313158" w14:paraId="0BEE7E2C" w14:textId="41EA211B">
      <w:pPr>
        <w:rPr>
          <w:rFonts w:ascii="Times New Roman" w:hAnsi="Times New Roman"/>
          <w:color w:val="000000" w:themeColor="text1"/>
          <w:sz w:val="24"/>
        </w:rPr>
      </w:pPr>
      <w:r w:rsidRPr="00AB7FD5">
        <w:rPr>
          <w:rFonts w:ascii="Times New Roman" w:hAnsi="Times New Roman"/>
          <w:b/>
          <w:bCs/>
          <w:color w:val="000000" w:themeColor="text1"/>
          <w:sz w:val="24"/>
        </w:rPr>
        <w:t>Comment</w:t>
      </w:r>
      <w:r>
        <w:rPr>
          <w:rFonts w:ascii="Times New Roman" w:hAnsi="Times New Roman"/>
          <w:b/>
          <w:bCs/>
          <w:color w:val="000000" w:themeColor="text1"/>
          <w:sz w:val="24"/>
        </w:rPr>
        <w:t xml:space="preserve"> 1</w:t>
      </w:r>
      <w:r w:rsidR="00890991">
        <w:rPr>
          <w:rFonts w:ascii="Times New Roman" w:hAnsi="Times New Roman"/>
          <w:b/>
          <w:bCs/>
          <w:color w:val="000000" w:themeColor="text1"/>
          <w:sz w:val="24"/>
        </w:rPr>
        <w:t>6</w:t>
      </w:r>
      <w:r>
        <w:rPr>
          <w:rFonts w:ascii="Times New Roman" w:hAnsi="Times New Roman"/>
          <w:b/>
          <w:bCs/>
          <w:color w:val="000000" w:themeColor="text1"/>
          <w:sz w:val="24"/>
        </w:rPr>
        <w:t>.2-1</w:t>
      </w:r>
      <w:r w:rsidR="00B368A7">
        <w:rPr>
          <w:rFonts w:ascii="Times New Roman" w:hAnsi="Times New Roman"/>
          <w:b/>
          <w:bCs/>
          <w:color w:val="000000" w:themeColor="text1"/>
          <w:sz w:val="24"/>
        </w:rPr>
        <w:t>3</w:t>
      </w:r>
      <w:r w:rsidRPr="00AB7FD5">
        <w:rPr>
          <w:rFonts w:ascii="Times New Roman" w:hAnsi="Times New Roman"/>
          <w:b/>
          <w:bCs/>
          <w:color w:val="000000" w:themeColor="text1"/>
          <w:sz w:val="24"/>
        </w:rPr>
        <w:t>:</w:t>
      </w:r>
      <w:r>
        <w:rPr>
          <w:rFonts w:ascii="Times New Roman" w:hAnsi="Times New Roman"/>
          <w:color w:val="000000" w:themeColor="text1"/>
          <w:sz w:val="24"/>
        </w:rPr>
        <w:t xml:space="preserve"> </w:t>
      </w:r>
      <w:r w:rsidRPr="00D94B50">
        <w:rPr>
          <w:rFonts w:ascii="Times New Roman" w:hAnsi="Times New Roman"/>
          <w:color w:val="000000" w:themeColor="text1"/>
          <w:sz w:val="24"/>
        </w:rPr>
        <w:t>One commenter</w:t>
      </w:r>
      <w:r>
        <w:rPr>
          <w:rFonts w:ascii="Times New Roman" w:hAnsi="Times New Roman"/>
          <w:color w:val="000000" w:themeColor="text1"/>
          <w:sz w:val="24"/>
        </w:rPr>
        <w:t xml:space="preserve"> recommended that EPA reconsider the applicability of the proposed rule to water utilities (or justify the costs of the proposed rule to the water sector) for several reasons: </w:t>
      </w:r>
    </w:p>
    <w:p w:rsidR="00313158" w:rsidRPr="00AB7FD5" w:rsidP="00E57324" w14:paraId="576B1A3A" w14:textId="77777777">
      <w:pPr>
        <w:pStyle w:val="ListParagraph"/>
        <w:numPr>
          <w:ilvl w:val="0"/>
          <w:numId w:val="8"/>
        </w:numPr>
        <w:rPr>
          <w:rFonts w:ascii="Times New Roman" w:hAnsi="Times New Roman"/>
          <w:sz w:val="24"/>
        </w:rPr>
      </w:pPr>
      <w:r w:rsidRPr="00AB7FD5">
        <w:rPr>
          <w:rFonts w:ascii="Times New Roman" w:hAnsi="Times New Roman"/>
          <w:sz w:val="24"/>
        </w:rPr>
        <w:t xml:space="preserve">Safety: The commenter cited the water sector’s safety record of 0.02 incidents per facility from 2016 to 2020 and recommended that EPA consider instead issuing more </w:t>
      </w:r>
      <w:r w:rsidRPr="00AB7FD5">
        <w:rPr>
          <w:rFonts w:ascii="Times New Roman" w:hAnsi="Times New Roman"/>
          <w:sz w:val="24"/>
        </w:rPr>
        <w:t xml:space="preserve">targeted regulations aimed at particular facilities that pose a larger threat to public safety or have specific concerns that are not addressed by the existing regulations. </w:t>
      </w:r>
    </w:p>
    <w:p w:rsidR="00690FB2" w:rsidP="00E57324" w14:paraId="6E534518" w14:textId="77777777">
      <w:pPr>
        <w:pStyle w:val="ListParagraph"/>
        <w:numPr>
          <w:ilvl w:val="0"/>
          <w:numId w:val="8"/>
        </w:numPr>
        <w:rPr>
          <w:rFonts w:ascii="Times New Roman" w:hAnsi="Times New Roman"/>
          <w:sz w:val="24"/>
        </w:rPr>
      </w:pPr>
      <w:r>
        <w:rPr>
          <w:rFonts w:ascii="Times New Roman" w:hAnsi="Times New Roman"/>
          <w:sz w:val="24"/>
        </w:rPr>
        <w:t xml:space="preserve">Costs: </w:t>
      </w:r>
      <w:r w:rsidRPr="005E0236">
        <w:rPr>
          <w:rFonts w:ascii="Times New Roman" w:hAnsi="Times New Roman"/>
          <w:sz w:val="24"/>
        </w:rPr>
        <w:t>One commenter asserted that</w:t>
      </w:r>
      <w:r>
        <w:rPr>
          <w:rFonts w:ascii="Times New Roman" w:hAnsi="Times New Roman"/>
          <w:sz w:val="24"/>
        </w:rPr>
        <w:t xml:space="preserve"> </w:t>
      </w:r>
      <w:r w:rsidRPr="005E0236">
        <w:rPr>
          <w:rFonts w:ascii="Times New Roman" w:hAnsi="Times New Roman"/>
          <w:sz w:val="24"/>
        </w:rPr>
        <w:t xml:space="preserve">the burdens of </w:t>
      </w:r>
      <w:r>
        <w:rPr>
          <w:rFonts w:ascii="Times New Roman" w:hAnsi="Times New Roman"/>
          <w:sz w:val="24"/>
        </w:rPr>
        <w:t xml:space="preserve">the proposed rule on </w:t>
      </w:r>
      <w:r w:rsidRPr="005E0236">
        <w:rPr>
          <w:rFonts w:ascii="Times New Roman" w:hAnsi="Times New Roman"/>
          <w:sz w:val="24"/>
        </w:rPr>
        <w:t>water utilities cannot be justified because many water utilities are small entities or are owned and operated by municipal government entities operating on fixed budgets that are not easily adapted to costly Federal mandates. The commenter asserted that the proposed rule does not take into account the operational imperatives that these systems face when making decisions about resource tradeoffs (0239).</w:t>
      </w:r>
    </w:p>
    <w:p w:rsidR="00313158" w:rsidP="00690FB2" w14:paraId="42D9FE68" w14:textId="2F219B41">
      <w:pPr>
        <w:rPr>
          <w:rFonts w:ascii="Times New Roman" w:hAnsi="Times New Roman"/>
          <w:sz w:val="24"/>
        </w:rPr>
      </w:pPr>
      <w:r w:rsidRPr="0066260D">
        <w:rPr>
          <w:rFonts w:ascii="Times New Roman" w:hAnsi="Times New Roman"/>
          <w:sz w:val="24"/>
        </w:rPr>
        <w:t xml:space="preserve">Another commenter urged the Agency to ensure that the costs and burdens on local governments are justified and that any new regulatory requirements placed on local governments will achieve the identified public benefits and protect public safety within the low-risk water sector, which has a demonstrated record of safety. </w:t>
      </w:r>
      <w:r w:rsidR="0066260D">
        <w:rPr>
          <w:rFonts w:ascii="Times New Roman" w:hAnsi="Times New Roman"/>
          <w:sz w:val="24"/>
        </w:rPr>
        <w:t xml:space="preserve">The commenter </w:t>
      </w:r>
      <w:r w:rsidRPr="0066260D">
        <w:rPr>
          <w:rFonts w:ascii="Times New Roman" w:hAnsi="Times New Roman"/>
          <w:sz w:val="24"/>
        </w:rPr>
        <w:t xml:space="preserve">emphasized that drinking water and wastewater systems do not represent the same risk profile as many of the other entities regulated by the RMP program and that the sector has demonstrated a strong record of safety throughout the life of the program. The commenter stated that EPA recognized this point in the 2017 </w:t>
      </w:r>
      <w:r w:rsidR="004C7E26">
        <w:rPr>
          <w:rFonts w:ascii="Times New Roman" w:hAnsi="Times New Roman"/>
          <w:sz w:val="24"/>
        </w:rPr>
        <w:t>a</w:t>
      </w:r>
      <w:r w:rsidRPr="0066260D">
        <w:rPr>
          <w:rFonts w:ascii="Times New Roman" w:hAnsi="Times New Roman"/>
          <w:sz w:val="24"/>
        </w:rPr>
        <w:t xml:space="preserve">mendments </w:t>
      </w:r>
      <w:r w:rsidR="004C7E26">
        <w:rPr>
          <w:rFonts w:ascii="Times New Roman" w:hAnsi="Times New Roman"/>
          <w:sz w:val="24"/>
        </w:rPr>
        <w:t>r</w:t>
      </w:r>
      <w:r w:rsidRPr="0066260D">
        <w:rPr>
          <w:rFonts w:ascii="Times New Roman" w:hAnsi="Times New Roman"/>
          <w:sz w:val="24"/>
        </w:rPr>
        <w:t>ule, stating that the water sector is among the least accident-prone sectors covered under the risk management program. The commenter went on to state that therefore, the additional costs, resources, and staff needed to fully implement and comply with the requirements of the proposed rule could pose an undue burden on a sector – and ultimately a community and its residents – that has consistently proven to be low-risk (0243).</w:t>
      </w:r>
    </w:p>
    <w:p w:rsidR="00936BF8" w:rsidP="00936BF8" w14:paraId="5807C220" w14:textId="37913208">
      <w:pPr>
        <w:ind w:left="720"/>
        <w:rPr>
          <w:rFonts w:ascii="Times New Roman" w:hAnsi="Times New Roman"/>
          <w:sz w:val="24"/>
        </w:rPr>
      </w:pPr>
      <w:r w:rsidRPr="00294E76">
        <w:rPr>
          <w:rFonts w:ascii="Times New Roman" w:hAnsi="Times New Roman"/>
          <w:b/>
          <w:bCs/>
          <w:sz w:val="24"/>
        </w:rPr>
        <w:t>EPA Response:</w:t>
      </w:r>
      <w:r>
        <w:rPr>
          <w:rFonts w:ascii="Times New Roman" w:hAnsi="Times New Roman"/>
          <w:sz w:val="24"/>
        </w:rPr>
        <w:t xml:space="preserve"> None of the STAA requirements of this final rule w</w:t>
      </w:r>
      <w:r w:rsidR="00665196">
        <w:rPr>
          <w:rFonts w:ascii="Times New Roman" w:hAnsi="Times New Roman"/>
          <w:sz w:val="24"/>
        </w:rPr>
        <w:t>ill</w:t>
      </w:r>
      <w:r>
        <w:rPr>
          <w:rFonts w:ascii="Times New Roman" w:hAnsi="Times New Roman"/>
          <w:sz w:val="24"/>
        </w:rPr>
        <w:t xml:space="preserve"> apply to water facilities. A water facility must comply with third-party audits and root cause analysis provisions but only if the facility has an accident. The only costs the final rule is expected to impose on water facilities without an accident are rule familiarization and compliance with information availability, community notification, RMP justifications, emergency backup power for perimeter monitors, and employee participation plan provisions.</w:t>
      </w:r>
    </w:p>
    <w:p w:rsidR="00936BF8" w:rsidRPr="00874121" w:rsidP="00936BF8" w14:paraId="3CAF39EA" w14:textId="77777777">
      <w:pPr>
        <w:ind w:left="720"/>
        <w:rPr>
          <w:rFonts w:ascii="Times New Roman" w:hAnsi="Times New Roman"/>
          <w:sz w:val="24"/>
        </w:rPr>
      </w:pPr>
      <w:r w:rsidRPr="009B507F">
        <w:rPr>
          <w:rFonts w:ascii="Times New Roman" w:hAnsi="Times New Roman"/>
          <w:sz w:val="24"/>
        </w:rPr>
        <w:t>In the final rule RIA</w:t>
      </w:r>
      <w:r>
        <w:rPr>
          <w:rFonts w:ascii="Times New Roman" w:hAnsi="Times New Roman"/>
          <w:sz w:val="24"/>
        </w:rPr>
        <w:t>,</w:t>
      </w:r>
      <w:r w:rsidRPr="009B507F">
        <w:rPr>
          <w:rFonts w:ascii="Times New Roman" w:hAnsi="Times New Roman"/>
          <w:sz w:val="24"/>
        </w:rPr>
        <w:t xml:space="preserve"> EPA estimated the costs of the rule to small entities, including government entities. EPA estimated that the 97 percent of small government entities will face costs less than $10,000 and the majority, or 58 percent, will face costs less than $3,000. For more detail, see Chapter 8 of the final rule RIA.</w:t>
      </w:r>
    </w:p>
    <w:p w:rsidR="00313158" w:rsidP="00492829" w14:paraId="14067836" w14:textId="347403E9">
      <w:pPr>
        <w:rPr>
          <w:rFonts w:ascii="Times New Roman" w:hAnsi="Times New Roman"/>
          <w:sz w:val="24"/>
        </w:rPr>
      </w:pPr>
      <w:r w:rsidRPr="00A307EF">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.2-1</w:t>
      </w:r>
      <w:r w:rsidR="00B368A7">
        <w:rPr>
          <w:rFonts w:ascii="Times New Roman" w:hAnsi="Times New Roman"/>
          <w:b/>
          <w:bCs/>
          <w:sz w:val="24"/>
        </w:rPr>
        <w:t>4</w:t>
      </w:r>
      <w:r w:rsidRPr="00A307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requested that EPA provide information on the costs, resources</w:t>
      </w:r>
      <w:r>
        <w:rPr>
          <w:rFonts w:ascii="Times New Roman" w:hAnsi="Times New Roman"/>
          <w:sz w:val="24"/>
        </w:rPr>
        <w:t>,</w:t>
      </w:r>
      <w:r w:rsidRPr="006F68E9">
        <w:rPr>
          <w:rFonts w:ascii="Times New Roman" w:hAnsi="Times New Roman"/>
          <w:sz w:val="24"/>
        </w:rPr>
        <w:t xml:space="preserve"> and time that participation would place on local governments and the first responder community. The commenter recommended that EPA tailor regulatory requirements to local governments and water systems and provide additional flexibility for local governments and water systems, particularly for small systems. The commenter also recommended that EPA tailor the regulatory requirements to areas and entities that pose the largest threat to public safety. The commenter also suggested that the proposed requirements, such as for field exercise frequency and third-party compliance audits, should be considered in light of a more thorough consideration of how the changes will reduce an already low incident rate within the water sector (0243).</w:t>
      </w:r>
    </w:p>
    <w:p w:rsidR="00313158" w:rsidP="00313158" w14:paraId="573E5B4D" w14:textId="49BDD9C7">
      <w:pPr>
        <w:ind w:left="720"/>
        <w:rPr>
          <w:rFonts w:ascii="Times New Roman" w:hAnsi="Times New Roman"/>
          <w:sz w:val="24"/>
        </w:rPr>
      </w:pPr>
      <w:r w:rsidRPr="009E5D84">
        <w:rPr>
          <w:rFonts w:ascii="Times New Roman" w:hAnsi="Times New Roman"/>
          <w:b/>
          <w:bCs/>
          <w:sz w:val="24"/>
        </w:rPr>
        <w:t>EPA Response:</w:t>
      </w:r>
      <w:r>
        <w:rPr>
          <w:rFonts w:ascii="Times New Roman" w:hAnsi="Times New Roman"/>
          <w:sz w:val="24"/>
        </w:rPr>
        <w:t xml:space="preserve"> In the final rule RIA, Chapter 4, EPA discusses the assumptions used to estimate costs to regulated facilities, including those for local governments. Additionally, EPA has tailored some requirements of the RMP regulation such as STAA to </w:t>
      </w:r>
      <w:r w:rsidR="006B5484">
        <w:rPr>
          <w:rFonts w:ascii="Times New Roman" w:hAnsi="Times New Roman"/>
          <w:sz w:val="24"/>
        </w:rPr>
        <w:t xml:space="preserve">affect </w:t>
      </w:r>
      <w:r>
        <w:rPr>
          <w:rFonts w:ascii="Times New Roman" w:hAnsi="Times New Roman"/>
          <w:sz w:val="24"/>
        </w:rPr>
        <w:t xml:space="preserve">only certain sectors, as described in the final rule RIA. EPA estimated costs to small </w:t>
      </w:r>
      <w:r>
        <w:rPr>
          <w:rFonts w:ascii="Times New Roman" w:hAnsi="Times New Roman"/>
          <w:sz w:val="24"/>
        </w:rPr>
        <w:t>government entities in RIA Chapter 8, including those small governments that own or operate water system facilities, and concluded that the vast majority of small government entities would face small costs. Specifically, 97 percent of small governments will face costs less than $10,000.</w:t>
      </w:r>
    </w:p>
    <w:p w:rsidR="00313158" w:rsidP="00313158" w14:paraId="0E416ED8" w14:textId="21D182B8">
      <w:pPr>
        <w:rPr>
          <w:rFonts w:ascii="Times New Roman" w:hAnsi="Times New Roman"/>
          <w:sz w:val="24"/>
        </w:rPr>
      </w:pPr>
      <w:r w:rsidRPr="00F1432C">
        <w:rPr>
          <w:rFonts w:ascii="Times New Roman" w:hAnsi="Times New Roman"/>
          <w:b/>
          <w:bCs/>
          <w:sz w:val="24"/>
        </w:rPr>
        <w:t>Comment</w:t>
      </w:r>
      <w:r>
        <w:rPr>
          <w:rFonts w:ascii="Times New Roman" w:hAnsi="Times New Roman"/>
          <w:b/>
          <w:bCs/>
          <w:sz w:val="24"/>
        </w:rPr>
        <w:t xml:space="preserve"> 1</w:t>
      </w:r>
      <w:r w:rsidR="00890991">
        <w:rPr>
          <w:rFonts w:ascii="Times New Roman" w:hAnsi="Times New Roman"/>
          <w:b/>
          <w:bCs/>
          <w:sz w:val="24"/>
        </w:rPr>
        <w:t>6</w:t>
      </w:r>
      <w:r>
        <w:rPr>
          <w:rFonts w:ascii="Times New Roman" w:hAnsi="Times New Roman"/>
          <w:b/>
          <w:bCs/>
          <w:sz w:val="24"/>
        </w:rPr>
        <w:t>.2-1</w:t>
      </w:r>
      <w:r w:rsidR="00B368A7">
        <w:rPr>
          <w:rFonts w:ascii="Times New Roman" w:hAnsi="Times New Roman"/>
          <w:b/>
          <w:bCs/>
          <w:sz w:val="24"/>
        </w:rPr>
        <w:t>5</w:t>
      </w:r>
      <w:r w:rsidRPr="00F1432C">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w:t>
      </w:r>
      <w:r>
        <w:rPr>
          <w:rFonts w:ascii="Times New Roman" w:hAnsi="Times New Roman"/>
          <w:sz w:val="24"/>
        </w:rPr>
        <w:t xml:space="preserve"> </w:t>
      </w:r>
      <w:r w:rsidRPr="00BF69E3">
        <w:rPr>
          <w:rFonts w:ascii="Times New Roman" w:hAnsi="Times New Roman"/>
          <w:sz w:val="24"/>
        </w:rPr>
        <w:t>stated that EPA expects that government-owned facilities will incur different burden hours than similar private facilities but provides no explanation to support its claim that the ownership status would change the implementation burden imposed by the proposed rule (0239).</w:t>
      </w:r>
    </w:p>
    <w:p w:rsidR="00313158" w:rsidRPr="00BF69E3" w:rsidP="00313158" w14:paraId="7F460E16" w14:textId="77777777">
      <w:pPr>
        <w:ind w:left="720"/>
        <w:rPr>
          <w:rFonts w:ascii="Times New Roman" w:hAnsi="Times New Roman"/>
          <w:b/>
          <w:bCs/>
          <w:sz w:val="24"/>
        </w:rPr>
      </w:pPr>
      <w:r w:rsidRPr="002653A3">
        <w:rPr>
          <w:rFonts w:ascii="Times New Roman" w:hAnsi="Times New Roman"/>
          <w:b/>
          <w:bCs/>
          <w:sz w:val="24"/>
        </w:rPr>
        <w:t>EPA Response:</w:t>
      </w:r>
      <w:r>
        <w:rPr>
          <w:rFonts w:ascii="Times New Roman" w:hAnsi="Times New Roman"/>
          <w:sz w:val="24"/>
        </w:rPr>
        <w:t xml:space="preserve"> </w:t>
      </w:r>
      <w:r w:rsidRPr="005E4E08">
        <w:rPr>
          <w:rFonts w:ascii="Times New Roman" w:hAnsi="Times New Roman"/>
          <w:sz w:val="24"/>
        </w:rPr>
        <w:t>EPA expects some</w:t>
      </w:r>
      <w:r>
        <w:rPr>
          <w:rFonts w:ascii="Times New Roman" w:hAnsi="Times New Roman"/>
          <w:sz w:val="24"/>
        </w:rPr>
        <w:t xml:space="preserve"> implementation</w:t>
      </w:r>
      <w:r w:rsidRPr="005E4E08">
        <w:rPr>
          <w:rFonts w:ascii="Times New Roman" w:hAnsi="Times New Roman"/>
          <w:sz w:val="24"/>
        </w:rPr>
        <w:t xml:space="preserve"> costs </w:t>
      </w:r>
      <w:r>
        <w:rPr>
          <w:rFonts w:ascii="Times New Roman" w:hAnsi="Times New Roman"/>
          <w:sz w:val="24"/>
        </w:rPr>
        <w:t xml:space="preserve">facilities will face from the final rule will </w:t>
      </w:r>
      <w:r w:rsidRPr="005E4E08">
        <w:rPr>
          <w:rFonts w:ascii="Times New Roman" w:hAnsi="Times New Roman"/>
          <w:sz w:val="24"/>
        </w:rPr>
        <w:t xml:space="preserve">differ by </w:t>
      </w:r>
      <w:r>
        <w:rPr>
          <w:rFonts w:ascii="Times New Roman" w:hAnsi="Times New Roman"/>
          <w:sz w:val="24"/>
        </w:rPr>
        <w:t xml:space="preserve">the </w:t>
      </w:r>
      <w:r w:rsidRPr="005E4E08">
        <w:rPr>
          <w:rFonts w:ascii="Times New Roman" w:hAnsi="Times New Roman"/>
          <w:sz w:val="24"/>
        </w:rPr>
        <w:t xml:space="preserve">size </w:t>
      </w:r>
      <w:r>
        <w:rPr>
          <w:rFonts w:ascii="Times New Roman" w:hAnsi="Times New Roman"/>
          <w:sz w:val="24"/>
        </w:rPr>
        <w:t xml:space="preserve">and type </w:t>
      </w:r>
      <w:r w:rsidRPr="005E4E08">
        <w:rPr>
          <w:rFonts w:ascii="Times New Roman" w:hAnsi="Times New Roman"/>
          <w:sz w:val="24"/>
        </w:rPr>
        <w:t>of facilit</w:t>
      </w:r>
      <w:r>
        <w:rPr>
          <w:rFonts w:ascii="Times New Roman" w:hAnsi="Times New Roman"/>
          <w:sz w:val="24"/>
        </w:rPr>
        <w:t xml:space="preserve">y, and EPA </w:t>
      </w:r>
      <w:r w:rsidRPr="005E4E08">
        <w:rPr>
          <w:rFonts w:ascii="Times New Roman" w:hAnsi="Times New Roman"/>
          <w:sz w:val="24"/>
        </w:rPr>
        <w:t xml:space="preserve">accounts for </w:t>
      </w:r>
      <w:r>
        <w:rPr>
          <w:rFonts w:ascii="Times New Roman" w:hAnsi="Times New Roman"/>
          <w:sz w:val="24"/>
        </w:rPr>
        <w:t>those differences</w:t>
      </w:r>
      <w:r w:rsidRPr="005E4E08">
        <w:rPr>
          <w:rFonts w:ascii="Times New Roman" w:hAnsi="Times New Roman"/>
          <w:sz w:val="24"/>
        </w:rPr>
        <w:t xml:space="preserve"> in </w:t>
      </w:r>
      <w:r>
        <w:rPr>
          <w:rFonts w:ascii="Times New Roman" w:hAnsi="Times New Roman"/>
          <w:sz w:val="24"/>
        </w:rPr>
        <w:t xml:space="preserve">the final rule </w:t>
      </w:r>
      <w:r w:rsidRPr="005E4E08">
        <w:rPr>
          <w:rFonts w:ascii="Times New Roman" w:hAnsi="Times New Roman"/>
          <w:sz w:val="24"/>
        </w:rPr>
        <w:t>RIA cost estimates</w:t>
      </w:r>
      <w:r>
        <w:rPr>
          <w:rFonts w:ascii="Times New Roman" w:hAnsi="Times New Roman"/>
          <w:sz w:val="24"/>
        </w:rPr>
        <w:t xml:space="preserve">, as described in RIA Chapter 4. However, EPA </w:t>
      </w:r>
      <w:r w:rsidRPr="005E4E08">
        <w:rPr>
          <w:rFonts w:ascii="Times New Roman" w:hAnsi="Times New Roman"/>
          <w:sz w:val="24"/>
        </w:rPr>
        <w:t>does not expect per-unit costs to differ for water facilities based on ownership type</w:t>
      </w:r>
      <w:r>
        <w:rPr>
          <w:rFonts w:ascii="Times New Roman" w:hAnsi="Times New Roman"/>
          <w:sz w:val="24"/>
        </w:rPr>
        <w:t>, including private- or government-owned. Therefore, no difference in cost was assessed for ownership status.</w:t>
      </w:r>
    </w:p>
    <w:p w:rsidR="00313158" w:rsidP="00313158" w14:paraId="3D9755FB" w14:textId="22279BB9">
      <w:pPr>
        <w:rPr>
          <w:rFonts w:ascii="Times New Roman" w:hAnsi="Times New Roman"/>
          <w:sz w:val="24"/>
        </w:rPr>
      </w:pPr>
      <w:r w:rsidRPr="008B11A0">
        <w:rPr>
          <w:rFonts w:ascii="Times New Roman" w:hAnsi="Times New Roman"/>
          <w:b/>
          <w:bCs/>
          <w:sz w:val="24"/>
        </w:rPr>
        <w:t>Comment</w:t>
      </w:r>
      <w:r>
        <w:rPr>
          <w:rFonts w:ascii="Times New Roman" w:hAnsi="Times New Roman"/>
          <w:b/>
          <w:bCs/>
          <w:sz w:val="24"/>
        </w:rPr>
        <w:t xml:space="preserve"> 1</w:t>
      </w:r>
      <w:r w:rsidR="0035186E">
        <w:rPr>
          <w:rFonts w:ascii="Times New Roman" w:hAnsi="Times New Roman"/>
          <w:b/>
          <w:bCs/>
          <w:sz w:val="24"/>
        </w:rPr>
        <w:t>6</w:t>
      </w:r>
      <w:r>
        <w:rPr>
          <w:rFonts w:ascii="Times New Roman" w:hAnsi="Times New Roman"/>
          <w:b/>
          <w:bCs/>
          <w:sz w:val="24"/>
        </w:rPr>
        <w:t>.2-1</w:t>
      </w:r>
      <w:r w:rsidR="00B368A7">
        <w:rPr>
          <w:rFonts w:ascii="Times New Roman" w:hAnsi="Times New Roman"/>
          <w:b/>
          <w:bCs/>
          <w:sz w:val="24"/>
        </w:rPr>
        <w:t>6</w:t>
      </w:r>
      <w:r w:rsidRPr="008B11A0">
        <w:rPr>
          <w:rFonts w:ascii="Times New Roman" w:hAnsi="Times New Roman"/>
          <w:b/>
          <w:bCs/>
          <w:sz w:val="24"/>
        </w:rPr>
        <w:t xml:space="preserve">: </w:t>
      </w:r>
      <w:r>
        <w:rPr>
          <w:rFonts w:ascii="Times New Roman" w:hAnsi="Times New Roman"/>
          <w:sz w:val="24"/>
        </w:rPr>
        <w:t>One</w:t>
      </w:r>
      <w:r w:rsidRPr="008B11A0">
        <w:rPr>
          <w:rFonts w:ascii="Times New Roman" w:hAnsi="Times New Roman"/>
          <w:sz w:val="24"/>
        </w:rPr>
        <w:t xml:space="preserve"> commenter expressed frustration that the analysis combined government-owned water facilities with other facilities in the 92 NAICS code to review and comment on the proposed rule (0239).</w:t>
      </w:r>
    </w:p>
    <w:p w:rsidR="00101E3D" w:rsidRPr="00DE1525" w:rsidP="00DE1525" w14:paraId="5A91C84D" w14:textId="5C0D0411">
      <w:pPr>
        <w:ind w:left="720"/>
        <w:rPr>
          <w:rFonts w:ascii="Times New Roman" w:hAnsi="Times New Roman"/>
          <w:sz w:val="24"/>
        </w:rPr>
      </w:pPr>
      <w:r w:rsidRPr="00F84AB2">
        <w:rPr>
          <w:rFonts w:ascii="Times New Roman" w:hAnsi="Times New Roman"/>
          <w:b/>
          <w:bCs/>
          <w:sz w:val="24"/>
        </w:rPr>
        <w:t>EPA Response:</w:t>
      </w:r>
      <w:r>
        <w:rPr>
          <w:rFonts w:ascii="Times New Roman" w:hAnsi="Times New Roman"/>
          <w:sz w:val="24"/>
        </w:rPr>
        <w:t xml:space="preserve"> EPA has separated government-owned water facilities with NAICS 2213 from other government facilities with NAICS 92 in the RIA for the final rule. </w:t>
      </w:r>
      <w:r w:rsidR="00BC3E76">
        <w:rPr>
          <w:rFonts w:ascii="Times New Roman" w:hAnsi="Times New Roman"/>
          <w:sz w:val="24"/>
        </w:rPr>
        <w:t>S</w:t>
      </w:r>
      <w:r>
        <w:rPr>
          <w:rFonts w:ascii="Times New Roman" w:hAnsi="Times New Roman"/>
          <w:sz w:val="24"/>
        </w:rPr>
        <w:t>ee Exhibit 3-4 in the final rule RIA Chapter 3, section 3.1.2 Breakdowns Used in the Analysis.</w:t>
      </w:r>
    </w:p>
    <w:p w:rsidR="000917C6" w:rsidRPr="000917C6" w:rsidP="00DA5E0E" w14:paraId="545C28EE" w14:textId="484275D9">
      <w:pPr>
        <w:pStyle w:val="Heading2"/>
        <w:numPr>
          <w:ilvl w:val="0"/>
          <w:numId w:val="0"/>
        </w:numPr>
        <w:tabs>
          <w:tab w:val="clear" w:pos="8684"/>
        </w:tabs>
        <w:spacing w:before="120"/>
        <w:ind w:left="408" w:hanging="408"/>
        <w:rPr>
          <w:rFonts w:ascii="Times New Roman" w:hAnsi="Times New Roman" w:cs="Times New Roman"/>
          <w:b/>
          <w:color w:val="auto"/>
          <w:sz w:val="24"/>
          <w:szCs w:val="24"/>
        </w:rPr>
      </w:pPr>
      <w:bookmarkStart w:id="186" w:name="_Toc146880054"/>
      <w:bookmarkStart w:id="187" w:name="_Toc153373841"/>
      <w:r w:rsidRPr="000917C6">
        <w:rPr>
          <w:rFonts w:ascii="Times New Roman" w:hAnsi="Times New Roman" w:cs="Times New Roman"/>
          <w:b/>
          <w:bCs/>
          <w:color w:val="auto"/>
          <w:sz w:val="24"/>
          <w:szCs w:val="24"/>
        </w:rPr>
        <w:t>1</w:t>
      </w:r>
      <w:r w:rsidR="00411437">
        <w:rPr>
          <w:rFonts w:ascii="Times New Roman" w:hAnsi="Times New Roman" w:cs="Times New Roman"/>
          <w:b/>
          <w:bCs/>
          <w:color w:val="auto"/>
          <w:sz w:val="24"/>
          <w:szCs w:val="24"/>
        </w:rPr>
        <w:t>6</w:t>
      </w:r>
      <w:r w:rsidRPr="000917C6">
        <w:rPr>
          <w:rFonts w:ascii="Times New Roman" w:hAnsi="Times New Roman" w:cs="Times New Roman"/>
          <w:b/>
          <w:bCs/>
          <w:color w:val="auto"/>
          <w:sz w:val="24"/>
          <w:szCs w:val="24"/>
        </w:rPr>
        <w:t>.3</w:t>
      </w:r>
      <w:r w:rsidRPr="000917C6">
        <w:rPr>
          <w:rFonts w:ascii="Times New Roman" w:hAnsi="Times New Roman" w:cs="Times New Roman"/>
          <w:b/>
          <w:bCs/>
          <w:color w:val="auto"/>
          <w:sz w:val="24"/>
          <w:szCs w:val="24"/>
        </w:rPr>
        <w:tab/>
        <w:t>Estimated costs and benefits</w:t>
      </w:r>
      <w:bookmarkEnd w:id="186"/>
      <w:bookmarkEnd w:id="187"/>
    </w:p>
    <w:p w:rsidR="000917C6" w:rsidRPr="00A7388A" w:rsidP="000917C6" w14:paraId="6E9B0601" w14:textId="77777777">
      <w:pPr>
        <w:rPr>
          <w:rFonts w:ascii="Times New Roman" w:hAnsi="Times New Roman"/>
          <w:i/>
          <w:sz w:val="24"/>
        </w:rPr>
      </w:pPr>
      <w:r w:rsidRPr="00A7388A">
        <w:rPr>
          <w:rFonts w:ascii="Times New Roman" w:hAnsi="Times New Roman"/>
          <w:i/>
          <w:sz w:val="24"/>
        </w:rPr>
        <w:t xml:space="preserve">Estimated benefits </w:t>
      </w:r>
    </w:p>
    <w:p w:rsidR="00253D94" w:rsidP="00253D94" w14:paraId="0A457C80" w14:textId="2A08577E">
      <w:pPr>
        <w:rPr>
          <w:rFonts w:ascii="Times New Roman" w:hAnsi="Times New Roman"/>
          <w:sz w:val="24"/>
        </w:rPr>
      </w:pPr>
      <w:r w:rsidRPr="00D44108">
        <w:rPr>
          <w:rFonts w:ascii="Times New Roman" w:hAnsi="Times New Roman"/>
          <w:b/>
          <w:bCs/>
          <w:sz w:val="24"/>
        </w:rPr>
        <w:t>Comment</w:t>
      </w:r>
      <w:r>
        <w:rPr>
          <w:rFonts w:ascii="Times New Roman" w:hAnsi="Times New Roman"/>
          <w:b/>
          <w:bCs/>
          <w:sz w:val="24"/>
        </w:rPr>
        <w:t xml:space="preserve"> 1</w:t>
      </w:r>
      <w:r w:rsidR="00DE2A7F">
        <w:rPr>
          <w:rFonts w:ascii="Times New Roman" w:hAnsi="Times New Roman"/>
          <w:b/>
          <w:bCs/>
          <w:sz w:val="24"/>
        </w:rPr>
        <w:t>6</w:t>
      </w:r>
      <w:r>
        <w:rPr>
          <w:rFonts w:ascii="Times New Roman" w:hAnsi="Times New Roman"/>
          <w:b/>
          <w:bCs/>
          <w:sz w:val="24"/>
        </w:rPr>
        <w:t>.3-01</w:t>
      </w:r>
      <w:r w:rsidRPr="00D44108">
        <w:rPr>
          <w:rFonts w:ascii="Times New Roman" w:hAnsi="Times New Roman"/>
          <w:b/>
          <w:bCs/>
          <w:sz w:val="24"/>
        </w:rPr>
        <w:t>:</w:t>
      </w:r>
      <w:r>
        <w:rPr>
          <w:rFonts w:ascii="Times New Roman" w:hAnsi="Times New Roman"/>
          <w:sz w:val="24"/>
        </w:rPr>
        <w:t xml:space="preserve"> One </w:t>
      </w:r>
      <w:r w:rsidRPr="006F68E9">
        <w:rPr>
          <w:rFonts w:ascii="Times New Roman" w:hAnsi="Times New Roman"/>
          <w:sz w:val="24"/>
        </w:rPr>
        <w:t>commenter</w:t>
      </w:r>
      <w:r>
        <w:rPr>
          <w:rFonts w:ascii="Times New Roman" w:hAnsi="Times New Roman"/>
          <w:sz w:val="24"/>
        </w:rPr>
        <w:t xml:space="preserve"> </w:t>
      </w:r>
      <w:r w:rsidRPr="006F68E9">
        <w:rPr>
          <w:rFonts w:ascii="Times New Roman" w:hAnsi="Times New Roman"/>
          <w:sz w:val="24"/>
        </w:rPr>
        <w:t>encouraged EPA to expand the benefits analysis in the RIA and better account for the significance of unquantified benefits to recognize even more benefits would come from the proposal. The commenter elaborated that such benefits could include</w:t>
      </w:r>
      <w:r>
        <w:rPr>
          <w:rFonts w:ascii="Times New Roman" w:hAnsi="Times New Roman"/>
          <w:sz w:val="24"/>
        </w:rPr>
        <w:t xml:space="preserve"> </w:t>
      </w:r>
      <w:r w:rsidRPr="006F68E9">
        <w:rPr>
          <w:rFonts w:ascii="Times New Roman" w:hAnsi="Times New Roman"/>
          <w:sz w:val="24"/>
        </w:rPr>
        <w:t xml:space="preserve">saving lives, preventing injuries and toxic exposure, </w:t>
      </w:r>
      <w:r>
        <w:rPr>
          <w:rFonts w:ascii="Times New Roman" w:hAnsi="Times New Roman"/>
          <w:sz w:val="24"/>
        </w:rPr>
        <w:t>and preventing</w:t>
      </w:r>
      <w:r w:rsidRPr="006F68E9">
        <w:rPr>
          <w:rFonts w:ascii="Times New Roman" w:hAnsi="Times New Roman"/>
          <w:sz w:val="24"/>
        </w:rPr>
        <w:t xml:space="preserve"> ecological harm and short- and long-term harm to people from related health and welfare impacts of incidents (0460).</w:t>
      </w:r>
    </w:p>
    <w:p w:rsidR="00253D94" w:rsidP="00253D94" w14:paraId="26C5EAFB" w14:textId="7A4F8562">
      <w:pPr>
        <w:ind w:left="720"/>
        <w:rPr>
          <w:rFonts w:ascii="Times New Roman" w:hAnsi="Times New Roman"/>
          <w:sz w:val="24"/>
        </w:rPr>
      </w:pPr>
      <w:r w:rsidRPr="00E55E9D">
        <w:rPr>
          <w:rFonts w:ascii="Times New Roman" w:hAnsi="Times New Roman"/>
          <w:b/>
          <w:bCs/>
          <w:sz w:val="24"/>
        </w:rPr>
        <w:t>EPA Response:</w:t>
      </w:r>
      <w:r>
        <w:rPr>
          <w:rFonts w:ascii="Times New Roman" w:hAnsi="Times New Roman"/>
          <w:sz w:val="24"/>
        </w:rPr>
        <w:t xml:space="preserve"> In the final rule RIA, EPA discusses qualitative benefits in</w:t>
      </w:r>
      <w:r>
        <w:rPr>
          <w:rFonts w:ascii="Times New Roman" w:hAnsi="Times New Roman"/>
          <w:sz w:val="24"/>
        </w:rPr>
        <w:t xml:space="preserve"> </w:t>
      </w:r>
      <w:r>
        <w:rPr>
          <w:rFonts w:ascii="Times New Roman" w:hAnsi="Times New Roman"/>
          <w:sz w:val="24"/>
        </w:rPr>
        <w:t xml:space="preserve">Chapter 6, including </w:t>
      </w:r>
      <w:r w:rsidRPr="00E55E9D">
        <w:rPr>
          <w:rFonts w:ascii="Times New Roman" w:hAnsi="Times New Roman"/>
          <w:sz w:val="24"/>
        </w:rPr>
        <w:t xml:space="preserve">avoided major catastrophes, </w:t>
      </w:r>
      <w:r w:rsidRPr="00E55E9D">
        <w:rPr>
          <w:rFonts w:ascii="Times New Roman" w:hAnsi="Times New Roman"/>
          <w:sz w:val="24"/>
        </w:rPr>
        <w:t>avoided health risks from toxic chemical</w:t>
      </w:r>
      <w:r w:rsidR="00D26D52">
        <w:rPr>
          <w:rFonts w:ascii="Times New Roman" w:hAnsi="Times New Roman"/>
          <w:sz w:val="24"/>
        </w:rPr>
        <w:t xml:space="preserve"> exposure</w:t>
      </w:r>
      <w:r w:rsidRPr="00E55E9D">
        <w:rPr>
          <w:rFonts w:ascii="Times New Roman" w:hAnsi="Times New Roman"/>
          <w:sz w:val="24"/>
        </w:rPr>
        <w:t xml:space="preserve">, </w:t>
      </w:r>
      <w:r w:rsidRPr="00E55E9D">
        <w:rPr>
          <w:rFonts w:ascii="Times New Roman" w:hAnsi="Times New Roman"/>
          <w:sz w:val="24"/>
        </w:rPr>
        <w:t>avoided lost productivity, avoided responder costs, avoided transaction costs, protected property values, avoided environmental impacts, avoided unquantified evacuation and shelter-in-place costs, and potential benefits to communities with environmental justice concerns.</w:t>
      </w:r>
    </w:p>
    <w:p w:rsidR="00253D94" w:rsidP="00253D94" w14:paraId="11D466AB" w14:textId="5922B1AE">
      <w:pPr>
        <w:rPr>
          <w:rFonts w:ascii="Times New Roman" w:hAnsi="Times New Roman"/>
          <w:sz w:val="24"/>
        </w:rPr>
      </w:pPr>
      <w:r w:rsidRPr="004C769B">
        <w:rPr>
          <w:rFonts w:ascii="Times New Roman" w:hAnsi="Times New Roman"/>
          <w:b/>
          <w:bCs/>
          <w:sz w:val="24"/>
        </w:rPr>
        <w:t>Comment</w:t>
      </w:r>
      <w:r>
        <w:rPr>
          <w:rFonts w:ascii="Times New Roman" w:hAnsi="Times New Roman"/>
          <w:b/>
          <w:bCs/>
          <w:sz w:val="24"/>
        </w:rPr>
        <w:t xml:space="preserve"> 1</w:t>
      </w:r>
      <w:r w:rsidR="00D300C1">
        <w:rPr>
          <w:rFonts w:ascii="Times New Roman" w:hAnsi="Times New Roman"/>
          <w:b/>
          <w:bCs/>
          <w:sz w:val="24"/>
        </w:rPr>
        <w:t>6</w:t>
      </w:r>
      <w:r>
        <w:rPr>
          <w:rFonts w:ascii="Times New Roman" w:hAnsi="Times New Roman"/>
          <w:b/>
          <w:bCs/>
          <w:sz w:val="24"/>
        </w:rPr>
        <w:t>.3-02</w:t>
      </w:r>
      <w:r w:rsidRPr="004C769B">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while they did not express outright support for the</w:t>
      </w:r>
      <w:r>
        <w:rPr>
          <w:rFonts w:ascii="Times New Roman" w:hAnsi="Times New Roman"/>
          <w:sz w:val="24"/>
        </w:rPr>
        <w:t xml:space="preserve"> proposed</w:t>
      </w:r>
      <w:r w:rsidRPr="006F68E9">
        <w:rPr>
          <w:rFonts w:ascii="Times New Roman" w:hAnsi="Times New Roman"/>
          <w:sz w:val="24"/>
        </w:rPr>
        <w:t xml:space="preserve"> </w:t>
      </w:r>
      <w:r>
        <w:rPr>
          <w:rFonts w:ascii="Times New Roman" w:hAnsi="Times New Roman"/>
          <w:sz w:val="24"/>
        </w:rPr>
        <w:t>r</w:t>
      </w:r>
      <w:r w:rsidRPr="006F68E9">
        <w:rPr>
          <w:rFonts w:ascii="Times New Roman" w:hAnsi="Times New Roman"/>
          <w:sz w:val="24"/>
        </w:rPr>
        <w:t>ule, overall, the increased protections from chemical accidents and other safeguards for vulnerable communities and areas in need of environmental justice are positive improvements in EPA’s proposed revisions to the</w:t>
      </w:r>
      <w:r>
        <w:rPr>
          <w:rFonts w:ascii="Times New Roman" w:hAnsi="Times New Roman"/>
          <w:sz w:val="24"/>
        </w:rPr>
        <w:t xml:space="preserve"> RMP</w:t>
      </w:r>
      <w:r w:rsidRPr="006F68E9">
        <w:rPr>
          <w:rFonts w:ascii="Times New Roman" w:hAnsi="Times New Roman"/>
          <w:sz w:val="24"/>
        </w:rPr>
        <w:t xml:space="preserve">. The commenter stated that these regulatory changes should help reduce the frequency of chemical releases and their adverse effects in many communities in Wisconsin and that efforts to identify safer technologies and chemical alternatives will be helpful immediately and, in the future, as will more thorough incident investigations, and third-party incident response audits. The commenter stated that the </w:t>
      </w:r>
      <w:r w:rsidRPr="006F68E9">
        <w:rPr>
          <w:rFonts w:ascii="Times New Roman" w:hAnsi="Times New Roman"/>
          <w:sz w:val="24"/>
        </w:rPr>
        <w:t>prevention-focused approach that EPA is proposing better protects the public and reduces emissions of dangerous chemicals to the environment</w:t>
      </w:r>
      <w:r>
        <w:rPr>
          <w:rFonts w:ascii="Times New Roman" w:hAnsi="Times New Roman"/>
          <w:sz w:val="24"/>
        </w:rPr>
        <w:t xml:space="preserve"> </w:t>
      </w:r>
      <w:r w:rsidRPr="006F68E9">
        <w:rPr>
          <w:rFonts w:ascii="Times New Roman" w:hAnsi="Times New Roman"/>
          <w:sz w:val="24"/>
        </w:rPr>
        <w:t>(0199).</w:t>
      </w:r>
    </w:p>
    <w:p w:rsidR="00253D94" w:rsidRPr="00737969" w:rsidP="00253D94" w14:paraId="1C736C8A" w14:textId="09FFF401">
      <w:pPr>
        <w:ind w:left="720"/>
        <w:rPr>
          <w:rFonts w:ascii="Times New Roman" w:hAnsi="Times New Roman"/>
          <w:sz w:val="24"/>
        </w:rPr>
      </w:pPr>
      <w:r w:rsidRPr="00737969">
        <w:rPr>
          <w:rFonts w:ascii="Times New Roman" w:hAnsi="Times New Roman"/>
          <w:b/>
          <w:bCs/>
          <w:sz w:val="24"/>
        </w:rPr>
        <w:t xml:space="preserve">EPA Response: </w:t>
      </w:r>
      <w:r>
        <w:rPr>
          <w:rFonts w:ascii="Times New Roman" w:hAnsi="Times New Roman"/>
          <w:sz w:val="24"/>
        </w:rPr>
        <w:t xml:space="preserve">EPA agrees with the commenter that the final rule will increase protections from chemical accidents and protect vulnerable communities </w:t>
      </w:r>
      <w:r w:rsidR="00156332">
        <w:rPr>
          <w:rFonts w:ascii="Times New Roman" w:hAnsi="Times New Roman"/>
          <w:sz w:val="24"/>
        </w:rPr>
        <w:t xml:space="preserve">with </w:t>
      </w:r>
      <w:r>
        <w:rPr>
          <w:rFonts w:ascii="Times New Roman" w:hAnsi="Times New Roman"/>
          <w:sz w:val="24"/>
        </w:rPr>
        <w:t>environmental justice</w:t>
      </w:r>
      <w:r w:rsidR="00156332">
        <w:rPr>
          <w:rFonts w:ascii="Times New Roman" w:hAnsi="Times New Roman"/>
          <w:sz w:val="24"/>
        </w:rPr>
        <w:t xml:space="preserve"> concerns</w:t>
      </w:r>
      <w:r>
        <w:rPr>
          <w:rFonts w:ascii="Times New Roman" w:hAnsi="Times New Roman"/>
          <w:sz w:val="24"/>
        </w:rPr>
        <w:t>.</w:t>
      </w:r>
    </w:p>
    <w:p w:rsidR="00253D94" w:rsidP="00253D94" w14:paraId="1317A960" w14:textId="0859D881">
      <w:pPr>
        <w:rPr>
          <w:rFonts w:ascii="Times New Roman" w:hAnsi="Times New Roman"/>
          <w:sz w:val="24"/>
        </w:rPr>
      </w:pPr>
      <w:r w:rsidRPr="002278E2">
        <w:rPr>
          <w:rFonts w:ascii="Times New Roman" w:hAnsi="Times New Roman"/>
          <w:b/>
          <w:bCs/>
          <w:sz w:val="24"/>
        </w:rPr>
        <w:t>Comment</w:t>
      </w:r>
      <w:r>
        <w:rPr>
          <w:rFonts w:ascii="Times New Roman" w:hAnsi="Times New Roman"/>
          <w:b/>
          <w:bCs/>
          <w:sz w:val="24"/>
        </w:rPr>
        <w:t xml:space="preserve"> 1</w:t>
      </w:r>
      <w:r w:rsidR="00D300C1">
        <w:rPr>
          <w:rFonts w:ascii="Times New Roman" w:hAnsi="Times New Roman"/>
          <w:b/>
          <w:bCs/>
          <w:sz w:val="24"/>
        </w:rPr>
        <w:t>6</w:t>
      </w:r>
      <w:r>
        <w:rPr>
          <w:rFonts w:ascii="Times New Roman" w:hAnsi="Times New Roman"/>
          <w:b/>
          <w:bCs/>
          <w:sz w:val="24"/>
        </w:rPr>
        <w:t>.3-03</w:t>
      </w:r>
      <w:r w:rsidRPr="002278E2">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given the extremely low baseline for additional improvement, it is not unrealistic to believe that the marginal benefits for many sectors subject to the regulatory revisions are not measurable (0197).</w:t>
      </w:r>
    </w:p>
    <w:p w:rsidR="00253D94" w:rsidP="00253D94" w14:paraId="0DC9870B" w14:textId="57BD0274">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5C318E">
        <w:rPr>
          <w:rFonts w:ascii="Times New Roman" w:hAnsi="Times New Roman"/>
          <w:sz w:val="24"/>
        </w:rPr>
        <w:t xml:space="preserve">EPA conducted a breakeven analysis instead of a standard cost benefit analysis because while EPA was able to estimate the costs of the final rule, it cannot </w:t>
      </w:r>
      <w:r w:rsidR="00D46169">
        <w:rPr>
          <w:rFonts w:ascii="Times New Roman" w:hAnsi="Times New Roman"/>
          <w:sz w:val="24"/>
        </w:rPr>
        <w:t xml:space="preserve">precisely monetize </w:t>
      </w:r>
      <w:r w:rsidRPr="005C318E">
        <w:rPr>
          <w:rFonts w:ascii="Times New Roman" w:hAnsi="Times New Roman"/>
          <w:sz w:val="24"/>
        </w:rPr>
        <w:t xml:space="preserve">the benefits. The incremental impact on the risk of an RMP facility release resulting from each of the revised RMP rule provisions is uncertain, as is the value of a wide variety of benefit categories as described </w:t>
      </w:r>
      <w:r>
        <w:rPr>
          <w:rFonts w:ascii="Times New Roman" w:hAnsi="Times New Roman"/>
          <w:sz w:val="24"/>
        </w:rPr>
        <w:t>in the final rule RIA Chapter 6</w:t>
      </w:r>
      <w:r w:rsidRPr="005C318E">
        <w:rPr>
          <w:rFonts w:ascii="Times New Roman" w:hAnsi="Times New Roman"/>
          <w:sz w:val="24"/>
        </w:rPr>
        <w:t xml:space="preserve"> (lost productivity, responder costs, property value impacts, and so on). </w:t>
      </w:r>
      <w:r w:rsidRPr="008E2AE4">
        <w:rPr>
          <w:rFonts w:ascii="Times New Roman" w:hAnsi="Times New Roman"/>
          <w:sz w:val="24"/>
        </w:rPr>
        <w:t>While EPA does not have the data to estimate risk reduction from the final rule’s requirements, the breakeven analysis illustrates the degree of risk reduction overall that the final rule must achieve for quantified benefits to exceed quantified costs.</w:t>
      </w:r>
      <w:r>
        <w:rPr>
          <w:rFonts w:ascii="Times New Roman" w:hAnsi="Times New Roman"/>
          <w:sz w:val="24"/>
        </w:rPr>
        <w:t xml:space="preserve"> </w:t>
      </w:r>
      <w:r w:rsidRPr="005C318E">
        <w:rPr>
          <w:rFonts w:ascii="Times New Roman" w:hAnsi="Times New Roman"/>
          <w:sz w:val="24"/>
        </w:rPr>
        <w:t xml:space="preserve">The final rule </w:t>
      </w:r>
      <w:r>
        <w:rPr>
          <w:rFonts w:ascii="Times New Roman" w:hAnsi="Times New Roman"/>
          <w:sz w:val="24"/>
        </w:rPr>
        <w:t>RIA Chapter 6 section 6.3 Avoided Accident Impacts: Breakeven Analysis discusses the breakeven analysis results</w:t>
      </w:r>
      <w:r w:rsidRPr="005C318E">
        <w:rPr>
          <w:rFonts w:ascii="Times New Roman" w:hAnsi="Times New Roman"/>
          <w:sz w:val="24"/>
        </w:rPr>
        <w:t>. When considering the rule’s likely benefits of avoiding some portion of the monetized accident impacts, as well as the additional nonmonetized benefits, EPA believes the costs of the rule are reasonable in comparison to its expected benefits</w:t>
      </w:r>
      <w:r>
        <w:rPr>
          <w:rFonts w:ascii="Times New Roman" w:hAnsi="Times New Roman"/>
          <w:sz w:val="24"/>
        </w:rPr>
        <w:t xml:space="preserve">. </w:t>
      </w:r>
    </w:p>
    <w:p w:rsidR="00253D94" w:rsidP="00253D94" w14:paraId="074E6932" w14:textId="4DC44B76">
      <w:pPr>
        <w:rPr>
          <w:rFonts w:ascii="Times New Roman" w:hAnsi="Times New Roman"/>
          <w:sz w:val="24"/>
        </w:rPr>
      </w:pPr>
      <w:r w:rsidRPr="00CD65F5">
        <w:rPr>
          <w:rFonts w:ascii="Times New Roman" w:hAnsi="Times New Roman"/>
          <w:b/>
          <w:bCs/>
          <w:sz w:val="24"/>
        </w:rPr>
        <w:t>Comment</w:t>
      </w:r>
      <w:r>
        <w:rPr>
          <w:rFonts w:ascii="Times New Roman" w:hAnsi="Times New Roman"/>
          <w:b/>
          <w:bCs/>
          <w:sz w:val="24"/>
        </w:rPr>
        <w:t xml:space="preserve"> 1</w:t>
      </w:r>
      <w:r w:rsidR="00576F28">
        <w:rPr>
          <w:rFonts w:ascii="Times New Roman" w:hAnsi="Times New Roman"/>
          <w:b/>
          <w:bCs/>
          <w:sz w:val="24"/>
        </w:rPr>
        <w:t>6</w:t>
      </w:r>
      <w:r>
        <w:rPr>
          <w:rFonts w:ascii="Times New Roman" w:hAnsi="Times New Roman"/>
          <w:b/>
          <w:bCs/>
          <w:sz w:val="24"/>
        </w:rPr>
        <w:t>.3-04</w:t>
      </w:r>
      <w:r w:rsidRPr="00CD65F5">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recommended that EPA may wish to consider other alternative contextualization such as avoided injuries or fatalities for other provisions that are intended to lessen the severity of damages or reduce off-site injuries and fatalities rather than prevent accidents. The commenter also recommended that EP</w:t>
      </w:r>
      <w:r>
        <w:rPr>
          <w:rFonts w:ascii="Times New Roman" w:hAnsi="Times New Roman"/>
          <w:sz w:val="24"/>
        </w:rPr>
        <w:t>A</w:t>
      </w:r>
      <w:r w:rsidRPr="006F68E9">
        <w:rPr>
          <w:rFonts w:ascii="Times New Roman" w:hAnsi="Times New Roman"/>
          <w:sz w:val="24"/>
        </w:rPr>
        <w:t xml:space="preserve"> review the State programs that have already demonstrated the effectiveness of considering inherently safer technology in leading to adoption (0266).</w:t>
      </w:r>
    </w:p>
    <w:p w:rsidR="00B639E1" w:rsidP="00B639E1" w14:paraId="32FF6C66" w14:textId="1DD8A9C9">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5C318E">
        <w:rPr>
          <w:rFonts w:ascii="Times New Roman" w:hAnsi="Times New Roman"/>
          <w:sz w:val="24"/>
        </w:rPr>
        <w:t xml:space="preserve">EPA </w:t>
      </w:r>
      <w:r>
        <w:rPr>
          <w:rFonts w:ascii="Times New Roman" w:hAnsi="Times New Roman"/>
          <w:sz w:val="24"/>
        </w:rPr>
        <w:t xml:space="preserve">expects </w:t>
      </w:r>
      <w:r w:rsidR="003C38E7">
        <w:rPr>
          <w:rFonts w:ascii="Times New Roman" w:hAnsi="Times New Roman"/>
          <w:sz w:val="24"/>
        </w:rPr>
        <w:t xml:space="preserve">the </w:t>
      </w:r>
      <w:r>
        <w:rPr>
          <w:rFonts w:ascii="Times New Roman" w:hAnsi="Times New Roman"/>
          <w:sz w:val="24"/>
        </w:rPr>
        <w:t xml:space="preserve">STAA, root cause analysis, third-party audits, employee participation plan, RMP justifications, emergency response, and information availability provisions all will contribute to reducing accident severity, including reducing both on-stie and off-site property damage and the number of injuries and fatalities. Provisions for emergency response and hazard evaluation amplifications are particularly focused on lessening accident severity. EPA discussed their role in mitigating the consequences of accidents in Chapter 6, section 6.1.2 Mitigation. EPA reports the results of the breakeven analysis both in terms of the reduction in annual damages (including property damage and injuries and fatalities) and in terms of the reduction in number of accidents required for the final rule to break even. </w:t>
      </w:r>
    </w:p>
    <w:p w:rsidR="00B639E1" w:rsidP="00B639E1" w14:paraId="0BEE58D4" w14:textId="4E7A9EB4">
      <w:pPr>
        <w:ind w:left="720"/>
        <w:rPr>
          <w:rFonts w:ascii="Times New Roman" w:hAnsi="Times New Roman"/>
          <w:sz w:val="24"/>
        </w:rPr>
      </w:pPr>
      <w:r>
        <w:rPr>
          <w:rFonts w:ascii="Times New Roman" w:hAnsi="Times New Roman"/>
          <w:sz w:val="24"/>
        </w:rPr>
        <w:t>EPA reviewed state programs to inform its development of the STAA provisions in the final rule. However,</w:t>
      </w:r>
      <w:r w:rsidRPr="00EA12AA">
        <w:rPr>
          <w:rFonts w:ascii="Times New Roman" w:hAnsi="Times New Roman"/>
          <w:sz w:val="24"/>
        </w:rPr>
        <w:t xml:space="preserve"> EPA has not identified a set of comparison facilities to serve as a counterfactual to </w:t>
      </w:r>
      <w:r>
        <w:rPr>
          <w:rFonts w:ascii="Times New Roman" w:hAnsi="Times New Roman"/>
          <w:sz w:val="24"/>
        </w:rPr>
        <w:t>quantify</w:t>
      </w:r>
      <w:r w:rsidRPr="00EA12AA">
        <w:rPr>
          <w:rFonts w:ascii="Times New Roman" w:hAnsi="Times New Roman"/>
          <w:sz w:val="24"/>
        </w:rPr>
        <w:t xml:space="preserve"> the effect of a state or local government’s STAA-like requirements on accident damages or the number of accidents. Furthermore, state and local STAA-like programs differ from the final rule’s STAA provisions in meaningful ways. While New Jersey and California statewide requirements resemble the final rule’s STAA initial evaluation and practicability study requirements, Massachusetts’ </w:t>
      </w:r>
      <w:r w:rsidRPr="00EA12AA">
        <w:rPr>
          <w:rFonts w:ascii="Times New Roman" w:hAnsi="Times New Roman"/>
          <w:sz w:val="24"/>
        </w:rPr>
        <w:t xml:space="preserve">requirements are less stringent and no state mandates facilities implement practicable risk reduction measures. Contra Costa County’s requirements, mandating implementation of inherently safer technology, are more stringent than the final rule’s STAA initial evaluation, practicability study, and implementation provision requirements combined. The final rule’s STAA provisions only mandate </w:t>
      </w:r>
      <w:r w:rsidR="003C38E7">
        <w:rPr>
          <w:rFonts w:ascii="Times New Roman" w:hAnsi="Times New Roman"/>
          <w:sz w:val="24"/>
        </w:rPr>
        <w:t xml:space="preserve">that </w:t>
      </w:r>
      <w:r w:rsidRPr="00EA12AA">
        <w:rPr>
          <w:rFonts w:ascii="Times New Roman" w:hAnsi="Times New Roman"/>
          <w:sz w:val="24"/>
        </w:rPr>
        <w:t>facilities implement a set of practicable measures achieving at least as much risk reduction as a passive measure. Furthermore, the final rule is implementing its STAA provisions concurrently with other provisions not implemented by these state and local jurisdictions, which may interact with the safety impacts of the STAA provisions. Moreover, facilities in these jurisdictions may not be representative of the potential safety benefits at facilities nationwide due not only to differing policy environments but also different technical, environmental, and economic conditions.</w:t>
      </w:r>
    </w:p>
    <w:p w:rsidR="00253D94" w:rsidRPr="006F68E9" w:rsidP="00253D94" w14:paraId="6929D3FD" w14:textId="2373845B">
      <w:pPr>
        <w:rPr>
          <w:rFonts w:ascii="Times New Roman" w:hAnsi="Times New Roman"/>
          <w:sz w:val="24"/>
        </w:rPr>
      </w:pPr>
      <w:r w:rsidRPr="00445AE2">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.3-05</w:t>
      </w:r>
      <w:r w:rsidRPr="00445AE2">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requested more rigorous analyses of marginal and overall net benefits and </w:t>
      </w:r>
      <w:r>
        <w:rPr>
          <w:rFonts w:ascii="Times New Roman" w:hAnsi="Times New Roman"/>
          <w:sz w:val="24"/>
        </w:rPr>
        <w:t>expressed skepticism</w:t>
      </w:r>
      <w:r w:rsidRPr="006F68E9">
        <w:rPr>
          <w:rFonts w:ascii="Times New Roman" w:hAnsi="Times New Roman"/>
          <w:sz w:val="24"/>
        </w:rPr>
        <w:t xml:space="preserve"> of the additional benefits that will be achieved by the proposed RMP regulatory changes. The commenter stated that, although EPA described the potential benefits in its RIA, much deeper analyses based on historical data are needed to evaluate expected marginal and net benefits, with an emphasis on working from the extremely low baseline of incidents to improve upon (0197).</w:t>
      </w:r>
    </w:p>
    <w:p w:rsidR="00253D94" w:rsidRPr="00CA4B4D" w:rsidP="00253D94" w14:paraId="04B676BE" w14:textId="0913EDBE">
      <w:pPr>
        <w:tabs>
          <w:tab w:val="left" w:pos="810"/>
        </w:tabs>
        <w:ind w:left="720"/>
        <w:rPr>
          <w:rFonts w:ascii="Times New Roman" w:hAnsi="Times New Roman"/>
          <w:sz w:val="24"/>
        </w:rPr>
      </w:pPr>
      <w:r w:rsidRPr="00CA4B4D">
        <w:rPr>
          <w:rFonts w:ascii="Times New Roman" w:hAnsi="Times New Roman"/>
          <w:b/>
          <w:sz w:val="24"/>
        </w:rPr>
        <w:t>EPA Response:</w:t>
      </w:r>
      <w:r w:rsidRPr="00CA4B4D">
        <w:rPr>
          <w:rFonts w:ascii="Times New Roman" w:hAnsi="Times New Roman"/>
          <w:sz w:val="24"/>
        </w:rPr>
        <w:t xml:space="preserve"> </w:t>
      </w:r>
      <w:r w:rsidRPr="00CA4B4D">
        <w:rPr>
          <w:rFonts w:ascii="Times New Roman" w:hAnsi="Times New Roman"/>
          <w:sz w:val="24"/>
        </w:rPr>
        <w:t xml:space="preserve">EPA relies on non-monetizable benefits in the SCCAP final rule RIA. Because EPA has no data or empirical estimates of the impact of each provision on the probability and magnitude of an accident, EPA cannot </w:t>
      </w:r>
      <w:r w:rsidR="00D46169">
        <w:rPr>
          <w:rFonts w:ascii="Times New Roman" w:hAnsi="Times New Roman"/>
          <w:sz w:val="24"/>
        </w:rPr>
        <w:t>precisely monetize</w:t>
      </w:r>
      <w:r w:rsidRPr="00CA4B4D">
        <w:rPr>
          <w:rFonts w:ascii="Times New Roman" w:hAnsi="Times New Roman"/>
          <w:sz w:val="24"/>
        </w:rPr>
        <w:t xml:space="preserve"> benefits of the provisions in the SCCAP final rule RIA. EPA used historical RMP accident data from 2016 to 2020 to quantify some accident damages and compared these estimates to quantifiable accident damages from 2004 to 2016. However, EPA could not quantify other damages, nor could it quantify how much of these damages the final rule’s provisions will mitigate.</w:t>
      </w:r>
      <w:r w:rsidR="00471313">
        <w:rPr>
          <w:rFonts w:ascii="Times New Roman" w:hAnsi="Times New Roman"/>
          <w:sz w:val="24"/>
        </w:rPr>
        <w:t xml:space="preserve"> </w:t>
      </w:r>
      <w:bookmarkStart w:id="188" w:name="_Hlk157756348"/>
      <w:r w:rsidR="00471313">
        <w:rPr>
          <w:rFonts w:ascii="Times New Roman" w:hAnsi="Times New Roman"/>
          <w:sz w:val="24"/>
        </w:rPr>
        <w:t>E</w:t>
      </w:r>
      <w:r w:rsidRPr="00471313" w:rsidR="00471313">
        <w:rPr>
          <w:rFonts w:ascii="Times New Roman" w:hAnsi="Times New Roman"/>
          <w:sz w:val="24"/>
        </w:rPr>
        <w:t xml:space="preserve">PA selected the provisions included in the final based on </w:t>
      </w:r>
      <w:r w:rsidR="00471313">
        <w:rPr>
          <w:rFonts w:ascii="Times New Roman" w:hAnsi="Times New Roman"/>
          <w:sz w:val="24"/>
        </w:rPr>
        <w:t xml:space="preserve">comments, </w:t>
      </w:r>
      <w:r w:rsidRPr="00471313" w:rsidR="00471313">
        <w:rPr>
          <w:rFonts w:ascii="Times New Roman" w:hAnsi="Times New Roman"/>
          <w:sz w:val="24"/>
        </w:rPr>
        <w:t>experts in industry, academia, and federal entities, like the Chemical Safety and Hazard Investigation Board. Although EPA cannot estimate the risk reduction with precision, that does not countermand the agency’s reasoned conclusion that these provisions—both each individually, and together as a whole—would incrementally mitigate the likelihood of an accident.</w:t>
      </w:r>
      <w:bookmarkEnd w:id="188"/>
    </w:p>
    <w:p w:rsidR="00253D94" w:rsidRPr="00CA4B4D" w:rsidP="00253D94" w14:paraId="66F604BA" w14:textId="5C943E14">
      <w:pPr>
        <w:tabs>
          <w:tab w:val="left" w:pos="810"/>
        </w:tabs>
        <w:ind w:left="720"/>
        <w:rPr>
          <w:rFonts w:ascii="Times New Roman" w:hAnsi="Times New Roman"/>
          <w:sz w:val="24"/>
        </w:rPr>
      </w:pPr>
      <w:r w:rsidRPr="00CA4B4D">
        <w:rPr>
          <w:rFonts w:ascii="Times New Roman" w:hAnsi="Times New Roman"/>
          <w:sz w:val="24"/>
        </w:rPr>
        <w:t xml:space="preserve">EPA conducted a breakeven analysis instead of a standard cost benefit analysis because while EPA was able to estimate the costs of the final rule, it cannot </w:t>
      </w:r>
      <w:r w:rsidR="00D46169">
        <w:rPr>
          <w:rFonts w:ascii="Times New Roman" w:hAnsi="Times New Roman"/>
          <w:sz w:val="24"/>
        </w:rPr>
        <w:t xml:space="preserve">precisely monetize </w:t>
      </w:r>
      <w:r w:rsidRPr="00CA4B4D">
        <w:rPr>
          <w:rFonts w:ascii="Times New Roman" w:hAnsi="Times New Roman"/>
          <w:sz w:val="24"/>
        </w:rPr>
        <w:t>the benefits. The incremental impact on the risk of an RMP facility release resulting from each of the revised RMP rule provisions is uncertain, as is the value of a wide variety of benefit categories as described in the final rule RIA Chapter 6 (lost productivity, responder costs, property value impacts, and so on). While EPA does not have the data to estimate risk reduction from the final rule’s requirements, the breakeven analysis illustrates the degree of risk reduction overall that the final rule must achieve for quantified benefits to exceed quantified costs. The final rule RIA Chapter 6 section 6.3 Avoided Accident Impacts: Breakeven Analysis discussed the breakeven analysis results. When considering the rule’s likely benefits of avoiding some portion of the monetized accident impacts, as well as the additional nonmonetized benefits, EPA believes the costs of the rule are reasonable in comparison to its expected benefits.</w:t>
      </w:r>
    </w:p>
    <w:p w:rsidR="00253D94" w:rsidRPr="006F68E9" w:rsidP="00253D94" w14:paraId="07204C22" w14:textId="06C91E21">
      <w:pPr>
        <w:rPr>
          <w:rFonts w:ascii="Times New Roman" w:hAnsi="Times New Roman"/>
          <w:sz w:val="24"/>
        </w:rPr>
      </w:pPr>
      <w:r w:rsidRPr="00445AE2">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.3-06</w:t>
      </w:r>
      <w:r w:rsidRPr="00445AE2">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has decided to implement changes to the rule that can have devastating impacts that will create more regulatory burden and confusion while increasing costs for the chemical industry and other covered businesses, likely without providing sufficient evidence of benefit (0214). Another commenter asked, given a lack of quantification of benefits, how can the Agency maximize net benefits (0215). </w:t>
      </w:r>
    </w:p>
    <w:p w:rsidR="00253D94" w:rsidRPr="006F68E9" w:rsidP="00253D94" w14:paraId="7D1571CA" w14:textId="331E6CC5">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EPA disagrees with the commenter that the evidence of a benefit from the SCCAP final rule is likely insufficient. </w:t>
      </w:r>
      <w:r w:rsidRPr="005C318E">
        <w:rPr>
          <w:rFonts w:ascii="Times New Roman" w:hAnsi="Times New Roman"/>
          <w:sz w:val="24"/>
        </w:rPr>
        <w:t xml:space="preserve">EPA conducted a breakeven analysis instead of a standard cost benefit analysis because while EPA was able to estimate the costs of the final rule, it cannot </w:t>
      </w:r>
      <w:r w:rsidR="00D46169">
        <w:rPr>
          <w:rFonts w:ascii="Times New Roman" w:hAnsi="Times New Roman"/>
          <w:sz w:val="24"/>
        </w:rPr>
        <w:t xml:space="preserve">precisely monetize </w:t>
      </w:r>
      <w:r w:rsidRPr="005C318E">
        <w:rPr>
          <w:rFonts w:ascii="Times New Roman" w:hAnsi="Times New Roman"/>
          <w:sz w:val="24"/>
        </w:rPr>
        <w:t xml:space="preserve">the benefits. The incremental impact on the risk of an RMP facility release resulting from each of the revised RMP rule provisions is uncertain, as is the value of a wide variety of benefit categories as described </w:t>
      </w:r>
      <w:r>
        <w:rPr>
          <w:rFonts w:ascii="Times New Roman" w:hAnsi="Times New Roman"/>
          <w:sz w:val="24"/>
        </w:rPr>
        <w:t>in the final rule RIA Chapter 6</w:t>
      </w:r>
      <w:r w:rsidRPr="005C318E">
        <w:rPr>
          <w:rFonts w:ascii="Times New Roman" w:hAnsi="Times New Roman"/>
          <w:sz w:val="24"/>
        </w:rPr>
        <w:t xml:space="preserve"> (lost productivity, responder costs, property value impacts, and so on). </w:t>
      </w:r>
      <w:r w:rsidRPr="008E2AE4">
        <w:rPr>
          <w:rFonts w:ascii="Times New Roman" w:hAnsi="Times New Roman"/>
          <w:sz w:val="24"/>
        </w:rPr>
        <w:t>While EPA does not have the data to estimate risk reduction from the final rule’s requirements,</w:t>
      </w:r>
      <w:r w:rsidR="00D46169">
        <w:rPr>
          <w:rFonts w:ascii="Times New Roman" w:hAnsi="Times New Roman"/>
          <w:sz w:val="24"/>
        </w:rPr>
        <w:t xml:space="preserve"> </w:t>
      </w:r>
      <w:r w:rsidRPr="00471313" w:rsidR="00471313">
        <w:rPr>
          <w:rFonts w:ascii="Times New Roman" w:hAnsi="Times New Roman"/>
          <w:sz w:val="24"/>
        </w:rPr>
        <w:t>EPA selected the provisions included in the final based on comments, experts in industry, academia, and federal entities, like the Chemical Safety and Hazard Investigation Board. Although EPA cannot estimate the risk reduction with precision, that does not countermand the agency’s reasoned conclusion that these provisions—both each individually, and together as a whole—would incrementally mitigate the likelihood of an accident.</w:t>
      </w:r>
      <w:r w:rsidR="00D46169">
        <w:rPr>
          <w:rFonts w:ascii="Times New Roman" w:hAnsi="Times New Roman"/>
          <w:sz w:val="24"/>
        </w:rPr>
        <w:t>.</w:t>
      </w:r>
      <w:r w:rsidRPr="008E2AE4" w:rsidR="00D46169">
        <w:rPr>
          <w:rFonts w:ascii="Times New Roman" w:hAnsi="Times New Roman"/>
          <w:sz w:val="24"/>
        </w:rPr>
        <w:t xml:space="preserve"> </w:t>
      </w:r>
      <w:r w:rsidR="00D46169">
        <w:rPr>
          <w:rFonts w:ascii="Times New Roman" w:hAnsi="Times New Roman"/>
          <w:sz w:val="24"/>
        </w:rPr>
        <w:t>T</w:t>
      </w:r>
      <w:r w:rsidRPr="008E2AE4">
        <w:rPr>
          <w:rFonts w:ascii="Times New Roman" w:hAnsi="Times New Roman"/>
          <w:sz w:val="24"/>
        </w:rPr>
        <w:t>he breakeven analysis illustrates the degree of risk reduction overall that the final rule must achieve for quantified benefits to exceed quantified costs</w:t>
      </w:r>
      <w:r w:rsidRPr="008E2AE4">
        <w:rPr>
          <w:rFonts w:ascii="Times New Roman" w:hAnsi="Times New Roman"/>
          <w:sz w:val="24"/>
        </w:rPr>
        <w:t>.</w:t>
      </w:r>
      <w:r>
        <w:rPr>
          <w:rFonts w:ascii="Times New Roman" w:hAnsi="Times New Roman"/>
          <w:sz w:val="24"/>
        </w:rPr>
        <w:t xml:space="preserve"> </w:t>
      </w:r>
      <w:r w:rsidRPr="005C318E">
        <w:rPr>
          <w:rFonts w:ascii="Times New Roman" w:hAnsi="Times New Roman"/>
          <w:sz w:val="24"/>
        </w:rPr>
        <w:t xml:space="preserve">The final rule </w:t>
      </w:r>
      <w:r>
        <w:rPr>
          <w:rFonts w:ascii="Times New Roman" w:hAnsi="Times New Roman"/>
          <w:sz w:val="24"/>
        </w:rPr>
        <w:t>RIA Chapter 6 section 6.3 Avoided Accident Impacts: Breakeven Analysis discusses the breakeven analysis results</w:t>
      </w:r>
      <w:r w:rsidRPr="005C318E">
        <w:rPr>
          <w:rFonts w:ascii="Times New Roman" w:hAnsi="Times New Roman"/>
          <w:sz w:val="24"/>
        </w:rPr>
        <w:t xml:space="preserve">. </w:t>
      </w:r>
      <w:r>
        <w:rPr>
          <w:rFonts w:ascii="Times New Roman" w:hAnsi="Times New Roman"/>
          <w:sz w:val="24"/>
        </w:rPr>
        <w:t>While the final rule increases costs, w</w:t>
      </w:r>
      <w:r w:rsidRPr="005C318E">
        <w:rPr>
          <w:rFonts w:ascii="Times New Roman" w:hAnsi="Times New Roman"/>
          <w:sz w:val="24"/>
        </w:rPr>
        <w:t>hen considering the rule’s likely benefits of avoiding some portion of the monetized accident impacts, as well as the additional nonmonetized benefits, EPA believes the costs of the rule are reasonable in comparison to its expected benefits</w:t>
      </w:r>
      <w:r>
        <w:rPr>
          <w:rFonts w:ascii="Times New Roman" w:hAnsi="Times New Roman"/>
          <w:sz w:val="24"/>
        </w:rPr>
        <w:t xml:space="preserve">. </w:t>
      </w:r>
    </w:p>
    <w:p w:rsidR="00253D94" w:rsidRPr="006F68E9" w:rsidP="00253D94" w14:paraId="3ABB507D" w14:textId="5C8D521C">
      <w:pPr>
        <w:rPr>
          <w:rFonts w:ascii="Times New Roman" w:hAnsi="Times New Roman"/>
          <w:sz w:val="24"/>
        </w:rPr>
      </w:pPr>
      <w:r w:rsidRPr="00445AE2">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.3-07</w:t>
      </w:r>
      <w:r w:rsidRPr="00445AE2">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suggested that California’s PSM regulation serve as a model for process safety measures in the RMP rule that are protective and preventative. The commenter stated that a RAND economic analysis of the PSM found that (1) the cost of compliance with the regulations, which were passed on to consumers, resulted in a price increase of about $0.004 per gallon of gasoline in California, (2) each major refinery incident avoided saved facility owners approximately $220 million not including the potential costs associated with worker fatalities and injuries or damage to surrounding communities, and (3) </w:t>
      </w:r>
      <w:r>
        <w:rPr>
          <w:rFonts w:ascii="Times New Roman" w:hAnsi="Times New Roman"/>
          <w:sz w:val="24"/>
        </w:rPr>
        <w:t xml:space="preserve">it </w:t>
      </w:r>
      <w:r w:rsidRPr="006F68E9">
        <w:rPr>
          <w:rFonts w:ascii="Times New Roman" w:hAnsi="Times New Roman"/>
          <w:sz w:val="24"/>
        </w:rPr>
        <w:t>improved reliability of the state’s fuel supply (0250).</w:t>
      </w:r>
    </w:p>
    <w:p w:rsidR="00253D94" w:rsidRPr="006F68E9" w:rsidP="00253D94" w14:paraId="3F0B99DC" w14:textId="77777777">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EPA reviewed the RAND study and did not use it because many of the estimated impacts appeared specific to the case of California and may not apply to the United States more broadly. For example, nationwide gasoline prices and fuel supply reliability may be less sensitive to PSM regulation than is California because California requires cleaner burning fuel formulations than the rest of the United States.</w:t>
      </w:r>
    </w:p>
    <w:p w:rsidR="00253D94" w:rsidRPr="006F68E9" w:rsidP="00253D94" w14:paraId="3B1A6D94" w14:textId="73F57FEE">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.3-08</w:t>
      </w:r>
      <w:r w:rsidRPr="008D44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asserted that it was unclear how one information request will provide benefits (0239).</w:t>
      </w:r>
    </w:p>
    <w:p w:rsidR="00253D94" w:rsidRPr="00F3589F" w:rsidP="00DA5E0E" w14:paraId="7FEAACBD" w14:textId="77777777">
      <w:pPr>
        <w:ind w:left="720"/>
        <w:rPr>
          <w:rFonts w:ascii="Times New Roman" w:hAnsi="Times New Roman"/>
          <w:sz w:val="24"/>
        </w:rPr>
      </w:pPr>
      <w:r w:rsidRPr="004161BE">
        <w:rPr>
          <w:rFonts w:ascii="Times New Roman" w:hAnsi="Times New Roman"/>
          <w:b/>
          <w:sz w:val="24"/>
        </w:rPr>
        <w:t>EPA Response</w:t>
      </w:r>
      <w:r>
        <w:rPr>
          <w:rFonts w:ascii="Times New Roman" w:hAnsi="Times New Roman"/>
          <w:sz w:val="24"/>
        </w:rPr>
        <w:t xml:space="preserve">: </w:t>
      </w:r>
      <w:r w:rsidRPr="00F3589F">
        <w:rPr>
          <w:rFonts w:ascii="Times New Roman" w:hAnsi="Times New Roman"/>
          <w:sz w:val="24"/>
        </w:rPr>
        <w:t>The rule’s information request provision will provide more public information and information availability, which will improve efficiency of nearby property markets</w:t>
      </w:r>
      <w:r>
        <w:rPr>
          <w:rFonts w:ascii="Times New Roman" w:hAnsi="Times New Roman"/>
          <w:sz w:val="24"/>
        </w:rPr>
        <w:t>. In addition,</w:t>
      </w:r>
      <w:r w:rsidRPr="00F3589F">
        <w:rPr>
          <w:rFonts w:ascii="Times New Roman" w:hAnsi="Times New Roman"/>
          <w:sz w:val="24"/>
        </w:rPr>
        <w:t xml:space="preserve"> better information provided to emergency responders will </w:t>
      </w:r>
      <w:r w:rsidRPr="00F3589F">
        <w:rPr>
          <w:rFonts w:ascii="Times New Roman" w:hAnsi="Times New Roman"/>
          <w:sz w:val="24"/>
        </w:rPr>
        <w:t xml:space="preserve">improve the efficiency of their decisions regarding preventive measures to take and equipment and materials to purchase. These benefits are discussed in final rule RIA section 6.1.3, </w:t>
      </w:r>
      <w:r w:rsidRPr="00F3589F">
        <w:rPr>
          <w:rFonts w:ascii="Times New Roman" w:hAnsi="Times New Roman"/>
          <w:i/>
          <w:sz w:val="24"/>
        </w:rPr>
        <w:t xml:space="preserve">Improved Information, </w:t>
      </w:r>
      <w:r w:rsidRPr="00F3589F">
        <w:rPr>
          <w:rFonts w:ascii="Times New Roman" w:hAnsi="Times New Roman"/>
          <w:sz w:val="24"/>
        </w:rPr>
        <w:t xml:space="preserve">and section 6.1.4, </w:t>
      </w:r>
      <w:r w:rsidRPr="00F3589F">
        <w:rPr>
          <w:rFonts w:ascii="Times New Roman" w:hAnsi="Times New Roman"/>
          <w:i/>
          <w:sz w:val="24"/>
        </w:rPr>
        <w:t>Evidence from the Literature</w:t>
      </w:r>
      <w:r w:rsidRPr="00F3589F">
        <w:rPr>
          <w:rFonts w:ascii="Times New Roman" w:hAnsi="Times New Roman"/>
          <w:sz w:val="24"/>
        </w:rPr>
        <w:t xml:space="preserve">. </w:t>
      </w:r>
    </w:p>
    <w:p w:rsidR="00253D94" w:rsidRPr="006F68E9" w:rsidP="00253D94" w14:paraId="68F1D707" w14:textId="154314C1">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.3-09</w:t>
      </w:r>
      <w:r w:rsidRPr="008D44EF">
        <w:rPr>
          <w:rFonts w:ascii="Times New Roman" w:hAnsi="Times New Roman"/>
          <w:b/>
          <w:bCs/>
          <w:sz w:val="24"/>
        </w:rPr>
        <w:t>:</w:t>
      </w:r>
      <w:r>
        <w:rPr>
          <w:rFonts w:ascii="Times New Roman" w:hAnsi="Times New Roman"/>
          <w:sz w:val="24"/>
        </w:rPr>
        <w:t xml:space="preserve"> Specifically referencing costs/benefits for </w:t>
      </w:r>
      <w:r w:rsidRPr="006F68E9">
        <w:rPr>
          <w:rFonts w:ascii="Times New Roman" w:hAnsi="Times New Roman"/>
          <w:sz w:val="24"/>
        </w:rPr>
        <w:t>hydrocarbon transloading facilities</w:t>
      </w:r>
      <w:r>
        <w:rPr>
          <w:rFonts w:ascii="Times New Roman" w:hAnsi="Times New Roman"/>
          <w:sz w:val="24"/>
        </w:rPr>
        <w:t>, one</w:t>
      </w:r>
      <w:r w:rsidRPr="006F68E9">
        <w:rPr>
          <w:rFonts w:ascii="Times New Roman" w:hAnsi="Times New Roman"/>
          <w:sz w:val="24"/>
        </w:rPr>
        <w:t xml:space="preserve"> commenter asserted that the RIA does not properly calculate and balance the burdens and benefits of the proposal. The commenter also</w:t>
      </w:r>
      <w:r>
        <w:rPr>
          <w:rFonts w:ascii="Times New Roman" w:hAnsi="Times New Roman"/>
          <w:sz w:val="24"/>
        </w:rPr>
        <w:t xml:space="preserve"> stated</w:t>
      </w:r>
      <w:r w:rsidRPr="006F68E9">
        <w:rPr>
          <w:rFonts w:ascii="Times New Roman" w:hAnsi="Times New Roman"/>
          <w:sz w:val="24"/>
        </w:rPr>
        <w:t xml:space="preserve"> that, given the protections afforded by PHMSA’s HMR, the benefits of the proposed rule are murky at best (0222).</w:t>
      </w:r>
    </w:p>
    <w:p w:rsidR="00253D94" w:rsidRPr="006F68E9" w:rsidP="00253D94" w14:paraId="20D317DD" w14:textId="313F8275">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EPA considered costs and benefits of the rule as a whole and</w:t>
      </w:r>
      <w:r w:rsidRPr="00733A9C">
        <w:rPr>
          <w:rFonts w:ascii="Times New Roman" w:hAnsi="Times New Roman"/>
          <w:sz w:val="24"/>
        </w:rPr>
        <w:t xml:space="preserve"> provided quantitative estimates wherever it could and discusses qualitatively the costs and benefits it could not quantify. </w:t>
      </w:r>
      <w:r w:rsidRPr="005C318E">
        <w:rPr>
          <w:rFonts w:ascii="Times New Roman" w:hAnsi="Times New Roman"/>
          <w:sz w:val="24"/>
        </w:rPr>
        <w:t xml:space="preserve">EPA conducted a breakeven analysis instead of a standard cost benefit analysis because while EPA was able to estimate the costs of the final rule, </w:t>
      </w:r>
      <w:r w:rsidRPr="005C318E">
        <w:rPr>
          <w:rFonts w:ascii="Times New Roman" w:hAnsi="Times New Roman"/>
          <w:sz w:val="24"/>
        </w:rPr>
        <w:t xml:space="preserve">it cannot </w:t>
      </w:r>
      <w:r w:rsidR="00D46169">
        <w:rPr>
          <w:rFonts w:ascii="Times New Roman" w:hAnsi="Times New Roman"/>
          <w:sz w:val="24"/>
        </w:rPr>
        <w:t>precisely monetize</w:t>
      </w:r>
      <w:r w:rsidRPr="005C318E" w:rsidR="00D46169">
        <w:rPr>
          <w:rFonts w:ascii="Times New Roman" w:hAnsi="Times New Roman"/>
          <w:sz w:val="24"/>
        </w:rPr>
        <w:t xml:space="preserve"> </w:t>
      </w:r>
      <w:r w:rsidRPr="005C318E">
        <w:rPr>
          <w:rFonts w:ascii="Times New Roman" w:hAnsi="Times New Roman"/>
          <w:sz w:val="24"/>
        </w:rPr>
        <w:t xml:space="preserve">the benefits. </w:t>
      </w:r>
      <w:r w:rsidRPr="005C318E">
        <w:rPr>
          <w:rFonts w:ascii="Times New Roman" w:hAnsi="Times New Roman"/>
          <w:sz w:val="24"/>
        </w:rPr>
        <w:t xml:space="preserve">The incremental impact on the risk of an RMP facility release resulting from each of the revised RMP rule provisions is uncertain, as is the value of a wide variety of benefit categories as described </w:t>
      </w:r>
      <w:r>
        <w:rPr>
          <w:rFonts w:ascii="Times New Roman" w:hAnsi="Times New Roman"/>
          <w:sz w:val="24"/>
        </w:rPr>
        <w:t>in the final rule RIA Chapter 6</w:t>
      </w:r>
      <w:r w:rsidRPr="005C318E">
        <w:rPr>
          <w:rFonts w:ascii="Times New Roman" w:hAnsi="Times New Roman"/>
          <w:sz w:val="24"/>
        </w:rPr>
        <w:t xml:space="preserve"> (lost productivity, responder costs, property value impacts, and so on)</w:t>
      </w:r>
      <w:r w:rsidRPr="005C318E">
        <w:rPr>
          <w:rFonts w:ascii="Times New Roman" w:hAnsi="Times New Roman"/>
          <w:sz w:val="24"/>
        </w:rPr>
        <w:t xml:space="preserve">. </w:t>
      </w:r>
      <w:r w:rsidRPr="007B229E" w:rsidR="007B229E">
        <w:t xml:space="preserve"> </w:t>
      </w:r>
      <w:r w:rsidRPr="007B229E" w:rsidR="007B229E">
        <w:rPr>
          <w:rFonts w:ascii="Times New Roman" w:hAnsi="Times New Roman"/>
          <w:sz w:val="24"/>
        </w:rPr>
        <w:t>EPA selected the provisions included in the final based on comments, experts in industry, academia, and federal entities, like the Chemical Safety and Hazard Investigation Board. Although EPA cannot estimate the risk reduction with precision, that does not countermand the agency’s reasoned conclusion that these provisions—both each individually, and together as a whole—would incrementally mitigate the likelihood of an accident.</w:t>
      </w:r>
      <w:r w:rsidR="007B229E">
        <w:rPr>
          <w:rFonts w:ascii="Times New Roman" w:hAnsi="Times New Roman"/>
          <w:sz w:val="24"/>
        </w:rPr>
        <w:t xml:space="preserve"> </w:t>
      </w:r>
      <w:r w:rsidRPr="008E2AE4">
        <w:rPr>
          <w:rFonts w:ascii="Times New Roman" w:hAnsi="Times New Roman"/>
          <w:sz w:val="24"/>
        </w:rPr>
        <w:t>While EPA does not have the data to estimate risk reduction from the final rule’s requirements, the breakeven analysis illustrates the degree of risk reduction overall that the final rule must achieve for quantified benefits to exceed quantified costs.</w:t>
      </w:r>
      <w:r>
        <w:rPr>
          <w:rFonts w:ascii="Times New Roman" w:hAnsi="Times New Roman"/>
          <w:sz w:val="24"/>
        </w:rPr>
        <w:t xml:space="preserve"> </w:t>
      </w:r>
      <w:r w:rsidRPr="005C318E">
        <w:rPr>
          <w:rFonts w:ascii="Times New Roman" w:hAnsi="Times New Roman"/>
          <w:sz w:val="24"/>
        </w:rPr>
        <w:t xml:space="preserve">The final rule </w:t>
      </w:r>
      <w:r>
        <w:rPr>
          <w:rFonts w:ascii="Times New Roman" w:hAnsi="Times New Roman"/>
          <w:sz w:val="24"/>
        </w:rPr>
        <w:t>RIA Chapter 6 section 6.3 Avoided Accident Impacts: Breakeven Analysis discusses the breakeven analysis results</w:t>
      </w:r>
      <w:r w:rsidRPr="005C318E">
        <w:rPr>
          <w:rFonts w:ascii="Times New Roman" w:hAnsi="Times New Roman"/>
          <w:sz w:val="24"/>
        </w:rPr>
        <w:t>. When considering the rule’s likely benefits of avoiding some portion of the monetized accident impacts, as well as the additional nonmonetized benefits, EPA believes the costs of the rule are reasonable in comparison to its expected benefits</w:t>
      </w:r>
      <w:r>
        <w:rPr>
          <w:rFonts w:ascii="Times New Roman" w:hAnsi="Times New Roman"/>
          <w:sz w:val="24"/>
        </w:rPr>
        <w:t xml:space="preserve">. </w:t>
      </w:r>
    </w:p>
    <w:p w:rsidR="00253D94" w:rsidRPr="006F68E9" w:rsidP="00253D94" w14:paraId="5D473779" w14:textId="5E2FBE6E">
      <w:pPr>
        <w:rPr>
          <w:rFonts w:ascii="Times New Roman" w:hAnsi="Times New Roman"/>
          <w:sz w:val="24"/>
        </w:rPr>
      </w:pPr>
      <w:r w:rsidRPr="00445AE2">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.3-10</w:t>
      </w:r>
      <w:r w:rsidRPr="00445AE2">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quantifying the full benefits from safety measures in financial terms is impossible because the lives of workers, first-responders, and community members are priceless, but EPA can and should recognize more of the benefits from preventing chemical disasters, based on newly available information (0456).</w:t>
      </w:r>
    </w:p>
    <w:p w:rsidR="006821FF" w:rsidRPr="00D9483F" w:rsidP="00DA5E0E" w14:paraId="2A4F26A5" w14:textId="77777777">
      <w:pPr>
        <w:pStyle w:val="pf0"/>
        <w:spacing w:before="120" w:beforeAutospacing="0" w:after="120" w:afterAutospacing="0"/>
        <w:ind w:left="720"/>
      </w:pPr>
      <w:r w:rsidRPr="00D9483F">
        <w:rPr>
          <w:b/>
        </w:rPr>
        <w:t xml:space="preserve">EPA Response: </w:t>
      </w:r>
      <w:r w:rsidRPr="00D9483F">
        <w:t>EPA followed established guidelines for monetizing safety benefits, including value of a statistical life (VSL). The final rule RIA recognizes more benefits of the final rule beyond lives saved, including reductions in the number of people injured and evacuated or otherwise inconvenienced by sheltering in place; reductions in the damage caused to property on-site and offsite including product, equipment, and buildings; reductions in damages to the environment and ecosystems; and reductions in resources diverted to extinguish fires and clean up affected areas. The final rule also provides other benefits, such as increased public information, which in addition to helping to minimize the impacts of accidents on the offsite public, may also lead to more efficient property markets in areas near RMP facilities.</w:t>
      </w:r>
    </w:p>
    <w:p w:rsidR="004D59A4" w:rsidRPr="004D59A4" w:rsidP="004D59A4" w14:paraId="2A1010E2" w14:textId="689A537B">
      <w:pPr>
        <w:ind w:left="720"/>
        <w:rPr>
          <w:rFonts w:ascii="Times New Roman" w:eastAsia="Times New Roman" w:hAnsi="Times New Roman"/>
          <w:sz w:val="24"/>
        </w:rPr>
      </w:pPr>
      <w:r w:rsidRPr="004D59A4">
        <w:rPr>
          <w:rFonts w:ascii="Times New Roman" w:eastAsia="Times New Roman" w:hAnsi="Times New Roman"/>
          <w:sz w:val="24"/>
        </w:rPr>
        <w:t>For details on how quantified benefits were estimated or discussion on unquantified benefits, including the difficulty in their quantification</w:t>
      </w:r>
      <w:r>
        <w:rPr>
          <w:rFonts w:ascii="Times New Roman" w:eastAsia="Times New Roman" w:hAnsi="Times New Roman"/>
          <w:sz w:val="24"/>
        </w:rPr>
        <w:t>,</w:t>
      </w:r>
      <w:r w:rsidRPr="004D59A4">
        <w:rPr>
          <w:rFonts w:ascii="Times New Roman" w:eastAsia="Times New Roman" w:hAnsi="Times New Roman"/>
          <w:sz w:val="24"/>
        </w:rPr>
        <w:t xml:space="preserve"> see Chapter 6 of the RIA. </w:t>
      </w:r>
    </w:p>
    <w:p w:rsidR="006821FF" w:rsidRPr="00F53794" w:rsidP="00F53794" w14:paraId="398A411D" w14:textId="071D2D87">
      <w:pPr>
        <w:ind w:left="720"/>
        <w:rPr>
          <w:rFonts w:ascii="Times New Roman" w:eastAsia="Times New Roman" w:hAnsi="Times New Roman"/>
          <w:sz w:val="24"/>
        </w:rPr>
      </w:pPr>
      <w:r>
        <w:rPr>
          <w:rFonts w:ascii="Times New Roman" w:eastAsia="Times New Roman" w:hAnsi="Times New Roman"/>
          <w:sz w:val="24"/>
        </w:rPr>
        <w:t xml:space="preserve">RMP accident data shows past </w:t>
      </w:r>
      <w:r w:rsidRPr="00D9483F">
        <w:rPr>
          <w:rFonts w:ascii="Times New Roman" w:eastAsia="Times New Roman" w:hAnsi="Times New Roman"/>
          <w:sz w:val="24"/>
        </w:rPr>
        <w:t xml:space="preserve">accidents have </w:t>
      </w:r>
      <w:r w:rsidR="00192597">
        <w:rPr>
          <w:rFonts w:ascii="Times New Roman" w:eastAsia="Times New Roman" w:hAnsi="Times New Roman"/>
          <w:sz w:val="24"/>
        </w:rPr>
        <w:t xml:space="preserve">generated </w:t>
      </w:r>
      <w:r w:rsidRPr="00D9483F">
        <w:rPr>
          <w:rFonts w:ascii="Times New Roman" w:eastAsia="Times New Roman" w:hAnsi="Times New Roman"/>
          <w:sz w:val="24"/>
        </w:rPr>
        <w:t>highly variable impacts</w:t>
      </w:r>
      <w:r w:rsidR="00192597">
        <w:rPr>
          <w:rFonts w:ascii="Times New Roman" w:eastAsia="Times New Roman" w:hAnsi="Times New Roman"/>
          <w:sz w:val="24"/>
        </w:rPr>
        <w:t>, so the impacts of future accidents</w:t>
      </w:r>
      <w:r w:rsidRPr="00D9483F">
        <w:rPr>
          <w:rFonts w:ascii="Times New Roman" w:eastAsia="Times New Roman" w:hAnsi="Times New Roman"/>
          <w:sz w:val="24"/>
        </w:rPr>
        <w:t xml:space="preserve"> </w:t>
      </w:r>
      <w:r w:rsidRPr="00D9483F">
        <w:rPr>
          <w:rFonts w:ascii="Times New Roman" w:eastAsia="Times New Roman" w:hAnsi="Times New Roman"/>
          <w:sz w:val="24"/>
        </w:rPr>
        <w:t xml:space="preserve">are difficult to predict. </w:t>
      </w:r>
      <w:r w:rsidR="00192597">
        <w:rPr>
          <w:rFonts w:ascii="Times New Roman" w:eastAsia="Times New Roman" w:hAnsi="Times New Roman"/>
          <w:sz w:val="24"/>
        </w:rPr>
        <w:t>Nevertheless</w:t>
      </w:r>
      <w:r w:rsidRPr="00D9483F">
        <w:rPr>
          <w:rFonts w:ascii="Times New Roman" w:eastAsia="Times New Roman" w:hAnsi="Times New Roman"/>
          <w:sz w:val="24"/>
        </w:rPr>
        <w:t>, it is clear from the RMP accident data</w:t>
      </w:r>
      <w:r>
        <w:rPr>
          <w:vertAlign w:val="superscript"/>
        </w:rPr>
        <w:footnoteReference w:id="203"/>
      </w:r>
      <w:r w:rsidRPr="00D9483F">
        <w:rPr>
          <w:rFonts w:ascii="Times New Roman" w:eastAsia="Times New Roman" w:hAnsi="Times New Roman"/>
          <w:sz w:val="24"/>
        </w:rPr>
        <w:t xml:space="preserve"> and</w:t>
      </w:r>
      <w:r w:rsidRPr="00D9483F">
        <w:rPr>
          <w:rFonts w:ascii="Times New Roman" w:eastAsia="Times New Roman" w:hAnsi="Times New Roman"/>
          <w:sz w:val="24"/>
        </w:rPr>
        <w:t xml:space="preserve"> other </w:t>
      </w:r>
      <w:r w:rsidR="00182B8C">
        <w:rPr>
          <w:rFonts w:ascii="Times New Roman" w:eastAsia="Times New Roman" w:hAnsi="Times New Roman"/>
          <w:sz w:val="24"/>
        </w:rPr>
        <w:t>relevant data from RMP regulated industry sectors</w:t>
      </w:r>
      <w:r>
        <w:rPr>
          <w:vertAlign w:val="superscript"/>
        </w:rPr>
        <w:footnoteReference w:id="204"/>
      </w:r>
      <w:r w:rsidR="006232E6">
        <w:rPr>
          <w:rFonts w:ascii="Times New Roman" w:eastAsia="Times New Roman" w:hAnsi="Times New Roman"/>
          <w:sz w:val="24"/>
        </w:rPr>
        <w:t>,</w:t>
      </w:r>
      <w:r w:rsidRPr="00A90928">
        <w:t xml:space="preserve"> </w:t>
      </w:r>
      <w:r w:rsidRPr="00D9483F">
        <w:rPr>
          <w:rFonts w:ascii="Times New Roman" w:eastAsia="Times New Roman" w:hAnsi="Times New Roman"/>
          <w:sz w:val="24"/>
        </w:rPr>
        <w:t xml:space="preserve">that chemical accidents can impose substantial costs on firms, employees, emergency responders, the community, and the broader economy. </w:t>
      </w:r>
      <w:r w:rsidR="002F27E1">
        <w:rPr>
          <w:rFonts w:ascii="Times New Roman" w:eastAsia="Times New Roman" w:hAnsi="Times New Roman"/>
          <w:sz w:val="24"/>
        </w:rPr>
        <w:t xml:space="preserve">Notwithstanding EPA’s current rules, </w:t>
      </w:r>
      <w:r w:rsidR="00466FDA">
        <w:rPr>
          <w:rFonts w:ascii="Times New Roman" w:eastAsia="Times New Roman" w:hAnsi="Times New Roman"/>
          <w:sz w:val="24"/>
        </w:rPr>
        <w:t xml:space="preserve">RMP accidents have continued to occur. </w:t>
      </w:r>
      <w:r w:rsidRPr="001E23E0" w:rsidR="004A4C50">
        <w:rPr>
          <w:rFonts w:ascii="Times New Roman" w:eastAsia="Times New Roman" w:hAnsi="Times New Roman"/>
          <w:sz w:val="24"/>
        </w:rPr>
        <w:t xml:space="preserve">EPA </w:t>
      </w:r>
      <w:r w:rsidR="00466FDA">
        <w:rPr>
          <w:rFonts w:ascii="Times New Roman" w:eastAsia="Times New Roman" w:hAnsi="Times New Roman"/>
          <w:sz w:val="24"/>
        </w:rPr>
        <w:t>anticipate</w:t>
      </w:r>
      <w:r w:rsidRPr="001E23E0" w:rsidR="00466FDA">
        <w:rPr>
          <w:rFonts w:ascii="Times New Roman" w:eastAsia="Times New Roman" w:hAnsi="Times New Roman"/>
          <w:sz w:val="24"/>
        </w:rPr>
        <w:t xml:space="preserve">s </w:t>
      </w:r>
      <w:r w:rsidR="005F0484">
        <w:rPr>
          <w:rFonts w:ascii="Times New Roman" w:eastAsia="Times New Roman" w:hAnsi="Times New Roman"/>
          <w:sz w:val="24"/>
        </w:rPr>
        <w:t>that promulgation and implementation of this</w:t>
      </w:r>
      <w:r w:rsidRPr="001E23E0" w:rsidR="004A4C50">
        <w:rPr>
          <w:rFonts w:ascii="Times New Roman" w:eastAsia="Times New Roman" w:hAnsi="Times New Roman"/>
          <w:sz w:val="24"/>
        </w:rPr>
        <w:t xml:space="preserve"> final rule </w:t>
      </w:r>
      <w:r w:rsidR="00CE72E8">
        <w:rPr>
          <w:rFonts w:ascii="Times New Roman" w:eastAsia="Times New Roman" w:hAnsi="Times New Roman"/>
          <w:sz w:val="24"/>
        </w:rPr>
        <w:t xml:space="preserve">will improve the health and safety protection provided by </w:t>
      </w:r>
      <w:r w:rsidR="00EC2662">
        <w:rPr>
          <w:rFonts w:ascii="Times New Roman" w:eastAsia="Times New Roman" w:hAnsi="Times New Roman"/>
          <w:sz w:val="24"/>
        </w:rPr>
        <w:t>the RMP rule and</w:t>
      </w:r>
      <w:r w:rsidRPr="001E23E0" w:rsidR="004A4C50">
        <w:rPr>
          <w:rFonts w:ascii="Times New Roman" w:eastAsia="Times New Roman" w:hAnsi="Times New Roman"/>
          <w:sz w:val="24"/>
        </w:rPr>
        <w:t xml:space="preserve"> result in a reduced frequency and magnitude of damages from releases, including damages that are quantified for the baseline period such as fatalities, injuries, property damage, hospitalizations, medical treatment, sheltering in place, and evacuations. EPA also expects the final rule provisions to reduce baseline damages that are not quantified. These damages include potential health risk</w:t>
      </w:r>
      <w:r w:rsidR="00D26D52">
        <w:rPr>
          <w:rFonts w:ascii="Times New Roman" w:eastAsia="Times New Roman" w:hAnsi="Times New Roman"/>
          <w:sz w:val="24"/>
        </w:rPr>
        <w:t>s</w:t>
      </w:r>
      <w:r w:rsidRPr="001E23E0" w:rsidR="004A4C50">
        <w:rPr>
          <w:rFonts w:ascii="Times New Roman" w:eastAsia="Times New Roman" w:hAnsi="Times New Roman"/>
          <w:sz w:val="24"/>
        </w:rPr>
        <w:t xml:space="preserve"> from toxic chemical</w:t>
      </w:r>
      <w:r w:rsidR="00D26D52">
        <w:rPr>
          <w:rFonts w:ascii="Times New Roman" w:eastAsia="Times New Roman" w:hAnsi="Times New Roman"/>
          <w:sz w:val="24"/>
        </w:rPr>
        <w:t xml:space="preserve"> exposure</w:t>
      </w:r>
      <w:r w:rsidRPr="001E23E0" w:rsidR="004A4C50">
        <w:rPr>
          <w:rFonts w:ascii="Times New Roman" w:eastAsia="Times New Roman" w:hAnsi="Times New Roman"/>
          <w:sz w:val="24"/>
        </w:rPr>
        <w:t xml:space="preserve">, </w:t>
      </w:r>
      <w:r w:rsidRPr="001E23E0" w:rsidR="004A4C50">
        <w:rPr>
          <w:rFonts w:ascii="Times New Roman" w:eastAsia="Times New Roman" w:hAnsi="Times New Roman"/>
          <w:sz w:val="24"/>
        </w:rPr>
        <w:t>lost productivity at affected facilities, emergency response costs, transaction costs from potential subsequent legal battles, property value losses in nearby neighborhoods, environmental damage and costs of evacuation and sheltering-in-place events, and others.</w:t>
      </w:r>
      <w:r w:rsidR="004A4C50">
        <w:t xml:space="preserve"> </w:t>
      </w:r>
      <w:r w:rsidRPr="004A4C50" w:rsidR="00F53794">
        <w:rPr>
          <w:rFonts w:ascii="Times New Roman" w:eastAsia="Times New Roman" w:hAnsi="Times New Roman"/>
          <w:sz w:val="24"/>
        </w:rPr>
        <w:t xml:space="preserve"> </w:t>
      </w:r>
    </w:p>
    <w:p w:rsidR="000406EE" w:rsidRPr="00A7388A" w:rsidP="000406EE" w14:paraId="7D950AD2" w14:textId="77777777">
      <w:pPr>
        <w:rPr>
          <w:rFonts w:ascii="Times New Roman" w:hAnsi="Times New Roman"/>
          <w:i/>
          <w:iCs/>
          <w:sz w:val="24"/>
        </w:rPr>
      </w:pPr>
      <w:r w:rsidRPr="00A7388A">
        <w:rPr>
          <w:rFonts w:ascii="Times New Roman" w:hAnsi="Times New Roman"/>
          <w:i/>
          <w:iCs/>
          <w:sz w:val="24"/>
        </w:rPr>
        <w:t xml:space="preserve">Estimated benefits—analysis of magnitude and frequency of accidents </w:t>
      </w:r>
    </w:p>
    <w:p w:rsidR="000406EE" w:rsidP="000406EE" w14:paraId="59CD0656" w14:textId="67B31C4F">
      <w:pPr>
        <w:rPr>
          <w:rFonts w:ascii="Times New Roman" w:hAnsi="Times New Roman"/>
          <w:sz w:val="24"/>
        </w:rPr>
      </w:pPr>
      <w:r w:rsidRPr="00322F1F">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.3-11</w:t>
      </w:r>
      <w:r w:rsidRPr="00322F1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should strengthen its analysis by improving its baseline estimation of the magnitude and frequency of chemical accidents and incorporating additional quantitative and qualitative information on the potential health and other consequences of chemical incidents. The commenter stated that EPA properly finds the </w:t>
      </w:r>
      <w:r>
        <w:rPr>
          <w:rFonts w:ascii="Times New Roman" w:hAnsi="Times New Roman"/>
          <w:sz w:val="24"/>
        </w:rPr>
        <w:t>pr</w:t>
      </w:r>
      <w:r w:rsidRPr="006F68E9">
        <w:rPr>
          <w:rFonts w:ascii="Times New Roman" w:hAnsi="Times New Roman"/>
          <w:sz w:val="24"/>
        </w:rPr>
        <w:t xml:space="preserve">oposed </w:t>
      </w:r>
      <w:r>
        <w:rPr>
          <w:rFonts w:ascii="Times New Roman" w:hAnsi="Times New Roman"/>
          <w:sz w:val="24"/>
        </w:rPr>
        <w:t>r</w:t>
      </w:r>
      <w:r w:rsidRPr="006F68E9">
        <w:rPr>
          <w:rFonts w:ascii="Times New Roman" w:hAnsi="Times New Roman"/>
          <w:sz w:val="24"/>
        </w:rPr>
        <w:t xml:space="preserve">ule justified on the benefits already analyzed, but a fuller accounting of the scope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ule’s benefits would supplement that evidence (0266). </w:t>
      </w:r>
    </w:p>
    <w:p w:rsidR="000406EE" w:rsidP="000406EE" w14:paraId="2978E863" w14:textId="77777777">
      <w:pPr>
        <w:ind w:left="720"/>
        <w:rPr>
          <w:rFonts w:ascii="Times New Roman" w:hAnsi="Times New Roman"/>
          <w:sz w:val="24"/>
        </w:rPr>
      </w:pPr>
      <w:r w:rsidRPr="00DA0E2A">
        <w:rPr>
          <w:rFonts w:ascii="Times New Roman" w:hAnsi="Times New Roman"/>
          <w:b/>
          <w:bCs/>
          <w:sz w:val="24"/>
        </w:rPr>
        <w:t>EPA Response:</w:t>
      </w:r>
      <w:r>
        <w:rPr>
          <w:rFonts w:ascii="Times New Roman" w:hAnsi="Times New Roman"/>
          <w:sz w:val="24"/>
        </w:rPr>
        <w:t xml:space="preserve"> In the final rule RIA, EPA used the most recent 5 years of accident data from the RMP Database for the years 2016 to 2020 to </w:t>
      </w:r>
      <w:r w:rsidRPr="003C70AD">
        <w:rPr>
          <w:rFonts w:ascii="Times New Roman" w:hAnsi="Times New Roman"/>
          <w:sz w:val="24"/>
        </w:rPr>
        <w:t>impro</w:t>
      </w:r>
      <w:r>
        <w:rPr>
          <w:rFonts w:ascii="Times New Roman" w:hAnsi="Times New Roman"/>
          <w:sz w:val="24"/>
        </w:rPr>
        <w:t>ve</w:t>
      </w:r>
      <w:r w:rsidRPr="003C70AD">
        <w:rPr>
          <w:rFonts w:ascii="Times New Roman" w:hAnsi="Times New Roman"/>
          <w:sz w:val="24"/>
        </w:rPr>
        <w:t xml:space="preserve"> its baseline estimation of the magnitude and frequency of chemical accidents</w:t>
      </w:r>
      <w:r>
        <w:rPr>
          <w:rFonts w:ascii="Times New Roman" w:hAnsi="Times New Roman"/>
          <w:sz w:val="24"/>
        </w:rPr>
        <w:t xml:space="preserve"> as well as to update the monetized per accident costs, found in RIA Chapter 6. EPA also compared the frequency, severity, and monetized cost of accidents to prior periods from 2014 to 2016 and 2004 to 2013 further understand accident trends. Monetized benefits of avoided accidents based on this data are presented in RIA Chapter 6.</w:t>
      </w:r>
    </w:p>
    <w:p w:rsidR="000406EE" w:rsidP="000406EE" w14:paraId="1E77DAF5" w14:textId="593BBB3F">
      <w:pPr>
        <w:rPr>
          <w:rFonts w:ascii="Times New Roman" w:hAnsi="Times New Roman"/>
          <w:sz w:val="24"/>
        </w:rPr>
      </w:pPr>
      <w:r w:rsidRPr="008954D2">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.3-12</w:t>
      </w:r>
      <w:r w:rsidRPr="008954D2">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can strengthen its breakeven analysis by better considering how risk mitigation measures decrease the magnitude of accidents and avoid the most-costly accidents or catastrophes. The commenter stated that EPA may be underestimating the number of future accidents avoided by the </w:t>
      </w:r>
      <w:r>
        <w:rPr>
          <w:rFonts w:ascii="Times New Roman" w:hAnsi="Times New Roman"/>
          <w:sz w:val="24"/>
        </w:rPr>
        <w:t>proposed rule</w:t>
      </w:r>
      <w:r w:rsidRPr="006F68E9">
        <w:rPr>
          <w:rFonts w:ascii="Times New Roman" w:hAnsi="Times New Roman"/>
          <w:sz w:val="24"/>
        </w:rPr>
        <w:t xml:space="preserve"> due to underreporting, delayed reporting, and failure to account for increasing risks from climate change and EPA should more fully consider additional types of health benefits, cumulative effects, and the impacts of worst-case scenarios. The commenter stated that the underreporting which EPA acknowledges, these data are incomplete. The commenter gave the example that in some cases, after a facility has a chemical incident, it may shut down altogether and is then no longer a RMP facility without reporting obligations and may never report the incident. The </w:t>
      </w:r>
      <w:r w:rsidRPr="006F68E9">
        <w:rPr>
          <w:rFonts w:ascii="Times New Roman" w:hAnsi="Times New Roman"/>
          <w:sz w:val="24"/>
        </w:rPr>
        <w:t xml:space="preserve">commenter </w:t>
      </w:r>
      <w:r>
        <w:rPr>
          <w:rFonts w:ascii="Times New Roman" w:hAnsi="Times New Roman"/>
          <w:sz w:val="24"/>
        </w:rPr>
        <w:t>said</w:t>
      </w:r>
      <w:r w:rsidRPr="006F68E9">
        <w:rPr>
          <w:rFonts w:ascii="Times New Roman" w:hAnsi="Times New Roman"/>
          <w:sz w:val="24"/>
        </w:rPr>
        <w:t xml:space="preserve"> that because RMP’s first compliance deadline was in 1999, this has resulted in waves of heightened reporting at the end of each five-year period: 2004, 2009, 2014, and 2019, and an expected wave in 2024. The commenter </w:t>
      </w:r>
      <w:r>
        <w:rPr>
          <w:rFonts w:ascii="Times New Roman" w:hAnsi="Times New Roman"/>
          <w:sz w:val="24"/>
        </w:rPr>
        <w:t>stated</w:t>
      </w:r>
      <w:r w:rsidRPr="006F68E9">
        <w:rPr>
          <w:rFonts w:ascii="Times New Roman" w:hAnsi="Times New Roman"/>
          <w:sz w:val="24"/>
        </w:rPr>
        <w:t xml:space="preserve"> that comparing incident estimates for the year 2016 between the 2019 Reconsideration Rule and the </w:t>
      </w:r>
      <w:r>
        <w:rPr>
          <w:rFonts w:ascii="Times New Roman" w:hAnsi="Times New Roman"/>
          <w:sz w:val="24"/>
        </w:rPr>
        <w:t>proposed rule</w:t>
      </w:r>
      <w:r w:rsidRPr="006F68E9">
        <w:rPr>
          <w:rFonts w:ascii="Times New Roman" w:hAnsi="Times New Roman"/>
          <w:sz w:val="24"/>
        </w:rPr>
        <w:t xml:space="preserve"> RIA shows that this delayed reporting is significant. The commenter also </w:t>
      </w:r>
      <w:r>
        <w:rPr>
          <w:rFonts w:ascii="Times New Roman" w:hAnsi="Times New Roman"/>
          <w:sz w:val="24"/>
        </w:rPr>
        <w:t>said</w:t>
      </w:r>
      <w:r w:rsidRPr="006F68E9">
        <w:rPr>
          <w:rFonts w:ascii="Times New Roman" w:hAnsi="Times New Roman"/>
          <w:sz w:val="24"/>
        </w:rPr>
        <w:t xml:space="preserve"> that EPA’s baseline assumes that future accidents will continue to occur at roughly the rate of current accidents, but this assumption systemically underestimates future risk due to climate chang</w:t>
      </w:r>
      <w:r>
        <w:rPr>
          <w:rFonts w:ascii="Times New Roman" w:hAnsi="Times New Roman"/>
          <w:sz w:val="24"/>
        </w:rPr>
        <w:t>e (0266).</w:t>
      </w:r>
      <w:r w:rsidRPr="006F68E9">
        <w:rPr>
          <w:rFonts w:ascii="Times New Roman" w:hAnsi="Times New Roman"/>
          <w:sz w:val="24"/>
        </w:rPr>
        <w:t xml:space="preserve"> </w:t>
      </w:r>
    </w:p>
    <w:p w:rsidR="004656E1" w:rsidRPr="003C2B3D" w:rsidP="00405871" w14:paraId="306B3FA8" w14:textId="5DC5D4A4">
      <w:pPr>
        <w:ind w:left="720"/>
        <w:rPr>
          <w:rFonts w:ascii="Times New Roman" w:hAnsi="Times New Roman"/>
          <w:sz w:val="24"/>
        </w:rPr>
      </w:pPr>
      <w:r w:rsidRPr="003A2B20">
        <w:rPr>
          <w:rFonts w:ascii="Times New Roman" w:hAnsi="Times New Roman"/>
          <w:b/>
          <w:bCs/>
          <w:sz w:val="24"/>
        </w:rPr>
        <w:t>EPA Response</w:t>
      </w:r>
      <w:r>
        <w:rPr>
          <w:rFonts w:ascii="Times New Roman" w:hAnsi="Times New Roman"/>
          <w:sz w:val="24"/>
        </w:rPr>
        <w:t xml:space="preserve">: </w:t>
      </w:r>
      <w:r w:rsidRPr="003C2B3D">
        <w:rPr>
          <w:rFonts w:ascii="Times New Roman" w:hAnsi="Times New Roman"/>
          <w:sz w:val="24"/>
        </w:rPr>
        <w:t>EPA acknowledges that risk mitigation measures may decrease the risk of catastrophic accidents that are far more damaging than the average reported RMP accident and may not only decrease the risk of accidents</w:t>
      </w:r>
      <w:r w:rsidR="00441FFD">
        <w:rPr>
          <w:rFonts w:ascii="Times New Roman" w:hAnsi="Times New Roman"/>
          <w:sz w:val="24"/>
        </w:rPr>
        <w:t>,</w:t>
      </w:r>
      <w:r w:rsidRPr="003C2B3D">
        <w:rPr>
          <w:rFonts w:ascii="Times New Roman" w:hAnsi="Times New Roman"/>
          <w:sz w:val="24"/>
        </w:rPr>
        <w:t xml:space="preserve"> but also decrease the magnitude of accident damages. To this end, the SCCAP final rule RIA reports breakeven analysis results in terms of both the number of average-cost accidents the final rule must avoid and the dollar amount of damages the final rule must avoid. </w:t>
      </w:r>
    </w:p>
    <w:p w:rsidR="004656E1" w:rsidRPr="003C2B3D" w:rsidP="00405871" w14:paraId="1D75E0F5" w14:textId="77777777">
      <w:pPr>
        <w:ind w:left="720"/>
        <w:rPr>
          <w:rFonts w:ascii="Times New Roman" w:hAnsi="Times New Roman"/>
          <w:sz w:val="24"/>
        </w:rPr>
      </w:pPr>
      <w:r w:rsidRPr="003C2B3D">
        <w:rPr>
          <w:rFonts w:ascii="Times New Roman" w:hAnsi="Times New Roman"/>
          <w:sz w:val="24"/>
        </w:rPr>
        <w:t xml:space="preserve">The final rule RIA mentions that the number of reported accidents may underestimate total accidents due to facilities shutting down and discusses both quantifiable and non-quantifiable damages from accidents. In the SCCAP final rule RIA, EPA provided a summary table of the number of accidents from 2016-2020 as well as comparison tables covering 2004-2016. The final rule RIA estimates the average annual number of accidents using the five-year period from 2016-2020, which helps account for year-to-year variation in the five-year RMP reporting cycle. However, some accidents occurring during the 2016-2020 period might not yet have been reported as of August 2021, when the data was pulled. </w:t>
      </w:r>
    </w:p>
    <w:p w:rsidR="004656E1" w:rsidP="00DA5E0E" w14:paraId="4E43D113" w14:textId="03B98476">
      <w:pPr>
        <w:pStyle w:val="pf0"/>
        <w:spacing w:before="120" w:beforeAutospacing="0" w:after="120" w:afterAutospacing="0"/>
        <w:ind w:left="720"/>
        <w:rPr>
          <w:rFonts w:eastAsiaTheme="minorEastAsia"/>
        </w:rPr>
      </w:pPr>
      <w:r w:rsidRPr="003C2B3D">
        <w:rPr>
          <w:rFonts w:eastAsiaTheme="minorEastAsia"/>
        </w:rPr>
        <w:t xml:space="preserve">Concerning data on incidents when the process where a release occurred was either destroyed or decommissioned, EPA acknowledges that there may be some accidents associated with destroyed or decommissioned processes that are not reported to the RMP database because facilities were not required to report such accidents, under the pre-Amendments regulations. However, EPA is not aware of a significant number of examples of this occurrence, and commenters have not provided such data. </w:t>
      </w:r>
      <w:r w:rsidRPr="003C2B3D">
        <w:rPr>
          <w:rFonts w:eastAsiaTheme="minorEastAsia"/>
        </w:rPr>
        <w:t xml:space="preserve">Therefore, EPA does not believe that the possible omission of a few accidents associated with destroyed or decommissioned processes would materially impact the analyses included in the SCCAP RIA and continues to believe that relying on the accident information in the RMP database is reasonable and the best source of available information. </w:t>
      </w:r>
      <w:r w:rsidR="00F84919">
        <w:rPr>
          <w:rFonts w:eastAsiaTheme="minorEastAsia"/>
        </w:rPr>
        <w:t>To the extent some accidents have been omitted, EPA’s estimates of accidents are conservative and may undercount the baseline damages that the RMP rule can help mitigate</w:t>
      </w:r>
      <w:r w:rsidR="007B229E">
        <w:rPr>
          <w:rFonts w:eastAsiaTheme="minorEastAsia"/>
        </w:rPr>
        <w:t>.</w:t>
      </w:r>
    </w:p>
    <w:p w:rsidR="0016005F" w:rsidRPr="00405871" w:rsidP="00DA5E0E" w14:paraId="43B3F707" w14:textId="60C36328">
      <w:pPr>
        <w:pStyle w:val="pf0"/>
        <w:spacing w:before="120" w:beforeAutospacing="0" w:after="120" w:afterAutospacing="0"/>
        <w:ind w:left="720"/>
      </w:pPr>
      <w:r w:rsidRPr="004C4F78">
        <w:rPr>
          <w:rFonts w:eastAsiaTheme="minorEastAsia"/>
        </w:rPr>
        <w:t xml:space="preserve">Future changes in accident risk due to climate change, new technologies, and other changes are difficult to predict. EPA believes it is reasonable to assume the number of accidents would be similar in </w:t>
      </w:r>
      <w:r w:rsidR="007152CA">
        <w:rPr>
          <w:rFonts w:eastAsiaTheme="minorEastAsia"/>
        </w:rPr>
        <w:t xml:space="preserve">future </w:t>
      </w:r>
      <w:r w:rsidRPr="004C4F78">
        <w:rPr>
          <w:rFonts w:eastAsiaTheme="minorEastAsia"/>
        </w:rPr>
        <w:t xml:space="preserve">years in </w:t>
      </w:r>
      <w:r w:rsidR="007152CA">
        <w:rPr>
          <w:rFonts w:eastAsiaTheme="minorEastAsia"/>
        </w:rPr>
        <w:t xml:space="preserve">the </w:t>
      </w:r>
      <w:r w:rsidRPr="004C4F78">
        <w:rPr>
          <w:rFonts w:eastAsiaTheme="minorEastAsia"/>
        </w:rPr>
        <w:t>absence of the final rule.</w:t>
      </w:r>
    </w:p>
    <w:p w:rsidR="00474683" w:rsidP="00474683" w14:paraId="33CED7A0" w14:textId="6F6E8056">
      <w:pPr>
        <w:rPr>
          <w:rFonts w:ascii="Times New Roman" w:hAnsi="Times New Roman"/>
          <w:sz w:val="24"/>
        </w:rPr>
      </w:pPr>
      <w:r w:rsidRPr="00680ACA">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.3-13</w:t>
      </w:r>
      <w:r w:rsidRPr="00680ACA">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more thoroughly considering the benefits from avoided accidents would provide additional support for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The commenter suggested first that EPA more fully assess health benefits—which currently focus only on reducing injuries—beyond treatment costs. The commenter recommended that EPA strengthen its analysis by updating its literature on the health benefits of the </w:t>
      </w:r>
      <w:r>
        <w:rPr>
          <w:rFonts w:ascii="Times New Roman" w:hAnsi="Times New Roman"/>
          <w:sz w:val="24"/>
        </w:rPr>
        <w:t>proposed rule</w:t>
      </w:r>
      <w:r w:rsidRPr="006F68E9">
        <w:rPr>
          <w:rFonts w:ascii="Times New Roman" w:hAnsi="Times New Roman"/>
          <w:sz w:val="24"/>
        </w:rPr>
        <w:t xml:space="preserve"> and, in particular, pain and suffering, that EPA might omit important non-acute injury and sickness and ignores </w:t>
      </w:r>
      <w:r w:rsidRPr="006F68E9">
        <w:rPr>
          <w:rFonts w:ascii="Times New Roman" w:hAnsi="Times New Roman"/>
          <w:sz w:val="24"/>
        </w:rPr>
        <w:t>long-term effects of the harm, and may be ignoring long-term quality of life decreases, also elides the importance of mental health costs</w:t>
      </w:r>
      <w:r>
        <w:rPr>
          <w:rFonts w:ascii="Times New Roman" w:hAnsi="Times New Roman"/>
          <w:sz w:val="24"/>
        </w:rPr>
        <w:t xml:space="preserve"> (0266).</w:t>
      </w:r>
    </w:p>
    <w:p w:rsidR="00474683" w:rsidP="00474683" w14:paraId="2132D87D" w14:textId="0B47B99B">
      <w:pPr>
        <w:ind w:left="720"/>
        <w:rPr>
          <w:rFonts w:ascii="Times New Roman" w:hAnsi="Times New Roman"/>
          <w:sz w:val="24"/>
        </w:rPr>
      </w:pPr>
      <w:r w:rsidRPr="00B5266C">
        <w:rPr>
          <w:rFonts w:ascii="Times New Roman" w:hAnsi="Times New Roman"/>
          <w:b/>
          <w:bCs/>
          <w:sz w:val="24"/>
        </w:rPr>
        <w:t>EPA Response:</w:t>
      </w:r>
      <w:r>
        <w:rPr>
          <w:rFonts w:ascii="Times New Roman" w:hAnsi="Times New Roman"/>
          <w:sz w:val="24"/>
        </w:rPr>
        <w:t xml:space="preserve"> EPA discussed several additional health benefits beyond treatment costs in the final rule RIA Chapter 6 and Chapter 9. The benefits from reducing potential </w:t>
      </w:r>
      <w:r>
        <w:rPr>
          <w:rFonts w:ascii="Times New Roman" w:hAnsi="Times New Roman"/>
          <w:sz w:val="24"/>
        </w:rPr>
        <w:t>health risks from toxic chemical</w:t>
      </w:r>
      <w:r w:rsidR="00397132">
        <w:rPr>
          <w:rFonts w:ascii="Times New Roman" w:hAnsi="Times New Roman"/>
          <w:sz w:val="24"/>
        </w:rPr>
        <w:t xml:space="preserve"> exposure</w:t>
      </w:r>
      <w:r>
        <w:rPr>
          <w:rFonts w:ascii="Times New Roman" w:hAnsi="Times New Roman"/>
          <w:sz w:val="24"/>
        </w:rPr>
        <w:t xml:space="preserve"> </w:t>
      </w:r>
      <w:r>
        <w:rPr>
          <w:rFonts w:ascii="Times New Roman" w:hAnsi="Times New Roman"/>
          <w:sz w:val="24"/>
        </w:rPr>
        <w:t>were discussed qualitatively. The health effects benefits to communities with environmental justice concerns were also discussed qualitatively.</w:t>
      </w:r>
    </w:p>
    <w:p w:rsidR="00474683" w:rsidP="00474683" w14:paraId="36A7F233" w14:textId="3A3CF926">
      <w:pPr>
        <w:rPr>
          <w:rFonts w:ascii="Times New Roman" w:hAnsi="Times New Roman"/>
          <w:sz w:val="24"/>
        </w:rPr>
      </w:pPr>
      <w:r w:rsidRPr="00241BF4">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.3-14</w:t>
      </w:r>
      <w:r w:rsidRPr="00241BF4">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describes the benefits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almost exclusively in terms of accident-related damages reduced or avoided, although the Agency is unable to quantify any such reductions. The commenter suggested that EPA could have gathered and analyzed data from the states currently implementing STAA requirements to understand – and potentially quantify – any accident reduction benefits in these jurisdictions since the requirements took effect; or it could have gathered accident data and statistics from facilities that are currently implementing a third-party audit program voluntarily, to attempt to quantify decreases in accident damages for that subset of facilities (0233).</w:t>
      </w:r>
    </w:p>
    <w:p w:rsidR="00474683" w:rsidP="00474683" w14:paraId="6403709B" w14:textId="514C8153">
      <w:pPr>
        <w:ind w:left="720"/>
        <w:rPr>
          <w:rFonts w:ascii="Times New Roman" w:hAnsi="Times New Roman"/>
          <w:sz w:val="24"/>
        </w:rPr>
      </w:pPr>
      <w:r w:rsidRPr="00B5266C">
        <w:rPr>
          <w:rFonts w:ascii="Times New Roman" w:hAnsi="Times New Roman"/>
          <w:b/>
          <w:bCs/>
          <w:sz w:val="24"/>
        </w:rPr>
        <w:t>EPA Response:</w:t>
      </w:r>
      <w:r>
        <w:rPr>
          <w:rFonts w:ascii="Times New Roman" w:hAnsi="Times New Roman"/>
          <w:sz w:val="24"/>
        </w:rPr>
        <w:t xml:space="preserve"> </w:t>
      </w:r>
      <w:r w:rsidRPr="000535CD">
        <w:rPr>
          <w:rFonts w:ascii="Times New Roman" w:hAnsi="Times New Roman"/>
          <w:sz w:val="24"/>
        </w:rPr>
        <w:t>EPA provided quantitative estimates wherever it could and discusses qualitatively the costs and benefits it could not quantify</w:t>
      </w:r>
      <w:r>
        <w:rPr>
          <w:rFonts w:ascii="Times New Roman" w:hAnsi="Times New Roman"/>
          <w:sz w:val="24"/>
        </w:rPr>
        <w:t xml:space="preserve"> due to data availability</w:t>
      </w:r>
      <w:r w:rsidR="00BD7F10">
        <w:rPr>
          <w:rFonts w:ascii="Times New Roman" w:hAnsi="Times New Roman"/>
          <w:sz w:val="24"/>
        </w:rPr>
        <w:t>.</w:t>
      </w:r>
      <w:r>
        <w:rPr>
          <w:rFonts w:ascii="Times New Roman" w:hAnsi="Times New Roman"/>
          <w:sz w:val="24"/>
        </w:rPr>
        <w:t xml:space="preserve"> </w:t>
      </w:r>
      <w:r>
        <w:rPr>
          <w:rFonts w:ascii="Times New Roman" w:hAnsi="Times New Roman"/>
          <w:sz w:val="24"/>
        </w:rPr>
        <w:t>EPA has not identified a set of comparison facilities to serve as a counterfactual t</w:t>
      </w:r>
      <w:r w:rsidRPr="00C615E9">
        <w:rPr>
          <w:rFonts w:ascii="Times New Roman" w:hAnsi="Times New Roman"/>
          <w:sz w:val="24"/>
        </w:rPr>
        <w:t xml:space="preserve">o estimate the </w:t>
      </w:r>
      <w:r>
        <w:rPr>
          <w:rFonts w:ascii="Times New Roman" w:hAnsi="Times New Roman"/>
          <w:sz w:val="24"/>
        </w:rPr>
        <w:t>effect of a</w:t>
      </w:r>
      <w:r w:rsidRPr="00C615E9">
        <w:rPr>
          <w:rFonts w:ascii="Times New Roman" w:hAnsi="Times New Roman"/>
          <w:sz w:val="24"/>
        </w:rPr>
        <w:t xml:space="preserve"> state or local </w:t>
      </w:r>
      <w:r>
        <w:rPr>
          <w:rFonts w:ascii="Times New Roman" w:hAnsi="Times New Roman"/>
          <w:sz w:val="24"/>
        </w:rPr>
        <w:t xml:space="preserve">government’s </w:t>
      </w:r>
      <w:r w:rsidRPr="00C615E9">
        <w:rPr>
          <w:rFonts w:ascii="Times New Roman" w:hAnsi="Times New Roman"/>
          <w:sz w:val="24"/>
        </w:rPr>
        <w:t>STAA-like requirements</w:t>
      </w:r>
      <w:r>
        <w:rPr>
          <w:rFonts w:ascii="Times New Roman" w:hAnsi="Times New Roman"/>
          <w:sz w:val="24"/>
        </w:rPr>
        <w:t xml:space="preserve"> on accident damages or the number of accidents. Furthermore, state and local STAA-like programs differ from the final rule’s STAA provisions in meaningful ways. While New Jersey and California statewide requirements resemble the final rule’s STAA initial evaluation and practicability study requirements, Massachusetts’ requirements are less stringent and no state mandates</w:t>
      </w:r>
      <w:r w:rsidR="006F3C36">
        <w:rPr>
          <w:rFonts w:ascii="Times New Roman" w:hAnsi="Times New Roman"/>
          <w:sz w:val="24"/>
        </w:rPr>
        <w:t xml:space="preserve"> that</w:t>
      </w:r>
      <w:r>
        <w:rPr>
          <w:rFonts w:ascii="Times New Roman" w:hAnsi="Times New Roman"/>
          <w:sz w:val="24"/>
        </w:rPr>
        <w:t xml:space="preserve"> facilities</w:t>
      </w:r>
      <w:r>
        <w:rPr>
          <w:rFonts w:ascii="Times New Roman" w:hAnsi="Times New Roman"/>
          <w:sz w:val="24"/>
        </w:rPr>
        <w:t xml:space="preserve"> </w:t>
      </w:r>
      <w:r>
        <w:rPr>
          <w:rFonts w:ascii="Times New Roman" w:hAnsi="Times New Roman"/>
          <w:sz w:val="24"/>
        </w:rPr>
        <w:t xml:space="preserve">implement practicable risk reduction measures. Contra Costa County’s requirements, </w:t>
      </w:r>
      <w:r w:rsidR="006F3C36">
        <w:rPr>
          <w:rFonts w:ascii="Times New Roman" w:hAnsi="Times New Roman"/>
          <w:sz w:val="24"/>
        </w:rPr>
        <w:t xml:space="preserve">which </w:t>
      </w:r>
      <w:r>
        <w:rPr>
          <w:rFonts w:ascii="Times New Roman" w:hAnsi="Times New Roman"/>
          <w:sz w:val="24"/>
        </w:rPr>
        <w:t>mandat</w:t>
      </w:r>
      <w:r w:rsidR="006F3C36">
        <w:rPr>
          <w:rFonts w:ascii="Times New Roman" w:hAnsi="Times New Roman"/>
          <w:sz w:val="24"/>
        </w:rPr>
        <w:t>e</w:t>
      </w:r>
      <w:r>
        <w:rPr>
          <w:rFonts w:ascii="Times New Roman" w:hAnsi="Times New Roman"/>
          <w:sz w:val="24"/>
        </w:rPr>
        <w:t xml:space="preserve"> implementation of inherently safer technology, are more stringent than the final rule’s STAA initial evaluation, practicability study, and implementation provision requirements combined. The final rule’s STAA provisions only mandate </w:t>
      </w:r>
      <w:r w:rsidR="002C2388">
        <w:rPr>
          <w:rFonts w:ascii="Times New Roman" w:hAnsi="Times New Roman"/>
          <w:sz w:val="24"/>
        </w:rPr>
        <w:t xml:space="preserve">that </w:t>
      </w:r>
      <w:r>
        <w:rPr>
          <w:rFonts w:ascii="Times New Roman" w:hAnsi="Times New Roman"/>
          <w:sz w:val="24"/>
        </w:rPr>
        <w:t xml:space="preserve">facilities implement a set of practicable measures achieving at least as much risk reduction as a passive measure. Furthermore, the final rule is implementing its STAA provisions concurrently with other provisions not implemented by these state and local jurisdictions, which may interact with the safety impacts of the STAA provisions. Moreover, facilities in these jurisdictions may not be representative of the potential safety benefits at facilities nationwide due not only to differing policy environments but also different technical, environmental, and economic conditions. </w:t>
      </w:r>
    </w:p>
    <w:p w:rsidR="00474683" w:rsidP="00474683" w14:paraId="7303E197" w14:textId="77777777">
      <w:pPr>
        <w:ind w:left="720"/>
        <w:rPr>
          <w:rFonts w:ascii="Times New Roman" w:hAnsi="Times New Roman"/>
          <w:sz w:val="24"/>
        </w:rPr>
      </w:pPr>
      <w:r>
        <w:rPr>
          <w:rFonts w:ascii="Times New Roman" w:hAnsi="Times New Roman"/>
          <w:sz w:val="24"/>
        </w:rPr>
        <w:t>Comparing accident damages between facilities voluntarily conducting third-party audits and those not would likely suffer from selection bias because the choice to conduct an audit with a third-party may be associated either with other voluntary commitments to improve safety or with more inherent safety challenges at a facility. However, the final rule RIA Chapter 6 section 6.14 Evidence from the Literature discusses a number of articles from the literature that suggest a third-party audit requirement should improve safety.</w:t>
      </w:r>
    </w:p>
    <w:p w:rsidR="00474683" w:rsidP="00474683" w14:paraId="76F264A6" w14:textId="63B2F3D6">
      <w:pPr>
        <w:ind w:left="720"/>
        <w:rPr>
          <w:rFonts w:ascii="Times New Roman" w:hAnsi="Times New Roman"/>
          <w:sz w:val="24"/>
        </w:rPr>
      </w:pPr>
      <w:r w:rsidRPr="000535CD">
        <w:rPr>
          <w:rFonts w:ascii="Times New Roman" w:hAnsi="Times New Roman"/>
          <w:sz w:val="24"/>
        </w:rPr>
        <w:t xml:space="preserve">While EPA does not have the data to estimate risk reduction from the final rule’s requirements, the breakeven analysis illustrates the degree of risk reduction overall that the final rule must achieve for quantified benefits to exceed quantified costs. The final </w:t>
      </w:r>
      <w:r w:rsidRPr="000535CD">
        <w:rPr>
          <w:rFonts w:ascii="Times New Roman" w:hAnsi="Times New Roman"/>
          <w:sz w:val="24"/>
        </w:rPr>
        <w:t>rule RIA Chapter 6 section 6.3 Avoided Accident Impacts: Breakeven Analysis</w:t>
      </w:r>
      <w:r w:rsidR="00CC7679">
        <w:rPr>
          <w:rFonts w:ascii="Times New Roman" w:hAnsi="Times New Roman"/>
          <w:sz w:val="24"/>
        </w:rPr>
        <w:t>,</w:t>
      </w:r>
      <w:r w:rsidRPr="000535CD">
        <w:rPr>
          <w:rFonts w:ascii="Times New Roman" w:hAnsi="Times New Roman"/>
          <w:sz w:val="24"/>
        </w:rPr>
        <w:t xml:space="preserve"> discusses the breakeven analysis results. When considering the rule’s likely benefits of avoiding some portion of the monetized accident impacts, as well as the additional nonmonetized benefits, EPA believes the costs of the rule are reasonable in comparison to its expected benefits</w:t>
      </w:r>
      <w:r>
        <w:rPr>
          <w:rFonts w:ascii="Times New Roman" w:hAnsi="Times New Roman"/>
          <w:sz w:val="24"/>
        </w:rPr>
        <w:t>.</w:t>
      </w:r>
    </w:p>
    <w:p w:rsidR="00594142" w:rsidP="00594142" w14:paraId="16F35A7B" w14:textId="6EF4D1A1">
      <w:pPr>
        <w:rPr>
          <w:rFonts w:ascii="Times New Roman" w:hAnsi="Times New Roman"/>
          <w:sz w:val="24"/>
        </w:rPr>
      </w:pPr>
      <w:r w:rsidRPr="006C4E2D">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.3-15</w:t>
      </w:r>
      <w:r w:rsidRPr="006C4E2D">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suggested that EPA should more carefully consider how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could reduce the likelihood or magnitude of a future worst-case scenario. The commenter suggested that EPA assess the number of fatalities that could be caused by such an event, but for context an event that caused even 100 deaths, using the same value of a statistical life (VSL) as EPA applied in the RIA ($9.3 million), would result in $903 million in harm before considering property damage, injuries, or unquantified costs—and preventing these 100 deaths alone would exceed the estimated 10-year costs of the program</w:t>
      </w:r>
      <w:r w:rsidR="00AE194F">
        <w:rPr>
          <w:rFonts w:ascii="Times New Roman" w:hAnsi="Times New Roman"/>
          <w:sz w:val="24"/>
        </w:rPr>
        <w:t xml:space="preserve">.  The commenter </w:t>
      </w:r>
      <w:r w:rsidR="00AD1186">
        <w:rPr>
          <w:rFonts w:ascii="Times New Roman" w:hAnsi="Times New Roman"/>
          <w:sz w:val="24"/>
        </w:rPr>
        <w:t xml:space="preserve">also </w:t>
      </w:r>
      <w:r w:rsidRPr="006F68E9">
        <w:rPr>
          <w:rFonts w:ascii="Times New Roman" w:hAnsi="Times New Roman"/>
          <w:sz w:val="24"/>
        </w:rPr>
        <w:t>stated that EPA may want to consider also applying alternative characterizations, such as the number of fatalities or injuries that would need to be avoided per year. The commenter stated that EPA’s current breakeven analysis focuses on the size of the mean incident, but the distributional properties mean it is critical to reduce the higher moments – e.g., variance and skew – of the distribution as well. The commenter stated that given § 112(r)’s legislative purpose to prevent catastrophic events and the design of the regulatory regime to address worst-case scenarios, it would also make sense for EPA to analyze the benefits of avoiding these low-probability, high impact events. The commenter stated that EPA should consider using the worst-case scenario plans in RMPs and its expertise to determine the right number for a mid- or upper-bound breakeven point based on either historical events or future worst-case scenarios. The commenter suggested that given the STAA’s applicability to avoiding worst-case scenarios it may be most appropriate to use these larger incident breakeven points for its consideration and narratively contextualize this relevance</w:t>
      </w:r>
      <w:r>
        <w:rPr>
          <w:rFonts w:ascii="Times New Roman" w:hAnsi="Times New Roman"/>
          <w:sz w:val="24"/>
        </w:rPr>
        <w:t xml:space="preserve"> </w:t>
      </w:r>
      <w:r w:rsidRPr="006F68E9">
        <w:rPr>
          <w:rFonts w:ascii="Times New Roman" w:hAnsi="Times New Roman"/>
          <w:sz w:val="24"/>
        </w:rPr>
        <w:t>(0266)</w:t>
      </w:r>
      <w:r>
        <w:rPr>
          <w:rFonts w:ascii="Times New Roman" w:hAnsi="Times New Roman"/>
          <w:sz w:val="24"/>
        </w:rPr>
        <w:t>.</w:t>
      </w:r>
    </w:p>
    <w:p w:rsidR="000363A5" w:rsidP="000363A5" w14:paraId="20918017" w14:textId="3BF1F6E5">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733A9C">
        <w:rPr>
          <w:rFonts w:ascii="Times New Roman" w:hAnsi="Times New Roman"/>
          <w:sz w:val="24"/>
        </w:rPr>
        <w:t xml:space="preserve">EPA provided quantitative estimates wherever it could and discusses qualitatively the costs and benefits it could not quantify. </w:t>
      </w:r>
      <w:r w:rsidRPr="005C318E">
        <w:rPr>
          <w:rFonts w:ascii="Times New Roman" w:hAnsi="Times New Roman"/>
          <w:sz w:val="24"/>
        </w:rPr>
        <w:t>EPA conducted a breakeven analysis instead of a standard cost benefit analysis</w:t>
      </w:r>
      <w:r w:rsidR="00444BDE">
        <w:rPr>
          <w:rFonts w:ascii="Times New Roman" w:hAnsi="Times New Roman"/>
          <w:sz w:val="24"/>
        </w:rPr>
        <w:t>,</w:t>
      </w:r>
      <w:r w:rsidRPr="005C318E">
        <w:rPr>
          <w:rFonts w:ascii="Times New Roman" w:hAnsi="Times New Roman"/>
          <w:sz w:val="24"/>
        </w:rPr>
        <w:t xml:space="preserve"> because while EPA was able to estimate the costs of the final rule, it cannot </w:t>
      </w:r>
      <w:r w:rsidR="00F84919">
        <w:rPr>
          <w:rFonts w:ascii="Times New Roman" w:hAnsi="Times New Roman"/>
          <w:sz w:val="24"/>
        </w:rPr>
        <w:t>precisely monetize</w:t>
      </w:r>
      <w:r w:rsidRPr="005C318E" w:rsidR="00F84919">
        <w:rPr>
          <w:rFonts w:ascii="Times New Roman" w:hAnsi="Times New Roman"/>
          <w:sz w:val="24"/>
        </w:rPr>
        <w:t xml:space="preserve"> </w:t>
      </w:r>
      <w:r w:rsidRPr="005C318E">
        <w:rPr>
          <w:rFonts w:ascii="Times New Roman" w:hAnsi="Times New Roman"/>
          <w:sz w:val="24"/>
        </w:rPr>
        <w:t xml:space="preserve">the benefits. The incremental impact on the risk of an RMP facility release resulting from each of the revised RMP rule provisions is uncertain, as is the value of a wide variety of benefit categories as described </w:t>
      </w:r>
      <w:r>
        <w:rPr>
          <w:rFonts w:ascii="Times New Roman" w:hAnsi="Times New Roman"/>
          <w:sz w:val="24"/>
        </w:rPr>
        <w:t>in the final rule RIA Chapter 6</w:t>
      </w:r>
      <w:r w:rsidRPr="005C318E">
        <w:rPr>
          <w:rFonts w:ascii="Times New Roman" w:hAnsi="Times New Roman"/>
          <w:sz w:val="24"/>
        </w:rPr>
        <w:t xml:space="preserve"> (</w:t>
      </w:r>
      <w:r>
        <w:rPr>
          <w:rFonts w:ascii="Times New Roman" w:hAnsi="Times New Roman"/>
          <w:sz w:val="24"/>
        </w:rPr>
        <w:t xml:space="preserve">major catastrophes, </w:t>
      </w:r>
      <w:r w:rsidRPr="005C318E">
        <w:rPr>
          <w:rFonts w:ascii="Times New Roman" w:hAnsi="Times New Roman"/>
          <w:sz w:val="24"/>
        </w:rPr>
        <w:t xml:space="preserve">lost productivity, responder costs, property value impacts, and so on). </w:t>
      </w:r>
      <w:r w:rsidRPr="008E2AE4">
        <w:rPr>
          <w:rFonts w:ascii="Times New Roman" w:hAnsi="Times New Roman"/>
          <w:sz w:val="24"/>
        </w:rPr>
        <w:t>While EPA does not have the data to estimate risk reduction from the final rule’s requirements,</w:t>
      </w:r>
      <w:r w:rsidR="00FB01B4">
        <w:rPr>
          <w:rFonts w:ascii="Times New Roman" w:hAnsi="Times New Roman"/>
          <w:sz w:val="24"/>
        </w:rPr>
        <w:t xml:space="preserve"> </w:t>
      </w:r>
      <w:r w:rsidRPr="007B229E" w:rsidR="007B229E">
        <w:rPr>
          <w:rFonts w:ascii="Times New Roman" w:hAnsi="Times New Roman"/>
          <w:sz w:val="24"/>
        </w:rPr>
        <w:t xml:space="preserve"> </w:t>
      </w:r>
      <w:r w:rsidR="007B229E">
        <w:rPr>
          <w:rFonts w:ascii="Times New Roman" w:hAnsi="Times New Roman"/>
          <w:sz w:val="24"/>
        </w:rPr>
        <w:t>E</w:t>
      </w:r>
      <w:r w:rsidRPr="00471313" w:rsidR="007B229E">
        <w:rPr>
          <w:rFonts w:ascii="Times New Roman" w:hAnsi="Times New Roman"/>
          <w:sz w:val="24"/>
        </w:rPr>
        <w:t xml:space="preserve">PA selected the provisions included in the final based on </w:t>
      </w:r>
      <w:r w:rsidR="007B229E">
        <w:rPr>
          <w:rFonts w:ascii="Times New Roman" w:hAnsi="Times New Roman"/>
          <w:sz w:val="24"/>
        </w:rPr>
        <w:t xml:space="preserve">comments, </w:t>
      </w:r>
      <w:r w:rsidRPr="00471313" w:rsidR="007B229E">
        <w:rPr>
          <w:rFonts w:ascii="Times New Roman" w:hAnsi="Times New Roman"/>
          <w:sz w:val="24"/>
        </w:rPr>
        <w:t>experts in industry, academia, and federal entities, like the Chemical Safety and Hazard Investigation Board. Although EPA cannot estimate the risk reduction with precision, that does not countermand the agency’s reasoned conclusion that these provisions—both each individually, and together as a whole—would incrementally mitigate the likelihood of an accident.</w:t>
      </w:r>
      <w:r w:rsidR="00F84919">
        <w:rPr>
          <w:rFonts w:ascii="Times New Roman" w:hAnsi="Times New Roman"/>
          <w:sz w:val="24"/>
        </w:rPr>
        <w:t xml:space="preserve"> T</w:t>
      </w:r>
      <w:r w:rsidRPr="008E2AE4">
        <w:rPr>
          <w:rFonts w:ascii="Times New Roman" w:hAnsi="Times New Roman"/>
          <w:sz w:val="24"/>
        </w:rPr>
        <w:t>he breakeven analysis illustrates the degree of risk reduction overall that the final rule must achieve for quantified benefits to exceed quantified costs.</w:t>
      </w:r>
      <w:r>
        <w:rPr>
          <w:rFonts w:ascii="Times New Roman" w:hAnsi="Times New Roman"/>
          <w:sz w:val="24"/>
        </w:rPr>
        <w:t xml:space="preserve"> </w:t>
      </w:r>
      <w:r w:rsidRPr="00BF6A4F">
        <w:rPr>
          <w:rFonts w:ascii="Times New Roman" w:hAnsi="Times New Roman"/>
          <w:sz w:val="24"/>
        </w:rPr>
        <w:t>Given the high degree of uncertainty in estimating accident damages, EPA does not provide separate accident damage averages by sector or provision.</w:t>
      </w:r>
    </w:p>
    <w:p w:rsidR="000363A5" w:rsidP="000363A5" w14:paraId="08EBB74B" w14:textId="77777777">
      <w:pPr>
        <w:ind w:left="720"/>
        <w:rPr>
          <w:rFonts w:ascii="Times New Roman" w:hAnsi="Times New Roman"/>
          <w:sz w:val="24"/>
        </w:rPr>
      </w:pPr>
      <w:r>
        <w:rPr>
          <w:rFonts w:ascii="Times New Roman" w:hAnsi="Times New Roman"/>
          <w:sz w:val="24"/>
        </w:rPr>
        <w:t xml:space="preserve">In absence of sufficient data for quantification, </w:t>
      </w:r>
      <w:r w:rsidRPr="00937C64">
        <w:rPr>
          <w:rFonts w:ascii="Times New Roman" w:hAnsi="Times New Roman"/>
          <w:sz w:val="24"/>
        </w:rPr>
        <w:t xml:space="preserve">EPA </w:t>
      </w:r>
      <w:r>
        <w:rPr>
          <w:rFonts w:ascii="Times New Roman" w:hAnsi="Times New Roman"/>
          <w:sz w:val="24"/>
        </w:rPr>
        <w:t>discusses qualitatively</w:t>
      </w:r>
      <w:r w:rsidRPr="00937C64">
        <w:rPr>
          <w:rFonts w:ascii="Times New Roman" w:hAnsi="Times New Roman"/>
          <w:sz w:val="24"/>
        </w:rPr>
        <w:t xml:space="preserve"> that risk mitigation measures may decrease the risk of </w:t>
      </w:r>
      <w:r>
        <w:rPr>
          <w:rFonts w:ascii="Times New Roman" w:hAnsi="Times New Roman"/>
          <w:sz w:val="24"/>
        </w:rPr>
        <w:t>major catastrophes</w:t>
      </w:r>
      <w:r w:rsidRPr="00937C64">
        <w:rPr>
          <w:rFonts w:ascii="Times New Roman" w:hAnsi="Times New Roman"/>
          <w:sz w:val="24"/>
        </w:rPr>
        <w:t xml:space="preserve"> that are far more damaging than the </w:t>
      </w:r>
      <w:r>
        <w:rPr>
          <w:rFonts w:ascii="Times New Roman" w:hAnsi="Times New Roman"/>
          <w:sz w:val="24"/>
        </w:rPr>
        <w:t xml:space="preserve">five-year historic </w:t>
      </w:r>
      <w:r w:rsidRPr="00937C64">
        <w:rPr>
          <w:rFonts w:ascii="Times New Roman" w:hAnsi="Times New Roman"/>
          <w:sz w:val="24"/>
        </w:rPr>
        <w:t xml:space="preserve">average reported RMP accident and may not only decrease the risk of accidents but also decrease the magnitude of accident damages. To this end, the SCCAP final rule RIA reports breakeven analysis results in terms of both the number of average-cost accidents the final rule must avoid and the dollar amount of damages the final rule must avoid. </w:t>
      </w:r>
    </w:p>
    <w:p w:rsidR="000363A5" w:rsidP="000363A5" w14:paraId="55E36FEB" w14:textId="77777777">
      <w:pPr>
        <w:ind w:left="720"/>
        <w:rPr>
          <w:rFonts w:ascii="Times New Roman" w:hAnsi="Times New Roman"/>
          <w:sz w:val="24"/>
        </w:rPr>
      </w:pPr>
      <w:r w:rsidRPr="005C318E">
        <w:rPr>
          <w:rFonts w:ascii="Times New Roman" w:hAnsi="Times New Roman"/>
          <w:sz w:val="24"/>
        </w:rPr>
        <w:t xml:space="preserve">The final rule </w:t>
      </w:r>
      <w:r>
        <w:rPr>
          <w:rFonts w:ascii="Times New Roman" w:hAnsi="Times New Roman"/>
          <w:sz w:val="24"/>
        </w:rPr>
        <w:t>RIA Chapter 6 section 6.3 Avoided Accident Impacts: Breakeven Analysis discusses the breakeven analysis results</w:t>
      </w:r>
      <w:r w:rsidRPr="005C318E">
        <w:rPr>
          <w:rFonts w:ascii="Times New Roman" w:hAnsi="Times New Roman"/>
          <w:sz w:val="24"/>
        </w:rPr>
        <w:t>. When considering the rule’s likely benefits of avoiding some portion of the monetized accident impacts, as well as the additional nonmonetized benefits, EPA believes the costs of the rule are reasonable in comparison to its expected benefits</w:t>
      </w:r>
      <w:r>
        <w:rPr>
          <w:rFonts w:ascii="Times New Roman" w:hAnsi="Times New Roman"/>
          <w:sz w:val="24"/>
        </w:rPr>
        <w:t xml:space="preserve">. </w:t>
      </w:r>
    </w:p>
    <w:p w:rsidR="000B2361" w:rsidP="000B2361" w14:paraId="64F21688" w14:textId="77DC487A">
      <w:pPr>
        <w:rPr>
          <w:rFonts w:ascii="Times New Roman" w:hAnsi="Times New Roman"/>
          <w:sz w:val="24"/>
        </w:rPr>
      </w:pPr>
      <w:r w:rsidRPr="008565D9">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w:t>
      </w:r>
      <w:r w:rsidR="009E17E1">
        <w:rPr>
          <w:rFonts w:ascii="Times New Roman" w:hAnsi="Times New Roman"/>
          <w:b/>
          <w:bCs/>
          <w:sz w:val="24"/>
        </w:rPr>
        <w:t>6</w:t>
      </w:r>
      <w:r w:rsidRPr="008565D9">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has not demonstrated how the </w:t>
      </w:r>
      <w:r>
        <w:rPr>
          <w:rFonts w:ascii="Times New Roman" w:hAnsi="Times New Roman"/>
          <w:sz w:val="24"/>
        </w:rPr>
        <w:t>proposed rule</w:t>
      </w:r>
      <w:r w:rsidRPr="006F68E9">
        <w:rPr>
          <w:rFonts w:ascii="Times New Roman" w:hAnsi="Times New Roman"/>
          <w:sz w:val="24"/>
        </w:rPr>
        <w:t xml:space="preserve"> would result in 15 fewer incidents, annually (0268).</w:t>
      </w:r>
    </w:p>
    <w:p w:rsidR="000B2361" w:rsidP="000B2361" w14:paraId="36575D10" w14:textId="30D63716">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733A9C">
        <w:rPr>
          <w:rFonts w:ascii="Times New Roman" w:hAnsi="Times New Roman"/>
          <w:sz w:val="24"/>
        </w:rPr>
        <w:t xml:space="preserve">EPA </w:t>
      </w:r>
      <w:r>
        <w:rPr>
          <w:rFonts w:ascii="Times New Roman" w:hAnsi="Times New Roman"/>
          <w:sz w:val="24"/>
        </w:rPr>
        <w:t xml:space="preserve">disagrees that it has not demonstrated the </w:t>
      </w:r>
      <w:r>
        <w:rPr>
          <w:rFonts w:ascii="Times New Roman" w:hAnsi="Times New Roman"/>
          <w:sz w:val="24"/>
        </w:rPr>
        <w:t>SCCAP</w:t>
      </w:r>
      <w:r>
        <w:rPr>
          <w:rFonts w:ascii="Times New Roman" w:hAnsi="Times New Roman"/>
          <w:sz w:val="24"/>
        </w:rPr>
        <w:t xml:space="preserve"> final rule w</w:t>
      </w:r>
      <w:r w:rsidR="00CC7679">
        <w:rPr>
          <w:rFonts w:ascii="Times New Roman" w:hAnsi="Times New Roman"/>
          <w:sz w:val="24"/>
        </w:rPr>
        <w:t>ill</w:t>
      </w:r>
      <w:r>
        <w:rPr>
          <w:rFonts w:ascii="Times New Roman" w:hAnsi="Times New Roman"/>
          <w:sz w:val="24"/>
        </w:rPr>
        <w:t xml:space="preserve"> reasonably result in benefits that will exceed the final rule’s estimated costs. </w:t>
      </w:r>
      <w:r w:rsidRPr="009F0B02">
        <w:rPr>
          <w:rFonts w:ascii="Times New Roman" w:hAnsi="Times New Roman"/>
          <w:sz w:val="24"/>
        </w:rPr>
        <w:t xml:space="preserve">In </w:t>
      </w:r>
      <w:r w:rsidR="00CC7679">
        <w:rPr>
          <w:rFonts w:ascii="Times New Roman" w:hAnsi="Times New Roman"/>
          <w:sz w:val="24"/>
        </w:rPr>
        <w:t xml:space="preserve">the </w:t>
      </w:r>
      <w:r w:rsidRPr="009F0B02">
        <w:rPr>
          <w:rFonts w:ascii="Times New Roman" w:hAnsi="Times New Roman"/>
          <w:sz w:val="24"/>
        </w:rPr>
        <w:t xml:space="preserve">absence of sufficient data for quantification, EPA discusses qualitatively that risk mitigation measures may decrease the risk of catastrophic accidents that are far more damaging than any reported RMP accident and may not only decrease the risk of accidents but also decrease the magnitude of accident damages. To this end, the </w:t>
      </w:r>
      <w:r w:rsidRPr="009F0B02">
        <w:rPr>
          <w:rFonts w:ascii="Times New Roman" w:hAnsi="Times New Roman"/>
          <w:sz w:val="24"/>
        </w:rPr>
        <w:t xml:space="preserve">SCCAP </w:t>
      </w:r>
      <w:r w:rsidRPr="009F0B02">
        <w:rPr>
          <w:rFonts w:ascii="Times New Roman" w:hAnsi="Times New Roman"/>
          <w:sz w:val="24"/>
        </w:rPr>
        <w:t>final rule RIA reports breakeven analysis results in terms of both the number of average-cost accidents the final rule must avoid and the dollar amount of damages the final rule must avoid.</w:t>
      </w:r>
      <w:r>
        <w:rPr>
          <w:rFonts w:ascii="Times New Roman" w:hAnsi="Times New Roman"/>
          <w:sz w:val="24"/>
        </w:rPr>
        <w:t xml:space="preserve"> The reported number of avoided accidents the final rule must result in is conservative in that it does not account for any accident damages that are not monetizable. Chapter 6 section 6.1 Benefit Categories of the final rule RIA qualitatively discusses the benefits of the final rule, which it summarizes in Exhibit 6-1 Social Benefits of final </w:t>
      </w:r>
      <w:r>
        <w:rPr>
          <w:rFonts w:ascii="Times New Roman" w:hAnsi="Times New Roman"/>
          <w:sz w:val="24"/>
        </w:rPr>
        <w:t>r</w:t>
      </w:r>
      <w:r>
        <w:rPr>
          <w:rFonts w:ascii="Times New Roman" w:hAnsi="Times New Roman"/>
          <w:sz w:val="24"/>
        </w:rPr>
        <w:t xml:space="preserve">ule Provisions. </w:t>
      </w:r>
    </w:p>
    <w:p w:rsidR="000B2361" w:rsidRPr="006F68E9" w:rsidP="000B2361" w14:paraId="5099F9BD" w14:textId="40EF1BB7">
      <w:pPr>
        <w:rPr>
          <w:rFonts w:ascii="Times New Roman" w:hAnsi="Times New Roman"/>
          <w:sz w:val="24"/>
        </w:rPr>
      </w:pPr>
      <w:r w:rsidRPr="008565D9">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w:t>
      </w:r>
      <w:r w:rsidR="009E17E1">
        <w:rPr>
          <w:rFonts w:ascii="Times New Roman" w:hAnsi="Times New Roman"/>
          <w:b/>
          <w:bCs/>
          <w:sz w:val="24"/>
        </w:rPr>
        <w:t>7</w:t>
      </w:r>
      <w:r w:rsidRPr="008565D9">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expressed concern that EPA failed to construct appropriate regulatory alternatives and differentiate benefits across the new requirements, noting that failure to discern differences in the benefits of the new provisions will lead to mistakes in identifying and evaluating regulatory alternatives (0215).</w:t>
      </w:r>
    </w:p>
    <w:p w:rsidR="000B2361" w:rsidP="000B2361" w14:paraId="3E0EBA13" w14:textId="2FD25DA9">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733A9C">
        <w:rPr>
          <w:rFonts w:ascii="Times New Roman" w:hAnsi="Times New Roman"/>
          <w:sz w:val="24"/>
        </w:rPr>
        <w:t xml:space="preserve">EPA </w:t>
      </w:r>
      <w:r>
        <w:rPr>
          <w:rFonts w:ascii="Times New Roman" w:hAnsi="Times New Roman"/>
          <w:sz w:val="24"/>
        </w:rPr>
        <w:t xml:space="preserve">disagrees that it has failed to construct appropriate regulatory alternatives and differentiate benefits across the new provisions. In absence of available to data to quantify benefits, Chapter 6 section 6.1 Benefit Categories of the final rule RIA qualitatively discusses the benefits of the final rule, which it summarizes in Exhibit 6-1 Social Benefits of final rule Provisions. </w:t>
      </w:r>
      <w:r>
        <w:rPr>
          <w:rFonts w:ascii="Times New Roman" w:hAnsi="Times New Roman"/>
          <w:sz w:val="24"/>
        </w:rPr>
        <w:t xml:space="preserve">EPA expects the STAA, root cause analysis, third-party audits, employee participation plan, RMP justifications, emergency response, and information availability provisions all will result in benefits via mitigation of future RMP and non-RMP accidents at RMP facilities. Additionally, EPA expects STAA, root cause analysis, third-party audits, and employee participation plan provisions will prevent future RMP and non-RMP accidents at RMP facilities and reduce the risk of major catastrophes. </w:t>
      </w:r>
      <w:r w:rsidR="00403A3F">
        <w:rPr>
          <w:rFonts w:ascii="Times New Roman" w:hAnsi="Times New Roman"/>
          <w:sz w:val="24"/>
        </w:rPr>
        <w:t>T</w:t>
      </w:r>
      <w:r>
        <w:rPr>
          <w:rFonts w:ascii="Times New Roman" w:hAnsi="Times New Roman"/>
          <w:sz w:val="24"/>
        </w:rPr>
        <w:t xml:space="preserve">he information availability provision </w:t>
      </w:r>
      <w:r w:rsidRPr="00AE7B38">
        <w:rPr>
          <w:rFonts w:ascii="Times New Roman" w:hAnsi="Times New Roman"/>
          <w:sz w:val="24"/>
        </w:rPr>
        <w:t>may also lead to more efficient property markets in areas near RMP facilities</w:t>
      </w:r>
      <w:r>
        <w:rPr>
          <w:rFonts w:ascii="Times New Roman" w:hAnsi="Times New Roman"/>
          <w:sz w:val="24"/>
        </w:rPr>
        <w:t xml:space="preserve">. </w:t>
      </w:r>
      <w:r w:rsidR="007B229E">
        <w:rPr>
          <w:rFonts w:ascii="Times New Roman" w:hAnsi="Times New Roman"/>
          <w:sz w:val="24"/>
        </w:rPr>
        <w:t xml:space="preserve">For a further discussion of how these </w:t>
      </w:r>
      <w:r w:rsidR="007B229E">
        <w:rPr>
          <w:rFonts w:ascii="Times New Roman" w:hAnsi="Times New Roman"/>
          <w:sz w:val="24"/>
        </w:rPr>
        <w:t xml:space="preserve">provisions </w:t>
      </w:r>
      <w:r w:rsidRPr="007B229E" w:rsidR="007B229E">
        <w:rPr>
          <w:rFonts w:ascii="Times New Roman" w:hAnsi="Times New Roman"/>
          <w:sz w:val="24"/>
        </w:rPr>
        <w:t>are intended to lower the likelihood of future accidents of the same or similar type</w:t>
      </w:r>
      <w:r w:rsidR="007B229E">
        <w:rPr>
          <w:rFonts w:ascii="Times New Roman" w:hAnsi="Times New Roman"/>
          <w:sz w:val="24"/>
        </w:rPr>
        <w:t xml:space="preserve"> see RIA section 6.1.1.</w:t>
      </w:r>
    </w:p>
    <w:p w:rsidR="000B2361" w:rsidRPr="006F68E9" w:rsidP="000B2361" w14:paraId="560552C0" w14:textId="4C9995B1">
      <w:pPr>
        <w:ind w:left="720"/>
        <w:rPr>
          <w:rFonts w:ascii="Times New Roman" w:hAnsi="Times New Roman"/>
          <w:sz w:val="24"/>
        </w:rPr>
      </w:pPr>
      <w:r>
        <w:rPr>
          <w:rFonts w:ascii="Times New Roman" w:hAnsi="Times New Roman"/>
          <w:sz w:val="24"/>
        </w:rPr>
        <w:t>EPA constructed one regulatory alternative with higher costs and benefits and one regulatory alternative with lower costs and benefits than the final rule. The high-cost alternative would require all P3 facilities to conduct a third-party audit. Unlike the final rule, this alternative would not result in reduced future accident damage from requiring P2 facilities with an accident to perform a third-party audit but would result in reduced future accident damage at P3 facilities that had not already had an accident. The low-cost alternative would only require P2 and P3 facilities with multiple accidents in the past five years to conduct a third-party audit. Unlike the final rule, this alternative would not result in reduced future accident damage from requiring P2 and P3 facilities with only one accident to conduct a third-party audit. Unlike the final rule, the high-cost alternative would require all complex P3 facilities, instead of only a subset, to perform a STAA practicability study and implement a practicable risk-reduction measure, which EPA expects would result in risk reduction at more facilities. By contrast, the low-cost alternative would not require a STAA practicability study or implementation, so it would not result in the expected benefits from these provisions. The low-cost alternative also only require</w:t>
      </w:r>
      <w:r w:rsidR="00A3717C">
        <w:rPr>
          <w:rFonts w:ascii="Times New Roman" w:hAnsi="Times New Roman"/>
          <w:sz w:val="24"/>
        </w:rPr>
        <w:t>s</w:t>
      </w:r>
      <w:r>
        <w:rPr>
          <w:rFonts w:ascii="Times New Roman" w:hAnsi="Times New Roman"/>
          <w:sz w:val="24"/>
        </w:rPr>
        <w:t xml:space="preserve"> P3 facilities with an accident to perform a root cause analysis, instead of P2 and P3 facilities with an accident under the final rule and high-cost alternative, so it would not result in reduced future accident damage at P2 facilities from requiring a root cause analysis. Last, the low-cost alternative would not require P2 facilities to develop an employee participation plan and would not require training on the employee participation plan for any facility, which would result in less accident damage reduction than under the final rule and high-cost alternative that do require these. </w:t>
      </w:r>
      <w:r>
        <w:rPr>
          <w:rFonts w:ascii="Times New Roman" w:hAnsi="Times New Roman"/>
          <w:sz w:val="24"/>
        </w:rPr>
        <w:t>Hence, EPA expects the final rule will result in fewer benefits and costs than</w:t>
      </w:r>
      <w:r>
        <w:rPr>
          <w:rFonts w:ascii="Times New Roman" w:hAnsi="Times New Roman"/>
          <w:sz w:val="24"/>
        </w:rPr>
        <w:t xml:space="preserve"> </w:t>
      </w:r>
      <w:r>
        <w:rPr>
          <w:rFonts w:ascii="Times New Roman" w:hAnsi="Times New Roman"/>
          <w:sz w:val="24"/>
        </w:rPr>
        <w:t>the high-cost alternative and more benefits and costs than the low-cost alternative</w:t>
      </w:r>
      <w:r>
        <w:rPr>
          <w:rFonts w:ascii="Times New Roman" w:hAnsi="Times New Roman"/>
          <w:sz w:val="24"/>
        </w:rPr>
        <w:t>.</w:t>
      </w:r>
      <w:r w:rsidRPr="007B229E" w:rsidR="007B229E">
        <w:t xml:space="preserve"> </w:t>
      </w:r>
      <w:r w:rsidRPr="007B229E" w:rsidR="007B229E">
        <w:rPr>
          <w:rFonts w:ascii="Times New Roman" w:hAnsi="Times New Roman"/>
          <w:sz w:val="24"/>
        </w:rPr>
        <w:t>In selecting between the alternatives, EPA has tried to balance new prevention program requirements with costs incurred by the regulated community.</w:t>
      </w:r>
    </w:p>
    <w:p w:rsidR="000B2361" w:rsidP="000B2361" w14:paraId="25448683" w14:textId="686F0B66">
      <w:pPr>
        <w:rPr>
          <w:rFonts w:ascii="Times New Roman" w:hAnsi="Times New Roman"/>
          <w:sz w:val="24"/>
        </w:rPr>
      </w:pPr>
      <w:r w:rsidRPr="008565D9">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.3-1</w:t>
      </w:r>
      <w:r w:rsidR="009E17E1">
        <w:rPr>
          <w:rFonts w:ascii="Times New Roman" w:hAnsi="Times New Roman"/>
          <w:b/>
          <w:bCs/>
          <w:sz w:val="24"/>
        </w:rPr>
        <w:t>8</w:t>
      </w:r>
      <w:r w:rsidRPr="008565D9">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disagreed with how the RIA presented the benefits of the proposed provisions, noting that the bundling of distinct provisions does not allow evaluation of each provision on its merits (0215).</w:t>
      </w:r>
    </w:p>
    <w:p w:rsidR="007B229E" w:rsidP="001F2852" w14:paraId="6A03C19D" w14:textId="03A3E421">
      <w:pPr>
        <w:ind w:left="720" w:right="51"/>
        <w:rPr>
          <w:rFonts w:ascii="Times New Roman" w:hAnsi="Times New Roman"/>
          <w:sz w:val="24"/>
        </w:rPr>
      </w:pPr>
      <w:r w:rsidRPr="002D001A">
        <w:rPr>
          <w:rFonts w:ascii="Times New Roman" w:hAnsi="Times New Roman"/>
          <w:b/>
          <w:sz w:val="24"/>
        </w:rPr>
        <w:t>EPA Response:</w:t>
      </w:r>
      <w:r w:rsidRPr="002D001A">
        <w:rPr>
          <w:rFonts w:ascii="Times New Roman" w:hAnsi="Times New Roman"/>
          <w:sz w:val="24"/>
        </w:rPr>
        <w:t xml:space="preserve"> EPA disagrees that the final rule RIA’s presentation of benefits is insufficient. </w:t>
      </w:r>
      <w:r w:rsidRPr="007B229E">
        <w:rPr>
          <w:rFonts w:ascii="Times New Roman" w:hAnsi="Times New Roman"/>
          <w:sz w:val="24"/>
        </w:rPr>
        <w:t>EPA selected each of the provisions in the final rule based on a reasoned consideration that each would contribute to risk reduction, and that in light of the remaining baseline damages that could be mitigated/avoided (as well as other unquantified benefits) EPA concluded for each provision that the benefits reasonably justified the costs for each provision.</w:t>
      </w:r>
    </w:p>
    <w:p w:rsidR="000B2361" w:rsidRPr="002D001A" w:rsidP="000B2361" w14:paraId="30566CC7" w14:textId="154743E1">
      <w:pPr>
        <w:ind w:left="720" w:right="51"/>
        <w:rPr>
          <w:rFonts w:ascii="Times New Roman" w:hAnsi="Times New Roman"/>
          <w:sz w:val="24"/>
        </w:rPr>
      </w:pPr>
      <w:r w:rsidRPr="002D001A">
        <w:rPr>
          <w:rFonts w:ascii="Times New Roman" w:hAnsi="Times New Roman"/>
          <w:sz w:val="24"/>
        </w:rPr>
        <w:t xml:space="preserve">EPA conducted a breakeven analysis instead of a standard cost benefit analysis because while EPA was able to estimate the costs of the final rule, it cannot estimate the benefits. The incremental impact on the risk of an RMP facility release resulting from each of the revised RMP rule provisions is uncertain, as is the value of a wide variety of benefit categories as described in the final rule RIA Chapter 6 (lost productivity, responder costs, property value impacts, and so on). While EPA does not have the data to estimate risk reduction from the final rule’s requirements, the breakeven analysis illustrates the </w:t>
      </w:r>
      <w:r w:rsidRPr="002D001A">
        <w:rPr>
          <w:rFonts w:ascii="Times New Roman" w:hAnsi="Times New Roman"/>
          <w:sz w:val="24"/>
        </w:rPr>
        <w:t xml:space="preserve">degree of risk reduction overall that the final rule must achieve for quantified benefits to exceed quantified costs. </w:t>
      </w:r>
    </w:p>
    <w:p w:rsidR="000B2361" w:rsidRPr="002D001A" w:rsidP="000B2361" w14:paraId="1B54993B" w14:textId="5D2B0B37">
      <w:pPr>
        <w:ind w:left="720" w:right="51"/>
        <w:rPr>
          <w:rFonts w:ascii="Times New Roman" w:hAnsi="Times New Roman"/>
          <w:sz w:val="24"/>
        </w:rPr>
      </w:pPr>
      <w:r>
        <w:rPr>
          <w:rFonts w:ascii="Times New Roman" w:eastAsia="Times New Roman" w:hAnsi="Times New Roman"/>
          <w:sz w:val="24"/>
        </w:rPr>
        <w:t>RMP accident data shows past</w:t>
      </w:r>
      <w:r w:rsidRPr="00D9483F">
        <w:rPr>
          <w:rFonts w:ascii="Times New Roman" w:eastAsia="Times New Roman" w:hAnsi="Times New Roman"/>
          <w:sz w:val="24"/>
        </w:rPr>
        <w:t xml:space="preserve"> accidents have </w:t>
      </w:r>
      <w:r>
        <w:rPr>
          <w:rFonts w:ascii="Times New Roman" w:eastAsia="Times New Roman" w:hAnsi="Times New Roman"/>
          <w:sz w:val="24"/>
        </w:rPr>
        <w:t xml:space="preserve">generated </w:t>
      </w:r>
      <w:r w:rsidRPr="00D9483F">
        <w:rPr>
          <w:rFonts w:ascii="Times New Roman" w:eastAsia="Times New Roman" w:hAnsi="Times New Roman"/>
          <w:sz w:val="24"/>
        </w:rPr>
        <w:t>highly variable impacts</w:t>
      </w:r>
      <w:r>
        <w:rPr>
          <w:rFonts w:ascii="Times New Roman" w:eastAsia="Times New Roman" w:hAnsi="Times New Roman"/>
          <w:sz w:val="24"/>
        </w:rPr>
        <w:t>, so the impacts of future accidents</w:t>
      </w:r>
      <w:r w:rsidRPr="00D9483F">
        <w:rPr>
          <w:rFonts w:ascii="Times New Roman" w:eastAsia="Times New Roman" w:hAnsi="Times New Roman"/>
          <w:sz w:val="24"/>
        </w:rPr>
        <w:t xml:space="preserve"> are difficult to predict. </w:t>
      </w:r>
      <w:r>
        <w:rPr>
          <w:rFonts w:ascii="Times New Roman" w:eastAsia="Times New Roman" w:hAnsi="Times New Roman"/>
          <w:sz w:val="24"/>
        </w:rPr>
        <w:t>Nevertheless</w:t>
      </w:r>
      <w:r w:rsidRPr="00D9483F">
        <w:rPr>
          <w:rFonts w:ascii="Times New Roman" w:eastAsia="Times New Roman" w:hAnsi="Times New Roman"/>
          <w:sz w:val="24"/>
        </w:rPr>
        <w:t>, it is clear from the RMP accident data</w:t>
      </w:r>
      <w:r>
        <w:rPr>
          <w:vertAlign w:val="superscript"/>
        </w:rPr>
        <w:footnoteReference w:id="205"/>
      </w:r>
      <w:r w:rsidRPr="00D9483F">
        <w:rPr>
          <w:rFonts w:ascii="Times New Roman" w:eastAsia="Times New Roman" w:hAnsi="Times New Roman"/>
          <w:sz w:val="24"/>
        </w:rPr>
        <w:t xml:space="preserve"> and other </w:t>
      </w:r>
      <w:r w:rsidR="00FA20B7">
        <w:rPr>
          <w:rFonts w:ascii="Times New Roman" w:eastAsia="Times New Roman" w:hAnsi="Times New Roman"/>
          <w:sz w:val="24"/>
        </w:rPr>
        <w:t>relevant data from RMP regulated industry sectors</w:t>
      </w:r>
      <w:r>
        <w:rPr>
          <w:vertAlign w:val="superscript"/>
        </w:rPr>
        <w:footnoteReference w:id="206"/>
      </w:r>
      <w:r w:rsidR="006232E6">
        <w:rPr>
          <w:rFonts w:ascii="Times New Roman" w:eastAsia="Times New Roman" w:hAnsi="Times New Roman"/>
          <w:sz w:val="24"/>
        </w:rPr>
        <w:t>,</w:t>
      </w:r>
      <w:r w:rsidRPr="00D9483F">
        <w:rPr>
          <w:rFonts w:ascii="Times New Roman" w:eastAsia="Times New Roman" w:hAnsi="Times New Roman"/>
          <w:sz w:val="24"/>
        </w:rPr>
        <w:t xml:space="preserve"> that chemical accidents can impose substantial costs on firms, employees, emergency responders, the community, and the broader economy. </w:t>
      </w:r>
      <w:r w:rsidR="00240980">
        <w:rPr>
          <w:rFonts w:ascii="Times New Roman" w:eastAsia="Times New Roman" w:hAnsi="Times New Roman"/>
          <w:sz w:val="24"/>
        </w:rPr>
        <w:t>Notwithstanding EPA’s current rules, RMP accidents have continued to occur.</w:t>
      </w:r>
      <w:r w:rsidR="00E50141">
        <w:rPr>
          <w:rFonts w:ascii="Times New Roman" w:eastAsia="Times New Roman" w:hAnsi="Times New Roman"/>
          <w:sz w:val="24"/>
        </w:rPr>
        <w:t xml:space="preserve"> </w:t>
      </w:r>
      <w:r w:rsidRPr="00BF0AF3" w:rsidR="00BF0AF3">
        <w:rPr>
          <w:rFonts w:ascii="Times New Roman" w:eastAsia="Times New Roman" w:hAnsi="Times New Roman"/>
          <w:sz w:val="24"/>
        </w:rPr>
        <w:t xml:space="preserve">EPA </w:t>
      </w:r>
      <w:r w:rsidR="00E50141">
        <w:rPr>
          <w:rFonts w:ascii="Times New Roman" w:eastAsia="Times New Roman" w:hAnsi="Times New Roman"/>
          <w:sz w:val="24"/>
        </w:rPr>
        <w:t>anticipates that promulgation and implementation of</w:t>
      </w:r>
      <w:r w:rsidRPr="00BF0AF3" w:rsidR="00E50141">
        <w:rPr>
          <w:rFonts w:ascii="Times New Roman" w:eastAsia="Times New Roman" w:hAnsi="Times New Roman"/>
          <w:sz w:val="24"/>
        </w:rPr>
        <w:t xml:space="preserve"> </w:t>
      </w:r>
      <w:r w:rsidRPr="00BF0AF3" w:rsidR="00BF0AF3">
        <w:rPr>
          <w:rFonts w:ascii="Times New Roman" w:eastAsia="Times New Roman" w:hAnsi="Times New Roman"/>
          <w:sz w:val="24"/>
        </w:rPr>
        <w:t>th</w:t>
      </w:r>
      <w:r w:rsidR="00E50141">
        <w:rPr>
          <w:rFonts w:ascii="Times New Roman" w:eastAsia="Times New Roman" w:hAnsi="Times New Roman"/>
          <w:sz w:val="24"/>
        </w:rPr>
        <w:t>is</w:t>
      </w:r>
      <w:r w:rsidRPr="00BF0AF3" w:rsidR="00BF0AF3">
        <w:rPr>
          <w:rFonts w:ascii="Times New Roman" w:eastAsia="Times New Roman" w:hAnsi="Times New Roman"/>
          <w:sz w:val="24"/>
        </w:rPr>
        <w:t xml:space="preserve"> final rule </w:t>
      </w:r>
      <w:r w:rsidR="001B2D72">
        <w:rPr>
          <w:rFonts w:ascii="Times New Roman" w:eastAsia="Times New Roman" w:hAnsi="Times New Roman"/>
          <w:sz w:val="24"/>
        </w:rPr>
        <w:t>will improve the health and safety protection provided by the RMP rule and</w:t>
      </w:r>
      <w:r w:rsidRPr="00BF0AF3" w:rsidR="00BF0AF3">
        <w:rPr>
          <w:rFonts w:ascii="Times New Roman" w:eastAsia="Times New Roman" w:hAnsi="Times New Roman"/>
          <w:sz w:val="24"/>
        </w:rPr>
        <w:t xml:space="preserve"> result in a reduced frequency and magnitude of damages from releases, including damages that are quantified for the baseline period such as fatalities, injuries, property damage, hospitalizations, medical treatment, sheltering in place, and evacuations. EPA also expects the final rule provisions to reduce baseline damages that are not quantified. These damages include </w:t>
      </w:r>
      <w:r w:rsidRPr="00BF0AF3" w:rsidR="00BF0AF3">
        <w:rPr>
          <w:rFonts w:ascii="Times New Roman" w:eastAsia="Times New Roman" w:hAnsi="Times New Roman"/>
          <w:sz w:val="24"/>
        </w:rPr>
        <w:t>potential health risk</w:t>
      </w:r>
      <w:r w:rsidR="00397132">
        <w:rPr>
          <w:rFonts w:ascii="Times New Roman" w:eastAsia="Times New Roman" w:hAnsi="Times New Roman"/>
          <w:sz w:val="24"/>
        </w:rPr>
        <w:t>s</w:t>
      </w:r>
      <w:r w:rsidRPr="00BF0AF3" w:rsidR="00BF0AF3">
        <w:rPr>
          <w:rFonts w:ascii="Times New Roman" w:eastAsia="Times New Roman" w:hAnsi="Times New Roman"/>
          <w:sz w:val="24"/>
        </w:rPr>
        <w:t xml:space="preserve"> from toxic chemical</w:t>
      </w:r>
      <w:r w:rsidR="00397132">
        <w:rPr>
          <w:rFonts w:ascii="Times New Roman" w:eastAsia="Times New Roman" w:hAnsi="Times New Roman"/>
          <w:sz w:val="24"/>
        </w:rPr>
        <w:t xml:space="preserve"> exposure</w:t>
      </w:r>
      <w:r w:rsidRPr="00BF0AF3" w:rsidR="00BF0AF3">
        <w:rPr>
          <w:rFonts w:ascii="Times New Roman" w:eastAsia="Times New Roman" w:hAnsi="Times New Roman"/>
          <w:sz w:val="24"/>
        </w:rPr>
        <w:t xml:space="preserve">, </w:t>
      </w:r>
      <w:r w:rsidRPr="00BF0AF3" w:rsidR="00BF0AF3">
        <w:rPr>
          <w:rFonts w:ascii="Times New Roman" w:eastAsia="Times New Roman" w:hAnsi="Times New Roman"/>
          <w:sz w:val="24"/>
        </w:rPr>
        <w:t>lost productivity at affected facilities, emergency response costs, transaction costs from potential subsequent legal battles, property value losses in nearby neighborhoods, environmental damage and costs of evacuation and sheltering-in-place events, and others.</w:t>
      </w:r>
      <w:r w:rsidR="004A4C50">
        <w:rPr>
          <w:rFonts w:ascii="Times New Roman" w:eastAsia="Times New Roman" w:hAnsi="Times New Roman"/>
          <w:sz w:val="24"/>
        </w:rPr>
        <w:t xml:space="preserve"> </w:t>
      </w:r>
      <w:r w:rsidRPr="002D001A">
        <w:rPr>
          <w:rFonts w:ascii="Times New Roman" w:hAnsi="Times New Roman"/>
          <w:sz w:val="24"/>
        </w:rPr>
        <w:t xml:space="preserve">The final rule </w:t>
      </w:r>
      <w:r w:rsidR="0066219C">
        <w:rPr>
          <w:rFonts w:ascii="Times New Roman" w:hAnsi="Times New Roman"/>
          <w:sz w:val="24"/>
        </w:rPr>
        <w:t>will also generate</w:t>
      </w:r>
      <w:r w:rsidRPr="002D001A">
        <w:rPr>
          <w:rFonts w:ascii="Times New Roman" w:hAnsi="Times New Roman"/>
          <w:sz w:val="24"/>
        </w:rPr>
        <w:t xml:space="preserve"> other benefits, such as increased public information, which in addition to helping to minimize the impacts of accidents on the offsite public, may also lead to more efficient property markets in areas near RMP facilities. </w:t>
      </w:r>
    </w:p>
    <w:p w:rsidR="000B2361" w:rsidRPr="002D001A" w:rsidP="00644780" w14:paraId="388F0069" w14:textId="2044CAAD">
      <w:pPr>
        <w:ind w:left="720"/>
        <w:rPr>
          <w:rFonts w:ascii="Times New Roman" w:hAnsi="Times New Roman"/>
          <w:sz w:val="24"/>
        </w:rPr>
      </w:pPr>
      <w:r w:rsidRPr="004D59A4">
        <w:rPr>
          <w:rFonts w:ascii="Times New Roman" w:eastAsia="Times New Roman" w:hAnsi="Times New Roman"/>
          <w:sz w:val="24"/>
        </w:rPr>
        <w:t>For details on how quantified benefits were estimated or discussion on unquantified benefits, including the difficulty in their quantification</w:t>
      </w:r>
      <w:r>
        <w:rPr>
          <w:rFonts w:ascii="Times New Roman" w:eastAsia="Times New Roman" w:hAnsi="Times New Roman"/>
          <w:sz w:val="24"/>
        </w:rPr>
        <w:t>,</w:t>
      </w:r>
      <w:r w:rsidRPr="004D59A4">
        <w:rPr>
          <w:rFonts w:ascii="Times New Roman" w:eastAsia="Times New Roman" w:hAnsi="Times New Roman"/>
          <w:sz w:val="24"/>
        </w:rPr>
        <w:t xml:space="preserve"> see Chapter 6 of the RIA. </w:t>
      </w:r>
    </w:p>
    <w:p w:rsidR="000B2361" w:rsidRPr="00A7388A" w:rsidP="000B2361" w14:paraId="610F7BAF" w14:textId="7AF5FF8D">
      <w:pPr>
        <w:rPr>
          <w:rFonts w:ascii="Times New Roman" w:hAnsi="Times New Roman"/>
          <w:i/>
          <w:iCs/>
          <w:sz w:val="24"/>
        </w:rPr>
      </w:pPr>
      <w:r w:rsidRPr="00A7388A">
        <w:rPr>
          <w:rFonts w:ascii="Times New Roman" w:hAnsi="Times New Roman"/>
          <w:i/>
          <w:iCs/>
          <w:sz w:val="24"/>
        </w:rPr>
        <w:t>Breakeven analysis</w:t>
      </w:r>
    </w:p>
    <w:p w:rsidR="000B2361" w:rsidRPr="006F68E9" w:rsidP="000B2361" w14:paraId="2A08C39D" w14:textId="6FD14F18">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w:t>
      </w:r>
      <w:r w:rsidR="009E17E1">
        <w:rPr>
          <w:rFonts w:ascii="Times New Roman" w:hAnsi="Times New Roman"/>
          <w:b/>
          <w:bCs/>
          <w:sz w:val="24"/>
        </w:rPr>
        <w:t>19</w:t>
      </w:r>
      <w:r w:rsidRPr="008D44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EPA’s breakeven analysis calculation is flawed because it uses the “average” accident cost over the five-year period of analysis – approximately $5 million per accident – which is well out of line with the “median” accident cost from the same five-year period – approximately $50,000. The commenter argued that using the more representative median figure of $50,000 as the basis for its per-accident damage figure, the </w:t>
      </w:r>
      <w:r>
        <w:rPr>
          <w:rFonts w:ascii="Times New Roman" w:hAnsi="Times New Roman"/>
          <w:sz w:val="24"/>
        </w:rPr>
        <w:t>proposed rule</w:t>
      </w:r>
      <w:r w:rsidRPr="006F68E9">
        <w:rPr>
          <w:rFonts w:ascii="Times New Roman" w:hAnsi="Times New Roman"/>
          <w:sz w:val="24"/>
        </w:rPr>
        <w:t xml:space="preserve"> benefits do not “break even” with its costs (0233).</w:t>
      </w:r>
    </w:p>
    <w:p w:rsidR="000B2361" w:rsidRPr="006F68E9" w:rsidP="000B2361" w14:paraId="2D452C1D" w14:textId="77777777">
      <w:pPr>
        <w:ind w:left="720"/>
        <w:rPr>
          <w:rFonts w:ascii="Times New Roman" w:hAnsi="Times New Roman"/>
          <w:sz w:val="24"/>
        </w:rPr>
      </w:pPr>
      <w:r>
        <w:rPr>
          <w:rFonts w:ascii="Times New Roman" w:hAnsi="Times New Roman"/>
          <w:b/>
          <w:bCs/>
          <w:sz w:val="24"/>
        </w:rPr>
        <w:t>EPA Response:</w:t>
      </w:r>
      <w:r>
        <w:rPr>
          <w:rFonts w:ascii="Times New Roman" w:hAnsi="Times New Roman"/>
          <w:sz w:val="24"/>
        </w:rPr>
        <w:t xml:space="preserve"> </w:t>
      </w:r>
      <w:r w:rsidRPr="00733A9C">
        <w:rPr>
          <w:rFonts w:ascii="Times New Roman" w:hAnsi="Times New Roman"/>
          <w:sz w:val="24"/>
        </w:rPr>
        <w:t xml:space="preserve">EPA </w:t>
      </w:r>
      <w:r>
        <w:rPr>
          <w:rFonts w:ascii="Times New Roman" w:hAnsi="Times New Roman"/>
          <w:sz w:val="24"/>
        </w:rPr>
        <w:t>disagrees with the commenter that it would be better to use median instead of mean damage estimates of RMP-reported accidents. The mean damage estimate is more appropriate because EPA is also trying to avoid high consequence accidents, which result in the majority of damages. Using the median would not reflect the beneficial impact of avoiding those high consequence accidents.</w:t>
      </w:r>
    </w:p>
    <w:p w:rsidR="000B2361" w:rsidP="000B2361" w14:paraId="51BA125A" w14:textId="35F63A9D">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.3-2</w:t>
      </w:r>
      <w:r w:rsidR="00B61C0D">
        <w:rPr>
          <w:rFonts w:ascii="Times New Roman" w:hAnsi="Times New Roman"/>
          <w:b/>
          <w:bCs/>
          <w:sz w:val="24"/>
        </w:rPr>
        <w:t>0</w:t>
      </w:r>
      <w:r w:rsidRPr="008D44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the breakeven value is not credible for several reasons, including but not limited to</w:t>
      </w:r>
      <w:r w:rsidR="0041525C">
        <w:rPr>
          <w:rFonts w:ascii="Times New Roman" w:hAnsi="Times New Roman"/>
          <w:sz w:val="24"/>
        </w:rPr>
        <w:t>,</w:t>
      </w:r>
      <w:r w:rsidRPr="006F68E9">
        <w:rPr>
          <w:rFonts w:ascii="Times New Roman" w:hAnsi="Times New Roman"/>
          <w:sz w:val="24"/>
        </w:rPr>
        <w:t xml:space="preserve"> the fact the value: </w:t>
      </w:r>
      <w:r>
        <w:rPr>
          <w:rFonts w:ascii="Times New Roman" w:hAnsi="Times New Roman"/>
          <w:sz w:val="24"/>
        </w:rPr>
        <w:t>(</w:t>
      </w:r>
      <w:r w:rsidRPr="006F68E9">
        <w:rPr>
          <w:rFonts w:ascii="Times New Roman" w:hAnsi="Times New Roman"/>
          <w:sz w:val="24"/>
        </w:rPr>
        <w:t xml:space="preserve">1) includes mathematical errors; </w:t>
      </w:r>
      <w:r>
        <w:rPr>
          <w:rFonts w:ascii="Times New Roman" w:hAnsi="Times New Roman"/>
          <w:sz w:val="24"/>
        </w:rPr>
        <w:t>(</w:t>
      </w:r>
      <w:r w:rsidRPr="006F68E9">
        <w:rPr>
          <w:rFonts w:ascii="Times New Roman" w:hAnsi="Times New Roman"/>
          <w:sz w:val="24"/>
        </w:rPr>
        <w:t xml:space="preserve">2) ignores provisions in the </w:t>
      </w:r>
      <w:r>
        <w:rPr>
          <w:rFonts w:ascii="Times New Roman" w:hAnsi="Times New Roman"/>
          <w:sz w:val="24"/>
        </w:rPr>
        <w:t>proposed rule</w:t>
      </w:r>
      <w:r w:rsidRPr="006F68E9">
        <w:rPr>
          <w:rFonts w:ascii="Times New Roman" w:hAnsi="Times New Roman"/>
          <w:sz w:val="24"/>
        </w:rPr>
        <w:t xml:space="preserve"> and the associated costs of these provisions; </w:t>
      </w:r>
      <w:r>
        <w:rPr>
          <w:rFonts w:ascii="Times New Roman" w:hAnsi="Times New Roman"/>
          <w:sz w:val="24"/>
        </w:rPr>
        <w:t>(</w:t>
      </w:r>
      <w:r w:rsidRPr="006F68E9">
        <w:rPr>
          <w:rFonts w:ascii="Times New Roman" w:hAnsi="Times New Roman"/>
          <w:sz w:val="24"/>
        </w:rPr>
        <w:t xml:space="preserve">3) relies upon unrealistic or out of date cost estimates for some provisions in the </w:t>
      </w:r>
      <w:r>
        <w:rPr>
          <w:rFonts w:ascii="Times New Roman" w:hAnsi="Times New Roman"/>
          <w:sz w:val="24"/>
        </w:rPr>
        <w:t>proposed rule</w:t>
      </w:r>
      <w:r w:rsidRPr="006F68E9">
        <w:rPr>
          <w:rFonts w:ascii="Times New Roman" w:hAnsi="Times New Roman"/>
          <w:sz w:val="24"/>
        </w:rPr>
        <w:t xml:space="preserve">; and </w:t>
      </w:r>
      <w:r>
        <w:rPr>
          <w:rFonts w:ascii="Times New Roman" w:hAnsi="Times New Roman"/>
          <w:sz w:val="24"/>
        </w:rPr>
        <w:t>(</w:t>
      </w:r>
      <w:r w:rsidRPr="006F68E9">
        <w:rPr>
          <w:rFonts w:ascii="Times New Roman" w:hAnsi="Times New Roman"/>
          <w:sz w:val="24"/>
        </w:rPr>
        <w:t xml:space="preserve">4) </w:t>
      </w:r>
      <w:r w:rsidRPr="006F68E9">
        <w:rPr>
          <w:rFonts w:ascii="Times New Roman" w:hAnsi="Times New Roman"/>
          <w:sz w:val="24"/>
        </w:rPr>
        <w:t xml:space="preserve">fails to adequately account for the highly variable nature of incident damages. The commenter explained that the breakeven analysis was flawed due to the inclusion of outliers (0268). </w:t>
      </w:r>
    </w:p>
    <w:p w:rsidR="000B2361" w:rsidRPr="00076B4F" w:rsidP="00076B4F" w14:paraId="429FA614" w14:textId="60AF8097">
      <w:pPr>
        <w:ind w:left="720"/>
        <w:rPr>
          <w:rFonts w:ascii="Times New Roman" w:hAnsi="Times New Roman"/>
          <w:sz w:val="24"/>
        </w:rPr>
      </w:pPr>
      <w:r w:rsidRPr="003A2B20">
        <w:rPr>
          <w:rFonts w:ascii="Times New Roman" w:hAnsi="Times New Roman"/>
          <w:b/>
          <w:bCs/>
          <w:sz w:val="24"/>
        </w:rPr>
        <w:t>EPA Response</w:t>
      </w:r>
      <w:r>
        <w:rPr>
          <w:rFonts w:ascii="Times New Roman" w:hAnsi="Times New Roman"/>
          <w:sz w:val="24"/>
        </w:rPr>
        <w:t>:</w:t>
      </w:r>
      <w:bookmarkStart w:id="189" w:name="_Hlk149312171"/>
      <w:r w:rsidR="00076B4F">
        <w:rPr>
          <w:rFonts w:ascii="Times New Roman" w:hAnsi="Times New Roman"/>
          <w:sz w:val="24"/>
        </w:rPr>
        <w:t xml:space="preserve"> EPA has corrected errors in the cost and accident damage estimates from the SCCAP proposed rule RIA for the final rule RIA. </w:t>
      </w:r>
      <w:r w:rsidRPr="00044C14" w:rsidR="00076B4F">
        <w:rPr>
          <w:rFonts w:ascii="Times New Roman" w:hAnsi="Times New Roman"/>
          <w:sz w:val="24"/>
        </w:rPr>
        <w:t xml:space="preserve">EPA has reviewed comments on the NPRM and updated the RIA accordingly. Updates include adding cost estimates for the requirements to provide written justification for declining natural hazards, facility siting, and RAGAGEP recommendations; </w:t>
      </w:r>
      <w:r w:rsidR="00076B4F">
        <w:rPr>
          <w:rFonts w:ascii="Times New Roman" w:hAnsi="Times New Roman"/>
          <w:sz w:val="24"/>
        </w:rPr>
        <w:t xml:space="preserve">raising the cost assumed to implement and maintain backup power for perimeter monitors; </w:t>
      </w:r>
      <w:r w:rsidRPr="00044C14" w:rsidR="00076B4F">
        <w:rPr>
          <w:rFonts w:ascii="Times New Roman" w:hAnsi="Times New Roman"/>
          <w:sz w:val="24"/>
        </w:rPr>
        <w:t>assuming all entities except for P3 complex facilities require five hours for rule familiarization; and updating numbers to use 2022 wage and dollar values</w:t>
      </w:r>
      <w:r w:rsidR="00076B4F">
        <w:rPr>
          <w:rFonts w:ascii="Times New Roman" w:hAnsi="Times New Roman"/>
          <w:sz w:val="24"/>
        </w:rPr>
        <w:t>. EPA has attempted to use the best data available for its cost estimates. Generally, EPA uses recent data but for some estimates it must rely on older estimates</w:t>
      </w:r>
      <w:r w:rsidR="00BF0870">
        <w:rPr>
          <w:rFonts w:ascii="Times New Roman" w:hAnsi="Times New Roman"/>
          <w:sz w:val="24"/>
        </w:rPr>
        <w:t xml:space="preserve"> because more recent data is not available</w:t>
      </w:r>
      <w:r w:rsidR="00076B4F">
        <w:rPr>
          <w:rFonts w:ascii="Times New Roman" w:hAnsi="Times New Roman"/>
          <w:sz w:val="24"/>
        </w:rPr>
        <w:t xml:space="preserve">. EPA recognizes that accident damages are highly variable. Hence, </w:t>
      </w:r>
      <w:r w:rsidRPr="00EF0D50" w:rsidR="00076B4F">
        <w:rPr>
          <w:rFonts w:ascii="Times New Roman" w:hAnsi="Times New Roman"/>
          <w:sz w:val="24"/>
        </w:rPr>
        <w:t xml:space="preserve">EPA reports the results of the breakeven analysis both in terms of the reduction in annual damages (including property damage and injuries and fatalities) and in terms of the reduction in number of accidents </w:t>
      </w:r>
      <w:r w:rsidR="00076B4F">
        <w:rPr>
          <w:rFonts w:ascii="Times New Roman" w:hAnsi="Times New Roman"/>
          <w:sz w:val="24"/>
        </w:rPr>
        <w:t xml:space="preserve">(assuming damages equal the five-year reported mean) </w:t>
      </w:r>
      <w:r w:rsidRPr="00EF0D50" w:rsidR="00076B4F">
        <w:rPr>
          <w:rFonts w:ascii="Times New Roman" w:hAnsi="Times New Roman"/>
          <w:sz w:val="24"/>
        </w:rPr>
        <w:t>required for the final rule to break even</w:t>
      </w:r>
      <w:r w:rsidR="00076B4F">
        <w:rPr>
          <w:rFonts w:ascii="Times New Roman" w:hAnsi="Times New Roman"/>
          <w:sz w:val="24"/>
        </w:rPr>
        <w:t>. A key purpose of this rulemaking is to reduce the risk of less frequent</w:t>
      </w:r>
      <w:r w:rsidR="005639CC">
        <w:rPr>
          <w:rFonts w:ascii="Times New Roman" w:hAnsi="Times New Roman"/>
          <w:sz w:val="24"/>
        </w:rPr>
        <w:t>,</w:t>
      </w:r>
      <w:r w:rsidR="00076B4F">
        <w:rPr>
          <w:rFonts w:ascii="Times New Roman" w:hAnsi="Times New Roman"/>
          <w:sz w:val="24"/>
        </w:rPr>
        <w:t xml:space="preserve"> larger accidents and catastrophes and </w:t>
      </w:r>
      <w:r w:rsidR="005639CC">
        <w:rPr>
          <w:rFonts w:ascii="Times New Roman" w:hAnsi="Times New Roman"/>
          <w:sz w:val="24"/>
        </w:rPr>
        <w:t xml:space="preserve">to </w:t>
      </w:r>
      <w:r w:rsidR="00076B4F">
        <w:rPr>
          <w:rFonts w:ascii="Times New Roman" w:hAnsi="Times New Roman"/>
          <w:sz w:val="24"/>
        </w:rPr>
        <w:t xml:space="preserve">mitigate the damages of these potential future accidents. Hence, it is important to include higher cost accident damages when estimating mean damages. </w:t>
      </w:r>
      <w:r w:rsidR="00076B4F">
        <w:rPr>
          <w:rFonts w:ascii="Times New Roman" w:hAnsi="Times New Roman"/>
          <w:sz w:val="24"/>
        </w:rPr>
        <w:t xml:space="preserve">Moreover, the final rule RIA average accident damage estimates </w:t>
      </w:r>
      <w:r w:rsidR="009F4C45">
        <w:rPr>
          <w:rFonts w:ascii="Times New Roman" w:hAnsi="Times New Roman"/>
          <w:sz w:val="24"/>
        </w:rPr>
        <w:t>are conservative because they</w:t>
      </w:r>
      <w:r w:rsidR="00076B4F">
        <w:rPr>
          <w:rFonts w:ascii="Times New Roman" w:hAnsi="Times New Roman"/>
          <w:sz w:val="24"/>
        </w:rPr>
        <w:t xml:space="preserve"> do not account for potential damages of a major catastrophe of a greater scale than the accidents reported in the RMP database in the 2016-2020 period</w:t>
      </w:r>
      <w:r w:rsidR="0045477A">
        <w:rPr>
          <w:rFonts w:ascii="Times New Roman" w:hAnsi="Times New Roman"/>
          <w:sz w:val="24"/>
        </w:rPr>
        <w:t>, nor include accidents where the facility stopped operating</w:t>
      </w:r>
      <w:r w:rsidR="00076B4F">
        <w:rPr>
          <w:rFonts w:ascii="Times New Roman" w:hAnsi="Times New Roman"/>
          <w:sz w:val="24"/>
        </w:rPr>
        <w:t xml:space="preserve">. </w:t>
      </w:r>
      <w:bookmarkEnd w:id="189"/>
    </w:p>
    <w:p w:rsidR="004E215A" w:rsidRPr="006F68E9" w:rsidP="004E215A" w14:paraId="413C0CAD" w14:textId="3737BC1D">
      <w:pPr>
        <w:rPr>
          <w:rFonts w:ascii="Times New Roman" w:hAnsi="Times New Roman"/>
          <w:sz w:val="24"/>
        </w:rPr>
      </w:pPr>
      <w:r w:rsidRPr="008D44EF">
        <w:rPr>
          <w:rFonts w:ascii="Times New Roman" w:hAnsi="Times New Roman"/>
          <w:b/>
          <w:bCs/>
          <w:sz w:val="24"/>
        </w:rPr>
        <w:t>Comment</w:t>
      </w:r>
      <w:r>
        <w:rPr>
          <w:rFonts w:ascii="Times New Roman" w:hAnsi="Times New Roman"/>
          <w:b/>
          <w:bCs/>
          <w:sz w:val="24"/>
        </w:rPr>
        <w:t xml:space="preserve"> 1</w:t>
      </w:r>
      <w:r w:rsidR="0080007C">
        <w:rPr>
          <w:rFonts w:ascii="Times New Roman" w:hAnsi="Times New Roman"/>
          <w:b/>
          <w:bCs/>
          <w:sz w:val="24"/>
        </w:rPr>
        <w:t>6</w:t>
      </w:r>
      <w:r>
        <w:rPr>
          <w:rFonts w:ascii="Times New Roman" w:hAnsi="Times New Roman"/>
          <w:b/>
          <w:bCs/>
          <w:sz w:val="24"/>
        </w:rPr>
        <w:t>.3-2</w:t>
      </w:r>
      <w:r w:rsidR="00F05E1D">
        <w:rPr>
          <w:rFonts w:ascii="Times New Roman" w:hAnsi="Times New Roman"/>
          <w:b/>
          <w:bCs/>
          <w:sz w:val="24"/>
        </w:rPr>
        <w:t>1</w:t>
      </w:r>
      <w:r w:rsidRPr="008D44EF">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EPA employed questionable methods in the breakeven analysis such as the following (0268):</w:t>
      </w:r>
    </w:p>
    <w:p w:rsidR="004E215A" w:rsidRPr="006F68E9" w:rsidP="00DA5E0E" w14:paraId="37BF1F3E" w14:textId="77777777">
      <w:pPr>
        <w:pStyle w:val="ListParagraph"/>
        <w:numPr>
          <w:ilvl w:val="0"/>
          <w:numId w:val="28"/>
        </w:numPr>
        <w:rPr>
          <w:rFonts w:ascii="Times New Roman" w:hAnsi="Times New Roman"/>
          <w:sz w:val="24"/>
        </w:rPr>
      </w:pPr>
      <w:r w:rsidRPr="006F68E9">
        <w:rPr>
          <w:rFonts w:ascii="Times New Roman" w:hAnsi="Times New Roman"/>
          <w:sz w:val="24"/>
        </w:rPr>
        <w:t>The commenter stated EPA cited data that suggests Sheltering in Place lasts ‘a few hours and note Evacuations are typically completed in 5 hours, but EPA assumed that Sheltering in Place takes 4 hours and Evacuations take 8 hours;</w:t>
      </w:r>
    </w:p>
    <w:p w:rsidR="004E215A" w:rsidRPr="006F68E9" w:rsidP="00DA5E0E" w14:paraId="3A1E5D06" w14:textId="77777777">
      <w:pPr>
        <w:pStyle w:val="ListParagraph"/>
        <w:numPr>
          <w:ilvl w:val="0"/>
          <w:numId w:val="28"/>
        </w:numPr>
        <w:rPr>
          <w:rFonts w:ascii="Times New Roman" w:hAnsi="Times New Roman"/>
          <w:sz w:val="24"/>
        </w:rPr>
      </w:pPr>
      <w:r w:rsidRPr="006F68E9">
        <w:rPr>
          <w:rFonts w:ascii="Times New Roman" w:hAnsi="Times New Roman"/>
          <w:sz w:val="24"/>
        </w:rPr>
        <w:t>The commenter stated BLS’s Occupational Employment and Wage Estimates for Metropolitan and Nonmetropolitan Areas could have been used to calculate a wage rate more applicable to the affected areas than what is currently used;</w:t>
      </w:r>
    </w:p>
    <w:p w:rsidR="004E215A" w:rsidRPr="006F68E9" w:rsidP="00DA5E0E" w14:paraId="39E37E4E" w14:textId="77777777">
      <w:pPr>
        <w:pStyle w:val="ListParagraph"/>
        <w:numPr>
          <w:ilvl w:val="0"/>
          <w:numId w:val="28"/>
        </w:numPr>
        <w:rPr>
          <w:rFonts w:ascii="Times New Roman" w:hAnsi="Times New Roman"/>
          <w:sz w:val="24"/>
        </w:rPr>
      </w:pPr>
      <w:r w:rsidRPr="006F68E9">
        <w:rPr>
          <w:rFonts w:ascii="Times New Roman" w:hAnsi="Times New Roman"/>
          <w:sz w:val="24"/>
        </w:rPr>
        <w:t>The commenter stated EPA should have collected and used monetized accident costs from 2016–2020;</w:t>
      </w:r>
    </w:p>
    <w:p w:rsidR="004E215A" w:rsidRPr="006F68E9" w:rsidP="00DA5E0E" w14:paraId="677148FB" w14:textId="77777777">
      <w:pPr>
        <w:pStyle w:val="ListParagraph"/>
        <w:numPr>
          <w:ilvl w:val="0"/>
          <w:numId w:val="28"/>
        </w:numPr>
        <w:rPr>
          <w:rFonts w:ascii="Times New Roman" w:hAnsi="Times New Roman"/>
          <w:sz w:val="24"/>
        </w:rPr>
      </w:pPr>
      <w:r w:rsidRPr="006F68E9">
        <w:rPr>
          <w:rFonts w:ascii="Times New Roman" w:hAnsi="Times New Roman"/>
          <w:sz w:val="24"/>
        </w:rPr>
        <w:t>The commenter stated Exhibit 3-10 reports the annual average value of property damages is $191.5 million but it is incorrect as it includes the Annual Average ($32 million) in the calculation;</w:t>
      </w:r>
    </w:p>
    <w:p w:rsidR="004E215A" w:rsidRPr="006F68E9" w:rsidP="00DA5E0E" w14:paraId="0009AC70" w14:textId="77777777">
      <w:pPr>
        <w:pStyle w:val="ListParagraph"/>
        <w:numPr>
          <w:ilvl w:val="0"/>
          <w:numId w:val="28"/>
        </w:numPr>
        <w:rPr>
          <w:rFonts w:ascii="Times New Roman" w:hAnsi="Times New Roman"/>
          <w:sz w:val="24"/>
        </w:rPr>
      </w:pPr>
      <w:r w:rsidRPr="006F68E9">
        <w:rPr>
          <w:rFonts w:ascii="Times New Roman" w:hAnsi="Times New Roman"/>
          <w:sz w:val="24"/>
        </w:rPr>
        <w:t xml:space="preserve">The commenter stated that the RIA asserts the </w:t>
      </w:r>
      <w:r>
        <w:rPr>
          <w:rFonts w:ascii="Times New Roman" w:hAnsi="Times New Roman"/>
          <w:sz w:val="24"/>
        </w:rPr>
        <w:t>proposed rule</w:t>
      </w:r>
      <w:r w:rsidRPr="006F68E9">
        <w:rPr>
          <w:rFonts w:ascii="Times New Roman" w:hAnsi="Times New Roman"/>
          <w:sz w:val="24"/>
        </w:rPr>
        <w:t xml:space="preserve"> will have benefits, however, there is no basis for EPA to make this assertion;</w:t>
      </w:r>
    </w:p>
    <w:p w:rsidR="004E215A" w:rsidRPr="006F68E9" w:rsidP="00DA5E0E" w14:paraId="0E2903B5" w14:textId="77777777">
      <w:pPr>
        <w:pStyle w:val="ListParagraph"/>
        <w:numPr>
          <w:ilvl w:val="0"/>
          <w:numId w:val="28"/>
        </w:numPr>
        <w:rPr>
          <w:rFonts w:ascii="Times New Roman" w:hAnsi="Times New Roman"/>
          <w:sz w:val="24"/>
        </w:rPr>
      </w:pPr>
      <w:r w:rsidRPr="006F68E9">
        <w:rPr>
          <w:rFonts w:ascii="Times New Roman" w:hAnsi="Times New Roman"/>
          <w:sz w:val="24"/>
        </w:rPr>
        <w:t xml:space="preserve">The commenter stated EPA speculates that its estimate of STAA costs ‘may be a conservative estimate as recent advancements in technology target HF conversion and may be lowering conversion costs, but there is no basis to claim conversion costs at all as the </w:t>
      </w:r>
      <w:r>
        <w:rPr>
          <w:rFonts w:ascii="Times New Roman" w:hAnsi="Times New Roman"/>
          <w:sz w:val="24"/>
        </w:rPr>
        <w:t>proposed rule</w:t>
      </w:r>
      <w:r w:rsidRPr="006F68E9">
        <w:rPr>
          <w:rFonts w:ascii="Times New Roman" w:hAnsi="Times New Roman"/>
          <w:sz w:val="24"/>
        </w:rPr>
        <w:t xml:space="preserve"> does not require conversion in the STAA provisions;</w:t>
      </w:r>
    </w:p>
    <w:p w:rsidR="0055254A" w:rsidRPr="00DA5E0E" w:rsidP="00DA5E0E" w14:paraId="171ECAC6" w14:textId="72DA17CF">
      <w:pPr>
        <w:pStyle w:val="ListParagraph"/>
        <w:numPr>
          <w:ilvl w:val="0"/>
          <w:numId w:val="28"/>
        </w:numPr>
        <w:rPr>
          <w:rFonts w:ascii="Times New Roman" w:hAnsi="Times New Roman"/>
          <w:sz w:val="24"/>
        </w:rPr>
      </w:pPr>
      <w:r w:rsidRPr="006F68E9">
        <w:rPr>
          <w:rFonts w:ascii="Times New Roman" w:hAnsi="Times New Roman"/>
          <w:sz w:val="24"/>
        </w:rPr>
        <w:t>The commenter stated EPA acts arbitrarily and capriciously when it knowingly uses inaccurate data to justify expensive regulatory requirements.</w:t>
      </w:r>
    </w:p>
    <w:p w:rsidR="00730E8C" w:rsidP="00730E8C" w14:paraId="16FEC6FC" w14:textId="591F5F88">
      <w:pPr>
        <w:ind w:left="720"/>
        <w:rPr>
          <w:rFonts w:ascii="Times New Roman" w:hAnsi="Times New Roman"/>
          <w:sz w:val="24"/>
        </w:rPr>
      </w:pPr>
      <w:r w:rsidRPr="0055254A">
        <w:rPr>
          <w:rFonts w:ascii="Times New Roman" w:hAnsi="Times New Roman"/>
          <w:b/>
          <w:bCs/>
          <w:sz w:val="24"/>
        </w:rPr>
        <w:t>EPA Response</w:t>
      </w:r>
      <w:r w:rsidRPr="0055254A">
        <w:rPr>
          <w:rFonts w:ascii="Times New Roman" w:hAnsi="Times New Roman"/>
          <w:sz w:val="24"/>
        </w:rPr>
        <w:t xml:space="preserve">: </w:t>
      </w:r>
      <w:r w:rsidRPr="000D7DD4">
        <w:rPr>
          <w:rFonts w:ascii="Times New Roman" w:hAnsi="Times New Roman"/>
          <w:sz w:val="24"/>
        </w:rPr>
        <w:t xml:space="preserve">The </w:t>
      </w:r>
      <w:r>
        <w:rPr>
          <w:rFonts w:ascii="Times New Roman" w:hAnsi="Times New Roman"/>
          <w:sz w:val="24"/>
        </w:rPr>
        <w:t xml:space="preserve">4-hour </w:t>
      </w:r>
      <w:r w:rsidRPr="000D7DD4">
        <w:rPr>
          <w:rFonts w:ascii="Times New Roman" w:hAnsi="Times New Roman"/>
          <w:sz w:val="24"/>
        </w:rPr>
        <w:t xml:space="preserve">sheltering </w:t>
      </w:r>
      <w:r>
        <w:rPr>
          <w:rFonts w:ascii="Times New Roman" w:hAnsi="Times New Roman"/>
          <w:sz w:val="24"/>
        </w:rPr>
        <w:t>time</w:t>
      </w:r>
      <w:r w:rsidRPr="000D7DD4">
        <w:rPr>
          <w:rFonts w:ascii="Times New Roman" w:hAnsi="Times New Roman"/>
          <w:sz w:val="24"/>
        </w:rPr>
        <w:t xml:space="preserve"> </w:t>
      </w:r>
      <w:r>
        <w:rPr>
          <w:rFonts w:ascii="Times New Roman" w:hAnsi="Times New Roman"/>
          <w:sz w:val="24"/>
        </w:rPr>
        <w:t xml:space="preserve">and 8-hour evacuation time </w:t>
      </w:r>
      <w:r w:rsidRPr="000D7DD4">
        <w:rPr>
          <w:rFonts w:ascii="Times New Roman" w:hAnsi="Times New Roman"/>
          <w:sz w:val="24"/>
        </w:rPr>
        <w:t>assumption</w:t>
      </w:r>
      <w:r>
        <w:rPr>
          <w:rFonts w:ascii="Times New Roman" w:hAnsi="Times New Roman"/>
          <w:sz w:val="24"/>
        </w:rPr>
        <w:t>s</w:t>
      </w:r>
      <w:r w:rsidRPr="000D7DD4">
        <w:rPr>
          <w:rFonts w:ascii="Times New Roman" w:hAnsi="Times New Roman"/>
          <w:sz w:val="24"/>
        </w:rPr>
        <w:t xml:space="preserve"> </w:t>
      </w:r>
      <w:r>
        <w:rPr>
          <w:rFonts w:ascii="Times New Roman" w:hAnsi="Times New Roman"/>
          <w:sz w:val="24"/>
        </w:rPr>
        <w:t>in the SCCAP final rule RIA are</w:t>
      </w:r>
      <w:r w:rsidRPr="000D7DD4">
        <w:rPr>
          <w:rFonts w:ascii="Times New Roman" w:hAnsi="Times New Roman"/>
          <w:sz w:val="24"/>
        </w:rPr>
        <w:t xml:space="preserve"> consistent with th</w:t>
      </w:r>
      <w:r w:rsidR="00970B5A">
        <w:rPr>
          <w:rFonts w:ascii="Times New Roman" w:hAnsi="Times New Roman"/>
          <w:sz w:val="24"/>
        </w:rPr>
        <w:t>ose</w:t>
      </w:r>
      <w:r w:rsidRPr="000D7DD4">
        <w:rPr>
          <w:rFonts w:ascii="Times New Roman" w:hAnsi="Times New Roman"/>
          <w:sz w:val="24"/>
        </w:rPr>
        <w:t xml:space="preserve"> used in the </w:t>
      </w:r>
      <w:r w:rsidR="004C7E26">
        <w:rPr>
          <w:rFonts w:ascii="Times New Roman" w:hAnsi="Times New Roman"/>
          <w:sz w:val="24"/>
        </w:rPr>
        <w:t>a</w:t>
      </w:r>
      <w:r w:rsidRPr="000D7DD4">
        <w:rPr>
          <w:rFonts w:ascii="Times New Roman" w:hAnsi="Times New Roman"/>
          <w:sz w:val="24"/>
        </w:rPr>
        <w:t>mendments rule RIA. CDC suggests sheltering-in-place in response to a chemical accident will be “a few hours” but recognizes that every emergency is different</w:t>
      </w:r>
      <w:r>
        <w:rPr>
          <w:rFonts w:ascii="Times New Roman" w:hAnsi="Times New Roman"/>
          <w:sz w:val="24"/>
        </w:rPr>
        <w:t>. The source</w:t>
      </w:r>
      <w:r>
        <w:rPr>
          <w:rFonts w:ascii="Times New Roman" w:hAnsi="Times New Roman"/>
          <w:sz w:val="24"/>
        </w:rPr>
        <w:t xml:space="preserve"> </w:t>
      </w:r>
      <w:r>
        <w:rPr>
          <w:rFonts w:ascii="Times New Roman" w:hAnsi="Times New Roman"/>
          <w:sz w:val="24"/>
        </w:rPr>
        <w:t xml:space="preserve">is on the CDC website at </w:t>
      </w:r>
      <w:hyperlink r:id="rId16" w:history="1">
        <w:r w:rsidRPr="00D8513F">
          <w:rPr>
            <w:rStyle w:val="Hyperlink"/>
            <w:rFonts w:ascii="Times New Roman" w:hAnsi="Times New Roman"/>
            <w:sz w:val="24"/>
          </w:rPr>
          <w:t>https://emergency.cdc.gov/planning/Shelteringfacts.asp</w:t>
        </w:r>
      </w:hyperlink>
      <w:r w:rsidRPr="000D7DD4">
        <w:rPr>
          <w:rFonts w:ascii="Times New Roman" w:hAnsi="Times New Roman"/>
          <w:sz w:val="24"/>
        </w:rPr>
        <w:t>.</w:t>
      </w:r>
      <w:r>
        <w:rPr>
          <w:rFonts w:ascii="Times New Roman" w:hAnsi="Times New Roman"/>
          <w:sz w:val="24"/>
        </w:rPr>
        <w:t xml:space="preserve"> EPA considers 4 hours to reasonably reflect “a few hours” of time. </w:t>
      </w:r>
      <w:r w:rsidRPr="000D7DD4">
        <w:rPr>
          <w:rFonts w:ascii="Times New Roman" w:hAnsi="Times New Roman"/>
          <w:sz w:val="24"/>
        </w:rPr>
        <w:t>CDC data from the 1999-2008 Hazardous Substances Emergency Events Surveillance (HSEES)</w:t>
      </w:r>
      <w:r w:rsidRPr="00BE2ABE">
        <w:t xml:space="preserve"> </w:t>
      </w:r>
      <w:r w:rsidRPr="00BE2ABE">
        <w:rPr>
          <w:rFonts w:ascii="Times New Roman" w:hAnsi="Times New Roman"/>
          <w:sz w:val="24"/>
        </w:rPr>
        <w:t xml:space="preserve">, accessed from </w:t>
      </w:r>
      <w:hyperlink r:id="rId17" w:history="1">
        <w:r w:rsidRPr="00D8513F">
          <w:rPr>
            <w:rStyle w:val="Hyperlink"/>
            <w:rFonts w:ascii="Times New Roman" w:hAnsi="Times New Roman"/>
            <w:sz w:val="24"/>
          </w:rPr>
          <w:t>https://www.cdc.gov/mmwr/pdf/ss/ss6402.pdf</w:t>
        </w:r>
      </w:hyperlink>
      <w:r>
        <w:rPr>
          <w:rFonts w:ascii="Times New Roman" w:hAnsi="Times New Roman"/>
          <w:sz w:val="24"/>
        </w:rPr>
        <w:t xml:space="preserve">, </w:t>
      </w:r>
      <w:r w:rsidRPr="000D7DD4">
        <w:rPr>
          <w:rFonts w:ascii="Times New Roman" w:hAnsi="Times New Roman"/>
          <w:sz w:val="24"/>
        </w:rPr>
        <w:t>suggested that evacuations can last from a few minutes to 84 days, with a median duration of 2 hours and an average duration of 11 days. Another study by Kim and Cho (2020)</w:t>
      </w:r>
      <w:r>
        <w:rPr>
          <w:rFonts w:ascii="Times New Roman" w:hAnsi="Times New Roman"/>
          <w:sz w:val="24"/>
        </w:rPr>
        <w:t xml:space="preserve">, accessed from </w:t>
      </w:r>
      <w:hyperlink r:id="rId18" w:history="1">
        <w:r w:rsidRPr="00D8513F">
          <w:rPr>
            <w:rStyle w:val="Hyperlink"/>
            <w:rFonts w:ascii="Times New Roman" w:hAnsi="Times New Roman"/>
            <w:sz w:val="24"/>
          </w:rPr>
          <w:t>https://pubmed.ncbi.nlm.nih.gov/33339315/</w:t>
        </w:r>
      </w:hyperlink>
      <w:r>
        <w:rPr>
          <w:rFonts w:ascii="Times New Roman" w:hAnsi="Times New Roman"/>
          <w:sz w:val="24"/>
        </w:rPr>
        <w:t xml:space="preserve">, </w:t>
      </w:r>
      <w:r w:rsidRPr="001978CF">
        <w:rPr>
          <w:rFonts w:ascii="Times New Roman" w:hAnsi="Times New Roman"/>
          <w:sz w:val="24"/>
        </w:rPr>
        <w:t>models evacuations completing in 5 hours</w:t>
      </w:r>
      <w:r>
        <w:rPr>
          <w:rFonts w:ascii="Times New Roman" w:hAnsi="Times New Roman"/>
          <w:sz w:val="24"/>
        </w:rPr>
        <w:t xml:space="preserve">. EPA considers 8 hours, which is well below the average of 11 days EPA estimated from CDC data, to be a conservative assumption of evacuation time. </w:t>
      </w:r>
    </w:p>
    <w:p w:rsidR="00730E8C" w:rsidP="00730E8C" w14:paraId="47247BBA" w14:textId="77777777">
      <w:pPr>
        <w:ind w:left="720"/>
        <w:rPr>
          <w:rFonts w:ascii="Times New Roman" w:hAnsi="Times New Roman"/>
          <w:sz w:val="24"/>
        </w:rPr>
      </w:pPr>
      <w:r>
        <w:rPr>
          <w:rFonts w:ascii="Times New Roman" w:hAnsi="Times New Roman"/>
          <w:sz w:val="24"/>
        </w:rPr>
        <w:t xml:space="preserve">EPA does not have estimates of how risks vary by metropolitan and non-metropolitan areas and does not assume that the specific locations of potential future accidents will resemble the distribution of accidents in the 2016-2020 period. Hence, EPA uses national compensation data to estimate average accident damages at the national level. EPA did monetize accident costs from 2016-2020. The SCCAP final rule RIA presents monetized accident costs from 2016-2020 in Chapter 3 section 3.2 Number and Cost of Baseline Accidents. Sub-section 3.2.5.3 Summary of Monetized Accident Impacts and its </w:t>
      </w:r>
      <w:r w:rsidRPr="00CF2C6F">
        <w:rPr>
          <w:rFonts w:ascii="Times New Roman" w:hAnsi="Times New Roman"/>
          <w:sz w:val="24"/>
        </w:rPr>
        <w:t xml:space="preserve">Exhibits 3-14 and 3-15 </w:t>
      </w:r>
      <w:r>
        <w:rPr>
          <w:rFonts w:ascii="Times New Roman" w:hAnsi="Times New Roman"/>
          <w:sz w:val="24"/>
        </w:rPr>
        <w:t xml:space="preserve">summarize these monetized accident costs. </w:t>
      </w:r>
    </w:p>
    <w:p w:rsidR="00730E8C" w:rsidP="00730E8C" w14:paraId="5DAB61AA" w14:textId="77777777">
      <w:pPr>
        <w:ind w:left="720"/>
        <w:rPr>
          <w:rFonts w:ascii="Times New Roman" w:hAnsi="Times New Roman"/>
          <w:sz w:val="24"/>
        </w:rPr>
      </w:pPr>
      <w:r w:rsidRPr="004518BA">
        <w:rPr>
          <w:rFonts w:ascii="Times New Roman" w:hAnsi="Times New Roman"/>
          <w:sz w:val="24"/>
        </w:rPr>
        <w:t>EPA has reviewed the error the commenter identified in the SCCAP proposed rule RIA’s Exhibit 3-10 and has corrected the calculation in Exhibit 3-12 in the final rule RIA Chapter 3 section 3.2.3.</w:t>
      </w:r>
      <w:r>
        <w:rPr>
          <w:rFonts w:ascii="Times New Roman" w:hAnsi="Times New Roman"/>
          <w:sz w:val="24"/>
        </w:rPr>
        <w:t xml:space="preserve"> </w:t>
      </w:r>
    </w:p>
    <w:p w:rsidR="00730E8C" w:rsidP="00730E8C" w14:paraId="12CEA175" w14:textId="77777777">
      <w:pPr>
        <w:ind w:left="720"/>
        <w:rPr>
          <w:rFonts w:ascii="Times New Roman" w:hAnsi="Times New Roman"/>
          <w:sz w:val="24"/>
        </w:rPr>
      </w:pPr>
      <w:r>
        <w:rPr>
          <w:rFonts w:ascii="Times New Roman" w:hAnsi="Times New Roman"/>
          <w:sz w:val="24"/>
        </w:rPr>
        <w:t xml:space="preserve">EPA disagrees with the commenter that the EPA has no basis for asserting the SCCAP proposed or final rule will have benefits. </w:t>
      </w:r>
      <w:r w:rsidRPr="00332014">
        <w:rPr>
          <w:rFonts w:ascii="Times New Roman" w:hAnsi="Times New Roman"/>
          <w:sz w:val="24"/>
        </w:rPr>
        <w:t xml:space="preserve">As EPA explains in </w:t>
      </w:r>
      <w:r>
        <w:rPr>
          <w:rFonts w:ascii="Times New Roman" w:hAnsi="Times New Roman"/>
          <w:sz w:val="24"/>
        </w:rPr>
        <w:t xml:space="preserve">Chapter 6 of </w:t>
      </w:r>
      <w:r w:rsidRPr="00332014">
        <w:rPr>
          <w:rFonts w:ascii="Times New Roman" w:hAnsi="Times New Roman"/>
          <w:sz w:val="24"/>
        </w:rPr>
        <w:t>the RIA for the final rule, the benefits of the final rule include reductions in the number of people killed, injured, and evacuated or otherwise inconvenienced by sheltering in place; reductions in the damage caused to property on-site and offsite including product, equipment, and buildings; reductions in damages to the environment and ecosystems; and reductions in resources diverted to extinguish fires and clean up affected areas. The final rule also provides other benefits, such as increased public information, which in addition to helping to minimize the impacts of accidents on the offsite public, may also lead to more efficient property markets in areas near RMP facilities</w:t>
      </w:r>
      <w:r>
        <w:rPr>
          <w:rFonts w:ascii="Times New Roman" w:hAnsi="Times New Roman"/>
          <w:sz w:val="24"/>
        </w:rPr>
        <w:t xml:space="preserve">. Additionally, Chapter 6 section 6.1.4 Evidence from the Literature provides evidence from the literature supporting the effectiveness of some final rule provisions at improving safety and market efficiency. </w:t>
      </w:r>
    </w:p>
    <w:p w:rsidR="00730E8C" w:rsidP="00730E8C" w14:paraId="1C14D228" w14:textId="4B06154F">
      <w:pPr>
        <w:ind w:left="720"/>
        <w:rPr>
          <w:rFonts w:ascii="Times New Roman" w:hAnsi="Times New Roman"/>
          <w:sz w:val="24"/>
        </w:rPr>
      </w:pPr>
      <w:r>
        <w:rPr>
          <w:rFonts w:ascii="Times New Roman" w:hAnsi="Times New Roman"/>
          <w:sz w:val="24"/>
        </w:rPr>
        <w:t xml:space="preserve">The SCCAP final rule RIA discusses the STAA practicability assessment cost estimate methodology in Chapter 4 section 4.4.1 STAA: Initial Evaluation and Practicability Assessment and in Appendix A. </w:t>
      </w:r>
      <w:r w:rsidRPr="00041611">
        <w:rPr>
          <w:rFonts w:ascii="Times New Roman" w:hAnsi="Times New Roman"/>
          <w:sz w:val="24"/>
        </w:rPr>
        <w:t xml:space="preserve">To estimate the cost of the </w:t>
      </w:r>
      <w:r>
        <w:rPr>
          <w:rFonts w:ascii="Times New Roman" w:hAnsi="Times New Roman"/>
          <w:sz w:val="24"/>
        </w:rPr>
        <w:t xml:space="preserve">STAA </w:t>
      </w:r>
      <w:r w:rsidRPr="00041611">
        <w:rPr>
          <w:rFonts w:ascii="Times New Roman" w:hAnsi="Times New Roman"/>
          <w:sz w:val="24"/>
        </w:rPr>
        <w:t xml:space="preserve">practicability assessment, EPA maintains the approach it developed for the </w:t>
      </w:r>
      <w:r>
        <w:rPr>
          <w:rFonts w:ascii="Times New Roman" w:hAnsi="Times New Roman"/>
          <w:sz w:val="24"/>
        </w:rPr>
        <w:t>a</w:t>
      </w:r>
      <w:r w:rsidRPr="00041611">
        <w:rPr>
          <w:rFonts w:ascii="Times New Roman" w:hAnsi="Times New Roman"/>
          <w:sz w:val="24"/>
        </w:rPr>
        <w:t xml:space="preserve">mendments rule RIA. That approach is to identify “reference” STAA projects for the sectors affected by the provision, estimate costs of the reference projects, and apply a percentage to the project cost to calculate the practicability assessment cost. EPA was unable to locate new information on practicability assessment costs or those costs in relation to project costs. Thus, EPA adopts the same 1.2 percent of project costs that was estimated for the </w:t>
      </w:r>
      <w:r w:rsidRPr="00041611">
        <w:rPr>
          <w:rFonts w:ascii="Times New Roman" w:hAnsi="Times New Roman"/>
          <w:sz w:val="24"/>
        </w:rPr>
        <w:t xml:space="preserve">amendments rule RIA. The approach to estimating the costs of practicability assessments identified relevant reference projects for each affected sector and cost estimates for each reference project and then applied the 1.2 percentage estimate to project costs. EPA assumes Program 3 facilities already assess the practicability of some potential alternatives. Hence, the reference projects reflect the addition of inherently safer and a few other alternatives in a facility’s practicability assessment as a result of the final rule. An important potential STAA project for the final rule is the consideration by petroleum refiners of converting an HF alkylation to safer technologies that replace HF with substitutes such as sulfuric acid, ionic liquids, or solid acid. </w:t>
      </w:r>
      <w:r>
        <w:rPr>
          <w:rFonts w:ascii="Times New Roman" w:hAnsi="Times New Roman"/>
          <w:sz w:val="24"/>
        </w:rPr>
        <w:t xml:space="preserve">While the practicability assessment provision does not require conversion, it is likely that refineries with HF units will study HF conversion as part of their assessment. </w:t>
      </w:r>
      <w:r w:rsidR="00825D69">
        <w:rPr>
          <w:rFonts w:ascii="Times New Roman" w:hAnsi="Times New Roman"/>
          <w:sz w:val="24"/>
        </w:rPr>
        <w:t>Because</w:t>
      </w:r>
      <w:r>
        <w:rPr>
          <w:rFonts w:ascii="Times New Roman" w:hAnsi="Times New Roman"/>
          <w:sz w:val="24"/>
        </w:rPr>
        <w:t xml:space="preserve"> EPA’s best estimate of the assessment cost is as a percentage of the project cost, the cost of HF conversion affects the STAA practicability assessment cost estimate. </w:t>
      </w:r>
    </w:p>
    <w:p w:rsidR="0055254A" w:rsidRPr="00730E8C" w:rsidP="00730E8C" w14:paraId="15BCC2E5" w14:textId="08047E3E">
      <w:pPr>
        <w:ind w:left="720"/>
        <w:rPr>
          <w:rFonts w:ascii="Times New Roman" w:hAnsi="Times New Roman"/>
          <w:sz w:val="24"/>
        </w:rPr>
      </w:pPr>
      <w:r>
        <w:rPr>
          <w:rFonts w:ascii="Times New Roman" w:hAnsi="Times New Roman"/>
          <w:sz w:val="24"/>
        </w:rPr>
        <w:t>EPA uses the best available data to estimate costs and benefits of the final rule with the primary data source being facility reported data in RMP filings.</w:t>
      </w:r>
    </w:p>
    <w:p w:rsidR="004E215A" w:rsidRPr="00457CF9" w:rsidP="004E215A" w14:paraId="2D9EED61" w14:textId="0E7BA521">
      <w:pPr>
        <w:rPr>
          <w:rFonts w:ascii="Times New Roman" w:hAnsi="Times New Roman"/>
          <w:sz w:val="24"/>
        </w:rPr>
      </w:pPr>
      <w:r w:rsidRPr="001B1A40">
        <w:rPr>
          <w:rFonts w:ascii="Times New Roman" w:hAnsi="Times New Roman"/>
          <w:b/>
          <w:bCs/>
          <w:sz w:val="24"/>
        </w:rPr>
        <w:t>Comment 1</w:t>
      </w:r>
      <w:r w:rsidR="001D4528">
        <w:rPr>
          <w:rFonts w:ascii="Times New Roman" w:hAnsi="Times New Roman"/>
          <w:b/>
          <w:bCs/>
          <w:sz w:val="24"/>
        </w:rPr>
        <w:t>6</w:t>
      </w:r>
      <w:r w:rsidRPr="001B1A40">
        <w:rPr>
          <w:rFonts w:ascii="Times New Roman" w:hAnsi="Times New Roman"/>
          <w:b/>
          <w:bCs/>
          <w:sz w:val="24"/>
        </w:rPr>
        <w:t>.</w:t>
      </w:r>
      <w:r>
        <w:rPr>
          <w:rFonts w:ascii="Times New Roman" w:hAnsi="Times New Roman"/>
          <w:b/>
          <w:bCs/>
          <w:sz w:val="24"/>
        </w:rPr>
        <w:t>3-2</w:t>
      </w:r>
      <w:r w:rsidR="00387814">
        <w:rPr>
          <w:rFonts w:ascii="Times New Roman" w:hAnsi="Times New Roman"/>
          <w:b/>
          <w:bCs/>
          <w:sz w:val="24"/>
        </w:rPr>
        <w:t>2</w:t>
      </w:r>
      <w:r w:rsidRPr="001B1A40">
        <w:rPr>
          <w:rFonts w:ascii="Times New Roman" w:hAnsi="Times New Roman"/>
          <w:b/>
          <w:bCs/>
          <w:sz w:val="24"/>
        </w:rPr>
        <w:t>:</w:t>
      </w:r>
      <w:r w:rsidRPr="001B1A40">
        <w:rPr>
          <w:rFonts w:ascii="Times New Roman" w:hAnsi="Times New Roman"/>
          <w:sz w:val="24"/>
        </w:rPr>
        <w:t xml:space="preserve"> One commenter stated that EPA can treat any desirable (or undesirable) distributional effects as an unquantified benefit (or cost) that it compares alongside other costs and benefits. The commenter stated that EPA should consider these distributional consequences in the context of a breakeven analysis; for example, if multiple scenarios meet the breakeven threshold, EPA could consider and discuss whether one alternative has more desirable distributional impacts. The commenter also recommended that EPA coordinate internally and externally with other agencies and with OMB to conduct its distributional analysis for this rule in a manner that contributes to achieving a standardized approach to distributional analysis across the federal government (0266).</w:t>
      </w:r>
    </w:p>
    <w:p w:rsidR="004E215A" w:rsidRPr="00416006" w:rsidP="00B24434" w14:paraId="450563E0" w14:textId="77777777">
      <w:pPr>
        <w:ind w:left="720"/>
        <w:rPr>
          <w:rFonts w:ascii="Times New Roman" w:hAnsi="Times New Roman"/>
          <w:sz w:val="24"/>
        </w:rPr>
      </w:pPr>
      <w:r w:rsidRPr="00F07FB6">
        <w:rPr>
          <w:rFonts w:ascii="Times New Roman" w:hAnsi="Times New Roman"/>
          <w:b/>
          <w:sz w:val="24"/>
        </w:rPr>
        <w:t>EPA Response:</w:t>
      </w:r>
      <w:r>
        <w:rPr>
          <w:rFonts w:ascii="Times New Roman" w:hAnsi="Times New Roman"/>
          <w:sz w:val="24"/>
        </w:rPr>
        <w:t xml:space="preserve"> EPA is not able to </w:t>
      </w:r>
      <w:r w:rsidRPr="00595235">
        <w:rPr>
          <w:rFonts w:ascii="Times New Roman" w:hAnsi="Times New Roman"/>
          <w:sz w:val="24"/>
        </w:rPr>
        <w:t xml:space="preserve">quantify different distributional benefits in the </w:t>
      </w:r>
      <w:r>
        <w:rPr>
          <w:rFonts w:ascii="Times New Roman" w:hAnsi="Times New Roman"/>
          <w:sz w:val="24"/>
        </w:rPr>
        <w:t>benefit cost</w:t>
      </w:r>
      <w:r w:rsidRPr="00595235">
        <w:rPr>
          <w:rFonts w:ascii="Times New Roman" w:hAnsi="Times New Roman"/>
          <w:sz w:val="24"/>
        </w:rPr>
        <w:t xml:space="preserve"> analysis</w:t>
      </w:r>
      <w:r>
        <w:rPr>
          <w:rFonts w:ascii="Times New Roman" w:hAnsi="Times New Roman"/>
          <w:sz w:val="24"/>
        </w:rPr>
        <w:t xml:space="preserve"> because it cannot quantify specific risk reductions as discussed in the breakeven analysis in the final rule RIA Chapter 6. However, </w:t>
      </w:r>
      <w:r w:rsidRPr="00920A84">
        <w:rPr>
          <w:rFonts w:ascii="Times New Roman" w:hAnsi="Times New Roman"/>
          <w:sz w:val="24"/>
        </w:rPr>
        <w:t xml:space="preserve">EPA considered several distributional components in both its cost analysis (RIA Chapter 5) and its regulatory alternatives (RIA Chapter 7), including costs by facility type, sector, and size and by provision. Furthermore, the small entity analysis in RIA Chapter 8 provides distributional effects </w:t>
      </w:r>
      <w:r>
        <w:rPr>
          <w:rFonts w:ascii="Times New Roman" w:hAnsi="Times New Roman"/>
          <w:sz w:val="24"/>
        </w:rPr>
        <w:t xml:space="preserve">to government facilities and </w:t>
      </w:r>
      <w:r w:rsidRPr="00920A84">
        <w:rPr>
          <w:rFonts w:ascii="Times New Roman" w:hAnsi="Times New Roman"/>
          <w:sz w:val="24"/>
        </w:rPr>
        <w:t xml:space="preserve">by detailed NAICS industry and size of entities. The distributional cost to different communities located near RMP facilities is also assessed in </w:t>
      </w:r>
      <w:r w:rsidRPr="00416006">
        <w:rPr>
          <w:rFonts w:ascii="Times New Roman" w:hAnsi="Times New Roman"/>
          <w:sz w:val="24"/>
        </w:rPr>
        <w:t>Chapter 9 of the RIA, the environmental justice analysis.</w:t>
      </w:r>
    </w:p>
    <w:p w:rsidR="004E215A" w:rsidRPr="00416006" w:rsidP="004E215A" w14:paraId="7AD566B5" w14:textId="77777777">
      <w:pPr>
        <w:rPr>
          <w:rFonts w:ascii="Times New Roman" w:hAnsi="Times New Roman"/>
          <w:i/>
          <w:iCs/>
          <w:sz w:val="24"/>
        </w:rPr>
      </w:pPr>
      <w:r w:rsidRPr="00416006">
        <w:rPr>
          <w:rFonts w:ascii="Times New Roman" w:hAnsi="Times New Roman"/>
          <w:i/>
          <w:iCs/>
          <w:sz w:val="24"/>
        </w:rPr>
        <w:t xml:space="preserve">Estimated costs </w:t>
      </w:r>
    </w:p>
    <w:p w:rsidR="004E215A" w:rsidRPr="00416006" w:rsidP="004E215A" w14:paraId="67D221E4" w14:textId="54BDC0AA">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w:t>
      </w:r>
      <w:r w:rsidRPr="00416006" w:rsidR="00387814">
        <w:rPr>
          <w:rFonts w:ascii="Times New Roman" w:hAnsi="Times New Roman"/>
          <w:b/>
          <w:bCs/>
          <w:sz w:val="24"/>
        </w:rPr>
        <w:t>3</w:t>
      </w:r>
      <w:r w:rsidRPr="00416006">
        <w:rPr>
          <w:rFonts w:ascii="Times New Roman" w:hAnsi="Times New Roman"/>
          <w:b/>
          <w:bCs/>
          <w:sz w:val="24"/>
        </w:rPr>
        <w:t xml:space="preserve">: </w:t>
      </w:r>
      <w:r w:rsidRPr="00416006">
        <w:rPr>
          <w:rFonts w:ascii="Times New Roman" w:hAnsi="Times New Roman"/>
          <w:sz w:val="24"/>
        </w:rPr>
        <w:t xml:space="preserve">Several commenters expressed support for EPA’s draft RIA regarding the estimation of costs (0151, 0266, 0273, 0444). </w:t>
      </w:r>
    </w:p>
    <w:p w:rsidR="00E05A53" w:rsidRPr="00416006" w:rsidP="00E05A53" w14:paraId="4BADA45D" w14:textId="77777777">
      <w:pPr>
        <w:ind w:left="720"/>
        <w:rPr>
          <w:rFonts w:ascii="Times New Roman" w:hAnsi="Times New Roman"/>
          <w:sz w:val="24"/>
        </w:rPr>
      </w:pPr>
      <w:r w:rsidRPr="00416006">
        <w:rPr>
          <w:rFonts w:ascii="Times New Roman" w:hAnsi="Times New Roman"/>
          <w:b/>
          <w:bCs/>
          <w:sz w:val="24"/>
        </w:rPr>
        <w:t xml:space="preserve">EPA Response: </w:t>
      </w:r>
      <w:r w:rsidRPr="00416006">
        <w:rPr>
          <w:rFonts w:ascii="Times New Roman" w:hAnsi="Times New Roman"/>
          <w:sz w:val="24"/>
        </w:rPr>
        <w:t>EPA appreciates the commenters’ support.</w:t>
      </w:r>
    </w:p>
    <w:p w:rsidR="004E215A" w:rsidRPr="00416006" w:rsidP="004E215A" w14:paraId="3E50AA95" w14:textId="3C85FDAF">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w:t>
      </w:r>
      <w:r w:rsidRPr="00416006" w:rsidR="00387814">
        <w:rPr>
          <w:rFonts w:ascii="Times New Roman" w:hAnsi="Times New Roman"/>
          <w:b/>
          <w:bCs/>
          <w:sz w:val="24"/>
        </w:rPr>
        <w:t>4</w:t>
      </w:r>
      <w:r w:rsidRPr="00416006">
        <w:rPr>
          <w:rFonts w:ascii="Times New Roman" w:hAnsi="Times New Roman"/>
          <w:b/>
          <w:bCs/>
          <w:sz w:val="24"/>
        </w:rPr>
        <w:t>:</w:t>
      </w:r>
      <w:r w:rsidRPr="00416006">
        <w:rPr>
          <w:rFonts w:ascii="Times New Roman" w:hAnsi="Times New Roman"/>
          <w:sz w:val="24"/>
        </w:rPr>
        <w:t xml:space="preserve"> Several commenters expressed concern about EPA’s draft RIA regarding the estimation of costs (0180, 0197, 0202, 0205, 0214, 0215, 0217, 0226, 0227, 0232, 0233, 0234, 0239, 0243, 0250, 0253, 0259, 0268, 0272, 0275, 0456, 0458). Several commenters stated that the new requirements under the proposed rule would impose unnecessary burdens to facilities including new training and analyses, higher costs, or lower effectiveness of the program (0180, 0188, 0196, 0202, 0205, 0207, 0214, 0215, 0217, 0226, 0233, 0234, 0237, 0238, 0239, 0245, </w:t>
      </w:r>
      <w:r w:rsidRPr="00416006">
        <w:rPr>
          <w:rFonts w:ascii="Times New Roman" w:hAnsi="Times New Roman"/>
          <w:sz w:val="24"/>
        </w:rPr>
        <w:t>0253, 0256, 0263, 0267, 0268, 0458, 0477).</w:t>
      </w:r>
      <w:r w:rsidRPr="00416006">
        <w:rPr>
          <w:rFonts w:ascii="Times New Roman" w:hAnsi="Times New Roman"/>
          <w:b/>
          <w:bCs/>
          <w:sz w:val="24"/>
        </w:rPr>
        <w:t xml:space="preserve"> </w:t>
      </w:r>
      <w:r w:rsidRPr="00416006">
        <w:rPr>
          <w:rFonts w:ascii="Times New Roman" w:hAnsi="Times New Roman"/>
          <w:sz w:val="24"/>
        </w:rPr>
        <w:t>Another commenter stated that the proposed rule’s additional requirements will increase operating costs, paperwork burdens, and compliance costs rather than making it more likely to prevent an accidental release, and asserted that the current RMP regulations work well (0227).</w:t>
      </w:r>
    </w:p>
    <w:p w:rsidR="004E215A" w:rsidRPr="00416006" w:rsidP="00152ACC" w14:paraId="37ACEC86" w14:textId="415B7D14">
      <w:pPr>
        <w:ind w:left="720" w:right="51"/>
        <w:rPr>
          <w:rFonts w:ascii="Times New Roman" w:hAnsi="Times New Roman"/>
          <w:sz w:val="24"/>
        </w:rPr>
      </w:pPr>
      <w:r w:rsidRPr="00416006">
        <w:rPr>
          <w:rFonts w:ascii="Times New Roman" w:hAnsi="Times New Roman"/>
          <w:b/>
          <w:sz w:val="24"/>
        </w:rPr>
        <w:t xml:space="preserve">EPA Response: </w:t>
      </w:r>
      <w:r w:rsidRPr="00416006">
        <w:rPr>
          <w:rFonts w:ascii="Times New Roman" w:hAnsi="Times New Roman"/>
          <w:sz w:val="24"/>
        </w:rPr>
        <w:t xml:space="preserve">EPA disagrees with the commenters and finds the goals of the rule to reduce the harmful impact of accidents outweigh the costs estimated in the rule. EPA identifies and discusses in the final rule RIA the expected costs and benefits of each provision that would be expected to result in costs or benefits. EPA considered the information provided by commenters on specific rule provisions and updated some assumptions and data as able, resulting in adjustments to the cost estimates. In response to comments and to new requirements in the final rule, EPA quantified additional costs beyond those quantified in the NPRM, including public costs to request and receive RMP information and facility costs to translate RMP information into other languages; implement STAA measures; train employees on the employee participation plan; provide justifications for not implementing recommendations to address natural hazards, facility siting, and RAGAGEP; and aligned the rule familiarization hours assumptions for delegated implementing agencies, LEPCs, and P1, P2, and simple P3 facilities. EPA also updated its estimated labor rates to the most recent (2022) values available from the BLS and updated other costs to be in 2022 dollars as well. Moreover, EPA used 2020 RMP data instead of the 2015 RMP data used in the 2017 </w:t>
      </w:r>
      <w:r w:rsidR="00C067EA">
        <w:rPr>
          <w:rFonts w:ascii="Times New Roman" w:hAnsi="Times New Roman"/>
          <w:sz w:val="24"/>
        </w:rPr>
        <w:t>a</w:t>
      </w:r>
      <w:r w:rsidRPr="00416006">
        <w:rPr>
          <w:rFonts w:ascii="Times New Roman" w:hAnsi="Times New Roman"/>
          <w:sz w:val="24"/>
        </w:rPr>
        <w:t xml:space="preserve">mendments </w:t>
      </w:r>
      <w:r w:rsidR="00C067EA">
        <w:rPr>
          <w:rFonts w:ascii="Times New Roman" w:hAnsi="Times New Roman"/>
          <w:sz w:val="24"/>
        </w:rPr>
        <w:t>r</w:t>
      </w:r>
      <w:r w:rsidRPr="00416006">
        <w:rPr>
          <w:rFonts w:ascii="Times New Roman" w:hAnsi="Times New Roman"/>
          <w:sz w:val="24"/>
        </w:rPr>
        <w:t xml:space="preserve">ule, so total cost estimates in this final rule reflect the number of facilities active as of December 31, 2020. EPA also acknowledges that estimates – both in terms of unit costs and numbers of facilities – may not perfectly match specific industry sectors. To the extent possible, EPA made adjustments to facility-provided data in the RMP database to address some of the more obvious discrepancies. </w:t>
      </w:r>
    </w:p>
    <w:p w:rsidR="004E215A" w:rsidRPr="00416006" w:rsidP="00152ACC" w14:paraId="7FFA94B6" w14:textId="575A2607">
      <w:pPr>
        <w:ind w:left="720" w:right="51"/>
        <w:rPr>
          <w:rFonts w:ascii="Times New Roman" w:hAnsi="Times New Roman"/>
          <w:sz w:val="24"/>
        </w:rPr>
      </w:pPr>
      <w:r w:rsidRPr="00416006">
        <w:rPr>
          <w:rFonts w:ascii="Times New Roman" w:hAnsi="Times New Roman"/>
          <w:sz w:val="24"/>
        </w:rPr>
        <w:t xml:space="preserve">EPA conducted a breakeven analysis instead of a standard cost benefit analysis because while EPA was able to estimate the costs of the final rule, it cannot </w:t>
      </w:r>
      <w:r w:rsidR="00F84919">
        <w:rPr>
          <w:rFonts w:ascii="Times New Roman" w:hAnsi="Times New Roman"/>
          <w:sz w:val="24"/>
        </w:rPr>
        <w:t>precisely monetize</w:t>
      </w:r>
      <w:r w:rsidRPr="00416006" w:rsidR="00F84919">
        <w:rPr>
          <w:rFonts w:ascii="Times New Roman" w:hAnsi="Times New Roman"/>
          <w:sz w:val="24"/>
        </w:rPr>
        <w:t xml:space="preserve"> </w:t>
      </w:r>
      <w:r w:rsidRPr="00416006">
        <w:rPr>
          <w:rFonts w:ascii="Times New Roman" w:hAnsi="Times New Roman"/>
          <w:sz w:val="24"/>
        </w:rPr>
        <w:t>the benefits. The incremental impact on the risk of an RMP facility release resulting from each of the revised RMP rule provisions is uncertain, as is the value of a wide variety of benefit categories as described in the final rule RIA Chapter 6 (lost productivity, responder costs, property value impacts, and so on). The final rule RIA Chapter 6 section 6.3 Avoided Accident Impacts: Breakeven Analysis discusses the breakeven analysis results. When considering the rule’s likely benefits of avoiding some portion of the monetized accident impacts, as well as the additional nonmonetized benefits, EPA believes the costs of the rule are reasonable in comparison to its expected benefits.</w:t>
      </w:r>
    </w:p>
    <w:p w:rsidR="004E215A" w:rsidRPr="00416006" w:rsidP="004E215A" w14:paraId="4B28079F" w14:textId="1026F75C">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w:t>
      </w:r>
      <w:r w:rsidRPr="00416006" w:rsidR="00387814">
        <w:rPr>
          <w:rFonts w:ascii="Times New Roman" w:hAnsi="Times New Roman"/>
          <w:b/>
          <w:bCs/>
          <w:sz w:val="24"/>
        </w:rPr>
        <w:t>5</w:t>
      </w:r>
      <w:r w:rsidRPr="00416006">
        <w:rPr>
          <w:rFonts w:ascii="Times New Roman" w:hAnsi="Times New Roman"/>
          <w:b/>
          <w:bCs/>
          <w:sz w:val="24"/>
        </w:rPr>
        <w:t>:</w:t>
      </w:r>
      <w:r w:rsidRPr="00416006">
        <w:rPr>
          <w:rFonts w:ascii="Times New Roman" w:hAnsi="Times New Roman"/>
          <w:sz w:val="24"/>
        </w:rPr>
        <w:t xml:space="preserve"> Several commenters stated that the 57% decrease in RMP incidents from 2007 to 2016 and that 97% of RMP regulated facilities did not have a RMP reportable incident from 2016 to 2020 proves that current RMP regulations are achieving their purpose and reducing chemical accidents. The commenter stated that it is unclear if there will be a significant reduction of chemical accidents under the proposed changes (0180, 0205, 0217, 0226, 0234, 0458).</w:t>
      </w:r>
    </w:p>
    <w:p w:rsidR="004E215A" w:rsidRPr="00416006" w:rsidP="004E215A" w14:paraId="59B94231" w14:textId="350DEDE4">
      <w:pPr>
        <w:ind w:left="720"/>
        <w:rPr>
          <w:rFonts w:ascii="Times New Roman" w:hAnsi="Times New Roman"/>
          <w:sz w:val="24"/>
        </w:rPr>
      </w:pPr>
      <w:bookmarkStart w:id="190" w:name="_Hlk149546912"/>
      <w:r w:rsidRPr="00416006">
        <w:rPr>
          <w:rFonts w:ascii="Times New Roman" w:hAnsi="Times New Roman"/>
          <w:b/>
          <w:bCs/>
          <w:sz w:val="24"/>
        </w:rPr>
        <w:t>EPA Response:</w:t>
      </w:r>
      <w:r w:rsidRPr="00416006">
        <w:rPr>
          <w:rFonts w:ascii="Times New Roman" w:hAnsi="Times New Roman"/>
          <w:sz w:val="24"/>
        </w:rPr>
        <w:t xml:space="preserve"> </w:t>
      </w:r>
      <w:r w:rsidRPr="00416006">
        <w:rPr>
          <w:rFonts w:ascii="Times New Roman" w:hAnsi="Times New Roman"/>
          <w:sz w:val="24"/>
        </w:rPr>
        <w:t>Based on data from the EPA RMP Database, there were a total of 488 RMP-reportable accidents from 2016 to 2020,</w:t>
      </w:r>
      <w:r>
        <w:rPr>
          <w:rStyle w:val="FootnoteReference"/>
          <w:rFonts w:ascii="Times New Roman" w:hAnsi="Times New Roman"/>
          <w:sz w:val="24"/>
          <w:highlight w:val="yellow"/>
        </w:rPr>
        <w:footnoteReference w:id="207"/>
      </w:r>
      <w:r w:rsidRPr="00416006">
        <w:rPr>
          <w:rFonts w:ascii="Times New Roman" w:hAnsi="Times New Roman"/>
          <w:sz w:val="24"/>
        </w:rPr>
        <w:t xml:space="preserve"> averaging almost 98 accidents a year</w:t>
      </w:r>
      <w:r w:rsidRPr="00416006">
        <w:rPr>
          <w:rFonts w:ascii="Times New Roman" w:hAnsi="Times New Roman"/>
          <w:sz w:val="24"/>
        </w:rPr>
        <w:t>. These accidents included 18 total onsite deaths and 575 total onsite injuries as well as $2.3 billion in onsite property damages, excluding off-site impacts, as presented in RIA Exhibit 3-11. Therefore, the final rule</w:t>
      </w:r>
      <w:r w:rsidRPr="00416006">
        <w:rPr>
          <w:rFonts w:ascii="Times New Roman" w:hAnsi="Times New Roman"/>
          <w:sz w:val="24"/>
        </w:rPr>
        <w:t xml:space="preserve"> </w:t>
      </w:r>
      <w:r w:rsidRPr="00416006">
        <w:rPr>
          <w:rFonts w:ascii="Times New Roman" w:hAnsi="Times New Roman"/>
          <w:sz w:val="24"/>
        </w:rPr>
        <w:t>impose</w:t>
      </w:r>
      <w:r w:rsidR="00A9497F">
        <w:rPr>
          <w:rFonts w:ascii="Times New Roman" w:hAnsi="Times New Roman"/>
          <w:sz w:val="24"/>
        </w:rPr>
        <w:t>s</w:t>
      </w:r>
      <w:r w:rsidRPr="00416006">
        <w:rPr>
          <w:rFonts w:ascii="Times New Roman" w:hAnsi="Times New Roman"/>
          <w:sz w:val="24"/>
        </w:rPr>
        <w:t xml:space="preserve"> new requirements that will further reduce the impact of these chemical accidents. Furthermore, an analysis of monetized costs of accidents from 2004 to 2013 and 2014 to 2016, shows that average per accident costs have remained relatively stable at $3.0 million per accident. Average per accident costs from 2016 to 2020 were $5.1 million. Therefore, the severity of such accidents has not </w:t>
      </w:r>
      <w:r w:rsidR="00283B72">
        <w:rPr>
          <w:rFonts w:ascii="Times New Roman" w:hAnsi="Times New Roman"/>
          <w:sz w:val="24"/>
        </w:rPr>
        <w:t>decreased</w:t>
      </w:r>
      <w:r w:rsidRPr="00416006">
        <w:rPr>
          <w:rFonts w:ascii="Times New Roman" w:hAnsi="Times New Roman"/>
          <w:sz w:val="24"/>
        </w:rPr>
        <w:t>.</w:t>
      </w:r>
    </w:p>
    <w:bookmarkEnd w:id="190"/>
    <w:p w:rsidR="006B7DF3" w:rsidRPr="00416006" w:rsidP="006B7DF3" w14:paraId="367D8A4E" w14:textId="2A7A7EEE">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.3-26:</w:t>
      </w:r>
      <w:r w:rsidRPr="00416006">
        <w:rPr>
          <w:rFonts w:ascii="Times New Roman" w:hAnsi="Times New Roman"/>
          <w:sz w:val="24"/>
        </w:rPr>
        <w:t xml:space="preserve"> One commenter said that social and health consequences, such as the monetary and emotional costs of a child or adult with neurological disabilities, cancer, or other lifelong or serious diseases, are not adequately accounted for in EPA’s analysis of the rule. The commenter said that it costs twice as much to educate a child with special needs along with the costs of healthcare, counseling, tutors, and medical appointments for the child with learning disabilities, autism or ADHD (0249).</w:t>
      </w:r>
    </w:p>
    <w:p w:rsidR="007A4344" w:rsidRPr="00416006" w:rsidP="007A4344" w14:paraId="6F147A4D" w14:textId="06B6FB67">
      <w:pPr>
        <w:pStyle w:val="ListParagraph"/>
        <w:numPr>
          <w:ilvl w:val="0"/>
          <w:numId w:val="0"/>
        </w:numPr>
        <w:ind w:left="780"/>
        <w:rPr>
          <w:rFonts w:ascii="Times New Roman" w:hAnsi="Times New Roman"/>
          <w:b/>
          <w:bCs/>
          <w:sz w:val="24"/>
        </w:rPr>
      </w:pPr>
      <w:r w:rsidRPr="00416006">
        <w:rPr>
          <w:rFonts w:ascii="Times New Roman" w:hAnsi="Times New Roman"/>
          <w:b/>
          <w:bCs/>
          <w:sz w:val="24"/>
        </w:rPr>
        <w:t>EPA Response</w:t>
      </w:r>
      <w:r w:rsidRPr="00416006">
        <w:rPr>
          <w:rFonts w:ascii="Times New Roman" w:hAnsi="Times New Roman"/>
          <w:sz w:val="24"/>
        </w:rPr>
        <w:t xml:space="preserve">: </w:t>
      </w:r>
      <w:r w:rsidRPr="00416006" w:rsidR="001517DA">
        <w:rPr>
          <w:rFonts w:ascii="Times New Roman" w:hAnsi="Times New Roman"/>
          <w:sz w:val="24"/>
        </w:rPr>
        <w:t>EPA discusses the potential health benefits in RIA Chapter 6 qualitatively. Specifically, long-term health benefits from a reduction in exposure to toxic chemicals are discussed in RIA section 6.2.2. Similarly, EPA quantifies the impact of accidents on health consequences by analyzing the monetized costs of accidents in terms of fatalities, injuries, hospitalizations, and medical treatments in RIA section 6.3.</w:t>
      </w:r>
      <w:r w:rsidRPr="004E7F6F" w:rsidR="004E7F6F">
        <w:t xml:space="preserve"> </w:t>
      </w:r>
      <w:r w:rsidR="004E7F6F">
        <w:t>T</w:t>
      </w:r>
      <w:r w:rsidRPr="004E7F6F" w:rsidR="004E7F6F">
        <w:rPr>
          <w:rFonts w:ascii="Times New Roman" w:hAnsi="Times New Roman"/>
          <w:sz w:val="24"/>
        </w:rPr>
        <w:t>o the extent these impacts are not quantified/monetized fully, baseline damages estimated by EPA are conservative estimates.</w:t>
      </w:r>
    </w:p>
    <w:p w:rsidR="006B7DF3" w:rsidRPr="00416006" w:rsidP="006B7DF3" w14:paraId="0617FE93" w14:textId="2491CF26">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.3-27:</w:t>
      </w:r>
      <w:r w:rsidRPr="00416006">
        <w:rPr>
          <w:rFonts w:ascii="Times New Roman" w:hAnsi="Times New Roman"/>
          <w:sz w:val="24"/>
        </w:rPr>
        <w:t xml:space="preserve"> One commenter stated that the ratepaying customers of the utility fund utility operations, and therefore any new costs incurred by the proposed rule will be carried by those ratepayers regardless of ownership type. The commenter recommended that EPA should consider effects of the proposed rule on water affordability and reliability (0239).</w:t>
      </w:r>
    </w:p>
    <w:p w:rsidR="006B7DF3" w:rsidRPr="00416006" w:rsidP="006B7DF3" w14:paraId="618DF9D5" w14:textId="581292C1">
      <w:pPr>
        <w:ind w:left="720"/>
        <w:rPr>
          <w:rFonts w:ascii="Times New Roman" w:hAnsi="Times New Roman"/>
          <w:sz w:val="24"/>
        </w:rPr>
      </w:pPr>
      <w:r w:rsidRPr="00416006">
        <w:rPr>
          <w:rFonts w:ascii="Times New Roman" w:hAnsi="Times New Roman"/>
          <w:b/>
          <w:sz w:val="24"/>
        </w:rPr>
        <w:t>EPA Response:</w:t>
      </w:r>
      <w:r w:rsidRPr="00416006">
        <w:rPr>
          <w:rFonts w:ascii="Times New Roman" w:hAnsi="Times New Roman"/>
          <w:sz w:val="24"/>
        </w:rPr>
        <w:t xml:space="preserve"> EPA disagrees with this comment’s assertion that costs of the final rule will be carried over to ratepaying customers and have any implication</w:t>
      </w:r>
      <w:r w:rsidR="00996387">
        <w:rPr>
          <w:rFonts w:ascii="Times New Roman" w:hAnsi="Times New Roman"/>
          <w:sz w:val="24"/>
        </w:rPr>
        <w:t>s for</w:t>
      </w:r>
      <w:r w:rsidRPr="00416006">
        <w:rPr>
          <w:rFonts w:ascii="Times New Roman" w:hAnsi="Times New Roman"/>
          <w:sz w:val="24"/>
        </w:rPr>
        <w:t xml:space="preserve">  water affordability, as the cost of the rule to water utilities was determined to be small. In the final rule RIA, EPA estimated the costs of the rule to small entities, including government entities who operate water utilities, and EPA concluded that the vast majority of small government entities would face small costs. Specifically, 97 percent of small </w:t>
      </w:r>
      <w:r w:rsidRPr="00416006">
        <w:rPr>
          <w:rFonts w:ascii="Times New Roman" w:hAnsi="Times New Roman"/>
          <w:sz w:val="24"/>
        </w:rPr>
        <w:t>governments will face costs less than $10,000. Therefore</w:t>
      </w:r>
      <w:r w:rsidR="00863C18">
        <w:rPr>
          <w:rFonts w:ascii="Times New Roman" w:hAnsi="Times New Roman"/>
          <w:sz w:val="24"/>
        </w:rPr>
        <w:t>,</w:t>
      </w:r>
      <w:r w:rsidRPr="00416006">
        <w:rPr>
          <w:rFonts w:ascii="Times New Roman" w:hAnsi="Times New Roman"/>
          <w:sz w:val="24"/>
        </w:rPr>
        <w:t xml:space="preserve"> any impacts to ratepaying customers would also be minimal.</w:t>
      </w:r>
    </w:p>
    <w:p w:rsidR="00384372" w:rsidRPr="00416006" w:rsidP="00384372" w14:paraId="054E9A8A" w14:textId="2A4B85F4">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.3-28:</w:t>
      </w:r>
      <w:r w:rsidRPr="00416006">
        <w:rPr>
          <w:rFonts w:ascii="Times New Roman" w:hAnsi="Times New Roman"/>
          <w:sz w:val="24"/>
        </w:rPr>
        <w:t xml:space="preserve"> One commenter stated that EPA’s newer data show that th</w:t>
      </w:r>
      <w:r w:rsidR="0063534C">
        <w:rPr>
          <w:rFonts w:ascii="Times New Roman" w:hAnsi="Times New Roman"/>
          <w:sz w:val="24"/>
        </w:rPr>
        <w:t xml:space="preserve">e </w:t>
      </w:r>
      <w:r w:rsidRPr="00416006">
        <w:rPr>
          <w:rFonts w:ascii="Times New Roman" w:hAnsi="Times New Roman"/>
          <w:sz w:val="24"/>
        </w:rPr>
        <w:t>decline</w:t>
      </w:r>
      <w:r w:rsidR="0063534C">
        <w:rPr>
          <w:rFonts w:ascii="Times New Roman" w:hAnsi="Times New Roman"/>
          <w:sz w:val="24"/>
        </w:rPr>
        <w:t xml:space="preserve"> in reportable accidents</w:t>
      </w:r>
      <w:r w:rsidRPr="00416006">
        <w:rPr>
          <w:rFonts w:ascii="Times New Roman" w:hAnsi="Times New Roman"/>
          <w:sz w:val="24"/>
        </w:rPr>
        <w:t xml:space="preserve"> has continued through 2020, thus making the economically significant costs of this rule even less justifiable than they were six years ago (0275).</w:t>
      </w:r>
    </w:p>
    <w:p w:rsidR="00384372" w:rsidRPr="00416006" w:rsidP="003A100D" w14:paraId="338B4F1D" w14:textId="4962B7E8">
      <w:pPr>
        <w:ind w:left="720"/>
        <w:rPr>
          <w:rFonts w:ascii="Times New Roman" w:hAnsi="Times New Roman"/>
          <w:sz w:val="24"/>
          <w:u w:val="single"/>
        </w:rPr>
      </w:pPr>
      <w:r w:rsidRPr="00416006">
        <w:rPr>
          <w:rFonts w:ascii="Times New Roman" w:hAnsi="Times New Roman"/>
          <w:b/>
          <w:sz w:val="24"/>
        </w:rPr>
        <w:t>EPA Response:</w:t>
      </w:r>
      <w:r w:rsidRPr="00416006">
        <w:rPr>
          <w:rFonts w:ascii="Times New Roman" w:hAnsi="Times New Roman"/>
          <w:sz w:val="24"/>
        </w:rPr>
        <w:t xml:space="preserve"> </w:t>
      </w:r>
      <w:r w:rsidRPr="00416006">
        <w:rPr>
          <w:rFonts w:ascii="Times New Roman" w:hAnsi="Times New Roman"/>
          <w:sz w:val="24"/>
        </w:rPr>
        <w:t>Data from the RMP Database shows that the number of reportable accidents ha</w:t>
      </w:r>
      <w:r w:rsidR="00283B72">
        <w:rPr>
          <w:rFonts w:ascii="Times New Roman" w:hAnsi="Times New Roman"/>
          <w:sz w:val="24"/>
        </w:rPr>
        <w:t xml:space="preserve">s </w:t>
      </w:r>
      <w:r w:rsidRPr="00416006">
        <w:rPr>
          <w:rFonts w:ascii="Times New Roman" w:hAnsi="Times New Roman"/>
          <w:sz w:val="24"/>
        </w:rPr>
        <w:t>fluctuated from 2016 to 2020 with a slight downward trend.</w:t>
      </w:r>
      <w:r>
        <w:rPr>
          <w:rStyle w:val="FootnoteReference"/>
          <w:rFonts w:ascii="Times New Roman" w:hAnsi="Times New Roman"/>
          <w:sz w:val="24"/>
          <w:highlight w:val="yellow"/>
        </w:rPr>
        <w:footnoteReference w:id="208"/>
      </w:r>
      <w:r w:rsidRPr="00416006">
        <w:rPr>
          <w:rFonts w:ascii="Times New Roman" w:hAnsi="Times New Roman"/>
          <w:sz w:val="24"/>
        </w:rPr>
        <w:t xml:space="preserve"> While the number of accidents may be on a downward trend, the severity of onsite and offsite impacts remains high, including 0.04 deaths, 1.18 injuries, and $4.66 million value of damage per accident. In addition, RMP accidents remain costly in total, with RMP reportable accidents averaging $454.58 million from 2016-2020. </w:t>
      </w:r>
      <w:r w:rsidRPr="00416006">
        <w:rPr>
          <w:rFonts w:ascii="Times New Roman" w:hAnsi="Times New Roman"/>
          <w:sz w:val="24"/>
        </w:rPr>
        <w:t>Therefore, the final rule seeks to impose new requirements that will further reduce the impact of these chemical accidents.</w:t>
      </w:r>
    </w:p>
    <w:p w:rsidR="00384372" w:rsidRPr="00416006" w:rsidP="00384372" w14:paraId="0266E11B" w14:textId="65160AB2">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.3-29:</w:t>
      </w:r>
      <w:r w:rsidRPr="00416006">
        <w:rPr>
          <w:rFonts w:ascii="Times New Roman" w:hAnsi="Times New Roman"/>
          <w:sz w:val="24"/>
        </w:rPr>
        <w:t xml:space="preserve"> One commenter stated that the costs of death or disability, or of lasting harm to our natural environments, are immeasurable (0151).</w:t>
      </w:r>
    </w:p>
    <w:p w:rsidR="00384372" w:rsidRPr="00416006" w:rsidP="003A100D" w14:paraId="3FD68CEB" w14:textId="796245AB">
      <w:pPr>
        <w:ind w:left="720"/>
        <w:rPr>
          <w:rFonts w:ascii="Times New Roman" w:hAnsi="Times New Roman"/>
          <w:sz w:val="24"/>
        </w:rPr>
      </w:pPr>
      <w:r w:rsidRPr="00416006">
        <w:rPr>
          <w:rFonts w:ascii="Times New Roman" w:hAnsi="Times New Roman"/>
          <w:b/>
          <w:sz w:val="24"/>
        </w:rPr>
        <w:t>EPA Response:</w:t>
      </w:r>
      <w:r w:rsidRPr="00416006">
        <w:rPr>
          <w:rFonts w:ascii="Times New Roman" w:hAnsi="Times New Roman"/>
          <w:sz w:val="24"/>
        </w:rPr>
        <w:t xml:space="preserve"> EPA agrees that some costs resulting from accidents, including those listed by the commenter, are difficult to quantify. For that reason, EPA has discussed many of the benefits of the final rule qualitatively in </w:t>
      </w:r>
      <w:r w:rsidR="00283B72">
        <w:rPr>
          <w:rFonts w:ascii="Times New Roman" w:hAnsi="Times New Roman"/>
          <w:sz w:val="24"/>
        </w:rPr>
        <w:t xml:space="preserve">the </w:t>
      </w:r>
      <w:r w:rsidRPr="00416006">
        <w:rPr>
          <w:rFonts w:ascii="Times New Roman" w:hAnsi="Times New Roman"/>
          <w:sz w:val="24"/>
        </w:rPr>
        <w:t>RIA Chapter 6.</w:t>
      </w:r>
    </w:p>
    <w:p w:rsidR="00384372" w:rsidRPr="00416006" w:rsidP="00384372" w14:paraId="24E8F17C" w14:textId="3FC385D3">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 xml:space="preserve">.3-30: </w:t>
      </w:r>
      <w:r w:rsidRPr="00416006">
        <w:rPr>
          <w:rFonts w:ascii="Times New Roman" w:hAnsi="Times New Roman"/>
          <w:sz w:val="24"/>
        </w:rPr>
        <w:t>Several commenters stated that the 2022 RIA does not take into account the requirement to audit all process units, as well as the need for hourly employees and contractors to assist salaried personnel with these audits (0223, 0268).</w:t>
      </w:r>
    </w:p>
    <w:p w:rsidR="00384372" w:rsidRPr="00416006" w:rsidP="00384372" w14:paraId="1784F1EC" w14:textId="128888F1">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EPA disagrees with the commenter that the RIA does not account for the requirement to audit all process units and the need for hourly employees and contractors to assist salaried employees with these audits. EPA notes that audits are only required after an accident, when required by an implementing agency, and when the prior audit failed to meet standards. Shortly after the proposed </w:t>
      </w:r>
      <w:r w:rsidR="00D729E1">
        <w:rPr>
          <w:rFonts w:ascii="Times New Roman" w:hAnsi="Times New Roman"/>
          <w:sz w:val="24"/>
        </w:rPr>
        <w:t>a</w:t>
      </w:r>
      <w:r w:rsidRPr="00416006">
        <w:rPr>
          <w:rFonts w:ascii="Times New Roman" w:hAnsi="Times New Roman"/>
          <w:sz w:val="24"/>
        </w:rPr>
        <w:t xml:space="preserve">mendments rule was published, EPA received cost information relating to a series of third-party audits conducted by a facility as a result of an enforcement action taken by EPA under CAA Section 112(r). The average cost of these audits was approximately double EPA’s estimate in the proposed </w:t>
      </w:r>
      <w:r w:rsidR="00482677">
        <w:rPr>
          <w:rFonts w:ascii="Times New Roman" w:hAnsi="Times New Roman"/>
          <w:sz w:val="24"/>
        </w:rPr>
        <w:t>a</w:t>
      </w:r>
      <w:r w:rsidRPr="00416006">
        <w:rPr>
          <w:rFonts w:ascii="Times New Roman" w:hAnsi="Times New Roman"/>
          <w:sz w:val="24"/>
        </w:rPr>
        <w:t xml:space="preserve">mendments rule, and comparable to cost estimates submitted by commenters. Therefore, EPA adjusted its cost estimate for this provision of the final </w:t>
      </w:r>
      <w:r w:rsidR="00D14C4B">
        <w:rPr>
          <w:rFonts w:ascii="Times New Roman" w:hAnsi="Times New Roman"/>
          <w:sz w:val="24"/>
        </w:rPr>
        <w:t>a</w:t>
      </w:r>
      <w:r w:rsidRPr="00416006">
        <w:rPr>
          <w:rFonts w:ascii="Times New Roman" w:hAnsi="Times New Roman"/>
          <w:sz w:val="24"/>
        </w:rPr>
        <w:t>mendments rule and has carried that adjustment over to this</w:t>
      </w:r>
      <w:r w:rsidR="00482677">
        <w:rPr>
          <w:rFonts w:ascii="Times New Roman" w:hAnsi="Times New Roman"/>
          <w:sz w:val="24"/>
        </w:rPr>
        <w:t xml:space="preserve"> rule</w:t>
      </w:r>
      <w:r w:rsidRPr="00416006">
        <w:rPr>
          <w:rFonts w:ascii="Times New Roman" w:hAnsi="Times New Roman"/>
          <w:sz w:val="24"/>
        </w:rPr>
        <w:t xml:space="preserve"> resulting in the estimated costs of third-party audits under the final </w:t>
      </w:r>
      <w:r w:rsidR="00482677">
        <w:rPr>
          <w:rFonts w:ascii="Times New Roman" w:hAnsi="Times New Roman"/>
          <w:sz w:val="24"/>
        </w:rPr>
        <w:t>a</w:t>
      </w:r>
      <w:r w:rsidRPr="00416006">
        <w:rPr>
          <w:rFonts w:ascii="Times New Roman" w:hAnsi="Times New Roman"/>
          <w:sz w:val="24"/>
        </w:rPr>
        <w:t xml:space="preserve">mendments rule nearly doubling. The SCCAP final rule third-party audits provision imposes similar requirements as the </w:t>
      </w:r>
      <w:r w:rsidR="00D14C4B">
        <w:rPr>
          <w:rFonts w:ascii="Times New Roman" w:hAnsi="Times New Roman"/>
          <w:sz w:val="24"/>
        </w:rPr>
        <w:t>a</w:t>
      </w:r>
      <w:r w:rsidRPr="00416006">
        <w:rPr>
          <w:rFonts w:ascii="Times New Roman" w:hAnsi="Times New Roman"/>
          <w:sz w:val="24"/>
        </w:rPr>
        <w:t xml:space="preserve">mendments rule’s third-party </w:t>
      </w:r>
      <w:r w:rsidRPr="00416006">
        <w:rPr>
          <w:rFonts w:ascii="Times New Roman" w:hAnsi="Times New Roman"/>
          <w:sz w:val="24"/>
        </w:rPr>
        <w:t xml:space="preserve">audits provision, so EPA uses the same hours assumptions as in the </w:t>
      </w:r>
      <w:r w:rsidR="00D14C4B">
        <w:rPr>
          <w:rFonts w:ascii="Times New Roman" w:hAnsi="Times New Roman"/>
          <w:sz w:val="24"/>
        </w:rPr>
        <w:t>a</w:t>
      </w:r>
      <w:r w:rsidRPr="00416006">
        <w:rPr>
          <w:rFonts w:ascii="Times New Roman" w:hAnsi="Times New Roman"/>
          <w:sz w:val="24"/>
        </w:rPr>
        <w:t xml:space="preserve">mendments final rule RIA for the SCCAP final rule RIA presented in Chapter 4 section 4.4.4 Third-party Audits. These per facility cost estimates vary based on the number of employees, whether the facility is government-owned, and whether the facility is complex (has a NAICS 324 or 325 process). </w:t>
      </w:r>
    </w:p>
    <w:p w:rsidR="002A324C" w:rsidRPr="00416006" w:rsidP="002A324C" w14:paraId="633881C7" w14:textId="7D659800">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.3-31:</w:t>
      </w:r>
      <w:r w:rsidRPr="00416006">
        <w:rPr>
          <w:rFonts w:ascii="Times New Roman" w:hAnsi="Times New Roman"/>
          <w:sz w:val="24"/>
        </w:rPr>
        <w:t xml:space="preserve"> One commenter said that the net effect of adoption of the proposed changes would certainly be to decrease farmers’ access to nitrogen fertilizer, nudging farmers to transport fertilizer, such as anhydrous nurse tanks, over many more miles of public roads – a perverse effect of a regulation intended to increase chemical process safety and risk management (0202).</w:t>
      </w:r>
    </w:p>
    <w:p w:rsidR="002A324C" w:rsidRPr="00416006" w:rsidP="009B2661" w14:paraId="09D79F17" w14:textId="77777777">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EPA disagrees with this comment and does not expect or find evidence that the final rule will impact farmers’ access to nitrogen fertilizer. However, EPA acknowledges that the final rule would impose some costs on fertilizer manufacturers. In RIA Chapter 8, EPA analyzed the cost of the final rule to small entities, including entities in the NAICS 325311 (Nitrogenous Fertilizer Manufacturing), and found that 94 percent of nitrogenous fertilizer manufacturers would face revenue impacts of under 3 percent. </w:t>
      </w:r>
    </w:p>
    <w:p w:rsidR="002A324C" w:rsidRPr="00416006" w:rsidP="002A324C" w14:paraId="2FFEE922" w14:textId="241CBF4A">
      <w:pPr>
        <w:rPr>
          <w:rFonts w:ascii="Times New Roman" w:hAnsi="Times New Roman"/>
          <w:sz w:val="24"/>
        </w:rPr>
      </w:pPr>
      <w:r w:rsidRPr="00416006">
        <w:rPr>
          <w:rStyle w:val="Strong"/>
          <w:rFonts w:ascii="Times New Roman" w:eastAsia="Times New Roman" w:hAnsi="Times New Roman"/>
          <w:sz w:val="24"/>
        </w:rPr>
        <w:t>Comment 1</w:t>
      </w:r>
      <w:r w:rsidR="001D4528">
        <w:rPr>
          <w:rStyle w:val="Strong"/>
          <w:rFonts w:ascii="Times New Roman" w:eastAsia="Times New Roman" w:hAnsi="Times New Roman"/>
          <w:sz w:val="24"/>
        </w:rPr>
        <w:t>6</w:t>
      </w:r>
      <w:r w:rsidRPr="00416006">
        <w:rPr>
          <w:rStyle w:val="Strong"/>
          <w:rFonts w:ascii="Times New Roman" w:eastAsia="Times New Roman" w:hAnsi="Times New Roman"/>
          <w:sz w:val="24"/>
        </w:rPr>
        <w:t xml:space="preserve">.3-32: </w:t>
      </w:r>
      <w:r w:rsidRPr="00416006">
        <w:rPr>
          <w:rStyle w:val="Strong"/>
          <w:rFonts w:ascii="Times New Roman" w:eastAsia="Times New Roman" w:hAnsi="Times New Roman"/>
          <w:b w:val="0"/>
          <w:bCs w:val="0"/>
          <w:sz w:val="24"/>
        </w:rPr>
        <w:t>One commenter stated that requiring a full field exercise every 10 years is extremely costly, overly burdensome, and does not have clear benefits beyond what would result from conducting annual tabletop exercises; the commenter further asserted that the costs and benefits are not included in the RIA (0239).</w:t>
      </w:r>
      <w:r w:rsidRPr="00416006">
        <w:rPr>
          <w:rFonts w:ascii="Times New Roman" w:hAnsi="Times New Roman"/>
          <w:sz w:val="24"/>
        </w:rPr>
        <w:t xml:space="preserve"> Another commenter said that the current requirement of tabletop exercises every three years and potentially full scale exercises every 10 years for fixed facilities could be a financial burden on smaller facilities and emergency planning districts. The commenter requested that EPA provide information on grant opportunities available to fixed facilities for emergency exercises (0165).</w:t>
      </w:r>
    </w:p>
    <w:p w:rsidR="00BE4B5E" w:rsidRPr="00416006" w:rsidP="002A324C" w14:paraId="0E41E332" w14:textId="1D5339BC">
      <w:pPr>
        <w:rPr>
          <w:rFonts w:ascii="Times New Roman" w:hAnsi="Times New Roman"/>
          <w:sz w:val="24"/>
        </w:rPr>
      </w:pPr>
      <w:r w:rsidRPr="00416006">
        <w:rPr>
          <w:rStyle w:val="Strong"/>
          <w:rFonts w:ascii="Times New Roman" w:eastAsia="Times New Roman" w:hAnsi="Times New Roman"/>
          <w:b w:val="0"/>
          <w:bCs w:val="0"/>
          <w:sz w:val="24"/>
        </w:rPr>
        <w:t>Another commenter stated that EPA had inadequately considered the significant resources and time necessary to properly run field exercises. The commenter said that the existing RMP regulations provide the necessary flexibility to facilities and local responders to collaborate and support exercises. The commenter suggested that EPA provide a reasonable estimate of the burden such engagement would place on local responders. The commenter also suggested that EPA provide upper and lower bound estimates of the resources required for a local responder to participate in an exercise for simple and complex RMP facilities (0239).</w:t>
      </w:r>
    </w:p>
    <w:p w:rsidR="002A324C" w:rsidRPr="00416006" w:rsidP="002A324C" w14:paraId="61428488" w14:textId="4658A265">
      <w:pPr>
        <w:ind w:left="720"/>
        <w:rPr>
          <w:rFonts w:ascii="Times New Roman" w:hAnsi="Times New Roman"/>
          <w:sz w:val="24"/>
        </w:rPr>
      </w:pPr>
      <w:r w:rsidRPr="00416006">
        <w:rPr>
          <w:rFonts w:ascii="Times New Roman" w:hAnsi="Times New Roman"/>
          <w:b/>
          <w:sz w:val="24"/>
        </w:rPr>
        <w:t>EPA Response:</w:t>
      </w:r>
      <w:r w:rsidRPr="00416006">
        <w:rPr>
          <w:rFonts w:ascii="Times New Roman" w:hAnsi="Times New Roman"/>
          <w:sz w:val="24"/>
        </w:rPr>
        <w:t xml:space="preserve"> EPA assumes facilities are already conducting regular field exercises so the emergency exercise provisions in the final rule will not result in an increase in costs for facilities.</w:t>
      </w:r>
      <w:r w:rsidR="00520853">
        <w:rPr>
          <w:rFonts w:ascii="Times New Roman" w:hAnsi="Times New Roman"/>
          <w:sz w:val="24"/>
        </w:rPr>
        <w:t xml:space="preserve"> </w:t>
      </w:r>
      <w:r w:rsidR="00A26B41">
        <w:rPr>
          <w:rFonts w:ascii="Times New Roman" w:hAnsi="Times New Roman"/>
          <w:sz w:val="24"/>
        </w:rPr>
        <w:t xml:space="preserve">EPA </w:t>
      </w:r>
      <w:r w:rsidR="009E478A">
        <w:rPr>
          <w:rFonts w:ascii="Times New Roman" w:hAnsi="Times New Roman"/>
          <w:sz w:val="24"/>
        </w:rPr>
        <w:t xml:space="preserve">continues to rely on </w:t>
      </w:r>
      <w:r w:rsidR="00A26B41">
        <w:rPr>
          <w:rFonts w:ascii="Times New Roman" w:hAnsi="Times New Roman"/>
          <w:sz w:val="24"/>
        </w:rPr>
        <w:t>the conservat</w:t>
      </w:r>
      <w:r w:rsidR="00FA6853">
        <w:rPr>
          <w:rFonts w:ascii="Times New Roman" w:hAnsi="Times New Roman"/>
          <w:sz w:val="24"/>
        </w:rPr>
        <w:t>ive</w:t>
      </w:r>
      <w:r w:rsidR="009E478A">
        <w:rPr>
          <w:rFonts w:ascii="Times New Roman" w:hAnsi="Times New Roman"/>
          <w:sz w:val="24"/>
        </w:rPr>
        <w:t xml:space="preserve"> cost estimate </w:t>
      </w:r>
      <w:r w:rsidR="00A26B41">
        <w:rPr>
          <w:rFonts w:ascii="Times New Roman" w:hAnsi="Times New Roman"/>
          <w:sz w:val="24"/>
        </w:rPr>
        <w:t xml:space="preserve">from the </w:t>
      </w:r>
      <w:r w:rsidR="00F87BD2">
        <w:rPr>
          <w:rFonts w:ascii="Times New Roman" w:hAnsi="Times New Roman"/>
          <w:sz w:val="24"/>
        </w:rPr>
        <w:t>a</w:t>
      </w:r>
      <w:r w:rsidR="00A26B41">
        <w:rPr>
          <w:rFonts w:ascii="Times New Roman" w:hAnsi="Times New Roman"/>
          <w:sz w:val="24"/>
        </w:rPr>
        <w:t xml:space="preserve">mendments and </w:t>
      </w:r>
      <w:r w:rsidR="00125B2C">
        <w:rPr>
          <w:rFonts w:ascii="Times New Roman" w:hAnsi="Times New Roman"/>
          <w:sz w:val="24"/>
        </w:rPr>
        <w:t>r</w:t>
      </w:r>
      <w:r w:rsidR="000D6E9C">
        <w:rPr>
          <w:rFonts w:ascii="Times New Roman" w:hAnsi="Times New Roman"/>
          <w:sz w:val="24"/>
        </w:rPr>
        <w:t>econsideration</w:t>
      </w:r>
      <w:r w:rsidR="00A26B41">
        <w:rPr>
          <w:rFonts w:ascii="Times New Roman" w:hAnsi="Times New Roman"/>
          <w:sz w:val="24"/>
        </w:rPr>
        <w:t xml:space="preserve"> rule</w:t>
      </w:r>
      <w:r w:rsidR="00F87BD2">
        <w:rPr>
          <w:rFonts w:ascii="Times New Roman" w:hAnsi="Times New Roman"/>
          <w:sz w:val="24"/>
        </w:rPr>
        <w:t>s</w:t>
      </w:r>
      <w:r w:rsidR="00A26B41">
        <w:rPr>
          <w:rFonts w:ascii="Times New Roman" w:hAnsi="Times New Roman"/>
          <w:sz w:val="24"/>
        </w:rPr>
        <w:t xml:space="preserve"> that </w:t>
      </w:r>
      <w:r w:rsidRPr="00FA6853" w:rsidR="00520853">
        <w:rPr>
          <w:rFonts w:ascii="Times New Roman" w:hAnsi="Times New Roman"/>
          <w:sz w:val="24"/>
        </w:rPr>
        <w:t xml:space="preserve">the average RMP facility will still conduct a </w:t>
      </w:r>
      <w:r w:rsidRPr="009E478A" w:rsidR="00520853">
        <w:rPr>
          <w:rFonts w:ascii="Times New Roman" w:hAnsi="Times New Roman"/>
          <w:sz w:val="24"/>
        </w:rPr>
        <w:t>field exercise every ten years.</w:t>
      </w:r>
      <w:r w:rsidRPr="008B41A6" w:rsidR="00520853">
        <w:rPr>
          <w:sz w:val="24"/>
        </w:rPr>
        <w:t xml:space="preserve"> </w:t>
      </w:r>
      <w:r w:rsidRPr="008B41A6" w:rsidR="008A70EF">
        <w:rPr>
          <w:rFonts w:ascii="Times New Roman" w:hAnsi="Times New Roman"/>
          <w:sz w:val="24"/>
        </w:rPr>
        <w:t>Details of those cost estimates can be found in Section 4.</w:t>
      </w:r>
      <w:r w:rsidRPr="008B41A6" w:rsidR="00754333">
        <w:rPr>
          <w:rFonts w:ascii="Times New Roman" w:hAnsi="Times New Roman"/>
          <w:sz w:val="24"/>
        </w:rPr>
        <w:t>4.</w:t>
      </w:r>
      <w:r w:rsidRPr="008B41A6" w:rsidR="008A70EF">
        <w:rPr>
          <w:rFonts w:ascii="Times New Roman" w:hAnsi="Times New Roman"/>
          <w:sz w:val="24"/>
        </w:rPr>
        <w:t xml:space="preserve">3 of the </w:t>
      </w:r>
      <w:r w:rsidR="005C1BA3">
        <w:rPr>
          <w:rFonts w:ascii="Times New Roman" w:hAnsi="Times New Roman"/>
          <w:sz w:val="24"/>
        </w:rPr>
        <w:t>a</w:t>
      </w:r>
      <w:r w:rsidRPr="008B41A6" w:rsidR="008A70EF">
        <w:rPr>
          <w:rFonts w:ascii="Times New Roman" w:hAnsi="Times New Roman"/>
          <w:sz w:val="24"/>
        </w:rPr>
        <w:t>mendments</w:t>
      </w:r>
      <w:r w:rsidRPr="003C22AE" w:rsidR="008A70EF">
        <w:rPr>
          <w:rFonts w:ascii="Times New Roman" w:hAnsi="Times New Roman"/>
          <w:szCs w:val="22"/>
        </w:rPr>
        <w:t xml:space="preserve"> rule RIA.</w:t>
      </w:r>
      <w:r w:rsidR="008A70EF">
        <w:rPr>
          <w:szCs w:val="22"/>
        </w:rPr>
        <w:t xml:space="preserve"> </w:t>
      </w:r>
      <w:r w:rsidRPr="004825F8" w:rsidR="004825F8">
        <w:rPr>
          <w:rFonts w:ascii="Times New Roman" w:hAnsi="Times New Roman"/>
          <w:sz w:val="24"/>
        </w:rPr>
        <w:t xml:space="preserve">While EPA is conscious of the potentially high burdens associated with exercises, EPA reaffirms its view that both field and tabletop exercises are an important component of an emergency response program.  </w:t>
      </w:r>
    </w:p>
    <w:p w:rsidR="002A324C" w:rsidRPr="00416006" w:rsidP="002A324C" w14:paraId="4FE344AD" w14:textId="77777777">
      <w:pPr>
        <w:ind w:left="720"/>
        <w:rPr>
          <w:rStyle w:val="Strong"/>
          <w:rFonts w:ascii="Times New Roman" w:eastAsia="Times New Roman" w:hAnsi="Times New Roman"/>
          <w:b w:val="0"/>
          <w:bCs w:val="0"/>
          <w:sz w:val="24"/>
        </w:rPr>
      </w:pPr>
      <w:r w:rsidRPr="00416006">
        <w:rPr>
          <w:rStyle w:val="Strong"/>
          <w:rFonts w:ascii="Times New Roman" w:eastAsia="Times New Roman" w:hAnsi="Times New Roman"/>
          <w:b w:val="0"/>
          <w:bCs w:val="0"/>
          <w:sz w:val="24"/>
        </w:rPr>
        <w:t xml:space="preserve">EPA understands that there may be cases where local emergency response agencies are unable or unwilling to coordinate with a regulated stationary source on exercise frequencies and plans, or to participate in exercises. In such cases, the owner or operator may establish appropriate exercise frequencies and plans on their own, provided they meet the minimum requirements set forth in 40 CFR 68.96. Also, the owner or operator should revisit their exercise schedules and plans at the next annual coordination </w:t>
      </w:r>
      <w:r w:rsidRPr="00416006">
        <w:rPr>
          <w:rStyle w:val="Strong"/>
          <w:rFonts w:ascii="Times New Roman" w:eastAsia="Times New Roman" w:hAnsi="Times New Roman"/>
          <w:b w:val="0"/>
          <w:bCs w:val="0"/>
          <w:sz w:val="24"/>
        </w:rPr>
        <w:t>opportunity with local response officials, so that these officials are given an opportunity for input on exercise schedules and plans, even if they remain unable to participate in the exercises.</w:t>
      </w:r>
    </w:p>
    <w:p w:rsidR="008D45A1" w:rsidRPr="00416006" w:rsidP="008D45A1" w14:paraId="1844F0C0" w14:textId="77777777">
      <w:pPr>
        <w:rPr>
          <w:rFonts w:ascii="Times New Roman" w:hAnsi="Times New Roman"/>
          <w:i/>
          <w:iCs/>
          <w:sz w:val="24"/>
        </w:rPr>
      </w:pPr>
      <w:r w:rsidRPr="00416006">
        <w:rPr>
          <w:rFonts w:ascii="Times New Roman" w:hAnsi="Times New Roman"/>
          <w:i/>
          <w:iCs/>
          <w:sz w:val="24"/>
        </w:rPr>
        <w:t>Estimated costs – emergency response</w:t>
      </w:r>
    </w:p>
    <w:p w:rsidR="008D45A1" w:rsidRPr="00416006" w:rsidP="008D45A1" w14:paraId="27D4B451" w14:textId="64975B28">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w:t>
      </w:r>
      <w:r w:rsidR="001E2A9A">
        <w:rPr>
          <w:rFonts w:ascii="Times New Roman" w:hAnsi="Times New Roman"/>
          <w:b/>
          <w:bCs/>
          <w:sz w:val="24"/>
        </w:rPr>
        <w:t>3</w:t>
      </w:r>
      <w:r w:rsidRPr="00416006">
        <w:rPr>
          <w:rFonts w:ascii="Times New Roman" w:hAnsi="Times New Roman"/>
          <w:b/>
          <w:bCs/>
          <w:sz w:val="24"/>
        </w:rPr>
        <w:t>:</w:t>
      </w:r>
      <w:r w:rsidRPr="00416006">
        <w:rPr>
          <w:rFonts w:ascii="Times New Roman" w:hAnsi="Times New Roman"/>
          <w:sz w:val="24"/>
        </w:rPr>
        <w:t xml:space="preserve"> One commenter stated that while it is not mandated that local responders participate in the field exercise, EPA should provide information on the costs, resources and time that such participation would place on local governments and the first responder community (0243).</w:t>
      </w:r>
    </w:p>
    <w:p w:rsidR="008D45A1" w:rsidRPr="00416006" w:rsidP="008D45A1" w14:paraId="2616549B" w14:textId="77777777">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EPA assumes facilities are already conducting regular field exercises that may include voluntary participation by emergency responders. EPA expects the final rule will not meaningfully change the level of participation by local responders. Emergency exercise provisions in the final rule are formalizing what was already required so will not result in an increase in costs for facilities or emergency responders.</w:t>
      </w:r>
    </w:p>
    <w:p w:rsidR="008D45A1" w:rsidRPr="00416006" w:rsidP="008D45A1" w14:paraId="41B8753B" w14:textId="798EDBF0">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w:t>
      </w:r>
      <w:r w:rsidR="001E2A9A">
        <w:rPr>
          <w:rFonts w:ascii="Times New Roman" w:hAnsi="Times New Roman"/>
          <w:b/>
          <w:bCs/>
          <w:sz w:val="24"/>
        </w:rPr>
        <w:t>4</w:t>
      </w:r>
      <w:r w:rsidRPr="00416006">
        <w:rPr>
          <w:rFonts w:ascii="Times New Roman" w:hAnsi="Times New Roman"/>
          <w:b/>
          <w:bCs/>
          <w:sz w:val="24"/>
        </w:rPr>
        <w:t>:</w:t>
      </w:r>
      <w:r w:rsidRPr="00416006">
        <w:rPr>
          <w:rFonts w:ascii="Times New Roman" w:hAnsi="Times New Roman"/>
          <w:sz w:val="24"/>
        </w:rPr>
        <w:t xml:space="preserve"> One commenter asserted that EPA also did not estimate the burden on local responders (government entities) required to implement and sustain IPAWS capability in a community (0239).</w:t>
      </w:r>
    </w:p>
    <w:p w:rsidR="008D45A1" w:rsidRPr="00416006" w:rsidP="007A490A" w14:paraId="5C7637BE" w14:textId="77777777">
      <w:pPr>
        <w:ind w:left="720" w:right="51"/>
        <w:rPr>
          <w:rStyle w:val="cf01"/>
          <w:rFonts w:ascii="Times New Roman" w:hAnsi="Times New Roman"/>
          <w:sz w:val="24"/>
        </w:rPr>
      </w:pPr>
      <w:r w:rsidRPr="00416006">
        <w:rPr>
          <w:rStyle w:val="cf01"/>
          <w:rFonts w:ascii="Times New Roman" w:hAnsi="Times New Roman"/>
          <w:b/>
          <w:sz w:val="24"/>
        </w:rPr>
        <w:t>EPA Response:</w:t>
      </w:r>
      <w:r w:rsidRPr="00416006">
        <w:rPr>
          <w:rStyle w:val="cf01"/>
          <w:rFonts w:ascii="Times New Roman" w:hAnsi="Times New Roman"/>
          <w:sz w:val="24"/>
        </w:rPr>
        <w:t xml:space="preserve"> The presence of State and/or local Integrated Public Alert and Warning System (IPAWS) alerting authorities covering all 50 States plus D.C., Puerto Rico, and the U.S. Virgin Islands implies that the infrastructure is in place nationwide for facilities to ensure community notification. Therefore, the direct cost associated with the provision will be coordination between the facilities and local responders.</w:t>
      </w:r>
    </w:p>
    <w:p w:rsidR="008D45A1" w:rsidRPr="00416006" w:rsidP="007A490A" w14:paraId="3E454FA9" w14:textId="7DF66F89">
      <w:pPr>
        <w:ind w:left="720" w:right="51"/>
        <w:rPr>
          <w:rStyle w:val="cf01"/>
          <w:rFonts w:ascii="Times New Roman" w:hAnsi="Times New Roman"/>
          <w:sz w:val="24"/>
        </w:rPr>
      </w:pPr>
      <w:r w:rsidRPr="00416006">
        <w:rPr>
          <w:rStyle w:val="cf01"/>
          <w:rFonts w:ascii="Times New Roman" w:hAnsi="Times New Roman"/>
          <w:sz w:val="24"/>
        </w:rPr>
        <w:t>The SCCAP final rule does not impose mandatory requirements on LEPCs. For the majority of provisions, EPA does not expect that any burden will be placed on LEPCs. For those that will involve LEPC involvement – rule familiarization and community notification – EPA expects that involvement will be minimal and can</w:t>
      </w:r>
      <w:r w:rsidRPr="00416006">
        <w:rPr>
          <w:rStyle w:val="cf01"/>
          <w:rFonts w:ascii="Times New Roman" w:hAnsi="Times New Roman"/>
          <w:sz w:val="24"/>
        </w:rPr>
        <w:t xml:space="preserve"> </w:t>
      </w:r>
      <w:r w:rsidRPr="00416006">
        <w:rPr>
          <w:rStyle w:val="cf01"/>
          <w:rFonts w:ascii="Times New Roman" w:hAnsi="Times New Roman"/>
          <w:sz w:val="24"/>
        </w:rPr>
        <w:t xml:space="preserve">be addressed within current staffing levels. To the extent that LEPCs may choose to implement and sustain IPAWS capacity in their communities, the agency expects that this involvement is already occurring or would occur even in absence of the SCCAP final rule. </w:t>
      </w:r>
    </w:p>
    <w:p w:rsidR="008D45A1" w:rsidRPr="00416006" w:rsidP="008D45A1" w14:paraId="040DE5DB" w14:textId="77777777">
      <w:pPr>
        <w:rPr>
          <w:rFonts w:ascii="Times New Roman" w:hAnsi="Times New Roman"/>
          <w:i/>
          <w:iCs/>
          <w:sz w:val="24"/>
        </w:rPr>
      </w:pPr>
      <w:r w:rsidRPr="00416006">
        <w:rPr>
          <w:rFonts w:ascii="Times New Roman" w:hAnsi="Times New Roman"/>
          <w:i/>
          <w:iCs/>
          <w:sz w:val="24"/>
        </w:rPr>
        <w:t xml:space="preserve">Estimated costs – information availability </w:t>
      </w:r>
    </w:p>
    <w:p w:rsidR="008D45A1" w:rsidRPr="00416006" w:rsidP="008D45A1" w14:paraId="2437C5C5" w14:textId="5B6B9AC9">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w:t>
      </w:r>
      <w:r w:rsidR="001E2A9A">
        <w:rPr>
          <w:rFonts w:ascii="Times New Roman" w:hAnsi="Times New Roman"/>
          <w:b/>
          <w:bCs/>
          <w:sz w:val="24"/>
        </w:rPr>
        <w:t>5</w:t>
      </w:r>
      <w:r w:rsidRPr="00416006">
        <w:rPr>
          <w:rFonts w:ascii="Times New Roman" w:hAnsi="Times New Roman"/>
          <w:b/>
          <w:bCs/>
          <w:sz w:val="24"/>
        </w:rPr>
        <w:t>:</w:t>
      </w:r>
      <w:r w:rsidRPr="00416006">
        <w:rPr>
          <w:rFonts w:ascii="Times New Roman" w:hAnsi="Times New Roman"/>
          <w:sz w:val="24"/>
        </w:rPr>
        <w:t xml:space="preserve"> One commenter stated that the costs associated with Root Cause changes are not considered for NAICS 324. Regarding community notifications, the commenter stated that the RIA assumes only 3–6 hours additional internal and external resources to coordinate with the LEPC over the new requirements, but the commenter submits that this does not capture the time required adequately and it would be more like 8–20 hours of additional time. The commenter said that the information availability costs is underestimated by at least $50,000 and that does not include management and legal review resources. Regarding rule familiarization, the commenter estimated that qualified technical resources bill up to $350/hour, twice EPA’s estimate (0259).</w:t>
      </w:r>
    </w:p>
    <w:p w:rsidR="008D45A1" w:rsidRPr="00416006" w:rsidP="00D54979" w14:paraId="0AAAEDC9" w14:textId="77777777">
      <w:pPr>
        <w:ind w:left="720"/>
        <w:rPr>
          <w:rStyle w:val="cf01"/>
          <w:rFonts w:ascii="Times New Roman" w:hAnsi="Times New Roman"/>
          <w:sz w:val="24"/>
        </w:rPr>
      </w:pPr>
      <w:r w:rsidRPr="00416006">
        <w:rPr>
          <w:rStyle w:val="cf01"/>
          <w:rFonts w:ascii="Times New Roman" w:hAnsi="Times New Roman"/>
          <w:b/>
          <w:sz w:val="24"/>
        </w:rPr>
        <w:t>EPA Response:</w:t>
      </w:r>
      <w:r w:rsidRPr="00416006">
        <w:rPr>
          <w:rStyle w:val="cf01"/>
          <w:rFonts w:ascii="Times New Roman" w:hAnsi="Times New Roman"/>
          <w:sz w:val="24"/>
        </w:rPr>
        <w:t xml:space="preserve"> As a result of the provision requiring incident investigations to include a root cause analysis, facilities, including NAICS 324 facilities, are expected to implement different but not necessarily more costly measures in response to these investigations than they would have in absence of the rule. SCCAP final rule RIA Chapter 4 section 4.4.3 Root Cause Analysis discusses the cost estimates for this provision.</w:t>
      </w:r>
    </w:p>
    <w:p w:rsidR="008D45A1" w:rsidRPr="00416006" w:rsidP="00D54979" w14:paraId="5A70FBFA" w14:textId="77777777">
      <w:pPr>
        <w:ind w:left="720"/>
        <w:rPr>
          <w:rStyle w:val="cf01"/>
          <w:rFonts w:ascii="Times New Roman" w:hAnsi="Times New Roman"/>
          <w:sz w:val="24"/>
        </w:rPr>
      </w:pPr>
      <w:r w:rsidRPr="00416006">
        <w:rPr>
          <w:rStyle w:val="cf01"/>
          <w:rFonts w:ascii="Times New Roman" w:hAnsi="Times New Roman"/>
          <w:sz w:val="24"/>
        </w:rPr>
        <w:t>Regarding community notifications, EPA notes that facilities are already required to coordinate with LEPCs. Given that coordination already occurs between facilities and LEPCs and that IPAWS already exists in all States statewide, the requirement to ensure a community notification system is in place is not expected to take a facility and its LEPC more than a few additional hours combined on average. SCCAP final rule RIA Chapter 4 section 4.6 Emergency Response discusses the cost estimates for this provision.</w:t>
      </w:r>
    </w:p>
    <w:p w:rsidR="008D45A1" w:rsidRPr="00416006" w:rsidP="00D54979" w14:paraId="3B7F9C5C" w14:textId="77777777">
      <w:pPr>
        <w:ind w:left="720"/>
        <w:rPr>
          <w:rStyle w:val="cf01"/>
          <w:rFonts w:ascii="Times New Roman" w:hAnsi="Times New Roman"/>
          <w:sz w:val="24"/>
        </w:rPr>
      </w:pPr>
      <w:r w:rsidRPr="00416006">
        <w:rPr>
          <w:rStyle w:val="cf01"/>
          <w:rFonts w:ascii="Times New Roman" w:hAnsi="Times New Roman"/>
          <w:sz w:val="24"/>
        </w:rPr>
        <w:t xml:space="preserve">Regarding the information availability requirements, EPA has added cost estimates for translation and requestor identity verification in the SCCAP final rule RIA. Because the information that could be requested is already included in the RMP, EPA expects the information is likely already subject to management and legal review. Therefore, EPA estimates that simple facilities will spend 2 hours reviewing the information to ensure that it is up-to-date. Complex facilities may have more information to review because they may manufacture, process, and use multiple regulated substances in multiple processes. EPA estimates that small complex facilities will spend 4 hours collecting and reviewing the information. Large complex facilities were estimated to spend 54 hours because management and possibly counsel will need to ensure that the information was not subject to any restrictions related to security or confidential business information concerns. SCCAP final rule RIA Chapter 4 section 4.7 Information Availability discusses these estimates. </w:t>
      </w:r>
    </w:p>
    <w:p w:rsidR="008D45A1" w:rsidRPr="00416006" w:rsidP="00D54979" w14:paraId="299E3689" w14:textId="77777777">
      <w:pPr>
        <w:ind w:left="720"/>
        <w:rPr>
          <w:rStyle w:val="cf01"/>
          <w:rFonts w:ascii="Times New Roman" w:hAnsi="Times New Roman"/>
          <w:sz w:val="24"/>
        </w:rPr>
      </w:pPr>
      <w:r w:rsidRPr="00416006">
        <w:rPr>
          <w:rStyle w:val="cf01"/>
          <w:rFonts w:ascii="Times New Roman" w:hAnsi="Times New Roman"/>
          <w:sz w:val="24"/>
        </w:rPr>
        <w:t xml:space="preserve">EPA disagrees with the commenter that the wage rate assumption for rule familiarization in the SCCAP final rule RIA is too low. EPA believes that the average loaded wage rate for SOC 11-3000 Operations Specialties Managers, weighted among the sector-specific wage rates by the number of facilities in each NAICS sector, is appropriate to represent the average hourly resources required for simple facilities, LEPCs, and delegated implementing agencies. </w:t>
      </w:r>
    </w:p>
    <w:p w:rsidR="008D45A1" w:rsidRPr="00416006" w:rsidP="008D45A1" w14:paraId="359EF9B1" w14:textId="77777777">
      <w:pPr>
        <w:rPr>
          <w:rFonts w:ascii="Times New Roman" w:hAnsi="Times New Roman"/>
          <w:i/>
          <w:sz w:val="24"/>
        </w:rPr>
      </w:pPr>
      <w:r w:rsidRPr="00416006">
        <w:rPr>
          <w:rFonts w:ascii="Times New Roman" w:hAnsi="Times New Roman"/>
          <w:i/>
          <w:iCs/>
          <w:sz w:val="24"/>
        </w:rPr>
        <w:t>Estimated costs – community requests</w:t>
      </w:r>
    </w:p>
    <w:p w:rsidR="008D45A1" w:rsidRPr="00416006" w:rsidP="008D45A1" w14:paraId="2EDDBF90" w14:textId="7ECFF4AF">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w:t>
      </w:r>
      <w:r w:rsidR="001E2A9A">
        <w:rPr>
          <w:rFonts w:ascii="Times New Roman" w:hAnsi="Times New Roman"/>
          <w:b/>
          <w:bCs/>
          <w:sz w:val="24"/>
        </w:rPr>
        <w:t>6</w:t>
      </w:r>
      <w:r w:rsidRPr="00416006">
        <w:rPr>
          <w:rFonts w:ascii="Times New Roman" w:hAnsi="Times New Roman"/>
          <w:b/>
          <w:bCs/>
          <w:sz w:val="24"/>
        </w:rPr>
        <w:t>:</w:t>
      </w:r>
      <w:r w:rsidRPr="00416006">
        <w:rPr>
          <w:rFonts w:ascii="Times New Roman" w:hAnsi="Times New Roman"/>
          <w:sz w:val="24"/>
        </w:rPr>
        <w:t xml:space="preserve"> Several commenters expressed concern that EPA’s estimate that there will be an average of only one request by community members for each facility is an underestimate (0205, 0233). One commenter stated that the underestimate could potentially result in substantial administrative cost and burden for the facilities to provide multiple sets of the information (0205). Another commenter stated that EPA provided no basis for the assumption that “each facility receives 1 request per year from a community member residing within 6 miles of the facility” (0233). One commenter asserted that EPA’s analysis also fails justify the assumption of one request annually and to consider translation costs (0239).</w:t>
      </w:r>
    </w:p>
    <w:p w:rsidR="008D45A1" w:rsidRPr="00416006" w:rsidP="008D45A1" w14:paraId="0C0ABD00" w14:textId="77777777">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In response to comments, EPA added translation cost estimates. The SCCAP final rule RIA Chapter 4 section 4.7 Information Availability discusses these cost estimates, as well as the cost estimates for facilities to collect and review the information and for requestors to verify their identities. Regarding the assumption that each facility receives one information request per year, EPA recognizes that some facilities may receive no requests and others multiple requests in a given year but believes the assumption is reasonable in absence of available data to better inform the assumption. The SCCAP proposed rule preamble notes that total FOIA requests for non-OCA data have averaged 35 per year, far fewer than the number of facilities, but EPA considers it reasonable that this provision will result in a higher number of requests. </w:t>
      </w:r>
    </w:p>
    <w:p w:rsidR="00A8349D" w:rsidRPr="00416006" w:rsidP="00A8349D" w14:paraId="0786F473" w14:textId="77777777">
      <w:pPr>
        <w:rPr>
          <w:rFonts w:ascii="Times New Roman" w:hAnsi="Times New Roman"/>
          <w:i/>
          <w:sz w:val="24"/>
        </w:rPr>
      </w:pPr>
      <w:r w:rsidRPr="00416006">
        <w:rPr>
          <w:rFonts w:ascii="Times New Roman" w:hAnsi="Times New Roman"/>
          <w:i/>
          <w:iCs/>
          <w:sz w:val="24"/>
        </w:rPr>
        <w:t>Estimated costs - STAA</w:t>
      </w:r>
    </w:p>
    <w:p w:rsidR="00A8349D" w:rsidRPr="00416006" w:rsidP="00A8349D" w14:paraId="5F5C9832" w14:textId="24BA0F0E">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w:t>
      </w:r>
      <w:r w:rsidR="001E2A9A">
        <w:rPr>
          <w:rFonts w:ascii="Times New Roman" w:hAnsi="Times New Roman"/>
          <w:b/>
          <w:bCs/>
          <w:sz w:val="24"/>
        </w:rPr>
        <w:t>7</w:t>
      </w:r>
      <w:r w:rsidRPr="00416006">
        <w:rPr>
          <w:rFonts w:ascii="Times New Roman" w:hAnsi="Times New Roman"/>
          <w:b/>
          <w:bCs/>
          <w:sz w:val="24"/>
        </w:rPr>
        <w:t>:</w:t>
      </w:r>
      <w:r w:rsidRPr="00416006">
        <w:rPr>
          <w:rFonts w:ascii="Times New Roman" w:hAnsi="Times New Roman"/>
          <w:sz w:val="24"/>
        </w:rPr>
        <w:t xml:space="preserve"> One commenter urged EPA to revise its STAA cost-benefit analysis to: (1) use updated cost information from facilities currently implementing STAA; (2) factor in a cost assumption that at least some STAA recommendations will actually be implemented to justify the claimed benefits of STAA; and (3) assemble and present data in support of its assumption that the STAA requirements will translate to accident reduction and mitigation benefits, factoring in that facilities in New Jersey, Massachusetts, and California are already subject to STAA requirements, and thus benefits for facilities in these jurisdictions cannot be attributed to the proposed rule (0233). Another commenter stated that the STAA cost estimate only assumes costs to conduct the analysis and not the costs associated with applying the recommendations from the analysis (0259).</w:t>
      </w:r>
    </w:p>
    <w:p w:rsidR="00A8349D" w:rsidRPr="00416006" w:rsidP="00A8349D" w14:paraId="7E47ADBF" w14:textId="77777777">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EPA uses the cost information from the SCCAP proposed rule RIA, updated to 2022 dollars, for the final rule RIA’s STAA initial evaluation and practicability assessment provisions that reflect possible additional options facilities would analyze, as discussed in Chapter 4 section 4.4.1 STAA: Initial Evaluation and Practicability Assessment and Appendix A: Cost Estimates of HF Alkylation Conversion. EPA used this and other cost information discussed in the final rule RIA Chapter 4 section 4.4.2 STAA: Implementation Equivalent to Passive Measures and Appendix D: STAA Implementation Measure Costs to estimate STAA implementation provision costs. EPA does not have readily available data on cost information for STAA beyond what the RIA presents. Regarding costs for implementing STAA measures, the proposed rule did not require STAA implementation, but the final rule requires facilities to implement some practicable STAA measures, so the final rule RIA includes these cost estimates. Regarding facilities in New Jersey, Massachusetts, and California, EPA assumes facilities in Contra Costa already comply with the STAA initial evaluation, practicability assessment, and implementation provisions because the county imposes stricter requirements. EPA assumes HF facilities in California and all facilities in New Jersey already meet the requirements of the STAA initial evaluation and practicability assessment (but not STAA implementation) because they already face equivalent or stricter state requirements for similar analyses. However, EPA believes the STAA provisions are stricter than Massachusetts requirements, so these facilities may still face costs and benefits from all STAA provisions. While limited empirical evidence is currently available, EPA expects the STAA provisions will prevent and mitigate future RMP and non-RMP accidents at RMP facilities, including major catastrophes.</w:t>
      </w:r>
    </w:p>
    <w:p w:rsidR="00A8349D" w:rsidRPr="00416006" w:rsidP="00A8349D" w14:paraId="1EE174B2" w14:textId="151952D3">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.3-3</w:t>
      </w:r>
      <w:r w:rsidR="001E2A9A">
        <w:rPr>
          <w:rFonts w:ascii="Times New Roman" w:hAnsi="Times New Roman"/>
          <w:b/>
          <w:bCs/>
          <w:sz w:val="24"/>
        </w:rPr>
        <w:t>8</w:t>
      </w:r>
      <w:r w:rsidRPr="00416006">
        <w:rPr>
          <w:rFonts w:ascii="Times New Roman" w:hAnsi="Times New Roman"/>
          <w:b/>
          <w:bCs/>
          <w:sz w:val="24"/>
        </w:rPr>
        <w:t>:</w:t>
      </w:r>
      <w:r w:rsidRPr="00416006">
        <w:rPr>
          <w:rFonts w:ascii="Times New Roman" w:hAnsi="Times New Roman"/>
          <w:sz w:val="24"/>
        </w:rPr>
        <w:t xml:space="preserve"> One commenter suggested that EPA consider whether it is overestimating the costs of the third-party audit and STAA provisions in the proposed rule. The commenter suggested that EPA not assume a baseline of zero cost as the correct unit cost would be the difference in cost between a self-audit (the baseline) and a third-party audit. The commenter suggested that EPA provide any evidence of the extent of this difference in cost or further discuss how it might be considerable. The commenter suggested that EPA consider collecting more information on the number of hours necessary to perform safer technology analyses and use those to help estimate costs rather than approximating costs based on a percentage of average projected costs for implementing a safer technology or alternative. The commenter stated that some state programs have required facilities to consider safer technologies for years and those experiences should be able to provide more concrete information on cost considerations. The </w:t>
      </w:r>
      <w:r w:rsidRPr="00416006">
        <w:rPr>
          <w:rFonts w:ascii="Times New Roman" w:hAnsi="Times New Roman"/>
          <w:sz w:val="24"/>
        </w:rPr>
        <w:t>commenter suggested that EPA consider the costs to larger entities as a percentage of their revenue to better indicate what the impact of the proposed rule would be on these facilities (0266).</w:t>
      </w:r>
    </w:p>
    <w:p w:rsidR="00A8349D" w:rsidRPr="00416006" w:rsidP="00384598" w14:paraId="4A469154" w14:textId="77777777">
      <w:pPr>
        <w:ind w:left="720" w:right="51"/>
        <w:rPr>
          <w:rFonts w:ascii="Times New Roman" w:hAnsi="Times New Roman"/>
          <w:sz w:val="24"/>
        </w:rPr>
      </w:pPr>
      <w:r w:rsidRPr="00416006">
        <w:rPr>
          <w:rFonts w:ascii="Times New Roman" w:hAnsi="Times New Roman"/>
          <w:b/>
          <w:sz w:val="24"/>
        </w:rPr>
        <w:t>EPA Response:</w:t>
      </w:r>
      <w:r w:rsidRPr="00416006">
        <w:rPr>
          <w:rFonts w:ascii="Times New Roman" w:hAnsi="Times New Roman"/>
          <w:sz w:val="24"/>
        </w:rPr>
        <w:t xml:space="preserve"> </w:t>
      </w:r>
      <w:r w:rsidRPr="00416006">
        <w:t xml:space="preserve"> </w:t>
      </w:r>
      <w:r w:rsidRPr="00416006">
        <w:rPr>
          <w:rFonts w:ascii="Times New Roman" w:hAnsi="Times New Roman"/>
          <w:sz w:val="24"/>
        </w:rPr>
        <w:t xml:space="preserve">EPA does not have better data than that presented in the RIA for costs of these provisions. The SCCAP final rule RIA already estimates the cost of the third-party audit provision as the amount the cost of conducting a third-party audit exceeds the cost of a self-audit facilities with accidents are already assumed to conduct in the baseline. The RIA Chapter 4 section 4.4.4 Third-party Audits discusses these estimates. </w:t>
      </w:r>
    </w:p>
    <w:p w:rsidR="00A8349D" w:rsidRPr="00416006" w:rsidP="00384598" w14:paraId="104213FE" w14:textId="5E252526">
      <w:pPr>
        <w:ind w:left="720" w:right="51"/>
        <w:rPr>
          <w:rFonts w:ascii="Times New Roman" w:hAnsi="Times New Roman"/>
          <w:sz w:val="24"/>
        </w:rPr>
      </w:pPr>
      <w:r w:rsidRPr="00416006">
        <w:rPr>
          <w:rFonts w:ascii="Times New Roman" w:hAnsi="Times New Roman"/>
          <w:sz w:val="24"/>
        </w:rPr>
        <w:t xml:space="preserve">The SCCAP final rule RIA used the same cost information as the </w:t>
      </w:r>
      <w:r w:rsidR="00250612">
        <w:rPr>
          <w:rFonts w:ascii="Times New Roman" w:hAnsi="Times New Roman"/>
          <w:sz w:val="24"/>
        </w:rPr>
        <w:t>a</w:t>
      </w:r>
      <w:r w:rsidRPr="00416006">
        <w:rPr>
          <w:rFonts w:ascii="Times New Roman" w:hAnsi="Times New Roman"/>
          <w:sz w:val="24"/>
        </w:rPr>
        <w:t xml:space="preserve">mendments final rule RIA, updated to 2022 dollars, for STAA initial evaluation and practicability assessment provisions. The </w:t>
      </w:r>
      <w:r w:rsidR="00250612">
        <w:rPr>
          <w:rFonts w:ascii="Times New Roman" w:hAnsi="Times New Roman"/>
          <w:sz w:val="24"/>
        </w:rPr>
        <w:t>a</w:t>
      </w:r>
      <w:r w:rsidRPr="00416006">
        <w:rPr>
          <w:rFonts w:ascii="Times New Roman" w:hAnsi="Times New Roman"/>
          <w:sz w:val="24"/>
        </w:rPr>
        <w:t xml:space="preserve">mendments final rule RIA assumed that cost estimates for the STAA initial evaluation submitted by trade associations representing a particular category of facilities (e.g., refineries, complex chemical manufacturers, etc.) were the best representation of estimated costs for those categories of facilities and adjusted its own estimate accordingly. In most cases, this caused the estimated costs for the STAA initial analysis to increase. </w:t>
      </w:r>
    </w:p>
    <w:p w:rsidR="00A8349D" w:rsidRPr="00416006" w:rsidP="004D0EF4" w14:paraId="5205ADE5" w14:textId="18CF5FCC">
      <w:pPr>
        <w:pStyle w:val="pf0"/>
        <w:spacing w:before="120" w:beforeAutospacing="0" w:after="120" w:afterAutospacing="0"/>
        <w:ind w:left="720"/>
        <w:rPr>
          <w:rFonts w:eastAsiaTheme="minorEastAsia"/>
        </w:rPr>
      </w:pPr>
      <w:r w:rsidRPr="00416006">
        <w:rPr>
          <w:rFonts w:eastAsiaTheme="minorEastAsia"/>
        </w:rPr>
        <w:t xml:space="preserve">For the practicability assessment, </w:t>
      </w:r>
      <w:r w:rsidRPr="00416006" w:rsidR="00384598">
        <w:rPr>
          <w:rFonts w:eastAsiaTheme="minorEastAsia"/>
        </w:rPr>
        <w:t>t</w:t>
      </w:r>
      <w:r w:rsidRPr="00416006">
        <w:rPr>
          <w:rFonts w:eastAsiaTheme="minorEastAsia"/>
        </w:rPr>
        <w:t xml:space="preserve">he </w:t>
      </w:r>
      <w:r w:rsidR="00956022">
        <w:rPr>
          <w:rFonts w:eastAsiaTheme="minorEastAsia"/>
        </w:rPr>
        <w:t>a</w:t>
      </w:r>
      <w:r w:rsidRPr="00416006">
        <w:rPr>
          <w:rFonts w:eastAsiaTheme="minorEastAsia"/>
        </w:rPr>
        <w:t xml:space="preserve">mendments final rule RIA identified a number of representative implementation projects that a facility could voluntarily implement, ranging from piping or valve replacements to chemical conversions. The </w:t>
      </w:r>
      <w:r w:rsidR="00956022">
        <w:rPr>
          <w:rFonts w:eastAsiaTheme="minorEastAsia"/>
        </w:rPr>
        <w:t>a</w:t>
      </w:r>
      <w:r w:rsidRPr="00416006">
        <w:rPr>
          <w:rFonts w:eastAsiaTheme="minorEastAsia"/>
        </w:rPr>
        <w:t xml:space="preserve">mendments rule RIA then assumed a percentage of these total costs would be incurred as part of the practicability assessment – as suggested by commenters and other sources. The SCCAP final rule RIA discusses its adapted approach in Chapter 4 section 4.4.1 STAA: Initial Evaluation and Practicability Assessment, Chapter 5 section 5.7.1 STAA, and Appendix A: Cost Estimates of HF Alkylation Conversion. </w:t>
      </w:r>
    </w:p>
    <w:p w:rsidR="00A8349D" w:rsidRPr="00416006" w:rsidP="004D0EF4" w14:paraId="3EED13FE" w14:textId="4F34BD33">
      <w:pPr>
        <w:pStyle w:val="pf0"/>
        <w:spacing w:before="120" w:beforeAutospacing="0" w:after="120" w:afterAutospacing="0"/>
        <w:ind w:left="720"/>
        <w:rPr>
          <w:rFonts w:eastAsiaTheme="minorEastAsia"/>
        </w:rPr>
      </w:pPr>
      <w:r w:rsidRPr="00416006">
        <w:rPr>
          <w:rFonts w:eastAsiaTheme="minorEastAsia"/>
        </w:rPr>
        <w:t xml:space="preserve">Costs to small entities are not a significant portion of revenue (see </w:t>
      </w:r>
      <w:r w:rsidR="00125C2F">
        <w:rPr>
          <w:rFonts w:eastAsiaTheme="minorEastAsia"/>
        </w:rPr>
        <w:t>f</w:t>
      </w:r>
      <w:r w:rsidRPr="00416006">
        <w:rPr>
          <w:rFonts w:eastAsiaTheme="minorEastAsia"/>
        </w:rPr>
        <w:t>inal</w:t>
      </w:r>
      <w:r w:rsidR="00125C2F">
        <w:rPr>
          <w:rFonts w:eastAsiaTheme="minorEastAsia"/>
        </w:rPr>
        <w:t xml:space="preserve"> r</w:t>
      </w:r>
      <w:r w:rsidRPr="00416006">
        <w:rPr>
          <w:rFonts w:eastAsiaTheme="minorEastAsia"/>
        </w:rPr>
        <w:t xml:space="preserve">ule </w:t>
      </w:r>
      <w:r w:rsidR="00956022">
        <w:rPr>
          <w:rFonts w:eastAsiaTheme="minorEastAsia"/>
        </w:rPr>
        <w:t xml:space="preserve">RIA </w:t>
      </w:r>
      <w:r w:rsidRPr="00416006">
        <w:rPr>
          <w:rFonts w:eastAsiaTheme="minorEastAsia"/>
        </w:rPr>
        <w:t>Chapter 8) and therefore does not expect costs to large entities to be any more significant.</w:t>
      </w:r>
    </w:p>
    <w:p w:rsidR="00A8349D" w:rsidRPr="00416006" w:rsidP="004D0EF4" w14:paraId="2824BD09" w14:textId="77777777">
      <w:pPr>
        <w:pStyle w:val="pf0"/>
        <w:spacing w:before="120" w:beforeAutospacing="0" w:after="120" w:afterAutospacing="0"/>
        <w:rPr>
          <w:i/>
        </w:rPr>
      </w:pPr>
      <w:r w:rsidRPr="00416006">
        <w:rPr>
          <w:i/>
        </w:rPr>
        <w:t>Estimated co</w:t>
      </w:r>
      <w:r w:rsidRPr="00416006">
        <w:rPr>
          <w:i/>
          <w:iCs/>
        </w:rPr>
        <w:t>sts - process hazard analysis</w:t>
      </w:r>
    </w:p>
    <w:p w:rsidR="00A8349D" w:rsidRPr="00416006" w:rsidP="00A8349D" w14:paraId="2474B9DE" w14:textId="43C3E864">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w:t>
      </w:r>
      <w:r w:rsidR="001E2A9A">
        <w:rPr>
          <w:rFonts w:ascii="Times New Roman" w:hAnsi="Times New Roman"/>
          <w:b/>
          <w:bCs/>
          <w:sz w:val="24"/>
        </w:rPr>
        <w:t>39</w:t>
      </w:r>
      <w:r w:rsidRPr="00416006">
        <w:rPr>
          <w:rFonts w:ascii="Times New Roman" w:hAnsi="Times New Roman"/>
          <w:b/>
          <w:bCs/>
          <w:sz w:val="24"/>
        </w:rPr>
        <w:t>:</w:t>
      </w:r>
      <w:r w:rsidRPr="00416006">
        <w:rPr>
          <w:rFonts w:ascii="Times New Roman" w:hAnsi="Times New Roman"/>
          <w:sz w:val="24"/>
        </w:rPr>
        <w:t xml:space="preserve"> One commenter stated that EPA fails to assign any costs to the proposed requirement that Program 3 facilities include in their PHA an analysis of the most recently promulgated RAGAGEP to identify any gaps between practices related to the design and construction of the process and the most current version of applicable RAGAGEP. The commenter stated that this new PHA element will invariably require more labor and personnel time in conducting and documenting the analysis, which should be factored into EPA’s cost assessment. The commenter also stated that the RIA does not account for any costs of updating process equipment as a result of determinations made in the gap analysis (0233). </w:t>
      </w:r>
    </w:p>
    <w:p w:rsidR="00A8349D" w:rsidRPr="00416006" w:rsidP="00A8349D" w14:paraId="2D0B4AF2" w14:textId="38A70585">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In response to comments, EPA added cost estimates for the requirement to provide written justifications for declining RAGAGEP recommendations. SCCAP final rule RIA Chapter 4 section 4.5 RMP Justifications discusses these cost estimates. Aside from these requirements, EPA notes that it is not finalizing additional RAGAGEP regulatory requirements </w:t>
      </w:r>
      <w:r w:rsidR="009F148D">
        <w:rPr>
          <w:rFonts w:ascii="Times New Roman" w:hAnsi="Times New Roman"/>
          <w:sz w:val="24"/>
        </w:rPr>
        <w:t xml:space="preserve">beyond </w:t>
      </w:r>
      <w:r w:rsidRPr="00416006">
        <w:rPr>
          <w:rFonts w:ascii="Times New Roman" w:hAnsi="Times New Roman"/>
          <w:sz w:val="24"/>
        </w:rPr>
        <w:t xml:space="preserve">the </w:t>
      </w:r>
      <w:r w:rsidR="009F148D">
        <w:rPr>
          <w:rFonts w:ascii="Times New Roman" w:hAnsi="Times New Roman"/>
          <w:sz w:val="24"/>
        </w:rPr>
        <w:t xml:space="preserve">current </w:t>
      </w:r>
      <w:r w:rsidRPr="00416006">
        <w:rPr>
          <w:rFonts w:ascii="Times New Roman" w:hAnsi="Times New Roman"/>
          <w:sz w:val="24"/>
        </w:rPr>
        <w:t>RMP regulations. EPA expects facilities are already performing a RAGAGEP gap analysis to meet existing requirements, so the final rule result</w:t>
      </w:r>
      <w:r w:rsidR="009F148D">
        <w:rPr>
          <w:rFonts w:ascii="Times New Roman" w:hAnsi="Times New Roman"/>
          <w:sz w:val="24"/>
        </w:rPr>
        <w:t>s</w:t>
      </w:r>
      <w:r w:rsidRPr="00416006">
        <w:rPr>
          <w:rFonts w:ascii="Times New Roman" w:hAnsi="Times New Roman"/>
          <w:sz w:val="24"/>
        </w:rPr>
        <w:t xml:space="preserve"> in </w:t>
      </w:r>
      <w:r w:rsidR="009F148D">
        <w:rPr>
          <w:rFonts w:ascii="Times New Roman" w:hAnsi="Times New Roman"/>
          <w:sz w:val="24"/>
        </w:rPr>
        <w:t>no</w:t>
      </w:r>
      <w:r w:rsidRPr="00416006">
        <w:rPr>
          <w:rFonts w:ascii="Times New Roman" w:hAnsi="Times New Roman"/>
          <w:sz w:val="24"/>
        </w:rPr>
        <w:t xml:space="preserve"> additional burden related to RAGAGEP beyond the justification requirement. Because the SCCAP final rule does not require facilities to update process </w:t>
      </w:r>
      <w:r w:rsidRPr="00416006">
        <w:rPr>
          <w:rFonts w:ascii="Times New Roman" w:hAnsi="Times New Roman"/>
          <w:sz w:val="24"/>
        </w:rPr>
        <w:t>equipment or any other implementation as a result of its gap analysis, the final rule RIA correctly does not include any costs related to such updates or implementation.</w:t>
      </w:r>
    </w:p>
    <w:p w:rsidR="00A8349D" w:rsidRPr="00416006" w:rsidP="00A8349D" w14:paraId="254702D4" w14:textId="4D45F0F2">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0</w:t>
      </w:r>
      <w:r w:rsidRPr="00416006">
        <w:rPr>
          <w:rFonts w:ascii="Times New Roman" w:hAnsi="Times New Roman"/>
          <w:b/>
          <w:bCs/>
          <w:sz w:val="24"/>
        </w:rPr>
        <w:t>:</w:t>
      </w:r>
      <w:r w:rsidRPr="00416006">
        <w:rPr>
          <w:rFonts w:ascii="Times New Roman" w:hAnsi="Times New Roman"/>
          <w:sz w:val="24"/>
        </w:rPr>
        <w:t xml:space="preserve"> Another commenter stated that new PHA requirements</w:t>
      </w:r>
      <w:r w:rsidRPr="217C4BEC" w:rsidR="2EEF1259">
        <w:rPr>
          <w:rFonts w:ascii="Times New Roman" w:hAnsi="Times New Roman"/>
          <w:sz w:val="24"/>
        </w:rPr>
        <w:t>,</w:t>
      </w:r>
      <w:r w:rsidRPr="217C4BEC" w:rsidR="0541AD7E">
        <w:rPr>
          <w:rFonts w:ascii="Times New Roman" w:hAnsi="Times New Roman"/>
          <w:sz w:val="24"/>
        </w:rPr>
        <w:t xml:space="preserve"> </w:t>
      </w:r>
      <w:r w:rsidRPr="217C4BEC" w:rsidR="7D90711E">
        <w:rPr>
          <w:rFonts w:ascii="Times New Roman" w:hAnsi="Times New Roman"/>
          <w:sz w:val="24"/>
        </w:rPr>
        <w:t>which</w:t>
      </w:r>
      <w:r w:rsidRPr="00416006">
        <w:rPr>
          <w:rFonts w:ascii="Times New Roman" w:hAnsi="Times New Roman"/>
          <w:sz w:val="24"/>
        </w:rPr>
        <w:t xml:space="preserve"> are onerous at best</w:t>
      </w:r>
      <w:r w:rsidR="000A11A0">
        <w:rPr>
          <w:rFonts w:ascii="Times New Roman" w:hAnsi="Times New Roman"/>
          <w:sz w:val="24"/>
        </w:rPr>
        <w:t>,</w:t>
      </w:r>
      <w:r w:rsidRPr="00416006">
        <w:rPr>
          <w:rFonts w:ascii="Times New Roman" w:hAnsi="Times New Roman"/>
          <w:sz w:val="24"/>
        </w:rPr>
        <w:t xml:space="preserve"> are not considered as an additional burden. The commenter elaborated that current PHA protocols require assessing the consequences of natural hazards and not the natural hazard itself, a distinction that would require additional expertise in PHA teams. The commenter also said that completing all 13 PHAs in a single year imposes an incredible burden on a small entity with limited resources (0259).</w:t>
      </w:r>
    </w:p>
    <w:p w:rsidR="00A8349D" w:rsidRPr="00416006" w:rsidP="00A8349D" w14:paraId="30443B7C" w14:textId="00ED7991">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In response to comments, EPA added cost estimates for the requirements to provide written justifications for declining recommendations to address natural hazards, as well as power loss, facility siting, and RAGAGEP. SCCAP final rule RIA Chapter 4 section 4.5 RMP Justifications discusses these cost estimates. Aside from these requirements, EPA notes that it is not finalizing additional PHA regulatory requirements from what already exists in the RMP regulations. The current RMP rule’s PHA requirements include </w:t>
      </w:r>
      <w:r w:rsidR="002A5D95">
        <w:rPr>
          <w:rFonts w:ascii="Times New Roman" w:hAnsi="Times New Roman"/>
          <w:sz w:val="24"/>
        </w:rPr>
        <w:t xml:space="preserve"> “determining and evaluating </w:t>
      </w:r>
      <w:r w:rsidRPr="00416006">
        <w:rPr>
          <w:rFonts w:ascii="Times New Roman" w:hAnsi="Times New Roman"/>
          <w:sz w:val="24"/>
        </w:rPr>
        <w:t>the hazards of the process” as well as “engineering...controls applicable to the hazards and their interrelationships such as appropriate application of detection methodologies.” (40 CFR 68.67(c)(1),(3)). Similar but less detailed requirements apply to Program 2 processes (40 CFR 68.50(a)). The hazard evaluation requirements reflect not only the OSHA and EPA rules but also existing industry recommended practices, and therefore, EPA assumes that these hazard evaluation amplifications impose no new requirements or costs on facilities.</w:t>
      </w:r>
    </w:p>
    <w:p w:rsidR="00A8349D" w:rsidRPr="00416006" w:rsidP="00A8349D" w14:paraId="44AACDED" w14:textId="77777777">
      <w:pPr>
        <w:rPr>
          <w:rFonts w:ascii="Times New Roman" w:hAnsi="Times New Roman"/>
          <w:i/>
          <w:sz w:val="24"/>
        </w:rPr>
      </w:pPr>
      <w:r w:rsidRPr="00416006">
        <w:rPr>
          <w:rFonts w:ascii="Times New Roman" w:hAnsi="Times New Roman"/>
          <w:i/>
          <w:iCs/>
          <w:sz w:val="24"/>
        </w:rPr>
        <w:t>Estimated costs - backup power</w:t>
      </w:r>
    </w:p>
    <w:p w:rsidR="00A8349D" w:rsidRPr="00416006" w:rsidP="00A8349D" w14:paraId="67AADAAE" w14:textId="00D2F5A2">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1</w:t>
      </w:r>
      <w:r w:rsidRPr="00416006">
        <w:rPr>
          <w:rFonts w:ascii="Times New Roman" w:hAnsi="Times New Roman"/>
          <w:b/>
          <w:bCs/>
          <w:sz w:val="24"/>
        </w:rPr>
        <w:t>:</w:t>
      </w:r>
      <w:r w:rsidRPr="00416006">
        <w:rPr>
          <w:rFonts w:ascii="Times New Roman" w:hAnsi="Times New Roman"/>
          <w:sz w:val="24"/>
        </w:rPr>
        <w:t xml:space="preserve"> One commenter stated that EPA, without explanation, assumes that facilities will need to spend only $1,000 for backup power for monitoring equipment, nor did EPA consider costs associated with on-going maintenance, fueling, and the potential need for necessary environmental permits (0233).</w:t>
      </w:r>
    </w:p>
    <w:p w:rsidR="004D0454" w:rsidRPr="00416006" w:rsidP="00A8349D" w14:paraId="7DA8BBCF" w14:textId="59C64C20">
      <w:pPr>
        <w:rPr>
          <w:rFonts w:ascii="Times New Roman" w:hAnsi="Times New Roman"/>
          <w:sz w:val="24"/>
        </w:rPr>
      </w:pPr>
      <w:r w:rsidRPr="008668CA">
        <w:rPr>
          <w:rFonts w:ascii="Times New Roman" w:hAnsi="Times New Roman"/>
          <w:sz w:val="24"/>
        </w:rPr>
        <w:t>One commenter stated that although the Regulatory Impact Analysis (RIA) includes some estimates of costs for perimeter monitors, this is an underestimate of the full costs of back-up power, particularly for emissions monitoring equipment</w:t>
      </w:r>
      <w:r w:rsidRPr="00416006">
        <w:rPr>
          <w:rFonts w:ascii="Times New Roman" w:hAnsi="Times New Roman"/>
          <w:sz w:val="24"/>
        </w:rPr>
        <w:t>. The commenter also opposed the proposed PHA changes as they require new reporting obligations that are unnecessary and have not been fully analyzed (0272).</w:t>
      </w:r>
    </w:p>
    <w:p w:rsidR="004D0454" w:rsidRPr="00416006" w:rsidP="00384598" w14:paraId="04FA41DE" w14:textId="64DA360C">
      <w:pPr>
        <w:ind w:left="720"/>
        <w:rPr>
          <w:rFonts w:ascii="Times New Roman" w:hAnsi="Times New Roman"/>
          <w:sz w:val="24"/>
        </w:rPr>
      </w:pPr>
      <w:r w:rsidRPr="00416006">
        <w:rPr>
          <w:rFonts w:ascii="Times New Roman" w:hAnsi="Times New Roman"/>
          <w:b/>
          <w:bCs/>
          <w:sz w:val="24"/>
        </w:rPr>
        <w:t xml:space="preserve">EPA Response: </w:t>
      </w:r>
      <w:r w:rsidRPr="00416006">
        <w:rPr>
          <w:rFonts w:ascii="Times New Roman" w:eastAsia="Times New Roman" w:hAnsi="Times New Roman"/>
          <w:sz w:val="24"/>
        </w:rPr>
        <w:t xml:space="preserve">In response to comments that EPA did not adequately consider the costs of the power loss provisions, EPA increased its cost estimate for the backup power for perimeter monitors and added cost estimates for the requirements to provide written justifications for declining recommendations related to power loss, natural hazards, facility siting, and RAGAGEP. EPA increased its estimate of the capital cost to purchase and install a backup generator from $1,000 to $3,000 and assumed operation and maintenance costs equal 10% of capital costs. EPA notes it is not requiring any facilities to implement perimeter monitoring. SCCAP final rule RIA Chapter 4 sections 4.4.6 Emergency Backup Power for Perimeter Monitors and 4.5 RMP Justifications discuss these cost estimates. Aside from these requirements, EPA notes that it is not finalizing additional PHA regulatory requirements from what already exists in the RMP regulations. </w:t>
      </w:r>
      <w:r w:rsidRPr="00416006">
        <w:rPr>
          <w:rFonts w:ascii="Times New Roman" w:eastAsia="Times New Roman" w:hAnsi="Times New Roman"/>
          <w:sz w:val="24"/>
        </w:rPr>
        <w:t xml:space="preserve">The current RMP rule’s PHA requirements include </w:t>
      </w:r>
      <w:r w:rsidR="00946F92">
        <w:rPr>
          <w:rFonts w:ascii="Times New Roman" w:eastAsia="Times New Roman" w:hAnsi="Times New Roman"/>
          <w:sz w:val="24"/>
        </w:rPr>
        <w:t xml:space="preserve">“determining and evaluating </w:t>
      </w:r>
      <w:r w:rsidRPr="00416006">
        <w:rPr>
          <w:rFonts w:ascii="Times New Roman" w:eastAsia="Times New Roman" w:hAnsi="Times New Roman"/>
          <w:sz w:val="24"/>
        </w:rPr>
        <w:t xml:space="preserve">the hazards of the process” as well as “engineering...controls applicable to </w:t>
      </w:r>
      <w:r w:rsidRPr="00416006">
        <w:rPr>
          <w:rFonts w:ascii="Times New Roman" w:eastAsia="Times New Roman" w:hAnsi="Times New Roman"/>
          <w:sz w:val="24"/>
        </w:rPr>
        <w:t>the hazards and their interrelationships such as appropriate application of detection methodologies.” (40 CFR 68.67(c)(1),(3)). Loss of power is one such hazard, and backup power is an engineering control applicable to the hazard and detection methodologies. Similar but less detailed requirements apply to Program 2 processes (40 CFR 68.50(a)). The hazard evaluation requirements reflect not only the OSHA and EPA rules but also existing industry recommended practices, and therefore, EPA assumes that these hazard evaluation amplifications impose no new requirements or costs on facilities. As EPA has discussed in prior RMP rulemaking RIAs, it is not possible to estimate quantitative benefits for proposed rule provisions as EPA has no data to project the specific contribution of each to an accident’s impacts. As shown by accident trends, accident frequency and severity are difficult to predict. However, the 2022 SCCAP proposed rule and the accompanying Technical Background Document show that past accidents have been caused by power failure, and the backup power provisions target these events. Based on RMP-reportable accident and other data</w:t>
      </w:r>
      <w:r w:rsidR="00F77C41">
        <w:rPr>
          <w:rFonts w:ascii="Times New Roman" w:eastAsia="Times New Roman" w:hAnsi="Times New Roman"/>
          <w:sz w:val="24"/>
        </w:rPr>
        <w:t xml:space="preserve"> from RMP regulated industry sectors</w:t>
      </w:r>
      <w:r>
        <w:rPr>
          <w:rStyle w:val="FootnoteReference"/>
          <w:rFonts w:ascii="Times New Roman" w:eastAsia="Times New Roman" w:hAnsi="Times New Roman"/>
          <w:sz w:val="24"/>
        </w:rPr>
        <w:footnoteReference w:id="209"/>
      </w:r>
      <w:r w:rsidRPr="00416006">
        <w:rPr>
          <w:rFonts w:ascii="Times New Roman" w:eastAsia="Times New Roman" w:hAnsi="Times New Roman"/>
          <w:sz w:val="24"/>
        </w:rPr>
        <w:t xml:space="preserve">, chemical accidents can impose substantial costs on firms, employees, emergency responders, the community, and the broader economy. Reducing the risk of such accidents, the </w:t>
      </w:r>
      <w:r w:rsidRPr="00416006">
        <w:rPr>
          <w:rFonts w:ascii="Times New Roman" w:eastAsia="Times New Roman" w:hAnsi="Times New Roman"/>
          <w:sz w:val="24"/>
        </w:rPr>
        <w:t>severity of the impacts when accidents occur, and improving information availability, as the provisions of this final rule intend, will provide benefits to the potentially affected members of society.</w:t>
      </w:r>
    </w:p>
    <w:p w:rsidR="00A8349D" w:rsidRPr="00416006" w:rsidP="00A8349D" w14:paraId="72772DD7" w14:textId="65FB9745">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2</w:t>
      </w:r>
      <w:r w:rsidRPr="00416006">
        <w:rPr>
          <w:rFonts w:ascii="Times New Roman" w:hAnsi="Times New Roman"/>
          <w:b/>
          <w:bCs/>
          <w:sz w:val="24"/>
        </w:rPr>
        <w:t>:</w:t>
      </w:r>
      <w:r w:rsidRPr="00416006">
        <w:rPr>
          <w:rFonts w:ascii="Times New Roman" w:hAnsi="Times New Roman"/>
          <w:sz w:val="24"/>
        </w:rPr>
        <w:t xml:space="preserve"> One commenter said that the Power Loss analysis costs are not included for NAICS 324 entities but should be (0259). Another commenter stated that EPA also failed to conduct a proper cost-benefit analysis of the proposed power loss requirement. The commenter also stated that EPA should address ambiguity, providing clarification and a fulsome analysis of the costs and benefits of the provision, subject to public comment, before proceeding with a final rule (0253).</w:t>
      </w:r>
    </w:p>
    <w:p w:rsidR="00A8349D" w:rsidRPr="002E79C3" w:rsidP="00384598" w14:paraId="777C0241" w14:textId="0106E82E">
      <w:pPr>
        <w:ind w:left="720"/>
        <w:rPr>
          <w:rFonts w:ascii="Times New Roman" w:eastAsia="Times New Roman" w:hAnsi="Times New Roman"/>
          <w:sz w:val="24"/>
        </w:rPr>
      </w:pPr>
      <w:r w:rsidRPr="00416006">
        <w:rPr>
          <w:rFonts w:ascii="Times New Roman" w:hAnsi="Times New Roman"/>
          <w:b/>
          <w:bCs/>
          <w:sz w:val="24"/>
        </w:rPr>
        <w:t xml:space="preserve">EPA Response: </w:t>
      </w:r>
      <w:r w:rsidRPr="00416006">
        <w:rPr>
          <w:rFonts w:ascii="Times New Roman" w:eastAsia="Times New Roman" w:hAnsi="Times New Roman"/>
          <w:sz w:val="24"/>
        </w:rPr>
        <w:t xml:space="preserve">In response to comments that EPA did not adequately consider the costs and benefits of the power loss provisions, EPA notes that it is not finalizing additional regulatory requirements from </w:t>
      </w:r>
      <w:r w:rsidR="000A11A0">
        <w:rPr>
          <w:rFonts w:ascii="Times New Roman" w:eastAsia="Times New Roman" w:hAnsi="Times New Roman"/>
          <w:sz w:val="24"/>
        </w:rPr>
        <w:t>current</w:t>
      </w:r>
      <w:r w:rsidR="007638E9">
        <w:rPr>
          <w:rFonts w:ascii="Times New Roman" w:eastAsia="Times New Roman" w:hAnsi="Times New Roman"/>
          <w:sz w:val="24"/>
        </w:rPr>
        <w:t xml:space="preserve"> </w:t>
      </w:r>
      <w:r w:rsidRPr="00416006">
        <w:rPr>
          <w:rFonts w:ascii="Times New Roman" w:eastAsia="Times New Roman" w:hAnsi="Times New Roman"/>
          <w:sz w:val="24"/>
        </w:rPr>
        <w:t xml:space="preserve">RMP regulations. The current RMP rule’s PHA requirements </w:t>
      </w:r>
      <w:r w:rsidR="00114156">
        <w:rPr>
          <w:rFonts w:ascii="Times New Roman" w:eastAsia="Times New Roman" w:hAnsi="Times New Roman"/>
          <w:sz w:val="24"/>
        </w:rPr>
        <w:t xml:space="preserve">include determining and evaluating </w:t>
      </w:r>
      <w:r w:rsidRPr="00416006">
        <w:rPr>
          <w:rFonts w:ascii="Times New Roman" w:eastAsia="Times New Roman" w:hAnsi="Times New Roman"/>
          <w:sz w:val="24"/>
        </w:rPr>
        <w:t xml:space="preserve">the </w:t>
      </w:r>
      <w:r w:rsidRPr="00416006">
        <w:rPr>
          <w:rFonts w:ascii="Times New Roman" w:eastAsia="Times New Roman" w:hAnsi="Times New Roman"/>
          <w:sz w:val="24"/>
        </w:rPr>
        <w:t xml:space="preserve">hazards of the process” as well as “engineering...controls applicable to the hazards and their interrelationships such as appropriate application of detection methodologies.” (40 CFR 68.67(c)(1),(3)). Loss of power is one such hazard, and backup power is an engineering control applicable to the hazard and detection methodologies. Similar but less detailed requirements apply to Program 2 processes (40 CFR 68.50(a)). The hazard evaluation requirements reflect not only the OSHA and EPA rules but also existing industry recommended practices, and therefore, EPA assumes that these hazard evaluation amplifications impose no new requirements or costs on facilities. As EPA has discussed in prior RMP rulemaking RIAs, it is not possible to estimate quantitative benefits for proposed rule provisions as EPA has no data to project the specific contribution of each to an accident’s impacts. As shown by accident trends, accident frequency and severity are difficult to predict. However, the 2022 SCCAP proposed rule and the accompanying </w:t>
      </w:r>
      <w:r w:rsidRPr="00416006">
        <w:rPr>
          <w:rFonts w:ascii="Times New Roman" w:eastAsia="Times New Roman" w:hAnsi="Times New Roman"/>
          <w:sz w:val="24"/>
        </w:rPr>
        <w:t xml:space="preserve">Technical Background Document show that past accidents have been caused by power failure, and the backup power provisions target these events. </w:t>
      </w:r>
      <w:r w:rsidRPr="00416006">
        <w:rPr>
          <w:rFonts w:ascii="Times New Roman" w:eastAsia="Times New Roman" w:hAnsi="Times New Roman"/>
          <w:sz w:val="24"/>
        </w:rPr>
        <w:t>Based on RMP-reportable accident and other data</w:t>
      </w:r>
      <w:r w:rsidR="00F77C41">
        <w:rPr>
          <w:rFonts w:ascii="Times New Roman" w:eastAsia="Times New Roman" w:hAnsi="Times New Roman"/>
          <w:sz w:val="24"/>
        </w:rPr>
        <w:t xml:space="preserve"> from RMP regulated industry sectors</w:t>
      </w:r>
      <w:r>
        <w:rPr>
          <w:rStyle w:val="FootnoteReference"/>
          <w:rFonts w:ascii="Times New Roman" w:eastAsia="Times New Roman" w:hAnsi="Times New Roman"/>
          <w:sz w:val="24"/>
        </w:rPr>
        <w:footnoteReference w:id="210"/>
      </w:r>
      <w:r w:rsidRPr="00416006">
        <w:rPr>
          <w:rFonts w:ascii="Times New Roman" w:eastAsia="Times New Roman" w:hAnsi="Times New Roman"/>
          <w:sz w:val="24"/>
        </w:rPr>
        <w:t>,</w:t>
      </w:r>
      <w:r w:rsidRPr="00416006">
        <w:rPr>
          <w:rFonts w:ascii="Times New Roman" w:eastAsia="Times New Roman" w:hAnsi="Times New Roman"/>
          <w:sz w:val="24"/>
        </w:rPr>
        <w:t xml:space="preserve"> chemical accidents can impose substantial costs on firms, employees, emergency responders, the community, and the broader economy. Reducing the risk of such accidents, the severity of the impacts when accidents occur, and improving information availability, as the provisions of this final rule intend, will provide benefits to the potentially affected members of society.</w:t>
      </w:r>
    </w:p>
    <w:p w:rsidR="00A8349D" w:rsidRPr="00416006" w:rsidP="00A8349D" w14:paraId="6B6F612F" w14:textId="77777777">
      <w:pPr>
        <w:rPr>
          <w:rFonts w:ascii="Times New Roman" w:hAnsi="Times New Roman"/>
          <w:i/>
          <w:iCs/>
          <w:sz w:val="24"/>
        </w:rPr>
      </w:pPr>
      <w:r w:rsidRPr="00416006">
        <w:rPr>
          <w:rFonts w:ascii="Times New Roman" w:hAnsi="Times New Roman"/>
          <w:i/>
          <w:iCs/>
          <w:sz w:val="24"/>
        </w:rPr>
        <w:t>Estimated costs - insufficient justification for assumptions and other concerns</w:t>
      </w:r>
    </w:p>
    <w:p w:rsidR="00A8349D" w:rsidRPr="00416006" w:rsidP="00A8349D" w14:paraId="2AF045BB" w14:textId="15E8B045">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3</w:t>
      </w:r>
      <w:r w:rsidRPr="00416006">
        <w:rPr>
          <w:rFonts w:ascii="Times New Roman" w:hAnsi="Times New Roman"/>
          <w:b/>
          <w:bCs/>
          <w:sz w:val="24"/>
        </w:rPr>
        <w:t>:</w:t>
      </w:r>
      <w:r w:rsidRPr="00416006">
        <w:rPr>
          <w:rFonts w:ascii="Times New Roman" w:hAnsi="Times New Roman"/>
          <w:sz w:val="24"/>
        </w:rPr>
        <w:t xml:space="preserve"> Several commenters expressed concern that, while EPA estimates the proposed rule will only equate to an undiscounted cost of roughly $64,000 annually per facility, this number is a gross underestimate. The commenters stated that considering the cost of labor hours and administrative costs attached to the above provisions as well as the need for third party contractors to facilitate analysis and help with the proper and required implementation of the rule, they feared that the cost per facility can easily exceed $100,000 per year. The commenters cited a third-party analysis of the proposed rule conducted by National Association of Chemical Distributors contractor John Dunham and Associates which estimated that an annual cost of $100,000 per RMP facility would result in a reduction of economic input from the chemical distribution industry of over $51 million. The commenters estimated an inflationary impact as the costs per ton of chemicals handled by distributors would rise by 0.13% or $0.46 per ton (0180, 0205, 0217, 0226, 0234, 0458).</w:t>
      </w:r>
    </w:p>
    <w:p w:rsidR="00A8349D" w:rsidRPr="00416006" w:rsidP="00262147" w14:paraId="5EAFE1EF" w14:textId="5F3EEAD1">
      <w:pPr>
        <w:ind w:left="720"/>
        <w:rPr>
          <w:rFonts w:ascii="Times New Roman" w:hAnsi="Times New Roman"/>
          <w:sz w:val="24"/>
        </w:rPr>
      </w:pPr>
      <w:r w:rsidRPr="00416006">
        <w:rPr>
          <w:rFonts w:ascii="Times New Roman" w:hAnsi="Times New Roman"/>
          <w:b/>
          <w:sz w:val="24"/>
        </w:rPr>
        <w:t>EPA Response:</w:t>
      </w:r>
      <w:r w:rsidRPr="00416006">
        <w:rPr>
          <w:rFonts w:ascii="Times New Roman" w:hAnsi="Times New Roman"/>
          <w:sz w:val="24"/>
        </w:rPr>
        <w:t xml:space="preserve"> EPA relied on the best available data and assumptions to estimate costs in </w:t>
      </w:r>
      <w:r w:rsidR="007638E9">
        <w:rPr>
          <w:rFonts w:ascii="Times New Roman" w:hAnsi="Times New Roman"/>
          <w:sz w:val="24"/>
        </w:rPr>
        <w:t xml:space="preserve">the </w:t>
      </w:r>
      <w:r w:rsidR="008F0C78">
        <w:rPr>
          <w:rFonts w:ascii="Times New Roman" w:hAnsi="Times New Roman"/>
          <w:sz w:val="24"/>
        </w:rPr>
        <w:t xml:space="preserve">final rule </w:t>
      </w:r>
      <w:r w:rsidRPr="00416006">
        <w:rPr>
          <w:rFonts w:ascii="Times New Roman" w:hAnsi="Times New Roman"/>
          <w:sz w:val="24"/>
        </w:rPr>
        <w:t>RIA Chapters 4 and 5. EPA disagrees that the final rule cost estimates are an underestimate. Furthermore, EPA assessed the impact of the final rule across different industries in its small entity analysis in RIA Chapter 8. EPA found that the rule w</w:t>
      </w:r>
      <w:r w:rsidR="008F0C78">
        <w:rPr>
          <w:rFonts w:ascii="Times New Roman" w:hAnsi="Times New Roman"/>
          <w:sz w:val="24"/>
        </w:rPr>
        <w:t>ill</w:t>
      </w:r>
      <w:r w:rsidRPr="00416006">
        <w:rPr>
          <w:rFonts w:ascii="Times New Roman" w:hAnsi="Times New Roman"/>
          <w:sz w:val="24"/>
        </w:rPr>
        <w:t xml:space="preserve"> cost some entities, including chemical manufacturers, over $100,000 as the commenter suggests (see Exhibit 8-7 of the final rule RIA). These costs</w:t>
      </w:r>
      <w:r w:rsidR="008F0C78">
        <w:rPr>
          <w:rFonts w:ascii="Times New Roman" w:hAnsi="Times New Roman"/>
          <w:sz w:val="24"/>
        </w:rPr>
        <w:t>,</w:t>
      </w:r>
      <w:r w:rsidRPr="00416006">
        <w:rPr>
          <w:rFonts w:ascii="Times New Roman" w:hAnsi="Times New Roman"/>
          <w:sz w:val="24"/>
        </w:rPr>
        <w:t xml:space="preserve"> </w:t>
      </w:r>
      <w:r w:rsidRPr="00416006">
        <w:rPr>
          <w:rFonts w:ascii="Times New Roman" w:hAnsi="Times New Roman"/>
          <w:sz w:val="24"/>
        </w:rPr>
        <w:t xml:space="preserve">however, represent less than 3% of revenue for the vast majority of small entities and would represent an even small proportion of revenue for larger entities. </w:t>
      </w:r>
    </w:p>
    <w:p w:rsidR="00A8349D" w:rsidRPr="00416006" w:rsidP="00A8349D" w14:paraId="1C7B8736" w14:textId="081D6D6E">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4</w:t>
      </w:r>
      <w:r w:rsidRPr="00416006">
        <w:rPr>
          <w:rFonts w:ascii="Times New Roman" w:hAnsi="Times New Roman"/>
          <w:b/>
          <w:bCs/>
          <w:sz w:val="24"/>
        </w:rPr>
        <w:t>:</w:t>
      </w:r>
      <w:r w:rsidRPr="00416006">
        <w:rPr>
          <w:rFonts w:ascii="Times New Roman" w:hAnsi="Times New Roman"/>
          <w:sz w:val="24"/>
        </w:rPr>
        <w:t xml:space="preserve"> One commenter expressed concern that there may be missing incident costs from the RIA data that are a cost to taxpayers, such as the CSB investigation and costs spent by companies to upgrade inherently dangerous processes after disasters (0157).</w:t>
      </w:r>
    </w:p>
    <w:p w:rsidR="00A8349D" w:rsidRPr="00416006" w:rsidP="00A8349D" w14:paraId="49FEDFFC" w14:textId="77777777">
      <w:pPr>
        <w:ind w:left="720"/>
        <w:rPr>
          <w:rFonts w:ascii="Times New Roman" w:eastAsia="Times New Roman" w:hAnsi="Times New Roman"/>
          <w:sz w:val="24"/>
        </w:rPr>
      </w:pPr>
      <w:r w:rsidRPr="00416006">
        <w:rPr>
          <w:rFonts w:ascii="Times New Roman" w:hAnsi="Times New Roman"/>
          <w:b/>
          <w:bCs/>
          <w:sz w:val="24"/>
        </w:rPr>
        <w:t xml:space="preserve">EPA Response: </w:t>
      </w:r>
      <w:r w:rsidRPr="00416006">
        <w:rPr>
          <w:rFonts w:ascii="Times New Roman" w:eastAsia="Times New Roman" w:hAnsi="Times New Roman"/>
          <w:sz w:val="24"/>
        </w:rPr>
        <w:t xml:space="preserve"> EPA acknowledges that costs of accidents include CSB investigation and process upgrade costs. Reducing the frequency of accidents would result in lower total investigation and upgrade costs because fewer facilities would have accidents requiring CSB to investigate and the facility to upgrade processes.</w:t>
      </w:r>
    </w:p>
    <w:p w:rsidR="00A8349D" w:rsidRPr="00416006" w:rsidP="00A8349D" w14:paraId="51E39752" w14:textId="1D078C92">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5</w:t>
      </w:r>
      <w:r w:rsidRPr="00416006">
        <w:rPr>
          <w:rFonts w:ascii="Times New Roman" w:hAnsi="Times New Roman"/>
          <w:b/>
          <w:bCs/>
          <w:sz w:val="24"/>
        </w:rPr>
        <w:t>:</w:t>
      </w:r>
      <w:r w:rsidRPr="00416006">
        <w:rPr>
          <w:rFonts w:ascii="Times New Roman" w:hAnsi="Times New Roman"/>
          <w:sz w:val="24"/>
        </w:rPr>
        <w:t xml:space="preserve"> One commenter stated that if EPA looks at the full reported harm from incidents in recent years, including harm to the environment without direct human impact or property damage, EPA will recognize that a larger number of harmful incidents have occurred. The commenter found approximately another 111 incidents in the database since 2004 showing </w:t>
      </w:r>
      <w:r w:rsidRPr="00416006">
        <w:rPr>
          <w:rFonts w:ascii="Times New Roman" w:hAnsi="Times New Roman"/>
          <w:sz w:val="24"/>
        </w:rPr>
        <w:t>just this kind of harm (where harm to people or property was not reported) but may have missed some of these incidents) (0456).</w:t>
      </w:r>
    </w:p>
    <w:p w:rsidR="00A8349D" w:rsidRPr="00416006" w:rsidP="00262147" w14:paraId="2330F74A" w14:textId="3A6AAD5A">
      <w:pPr>
        <w:ind w:left="720"/>
        <w:rPr>
          <w:rFonts w:ascii="Times New Roman" w:hAnsi="Times New Roman"/>
          <w:sz w:val="24"/>
        </w:rPr>
      </w:pPr>
      <w:r w:rsidRPr="00416006">
        <w:rPr>
          <w:rFonts w:ascii="Times New Roman" w:hAnsi="Times New Roman"/>
          <w:b/>
          <w:bCs/>
          <w:sz w:val="24"/>
        </w:rPr>
        <w:t>EPA Response:</w:t>
      </w:r>
      <w:r w:rsidRPr="00416006">
        <w:rPr>
          <w:rFonts w:ascii="Times New Roman" w:hAnsi="Times New Roman"/>
          <w:sz w:val="24"/>
        </w:rPr>
        <w:t xml:space="preserve"> EPA relies on reported accident in its RMP database and therefore may not account for some accidents and accident costs that were not reported. Accidents must be RMP-reportable in order to be entered into the database, meaning they occur</w:t>
      </w:r>
      <w:r w:rsidR="002163FE">
        <w:rPr>
          <w:rFonts w:ascii="Times New Roman" w:hAnsi="Times New Roman"/>
          <w:sz w:val="24"/>
        </w:rPr>
        <w:t>red</w:t>
      </w:r>
      <w:r w:rsidRPr="00416006">
        <w:rPr>
          <w:rFonts w:ascii="Times New Roman" w:hAnsi="Times New Roman"/>
          <w:sz w:val="24"/>
        </w:rPr>
        <w:t xml:space="preserve"> for entities maintaining or operating RMP regulated substances. EPA acknowledges that this approach may miss some relevant accidents if they are not reported.</w:t>
      </w:r>
    </w:p>
    <w:p w:rsidR="00A8349D" w:rsidRPr="00416006" w:rsidP="00A8349D" w14:paraId="288B84D6" w14:textId="74F27E73">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6</w:t>
      </w:r>
      <w:r w:rsidRPr="00416006">
        <w:rPr>
          <w:rFonts w:ascii="Times New Roman" w:hAnsi="Times New Roman"/>
          <w:b/>
          <w:bCs/>
          <w:sz w:val="24"/>
        </w:rPr>
        <w:t>:</w:t>
      </w:r>
      <w:r w:rsidRPr="00416006">
        <w:rPr>
          <w:rFonts w:ascii="Times New Roman" w:hAnsi="Times New Roman"/>
          <w:sz w:val="24"/>
        </w:rPr>
        <w:t xml:space="preserve"> One commenter asserted that the RIA did not provide sufficient explanation as to why LEPCs will require five hours to become familiar with the rule, but delegated State and local implementing agencies will only need four hours to do the same reading (0239).</w:t>
      </w:r>
    </w:p>
    <w:p w:rsidR="00A8349D" w:rsidRPr="00416006" w:rsidP="00A8349D" w14:paraId="0B73CD01" w14:textId="77777777">
      <w:pPr>
        <w:ind w:left="720"/>
        <w:rPr>
          <w:rFonts w:ascii="Times New Roman" w:eastAsia="Times New Roman" w:hAnsi="Times New Roman"/>
          <w:sz w:val="24"/>
        </w:rPr>
      </w:pPr>
      <w:r w:rsidRPr="00416006">
        <w:rPr>
          <w:rFonts w:ascii="Times New Roman" w:hAnsi="Times New Roman"/>
          <w:b/>
          <w:bCs/>
          <w:sz w:val="24"/>
        </w:rPr>
        <w:t xml:space="preserve">EPA Response: </w:t>
      </w:r>
      <w:r w:rsidRPr="00416006">
        <w:rPr>
          <w:rFonts w:ascii="Times New Roman" w:eastAsia="Times New Roman" w:hAnsi="Times New Roman"/>
          <w:sz w:val="24"/>
        </w:rPr>
        <w:t xml:space="preserve"> In response to comments, EPA in the SCCAP final rule RIA raised the number of hours EPA assumes delegated State and local implementing agencies, as well as simple and program level 1 and 2 complex facilities, require for rule familiarization from four hours to five hours to be consistent with the rule familiarization hours assumption for LEPCs.</w:t>
      </w:r>
    </w:p>
    <w:p w:rsidR="00A8349D" w:rsidRPr="00416006" w:rsidP="00A8349D" w14:paraId="748C48DF" w14:textId="304A728B">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.3-4</w:t>
      </w:r>
      <w:r w:rsidR="001E2A9A">
        <w:rPr>
          <w:rFonts w:ascii="Times New Roman" w:hAnsi="Times New Roman"/>
          <w:b/>
          <w:bCs/>
          <w:sz w:val="24"/>
        </w:rPr>
        <w:t>7</w:t>
      </w:r>
      <w:r w:rsidRPr="00416006">
        <w:rPr>
          <w:rFonts w:ascii="Times New Roman" w:hAnsi="Times New Roman"/>
          <w:b/>
          <w:bCs/>
          <w:sz w:val="24"/>
        </w:rPr>
        <w:t>:</w:t>
      </w:r>
      <w:r w:rsidRPr="00416006">
        <w:rPr>
          <w:rFonts w:ascii="Times New Roman" w:hAnsi="Times New Roman"/>
          <w:sz w:val="24"/>
        </w:rPr>
        <w:t xml:space="preserve"> One commenter asserted that EPA never explained how it determined that 392 entities will need to implement backup power using a small generator (0239).</w:t>
      </w:r>
    </w:p>
    <w:p w:rsidR="00A8349D" w:rsidRPr="00416006" w:rsidP="00A8349D" w14:paraId="44D484FA" w14:textId="5E7F3BE4">
      <w:pPr>
        <w:ind w:left="720"/>
        <w:rPr>
          <w:rFonts w:ascii="Times New Roman" w:eastAsia="Times New Roman" w:hAnsi="Times New Roman"/>
          <w:sz w:val="24"/>
        </w:rPr>
      </w:pPr>
      <w:r w:rsidRPr="00416006">
        <w:rPr>
          <w:rFonts w:ascii="Times New Roman" w:hAnsi="Times New Roman"/>
          <w:b/>
          <w:bCs/>
          <w:sz w:val="24"/>
        </w:rPr>
        <w:t xml:space="preserve">EPA Response: </w:t>
      </w:r>
      <w:r w:rsidRPr="00416006">
        <w:rPr>
          <w:rFonts w:ascii="Times New Roman" w:eastAsia="Times New Roman" w:hAnsi="Times New Roman"/>
          <w:sz w:val="24"/>
        </w:rPr>
        <w:t xml:space="preserve">For the SCCAP final rule RIA, EPA calculated from the RMP database the number of active facilities as of December 31, </w:t>
      </w:r>
      <w:r w:rsidRPr="00416006" w:rsidR="00AC1086">
        <w:rPr>
          <w:rFonts w:ascii="Times New Roman" w:eastAsia="Times New Roman" w:hAnsi="Times New Roman"/>
          <w:sz w:val="24"/>
        </w:rPr>
        <w:t>2020,</w:t>
      </w:r>
      <w:r w:rsidRPr="00416006">
        <w:rPr>
          <w:rFonts w:ascii="Times New Roman" w:eastAsia="Times New Roman" w:hAnsi="Times New Roman"/>
          <w:sz w:val="24"/>
        </w:rPr>
        <w:t xml:space="preserve"> that have program level 2 or 3 processes and report having perimeter monitors, cooling loss as a hazard, and not having backup power. EPA calculated 18 program level 2 facilities and 374 program level 3 facilities (summing to 392 program 2 and 3 facilities) report having perimeter monitors, no backup power, and cooling loss as a hazard. This is EPA’s best estimate of the number of facilities required to newly implement backup power under this provision.</w:t>
      </w:r>
    </w:p>
    <w:p w:rsidR="00A8349D" w:rsidRPr="00416006" w:rsidP="00A8349D" w14:paraId="27FE4F4D" w14:textId="45FEE411">
      <w:pPr>
        <w:rPr>
          <w:rFonts w:ascii="Times New Roman" w:hAnsi="Times New Roman"/>
          <w:sz w:val="24"/>
        </w:rPr>
      </w:pPr>
      <w:r w:rsidRPr="00416006">
        <w:rPr>
          <w:rFonts w:ascii="Times New Roman" w:hAnsi="Times New Roman"/>
          <w:b/>
          <w:bCs/>
          <w:sz w:val="24"/>
        </w:rPr>
        <w:t>Comment 1</w:t>
      </w:r>
      <w:r w:rsidR="001D4528">
        <w:rPr>
          <w:rFonts w:ascii="Times New Roman" w:hAnsi="Times New Roman"/>
          <w:b/>
          <w:bCs/>
          <w:sz w:val="24"/>
        </w:rPr>
        <w:t>6</w:t>
      </w:r>
      <w:r w:rsidRPr="00416006">
        <w:rPr>
          <w:rFonts w:ascii="Times New Roman" w:hAnsi="Times New Roman"/>
          <w:b/>
          <w:bCs/>
          <w:sz w:val="24"/>
        </w:rPr>
        <w:t>.3-</w:t>
      </w:r>
      <w:r w:rsidR="00F02796">
        <w:rPr>
          <w:rFonts w:ascii="Times New Roman" w:hAnsi="Times New Roman"/>
          <w:b/>
          <w:bCs/>
          <w:sz w:val="24"/>
        </w:rPr>
        <w:t>4</w:t>
      </w:r>
      <w:r w:rsidR="001E2A9A">
        <w:rPr>
          <w:rFonts w:ascii="Times New Roman" w:hAnsi="Times New Roman"/>
          <w:b/>
          <w:bCs/>
          <w:sz w:val="24"/>
        </w:rPr>
        <w:t>8</w:t>
      </w:r>
      <w:r w:rsidRPr="00416006">
        <w:rPr>
          <w:rFonts w:ascii="Times New Roman" w:hAnsi="Times New Roman"/>
          <w:b/>
          <w:bCs/>
          <w:sz w:val="24"/>
        </w:rPr>
        <w:t>:</w:t>
      </w:r>
      <w:r w:rsidRPr="00416006">
        <w:rPr>
          <w:rFonts w:ascii="Times New Roman" w:hAnsi="Times New Roman"/>
          <w:sz w:val="24"/>
        </w:rPr>
        <w:t xml:space="preserve"> One commenter asserted that EPA assumed local responding authorities will notify the community as authorized through IPAWS, and that all RMP facilities have access to and are covered by IPAWS. This commenter asserted that EPA did not appear to have made any effort to verify this assumption with data and information available from FEMA (0239).</w:t>
      </w:r>
    </w:p>
    <w:p w:rsidR="00A8349D" w:rsidRPr="006F68E9" w:rsidP="000F0F34" w14:paraId="623506B3" w14:textId="77777777">
      <w:pPr>
        <w:ind w:left="720"/>
        <w:rPr>
          <w:rFonts w:ascii="Times New Roman" w:hAnsi="Times New Roman"/>
          <w:sz w:val="24"/>
        </w:rPr>
      </w:pPr>
      <w:r w:rsidRPr="00416006">
        <w:rPr>
          <w:rFonts w:ascii="Times New Roman" w:hAnsi="Times New Roman"/>
          <w:b/>
          <w:sz w:val="24"/>
        </w:rPr>
        <w:t xml:space="preserve">EPA Response: </w:t>
      </w:r>
      <w:r w:rsidRPr="00416006">
        <w:rPr>
          <w:rFonts w:ascii="Times New Roman" w:hAnsi="Times New Roman"/>
          <w:sz w:val="24"/>
        </w:rPr>
        <w:t>EPA acknowledges that while IPAWS is not currently operational in all communities, it could be. IPAWS is available in all States statewide, and, if not currently available in certain local communities, it can be made available if the local designated government authorities apply to be an Alerting Authority.</w:t>
      </w:r>
      <w:r>
        <w:rPr>
          <w:rStyle w:val="FootnoteReference"/>
          <w:rFonts w:ascii="Times New Roman" w:hAnsi="Times New Roman"/>
          <w:sz w:val="24"/>
        </w:rPr>
        <w:footnoteReference w:id="211"/>
      </w:r>
      <w:r w:rsidRPr="00416006">
        <w:rPr>
          <w:rFonts w:ascii="Times New Roman" w:hAnsi="Times New Roman"/>
          <w:sz w:val="24"/>
        </w:rPr>
        <w:t xml:space="preserve"> While IPAWS is a well-known option as a notification system compliant with this provision, EPA is not requiring the use of this specific system to be the one solely used to notify the public. EPA encourages facility owners and operators to work with response agencies to determine how best to alert a potentially affected community about impending chemical releases</w:t>
      </w:r>
      <w:r w:rsidRPr="00977722">
        <w:rPr>
          <w:rFonts w:ascii="Times New Roman" w:hAnsi="Times New Roman"/>
          <w:sz w:val="24"/>
        </w:rPr>
        <w:t>.</w:t>
      </w:r>
    </w:p>
    <w:p w:rsidR="00431456" w:rsidP="00431456" w14:paraId="3D936921" w14:textId="77777777">
      <w:pPr>
        <w:rPr>
          <w:rFonts w:ascii="Times New Roman" w:hAnsi="Times New Roman"/>
          <w:sz w:val="24"/>
        </w:rPr>
      </w:pPr>
    </w:p>
    <w:p w:rsidR="00F02280" w:rsidRPr="00411437" w:rsidP="006954BF" w14:paraId="07133ECC" w14:textId="529D6B36">
      <w:pPr>
        <w:pStyle w:val="Heading1"/>
        <w:spacing w:before="120"/>
      </w:pPr>
      <w:bookmarkStart w:id="191" w:name="_Toc146880056"/>
      <w:bookmarkStart w:id="192" w:name="_Toc153373842"/>
      <w:r w:rsidRPr="00411437">
        <w:t xml:space="preserve">Environmental </w:t>
      </w:r>
      <w:bookmarkEnd w:id="191"/>
      <w:r>
        <w:t>Justice</w:t>
      </w:r>
      <w:bookmarkEnd w:id="192"/>
    </w:p>
    <w:p w:rsidR="00F02280" w:rsidP="00F02280" w14:paraId="762ADDE9" w14:textId="0A1C4A18">
      <w:pPr>
        <w:rPr>
          <w:rFonts w:ascii="Times New Roman" w:hAnsi="Times New Roman"/>
          <w:i/>
          <w:iCs/>
          <w:sz w:val="24"/>
        </w:rPr>
      </w:pPr>
      <w:r w:rsidRPr="001E6E05">
        <w:rPr>
          <w:rFonts w:ascii="Times New Roman" w:hAnsi="Times New Roman"/>
          <w:i/>
          <w:iCs/>
          <w:sz w:val="24"/>
        </w:rPr>
        <w:t>Support for the proposal regard</w:t>
      </w:r>
      <w:r w:rsidR="00120658">
        <w:rPr>
          <w:rFonts w:ascii="Times New Roman" w:hAnsi="Times New Roman"/>
          <w:i/>
          <w:iCs/>
          <w:sz w:val="24"/>
        </w:rPr>
        <w:t>ing</w:t>
      </w:r>
      <w:r w:rsidRPr="001E6E05">
        <w:rPr>
          <w:rFonts w:ascii="Times New Roman" w:hAnsi="Times New Roman"/>
          <w:i/>
          <w:iCs/>
          <w:sz w:val="24"/>
        </w:rPr>
        <w:t xml:space="preserve"> environmental justice</w:t>
      </w:r>
    </w:p>
    <w:p w:rsidR="00F02280" w:rsidP="00F02280" w14:paraId="65901FC4" w14:textId="3690F16D">
      <w:pPr>
        <w:rPr>
          <w:rFonts w:ascii="Times New Roman" w:hAnsi="Times New Roman"/>
          <w:sz w:val="24"/>
        </w:rPr>
      </w:pPr>
      <w:r w:rsidRPr="005329DB">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-01</w:t>
      </w:r>
      <w:r w:rsidRPr="005329DB">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reducing these accidents will promote environmental justice across the US, as a 2004 study found that chemical facilities are more likely to be in counties with high African American populations (as compared to white populations) and in places with high levels of income disparity (0273).</w:t>
      </w:r>
      <w:r>
        <w:rPr>
          <w:rFonts w:ascii="Times New Roman" w:hAnsi="Times New Roman"/>
          <w:sz w:val="24"/>
        </w:rPr>
        <w:t xml:space="preserve"> </w:t>
      </w:r>
      <w:r w:rsidRPr="006F68E9">
        <w:rPr>
          <w:rFonts w:ascii="Times New Roman" w:hAnsi="Times New Roman"/>
          <w:sz w:val="24"/>
        </w:rPr>
        <w:t>One commenter stated that a strong RMP rule focused on enforceable prevention measures can deliver on recent Executive Orders (EO 14025 and EO 14008) and improve the lives of nearly half the U.S. population living within the disaster zone of a chemical facility (0250).</w:t>
      </w:r>
      <w:r>
        <w:rPr>
          <w:rFonts w:ascii="Times New Roman" w:hAnsi="Times New Roman"/>
          <w:sz w:val="24"/>
        </w:rPr>
        <w:t xml:space="preserve"> </w:t>
      </w:r>
    </w:p>
    <w:p w:rsidR="00F02280" w:rsidP="00F02280" w14:paraId="651F803C" w14:textId="77777777">
      <w:pPr>
        <w:rPr>
          <w:rFonts w:ascii="Times New Roman" w:hAnsi="Times New Roman"/>
          <w:sz w:val="24"/>
        </w:rPr>
      </w:pPr>
      <w:r w:rsidRPr="00616332">
        <w:rPr>
          <w:rFonts w:ascii="Times New Roman" w:hAnsi="Times New Roman"/>
          <w:sz w:val="24"/>
        </w:rPr>
        <w:t>One commenter said that persistent environmental justice disparities remain in communities around RMP water and wastewater plants in terms of housing value, household income, race and ethnicity, education levels, and poverty (0139).</w:t>
      </w:r>
      <w:r>
        <w:rPr>
          <w:rFonts w:ascii="Times New Roman" w:hAnsi="Times New Roman"/>
          <w:sz w:val="24"/>
        </w:rPr>
        <w:t xml:space="preserve"> </w:t>
      </w:r>
      <w:r w:rsidRPr="00616332">
        <w:rPr>
          <w:rFonts w:ascii="Times New Roman" w:hAnsi="Times New Roman"/>
          <w:sz w:val="24"/>
        </w:rPr>
        <w:t>Another commenter stated that fenceline communities face disproportionate impacts (0135).</w:t>
      </w:r>
      <w:r>
        <w:rPr>
          <w:rFonts w:ascii="Times New Roman" w:hAnsi="Times New Roman"/>
          <w:sz w:val="24"/>
        </w:rPr>
        <w:t xml:space="preserve"> </w:t>
      </w:r>
      <w:r w:rsidRPr="00616332">
        <w:rPr>
          <w:rFonts w:ascii="Times New Roman" w:hAnsi="Times New Roman"/>
          <w:sz w:val="24"/>
        </w:rPr>
        <w:t>A couple of commenters stated that the data shows that incidents are occurring disproportionally in specific environmental justice communities (0456, 0460).</w:t>
      </w:r>
    </w:p>
    <w:p w:rsidR="00F02280" w:rsidP="00F02280" w14:paraId="04877C6E" w14:textId="1EFE6A4E">
      <w:pPr>
        <w:rPr>
          <w:rFonts w:ascii="Times New Roman" w:hAnsi="Times New Roman"/>
          <w:sz w:val="24"/>
        </w:rPr>
      </w:pPr>
      <w:r>
        <w:rPr>
          <w:rFonts w:ascii="Times New Roman" w:hAnsi="Times New Roman"/>
          <w:sz w:val="24"/>
        </w:rPr>
        <w:t>One commenter</w:t>
      </w:r>
      <w:r w:rsidRPr="006F68E9">
        <w:rPr>
          <w:rFonts w:ascii="Times New Roman" w:hAnsi="Times New Roman"/>
          <w:sz w:val="24"/>
        </w:rPr>
        <w:t xml:space="preserve"> stated that the 2019 RMP rule rollback was deeply flawed</w:t>
      </w:r>
      <w:r w:rsidR="00436770">
        <w:rPr>
          <w:rFonts w:ascii="Times New Roman" w:hAnsi="Times New Roman"/>
          <w:sz w:val="24"/>
        </w:rPr>
        <w:t xml:space="preserve"> [by]</w:t>
      </w:r>
      <w:r w:rsidRPr="006F68E9">
        <w:rPr>
          <w:rFonts w:ascii="Times New Roman" w:hAnsi="Times New Roman"/>
          <w:sz w:val="24"/>
        </w:rPr>
        <w:t xml:space="preserve"> ignoring abundant evidence and was arbitrary and capricious. The commenter </w:t>
      </w:r>
      <w:r>
        <w:rPr>
          <w:rFonts w:ascii="Times New Roman" w:hAnsi="Times New Roman"/>
          <w:sz w:val="24"/>
        </w:rPr>
        <w:t>said</w:t>
      </w:r>
      <w:r w:rsidRPr="006F68E9">
        <w:rPr>
          <w:rFonts w:ascii="Times New Roman" w:hAnsi="Times New Roman"/>
          <w:sz w:val="24"/>
        </w:rPr>
        <w:t xml:space="preserve"> that a wide variety of evidence demonstrate</w:t>
      </w:r>
      <w:r>
        <w:rPr>
          <w:rFonts w:ascii="Times New Roman" w:hAnsi="Times New Roman"/>
          <w:sz w:val="24"/>
        </w:rPr>
        <w:t>s</w:t>
      </w:r>
      <w:r w:rsidRPr="006F68E9">
        <w:rPr>
          <w:rFonts w:ascii="Times New Roman" w:hAnsi="Times New Roman"/>
          <w:sz w:val="24"/>
        </w:rPr>
        <w:t xml:space="preserve"> the need for a stronger RMP. The commenter added RMP facilities put 39% of the U.S. population (124 million people) who live within three miles of these facilities at constant risk of chemical disaster. The commenter </w:t>
      </w:r>
      <w:r>
        <w:rPr>
          <w:rFonts w:ascii="Times New Roman" w:hAnsi="Times New Roman"/>
          <w:sz w:val="24"/>
        </w:rPr>
        <w:t>stated</w:t>
      </w:r>
      <w:r w:rsidRPr="006F68E9">
        <w:rPr>
          <w:rFonts w:ascii="Times New Roman" w:hAnsi="Times New Roman"/>
          <w:sz w:val="24"/>
        </w:rPr>
        <w:t xml:space="preserve"> that though much research has focused on those closest to the facilities, the full vulnerability zones can extend up to twenty-five miles in radius (0270).</w:t>
      </w:r>
      <w:r>
        <w:rPr>
          <w:rFonts w:ascii="Times New Roman" w:hAnsi="Times New Roman"/>
          <w:sz w:val="24"/>
        </w:rPr>
        <w:t xml:space="preserve"> </w:t>
      </w:r>
      <w:r w:rsidRPr="006F68E9">
        <w:rPr>
          <w:rFonts w:ascii="Times New Roman" w:hAnsi="Times New Roman"/>
          <w:sz w:val="24"/>
        </w:rPr>
        <w:t>Another commenter mentioned that the prior Administrations rollback of protection put frontline communities at risk (0453).</w:t>
      </w:r>
    </w:p>
    <w:p w:rsidR="00F02280" w:rsidP="00F02280" w14:paraId="5CBD3A63" w14:textId="77777777">
      <w:pPr>
        <w:rPr>
          <w:rFonts w:ascii="Times New Roman" w:hAnsi="Times New Roman"/>
          <w:sz w:val="24"/>
        </w:rPr>
      </w:pPr>
      <w:r>
        <w:rPr>
          <w:rFonts w:ascii="Times New Roman" w:hAnsi="Times New Roman"/>
          <w:sz w:val="24"/>
        </w:rPr>
        <w:t xml:space="preserve">Another </w:t>
      </w:r>
      <w:r w:rsidRPr="006F68E9">
        <w:rPr>
          <w:rFonts w:ascii="Times New Roman" w:hAnsi="Times New Roman"/>
          <w:sz w:val="24"/>
        </w:rPr>
        <w:t>commenter emphasized that EPA should recognize in the RIA that there is serious, disproportionate harm and risk under the existing RMP rules for “historically marginalized communities.” The commenter also recommended emphasizing the benefit of preventing harm from toxic exposure from chemical disasters by quantifying the ecological damages of historical incidents in the RMP database (0460).</w:t>
      </w:r>
      <w:r>
        <w:rPr>
          <w:rFonts w:ascii="Times New Roman" w:hAnsi="Times New Roman"/>
          <w:sz w:val="24"/>
        </w:rPr>
        <w:t xml:space="preserve"> </w:t>
      </w:r>
    </w:p>
    <w:p w:rsidR="00F02280" w:rsidP="00F02280" w14:paraId="6275CB2B" w14:textId="715CC383">
      <w:pPr>
        <w:ind w:left="720"/>
        <w:rPr>
          <w:rFonts w:ascii="Times New Roman" w:eastAsia="Times New Roman" w:hAnsi="Times New Roman"/>
          <w:b/>
          <w:bCs/>
          <w:color w:val="000000" w:themeColor="text1"/>
          <w:sz w:val="24"/>
        </w:rPr>
      </w:pPr>
      <w:r w:rsidRPr="00D55312">
        <w:rPr>
          <w:rFonts w:ascii="Times New Roman" w:eastAsia="Times New Roman" w:hAnsi="Times New Roman"/>
          <w:b/>
          <w:bCs/>
          <w:color w:val="000000" w:themeColor="text1"/>
          <w:sz w:val="24"/>
        </w:rPr>
        <w:t>EPA Response:</w:t>
      </w:r>
      <w:r>
        <w:rPr>
          <w:rFonts w:ascii="Times New Roman" w:eastAsia="Times New Roman" w:hAnsi="Times New Roman"/>
          <w:b/>
          <w:bCs/>
          <w:color w:val="000000" w:themeColor="text1"/>
          <w:sz w:val="24"/>
        </w:rPr>
        <w:t xml:space="preserve"> </w:t>
      </w:r>
      <w:r w:rsidRPr="000638AE">
        <w:rPr>
          <w:rFonts w:ascii="Times New Roman" w:eastAsia="Times New Roman" w:hAnsi="Times New Roman"/>
          <w:color w:val="000000" w:themeColor="text1"/>
          <w:sz w:val="24"/>
        </w:rPr>
        <w:t xml:space="preserve">EPA believes that the human health or environmental conditions that </w:t>
      </w:r>
      <w:r w:rsidR="009D5B54">
        <w:rPr>
          <w:rFonts w:ascii="Times New Roman" w:eastAsia="Times New Roman" w:hAnsi="Times New Roman"/>
          <w:color w:val="000000" w:themeColor="text1"/>
          <w:sz w:val="24"/>
        </w:rPr>
        <w:t xml:space="preserve">currently </w:t>
      </w:r>
      <w:r w:rsidRPr="000638AE">
        <w:rPr>
          <w:rFonts w:ascii="Times New Roman" w:eastAsia="Times New Roman" w:hAnsi="Times New Roman"/>
          <w:color w:val="000000" w:themeColor="text1"/>
          <w:sz w:val="24"/>
        </w:rPr>
        <w:t>exist</w:t>
      </w:r>
      <w:r w:rsidR="009D5B54">
        <w:rPr>
          <w:rFonts w:ascii="Times New Roman" w:eastAsia="Times New Roman" w:hAnsi="Times New Roman"/>
          <w:color w:val="000000" w:themeColor="text1"/>
          <w:sz w:val="24"/>
        </w:rPr>
        <w:t xml:space="preserve"> (e.g.,</w:t>
      </w:r>
      <w:r w:rsidRPr="000638AE">
        <w:rPr>
          <w:rFonts w:ascii="Times New Roman" w:eastAsia="Times New Roman" w:hAnsi="Times New Roman"/>
          <w:color w:val="000000" w:themeColor="text1"/>
          <w:sz w:val="24"/>
        </w:rPr>
        <w:t xml:space="preserve"> prior to this action</w:t>
      </w:r>
      <w:r w:rsidR="009D5B54">
        <w:rPr>
          <w:rFonts w:ascii="Times New Roman" w:eastAsia="Times New Roman" w:hAnsi="Times New Roman"/>
          <w:color w:val="000000" w:themeColor="text1"/>
          <w:sz w:val="24"/>
        </w:rPr>
        <w:t>)</w:t>
      </w:r>
      <w:r w:rsidRPr="000638AE">
        <w:rPr>
          <w:rFonts w:ascii="Times New Roman" w:eastAsia="Times New Roman" w:hAnsi="Times New Roman"/>
          <w:color w:val="000000" w:themeColor="text1"/>
          <w:sz w:val="24"/>
        </w:rPr>
        <w:t xml:space="preserve"> result in or have the potential to result in disproportionate and adverse human health or environmental effects on people of color, low-income populations and/or Indigenous peoples.</w:t>
      </w:r>
      <w:r>
        <w:rPr>
          <w:rFonts w:ascii="Times New Roman" w:eastAsia="Times New Roman" w:hAnsi="Times New Roman"/>
          <w:color w:val="000000" w:themeColor="text1"/>
          <w:sz w:val="24"/>
        </w:rPr>
        <w:t xml:space="preserve"> </w:t>
      </w:r>
      <w:r w:rsidRPr="000638AE">
        <w:rPr>
          <w:rFonts w:ascii="Times New Roman" w:eastAsia="Times New Roman" w:hAnsi="Times New Roman"/>
          <w:color w:val="000000" w:themeColor="text1"/>
          <w:sz w:val="24"/>
        </w:rPr>
        <w:t xml:space="preserve">EPA conducted an EJ analysis using the Agency’s EJ screening tool, EJSCREEN and the U.S. Census Bureau’s American Community Survey (ACS). The EJ analysis shows that historically underserved and overburdened populations live within proximity to RMP-regulated facilities </w:t>
      </w:r>
      <w:r w:rsidRPr="7C136E63" w:rsidR="53B7689A">
        <w:rPr>
          <w:rFonts w:ascii="Times New Roman" w:eastAsia="Times New Roman" w:hAnsi="Times New Roman"/>
          <w:color w:val="000000" w:themeColor="text1"/>
          <w:sz w:val="24"/>
        </w:rPr>
        <w:t xml:space="preserve">in greater percentages than </w:t>
      </w:r>
      <w:r w:rsidRPr="7AE1D7BE" w:rsidR="53B7689A">
        <w:rPr>
          <w:rFonts w:ascii="Times New Roman" w:eastAsia="Times New Roman" w:hAnsi="Times New Roman"/>
          <w:color w:val="000000" w:themeColor="text1"/>
          <w:sz w:val="24"/>
        </w:rPr>
        <w:t xml:space="preserve">these groups are represented in the US population as a whole </w:t>
      </w:r>
      <w:r w:rsidRPr="000638AE">
        <w:rPr>
          <w:rFonts w:ascii="Times New Roman" w:eastAsia="Times New Roman" w:hAnsi="Times New Roman"/>
          <w:color w:val="000000" w:themeColor="text1"/>
          <w:sz w:val="24"/>
        </w:rPr>
        <w:t>and thus are at greater risk than other populations. The analysis also found evidence that regulated facilities are disproportionately located within historically underserved and overburdened communities. Thus, EPA recognizes that accidental releases of regulated chemicals from facilities regulated by this action will likely pose disproportionate risks to historically marginalized communities.</w:t>
      </w:r>
      <w:r w:rsidRPr="000638AE">
        <w:rPr>
          <w:rFonts w:ascii="Times New Roman" w:eastAsia="Times New Roman" w:hAnsi="Times New Roman"/>
          <w:b/>
          <w:bCs/>
          <w:color w:val="000000" w:themeColor="text1"/>
          <w:sz w:val="24"/>
        </w:rPr>
        <w:t xml:space="preserve"> </w:t>
      </w:r>
    </w:p>
    <w:p w:rsidR="00F02280" w:rsidRPr="00BA39E5" w:rsidP="00F02280" w14:paraId="5C001D57" w14:textId="579098F7">
      <w:pPr>
        <w:ind w:left="720"/>
        <w:rPr>
          <w:rFonts w:ascii="Times New Roman" w:eastAsia="Times New Roman" w:hAnsi="Times New Roman"/>
          <w:color w:val="000000" w:themeColor="text1"/>
          <w:sz w:val="24"/>
        </w:rPr>
      </w:pPr>
      <w:r w:rsidRPr="00BA39E5">
        <w:rPr>
          <w:rFonts w:ascii="Times New Roman" w:eastAsia="Times New Roman" w:hAnsi="Times New Roman"/>
          <w:color w:val="000000" w:themeColor="text1"/>
          <w:sz w:val="24"/>
        </w:rPr>
        <w:t xml:space="preserve">EPA believes that </w:t>
      </w:r>
      <w:r>
        <w:rPr>
          <w:rFonts w:ascii="Times New Roman" w:eastAsia="Times New Roman" w:hAnsi="Times New Roman"/>
          <w:color w:val="000000" w:themeColor="text1"/>
          <w:sz w:val="24"/>
        </w:rPr>
        <w:t xml:space="preserve">the final rule </w:t>
      </w:r>
      <w:r w:rsidRPr="00BA39E5">
        <w:rPr>
          <w:rFonts w:ascii="Times New Roman" w:eastAsia="Times New Roman" w:hAnsi="Times New Roman"/>
          <w:color w:val="000000" w:themeColor="text1"/>
          <w:sz w:val="24"/>
        </w:rPr>
        <w:t>is likely to reduce existing disproportionate and adverse effects on people of color, low-income populations and/or Indigenous peoples.</w:t>
      </w:r>
      <w:r w:rsidRPr="00BA39E5">
        <w:rPr>
          <w:rFonts w:ascii="Times New Roman" w:eastAsia="Times New Roman" w:hAnsi="Times New Roman"/>
          <w:color w:val="000000" w:themeColor="text1"/>
          <w:sz w:val="24"/>
        </w:rPr>
        <w:t xml:space="preserve"> </w:t>
      </w:r>
      <w:r w:rsidR="004A03A6">
        <w:rPr>
          <w:rFonts w:ascii="Times New Roman" w:eastAsia="Times New Roman" w:hAnsi="Times New Roman"/>
          <w:color w:val="000000" w:themeColor="text1"/>
          <w:sz w:val="24"/>
        </w:rPr>
        <w:t>Because</w:t>
      </w:r>
      <w:r w:rsidRPr="00BA39E5">
        <w:rPr>
          <w:rFonts w:ascii="Times New Roman" w:eastAsia="Times New Roman" w:hAnsi="Times New Roman"/>
          <w:color w:val="000000" w:themeColor="text1"/>
          <w:sz w:val="24"/>
        </w:rPr>
        <w:t xml:space="preserve"> populations living closer to facilities are more likely to be exposed if an accidental release at an RMP facility occurs, these releases pose a greater risk to </w:t>
      </w:r>
      <w:r w:rsidR="004A03A6">
        <w:rPr>
          <w:rFonts w:ascii="Times New Roman" w:eastAsia="Times New Roman" w:hAnsi="Times New Roman"/>
          <w:color w:val="000000" w:themeColor="text1"/>
          <w:sz w:val="24"/>
        </w:rPr>
        <w:t>communities</w:t>
      </w:r>
      <w:r w:rsidRPr="00BA39E5">
        <w:rPr>
          <w:rFonts w:ascii="Times New Roman" w:eastAsia="Times New Roman" w:hAnsi="Times New Roman"/>
          <w:color w:val="000000" w:themeColor="text1"/>
          <w:sz w:val="24"/>
        </w:rPr>
        <w:t xml:space="preserve">. Therefore, the benefits of this regulation will </w:t>
      </w:r>
      <w:r w:rsidR="00DA78F1">
        <w:rPr>
          <w:rFonts w:ascii="Times New Roman" w:eastAsia="Times New Roman" w:hAnsi="Times New Roman"/>
          <w:color w:val="000000" w:themeColor="text1"/>
          <w:sz w:val="24"/>
        </w:rPr>
        <w:t xml:space="preserve">include </w:t>
      </w:r>
      <w:r w:rsidRPr="00BA39E5">
        <w:rPr>
          <w:rFonts w:ascii="Times New Roman" w:eastAsia="Times New Roman" w:hAnsi="Times New Roman"/>
          <w:color w:val="000000" w:themeColor="text1"/>
          <w:sz w:val="24"/>
        </w:rPr>
        <w:t>reduce</w:t>
      </w:r>
      <w:r w:rsidR="00DA78F1">
        <w:rPr>
          <w:rFonts w:ascii="Times New Roman" w:eastAsia="Times New Roman" w:hAnsi="Times New Roman"/>
          <w:color w:val="000000" w:themeColor="text1"/>
          <w:sz w:val="24"/>
        </w:rPr>
        <w:t>d</w:t>
      </w:r>
      <w:r w:rsidRPr="00BA39E5">
        <w:rPr>
          <w:rFonts w:ascii="Times New Roman" w:eastAsia="Times New Roman" w:hAnsi="Times New Roman"/>
          <w:color w:val="000000" w:themeColor="text1"/>
          <w:sz w:val="24"/>
        </w:rPr>
        <w:t xml:space="preserve"> risk </w:t>
      </w:r>
      <w:r w:rsidRPr="00BA39E5">
        <w:rPr>
          <w:rFonts w:ascii="Times New Roman" w:eastAsia="Times New Roman" w:hAnsi="Times New Roman"/>
          <w:color w:val="000000" w:themeColor="text1"/>
          <w:sz w:val="24"/>
        </w:rPr>
        <w:t>for historically underserved and overburdened populations.</w:t>
      </w:r>
    </w:p>
    <w:p w:rsidR="00F02280" w:rsidP="00F02280" w14:paraId="0B7281F4" w14:textId="4E584F74">
      <w:pPr>
        <w:ind w:left="720"/>
        <w:rPr>
          <w:rFonts w:ascii="Times New Roman" w:hAnsi="Times New Roman"/>
          <w:sz w:val="24"/>
        </w:rPr>
      </w:pPr>
      <w:r w:rsidRPr="00BA39E5">
        <w:rPr>
          <w:rFonts w:ascii="Times New Roman" w:hAnsi="Times New Roman"/>
          <w:sz w:val="24"/>
        </w:rPr>
        <w:t>EPA provided quantitative estimates wherever it could and discusses qualitatively the benefits</w:t>
      </w:r>
      <w:r w:rsidRPr="00510E07">
        <w:rPr>
          <w:rFonts w:ascii="Times New Roman" w:hAnsi="Times New Roman"/>
          <w:sz w:val="24"/>
        </w:rPr>
        <w:t xml:space="preserve"> it could not quantify.</w:t>
      </w:r>
      <w:r>
        <w:rPr>
          <w:rFonts w:ascii="Times New Roman" w:hAnsi="Times New Roman"/>
          <w:sz w:val="24"/>
        </w:rPr>
        <w:t xml:space="preserve"> In the final rule RIA, EPA discusses qualitative benefits in RIA Chapter 6, including </w:t>
      </w:r>
      <w:r w:rsidRPr="00E55E9D">
        <w:rPr>
          <w:rFonts w:ascii="Times New Roman" w:hAnsi="Times New Roman"/>
          <w:sz w:val="24"/>
        </w:rPr>
        <w:t xml:space="preserve">avoided major catastrophes, </w:t>
      </w:r>
      <w:r w:rsidRPr="00E55E9D">
        <w:rPr>
          <w:rFonts w:ascii="Times New Roman" w:hAnsi="Times New Roman"/>
          <w:sz w:val="24"/>
        </w:rPr>
        <w:t>avoided health risks from toxic chemical</w:t>
      </w:r>
      <w:r w:rsidR="00397132">
        <w:rPr>
          <w:rFonts w:ascii="Times New Roman" w:hAnsi="Times New Roman"/>
          <w:sz w:val="24"/>
        </w:rPr>
        <w:t xml:space="preserve"> exposure</w:t>
      </w:r>
      <w:r w:rsidRPr="00E55E9D">
        <w:rPr>
          <w:rFonts w:ascii="Times New Roman" w:hAnsi="Times New Roman"/>
          <w:sz w:val="24"/>
        </w:rPr>
        <w:t xml:space="preserve">, </w:t>
      </w:r>
      <w:r w:rsidRPr="00E55E9D">
        <w:rPr>
          <w:rFonts w:ascii="Times New Roman" w:hAnsi="Times New Roman"/>
          <w:sz w:val="24"/>
        </w:rPr>
        <w:t>avoided lost productivity, avoided responder costs, avoided transaction costs, protected property values, avoided environmental impacts, avoided unquantified evacuation and shelter-in-place costs, and potential benefits to communities with en</w:t>
      </w:r>
      <w:r w:rsidRPr="00F75BC3">
        <w:rPr>
          <w:rFonts w:ascii="Times New Roman" w:hAnsi="Times New Roman"/>
          <w:sz w:val="24"/>
        </w:rPr>
        <w:t xml:space="preserve">vironmental justice concerns. EPA expects that the final rule will reduce the frequency and severity of </w:t>
      </w:r>
      <w:r w:rsidR="0026775D">
        <w:rPr>
          <w:rFonts w:ascii="Times New Roman" w:hAnsi="Times New Roman"/>
          <w:sz w:val="24"/>
        </w:rPr>
        <w:t>environmentally</w:t>
      </w:r>
      <w:r w:rsidRPr="00F75BC3" w:rsidR="0026775D">
        <w:rPr>
          <w:rFonts w:ascii="Times New Roman" w:hAnsi="Times New Roman"/>
          <w:sz w:val="24"/>
        </w:rPr>
        <w:t xml:space="preserve"> </w:t>
      </w:r>
      <w:r w:rsidRPr="00F75BC3">
        <w:rPr>
          <w:rFonts w:ascii="Times New Roman" w:hAnsi="Times New Roman"/>
          <w:sz w:val="24"/>
        </w:rPr>
        <w:t>harmful incidents as well as incidents with direct human impacts or property damage. While both ecological harm, direct human impacts, and property damage are all important concerns, more data is available to monetize direct human impacts and property damage. RMP accident history reports indicate only general categories of environmental damage without specific information to quantify the magnitude of these damages. However, some</w:t>
      </w:r>
      <w:r w:rsidRPr="00F75BC3">
        <w:rPr>
          <w:rFonts w:ascii="Times New Roman" w:hAnsi="Times New Roman"/>
          <w:sz w:val="24"/>
        </w:rPr>
        <w:t xml:space="preserve"> </w:t>
      </w:r>
      <w:r w:rsidR="0026775D">
        <w:rPr>
          <w:rFonts w:ascii="Times New Roman" w:hAnsi="Times New Roman"/>
          <w:sz w:val="24"/>
        </w:rPr>
        <w:t>environmental</w:t>
      </w:r>
      <w:r w:rsidRPr="00F75BC3">
        <w:rPr>
          <w:rFonts w:ascii="Times New Roman" w:hAnsi="Times New Roman"/>
          <w:sz w:val="24"/>
        </w:rPr>
        <w:t xml:space="preserve"> harm from an incident may be reflected in property damage estimates.</w:t>
      </w:r>
    </w:p>
    <w:p w:rsidR="00F02280" w:rsidRPr="00485895" w:rsidP="00F02280" w14:paraId="42F01DF8" w14:textId="77777777">
      <w:pPr>
        <w:rPr>
          <w:rFonts w:ascii="Times New Roman" w:hAnsi="Times New Roman"/>
          <w:i/>
          <w:iCs/>
          <w:sz w:val="24"/>
        </w:rPr>
      </w:pPr>
      <w:r w:rsidRPr="00485895">
        <w:rPr>
          <w:rFonts w:ascii="Times New Roman" w:hAnsi="Times New Roman"/>
          <w:i/>
          <w:iCs/>
          <w:sz w:val="24"/>
        </w:rPr>
        <w:t xml:space="preserve">Recommendations to strengthen the </w:t>
      </w:r>
      <w:r>
        <w:rPr>
          <w:rFonts w:ascii="Times New Roman" w:hAnsi="Times New Roman"/>
          <w:i/>
          <w:iCs/>
          <w:sz w:val="24"/>
        </w:rPr>
        <w:t>proposal</w:t>
      </w:r>
      <w:r w:rsidRPr="00485895">
        <w:rPr>
          <w:rFonts w:ascii="Times New Roman" w:hAnsi="Times New Roman"/>
          <w:i/>
          <w:iCs/>
          <w:sz w:val="24"/>
        </w:rPr>
        <w:t xml:space="preserve"> with regards to environmental justice</w:t>
      </w:r>
    </w:p>
    <w:p w:rsidR="00F02280" w:rsidRPr="006F68E9" w:rsidP="00F02280" w14:paraId="10BA9301" w14:textId="044C95B7">
      <w:pPr>
        <w:rPr>
          <w:rFonts w:ascii="Times New Roman" w:hAnsi="Times New Roman"/>
          <w:sz w:val="24"/>
        </w:rPr>
      </w:pPr>
      <w:r w:rsidRPr="00B74879">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-02</w:t>
      </w:r>
      <w:r w:rsidRPr="00B74879">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 number of commenters urged EPA to strengthen the proposal to fully satisfy the law and the Agency’s core commitments on environmental justice and worker safety and deliver basic common-sense protections for fenceline communities whose safety must be the top priority (0136, 0143, 0156, 0157, 0158, 0160, 0164, 0179, 0183, 0203, 0208, 0219, 0221, 0240, 0249, 0250, 0251, 0254, 0255, 0258, 0266, 0269, 0270, 0273, 0331, 0409, 0444, 0447, 0449, 0450, 0451, 0452, 0453, 0456, 0460). Some of the commenters added that EPA is required to do this under various Executive Orders (0183, 0250, 0270, 0444). </w:t>
      </w:r>
    </w:p>
    <w:p w:rsidR="00F02280" w:rsidP="00F02280" w14:paraId="60A65405" w14:textId="77777777">
      <w:pPr>
        <w:rPr>
          <w:rFonts w:ascii="Times New Roman" w:hAnsi="Times New Roman"/>
          <w:sz w:val="24"/>
        </w:rPr>
      </w:pPr>
      <w:r w:rsidRPr="006F68E9">
        <w:rPr>
          <w:rFonts w:ascii="Times New Roman" w:hAnsi="Times New Roman"/>
          <w:sz w:val="24"/>
        </w:rPr>
        <w:t xml:space="preserve">One commenter provided EPA with a set of media and opinion articles from June 2021 through October 2022 to demonstrate the extensive public and expert support for a stronger </w:t>
      </w:r>
      <w:r>
        <w:rPr>
          <w:rFonts w:ascii="Times New Roman" w:hAnsi="Times New Roman"/>
          <w:sz w:val="24"/>
        </w:rPr>
        <w:t xml:space="preserve">RMP </w:t>
      </w:r>
      <w:r w:rsidRPr="006F68E9">
        <w:rPr>
          <w:rFonts w:ascii="Times New Roman" w:hAnsi="Times New Roman"/>
          <w:sz w:val="24"/>
        </w:rPr>
        <w:t>rule, especially from the most affected communities and workers (0258).</w:t>
      </w:r>
    </w:p>
    <w:p w:rsidR="004F329A" w:rsidP="004F329A" w14:paraId="64570183" w14:textId="77777777">
      <w:pPr>
        <w:ind w:left="720"/>
        <w:rPr>
          <w:rFonts w:ascii="Times New Roman" w:eastAsia="Times New Roman" w:hAnsi="Times New Roman"/>
          <w:sz w:val="24"/>
        </w:rPr>
      </w:pPr>
      <w:r w:rsidRPr="003A2B20">
        <w:rPr>
          <w:rFonts w:ascii="Times New Roman" w:hAnsi="Times New Roman"/>
          <w:b/>
          <w:bCs/>
          <w:sz w:val="24"/>
        </w:rPr>
        <w:t>EPA Response</w:t>
      </w:r>
      <w:r>
        <w:rPr>
          <w:rFonts w:ascii="Times New Roman" w:hAnsi="Times New Roman"/>
          <w:sz w:val="24"/>
        </w:rPr>
        <w:t xml:space="preserve">: </w:t>
      </w:r>
      <w:r>
        <w:rPr>
          <w:rFonts w:ascii="Times New Roman" w:eastAsia="Times New Roman" w:hAnsi="Times New Roman"/>
          <w:color w:val="000000" w:themeColor="text1"/>
          <w:sz w:val="24"/>
        </w:rPr>
        <w:t xml:space="preserve">EPA performed an EJ analysis to address </w:t>
      </w:r>
      <w:r w:rsidRPr="00082FA0">
        <w:rPr>
          <w:rFonts w:ascii="Times New Roman" w:eastAsia="Times New Roman" w:hAnsi="Times New Roman"/>
          <w:color w:val="000000" w:themeColor="text1"/>
          <w:sz w:val="24"/>
        </w:rPr>
        <w:t xml:space="preserve">the following Executive Orders (EOs): Executive Order 12898: Federal Actions to Address Environmental Justice in Minority Populations and Low-Income Populations; Executive Order 14008: Tackling the </w:t>
      </w:r>
      <w:r w:rsidRPr="004039FE">
        <w:rPr>
          <w:rFonts w:ascii="Times New Roman" w:eastAsia="Times New Roman" w:hAnsi="Times New Roman"/>
          <w:sz w:val="24"/>
        </w:rPr>
        <w:t xml:space="preserve">Climate Crisis at Home and Abroad; and Executive Order 14096: Revitalizing Our Nation’s Commitment to Environmental Justice for All. </w:t>
      </w:r>
      <w:r w:rsidRPr="004039FE">
        <w:rPr>
          <w:rFonts w:ascii="Times New Roman" w:hAnsi="Times New Roman"/>
          <w:sz w:val="24"/>
        </w:rPr>
        <w:t>EPA’s full EJ analysis is documented in “Regulatory Impact Analysis: Safer Communities by Chemical Accident Prevention final rule,” which is available in the docket.</w:t>
      </w:r>
      <w:r w:rsidRPr="004039FE">
        <w:rPr>
          <w:rFonts w:ascii="Times New Roman" w:eastAsia="Times New Roman" w:hAnsi="Times New Roman"/>
          <w:sz w:val="24"/>
        </w:rPr>
        <w:t xml:space="preserve"> </w:t>
      </w:r>
    </w:p>
    <w:p w:rsidR="004F329A" w:rsidRPr="00FF71DF" w:rsidP="004F329A" w14:paraId="78E1DD99" w14:textId="3CDD2328">
      <w:pPr>
        <w:ind w:left="720"/>
        <w:rPr>
          <w:rFonts w:ascii="Times New Roman" w:eastAsia="Times New Roman" w:hAnsi="Times New Roman"/>
          <w:b/>
          <w:bCs/>
          <w:color w:val="000000" w:themeColor="text1"/>
          <w:sz w:val="24"/>
        </w:rPr>
      </w:pPr>
      <w:r w:rsidRPr="004039FE">
        <w:rPr>
          <w:rFonts w:ascii="Times New Roman" w:eastAsia="Times New Roman" w:hAnsi="Times New Roman"/>
          <w:sz w:val="24"/>
        </w:rPr>
        <w:t>EPA believes that the human health or environmental conditions that exist</w:t>
      </w:r>
      <w:r w:rsidR="009D5B54">
        <w:rPr>
          <w:rFonts w:ascii="Times New Roman" w:eastAsia="Times New Roman" w:hAnsi="Times New Roman"/>
          <w:sz w:val="24"/>
        </w:rPr>
        <w:t xml:space="preserve"> currently (e.g.</w:t>
      </w:r>
      <w:r w:rsidR="006B74B4">
        <w:rPr>
          <w:rFonts w:ascii="Times New Roman" w:eastAsia="Times New Roman" w:hAnsi="Times New Roman"/>
          <w:sz w:val="24"/>
        </w:rPr>
        <w:t xml:space="preserve">, </w:t>
      </w:r>
      <w:r w:rsidRPr="004039FE" w:rsidR="006B74B4">
        <w:rPr>
          <w:rFonts w:ascii="Times New Roman" w:eastAsia="Times New Roman" w:hAnsi="Times New Roman"/>
          <w:sz w:val="24"/>
        </w:rPr>
        <w:t>prior</w:t>
      </w:r>
      <w:r w:rsidRPr="004039FE">
        <w:rPr>
          <w:rFonts w:ascii="Times New Roman" w:eastAsia="Times New Roman" w:hAnsi="Times New Roman"/>
          <w:sz w:val="24"/>
        </w:rPr>
        <w:t xml:space="preserve"> to this action</w:t>
      </w:r>
      <w:r w:rsidR="009D5B54">
        <w:rPr>
          <w:rFonts w:ascii="Times New Roman" w:eastAsia="Times New Roman" w:hAnsi="Times New Roman"/>
          <w:sz w:val="24"/>
        </w:rPr>
        <w:t>)</w:t>
      </w:r>
      <w:r w:rsidRPr="004039FE">
        <w:rPr>
          <w:rFonts w:ascii="Times New Roman" w:eastAsia="Times New Roman" w:hAnsi="Times New Roman"/>
          <w:sz w:val="24"/>
        </w:rPr>
        <w:t xml:space="preserve"> result in or have the potential to result in disproportionate and adverse human health or environmental effects on people of color, low-</w:t>
      </w:r>
      <w:r w:rsidRPr="004039FE">
        <w:rPr>
          <w:rFonts w:ascii="Times New Roman" w:eastAsia="Times New Roman" w:hAnsi="Times New Roman"/>
          <w:color w:val="000000" w:themeColor="text1"/>
          <w:sz w:val="24"/>
        </w:rPr>
        <w:t>income</w:t>
      </w:r>
      <w:r w:rsidRPr="00FF71DF">
        <w:rPr>
          <w:rFonts w:ascii="Times New Roman" w:eastAsia="Times New Roman" w:hAnsi="Times New Roman"/>
          <w:color w:val="000000" w:themeColor="text1"/>
          <w:sz w:val="24"/>
        </w:rPr>
        <w:t xml:space="preserve"> populations and/or Indigenous peoples. The EJ analysis shows that historically underserved and overburdened populations live within proximity to RMP-regulated facilities </w:t>
      </w:r>
      <w:r w:rsidRPr="004A1291" w:rsidR="004A1291">
        <w:t xml:space="preserve"> </w:t>
      </w:r>
      <w:r w:rsidRPr="004A1291" w:rsidR="004A1291">
        <w:rPr>
          <w:rFonts w:ascii="Times New Roman" w:eastAsia="Times New Roman" w:hAnsi="Times New Roman"/>
          <w:color w:val="000000" w:themeColor="text1"/>
          <w:sz w:val="24"/>
        </w:rPr>
        <w:t xml:space="preserve">in </w:t>
      </w:r>
      <w:r w:rsidRPr="004A1291" w:rsidR="00FA1953">
        <w:rPr>
          <w:rFonts w:ascii="Times New Roman" w:eastAsia="Times New Roman" w:hAnsi="Times New Roman"/>
          <w:color w:val="000000" w:themeColor="text1"/>
          <w:sz w:val="24"/>
        </w:rPr>
        <w:t>greater percentages</w:t>
      </w:r>
      <w:r w:rsidRPr="004A1291" w:rsidR="004A1291">
        <w:rPr>
          <w:rFonts w:ascii="Times New Roman" w:eastAsia="Times New Roman" w:hAnsi="Times New Roman"/>
          <w:color w:val="000000" w:themeColor="text1"/>
          <w:sz w:val="24"/>
        </w:rPr>
        <w:t xml:space="preserve"> than these groups are represented in the US population as a whole </w:t>
      </w:r>
      <w:r w:rsidRPr="00FF71DF">
        <w:rPr>
          <w:rFonts w:ascii="Times New Roman" w:eastAsia="Times New Roman" w:hAnsi="Times New Roman"/>
          <w:color w:val="000000" w:themeColor="text1"/>
          <w:sz w:val="24"/>
        </w:rPr>
        <w:t xml:space="preserve">and thus are at greater risk than other populations. The analysis also found evidence that regulated facilities are disproportionately located within historically underserved and overburdened </w:t>
      </w:r>
      <w:r w:rsidRPr="00FF71DF">
        <w:rPr>
          <w:rFonts w:ascii="Times New Roman" w:eastAsia="Times New Roman" w:hAnsi="Times New Roman"/>
          <w:color w:val="000000" w:themeColor="text1"/>
          <w:sz w:val="24"/>
        </w:rPr>
        <w:t>communities. Thus, EPA recognizes that accidental releases of regulated chemicals from facilities regulated by this action will likely pose disproportionate risks to historically marginalized communities.</w:t>
      </w:r>
      <w:r w:rsidRPr="00FF71DF">
        <w:rPr>
          <w:rFonts w:ascii="Times New Roman" w:eastAsia="Times New Roman" w:hAnsi="Times New Roman"/>
          <w:b/>
          <w:bCs/>
          <w:color w:val="000000" w:themeColor="text1"/>
          <w:sz w:val="24"/>
        </w:rPr>
        <w:t xml:space="preserve"> </w:t>
      </w:r>
    </w:p>
    <w:p w:rsidR="00F02280" w:rsidRPr="004F329A" w:rsidP="004F329A" w14:paraId="67F228AB" w14:textId="1881E5E5">
      <w:pPr>
        <w:ind w:left="720"/>
        <w:rPr>
          <w:rFonts w:ascii="Times New Roman" w:eastAsia="Times New Roman" w:hAnsi="Times New Roman"/>
          <w:color w:val="000000" w:themeColor="text1"/>
          <w:sz w:val="24"/>
        </w:rPr>
      </w:pPr>
      <w:r w:rsidRPr="00FF71DF">
        <w:rPr>
          <w:rFonts w:ascii="Times New Roman" w:eastAsia="Times New Roman" w:hAnsi="Times New Roman"/>
          <w:color w:val="000000" w:themeColor="text1"/>
          <w:sz w:val="24"/>
        </w:rPr>
        <w:t xml:space="preserve">EPA believes that the final rule is likely to reduce existing disproportionate and adverse effects on people of color, low-income populations and/or Indigenous peoples. </w:t>
      </w:r>
      <w:r w:rsidR="007A6AEF">
        <w:rPr>
          <w:rFonts w:ascii="Times New Roman" w:eastAsia="Times New Roman" w:hAnsi="Times New Roman"/>
          <w:color w:val="000000" w:themeColor="text1"/>
          <w:sz w:val="24"/>
        </w:rPr>
        <w:t>Because</w:t>
      </w:r>
      <w:r w:rsidRPr="00FF71DF">
        <w:rPr>
          <w:rFonts w:ascii="Times New Roman" w:eastAsia="Times New Roman" w:hAnsi="Times New Roman"/>
          <w:color w:val="000000" w:themeColor="text1"/>
          <w:sz w:val="24"/>
        </w:rPr>
        <w:t xml:space="preserve"> populations living closer to facilities are more likely to be exposed if an accidental release at an RMP facility occurs, these releases pose a greater risk to </w:t>
      </w:r>
      <w:r w:rsidR="007A6AEF">
        <w:rPr>
          <w:rFonts w:ascii="Times New Roman" w:eastAsia="Times New Roman" w:hAnsi="Times New Roman"/>
          <w:color w:val="000000" w:themeColor="text1"/>
          <w:sz w:val="24"/>
        </w:rPr>
        <w:t>communities</w:t>
      </w:r>
      <w:r w:rsidRPr="00FF71DF">
        <w:rPr>
          <w:rFonts w:ascii="Times New Roman" w:eastAsia="Times New Roman" w:hAnsi="Times New Roman"/>
          <w:color w:val="000000" w:themeColor="text1"/>
          <w:sz w:val="24"/>
        </w:rPr>
        <w:t xml:space="preserve">. Therefore, the benefits of this regulation will </w:t>
      </w:r>
      <w:r w:rsidR="007A6AEF">
        <w:rPr>
          <w:rFonts w:ascii="Times New Roman" w:eastAsia="Times New Roman" w:hAnsi="Times New Roman"/>
          <w:color w:val="000000" w:themeColor="text1"/>
          <w:sz w:val="24"/>
        </w:rPr>
        <w:t xml:space="preserve">include </w:t>
      </w:r>
      <w:r w:rsidRPr="00FF71DF">
        <w:rPr>
          <w:rFonts w:ascii="Times New Roman" w:eastAsia="Times New Roman" w:hAnsi="Times New Roman"/>
          <w:color w:val="000000" w:themeColor="text1"/>
          <w:sz w:val="24"/>
        </w:rPr>
        <w:t>reduce</w:t>
      </w:r>
      <w:r w:rsidR="007A6AEF">
        <w:rPr>
          <w:rFonts w:ascii="Times New Roman" w:eastAsia="Times New Roman" w:hAnsi="Times New Roman"/>
          <w:color w:val="000000" w:themeColor="text1"/>
          <w:sz w:val="24"/>
        </w:rPr>
        <w:t>d</w:t>
      </w:r>
      <w:r w:rsidRPr="00FF71DF">
        <w:rPr>
          <w:rFonts w:ascii="Times New Roman" w:eastAsia="Times New Roman" w:hAnsi="Times New Roman"/>
          <w:color w:val="000000" w:themeColor="text1"/>
          <w:sz w:val="24"/>
        </w:rPr>
        <w:t xml:space="preserve"> risk for historically underserved and overburdened populations.</w:t>
      </w:r>
    </w:p>
    <w:p w:rsidR="00F02280" w:rsidP="00F02280" w14:paraId="500F14B1" w14:textId="2168A6E8">
      <w:pPr>
        <w:rPr>
          <w:rFonts w:ascii="Times New Roman" w:hAnsi="Times New Roman"/>
          <w:sz w:val="24"/>
        </w:rPr>
      </w:pPr>
      <w:r w:rsidRPr="00BE2E87">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-03</w:t>
      </w:r>
      <w:r w:rsidRPr="00BE2E8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EPA must also account for the systemic policies, procedures, practices, and conditions limiting the impacted population’s access to safety, emergency planning, transparency, accountability, and other forms of environmental justice. The commenter stated that EPA does not, however, fully address the urgent needs of island and coastal frontline communities, including Puerto Rico and the U.S. Virgin Islands, in this rulemaking (0444).</w:t>
      </w:r>
    </w:p>
    <w:p w:rsidR="008956BC" w:rsidP="008956BC" w14:paraId="1EA775E3" w14:textId="10E3B887">
      <w:pPr>
        <w:ind w:left="720"/>
        <w:rPr>
          <w:rFonts w:ascii="Times New Roman" w:hAnsi="Times New Roman"/>
          <w:sz w:val="24"/>
        </w:rPr>
      </w:pPr>
      <w:r w:rsidRPr="00FA2F47">
        <w:rPr>
          <w:rFonts w:ascii="Times New Roman" w:hAnsi="Times New Roman"/>
          <w:b/>
          <w:bCs/>
          <w:sz w:val="24"/>
        </w:rPr>
        <w:t>EPA Response</w:t>
      </w:r>
      <w:r w:rsidRPr="00FA2F47">
        <w:rPr>
          <w:rFonts w:ascii="Times New Roman" w:hAnsi="Times New Roman"/>
          <w:sz w:val="24"/>
        </w:rPr>
        <w:t xml:space="preserve">: </w:t>
      </w:r>
      <w:r w:rsidRPr="00CE0FA9" w:rsidR="003110FD">
        <w:rPr>
          <w:rFonts w:ascii="Times New Roman" w:hAnsi="Times New Roman"/>
          <w:sz w:val="24"/>
        </w:rPr>
        <w:t>EPA believe</w:t>
      </w:r>
      <w:r w:rsidR="003110FD">
        <w:rPr>
          <w:rFonts w:ascii="Times New Roman" w:hAnsi="Times New Roman"/>
          <w:sz w:val="24"/>
        </w:rPr>
        <w:t>s</w:t>
      </w:r>
      <w:r w:rsidRPr="00CE0FA9" w:rsidR="003110FD">
        <w:rPr>
          <w:rFonts w:ascii="Times New Roman" w:hAnsi="Times New Roman"/>
          <w:sz w:val="24"/>
        </w:rPr>
        <w:t xml:space="preserve"> that </w:t>
      </w:r>
      <w:r w:rsidR="003110FD">
        <w:rPr>
          <w:rFonts w:ascii="Times New Roman" w:hAnsi="Times New Roman"/>
          <w:sz w:val="24"/>
        </w:rPr>
        <w:t xml:space="preserve">the new information availability provisions finalized by this rulemaking, </w:t>
      </w:r>
      <w:r w:rsidRPr="00CE0FA9" w:rsidR="003110FD">
        <w:rPr>
          <w:rFonts w:ascii="Times New Roman" w:hAnsi="Times New Roman"/>
          <w:sz w:val="24"/>
        </w:rPr>
        <w:t>providing chemical hazard information to the general public</w:t>
      </w:r>
      <w:r w:rsidR="00D37C1D">
        <w:rPr>
          <w:rFonts w:ascii="Times New Roman" w:hAnsi="Times New Roman"/>
          <w:sz w:val="24"/>
        </w:rPr>
        <w:t>,</w:t>
      </w:r>
      <w:r w:rsidRPr="00CE0FA9" w:rsidR="003110FD">
        <w:rPr>
          <w:rFonts w:ascii="Times New Roman" w:hAnsi="Times New Roman"/>
          <w:sz w:val="24"/>
        </w:rPr>
        <w:t xml:space="preserve"> will allow people that live or work near a regulated facility to improve their awareness of risks to the community and to be prepared to protect themselves in the event of an accidental release. The public’s ability to participate in emergency planning and readiness is enhanced by being better informed about accident history, types of chemicals present, and how to interact with the stationary source.</w:t>
      </w:r>
    </w:p>
    <w:p w:rsidR="008A78D0" w:rsidRPr="00517032" w:rsidP="008956BC" w14:paraId="7793388E" w14:textId="4A5D2FD3">
      <w:pPr>
        <w:ind w:left="720"/>
        <w:rPr>
          <w:rFonts w:ascii="Times New Roman" w:hAnsi="Times New Roman"/>
          <w:sz w:val="24"/>
        </w:rPr>
      </w:pPr>
      <w:r>
        <w:rPr>
          <w:rFonts w:ascii="Times New Roman" w:hAnsi="Times New Roman"/>
          <w:sz w:val="24"/>
        </w:rPr>
        <w:t xml:space="preserve">Further, </w:t>
      </w:r>
      <w:r w:rsidRPr="008A78D0">
        <w:rPr>
          <w:rFonts w:ascii="Times New Roman" w:hAnsi="Times New Roman"/>
          <w:sz w:val="24"/>
        </w:rPr>
        <w:t xml:space="preserve">EPA </w:t>
      </w:r>
      <w:r>
        <w:rPr>
          <w:rFonts w:ascii="Times New Roman" w:hAnsi="Times New Roman"/>
          <w:sz w:val="24"/>
        </w:rPr>
        <w:t>believes</w:t>
      </w:r>
      <w:r w:rsidRPr="008A78D0">
        <w:rPr>
          <w:rFonts w:ascii="Times New Roman" w:hAnsi="Times New Roman"/>
          <w:sz w:val="24"/>
        </w:rPr>
        <w:t xml:space="preserve"> that accidental releases of regulated chemicals from RMP-regulated facilities likely pose disproportionate risks to historically marginalized communities. EPA expects that the benefits of this clarified provision </w:t>
      </w:r>
      <w:r w:rsidR="00546F55">
        <w:rPr>
          <w:rFonts w:ascii="Times New Roman" w:hAnsi="Times New Roman"/>
          <w:sz w:val="24"/>
        </w:rPr>
        <w:t xml:space="preserve">that the hazard evaluation need to address </w:t>
      </w:r>
      <w:r w:rsidR="00546F55">
        <w:rPr>
          <w:rFonts w:ascii="Times New Roman" w:hAnsi="Times New Roman"/>
          <w:sz w:val="24"/>
        </w:rPr>
        <w:t xml:space="preserve">natural </w:t>
      </w:r>
      <w:r w:rsidR="00546F55">
        <w:rPr>
          <w:rFonts w:ascii="Times New Roman" w:hAnsi="Times New Roman"/>
          <w:sz w:val="24"/>
        </w:rPr>
        <w:t>hazards</w:t>
      </w:r>
      <w:r w:rsidR="00D37C1D">
        <w:rPr>
          <w:rFonts w:ascii="Times New Roman" w:hAnsi="Times New Roman"/>
          <w:sz w:val="24"/>
        </w:rPr>
        <w:t>, particularly those at coastal frontline communities,</w:t>
      </w:r>
      <w:r w:rsidR="00546F55">
        <w:rPr>
          <w:rFonts w:ascii="Times New Roman" w:hAnsi="Times New Roman"/>
          <w:sz w:val="24"/>
        </w:rPr>
        <w:t xml:space="preserve"> </w:t>
      </w:r>
      <w:r w:rsidRPr="008A78D0">
        <w:rPr>
          <w:rFonts w:ascii="Times New Roman" w:hAnsi="Times New Roman"/>
          <w:sz w:val="24"/>
        </w:rPr>
        <w:t xml:space="preserve">may lower potential exposure for </w:t>
      </w:r>
      <w:r w:rsidR="002C516C">
        <w:rPr>
          <w:rFonts w:ascii="Times New Roman" w:hAnsi="Times New Roman"/>
          <w:sz w:val="24"/>
        </w:rPr>
        <w:t xml:space="preserve">fenceline communities with </w:t>
      </w:r>
      <w:r w:rsidRPr="008A78D0">
        <w:rPr>
          <w:rFonts w:ascii="Times New Roman" w:hAnsi="Times New Roman"/>
          <w:sz w:val="24"/>
        </w:rPr>
        <w:t>historically underserved and overburdened populations by reducing disproportionate damages that RMP-reportable accidents might otherwise inflict on those populations.</w:t>
      </w:r>
    </w:p>
    <w:p w:rsidR="00F02280" w:rsidRPr="00957B89" w:rsidP="00F02280" w14:paraId="3B5D1DB0" w14:textId="28F43BE3">
      <w:pPr>
        <w:rPr>
          <w:rFonts w:ascii="Times New Roman" w:hAnsi="Times New Roman"/>
          <w:sz w:val="24"/>
        </w:rPr>
      </w:pPr>
      <w:r w:rsidRPr="00BE2E87">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-04</w:t>
      </w:r>
      <w:r w:rsidRPr="00DE2C7A">
        <w:rPr>
          <w:rFonts w:ascii="Times New Roman" w:hAnsi="Times New Roman"/>
          <w:sz w:val="24"/>
        </w:rPr>
        <w:t xml:space="preserve">:  </w:t>
      </w:r>
      <w:r w:rsidRPr="00FA78ED">
        <w:rPr>
          <w:rFonts w:ascii="Times New Roman" w:hAnsi="Times New Roman"/>
          <w:sz w:val="24"/>
        </w:rPr>
        <w:t xml:space="preserve">One commenter urged EPA to advance community knowledge and participation as part of the </w:t>
      </w:r>
      <w:r>
        <w:rPr>
          <w:rFonts w:ascii="Times New Roman" w:hAnsi="Times New Roman"/>
          <w:sz w:val="24"/>
        </w:rPr>
        <w:t>proposed rule</w:t>
      </w:r>
      <w:r w:rsidRPr="00FA78ED">
        <w:rPr>
          <w:rFonts w:ascii="Times New Roman" w:hAnsi="Times New Roman"/>
          <w:sz w:val="24"/>
        </w:rPr>
        <w:t xml:space="preserve"> consistent with the fundamental environmental justice principle of fair treatment. The commenter also asserted that EPA should make all discretionary decisions in favor of protecting defenseless fenceline communities that are in harm’s way, and to employ the precautionary principle with an adequate margin of safety to protect susceptible, vulnerable neighborhoods, families, and individuals (0179).</w:t>
      </w:r>
    </w:p>
    <w:p w:rsidR="00F0359F" w:rsidP="008956BC" w14:paraId="3DD6C97D" w14:textId="00658E36">
      <w:pPr>
        <w:ind w:left="720"/>
      </w:pPr>
      <w:r w:rsidRPr="00CE0FA9">
        <w:rPr>
          <w:rFonts w:ascii="Times New Roman" w:hAnsi="Times New Roman"/>
          <w:b/>
          <w:bCs/>
          <w:sz w:val="24"/>
        </w:rPr>
        <w:t>EPA Response</w:t>
      </w:r>
      <w:r w:rsidRPr="00CE0FA9">
        <w:rPr>
          <w:rFonts w:ascii="Times New Roman" w:hAnsi="Times New Roman"/>
          <w:sz w:val="24"/>
        </w:rPr>
        <w:t xml:space="preserve">: </w:t>
      </w:r>
      <w:r w:rsidRPr="00CE0FA9" w:rsidR="00C101A9">
        <w:rPr>
          <w:rFonts w:ascii="Times New Roman" w:hAnsi="Times New Roman"/>
          <w:sz w:val="24"/>
        </w:rPr>
        <w:t>EPA believe</w:t>
      </w:r>
      <w:r w:rsidR="009C5B2D">
        <w:rPr>
          <w:rFonts w:ascii="Times New Roman" w:hAnsi="Times New Roman"/>
          <w:sz w:val="24"/>
        </w:rPr>
        <w:t>s</w:t>
      </w:r>
      <w:r w:rsidRPr="00CE0FA9" w:rsidR="00C101A9">
        <w:rPr>
          <w:rFonts w:ascii="Times New Roman" w:hAnsi="Times New Roman"/>
          <w:sz w:val="24"/>
        </w:rPr>
        <w:t xml:space="preserve"> that </w:t>
      </w:r>
      <w:r w:rsidR="00E347A9">
        <w:rPr>
          <w:rFonts w:ascii="Times New Roman" w:hAnsi="Times New Roman"/>
          <w:sz w:val="24"/>
        </w:rPr>
        <w:t>the new information availability provisions</w:t>
      </w:r>
      <w:r w:rsidR="00F4271C">
        <w:rPr>
          <w:rFonts w:ascii="Times New Roman" w:hAnsi="Times New Roman"/>
          <w:sz w:val="24"/>
        </w:rPr>
        <w:t xml:space="preserve"> finalized by this rulemaking</w:t>
      </w:r>
      <w:r w:rsidR="00E347A9">
        <w:rPr>
          <w:rFonts w:ascii="Times New Roman" w:hAnsi="Times New Roman"/>
          <w:sz w:val="24"/>
        </w:rPr>
        <w:t xml:space="preserve">, </w:t>
      </w:r>
      <w:r w:rsidRPr="00CE0FA9" w:rsidR="00C101A9">
        <w:rPr>
          <w:rFonts w:ascii="Times New Roman" w:hAnsi="Times New Roman"/>
          <w:sz w:val="24"/>
        </w:rPr>
        <w:t>providing chemical hazard information to the general public</w:t>
      </w:r>
      <w:r w:rsidR="00A31B06">
        <w:rPr>
          <w:rFonts w:ascii="Times New Roman" w:hAnsi="Times New Roman"/>
          <w:sz w:val="24"/>
        </w:rPr>
        <w:t>,</w:t>
      </w:r>
      <w:r w:rsidRPr="00CE0FA9" w:rsidR="00C101A9">
        <w:rPr>
          <w:rFonts w:ascii="Times New Roman" w:hAnsi="Times New Roman"/>
          <w:sz w:val="24"/>
        </w:rPr>
        <w:t xml:space="preserve"> will allow people </w:t>
      </w:r>
      <w:r w:rsidR="00A31B06">
        <w:rPr>
          <w:rFonts w:ascii="Times New Roman" w:hAnsi="Times New Roman"/>
          <w:sz w:val="24"/>
        </w:rPr>
        <w:t>who</w:t>
      </w:r>
      <w:r w:rsidRPr="00CE0FA9" w:rsidR="00C101A9">
        <w:rPr>
          <w:rFonts w:ascii="Times New Roman" w:hAnsi="Times New Roman"/>
          <w:sz w:val="24"/>
        </w:rPr>
        <w:t xml:space="preserve"> live or work near a regulated facility to improve their awareness of risks to the community and to be prepared to protect themselves in the event of an accidental release. The public’s ability to participate in emergency planning and readiness is enhanced by being better informed about accident history, types of chemicals present, and how to interact with the stationary source.</w:t>
      </w:r>
    </w:p>
    <w:p w:rsidR="00F02280" w:rsidRPr="00A7388A" w:rsidP="00987058" w14:paraId="493414A7" w14:textId="77777777">
      <w:pPr>
        <w:rPr>
          <w:rFonts w:ascii="Times New Roman" w:hAnsi="Times New Roman"/>
          <w:i/>
          <w:sz w:val="24"/>
        </w:rPr>
      </w:pPr>
      <w:r w:rsidRPr="00A7388A">
        <w:rPr>
          <w:rFonts w:ascii="Times New Roman" w:hAnsi="Times New Roman"/>
          <w:i/>
          <w:sz w:val="24"/>
        </w:rPr>
        <w:t xml:space="preserve">Distribution of </w:t>
      </w:r>
      <w:r w:rsidRPr="00A7388A">
        <w:rPr>
          <w:rFonts w:ascii="Times New Roman" w:hAnsi="Times New Roman"/>
          <w:i/>
          <w:iCs/>
          <w:sz w:val="24"/>
        </w:rPr>
        <w:t>benefits</w:t>
      </w:r>
    </w:p>
    <w:p w:rsidR="00F02280" w:rsidRPr="008956BC" w:rsidP="00F02280" w14:paraId="6E092E65" w14:textId="56C6206F">
      <w:pPr>
        <w:rPr>
          <w:rFonts w:ascii="Times New Roman" w:hAnsi="Times New Roman"/>
          <w:sz w:val="24"/>
        </w:rPr>
      </w:pPr>
      <w:r w:rsidRPr="005329DB">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-05</w:t>
      </w:r>
      <w:r w:rsidRPr="005329DB">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should also continue to evaluate whether the benefits of additional risk reduction measures for fenceline communities would justify further amendments to strengthen the regulatory program. The commenter stated that in its current assessment of benefits in the RIA, EPA briefly notes that it anticipates potential benefits to accrue to communities with environmental justice concerns; EPA could build upon this acknowledgement to further integrate consideration of the disaggregated costs and benefits. The commenter stated that EPA should consider strengthening its environmental justice analysis and better integrating this analysis into its selection of alternatives. The commenter stated that strengthening the environmental justice analysis, as consistent with best analytical practices, could demonstrate even more pronounced distributional benefits for environmental justice </w:t>
      </w:r>
      <w:r w:rsidRPr="008956BC">
        <w:rPr>
          <w:rFonts w:ascii="Times New Roman" w:hAnsi="Times New Roman"/>
          <w:sz w:val="24"/>
        </w:rPr>
        <w:t>communities (0266).</w:t>
      </w:r>
    </w:p>
    <w:p w:rsidR="00F02280" w:rsidRPr="008956BC" w:rsidP="008956BC" w14:paraId="1E42CAAA" w14:textId="525E4C23">
      <w:pPr>
        <w:ind w:left="720"/>
        <w:rPr>
          <w:rFonts w:ascii="Times New Roman" w:hAnsi="Times New Roman"/>
          <w:sz w:val="24"/>
        </w:rPr>
      </w:pPr>
      <w:r w:rsidRPr="008956BC">
        <w:rPr>
          <w:rFonts w:ascii="Times New Roman" w:eastAsia="Times New Roman" w:hAnsi="Times New Roman"/>
          <w:b/>
          <w:bCs/>
          <w:sz w:val="24"/>
        </w:rPr>
        <w:t xml:space="preserve">EPA Response: </w:t>
      </w:r>
      <w:r w:rsidRPr="008956BC">
        <w:rPr>
          <w:rFonts w:ascii="Times New Roman" w:hAnsi="Times New Roman"/>
          <w:sz w:val="24"/>
        </w:rPr>
        <w:t xml:space="preserve">Due to data and modeling limitations, EPA was not able to quantitatively assess the distribution of benefits and costs of the </w:t>
      </w:r>
      <w:r w:rsidR="000C1992">
        <w:rPr>
          <w:rFonts w:ascii="Times New Roman" w:hAnsi="Times New Roman"/>
          <w:sz w:val="24"/>
        </w:rPr>
        <w:t xml:space="preserve">regulatory </w:t>
      </w:r>
      <w:r w:rsidRPr="008956BC">
        <w:rPr>
          <w:rFonts w:ascii="Times New Roman" w:hAnsi="Times New Roman"/>
          <w:sz w:val="24"/>
        </w:rPr>
        <w:t>alternatives. EPA was able to quantitatively characterize the baseline based on RMP facility locations, including assessing how the effects of the final rule may vary across communities given that facilities vary in the ultimate risk they pose to proximal populations. In particular, EPA evaluated how community characteristics differ based on process types, the number of RMP-related accidents reported between 2004 and 2020, program level, and chemical storage. Since EPA was unable to estimate the incremental changes in accident risks from the provisions finalized by this rule, the baseline distribution of population as well as the findings from subsequent analyses that look at the socioeconomic characteristics of communities near facilities with a large number of accidents or classified as Program 3 facilities were used to determine that the benefits of the provisions (</w:t>
      </w:r>
      <w:r w:rsidRPr="008956BC">
        <w:rPr>
          <w:rFonts w:ascii="Times New Roman" w:hAnsi="Times New Roman"/>
          <w:i/>
          <w:iCs/>
          <w:sz w:val="24"/>
        </w:rPr>
        <w:t xml:space="preserve">i.e., </w:t>
      </w:r>
      <w:r w:rsidRPr="008956BC">
        <w:rPr>
          <w:rFonts w:ascii="Times New Roman" w:hAnsi="Times New Roman"/>
          <w:sz w:val="24"/>
        </w:rPr>
        <w:t xml:space="preserve">accident risk reduction) may reduce potential exposure for communities with higher percentages of Black (non-Hispanic), Hispanic and low income populations. </w:t>
      </w:r>
    </w:p>
    <w:p w:rsidR="00F02280" w:rsidRPr="00A7388A" w:rsidP="00F02280" w14:paraId="03659CBA" w14:textId="77777777">
      <w:pPr>
        <w:rPr>
          <w:rFonts w:ascii="Times New Roman" w:hAnsi="Times New Roman"/>
          <w:i/>
          <w:sz w:val="24"/>
        </w:rPr>
      </w:pPr>
      <w:r w:rsidRPr="00A7388A">
        <w:rPr>
          <w:rFonts w:ascii="Times New Roman" w:hAnsi="Times New Roman"/>
          <w:i/>
          <w:sz w:val="24"/>
        </w:rPr>
        <w:t xml:space="preserve">Distribution of </w:t>
      </w:r>
      <w:r w:rsidRPr="00A7388A">
        <w:rPr>
          <w:rFonts w:ascii="Times New Roman" w:hAnsi="Times New Roman"/>
          <w:i/>
          <w:iCs/>
          <w:sz w:val="24"/>
        </w:rPr>
        <w:t>costs</w:t>
      </w:r>
    </w:p>
    <w:p w:rsidR="00F02280" w:rsidP="00F02280" w14:paraId="6C3A2B30" w14:textId="39A0FCE4">
      <w:pPr>
        <w:rPr>
          <w:rFonts w:ascii="Times New Roman" w:hAnsi="Times New Roman"/>
          <w:sz w:val="24"/>
        </w:rPr>
      </w:pPr>
      <w:r w:rsidRPr="00A919FD">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-06</w:t>
      </w:r>
      <w:r w:rsidRPr="00A919FD">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stated that EPA should strengthen its consideration of distributional impacts and integrate those findings into its decision-making process for the final and future rules. The commenter stated that chemical incidents and catastrophic disasters put heavy costs on the communities surrounding RMP facilities and facility workers. The commenter stated that emergency management and preparedness costs, site clean-up costs, and other cascading effects on jobs and services from chemical accidents also fall on communities and different levels of government. The commenter stated that when EPA is averaging data across thousands of facilities, it should consider how this may obscure heavier impacts for communities near specific facilities, providing demographic data at the facility level with additional facility characteristic information such as the facility type, accident history, and chemicals on premises.</w:t>
      </w:r>
      <w:r>
        <w:rPr>
          <w:rFonts w:ascii="Times New Roman" w:hAnsi="Times New Roman"/>
          <w:sz w:val="24"/>
        </w:rPr>
        <w:t xml:space="preserve"> </w:t>
      </w:r>
      <w:r w:rsidR="003639E0">
        <w:rPr>
          <w:rFonts w:ascii="Times New Roman" w:hAnsi="Times New Roman"/>
          <w:sz w:val="24"/>
        </w:rPr>
        <w:t xml:space="preserve">The commenter also </w:t>
      </w:r>
      <w:r w:rsidRPr="006F68E9">
        <w:rPr>
          <w:rFonts w:ascii="Times New Roman" w:hAnsi="Times New Roman"/>
          <w:sz w:val="24"/>
        </w:rPr>
        <w:t>recommended that EPA consider the distribution of costs and benefits alongside the net quantity of benefits. The commenter recommended that EPA improve its distributional analysis by considering more granular data, further disaggregated socioeconomic data, and the distributional outcomes of alternatives</w:t>
      </w:r>
      <w:r w:rsidR="003639E0">
        <w:rPr>
          <w:rFonts w:ascii="Times New Roman" w:hAnsi="Times New Roman"/>
          <w:sz w:val="24"/>
        </w:rPr>
        <w:t xml:space="preserve"> (0266)</w:t>
      </w:r>
      <w:r w:rsidRPr="006F68E9">
        <w:rPr>
          <w:rFonts w:ascii="Times New Roman" w:hAnsi="Times New Roman"/>
          <w:sz w:val="24"/>
        </w:rPr>
        <w:t>.</w:t>
      </w:r>
    </w:p>
    <w:p w:rsidR="00F02280" w:rsidRPr="006F68E9" w:rsidP="00F02280" w14:paraId="0E97C34E" w14:textId="77777777">
      <w:pPr>
        <w:ind w:left="720"/>
        <w:rPr>
          <w:rFonts w:ascii="Times New Roman" w:hAnsi="Times New Roman"/>
          <w:sz w:val="24"/>
        </w:rPr>
      </w:pPr>
      <w:r w:rsidRPr="00E345AD">
        <w:rPr>
          <w:rFonts w:ascii="Times New Roman" w:hAnsi="Times New Roman"/>
          <w:b/>
          <w:bCs/>
          <w:sz w:val="24"/>
        </w:rPr>
        <w:t>EPA Response</w:t>
      </w:r>
      <w:r w:rsidRPr="00E345AD">
        <w:rPr>
          <w:rFonts w:ascii="Times New Roman" w:hAnsi="Times New Roman"/>
          <w:sz w:val="24"/>
        </w:rPr>
        <w:t xml:space="preserve">: EPA considered several distributional components in both its cost analysis (RIA Chapter 5) and its regulatory alternatives (RIA Chapter 7), including costs by facility type, sector, and size and by provision. Furthermore, the small entity analysis in RIA Chapter 8 provides distributional effects by detailed NAICS industry and size of </w:t>
      </w:r>
      <w:r w:rsidRPr="00E345AD">
        <w:rPr>
          <w:rFonts w:ascii="Times New Roman" w:hAnsi="Times New Roman"/>
          <w:sz w:val="24"/>
        </w:rPr>
        <w:t>entities. The distributional cost to different communities located near RMP facilities is also assessed in Chapter 9 of the RIA, the environmental justice analysis.</w:t>
      </w:r>
    </w:p>
    <w:p w:rsidR="00F02280" w:rsidP="00F02280" w14:paraId="6F2C4C58" w14:textId="53E7ACA7">
      <w:pPr>
        <w:rPr>
          <w:rFonts w:ascii="Times New Roman" w:hAnsi="Times New Roman"/>
          <w:sz w:val="24"/>
        </w:rPr>
      </w:pPr>
      <w:r w:rsidRPr="00A919FD">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-07</w:t>
      </w:r>
      <w:r w:rsidRPr="00A919FD">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cited a 2014 study </w:t>
      </w:r>
      <w:r>
        <w:rPr>
          <w:rFonts w:ascii="Times New Roman" w:hAnsi="Times New Roman"/>
          <w:sz w:val="24"/>
        </w:rPr>
        <w:t xml:space="preserve">that </w:t>
      </w:r>
      <w:r w:rsidRPr="006F68E9">
        <w:rPr>
          <w:rFonts w:ascii="Times New Roman" w:hAnsi="Times New Roman"/>
          <w:sz w:val="24"/>
        </w:rPr>
        <w:t>evaluated the demographic composition of the vulnerability zones of 3,433 RMP facilities which examined the demographics of the “fenceline communities” living in the one-tenth area of the vulnerability zones closest to the facility. The commenter stated that the study found that the communities in the fenceline zones had even higher proportions of Black and Latino populations than the vulnerability zones as a whole and found higher rates of poverty in the fenceline zones than the vulnerability zones as a whole. The commenter recommended that EPA conduct additional studies of the demographics of fenceline communities, especially near facilities with accidents or facilities containing the most dangerous chemicals, to ensure it is fully capturing the extent of the distributional costs on already overburdened communities such as a half mile radius category in addition to its one- and three-mile radius analysis (0266).</w:t>
      </w:r>
    </w:p>
    <w:p w:rsidR="00F02280" w:rsidRPr="006B4189" w:rsidP="006B4189" w14:paraId="0487149B" w14:textId="6D993E8E">
      <w:pPr>
        <w:ind w:left="810"/>
        <w:rPr>
          <w:rFonts w:ascii="Times New Roman" w:hAnsi="Times New Roman"/>
          <w:sz w:val="24"/>
        </w:rPr>
      </w:pPr>
      <w:r w:rsidRPr="006B4189">
        <w:rPr>
          <w:rFonts w:ascii="Times New Roman" w:hAnsi="Times New Roman"/>
          <w:b/>
          <w:bCs/>
          <w:sz w:val="24"/>
        </w:rPr>
        <w:t>EPA Response</w:t>
      </w:r>
      <w:r w:rsidRPr="006B4189">
        <w:rPr>
          <w:rFonts w:ascii="Times New Roman" w:hAnsi="Times New Roman"/>
          <w:sz w:val="24"/>
        </w:rPr>
        <w:t>:</w:t>
      </w:r>
      <w:r w:rsidRPr="006B4189" w:rsidR="006B4189">
        <w:rPr>
          <w:rFonts w:ascii="Times New Roman" w:hAnsi="Times New Roman"/>
          <w:sz w:val="24"/>
        </w:rPr>
        <w:t xml:space="preserve"> </w:t>
      </w:r>
      <w:r w:rsidRPr="006B4189">
        <w:rPr>
          <w:rFonts w:ascii="Times New Roman" w:hAnsi="Times New Roman"/>
          <w:sz w:val="24"/>
        </w:rPr>
        <w:t>When modeling the worst-case release scenario, chemicals released from the industrial processes at facilities can vary in exposure trajectory and distance. Rather than limit the analysis to “fenceline communities</w:t>
      </w:r>
      <w:r w:rsidRPr="006B4189" w:rsidR="006B4189">
        <w:rPr>
          <w:rFonts w:ascii="Times New Roman" w:hAnsi="Times New Roman"/>
          <w:sz w:val="24"/>
        </w:rPr>
        <w:t>,</w:t>
      </w:r>
      <w:r w:rsidRPr="006B4189">
        <w:rPr>
          <w:rFonts w:ascii="Times New Roman" w:hAnsi="Times New Roman"/>
          <w:sz w:val="24"/>
        </w:rPr>
        <w:t>” EPA wanted to capture those communities potentially affected by accidental releases from facilities and thus beyond the “fenceline communities</w:t>
      </w:r>
      <w:r w:rsidR="007638E9">
        <w:rPr>
          <w:rFonts w:ascii="Times New Roman" w:hAnsi="Times New Roman"/>
          <w:sz w:val="24"/>
        </w:rPr>
        <w:t>”</w:t>
      </w:r>
      <w:r w:rsidRPr="006B4189">
        <w:rPr>
          <w:rFonts w:ascii="Times New Roman" w:hAnsi="Times New Roman"/>
          <w:sz w:val="24"/>
        </w:rPr>
        <w:t xml:space="preserve">. As a result, EPA used the one-mile buffer for the evaluation of proximal </w:t>
      </w:r>
      <w:r w:rsidRPr="006B4189">
        <w:rPr>
          <w:rFonts w:ascii="Times New Roman" w:hAnsi="Times New Roman"/>
          <w:sz w:val="24"/>
        </w:rPr>
        <w:t>environmental justice communities</w:t>
      </w:r>
      <w:r w:rsidR="00F84919">
        <w:rPr>
          <w:rFonts w:ascii="Times New Roman" w:hAnsi="Times New Roman"/>
          <w:sz w:val="24"/>
        </w:rPr>
        <w:t xml:space="preserve"> with environmental justice concerns</w:t>
      </w:r>
      <w:r w:rsidRPr="006B4189" w:rsidR="00F84919">
        <w:rPr>
          <w:rFonts w:ascii="Times New Roman" w:hAnsi="Times New Roman"/>
          <w:sz w:val="24"/>
        </w:rPr>
        <w:t xml:space="preserve"> </w:t>
      </w:r>
      <w:r w:rsidRPr="006B4189">
        <w:rPr>
          <w:rFonts w:ascii="Times New Roman" w:hAnsi="Times New Roman"/>
          <w:sz w:val="24"/>
        </w:rPr>
        <w:t xml:space="preserve"> </w:t>
      </w:r>
      <w:r w:rsidRPr="006B4189">
        <w:rPr>
          <w:rFonts w:ascii="Times New Roman" w:hAnsi="Times New Roman"/>
          <w:sz w:val="24"/>
        </w:rPr>
        <w:t xml:space="preserve">in the 2019 </w:t>
      </w:r>
      <w:r w:rsidR="007638E9">
        <w:rPr>
          <w:rFonts w:ascii="Times New Roman" w:hAnsi="Times New Roman"/>
          <w:sz w:val="24"/>
        </w:rPr>
        <w:t>r</w:t>
      </w:r>
      <w:r w:rsidRPr="006B4189">
        <w:rPr>
          <w:rFonts w:ascii="Times New Roman" w:hAnsi="Times New Roman"/>
          <w:sz w:val="24"/>
        </w:rPr>
        <w:t xml:space="preserve">econsideration </w:t>
      </w:r>
      <w:r w:rsidR="007638E9">
        <w:rPr>
          <w:rFonts w:ascii="Times New Roman" w:hAnsi="Times New Roman"/>
          <w:sz w:val="24"/>
        </w:rPr>
        <w:t>r</w:t>
      </w:r>
      <w:r w:rsidRPr="006B4189">
        <w:rPr>
          <w:rFonts w:ascii="Times New Roman" w:hAnsi="Times New Roman"/>
          <w:sz w:val="24"/>
        </w:rPr>
        <w:t>ule and as a representation of communities likely to experience localized stressors from the associated facility. While a smaller buffer distance (</w:t>
      </w:r>
      <w:r w:rsidRPr="006B4189">
        <w:rPr>
          <w:rFonts w:ascii="Times New Roman" w:hAnsi="Times New Roman"/>
          <w:i/>
          <w:iCs/>
          <w:sz w:val="24"/>
        </w:rPr>
        <w:t xml:space="preserve">e.g., </w:t>
      </w:r>
      <w:r w:rsidRPr="006B4189">
        <w:rPr>
          <w:rFonts w:ascii="Times New Roman" w:hAnsi="Times New Roman"/>
          <w:sz w:val="24"/>
        </w:rPr>
        <w:t xml:space="preserve">half-mile radius) has the potential to show a different distribution of affected community characteristics, the one-mile buffer is inclusive of those communities. </w:t>
      </w:r>
    </w:p>
    <w:p w:rsidR="00F02280" w:rsidRPr="006B4189" w:rsidP="006B4189" w14:paraId="4D2E311C" w14:textId="3D51BDC7">
      <w:pPr>
        <w:ind w:left="810"/>
        <w:rPr>
          <w:rFonts w:ascii="Times New Roman" w:hAnsi="Times New Roman"/>
          <w:sz w:val="24"/>
        </w:rPr>
      </w:pPr>
      <w:r w:rsidRPr="006B4189">
        <w:rPr>
          <w:rFonts w:ascii="Times New Roman" w:hAnsi="Times New Roman"/>
          <w:sz w:val="24"/>
        </w:rPr>
        <w:t>In order to capture varying levels of risk to proximal populations, as suggested by the commenter, EPA did evaluate three specific measures of potential risk: (1) RMP facilities categorized by the number of RMP-related accidents reported from 2004 to 2020, (2) RMP facilities categorized by the</w:t>
      </w:r>
      <w:r w:rsidR="007638E9">
        <w:rPr>
          <w:rFonts w:ascii="Times New Roman" w:hAnsi="Times New Roman"/>
          <w:sz w:val="24"/>
        </w:rPr>
        <w:t>ir</w:t>
      </w:r>
      <w:r w:rsidRPr="006B4189">
        <w:rPr>
          <w:rFonts w:ascii="Times New Roman" w:hAnsi="Times New Roman"/>
          <w:sz w:val="24"/>
        </w:rPr>
        <w:t xml:space="preserve"> program level, and (3) RMP facilities categorized by the ratio of the quantity of chemical used in a process relative to the chemical’s regulatory threshold quantity. </w:t>
      </w:r>
      <w:r w:rsidR="006F24FD">
        <w:rPr>
          <w:rFonts w:ascii="Times New Roman" w:hAnsi="Times New Roman"/>
          <w:sz w:val="24"/>
        </w:rPr>
        <w:t>Because</w:t>
      </w:r>
      <w:r w:rsidRPr="006B4189">
        <w:rPr>
          <w:rFonts w:ascii="Times New Roman" w:hAnsi="Times New Roman"/>
          <w:sz w:val="24"/>
        </w:rPr>
        <w:t xml:space="preserve"> program levels are assigned based on the relative potential for public impacts and the level of effort needed to prevent accidents, it could be used as a proxy for exposure to risk to dangerous chemicals. As a result, EPA did evaluate how community characteristics differ based on potential risk (</w:t>
      </w:r>
      <w:r w:rsidRPr="006B4189">
        <w:rPr>
          <w:rFonts w:ascii="Times New Roman" w:hAnsi="Times New Roman"/>
          <w:i/>
          <w:iCs/>
          <w:sz w:val="24"/>
        </w:rPr>
        <w:t xml:space="preserve">e.g., </w:t>
      </w:r>
      <w:r w:rsidRPr="006B4189">
        <w:rPr>
          <w:rFonts w:ascii="Times New Roman" w:hAnsi="Times New Roman"/>
          <w:sz w:val="24"/>
        </w:rPr>
        <w:t>based on facilities with previous accidents and processes with higher program levels) and found that communities in proximity to facilities with elevated risk had higher percentages of Black (non-Hispanic), Hispanic and low</w:t>
      </w:r>
      <w:r w:rsidRPr="006B4189" w:rsidR="002C73CE">
        <w:rPr>
          <w:rFonts w:ascii="Times New Roman" w:hAnsi="Times New Roman"/>
          <w:sz w:val="24"/>
        </w:rPr>
        <w:t>-income</w:t>
      </w:r>
      <w:r w:rsidRPr="006B4189">
        <w:rPr>
          <w:rFonts w:ascii="Times New Roman" w:hAnsi="Times New Roman"/>
          <w:sz w:val="24"/>
        </w:rPr>
        <w:t xml:space="preserve"> populations.</w:t>
      </w:r>
    </w:p>
    <w:p w:rsidR="00F02280" w:rsidP="00F02280" w14:paraId="001EDEDC" w14:textId="43455A78">
      <w:pPr>
        <w:rPr>
          <w:rFonts w:ascii="Times New Roman" w:hAnsi="Times New Roman"/>
          <w:sz w:val="24"/>
        </w:rPr>
      </w:pPr>
      <w:r w:rsidRPr="006669BF">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-08</w:t>
      </w:r>
      <w:r w:rsidRPr="006669BF">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w:t>
      </w:r>
      <w:r>
        <w:rPr>
          <w:rFonts w:ascii="Times New Roman" w:hAnsi="Times New Roman"/>
          <w:sz w:val="24"/>
        </w:rPr>
        <w:t xml:space="preserve">stated </w:t>
      </w:r>
      <w:r w:rsidRPr="006F68E9">
        <w:rPr>
          <w:rFonts w:ascii="Times New Roman" w:hAnsi="Times New Roman"/>
          <w:sz w:val="24"/>
        </w:rPr>
        <w:t xml:space="preserve">that though much research has focused on those closest to the facilities, the full vulnerability zones can extend up to </w:t>
      </w:r>
      <w:r w:rsidR="00EF16A1">
        <w:rPr>
          <w:rFonts w:ascii="Times New Roman" w:hAnsi="Times New Roman"/>
          <w:sz w:val="24"/>
        </w:rPr>
        <w:t>2</w:t>
      </w:r>
      <w:r w:rsidR="007638E9">
        <w:rPr>
          <w:rFonts w:ascii="Times New Roman" w:hAnsi="Times New Roman"/>
          <w:sz w:val="24"/>
        </w:rPr>
        <w:t>5</w:t>
      </w:r>
      <w:r w:rsidRPr="006F68E9">
        <w:rPr>
          <w:rFonts w:ascii="Times New Roman" w:hAnsi="Times New Roman"/>
          <w:sz w:val="24"/>
        </w:rPr>
        <w:t>miles in radius. The commenter added that this radius often encompasses one or more other RMP facilities as well as additional dangerous facilities not covered by the RMP program (0270).</w:t>
      </w:r>
    </w:p>
    <w:p w:rsidR="00F02280" w:rsidRPr="009521F1" w:rsidP="009521F1" w14:paraId="45F56AB4" w14:textId="220D4709">
      <w:pPr>
        <w:tabs>
          <w:tab w:val="left" w:pos="720"/>
        </w:tabs>
        <w:ind w:left="720"/>
        <w:rPr>
          <w:rFonts w:ascii="Times New Roman" w:hAnsi="Times New Roman"/>
          <w:sz w:val="24"/>
        </w:rPr>
      </w:pPr>
      <w:r w:rsidRPr="009521F1">
        <w:rPr>
          <w:rFonts w:ascii="Times New Roman" w:hAnsi="Times New Roman"/>
          <w:b/>
          <w:bCs/>
          <w:sz w:val="24"/>
        </w:rPr>
        <w:t>EPA Response:</w:t>
      </w:r>
      <w:r w:rsidRPr="009521F1" w:rsidR="009521F1">
        <w:rPr>
          <w:rFonts w:ascii="Times New Roman" w:hAnsi="Times New Roman"/>
          <w:b/>
          <w:bCs/>
          <w:sz w:val="24"/>
        </w:rPr>
        <w:t xml:space="preserve"> </w:t>
      </w:r>
      <w:r w:rsidRPr="009521F1">
        <w:rPr>
          <w:rFonts w:ascii="Times New Roman" w:hAnsi="Times New Roman"/>
          <w:sz w:val="24"/>
        </w:rPr>
        <w:t>EPA acknowledges that</w:t>
      </w:r>
      <w:r w:rsidR="00EF16A1">
        <w:rPr>
          <w:rFonts w:ascii="Times New Roman" w:hAnsi="Times New Roman"/>
          <w:sz w:val="24"/>
        </w:rPr>
        <w:t xml:space="preserve"> </w:t>
      </w:r>
      <w:r w:rsidRPr="009521F1">
        <w:rPr>
          <w:rFonts w:ascii="Times New Roman" w:hAnsi="Times New Roman"/>
          <w:sz w:val="24"/>
        </w:rPr>
        <w:t>communities outside of the evaluated buffer distances</w:t>
      </w:r>
      <w:r w:rsidRPr="009521F1">
        <w:rPr>
          <w:rFonts w:ascii="Times New Roman" w:hAnsi="Times New Roman"/>
          <w:sz w:val="24"/>
        </w:rPr>
        <w:t xml:space="preserve"> </w:t>
      </w:r>
      <w:r w:rsidRPr="009521F1">
        <w:rPr>
          <w:rFonts w:ascii="Times New Roman" w:hAnsi="Times New Roman"/>
          <w:sz w:val="24"/>
        </w:rPr>
        <w:t>could be affected by accidental releases from facilities, and thus</w:t>
      </w:r>
      <w:r w:rsidR="007638E9">
        <w:rPr>
          <w:rFonts w:ascii="Times New Roman" w:hAnsi="Times New Roman"/>
          <w:sz w:val="24"/>
        </w:rPr>
        <w:t>,</w:t>
      </w:r>
      <w:r w:rsidRPr="009521F1">
        <w:rPr>
          <w:rFonts w:ascii="Times New Roman" w:hAnsi="Times New Roman"/>
          <w:sz w:val="24"/>
        </w:rPr>
        <w:t xml:space="preserve"> affected by the rulemaking. However, this analysis focused on communities most likely to be affected by the rulemaking.</w:t>
      </w:r>
      <w:r w:rsidRPr="009521F1">
        <w:rPr>
          <w:rFonts w:ascii="Times New Roman" w:hAnsi="Times New Roman"/>
          <w:sz w:val="24"/>
        </w:rPr>
        <w:t xml:space="preserve"> </w:t>
      </w:r>
      <w:r w:rsidRPr="009521F1">
        <w:rPr>
          <w:rFonts w:ascii="Times New Roman" w:hAnsi="Times New Roman"/>
          <w:sz w:val="24"/>
        </w:rPr>
        <w:t xml:space="preserve">In addition, the three-mile buffer is fairly broad and encompasses </w:t>
      </w:r>
      <w:r w:rsidR="00EF16A1">
        <w:rPr>
          <w:rFonts w:ascii="Times New Roman" w:hAnsi="Times New Roman"/>
          <w:sz w:val="24"/>
        </w:rPr>
        <w:t xml:space="preserve">more </w:t>
      </w:r>
      <w:r w:rsidR="00EF16A1">
        <w:rPr>
          <w:rFonts w:ascii="Times New Roman" w:hAnsi="Times New Roman"/>
          <w:sz w:val="24"/>
        </w:rPr>
        <w:t>than</w:t>
      </w:r>
      <w:r w:rsidRPr="009521F1">
        <w:rPr>
          <w:rFonts w:ascii="Times New Roman" w:hAnsi="Times New Roman"/>
          <w:sz w:val="24"/>
        </w:rPr>
        <w:t xml:space="preserve"> 130 million people, largely due to the fraction of dense urban areas that intersect with the buffers. Most large cities are almost completely covered by the </w:t>
      </w:r>
      <w:r w:rsidRPr="009521F1">
        <w:rPr>
          <w:rFonts w:ascii="Times New Roman" w:hAnsi="Times New Roman"/>
          <w:sz w:val="24"/>
        </w:rPr>
        <w:t>three</w:t>
      </w:r>
      <w:r w:rsidRPr="009521F1">
        <w:rPr>
          <w:rFonts w:ascii="Times New Roman" w:hAnsi="Times New Roman"/>
          <w:sz w:val="24"/>
        </w:rPr>
        <w:t xml:space="preserve">-mile buffers and there is overlap between the buffers from multiple RMP facilities. </w:t>
      </w:r>
    </w:p>
    <w:p w:rsidR="00F02280" w:rsidRPr="006F68E9" w:rsidP="00F02280" w14:paraId="730B4EDC" w14:textId="48389FD4">
      <w:pPr>
        <w:rPr>
          <w:rFonts w:ascii="Times New Roman" w:hAnsi="Times New Roman"/>
          <w:sz w:val="24"/>
        </w:rPr>
      </w:pPr>
      <w:r w:rsidRPr="005329DB">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-09</w:t>
      </w:r>
      <w:r w:rsidRPr="005329DB">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unlike private companies, water and wastewater services are funded by local user fees and therefore, the additional compliance costs that will be incurred due to this rulemaking will be passed on to local residents and businesses in the form of higher water rates. The commenter </w:t>
      </w:r>
      <w:r>
        <w:rPr>
          <w:rFonts w:ascii="Times New Roman" w:hAnsi="Times New Roman"/>
          <w:sz w:val="24"/>
        </w:rPr>
        <w:t>said</w:t>
      </w:r>
      <w:r w:rsidRPr="006F68E9">
        <w:rPr>
          <w:rFonts w:ascii="Times New Roman" w:hAnsi="Times New Roman"/>
          <w:sz w:val="24"/>
        </w:rPr>
        <w:t xml:space="preserve"> that, although all ratepayers regardless of economic status will be affected by increased water rates, there will be a greater disproportionate impact on low-, middle- and fixed-income populations, further exacerbating the affordability crisis for economically disadvantaged and environmental justice communities. The commenter urged EPA to consider how increased compliance costs will impact small communities and environmental justice communities (0243).</w:t>
      </w:r>
      <w:r>
        <w:rPr>
          <w:rFonts w:ascii="Times New Roman" w:hAnsi="Times New Roman"/>
          <w:sz w:val="24"/>
        </w:rPr>
        <w:t xml:space="preserve"> Similarly, another </w:t>
      </w:r>
      <w:r w:rsidRPr="006F68E9">
        <w:rPr>
          <w:rFonts w:ascii="Times New Roman" w:hAnsi="Times New Roman"/>
          <w:sz w:val="24"/>
        </w:rPr>
        <w:t xml:space="preserve">commenter </w:t>
      </w:r>
      <w:r>
        <w:rPr>
          <w:rFonts w:ascii="Times New Roman" w:hAnsi="Times New Roman"/>
          <w:sz w:val="24"/>
        </w:rPr>
        <w:t>stated</w:t>
      </w:r>
      <w:r w:rsidRPr="006F68E9">
        <w:rPr>
          <w:rFonts w:ascii="Times New Roman" w:hAnsi="Times New Roman"/>
          <w:sz w:val="24"/>
        </w:rPr>
        <w:t xml:space="preserve"> that water utilities are funded by customers through rates, and additional compliance costs will impact economically disadvantaged and environmental justice communities. The commenter stated that unjustified compliance costs have a disproportionate impact on economically disadvantaged customers as they are least able to afford such rate increases (0239).</w:t>
      </w:r>
      <w:r>
        <w:rPr>
          <w:rFonts w:ascii="Times New Roman" w:hAnsi="Times New Roman"/>
          <w:sz w:val="24"/>
        </w:rPr>
        <w:t xml:space="preserve"> </w:t>
      </w:r>
    </w:p>
    <w:p w:rsidR="00D05648" w:rsidRPr="00D05648" w:rsidP="00D05648" w14:paraId="62F3AC35" w14:textId="64E62D64">
      <w:pPr>
        <w:ind w:left="720"/>
        <w:rPr>
          <w:rFonts w:ascii="Times New Roman" w:hAnsi="Times New Roman"/>
          <w:sz w:val="24"/>
        </w:rPr>
      </w:pPr>
      <w:r w:rsidRPr="003116D4">
        <w:rPr>
          <w:rFonts w:ascii="Times New Roman" w:hAnsi="Times New Roman"/>
          <w:b/>
          <w:bCs/>
          <w:sz w:val="24"/>
        </w:rPr>
        <w:t>EPA Response</w:t>
      </w:r>
      <w:r w:rsidRPr="003116D4">
        <w:rPr>
          <w:rFonts w:ascii="Times New Roman" w:hAnsi="Times New Roman"/>
          <w:sz w:val="24"/>
        </w:rPr>
        <w:t xml:space="preserve">: </w:t>
      </w:r>
      <w:bookmarkStart w:id="193" w:name="_Hlk150179508"/>
      <w:r w:rsidRPr="00D05648">
        <w:t xml:space="preserve"> </w:t>
      </w:r>
      <w:r w:rsidR="00D934CD">
        <w:rPr>
          <w:rFonts w:ascii="Times New Roman" w:hAnsi="Times New Roman"/>
          <w:sz w:val="24"/>
        </w:rPr>
        <w:t xml:space="preserve">Major and other serious and concerning </w:t>
      </w:r>
      <w:r w:rsidRPr="00D05648">
        <w:rPr>
          <w:rFonts w:ascii="Times New Roman" w:hAnsi="Times New Roman"/>
          <w:sz w:val="24"/>
        </w:rPr>
        <w:t xml:space="preserve">RMP accidents </w:t>
      </w:r>
      <w:r w:rsidR="00D934CD">
        <w:rPr>
          <w:rFonts w:ascii="Times New Roman" w:hAnsi="Times New Roman"/>
          <w:sz w:val="24"/>
        </w:rPr>
        <w:t>have continued to occur.</w:t>
      </w:r>
      <w:r w:rsidRPr="00D05648">
        <w:rPr>
          <w:rFonts w:ascii="Times New Roman" w:hAnsi="Times New Roman"/>
          <w:sz w:val="24"/>
        </w:rPr>
        <w:t xml:space="preserve"> EPA anticipates that promulgation and implementation of this final rule will reduce the risk of such accidents and the severity of the impacts when they occur. </w:t>
      </w:r>
      <w:bookmarkStart w:id="194" w:name="_Hlk150166650"/>
      <w:r w:rsidRPr="00D05648">
        <w:rPr>
          <w:rFonts w:ascii="Times New Roman" w:hAnsi="Times New Roman"/>
          <w:sz w:val="24"/>
        </w:rPr>
        <w:t>RMP accident data show past accidents have generated highly variable impacts, so the impacts of future accidents are difficult to predict. Nevertheless, it is clear from RMP accident data</w:t>
      </w:r>
      <w:r>
        <w:rPr>
          <w:rFonts w:ascii="Times New Roman" w:hAnsi="Times New Roman"/>
          <w:sz w:val="24"/>
          <w:vertAlign w:val="superscript"/>
        </w:rPr>
        <w:footnoteReference w:id="212"/>
      </w:r>
      <w:r w:rsidRPr="00D05648">
        <w:rPr>
          <w:rFonts w:ascii="Times New Roman" w:hAnsi="Times New Roman"/>
          <w:sz w:val="24"/>
        </w:rPr>
        <w:t xml:space="preserve"> and other </w:t>
      </w:r>
      <w:r w:rsidR="00E47842">
        <w:rPr>
          <w:rFonts w:ascii="Times New Roman" w:hAnsi="Times New Roman"/>
          <w:sz w:val="24"/>
        </w:rPr>
        <w:t>relevant data from RMP regulated industry sectors</w:t>
      </w:r>
      <w:r>
        <w:rPr>
          <w:rFonts w:ascii="Times New Roman" w:hAnsi="Times New Roman"/>
          <w:sz w:val="24"/>
          <w:vertAlign w:val="superscript"/>
        </w:rPr>
        <w:footnoteReference w:id="213"/>
      </w:r>
      <w:r w:rsidRPr="00D05648">
        <w:rPr>
          <w:rFonts w:ascii="Times New Roman" w:hAnsi="Times New Roman"/>
          <w:sz w:val="24"/>
        </w:rPr>
        <w:t>, that chemical accidents can impose substantial costs on firms, employees, emergency responders, the community, and the broader economy.</w:t>
      </w:r>
      <w:bookmarkEnd w:id="193"/>
      <w:r w:rsidRPr="00D05648">
        <w:rPr>
          <w:rFonts w:ascii="Times New Roman" w:hAnsi="Times New Roman"/>
          <w:sz w:val="24"/>
        </w:rPr>
        <w:t xml:space="preserve"> </w:t>
      </w:r>
    </w:p>
    <w:bookmarkEnd w:id="194"/>
    <w:p w:rsidR="00FF3C45" w:rsidRPr="00FF3C45" w:rsidP="00FF3C45" w14:paraId="785D46BF" w14:textId="117D0BA5">
      <w:pPr>
        <w:ind w:left="720"/>
        <w:rPr>
          <w:rFonts w:ascii="Times New Roman" w:hAnsi="Times New Roman"/>
          <w:sz w:val="24"/>
        </w:rPr>
      </w:pPr>
      <w:r>
        <w:rPr>
          <w:rFonts w:ascii="Times New Roman" w:hAnsi="Times New Roman"/>
          <w:sz w:val="24"/>
        </w:rPr>
        <w:t xml:space="preserve">Notwithstanding EPA’s current rules, RMP accidents have continued to occur. EPA anticipates that promulgation and implementation of this final rule will </w:t>
      </w:r>
      <w:r w:rsidR="001D1B5D">
        <w:rPr>
          <w:rFonts w:ascii="Times New Roman" w:hAnsi="Times New Roman"/>
          <w:sz w:val="24"/>
        </w:rPr>
        <w:t>improve the health and safety protection provided by the RMP rule and</w:t>
      </w:r>
      <w:r w:rsidRPr="00D05648" w:rsidR="00D05648">
        <w:rPr>
          <w:rFonts w:ascii="Times New Roman" w:hAnsi="Times New Roman"/>
          <w:sz w:val="24"/>
        </w:rPr>
        <w:t xml:space="preserve"> result in a reduced frequency and magnitude of damages from releases, including damages that are quantified for the baseline period such as fatalities, injuries, property damage, hospitalizations, medical treatment, sheltering in place, and evacuations. EPA also expects the final rule provisions to reduce baseline damages that are not quantified. These damages include potential  health risk</w:t>
      </w:r>
      <w:r w:rsidR="00444A9D">
        <w:rPr>
          <w:rFonts w:ascii="Times New Roman" w:hAnsi="Times New Roman"/>
          <w:sz w:val="24"/>
        </w:rPr>
        <w:t>s</w:t>
      </w:r>
      <w:r w:rsidRPr="00D05648" w:rsidR="00D05648">
        <w:rPr>
          <w:rFonts w:ascii="Times New Roman" w:hAnsi="Times New Roman"/>
          <w:sz w:val="24"/>
        </w:rPr>
        <w:t xml:space="preserve"> from toxic chemical</w:t>
      </w:r>
      <w:r w:rsidR="00444A9D">
        <w:rPr>
          <w:rFonts w:ascii="Times New Roman" w:hAnsi="Times New Roman"/>
          <w:sz w:val="24"/>
        </w:rPr>
        <w:t xml:space="preserve"> exposure</w:t>
      </w:r>
      <w:r w:rsidRPr="00D05648" w:rsidR="00D05648">
        <w:rPr>
          <w:rFonts w:ascii="Times New Roman" w:hAnsi="Times New Roman"/>
          <w:sz w:val="24"/>
        </w:rPr>
        <w:t xml:space="preserve">, </w:t>
      </w:r>
      <w:r w:rsidRPr="00D05648" w:rsidR="00D05648">
        <w:rPr>
          <w:rFonts w:ascii="Times New Roman" w:hAnsi="Times New Roman"/>
          <w:sz w:val="24"/>
        </w:rPr>
        <w:t>lost productivity at affected facilities, emergency response costs, transaction costs from potential subsequent legal battles, property value losses in nearby neighborhoods, environmental damage and costs of evacuation and sheltering-in-place events, and others.</w:t>
      </w:r>
      <w:r w:rsidR="00D05648">
        <w:t xml:space="preserve"> </w:t>
      </w:r>
    </w:p>
    <w:p w:rsidR="003116D4" w:rsidP="00FF3C45" w14:paraId="4295790E" w14:textId="292D1BE4">
      <w:pPr>
        <w:ind w:left="720"/>
        <w:rPr>
          <w:rFonts w:ascii="Times New Roman" w:hAnsi="Times New Roman"/>
          <w:sz w:val="24"/>
        </w:rPr>
      </w:pPr>
      <w:r w:rsidRPr="00FF3C45">
        <w:rPr>
          <w:rFonts w:ascii="Times New Roman" w:hAnsi="Times New Roman"/>
          <w:sz w:val="24"/>
        </w:rPr>
        <w:t xml:space="preserve">EPA acknowledges that many of these provisions will require time and monetary commitments to implement. EPA also believes that many of these provisions are necessary updates to the existing RMP rule to ensure continued public safety concerning the operation of chemical facilities in and near communities. Further, the rule has been </w:t>
      </w:r>
      <w:r w:rsidRPr="00FF3C45">
        <w:rPr>
          <w:rFonts w:ascii="Times New Roman" w:hAnsi="Times New Roman"/>
          <w:sz w:val="24"/>
        </w:rPr>
        <w:t xml:space="preserve">structured such that the costliest provisions are targeted towards the largest and highest-risk facilities or </w:t>
      </w:r>
      <w:r w:rsidR="00CC5355">
        <w:rPr>
          <w:rFonts w:ascii="Times New Roman" w:hAnsi="Times New Roman"/>
          <w:sz w:val="24"/>
        </w:rPr>
        <w:t xml:space="preserve">take effect </w:t>
      </w:r>
      <w:r w:rsidRPr="00FF3C45">
        <w:rPr>
          <w:rFonts w:ascii="Times New Roman" w:hAnsi="Times New Roman"/>
          <w:sz w:val="24"/>
        </w:rPr>
        <w:t>only</w:t>
      </w:r>
      <w:r w:rsidRPr="00FF3C45">
        <w:rPr>
          <w:rFonts w:ascii="Times New Roman" w:hAnsi="Times New Roman"/>
          <w:sz w:val="24"/>
        </w:rPr>
        <w:t xml:space="preserve"> </w:t>
      </w:r>
      <w:r w:rsidRPr="00FF3C45">
        <w:rPr>
          <w:rFonts w:ascii="Times New Roman" w:hAnsi="Times New Roman"/>
          <w:sz w:val="24"/>
        </w:rPr>
        <w:t xml:space="preserve">after an accident. The only provision that </w:t>
      </w:r>
      <w:r w:rsidR="00CC5355">
        <w:rPr>
          <w:rFonts w:ascii="Times New Roman" w:hAnsi="Times New Roman"/>
          <w:sz w:val="24"/>
        </w:rPr>
        <w:t>is</w:t>
      </w:r>
      <w:r w:rsidRPr="00FF3C45">
        <w:rPr>
          <w:rFonts w:ascii="Times New Roman" w:hAnsi="Times New Roman"/>
          <w:sz w:val="24"/>
        </w:rPr>
        <w:t xml:space="preserve"> universally applicable </w:t>
      </w:r>
      <w:r w:rsidR="00CC5355">
        <w:rPr>
          <w:rFonts w:ascii="Times New Roman" w:hAnsi="Times New Roman"/>
          <w:sz w:val="24"/>
        </w:rPr>
        <w:t>is</w:t>
      </w:r>
      <w:r w:rsidRPr="00FF3C45">
        <w:rPr>
          <w:rFonts w:ascii="Times New Roman" w:hAnsi="Times New Roman"/>
          <w:sz w:val="24"/>
        </w:rPr>
        <w:t xml:space="preserve"> public disclosure</w:t>
      </w:r>
      <w:r w:rsidR="00CC5355">
        <w:rPr>
          <w:rFonts w:ascii="Times New Roman" w:hAnsi="Times New Roman"/>
          <w:sz w:val="24"/>
        </w:rPr>
        <w:t>.</w:t>
      </w:r>
      <w:r w:rsidRPr="00FF3C45">
        <w:rPr>
          <w:rFonts w:ascii="Times New Roman" w:hAnsi="Times New Roman"/>
          <w:sz w:val="24"/>
        </w:rPr>
        <w:t xml:space="preserve"> </w:t>
      </w:r>
      <w:r w:rsidR="00CC5355">
        <w:rPr>
          <w:rFonts w:ascii="Times New Roman" w:hAnsi="Times New Roman"/>
          <w:sz w:val="24"/>
        </w:rPr>
        <w:t xml:space="preserve">In addition, all RMP facilities will </w:t>
      </w:r>
      <w:r w:rsidR="00375B6E">
        <w:rPr>
          <w:rFonts w:ascii="Times New Roman" w:hAnsi="Times New Roman"/>
          <w:sz w:val="24"/>
        </w:rPr>
        <w:t>perform</w:t>
      </w:r>
      <w:r w:rsidR="00CC5355">
        <w:rPr>
          <w:rFonts w:ascii="Times New Roman" w:hAnsi="Times New Roman"/>
          <w:sz w:val="24"/>
        </w:rPr>
        <w:t xml:space="preserve"> the</w:t>
      </w:r>
      <w:r w:rsidRPr="00FF3C45">
        <w:rPr>
          <w:rFonts w:ascii="Times New Roman" w:hAnsi="Times New Roman"/>
          <w:sz w:val="24"/>
        </w:rPr>
        <w:t xml:space="preserve"> rule familiarization. Many other provisions – such as </w:t>
      </w:r>
      <w:r w:rsidR="00EB75EB">
        <w:rPr>
          <w:rFonts w:ascii="Times New Roman" w:hAnsi="Times New Roman"/>
          <w:sz w:val="24"/>
        </w:rPr>
        <w:t xml:space="preserve">root cause analysis incident </w:t>
      </w:r>
      <w:r w:rsidR="00F1417A">
        <w:rPr>
          <w:rFonts w:ascii="Times New Roman" w:hAnsi="Times New Roman"/>
          <w:sz w:val="24"/>
        </w:rPr>
        <w:t>investigation</w:t>
      </w:r>
      <w:r w:rsidRPr="00FF3C45">
        <w:rPr>
          <w:rFonts w:ascii="Times New Roman" w:hAnsi="Times New Roman"/>
          <w:sz w:val="24"/>
        </w:rPr>
        <w:t xml:space="preserve"> and third-party audits – are </w:t>
      </w:r>
      <w:r w:rsidR="00375B6E">
        <w:rPr>
          <w:rFonts w:ascii="Times New Roman" w:hAnsi="Times New Roman"/>
          <w:sz w:val="24"/>
        </w:rPr>
        <w:t>take effect</w:t>
      </w:r>
      <w:r w:rsidR="008F51BF">
        <w:rPr>
          <w:rFonts w:ascii="Times New Roman" w:hAnsi="Times New Roman"/>
          <w:sz w:val="24"/>
        </w:rPr>
        <w:t xml:space="preserve"> </w:t>
      </w:r>
      <w:r w:rsidRPr="00FF3C45">
        <w:rPr>
          <w:rFonts w:ascii="Times New Roman" w:hAnsi="Times New Roman"/>
          <w:sz w:val="24"/>
        </w:rPr>
        <w:t>only</w:t>
      </w:r>
      <w:r w:rsidRPr="00FF3C45">
        <w:rPr>
          <w:rFonts w:ascii="Times New Roman" w:hAnsi="Times New Roman"/>
          <w:sz w:val="24"/>
        </w:rPr>
        <w:t xml:space="preserve"> </w:t>
      </w:r>
      <w:r w:rsidRPr="00FF3C45">
        <w:rPr>
          <w:rFonts w:ascii="Times New Roman" w:hAnsi="Times New Roman"/>
          <w:sz w:val="24"/>
        </w:rPr>
        <w:t xml:space="preserve">under limited circumstances, including </w:t>
      </w:r>
      <w:r w:rsidR="008F51BF">
        <w:rPr>
          <w:rFonts w:ascii="Times New Roman" w:hAnsi="Times New Roman"/>
          <w:sz w:val="24"/>
        </w:rPr>
        <w:t>when</w:t>
      </w:r>
      <w:r w:rsidRPr="00FF3C45">
        <w:rPr>
          <w:rFonts w:ascii="Times New Roman" w:hAnsi="Times New Roman"/>
          <w:sz w:val="24"/>
        </w:rPr>
        <w:t xml:space="preserve"> an RMP-reportable accident occurs. Of the remaining provisions, several – such as STAA– </w:t>
      </w:r>
      <w:r w:rsidR="008F51BF">
        <w:rPr>
          <w:rFonts w:ascii="Times New Roman" w:hAnsi="Times New Roman"/>
          <w:sz w:val="24"/>
        </w:rPr>
        <w:t xml:space="preserve"> </w:t>
      </w:r>
      <w:r w:rsidRPr="00FF3C45">
        <w:rPr>
          <w:rFonts w:ascii="Times New Roman" w:hAnsi="Times New Roman"/>
          <w:sz w:val="24"/>
        </w:rPr>
        <w:t xml:space="preserve"> apply </w:t>
      </w:r>
      <w:r w:rsidR="008F51BF">
        <w:rPr>
          <w:rFonts w:ascii="Times New Roman" w:hAnsi="Times New Roman"/>
          <w:sz w:val="24"/>
        </w:rPr>
        <w:t xml:space="preserve">only </w:t>
      </w:r>
      <w:r w:rsidRPr="00FF3C45">
        <w:rPr>
          <w:rFonts w:ascii="Times New Roman" w:hAnsi="Times New Roman"/>
          <w:sz w:val="24"/>
        </w:rPr>
        <w:t>to a narrow subset of NAICS codes or facilities with response capabilities. It is highly unlikely that any facility will incur costs related to all provisions.</w:t>
      </w:r>
    </w:p>
    <w:p w:rsidR="00F02280" w:rsidRPr="00A93197" w:rsidP="00F02280" w14:paraId="239E8865" w14:textId="2BB7BB34">
      <w:pPr>
        <w:rPr>
          <w:rFonts w:ascii="Times New Roman" w:hAnsi="Times New Roman"/>
          <w:i/>
          <w:iCs/>
          <w:sz w:val="24"/>
        </w:rPr>
      </w:pPr>
      <w:r w:rsidRPr="00A93197">
        <w:rPr>
          <w:rFonts w:ascii="Times New Roman" w:hAnsi="Times New Roman"/>
          <w:i/>
          <w:iCs/>
          <w:sz w:val="24"/>
        </w:rPr>
        <w:t xml:space="preserve">Cumulative </w:t>
      </w:r>
      <w:r>
        <w:rPr>
          <w:rFonts w:ascii="Times New Roman" w:hAnsi="Times New Roman"/>
          <w:i/>
          <w:iCs/>
          <w:sz w:val="24"/>
        </w:rPr>
        <w:t>i</w:t>
      </w:r>
      <w:r w:rsidRPr="00A93197">
        <w:rPr>
          <w:rFonts w:ascii="Times New Roman" w:hAnsi="Times New Roman"/>
          <w:i/>
          <w:iCs/>
          <w:sz w:val="24"/>
        </w:rPr>
        <w:t>mpacts</w:t>
      </w:r>
    </w:p>
    <w:p w:rsidR="00F02280" w:rsidRPr="006F68E9" w:rsidP="00F02280" w14:paraId="13E349C9" w14:textId="007B8268">
      <w:pPr>
        <w:rPr>
          <w:rFonts w:ascii="Times New Roman" w:hAnsi="Times New Roman"/>
          <w:sz w:val="24"/>
        </w:rPr>
      </w:pPr>
      <w:r w:rsidRPr="00B15B05">
        <w:rPr>
          <w:rFonts w:ascii="Times New Roman" w:hAnsi="Times New Roman"/>
          <w:b/>
          <w:bCs/>
          <w:sz w:val="24"/>
        </w:rPr>
        <w:t>Comment</w:t>
      </w:r>
      <w:r>
        <w:rPr>
          <w:rFonts w:ascii="Times New Roman" w:hAnsi="Times New Roman"/>
          <w:b/>
          <w:bCs/>
          <w:sz w:val="24"/>
        </w:rPr>
        <w:t xml:space="preserve"> 1</w:t>
      </w:r>
      <w:r w:rsidR="00AC6555">
        <w:rPr>
          <w:rFonts w:ascii="Times New Roman" w:hAnsi="Times New Roman"/>
          <w:b/>
          <w:bCs/>
          <w:sz w:val="24"/>
        </w:rPr>
        <w:t>7</w:t>
      </w:r>
      <w:r>
        <w:rPr>
          <w:rFonts w:ascii="Times New Roman" w:hAnsi="Times New Roman"/>
          <w:b/>
          <w:bCs/>
          <w:sz w:val="24"/>
        </w:rPr>
        <w:t>-10</w:t>
      </w:r>
      <w:r w:rsidRPr="00B15B0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Several commenters urged EPA to address the cumulative health impacts from multiple polluting facilities since many RMP sites nationwide are clustered together, resulting in communities that are polluted with multiple hazards at once. The commenters pointed out that RMP facilities are disproportionately located near Black, Indigenous, Latinx, and low-income communities and that these vulnerable communities have a higher burden of disease (0143, 0156, 0158, 0160, 0203, 0208, 0209, 0219, 0240, 0255, 0270, 0444, 0451, 0456, 0460).</w:t>
      </w:r>
    </w:p>
    <w:p w:rsidR="00F02280" w:rsidP="00F02280" w14:paraId="11925540" w14:textId="77777777">
      <w:pPr>
        <w:rPr>
          <w:rFonts w:ascii="Times New Roman" w:hAnsi="Times New Roman"/>
          <w:sz w:val="24"/>
        </w:rPr>
      </w:pPr>
      <w:r w:rsidRPr="006F68E9">
        <w:rPr>
          <w:rFonts w:ascii="Times New Roman" w:hAnsi="Times New Roman"/>
          <w:sz w:val="24"/>
        </w:rPr>
        <w:t xml:space="preserve">Several commenters added that residents in environmental justice communities are not only threatened and harmed by potential chemical releases or explosions, but also the cumulative impacts of daily exposure to toxic air pollution (from RMP facilities and other sources) and disproportionate exposure to unsafe drinking water (0191, 0249, 0270, 0460, 0456). </w:t>
      </w:r>
    </w:p>
    <w:p w:rsidR="00F02280" w:rsidP="00F02280" w14:paraId="35DD38B0" w14:textId="77777777">
      <w:pPr>
        <w:rPr>
          <w:rFonts w:ascii="Times New Roman" w:hAnsi="Times New Roman"/>
          <w:sz w:val="24"/>
        </w:rPr>
      </w:pPr>
      <w:r w:rsidRPr="006F68E9">
        <w:rPr>
          <w:rFonts w:ascii="Times New Roman" w:hAnsi="Times New Roman"/>
          <w:sz w:val="24"/>
        </w:rPr>
        <w:t xml:space="preserve">One commenter stressed that EPA is required to comprehensively assess and redress cumulative impacts to underserved and coastal frontline communities through Executive Orders issued in 2021, which directs EPA to proactively promote and work toward achieving environmental justice. The commenter added that EPA should address the impacts of not rectifying barriers to environmental justice faced by these communities and not having proactive emergency plans in place before a disaster (0444). </w:t>
      </w:r>
    </w:p>
    <w:p w:rsidR="00F02280" w:rsidP="00F02280" w14:paraId="02D499DF" w14:textId="77777777">
      <w:pPr>
        <w:rPr>
          <w:rFonts w:ascii="Times New Roman" w:hAnsi="Times New Roman"/>
          <w:sz w:val="24"/>
        </w:rPr>
      </w:pPr>
      <w:r w:rsidRPr="006F68E9">
        <w:rPr>
          <w:rFonts w:ascii="Times New Roman" w:hAnsi="Times New Roman"/>
          <w:sz w:val="24"/>
        </w:rPr>
        <w:t>One commenter stated that, due to the multiple stressors contributing to cumulative impacts, EPA should target facilities in environmental justice communities with a history of incidents, with increased compliance scrutiny and, when appropriate, enforcement actions (0409).</w:t>
      </w:r>
      <w:r>
        <w:rPr>
          <w:rFonts w:ascii="Times New Roman" w:hAnsi="Times New Roman"/>
          <w:sz w:val="24"/>
        </w:rPr>
        <w:t xml:space="preserve"> </w:t>
      </w:r>
      <w:r w:rsidRPr="006F68E9">
        <w:rPr>
          <w:rFonts w:ascii="Times New Roman" w:hAnsi="Times New Roman"/>
          <w:sz w:val="24"/>
        </w:rPr>
        <w:t xml:space="preserve"> </w:t>
      </w:r>
    </w:p>
    <w:p w:rsidR="00493F98" w:rsidRPr="003E25B6" w:rsidP="00493F98" w14:paraId="55B2B085" w14:textId="1655351F">
      <w:pPr>
        <w:ind w:left="720"/>
        <w:rPr>
          <w:rFonts w:ascii="Times New Roman" w:eastAsia="Times New Roman" w:hAnsi="Times New Roman"/>
          <w:color w:val="000000" w:themeColor="text1"/>
          <w:sz w:val="24"/>
        </w:rPr>
      </w:pPr>
      <w:r w:rsidRPr="003A2B20">
        <w:rPr>
          <w:rFonts w:ascii="Times New Roman" w:hAnsi="Times New Roman"/>
          <w:b/>
          <w:bCs/>
          <w:sz w:val="24"/>
        </w:rPr>
        <w:t>EPA Response</w:t>
      </w:r>
      <w:r>
        <w:rPr>
          <w:rFonts w:ascii="Times New Roman" w:hAnsi="Times New Roman"/>
          <w:sz w:val="24"/>
        </w:rPr>
        <w:t xml:space="preserve">: </w:t>
      </w:r>
      <w:r w:rsidR="00954D85">
        <w:rPr>
          <w:rFonts w:ascii="Times New Roman" w:hAnsi="Times New Roman"/>
          <w:sz w:val="24"/>
        </w:rPr>
        <w:t xml:space="preserve">As major </w:t>
      </w:r>
      <w:r w:rsidR="00A80903">
        <w:rPr>
          <w:rFonts w:ascii="Times New Roman" w:hAnsi="Times New Roman"/>
          <w:sz w:val="24"/>
        </w:rPr>
        <w:t xml:space="preserve">and other serious and concerning </w:t>
      </w:r>
      <w:r w:rsidR="00954D85">
        <w:rPr>
          <w:rFonts w:ascii="Times New Roman" w:hAnsi="Times New Roman"/>
          <w:sz w:val="24"/>
        </w:rPr>
        <w:t xml:space="preserve">RMP accidents continue to occur, </w:t>
      </w:r>
      <w:r w:rsidR="00A80903">
        <w:rPr>
          <w:rFonts w:ascii="Times New Roman" w:hAnsi="Times New Roman"/>
          <w:sz w:val="24"/>
        </w:rPr>
        <w:t xml:space="preserve">the record shows and </w:t>
      </w:r>
      <w:r w:rsidRPr="003E25B6">
        <w:rPr>
          <w:rFonts w:ascii="Times New Roman" w:eastAsia="Times New Roman" w:hAnsi="Times New Roman"/>
          <w:color w:val="000000" w:themeColor="text1"/>
          <w:sz w:val="24"/>
        </w:rPr>
        <w:t xml:space="preserve">EPA </w:t>
      </w:r>
      <w:r w:rsidR="00A80903">
        <w:rPr>
          <w:rFonts w:ascii="Times New Roman" w:eastAsia="Times New Roman" w:hAnsi="Times New Roman"/>
          <w:color w:val="000000" w:themeColor="text1"/>
          <w:sz w:val="24"/>
        </w:rPr>
        <w:t>believes that this final rule will help</w:t>
      </w:r>
      <w:r w:rsidRPr="003E25B6">
        <w:rPr>
          <w:rFonts w:ascii="Times New Roman" w:eastAsia="Times New Roman" w:hAnsi="Times New Roman"/>
          <w:color w:val="000000" w:themeColor="text1"/>
          <w:sz w:val="24"/>
        </w:rPr>
        <w:t xml:space="preserve"> protect human health and the environment from RMP accidents. </w:t>
      </w:r>
      <w:r w:rsidRPr="003E25B6">
        <w:rPr>
          <w:rFonts w:ascii="Times New Roman" w:eastAsia="Times New Roman" w:hAnsi="Times New Roman"/>
          <w:color w:val="000000" w:themeColor="text1"/>
          <w:sz w:val="24"/>
        </w:rPr>
        <w:t>The final rule’s emphasis is on protecting communities most at risk of having an accidental release from a facility in their midst</w:t>
      </w:r>
      <w:r>
        <w:rPr>
          <w:rFonts w:ascii="Times New Roman" w:eastAsia="Times New Roman" w:hAnsi="Times New Roman"/>
          <w:color w:val="000000" w:themeColor="text1"/>
          <w:sz w:val="24"/>
        </w:rPr>
        <w:t>, including</w:t>
      </w:r>
      <w:r w:rsidR="00F84919">
        <w:rPr>
          <w:rFonts w:ascii="Times New Roman" w:eastAsia="Times New Roman" w:hAnsi="Times New Roman"/>
          <w:color w:val="000000" w:themeColor="text1"/>
          <w:sz w:val="24"/>
        </w:rPr>
        <w:t xml:space="preserve"> overburdened</w:t>
      </w:r>
      <w:r>
        <w:rPr>
          <w:rFonts w:ascii="Times New Roman" w:eastAsia="Times New Roman" w:hAnsi="Times New Roman"/>
          <w:color w:val="000000" w:themeColor="text1"/>
          <w:sz w:val="24"/>
        </w:rPr>
        <w:t xml:space="preserve"> communities with multiple nearby facilities</w:t>
      </w:r>
      <w:r w:rsidRPr="003E25B6">
        <w:rPr>
          <w:rFonts w:ascii="Times New Roman" w:eastAsia="Times New Roman" w:hAnsi="Times New Roman"/>
          <w:color w:val="000000" w:themeColor="text1"/>
          <w:sz w:val="24"/>
        </w:rPr>
        <w:t>. Under the final rule, facilities in these communities will be required to do more to prevent chemical accidents, including conducting an STAA, more</w:t>
      </w:r>
      <w:r w:rsidRPr="003E25B6">
        <w:rPr>
          <w:rFonts w:ascii="Times New Roman" w:eastAsia="Times New Roman" w:hAnsi="Times New Roman"/>
          <w:sz w:val="24"/>
        </w:rPr>
        <w:t xml:space="preserve"> </w:t>
      </w:r>
      <w:r w:rsidRPr="003E25B6">
        <w:rPr>
          <w:rFonts w:ascii="Times New Roman" w:eastAsia="Times New Roman" w:hAnsi="Times New Roman"/>
          <w:color w:val="000000" w:themeColor="text1"/>
          <w:sz w:val="24"/>
        </w:rPr>
        <w:t>thorough incident investigations, and third-party audits. The final rule also includes new prevention provisions that have not been addressed in prior RMP rules, including empowering workers to make safety decisions and report non-</w:t>
      </w:r>
      <w:r w:rsidRPr="003E25B6">
        <w:rPr>
          <w:rFonts w:ascii="Times New Roman" w:eastAsia="Times New Roman" w:hAnsi="Times New Roman"/>
          <w:sz w:val="24"/>
        </w:rPr>
        <w:t xml:space="preserve">compliance. The Agency is </w:t>
      </w:r>
      <w:r w:rsidRPr="003E25B6">
        <w:rPr>
          <w:rFonts w:ascii="Times New Roman" w:eastAsia="Times New Roman" w:hAnsi="Times New Roman"/>
          <w:color w:val="000000" w:themeColor="text1"/>
          <w:sz w:val="24"/>
        </w:rPr>
        <w:t>also increasing access to RMP facility information for fenceline communities in commonly spoken languages. EPA believes th</w:t>
      </w:r>
      <w:r w:rsidR="000C523C">
        <w:rPr>
          <w:rFonts w:ascii="Times New Roman" w:eastAsia="Times New Roman" w:hAnsi="Times New Roman"/>
          <w:color w:val="000000" w:themeColor="text1"/>
          <w:sz w:val="24"/>
        </w:rPr>
        <w:t>e</w:t>
      </w:r>
      <w:r w:rsidRPr="003E25B6">
        <w:rPr>
          <w:rFonts w:ascii="Times New Roman" w:eastAsia="Times New Roman" w:hAnsi="Times New Roman"/>
          <w:color w:val="000000" w:themeColor="text1"/>
          <w:sz w:val="24"/>
        </w:rPr>
        <w:t xml:space="preserve"> final rule promotes transparency and </w:t>
      </w:r>
      <w:r w:rsidR="00A86043">
        <w:rPr>
          <w:rFonts w:ascii="Times New Roman" w:eastAsia="Times New Roman" w:hAnsi="Times New Roman"/>
          <w:color w:val="000000" w:themeColor="text1"/>
          <w:sz w:val="24"/>
        </w:rPr>
        <w:t>provides</w:t>
      </w:r>
      <w:r w:rsidRPr="003E25B6">
        <w:rPr>
          <w:rFonts w:ascii="Times New Roman" w:eastAsia="Times New Roman" w:hAnsi="Times New Roman"/>
          <w:color w:val="000000" w:themeColor="text1"/>
          <w:sz w:val="24"/>
        </w:rPr>
        <w:t xml:space="preserve"> more opportunities for the public and workers to be involved in accident prevention and emergency planning. </w:t>
      </w:r>
    </w:p>
    <w:p w:rsidR="00493F98" w:rsidRPr="00B14E03" w:rsidP="00493F98" w14:paraId="432AC352" w14:textId="3DBD7DA1">
      <w:pPr>
        <w:ind w:left="720"/>
        <w:rPr>
          <w:rFonts w:ascii="Times New Roman" w:eastAsia="Times New Roman" w:hAnsi="Times New Roman"/>
          <w:color w:val="000000" w:themeColor="text1"/>
          <w:sz w:val="24"/>
        </w:rPr>
      </w:pPr>
      <w:r w:rsidRPr="003E25B6">
        <w:rPr>
          <w:rFonts w:ascii="Times New Roman" w:eastAsia="Times New Roman" w:hAnsi="Times New Roman"/>
          <w:color w:val="000000" w:themeColor="text1"/>
          <w:sz w:val="24"/>
        </w:rPr>
        <w:t xml:space="preserve">EPA agrees </w:t>
      </w:r>
      <w:r w:rsidR="00E357A4">
        <w:rPr>
          <w:rFonts w:ascii="Times New Roman" w:eastAsia="Times New Roman" w:hAnsi="Times New Roman"/>
          <w:color w:val="000000" w:themeColor="text1"/>
          <w:sz w:val="24"/>
        </w:rPr>
        <w:t>en</w:t>
      </w:r>
      <w:r w:rsidRPr="003E25B6">
        <w:rPr>
          <w:rFonts w:ascii="Times New Roman" w:eastAsia="Times New Roman" w:hAnsi="Times New Roman"/>
          <w:color w:val="000000" w:themeColor="text1"/>
          <w:sz w:val="24"/>
        </w:rPr>
        <w:t xml:space="preserve">forcement will help ensure compliance with the rule. Enforcement of RMP </w:t>
      </w:r>
      <w:r w:rsidR="00A86043">
        <w:rPr>
          <w:rFonts w:ascii="Times New Roman" w:eastAsia="Times New Roman" w:hAnsi="Times New Roman"/>
          <w:color w:val="000000" w:themeColor="text1"/>
          <w:sz w:val="24"/>
        </w:rPr>
        <w:t xml:space="preserve">regulations at RMP </w:t>
      </w:r>
      <w:r w:rsidRPr="003E25B6">
        <w:rPr>
          <w:rFonts w:ascii="Times New Roman" w:eastAsia="Times New Roman" w:hAnsi="Times New Roman"/>
          <w:color w:val="000000" w:themeColor="text1"/>
          <w:sz w:val="24"/>
        </w:rPr>
        <w:t xml:space="preserve">facilities remains an Agency priority, as indicated by its adoption as a National Enforcement and Compliance Initiative (NECI) since 2017. </w:t>
      </w:r>
    </w:p>
    <w:p w:rsidR="00F02280" w:rsidRPr="006F68E9" w:rsidP="00F02280" w14:paraId="556E7963" w14:textId="2D0F77D4">
      <w:pPr>
        <w:rPr>
          <w:rFonts w:ascii="Times New Roman" w:hAnsi="Times New Roman"/>
          <w:sz w:val="24"/>
        </w:rPr>
      </w:pPr>
      <w:r w:rsidRPr="005329DB">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-11</w:t>
      </w:r>
      <w:r w:rsidRPr="005329DB">
        <w:rPr>
          <w:rFonts w:ascii="Times New Roman" w:hAnsi="Times New Roman"/>
          <w:b/>
          <w:bCs/>
          <w:sz w:val="24"/>
        </w:rPr>
        <w:t>:</w:t>
      </w:r>
      <w:r>
        <w:rPr>
          <w:rFonts w:ascii="Times New Roman" w:hAnsi="Times New Roman"/>
          <w:sz w:val="24"/>
        </w:rPr>
        <w:t xml:space="preserve"> One</w:t>
      </w:r>
      <w:r w:rsidRPr="006F68E9">
        <w:rPr>
          <w:rFonts w:ascii="Times New Roman" w:hAnsi="Times New Roman"/>
          <w:sz w:val="24"/>
        </w:rPr>
        <w:t xml:space="preserve"> commenter suggested that EPA should consider how accident damages combine with other cumulative impacts faced by fenceline and environmental justice communities, to result in higher costs for the affected population</w:t>
      </w:r>
      <w:r>
        <w:rPr>
          <w:rFonts w:ascii="Times New Roman" w:hAnsi="Times New Roman"/>
          <w:sz w:val="24"/>
        </w:rPr>
        <w:t xml:space="preserve"> (0266). </w:t>
      </w:r>
      <w:r w:rsidRPr="00B56410">
        <w:rPr>
          <w:rFonts w:ascii="Times New Roman" w:hAnsi="Times New Roman"/>
          <w:i/>
          <w:color w:val="4472C4" w:themeColor="accent1"/>
          <w:sz w:val="24"/>
        </w:rPr>
        <w:t xml:space="preserve"> </w:t>
      </w:r>
      <w:r>
        <w:rPr>
          <w:rFonts w:ascii="Times New Roman" w:hAnsi="Times New Roman"/>
          <w:sz w:val="24"/>
        </w:rPr>
        <w:t>Another c</w:t>
      </w:r>
      <w:r w:rsidRPr="006F68E9">
        <w:rPr>
          <w:rFonts w:ascii="Times New Roman" w:hAnsi="Times New Roman"/>
          <w:sz w:val="24"/>
        </w:rPr>
        <w:t>ommenter recommended that EPA analyze cumulative impacts, including climate-related cumulative impacts. Doing so will provide a more realistic picture of the environmental burdens faced by these underserved communities (0444).</w:t>
      </w:r>
    </w:p>
    <w:p w:rsidR="009A7588" w:rsidRPr="004625A6" w:rsidP="00987058" w14:paraId="29574369" w14:textId="14CA8276">
      <w:pPr>
        <w:pStyle w:val="pf0"/>
        <w:spacing w:before="120" w:beforeAutospacing="0" w:after="120" w:afterAutospacing="0"/>
        <w:ind w:left="720"/>
      </w:pPr>
      <w:r w:rsidRPr="004625A6">
        <w:rPr>
          <w:b/>
          <w:bCs/>
        </w:rPr>
        <w:t>EPA Response</w:t>
      </w:r>
      <w:r w:rsidRPr="004625A6">
        <w:t xml:space="preserve">: </w:t>
      </w:r>
      <w:r w:rsidRPr="004625A6" w:rsidR="004625A6">
        <w:t xml:space="preserve">EPA discussed climate-related cumulative impacts in Section 9.5, noting that to the extent that the final provisions mitigate the potential consequences of accidents at regulated facilities as the result of natural hazards, EPA expects these provisions to benefit nearby communities with environmental justice concerns, including communities with higher percentages of both low-income residents and residents belonging to historically underserved and overburdened racial and ethnic groups. </w:t>
      </w:r>
    </w:p>
    <w:p w:rsidR="00F02280" w:rsidRPr="00A710CF" w:rsidP="00F02280" w14:paraId="7D0C4490" w14:textId="77777777">
      <w:pPr>
        <w:rPr>
          <w:rFonts w:ascii="Times New Roman" w:hAnsi="Times New Roman"/>
          <w:i/>
          <w:iCs/>
          <w:sz w:val="24"/>
        </w:rPr>
      </w:pPr>
      <w:r w:rsidRPr="00A710CF">
        <w:rPr>
          <w:rFonts w:ascii="Times New Roman" w:hAnsi="Times New Roman"/>
          <w:i/>
          <w:iCs/>
          <w:sz w:val="24"/>
        </w:rPr>
        <w:t xml:space="preserve">Data and </w:t>
      </w:r>
      <w:r>
        <w:rPr>
          <w:rFonts w:ascii="Times New Roman" w:hAnsi="Times New Roman"/>
          <w:i/>
          <w:iCs/>
          <w:sz w:val="24"/>
        </w:rPr>
        <w:t>a</w:t>
      </w:r>
      <w:r w:rsidRPr="00A710CF">
        <w:rPr>
          <w:rFonts w:ascii="Times New Roman" w:hAnsi="Times New Roman"/>
          <w:i/>
          <w:iCs/>
          <w:sz w:val="24"/>
        </w:rPr>
        <w:t>nalysis</w:t>
      </w:r>
    </w:p>
    <w:p w:rsidR="00F02280" w:rsidRPr="006F68E9" w:rsidP="00F02280" w14:paraId="5AAF339C" w14:textId="73506719">
      <w:pPr>
        <w:rPr>
          <w:rFonts w:ascii="Times New Roman" w:hAnsi="Times New Roman"/>
          <w:sz w:val="24"/>
        </w:rPr>
      </w:pPr>
      <w:r w:rsidRPr="0033489E">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-12</w:t>
      </w:r>
      <w:r w:rsidRPr="0033489E">
        <w:rPr>
          <w:rFonts w:ascii="Times New Roman" w:hAnsi="Times New Roman"/>
          <w:b/>
          <w:bCs/>
          <w:sz w:val="24"/>
        </w:rPr>
        <w:t xml:space="preserve">: </w:t>
      </w:r>
      <w:r>
        <w:rPr>
          <w:rFonts w:ascii="Times New Roman" w:hAnsi="Times New Roman"/>
          <w:sz w:val="24"/>
        </w:rPr>
        <w:t xml:space="preserve">Several commenters cited data or analyses in support of strengthening environmental justice in communities around RMP facilities. </w:t>
      </w:r>
      <w:r w:rsidRPr="006F68E9">
        <w:rPr>
          <w:rFonts w:ascii="Times New Roman" w:hAnsi="Times New Roman"/>
          <w:sz w:val="24"/>
        </w:rPr>
        <w:t>One commenter, referring to data that show that RMP facilities are not spread equally across the country, urged EPA to use the data to show the need for stronger rules. The commenter pointed out that the data show about 832 counties have five or more RMP facilities and about 1,349 have one to four facilities (0456).</w:t>
      </w:r>
    </w:p>
    <w:p w:rsidR="00F02280" w:rsidRPr="006F68E9" w:rsidP="00F02280" w14:paraId="0E5BC5B6" w14:textId="77777777">
      <w:pPr>
        <w:rPr>
          <w:rFonts w:ascii="Times New Roman" w:hAnsi="Times New Roman"/>
          <w:sz w:val="24"/>
        </w:rPr>
      </w:pPr>
      <w:r w:rsidRPr="006F68E9">
        <w:rPr>
          <w:rFonts w:ascii="Times New Roman" w:hAnsi="Times New Roman"/>
          <w:sz w:val="24"/>
        </w:rPr>
        <w:t xml:space="preserve">A couple of commenters provided maps showing the disproportionate and severe hazards for example communities around the </w:t>
      </w:r>
      <w:r>
        <w:rPr>
          <w:rFonts w:ascii="Times New Roman" w:hAnsi="Times New Roman"/>
          <w:sz w:val="24"/>
        </w:rPr>
        <w:t>United States</w:t>
      </w:r>
      <w:r w:rsidRPr="006F68E9">
        <w:rPr>
          <w:rFonts w:ascii="Times New Roman" w:hAnsi="Times New Roman"/>
          <w:sz w:val="24"/>
        </w:rPr>
        <w:t>. The commenters stated that these maps illustrate that RMP facilities are often located in communities that also have other high environmental health burdens, like cancer risk from toxic air pollution and show a need to strengthen chemical disaster prevention rules (0456, 0460).</w:t>
      </w:r>
    </w:p>
    <w:p w:rsidR="00F02280" w:rsidRPr="006F68E9" w:rsidP="00F02280" w14:paraId="71BC8904" w14:textId="77777777">
      <w:pPr>
        <w:rPr>
          <w:rFonts w:ascii="Times New Roman" w:hAnsi="Times New Roman"/>
          <w:sz w:val="24"/>
        </w:rPr>
      </w:pPr>
      <w:r w:rsidRPr="006F68E9">
        <w:rPr>
          <w:rFonts w:ascii="Times New Roman" w:hAnsi="Times New Roman"/>
          <w:sz w:val="24"/>
        </w:rPr>
        <w:t>One commenter described a statistical analysis they performed at the zip code level to identify the current state of environmental justice regarding RMP facilities. The commenter</w:t>
      </w:r>
      <w:r>
        <w:rPr>
          <w:rFonts w:ascii="Times New Roman" w:hAnsi="Times New Roman"/>
          <w:sz w:val="24"/>
        </w:rPr>
        <w:t>’s</w:t>
      </w:r>
      <w:r w:rsidRPr="006F68E9">
        <w:rPr>
          <w:rFonts w:ascii="Times New Roman" w:hAnsi="Times New Roman"/>
          <w:sz w:val="24"/>
        </w:rPr>
        <w:t xml:space="preserve"> analysis found that whether examined by race or by income the current state of the distribution of RMP facilities represents an environmental injustice that needs to be addressed (0183). </w:t>
      </w:r>
    </w:p>
    <w:p w:rsidR="007D093D" w:rsidRPr="00793985" w:rsidP="00987058" w14:paraId="518E5298" w14:textId="6A4BF5B3">
      <w:pPr>
        <w:pStyle w:val="pf0"/>
        <w:spacing w:before="120" w:beforeAutospacing="0" w:after="120" w:afterAutospacing="0"/>
        <w:ind w:left="720"/>
      </w:pPr>
      <w:r w:rsidRPr="003A2B20">
        <w:rPr>
          <w:b/>
          <w:bCs/>
        </w:rPr>
        <w:t>EPA Response</w:t>
      </w:r>
      <w:r>
        <w:t xml:space="preserve">: </w:t>
      </w:r>
      <w:r w:rsidRPr="00793985">
        <w:t xml:space="preserve">EPA’s analysis does take into consideration the spatial distribution of RMP facilities by evaluating the community characteristics within specified distances of RMP facility locations. EPA also included a map of the distribution of RMP facilities in the United States and highlighted the fact that certain areas appear to have a higher concentration of facilities than others, including in the Midwest, mid-Atlantic coast, </w:t>
      </w:r>
      <w:r w:rsidR="00A31B06">
        <w:t xml:space="preserve">the </w:t>
      </w:r>
      <w:r w:rsidRPr="00793985">
        <w:t>Central Valley in California, and along the Gulf of Mexico throughout Texas and Louisiana.</w:t>
      </w:r>
    </w:p>
    <w:p w:rsidR="009A7588" w:rsidRPr="00793985" w:rsidP="00987058" w14:paraId="14687047" w14:textId="4D48B7D2">
      <w:pPr>
        <w:pStyle w:val="pf0"/>
        <w:spacing w:before="120" w:beforeAutospacing="0" w:after="120" w:afterAutospacing="0"/>
        <w:ind w:left="720"/>
      </w:pPr>
      <w:r w:rsidRPr="00793985">
        <w:t>EPA’s analysis does not contradict the zip code level statistical analysis as EPA similarly found that communities near RMP facilities and facilities with RMP-related accidents have higher percentages of low income individuals and Black (non-Hispanic) and Hispanic residents compared to the national comparison group.</w:t>
      </w:r>
    </w:p>
    <w:p w:rsidR="00F02280" w:rsidP="00F02280" w14:paraId="28D0E697" w14:textId="496CB63C">
      <w:pPr>
        <w:rPr>
          <w:rFonts w:ascii="Times New Roman" w:hAnsi="Times New Roman"/>
          <w:sz w:val="24"/>
        </w:rPr>
      </w:pPr>
      <w:r w:rsidRPr="0044789C">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-13</w:t>
      </w:r>
      <w:r w:rsidRPr="0044789C">
        <w:rPr>
          <w:rFonts w:ascii="Times New Roman" w:hAnsi="Times New Roman"/>
          <w:b/>
          <w:bCs/>
          <w:sz w:val="24"/>
        </w:rPr>
        <w:t>:</w:t>
      </w:r>
      <w:r>
        <w:rPr>
          <w:rFonts w:ascii="Times New Roman" w:hAnsi="Times New Roman"/>
          <w:sz w:val="24"/>
        </w:rPr>
        <w:t xml:space="preserve"> One </w:t>
      </w:r>
      <w:r w:rsidRPr="006F68E9">
        <w:rPr>
          <w:rFonts w:ascii="Times New Roman" w:hAnsi="Times New Roman"/>
          <w:sz w:val="24"/>
        </w:rPr>
        <w:t>commenter urged EPA to use its EJScreen mapping tool, which now can identify disadvantaged communities at the census tract level, to prioritize protection for fenceline communities where action is most needed (0460).</w:t>
      </w:r>
    </w:p>
    <w:p w:rsidR="00F02280" w:rsidP="00F02280" w14:paraId="712AFC2E" w14:textId="77777777">
      <w:pPr>
        <w:rPr>
          <w:rFonts w:ascii="Times New Roman" w:hAnsi="Times New Roman"/>
          <w:sz w:val="24"/>
        </w:rPr>
      </w:pPr>
      <w:r>
        <w:rPr>
          <w:rFonts w:ascii="Times New Roman" w:hAnsi="Times New Roman"/>
          <w:sz w:val="24"/>
        </w:rPr>
        <w:t>Another</w:t>
      </w:r>
      <w:r w:rsidRPr="006F68E9">
        <w:rPr>
          <w:rFonts w:ascii="Times New Roman" w:hAnsi="Times New Roman"/>
          <w:sz w:val="24"/>
        </w:rPr>
        <w:t xml:space="preserve"> commenter stated that EPA and state agencies can improve the protection of communities during and after a chemical disaster and </w:t>
      </w:r>
      <w:r>
        <w:rPr>
          <w:rFonts w:ascii="Times New Roman" w:hAnsi="Times New Roman"/>
          <w:sz w:val="24"/>
        </w:rPr>
        <w:t>stated</w:t>
      </w:r>
      <w:r w:rsidRPr="006F68E9">
        <w:rPr>
          <w:rFonts w:ascii="Times New Roman" w:hAnsi="Times New Roman"/>
          <w:sz w:val="24"/>
        </w:rPr>
        <w:t xml:space="preserve"> that EPA can use the EJScreen tool to access at-risk communities during facility incidents (0164). </w:t>
      </w:r>
    </w:p>
    <w:p w:rsidR="00631B75" w:rsidRPr="0072252B" w:rsidP="00987058" w14:paraId="782D6838" w14:textId="77777777">
      <w:pPr>
        <w:pStyle w:val="pf0"/>
        <w:spacing w:before="120" w:beforeAutospacing="0" w:after="120" w:afterAutospacing="0"/>
        <w:ind w:left="720"/>
      </w:pPr>
      <w:r w:rsidRPr="003A2B20">
        <w:rPr>
          <w:b/>
          <w:bCs/>
        </w:rPr>
        <w:t>EPA Response</w:t>
      </w:r>
      <w:r w:rsidRPr="0072252B">
        <w:t xml:space="preserve">: </w:t>
      </w:r>
      <w:r w:rsidRPr="0072252B">
        <w:t>Data from EPA’s EJScreen at the Census Block Group (CBG) level were used for the analysis summarized in Chapter 9. This is a finer spatial scale than census tracts.</w:t>
      </w:r>
    </w:p>
    <w:p w:rsidR="00F02280" w:rsidRPr="00C71BF7" w:rsidP="00F02280" w14:paraId="7CE8B6F6" w14:textId="77777777">
      <w:pPr>
        <w:rPr>
          <w:rFonts w:ascii="Times New Roman" w:hAnsi="Times New Roman"/>
          <w:i/>
          <w:iCs/>
          <w:sz w:val="24"/>
        </w:rPr>
      </w:pPr>
      <w:r w:rsidRPr="00C71BF7">
        <w:rPr>
          <w:rFonts w:ascii="Times New Roman" w:hAnsi="Times New Roman"/>
          <w:i/>
          <w:iCs/>
          <w:sz w:val="24"/>
        </w:rPr>
        <w:t>Enforcement</w:t>
      </w:r>
    </w:p>
    <w:p w:rsidR="00F02280" w:rsidRPr="006F68E9" w:rsidP="00F02280" w14:paraId="06C00517" w14:textId="0F9084BE">
      <w:pPr>
        <w:rPr>
          <w:rFonts w:ascii="Times New Roman" w:hAnsi="Times New Roman"/>
          <w:sz w:val="24"/>
        </w:rPr>
      </w:pPr>
      <w:r w:rsidRPr="00C71BF7">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-14</w:t>
      </w:r>
      <w:r w:rsidRPr="00C71BF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 couple of commenters expressed concern about the lack of enforcement, facility accountability and consequences, and industries self-reporting. </w:t>
      </w:r>
      <w:r w:rsidRPr="006F68E9">
        <w:rPr>
          <w:rFonts w:ascii="Times New Roman" w:hAnsi="Times New Roman"/>
          <w:sz w:val="24"/>
        </w:rPr>
        <w:t>The commenters</w:t>
      </w:r>
      <w:r w:rsidRPr="006F68E9">
        <w:rPr>
          <w:rFonts w:ascii="Times New Roman" w:hAnsi="Times New Roman"/>
          <w:sz w:val="24"/>
        </w:rPr>
        <w:t xml:space="preserve"> requested that RMPs be approved by the surrounding communities before they are finalized (0270, 0331). One of the commenters added that the </w:t>
      </w:r>
      <w:r>
        <w:rPr>
          <w:rFonts w:ascii="Times New Roman" w:hAnsi="Times New Roman"/>
          <w:sz w:val="24"/>
        </w:rPr>
        <w:t>proposed rule</w:t>
      </w:r>
      <w:r w:rsidRPr="006F68E9">
        <w:rPr>
          <w:rFonts w:ascii="Times New Roman" w:hAnsi="Times New Roman"/>
          <w:sz w:val="24"/>
        </w:rPr>
        <w:t xml:space="preserve"> should include penalties sufficient to ensure compliance and deter facilities from future actions that can put workers and communities in harm’s way (0270).</w:t>
      </w:r>
    </w:p>
    <w:p w:rsidR="00F02280" w:rsidP="00F02280" w14:paraId="0F8FF171" w14:textId="77777777">
      <w:pPr>
        <w:rPr>
          <w:rFonts w:ascii="Times New Roman" w:hAnsi="Times New Roman"/>
          <w:sz w:val="24"/>
        </w:rPr>
      </w:pPr>
      <w:r>
        <w:rPr>
          <w:rFonts w:ascii="Times New Roman" w:hAnsi="Times New Roman"/>
          <w:sz w:val="24"/>
        </w:rPr>
        <w:t>One commenter</w:t>
      </w:r>
      <w:r w:rsidRPr="006F68E9">
        <w:rPr>
          <w:rFonts w:ascii="Times New Roman" w:hAnsi="Times New Roman"/>
          <w:sz w:val="24"/>
        </w:rPr>
        <w:t xml:space="preserve">, who supports a stronger RMP rule to prevent disasters, asserted that a wide variety of experts have demonstrated conclusively to EPA that voluntary measures are not working to prevent chemical incidents and that there is abundant evidence available to EPA of policies and methods proven to reduce and remove hazards. The commenter insisted that any new RMP rule remove loopholes and reject the assumption that voluntary actions will protect workers and communities from the persistent cumulative impacts of chemical disasters disproportionately occurring in communities of color and low-income communities. The commenter added that the </w:t>
      </w:r>
      <w:r>
        <w:rPr>
          <w:rFonts w:ascii="Times New Roman" w:hAnsi="Times New Roman"/>
          <w:sz w:val="24"/>
        </w:rPr>
        <w:t>proposed rule</w:t>
      </w:r>
      <w:r w:rsidRPr="006F68E9">
        <w:rPr>
          <w:rFonts w:ascii="Times New Roman" w:hAnsi="Times New Roman"/>
          <w:sz w:val="24"/>
        </w:rPr>
        <w:t xml:space="preserve"> requires facilities to “evaluate” for natural hazards but does not require them to implement prevention measures because of that evaluation, which leaves facilities and neighboring communities vulnerable to predictable disasters caused or exacerbated by natural hazards. The commenter emphasized that this failure to require implementation means that EPA is not addressing the real-world risk environmental justice communities face. The commenter urged EPA to focus increased compliance and enforcement action on facilities located in environmental justice communities and ensure state and local governments are equitably and justly enforcing the RMP (0270).</w:t>
      </w:r>
    </w:p>
    <w:p w:rsidR="007B186D" w:rsidP="00F02280" w14:paraId="3C363F5B" w14:textId="4C2C844E">
      <w:pPr>
        <w:rPr>
          <w:rFonts w:ascii="Times New Roman" w:hAnsi="Times New Roman"/>
          <w:sz w:val="24"/>
        </w:rPr>
      </w:pPr>
      <w:r w:rsidRPr="006F68E9">
        <w:rPr>
          <w:rFonts w:ascii="Times New Roman" w:hAnsi="Times New Roman"/>
          <w:sz w:val="24"/>
        </w:rPr>
        <w:t>Pointing out the barriers to potential reporting by a member of an environmental justice community, one commenter stated that relying on the public for facility oversight places an unreasonable burden on people already suffering under the weight of chemical exposure and the risk of accidents (0254).</w:t>
      </w:r>
    </w:p>
    <w:p w:rsidR="00DC4EA9" w:rsidRPr="00B24234" w:rsidP="00DC4EA9" w14:paraId="68C29A82" w14:textId="67195FAC">
      <w:pPr>
        <w:ind w:left="720"/>
        <w:rPr>
          <w:rFonts w:ascii="Times New Roman" w:hAnsi="Times New Roman"/>
          <w:sz w:val="24"/>
        </w:rPr>
      </w:pPr>
      <w:r w:rsidRPr="00B24234">
        <w:rPr>
          <w:rFonts w:ascii="Times New Roman" w:hAnsi="Times New Roman"/>
          <w:b/>
          <w:bCs/>
          <w:sz w:val="24"/>
        </w:rPr>
        <w:t>EPA Response</w:t>
      </w:r>
      <w:r w:rsidRPr="00B24234">
        <w:rPr>
          <w:rFonts w:ascii="Times New Roman" w:hAnsi="Times New Roman"/>
          <w:sz w:val="24"/>
        </w:rPr>
        <w:t>:</w:t>
      </w:r>
      <w:r w:rsidRPr="00B24234">
        <w:t xml:space="preserve"> </w:t>
      </w:r>
      <w:r w:rsidRPr="00B24234">
        <w:rPr>
          <w:rFonts w:ascii="Times New Roman" w:hAnsi="Times New Roman"/>
          <w:sz w:val="24"/>
        </w:rPr>
        <w:t xml:space="preserve">The final rule’s emphasis is on protecting communities most at risk of having an accidental release from a facility in their midst. Under the final rule, facilities in these communities will be required to do more to prevent chemical accidents, including conducting an STAA, more thorough incident investigations, and third-party audits. The final rule also includes new prevention provisions that have not been addressed in prior RMP rules, including empowering workers to make safety decisions and report non-compliance. The Agency is also increasing access to RMP facility information for fenceline communities in commonly spoken languages. EPA believes this </w:t>
      </w:r>
      <w:r w:rsidRPr="00B24234">
        <w:rPr>
          <w:rFonts w:ascii="Times New Roman" w:hAnsi="Times New Roman"/>
          <w:sz w:val="24"/>
        </w:rPr>
        <w:t xml:space="preserve">final rule promotes transparency and gives more opportunities for the public and workers to be involved in accident prevention and emergency planning. </w:t>
      </w:r>
    </w:p>
    <w:p w:rsidR="00000705" w:rsidRPr="00B24234" w:rsidP="00000705" w14:paraId="053E0609" w14:textId="1E294E0A">
      <w:pPr>
        <w:ind w:left="720"/>
        <w:rPr>
          <w:rFonts w:ascii="Times New Roman" w:hAnsi="Times New Roman"/>
          <w:sz w:val="24"/>
        </w:rPr>
      </w:pPr>
      <w:r w:rsidRPr="00B24234">
        <w:rPr>
          <w:rFonts w:ascii="Times New Roman" w:hAnsi="Times New Roman"/>
          <w:sz w:val="24"/>
        </w:rPr>
        <w:t xml:space="preserve">EPA agrees assistance, outreach, and enforcement will help ensure compliance with the rule. For example, enforcement of the RMP regulation has and will continue to occur. Because of that fact, EPA expects most facilities will proactively make the necessary prevention improvements in order to comply with the rule and thus avoid enforcement. Enforcement of RMP facilities remains an Agency priority, as indicated by its adoption as a National Enforcement and Compliance Initiative (NECI) since 2017. The goal of this NECI is to reduce the risk to human health and the environment by decreasing the likelihood of chemical accidents. Activities under the initiative include having regulated facilities and industry associations work to improve safety; increase compliance with RMP; and promote coordination and communication with State and local responders and communities. The capacity built by the NECI will continue to benefit oversight by EPA and its partner implementing agencies even after the NECI. Furthermore, EPA intends to publish guidance for certain provisions, such as STAA, root cause analysis, third-party audits, and employee participation. Once these materials are complete, owners and operators can familiarize themselves with resources and best practices that EPA has gathered and found to be useful in helping to develop and maintain strong prevention programs. </w:t>
      </w:r>
      <w:r w:rsidR="004B4C2E">
        <w:rPr>
          <w:rFonts w:ascii="Times New Roman" w:hAnsi="Times New Roman"/>
          <w:sz w:val="24"/>
        </w:rPr>
        <w:t xml:space="preserve">EPA expects to develop and release this information approximately one year after this final rule. </w:t>
      </w:r>
      <w:r w:rsidRPr="00B24234">
        <w:rPr>
          <w:rFonts w:ascii="Times New Roman" w:hAnsi="Times New Roman"/>
          <w:sz w:val="24"/>
        </w:rPr>
        <w:t xml:space="preserve">The </w:t>
      </w:r>
      <w:r w:rsidRPr="00B24234">
        <w:rPr>
          <w:rFonts w:ascii="Times New Roman" w:hAnsi="Times New Roman"/>
          <w:sz w:val="24"/>
        </w:rPr>
        <w:t xml:space="preserve">Agency views these compliance activities as a complement to strong accidental release prevention and response, but they are not a substitute for the stronger prevention measures and response provisions set forth in the final rule.   </w:t>
      </w:r>
    </w:p>
    <w:p w:rsidR="00F02280" w:rsidP="00F02280" w14:paraId="2535D2FC" w14:textId="53264A12">
      <w:pPr>
        <w:rPr>
          <w:rFonts w:ascii="Times New Roman" w:hAnsi="Times New Roman"/>
          <w:sz w:val="24"/>
        </w:rPr>
      </w:pPr>
      <w:r w:rsidRPr="004B7BFE">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-15</w:t>
      </w:r>
      <w:r w:rsidRPr="004B7BFE">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Another commenter stated that RMP facilities receiving federal financial assistance are required to address impediments under Title VI of the Civil Rights Act of 196434 (Title VI)—as the Department of Justice recognized in issuing its Limited English Proficiency (LEP) guide and EPA OLEM recognized in its recent Environmental Justice Action Plan. The commenter urged EPA to adopt analyses, procedures, and protections and continue to work closely with its Office of Civil Rights and DOJ’s Office of Environmental Justice and Civil Rights Division to ensure RMP operations receiving federal financial assistance comply with Title VI. The commenter also asked EPA to adopt procedures to ensure that risk management plans do not exclude individuals on the grounds of race, color, or national origin, and are accessible to individuals with Limited English Proficiency (0444).</w:t>
      </w:r>
    </w:p>
    <w:p w:rsidR="003418D1" w:rsidP="003E0397" w14:paraId="28BA3AB6" w14:textId="297A9DEE">
      <w:pPr>
        <w:ind w:left="720"/>
        <w:rPr>
          <w:rFonts w:ascii="Times New Roman" w:hAnsi="Times New Roman"/>
        </w:rPr>
      </w:pPr>
      <w:r w:rsidRPr="005F5FDA">
        <w:rPr>
          <w:rFonts w:ascii="Times New Roman" w:hAnsi="Times New Roman"/>
          <w:b/>
          <w:bCs/>
          <w:sz w:val="24"/>
        </w:rPr>
        <w:t>EPA Response</w:t>
      </w:r>
      <w:r w:rsidRPr="005F5FDA">
        <w:rPr>
          <w:rFonts w:ascii="Times New Roman" w:hAnsi="Times New Roman"/>
          <w:sz w:val="24"/>
        </w:rPr>
        <w:t xml:space="preserve">: </w:t>
      </w:r>
      <w:r w:rsidRPr="003418D1" w:rsidR="003E0397">
        <w:rPr>
          <w:rFonts w:ascii="Times New Roman" w:hAnsi="Times New Roman"/>
          <w:sz w:val="24"/>
        </w:rPr>
        <w:t xml:space="preserve">As the </w:t>
      </w:r>
      <w:r w:rsidR="009A0545">
        <w:rPr>
          <w:rFonts w:ascii="Times New Roman" w:hAnsi="Times New Roman"/>
          <w:sz w:val="24"/>
        </w:rPr>
        <w:t xml:space="preserve">Environmental Justice </w:t>
      </w:r>
      <w:r w:rsidRPr="003418D1" w:rsidR="003E0397">
        <w:rPr>
          <w:rFonts w:ascii="Times New Roman" w:hAnsi="Times New Roman"/>
          <w:sz w:val="24"/>
        </w:rPr>
        <w:t xml:space="preserve">Action </w:t>
      </w:r>
      <w:r w:rsidRPr="003418D1" w:rsidR="000200D9">
        <w:rPr>
          <w:rFonts w:ascii="Times New Roman" w:hAnsi="Times New Roman"/>
          <w:sz w:val="24"/>
        </w:rPr>
        <w:t>Plan</w:t>
      </w:r>
      <w:r>
        <w:rPr>
          <w:rStyle w:val="FootnoteReference"/>
          <w:rFonts w:ascii="Times New Roman" w:hAnsi="Times New Roman"/>
          <w:sz w:val="24"/>
        </w:rPr>
        <w:footnoteReference w:id="214"/>
      </w:r>
      <w:r w:rsidRPr="003418D1" w:rsidR="000200D9">
        <w:rPr>
          <w:rFonts w:ascii="Times New Roman" w:hAnsi="Times New Roman"/>
          <w:sz w:val="24"/>
        </w:rPr>
        <w:t xml:space="preserve"> </w:t>
      </w:r>
      <w:r w:rsidRPr="003418D1" w:rsidR="00B06D4F">
        <w:rPr>
          <w:rFonts w:ascii="Times New Roman" w:hAnsi="Times New Roman"/>
          <w:sz w:val="24"/>
        </w:rPr>
        <w:t>described</w:t>
      </w:r>
      <w:r w:rsidRPr="003418D1">
        <w:rPr>
          <w:rFonts w:ascii="Times New Roman" w:hAnsi="Times New Roman"/>
          <w:sz w:val="24"/>
        </w:rPr>
        <w:t xml:space="preserve">, </w:t>
      </w:r>
      <w:r w:rsidR="00B46081">
        <w:rPr>
          <w:rFonts w:ascii="Times New Roman" w:hAnsi="Times New Roman"/>
          <w:sz w:val="24"/>
        </w:rPr>
        <w:t xml:space="preserve">one </w:t>
      </w:r>
      <w:r w:rsidRPr="003418D1" w:rsidR="003E0397">
        <w:rPr>
          <w:rFonts w:ascii="Times New Roman" w:hAnsi="Times New Roman"/>
          <w:sz w:val="24"/>
        </w:rPr>
        <w:t>EPA priorit</w:t>
      </w:r>
      <w:r w:rsidR="00B46081">
        <w:rPr>
          <w:rFonts w:ascii="Times New Roman" w:hAnsi="Times New Roman"/>
          <w:sz w:val="24"/>
        </w:rPr>
        <w:t>y is to</w:t>
      </w:r>
      <w:r w:rsidRPr="003418D1" w:rsidR="003E0397">
        <w:rPr>
          <w:rFonts w:ascii="Times New Roman" w:hAnsi="Times New Roman"/>
          <w:sz w:val="24"/>
        </w:rPr>
        <w:t xml:space="preserve"> ensur</w:t>
      </w:r>
      <w:r w:rsidR="00B46081">
        <w:rPr>
          <w:rFonts w:ascii="Times New Roman" w:hAnsi="Times New Roman"/>
          <w:sz w:val="24"/>
        </w:rPr>
        <w:t>e</w:t>
      </w:r>
      <w:r w:rsidRPr="003418D1" w:rsidR="003E0397">
        <w:rPr>
          <w:rFonts w:ascii="Times New Roman" w:hAnsi="Times New Roman"/>
          <w:sz w:val="24"/>
        </w:rPr>
        <w:t xml:space="preserve"> that entities receiving</w:t>
      </w:r>
      <w:r w:rsidRPr="003418D1">
        <w:rPr>
          <w:rFonts w:ascii="Times New Roman" w:hAnsi="Times New Roman"/>
          <w:sz w:val="24"/>
        </w:rPr>
        <w:t xml:space="preserve"> </w:t>
      </w:r>
      <w:r w:rsidRPr="003418D1" w:rsidR="003E0397">
        <w:rPr>
          <w:rFonts w:ascii="Times New Roman" w:hAnsi="Times New Roman"/>
          <w:sz w:val="24"/>
        </w:rPr>
        <w:t>any federal financial assistance from EPA comply with the</w:t>
      </w:r>
      <w:r w:rsidRPr="003418D1">
        <w:rPr>
          <w:rFonts w:ascii="Times New Roman" w:hAnsi="Times New Roman"/>
          <w:sz w:val="24"/>
        </w:rPr>
        <w:t xml:space="preserve"> </w:t>
      </w:r>
      <w:r w:rsidRPr="003418D1" w:rsidR="003E0397">
        <w:rPr>
          <w:rFonts w:ascii="Times New Roman" w:hAnsi="Times New Roman"/>
          <w:sz w:val="24"/>
        </w:rPr>
        <w:t>federal civil rights laws that prohibit discrimination on the</w:t>
      </w:r>
      <w:r w:rsidRPr="003418D1">
        <w:rPr>
          <w:rFonts w:ascii="Times New Roman" w:hAnsi="Times New Roman"/>
          <w:sz w:val="24"/>
        </w:rPr>
        <w:t xml:space="preserve"> </w:t>
      </w:r>
      <w:r w:rsidRPr="003418D1" w:rsidR="003E0397">
        <w:rPr>
          <w:rFonts w:ascii="Times New Roman" w:hAnsi="Times New Roman"/>
          <w:sz w:val="24"/>
        </w:rPr>
        <w:t>basis of race, color, national origin, (including limited English</w:t>
      </w:r>
      <w:r w:rsidRPr="003418D1">
        <w:rPr>
          <w:rFonts w:ascii="Times New Roman" w:hAnsi="Times New Roman"/>
          <w:sz w:val="24"/>
        </w:rPr>
        <w:t xml:space="preserve"> </w:t>
      </w:r>
      <w:r w:rsidRPr="003418D1" w:rsidR="003E0397">
        <w:rPr>
          <w:rFonts w:ascii="Times New Roman" w:hAnsi="Times New Roman"/>
          <w:sz w:val="24"/>
        </w:rPr>
        <w:t>proficiency) disability, sex and age, including Title VI of the Civil</w:t>
      </w:r>
      <w:r w:rsidRPr="003418D1">
        <w:rPr>
          <w:rFonts w:ascii="Times New Roman" w:hAnsi="Times New Roman"/>
          <w:sz w:val="24"/>
        </w:rPr>
        <w:t xml:space="preserve"> </w:t>
      </w:r>
      <w:r w:rsidRPr="003418D1" w:rsidR="003E0397">
        <w:rPr>
          <w:rFonts w:ascii="Times New Roman" w:hAnsi="Times New Roman"/>
          <w:sz w:val="24"/>
        </w:rPr>
        <w:t>Rights Act of 1964. Recipients of financial assistance from</w:t>
      </w:r>
      <w:r w:rsidRPr="003418D1">
        <w:rPr>
          <w:rFonts w:ascii="Times New Roman" w:hAnsi="Times New Roman"/>
          <w:sz w:val="24"/>
        </w:rPr>
        <w:t xml:space="preserve"> </w:t>
      </w:r>
      <w:r w:rsidRPr="003418D1" w:rsidR="003E0397">
        <w:rPr>
          <w:rFonts w:ascii="Times New Roman" w:hAnsi="Times New Roman"/>
          <w:sz w:val="24"/>
        </w:rPr>
        <w:t>OLEM</w:t>
      </w:r>
      <w:r w:rsidR="000965F0">
        <w:rPr>
          <w:rFonts w:ascii="Times New Roman" w:hAnsi="Times New Roman"/>
          <w:sz w:val="24"/>
        </w:rPr>
        <w:t xml:space="preserve">, </w:t>
      </w:r>
      <w:r w:rsidR="007C2D32">
        <w:rPr>
          <w:rFonts w:ascii="Times New Roman" w:hAnsi="Times New Roman"/>
          <w:sz w:val="24"/>
        </w:rPr>
        <w:t xml:space="preserve">if they are </w:t>
      </w:r>
      <w:r w:rsidR="000965F0">
        <w:rPr>
          <w:rFonts w:ascii="Times New Roman" w:hAnsi="Times New Roman"/>
          <w:sz w:val="24"/>
        </w:rPr>
        <w:t>RMP</w:t>
      </w:r>
      <w:r w:rsidR="007B2F66">
        <w:rPr>
          <w:rFonts w:ascii="Times New Roman" w:hAnsi="Times New Roman"/>
          <w:sz w:val="24"/>
        </w:rPr>
        <w:t xml:space="preserve"> regulated</w:t>
      </w:r>
      <w:r w:rsidR="000965F0">
        <w:rPr>
          <w:rFonts w:ascii="Times New Roman" w:hAnsi="Times New Roman"/>
          <w:sz w:val="24"/>
        </w:rPr>
        <w:t xml:space="preserve"> facilities or otherwise,</w:t>
      </w:r>
      <w:r w:rsidRPr="003418D1" w:rsidR="003E0397">
        <w:rPr>
          <w:rFonts w:ascii="Times New Roman" w:hAnsi="Times New Roman"/>
          <w:sz w:val="24"/>
        </w:rPr>
        <w:t xml:space="preserve"> have an affirmative obligation to ensure their actions do</w:t>
      </w:r>
      <w:r w:rsidRPr="003418D1">
        <w:rPr>
          <w:rFonts w:ascii="Times New Roman" w:hAnsi="Times New Roman"/>
          <w:sz w:val="24"/>
        </w:rPr>
        <w:t xml:space="preserve"> </w:t>
      </w:r>
      <w:r w:rsidRPr="003418D1" w:rsidR="003E0397">
        <w:rPr>
          <w:rFonts w:ascii="Times New Roman" w:hAnsi="Times New Roman"/>
          <w:sz w:val="24"/>
        </w:rPr>
        <w:t>not involve discriminatory treatment and do not have</w:t>
      </w:r>
      <w:r w:rsidRPr="003418D1">
        <w:rPr>
          <w:rFonts w:ascii="Times New Roman" w:hAnsi="Times New Roman"/>
          <w:sz w:val="24"/>
        </w:rPr>
        <w:t xml:space="preserve"> </w:t>
      </w:r>
      <w:r w:rsidRPr="003418D1" w:rsidR="003E0397">
        <w:rPr>
          <w:rFonts w:ascii="Times New Roman" w:hAnsi="Times New Roman"/>
          <w:sz w:val="24"/>
        </w:rPr>
        <w:t>discriminatory effects. OLEM programs will work to ensure</w:t>
      </w:r>
      <w:r w:rsidRPr="003418D1">
        <w:rPr>
          <w:rFonts w:ascii="Times New Roman" w:hAnsi="Times New Roman"/>
          <w:sz w:val="24"/>
        </w:rPr>
        <w:t xml:space="preserve"> </w:t>
      </w:r>
      <w:r w:rsidRPr="003418D1" w:rsidR="003E0397">
        <w:rPr>
          <w:rFonts w:ascii="Times New Roman" w:hAnsi="Times New Roman"/>
          <w:sz w:val="24"/>
        </w:rPr>
        <w:t xml:space="preserve">that the relevant actions described in </w:t>
      </w:r>
      <w:r w:rsidR="007B2F66">
        <w:rPr>
          <w:rFonts w:ascii="Times New Roman" w:hAnsi="Times New Roman"/>
          <w:sz w:val="24"/>
        </w:rPr>
        <w:t>the</w:t>
      </w:r>
      <w:r w:rsidRPr="003418D1" w:rsidR="003E0397">
        <w:rPr>
          <w:rFonts w:ascii="Times New Roman" w:hAnsi="Times New Roman"/>
          <w:sz w:val="24"/>
        </w:rPr>
        <w:t xml:space="preserve"> Action Plan adhere to this priority.</w:t>
      </w:r>
    </w:p>
    <w:p w:rsidR="00F02280" w:rsidRPr="00E9336A" w:rsidP="00F02280" w14:paraId="044227EE" w14:textId="77777777">
      <w:pPr>
        <w:rPr>
          <w:rFonts w:ascii="Times New Roman" w:hAnsi="Times New Roman"/>
          <w:i/>
          <w:iCs/>
          <w:sz w:val="24"/>
        </w:rPr>
      </w:pPr>
      <w:r w:rsidRPr="00E9336A">
        <w:rPr>
          <w:rFonts w:ascii="Times New Roman" w:hAnsi="Times New Roman"/>
          <w:i/>
          <w:iCs/>
          <w:sz w:val="24"/>
        </w:rPr>
        <w:t xml:space="preserve">Other comments: </w:t>
      </w:r>
    </w:p>
    <w:p w:rsidR="00F02280" w:rsidP="00F02280" w14:paraId="7902857D" w14:textId="6C35AEF7">
      <w:pPr>
        <w:rPr>
          <w:rFonts w:ascii="Times New Roman" w:hAnsi="Times New Roman"/>
          <w:sz w:val="24"/>
        </w:rPr>
      </w:pPr>
      <w:r w:rsidRPr="00C82BD5">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w:t>
      </w:r>
      <w:r w:rsidR="00B54F26">
        <w:rPr>
          <w:rFonts w:ascii="Times New Roman" w:hAnsi="Times New Roman"/>
          <w:b/>
          <w:bCs/>
          <w:sz w:val="24"/>
        </w:rPr>
        <w:t>6</w:t>
      </w:r>
      <w:r w:rsidRPr="00C82BD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Another commenter asked what EPA is doing to acknowledge the estimated 40%+ of environmental justice communities which are neither principally minorities nor principally foreign-born. The commenter explained that many states have methodically redlined their historically White, working-class waterfront communities for continued — if not escalated — toxic industry. The commenter </w:t>
      </w:r>
      <w:r>
        <w:rPr>
          <w:rFonts w:ascii="Times New Roman" w:hAnsi="Times New Roman"/>
          <w:sz w:val="24"/>
        </w:rPr>
        <w:t>said</w:t>
      </w:r>
      <w:r w:rsidRPr="006F68E9">
        <w:rPr>
          <w:rFonts w:ascii="Times New Roman" w:hAnsi="Times New Roman"/>
          <w:sz w:val="24"/>
        </w:rPr>
        <w:t xml:space="preserve"> the appalling disease clusters in their area and the lack of EPA Region 1 support despite multiple well-documented appeals (0136).</w:t>
      </w:r>
    </w:p>
    <w:p w:rsidR="001F5CD8" w:rsidRPr="00636BC7" w:rsidP="00987058" w14:paraId="7C5AC007" w14:textId="5DE5BDCD">
      <w:pPr>
        <w:pStyle w:val="pf0"/>
        <w:spacing w:before="120" w:beforeAutospacing="0" w:after="120" w:afterAutospacing="0"/>
        <w:ind w:left="720"/>
      </w:pPr>
      <w:r w:rsidRPr="00636BC7">
        <w:rPr>
          <w:b/>
          <w:bCs/>
        </w:rPr>
        <w:t>EPA Response</w:t>
      </w:r>
      <w:r w:rsidRPr="00636BC7">
        <w:t xml:space="preserve">: </w:t>
      </w:r>
      <w:r w:rsidRPr="00636BC7" w:rsidR="00AB428E">
        <w:t>EPA defines “environmental justice” as the fair treatment and meaningful involvement of all people regardless of race, color, national origin, or income with respect to the development, implementation, and enforcement of environmental laws, regulations, and policies. As such, the analyses in Chapter 9 focus on income and race and ethnicity data for relevant communities in line with EPA’s definition of environmental justice.</w:t>
      </w:r>
    </w:p>
    <w:p w:rsidR="00F02280" w:rsidP="00F02280" w14:paraId="42543A57" w14:textId="29ECFDC5">
      <w:pPr>
        <w:rPr>
          <w:rFonts w:ascii="Times New Roman" w:hAnsi="Times New Roman"/>
          <w:sz w:val="24"/>
        </w:rPr>
      </w:pPr>
      <w:r w:rsidRPr="003C76E6">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w:t>
      </w:r>
      <w:r w:rsidR="00B54F26">
        <w:rPr>
          <w:rFonts w:ascii="Times New Roman" w:hAnsi="Times New Roman"/>
          <w:b/>
          <w:bCs/>
          <w:sz w:val="24"/>
        </w:rPr>
        <w:t>7</w:t>
      </w:r>
      <w:r w:rsidRPr="003C76E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One commenter requested that EPA, with input from Environmental Justice Health Alliance (EJHA) affiliates and other fenceline residents and environmental justice advocates, define Environmental Justice Community for use in determining which facilities are located with environmental justice communities. The commenter referred EPA to the Equitable &amp; Justice National Climate Platform definition of environmental justice community (0270).</w:t>
      </w:r>
    </w:p>
    <w:p w:rsidR="001F5CD8" w:rsidP="00987058" w14:paraId="03DB9C79" w14:textId="6EFCC1C9">
      <w:pPr>
        <w:pStyle w:val="pf0"/>
        <w:spacing w:before="120" w:beforeAutospacing="0" w:after="120" w:afterAutospacing="0"/>
        <w:ind w:left="720"/>
      </w:pPr>
      <w:r w:rsidRPr="003A2B20">
        <w:rPr>
          <w:b/>
          <w:bCs/>
        </w:rPr>
        <w:t xml:space="preserve">EPA </w:t>
      </w:r>
      <w:r w:rsidRPr="005D0C7D">
        <w:rPr>
          <w:b/>
          <w:bCs/>
        </w:rPr>
        <w:t>Response</w:t>
      </w:r>
      <w:r w:rsidRPr="005D0C7D">
        <w:t xml:space="preserve">: </w:t>
      </w:r>
      <w:r w:rsidRPr="005D0C7D" w:rsidR="005D0C7D">
        <w:t xml:space="preserve">Rather than provide a binary designation for “Environmental Justice Community” , EPA evaluates differential impacts on population groups of concern in relation to a comparison group. The goal is to select a comparison group that allows one to identify how the effects of the regulation vary by race, ethnicity, and income separate from other systematic differences across groups or geographic areas. To generate a consistent comparison group that was not inclusive of the communities likely to be affected by the rulemaking, EPA used the population outside of the one-mile buffers </w:t>
      </w:r>
      <w:r w:rsidR="007A5BC4">
        <w:t>because</w:t>
      </w:r>
      <w:r w:rsidRPr="005D0C7D" w:rsidR="005D0C7D">
        <w:t xml:space="preserve"> it would be a relevant comparison population for both the one- and three-mile buffers. The EJHA has described environmental justice communities as those that are low-income areas and communities of color. EPA uses the same characteristics when evaluating communities with potential environmental justice concern.</w:t>
      </w:r>
    </w:p>
    <w:p w:rsidR="005A14C3" w:rsidRPr="005E61A1" w:rsidP="00987058" w14:paraId="0E897C13" w14:textId="38D92543">
      <w:pPr>
        <w:pStyle w:val="pf0"/>
        <w:spacing w:before="120" w:beforeAutospacing="0" w:after="120" w:afterAutospacing="0"/>
        <w:ind w:left="720"/>
        <w:rPr>
          <w:lang w:bidi="en-US"/>
        </w:rPr>
      </w:pPr>
      <w:r w:rsidRPr="005E61A1">
        <w:t>Further</w:t>
      </w:r>
      <w:r w:rsidRPr="005E61A1">
        <w:t xml:space="preserve">, </w:t>
      </w:r>
      <w:r w:rsidRPr="005E61A1" w:rsidR="005E61A1">
        <w:t>th</w:t>
      </w:r>
      <w:r w:rsidRPr="005E61A1">
        <w:rPr>
          <w:lang w:bidi="en-US"/>
        </w:rPr>
        <w:t xml:space="preserve">e incorporation of environmental justice into </w:t>
      </w:r>
      <w:r w:rsidRPr="005E61A1" w:rsidR="005E61A1">
        <w:rPr>
          <w:lang w:bidi="en-US"/>
        </w:rPr>
        <w:t xml:space="preserve">this </w:t>
      </w:r>
      <w:r w:rsidRPr="005E61A1">
        <w:rPr>
          <w:lang w:bidi="en-US"/>
        </w:rPr>
        <w:t xml:space="preserve">EPA rulemaking is guided by two EPA documents: (1) </w:t>
      </w:r>
      <w:r w:rsidRPr="005E61A1">
        <w:rPr>
          <w:i/>
          <w:lang w:bidi="en-US"/>
        </w:rPr>
        <w:t>Technical Guidance for Assessing Environmental Justice in Regulatory Analysis</w:t>
      </w:r>
      <w:r>
        <w:rPr>
          <w:vertAlign w:val="superscript"/>
          <w:lang w:bidi="en-US"/>
        </w:rPr>
        <w:footnoteReference w:id="215"/>
      </w:r>
      <w:r w:rsidRPr="005E61A1">
        <w:rPr>
          <w:i/>
          <w:lang w:bidi="en-US"/>
        </w:rPr>
        <w:t xml:space="preserve"> </w:t>
      </w:r>
      <w:r w:rsidRPr="005E61A1">
        <w:rPr>
          <w:lang w:bidi="en-US"/>
        </w:rPr>
        <w:t xml:space="preserve">and (2) </w:t>
      </w:r>
      <w:r w:rsidRPr="005E61A1">
        <w:rPr>
          <w:i/>
          <w:lang w:bidi="en-US"/>
        </w:rPr>
        <w:t>Guidance on Considering Environmental Justice During the Development of Regulatory Action.</w:t>
      </w:r>
      <w:r>
        <w:rPr>
          <w:i/>
          <w:vertAlign w:val="superscript"/>
          <w:lang w:bidi="en-US"/>
        </w:rPr>
        <w:footnoteReference w:id="216"/>
      </w:r>
      <w:r w:rsidRPr="005E61A1">
        <w:rPr>
          <w:lang w:bidi="en-US"/>
        </w:rPr>
        <w:t xml:space="preserve"> The </w:t>
      </w:r>
      <w:r w:rsidRPr="005E61A1">
        <w:rPr>
          <w:i/>
          <w:lang w:bidi="en-US"/>
        </w:rPr>
        <w:t>Technical Guidance for Assessing Environmental Justice in Regulatory Analysis</w:t>
      </w:r>
      <w:r>
        <w:rPr>
          <w:vertAlign w:val="superscript"/>
          <w:lang w:bidi="en-US"/>
        </w:rPr>
        <w:footnoteReference w:id="217"/>
      </w:r>
      <w:r w:rsidRPr="005E61A1">
        <w:rPr>
          <w:lang w:bidi="en-US"/>
        </w:rPr>
        <w:t xml:space="preserve"> establishes the expectation that analysts conduct the highest quality environmental justice analysis feasible in support of rulemakings, recognizing that what is possible will be context-specific.</w:t>
      </w:r>
    </w:p>
    <w:p w:rsidR="00F02280" w:rsidP="00F02280" w14:paraId="559AD788" w14:textId="1071A8AC">
      <w:pPr>
        <w:rPr>
          <w:rFonts w:ascii="Times New Roman" w:hAnsi="Times New Roman"/>
          <w:sz w:val="24"/>
        </w:rPr>
      </w:pPr>
      <w:r w:rsidRPr="00A93197">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-1</w:t>
      </w:r>
      <w:r w:rsidR="00B54F26">
        <w:rPr>
          <w:rFonts w:ascii="Times New Roman" w:hAnsi="Times New Roman"/>
          <w:b/>
          <w:bCs/>
          <w:sz w:val="24"/>
        </w:rPr>
        <w:t>8</w:t>
      </w:r>
      <w:r w:rsidRPr="00A93197">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stressed that the communities on the Gulf </w:t>
      </w:r>
      <w:r w:rsidRPr="66E692C4">
        <w:rPr>
          <w:rFonts w:ascii="Times New Roman" w:hAnsi="Times New Roman"/>
          <w:sz w:val="24"/>
        </w:rPr>
        <w:t>Co</w:t>
      </w:r>
      <w:r w:rsidRPr="66E692C4" w:rsidR="165EDFAE">
        <w:rPr>
          <w:rFonts w:ascii="Times New Roman" w:hAnsi="Times New Roman"/>
          <w:sz w:val="24"/>
        </w:rPr>
        <w:t>a</w:t>
      </w:r>
      <w:r w:rsidRPr="66E692C4">
        <w:rPr>
          <w:rFonts w:ascii="Times New Roman" w:hAnsi="Times New Roman"/>
          <w:sz w:val="24"/>
        </w:rPr>
        <w:t>st</w:t>
      </w:r>
      <w:r w:rsidRPr="006F68E9">
        <w:rPr>
          <w:rFonts w:ascii="Times New Roman" w:hAnsi="Times New Roman"/>
          <w:sz w:val="24"/>
        </w:rPr>
        <w:t xml:space="preserve"> need tighter rules and notifications because they have been frequently under evacuation or in shelters since 2005. The commenter </w:t>
      </w:r>
      <w:r>
        <w:rPr>
          <w:rFonts w:ascii="Times New Roman" w:hAnsi="Times New Roman"/>
          <w:sz w:val="24"/>
        </w:rPr>
        <w:t>said</w:t>
      </w:r>
      <w:r w:rsidRPr="006F68E9">
        <w:rPr>
          <w:rFonts w:ascii="Times New Roman" w:hAnsi="Times New Roman"/>
          <w:sz w:val="24"/>
        </w:rPr>
        <w:t xml:space="preserve"> that the Gulf Coast is overburdened with RMP chemical risk facilities because of their vulnerabilities to hurricanes and exposure to new ammonia and LNG plants—</w:t>
      </w:r>
      <w:r w:rsidRPr="006F68E9">
        <w:rPr>
          <w:rFonts w:ascii="Times New Roman" w:hAnsi="Times New Roman"/>
          <w:sz w:val="24"/>
        </w:rPr>
        <w:t>typically concentrated in coastal environmental justice areas. The commenter added that</w:t>
      </w:r>
      <w:r>
        <w:rPr>
          <w:rFonts w:ascii="Times New Roman" w:hAnsi="Times New Roman"/>
          <w:sz w:val="24"/>
        </w:rPr>
        <w:t>,</w:t>
      </w:r>
      <w:r w:rsidRPr="006F68E9">
        <w:rPr>
          <w:rFonts w:ascii="Times New Roman" w:hAnsi="Times New Roman"/>
          <w:sz w:val="24"/>
        </w:rPr>
        <w:t xml:space="preserve"> in 2021, the Alliance refinery was destroyed because of Hurricane Ida, spilling thousands of gallons of oil, much of which was drained through the historic towns and native communities. The commenter stated that as Black and indigenous continue to rebuild from this accident, there has been little to no help from State and local governments (0158).</w:t>
      </w:r>
    </w:p>
    <w:p w:rsidR="001F5CD8" w:rsidRPr="00D2680B" w:rsidP="00D2680B" w14:paraId="3E6CEE35" w14:textId="4D15DE28">
      <w:pPr>
        <w:ind w:left="720"/>
        <w:rPr>
          <w:rFonts w:ascii="Times New Roman" w:eastAsia="Times New Roman" w:hAnsi="Times New Roman"/>
          <w:sz w:val="24"/>
        </w:rPr>
      </w:pPr>
      <w:r w:rsidRPr="00D2680B">
        <w:rPr>
          <w:rFonts w:ascii="Times New Roman" w:hAnsi="Times New Roman"/>
          <w:b/>
          <w:bCs/>
          <w:sz w:val="24"/>
        </w:rPr>
        <w:t>EPA Response</w:t>
      </w:r>
      <w:r w:rsidRPr="00D2680B">
        <w:rPr>
          <w:rFonts w:ascii="Times New Roman" w:hAnsi="Times New Roman"/>
          <w:sz w:val="24"/>
        </w:rPr>
        <w:t xml:space="preserve">: </w:t>
      </w:r>
      <w:r w:rsidRPr="00D2680B" w:rsidR="00D2680B">
        <w:rPr>
          <w:rFonts w:ascii="Times New Roman" w:eastAsia="Times New Roman" w:hAnsi="Times New Roman"/>
          <w:sz w:val="24"/>
        </w:rPr>
        <w:t>EPA did observe a concentration of RMP facilities along the Gulf of Mexico throughout Texas and Louisiana. EPA believes that several of the provisions in this final action will benefit underserved populations, such as requiring facilities in NAICS codes 324 and 325 to conduct a Safer Technology Alternatives Analysis, increase information availability for fenceline communities, include backup power for perimeter monitoring, conduct root cause analyses for facilities that have reported accidents, and improve community notification and related response planning. As such, communities in proximity to these facilities on the Gulf Coast may experience reduced exposure as a result of the final action.</w:t>
      </w:r>
    </w:p>
    <w:p w:rsidR="00F02280" w:rsidP="00F02280" w14:paraId="569730C8" w14:textId="35CA295F">
      <w:pPr>
        <w:rPr>
          <w:rFonts w:ascii="Times New Roman" w:hAnsi="Times New Roman"/>
          <w:sz w:val="24"/>
        </w:rPr>
      </w:pPr>
      <w:r w:rsidRPr="0044789C">
        <w:rPr>
          <w:rFonts w:ascii="Times New Roman" w:hAnsi="Times New Roman"/>
          <w:b/>
          <w:bCs/>
          <w:sz w:val="24"/>
        </w:rPr>
        <w:t>Comment</w:t>
      </w:r>
      <w:r>
        <w:rPr>
          <w:rFonts w:ascii="Times New Roman" w:hAnsi="Times New Roman"/>
          <w:b/>
          <w:bCs/>
          <w:sz w:val="24"/>
        </w:rPr>
        <w:t xml:space="preserve"> 1</w:t>
      </w:r>
      <w:r w:rsidR="00DA0FB7">
        <w:rPr>
          <w:rFonts w:ascii="Times New Roman" w:hAnsi="Times New Roman"/>
          <w:b/>
          <w:bCs/>
          <w:sz w:val="24"/>
        </w:rPr>
        <w:t>7</w:t>
      </w:r>
      <w:r>
        <w:rPr>
          <w:rFonts w:ascii="Times New Roman" w:hAnsi="Times New Roman"/>
          <w:b/>
          <w:bCs/>
          <w:sz w:val="24"/>
        </w:rPr>
        <w:t>-</w:t>
      </w:r>
      <w:r w:rsidR="00B54F26">
        <w:rPr>
          <w:rFonts w:ascii="Times New Roman" w:hAnsi="Times New Roman"/>
          <w:b/>
          <w:bCs/>
          <w:sz w:val="24"/>
        </w:rPr>
        <w:t>19</w:t>
      </w:r>
      <w:r w:rsidRPr="0044789C">
        <w:rPr>
          <w:rFonts w:ascii="Times New Roman" w:hAnsi="Times New Roman"/>
          <w:b/>
          <w:bCs/>
          <w:sz w:val="24"/>
        </w:rPr>
        <w:t>:</w:t>
      </w:r>
      <w:r>
        <w:rPr>
          <w:rFonts w:ascii="Times New Roman" w:hAnsi="Times New Roman"/>
          <w:sz w:val="24"/>
        </w:rPr>
        <w:t xml:space="preserve"> One commenter asserted that an</w:t>
      </w:r>
      <w:r w:rsidRPr="006F68E9">
        <w:rPr>
          <w:rFonts w:ascii="Times New Roman" w:hAnsi="Times New Roman"/>
          <w:sz w:val="24"/>
        </w:rPr>
        <w:t>y environmental justice analysis needs to highlight the difficulties of women farmworkers who are unable to raise concerns over the misuse of toxic chemicals</w:t>
      </w:r>
      <w:r>
        <w:rPr>
          <w:rFonts w:ascii="Times New Roman" w:hAnsi="Times New Roman"/>
          <w:sz w:val="24"/>
        </w:rPr>
        <w:t xml:space="preserve"> and </w:t>
      </w:r>
      <w:r w:rsidRPr="006F68E9">
        <w:rPr>
          <w:rFonts w:ascii="Times New Roman" w:hAnsi="Times New Roman"/>
          <w:sz w:val="24"/>
        </w:rPr>
        <w:t>asked EPA to factor into the Agency’s analysis that many undocumented people live in areas around facilities that use extremely hazardous chemicals (0406).</w:t>
      </w:r>
    </w:p>
    <w:p w:rsidR="00CE27B6" w:rsidRPr="00C1324C" w:rsidP="00CE27B6" w14:paraId="10602931" w14:textId="51F54A41">
      <w:pPr>
        <w:ind w:left="720"/>
        <w:rPr>
          <w:rFonts w:ascii="Times New Roman" w:eastAsia="Times New Roman" w:hAnsi="Times New Roman"/>
          <w:color w:val="7030A0"/>
          <w:sz w:val="24"/>
        </w:rPr>
      </w:pPr>
      <w:r w:rsidRPr="003A2B20">
        <w:rPr>
          <w:rFonts w:ascii="Times New Roman" w:hAnsi="Times New Roman"/>
          <w:b/>
          <w:bCs/>
          <w:sz w:val="24"/>
        </w:rPr>
        <w:t>EPA Response</w:t>
      </w:r>
      <w:r>
        <w:rPr>
          <w:rFonts w:ascii="Times New Roman" w:hAnsi="Times New Roman"/>
          <w:sz w:val="24"/>
        </w:rPr>
        <w:t xml:space="preserve">: </w:t>
      </w:r>
      <w:r w:rsidRPr="00CE27B6">
        <w:rPr>
          <w:rFonts w:ascii="Times New Roman" w:eastAsia="Times New Roman" w:hAnsi="Times New Roman"/>
          <w:sz w:val="24"/>
        </w:rPr>
        <w:t xml:space="preserve">This rulemaking focuses on reducing accidental </w:t>
      </w:r>
      <w:r w:rsidRPr="66E692C4" w:rsidR="286AA3CF">
        <w:rPr>
          <w:rFonts w:ascii="Times New Roman" w:eastAsia="Times New Roman" w:hAnsi="Times New Roman"/>
          <w:sz w:val="24"/>
        </w:rPr>
        <w:t>releases</w:t>
      </w:r>
      <w:r w:rsidRPr="00CE27B6">
        <w:rPr>
          <w:rFonts w:ascii="Times New Roman" w:eastAsia="Times New Roman" w:hAnsi="Times New Roman"/>
          <w:sz w:val="24"/>
        </w:rPr>
        <w:t xml:space="preserve"> from RMP facilities rather than the use of toxic chemicals. In addition, the baseline distribution of population as well as the findings from subsequent analyses that look at the socioeconomic characteristics of communities near facilities with a large number of accidents or classified as Program 3 facilities (facilities with processes classified as Program 3 were considered to be of higher potential risk than facilities with processes classified as Program 1 or 2) suggests that the benefits of the provisions may reduce potential exposure for communities with higher percentages of Black (non-Hispanic), Hispanic and low income populations. To the extent that these same communities include undocumented people, the provisions may also reduce exposure for them as well.</w:t>
      </w:r>
    </w:p>
    <w:p w:rsidR="001F5CD8" w:rsidRPr="003B7F7F" w:rsidP="00D30AA0" w14:paraId="2CE5486B" w14:textId="5418EABB">
      <w:pPr>
        <w:rPr>
          <w:rFonts w:ascii="Times New Roman" w:hAnsi="Times New Roman"/>
          <w:b/>
          <w:bCs/>
          <w:sz w:val="24"/>
        </w:rPr>
      </w:pPr>
    </w:p>
    <w:p w:rsidR="008E589C" w:rsidRPr="00411437" w:rsidP="006761FC" w14:paraId="160FD79F" w14:textId="5DAACB6F">
      <w:pPr>
        <w:pStyle w:val="Heading1"/>
        <w:spacing w:before="120"/>
      </w:pPr>
      <w:bookmarkStart w:id="195" w:name="_Toc146880057"/>
      <w:bookmarkStart w:id="196" w:name="_Toc153373843"/>
      <w:r w:rsidRPr="00411437">
        <w:t>Fenceline monitoring</w:t>
      </w:r>
      <w:bookmarkStart w:id="197" w:name="_Hlk99368286"/>
      <w:bookmarkEnd w:id="195"/>
      <w:bookmarkEnd w:id="196"/>
    </w:p>
    <w:p w:rsidR="008E589C" w:rsidRPr="006F68E9" w:rsidP="006761FC" w14:paraId="78CFA90E" w14:textId="639827C1">
      <w:pPr>
        <w:pStyle w:val="Heading2"/>
        <w:tabs>
          <w:tab w:val="clear" w:pos="8684"/>
        </w:tabs>
        <w:spacing w:before="120"/>
        <w:rPr>
          <w:rFonts w:ascii="Times New Roman" w:hAnsi="Times New Roman" w:cs="Times New Roman"/>
          <w:b/>
          <w:bCs/>
          <w:color w:val="auto"/>
          <w:sz w:val="24"/>
          <w:szCs w:val="24"/>
        </w:rPr>
      </w:pPr>
      <w:bookmarkStart w:id="198" w:name="_Toc146880058"/>
      <w:bookmarkStart w:id="199" w:name="_Toc153373844"/>
      <w:bookmarkEnd w:id="197"/>
      <w:r>
        <w:rPr>
          <w:rFonts w:ascii="Times New Roman" w:hAnsi="Times New Roman" w:cs="Times New Roman"/>
          <w:b/>
          <w:bCs/>
          <w:color w:val="auto"/>
          <w:sz w:val="24"/>
          <w:szCs w:val="24"/>
        </w:rPr>
        <w:t>General comments on</w:t>
      </w:r>
      <w:r w:rsidRPr="006F68E9">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a </w:t>
      </w:r>
      <w:r w:rsidRPr="006F68E9">
        <w:rPr>
          <w:rFonts w:ascii="Times New Roman" w:hAnsi="Times New Roman" w:cs="Times New Roman"/>
          <w:b/>
          <w:bCs/>
          <w:color w:val="auto"/>
          <w:sz w:val="24"/>
          <w:szCs w:val="24"/>
        </w:rPr>
        <w:t>fenceline monitoring</w:t>
      </w:r>
      <w:bookmarkEnd w:id="198"/>
      <w:r>
        <w:rPr>
          <w:rFonts w:ascii="Times New Roman" w:hAnsi="Times New Roman" w:cs="Times New Roman"/>
          <w:b/>
          <w:bCs/>
          <w:color w:val="auto"/>
          <w:sz w:val="24"/>
          <w:szCs w:val="24"/>
        </w:rPr>
        <w:t xml:space="preserve"> program</w:t>
      </w:r>
      <w:bookmarkEnd w:id="199"/>
    </w:p>
    <w:p w:rsidR="008E589C" w:rsidP="008E589C" w14:paraId="51956410" w14:textId="3451BB98">
      <w:pPr>
        <w:rPr>
          <w:rFonts w:ascii="Times New Roman" w:hAnsi="Times New Roman"/>
          <w:sz w:val="24"/>
        </w:rPr>
      </w:pPr>
      <w:r>
        <w:rPr>
          <w:rFonts w:ascii="Times New Roman" w:hAnsi="Times New Roman"/>
          <w:b/>
          <w:bCs/>
          <w:sz w:val="24"/>
        </w:rPr>
        <w:t>Comment 1</w:t>
      </w:r>
      <w:r w:rsidR="008835BE">
        <w:rPr>
          <w:rFonts w:ascii="Times New Roman" w:hAnsi="Times New Roman"/>
          <w:b/>
          <w:bCs/>
          <w:sz w:val="24"/>
        </w:rPr>
        <w:t>8</w:t>
      </w:r>
      <w:r>
        <w:rPr>
          <w:rFonts w:ascii="Times New Roman" w:hAnsi="Times New Roman"/>
          <w:b/>
          <w:bCs/>
          <w:sz w:val="24"/>
        </w:rPr>
        <w:t xml:space="preserve">.1-01: </w:t>
      </w:r>
      <w:r w:rsidRPr="006F68E9">
        <w:rPr>
          <w:rFonts w:ascii="Times New Roman" w:hAnsi="Times New Roman"/>
          <w:sz w:val="24"/>
        </w:rPr>
        <w:t>Several commenters expressed support for EPA to require RMP facilities to use real-time fenceline monitoring (</w:t>
      </w:r>
      <w:r>
        <w:rPr>
          <w:rFonts w:ascii="Times New Roman" w:hAnsi="Times New Roman"/>
          <w:sz w:val="24"/>
        </w:rPr>
        <w:t xml:space="preserve">0141, </w:t>
      </w:r>
      <w:r w:rsidRPr="006F68E9">
        <w:rPr>
          <w:rFonts w:ascii="Times New Roman" w:hAnsi="Times New Roman"/>
          <w:sz w:val="24"/>
        </w:rPr>
        <w:t xml:space="preserve">0143, 0157, 0158, 0160, 0173, 0177, 0208, 0209, 0240, 0248, 0270, 0331, 0383, 0409, 0413, 0448, 0449, 0452, </w:t>
      </w:r>
      <w:r>
        <w:rPr>
          <w:rFonts w:ascii="Times New Roman" w:hAnsi="Times New Roman"/>
          <w:sz w:val="24"/>
        </w:rPr>
        <w:t xml:space="preserve">0456, </w:t>
      </w:r>
      <w:r w:rsidRPr="006F68E9">
        <w:rPr>
          <w:rFonts w:ascii="Times New Roman" w:hAnsi="Times New Roman"/>
          <w:sz w:val="24"/>
        </w:rPr>
        <w:t>0453</w:t>
      </w:r>
      <w:r>
        <w:rPr>
          <w:rFonts w:ascii="Times New Roman" w:hAnsi="Times New Roman"/>
          <w:sz w:val="24"/>
        </w:rPr>
        <w:t>, 0460</w:t>
      </w:r>
      <w:r w:rsidRPr="006F68E9">
        <w:rPr>
          <w:rFonts w:ascii="Times New Roman" w:hAnsi="Times New Roman"/>
          <w:sz w:val="24"/>
        </w:rPr>
        <w:t xml:space="preserve">). A few commenters </w:t>
      </w:r>
      <w:r>
        <w:rPr>
          <w:rFonts w:ascii="Times New Roman" w:hAnsi="Times New Roman"/>
          <w:sz w:val="24"/>
        </w:rPr>
        <w:t>emphasized</w:t>
      </w:r>
      <w:r w:rsidRPr="006F68E9">
        <w:rPr>
          <w:rFonts w:ascii="Times New Roman" w:hAnsi="Times New Roman"/>
          <w:sz w:val="24"/>
        </w:rPr>
        <w:t xml:space="preserve"> the importance of requiring and enforcing fenceline monitoring (0383, 0413, 0460).</w:t>
      </w:r>
      <w:r>
        <w:rPr>
          <w:rFonts w:ascii="Times New Roman" w:hAnsi="Times New Roman"/>
          <w:sz w:val="24"/>
        </w:rPr>
        <w:t xml:space="preserve"> </w:t>
      </w:r>
    </w:p>
    <w:p w:rsidR="008E589C" w:rsidP="008E589C" w14:paraId="6B2C9BE4" w14:textId="77777777">
      <w:pPr>
        <w:rPr>
          <w:rFonts w:ascii="Times New Roman" w:hAnsi="Times New Roman"/>
          <w:sz w:val="24"/>
        </w:rPr>
      </w:pPr>
      <w:r w:rsidRPr="006F68E9">
        <w:rPr>
          <w:rFonts w:ascii="Times New Roman" w:hAnsi="Times New Roman"/>
          <w:sz w:val="24"/>
        </w:rPr>
        <w:t xml:space="preserve">A few commenters requested real-time air monitoring inside and outside RMP facilities (0270, 0331, 0402). One of the commenters added that requiring adoption of fenceline monitoring at all RMP facilities falls directly within the scope of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particularly because of its function to serve as an early warning alert system for workers and communities before major incidents occur</w:t>
      </w:r>
      <w:r>
        <w:rPr>
          <w:rFonts w:ascii="Times New Roman" w:hAnsi="Times New Roman"/>
          <w:sz w:val="24"/>
        </w:rPr>
        <w:t xml:space="preserve"> </w:t>
      </w:r>
      <w:r w:rsidRPr="006F68E9">
        <w:rPr>
          <w:rFonts w:ascii="Times New Roman" w:hAnsi="Times New Roman"/>
          <w:sz w:val="24"/>
        </w:rPr>
        <w:t>(0270).</w:t>
      </w:r>
      <w:r>
        <w:rPr>
          <w:rFonts w:ascii="Times New Roman" w:hAnsi="Times New Roman"/>
          <w:sz w:val="24"/>
        </w:rPr>
        <w:t xml:space="preserve"> </w:t>
      </w:r>
      <w:r w:rsidRPr="006F68E9">
        <w:rPr>
          <w:rFonts w:ascii="Times New Roman" w:hAnsi="Times New Roman"/>
          <w:sz w:val="24"/>
        </w:rPr>
        <w:t xml:space="preserve">Several commenters urged EPA to require real-time air fenceline </w:t>
      </w:r>
      <w:r w:rsidRPr="006F68E9">
        <w:rPr>
          <w:rFonts w:ascii="Times New Roman" w:hAnsi="Times New Roman"/>
          <w:sz w:val="24"/>
        </w:rPr>
        <w:t>monitoring programs at RMP facilities to provide early notification to first responders and the public to reduce potential harms (0158, 0191, 0460).</w:t>
      </w:r>
    </w:p>
    <w:p w:rsidR="008E589C" w:rsidP="008E589C" w14:paraId="2965711E" w14:textId="77777777">
      <w:pPr>
        <w:rPr>
          <w:rStyle w:val="Strong"/>
          <w:rFonts w:ascii="Times New Roman" w:hAnsi="Times New Roman"/>
          <w:b w:val="0"/>
          <w:bCs w:val="0"/>
          <w:sz w:val="24"/>
        </w:rPr>
      </w:pPr>
      <w:r w:rsidRPr="0AB0A3D6">
        <w:rPr>
          <w:rFonts w:ascii="Times New Roman" w:hAnsi="Times New Roman"/>
          <w:sz w:val="24"/>
        </w:rPr>
        <w:t xml:space="preserve">One commenter </w:t>
      </w:r>
      <w:r>
        <w:rPr>
          <w:rFonts w:ascii="Times New Roman" w:hAnsi="Times New Roman"/>
          <w:sz w:val="24"/>
        </w:rPr>
        <w:t>similarly requested that the final</w:t>
      </w:r>
      <w:r w:rsidRPr="0AB0A3D6">
        <w:rPr>
          <w:rStyle w:val="Strong"/>
          <w:rFonts w:ascii="Times New Roman" w:hAnsi="Times New Roman"/>
          <w:sz w:val="24"/>
        </w:rPr>
        <w:t xml:space="preserve"> </w:t>
      </w:r>
      <w:r w:rsidRPr="00BB5082">
        <w:rPr>
          <w:rStyle w:val="Strong"/>
          <w:rFonts w:ascii="Times New Roman" w:hAnsi="Times New Roman"/>
          <w:b w:val="0"/>
          <w:sz w:val="24"/>
        </w:rPr>
        <w:t>rule require all facilities to have real-time fenceline air monitors with enforcement mechanisms and robust penalties for intentionally removing air monitors from service (0255). Additional comments regarding removal of air monitoring equipment are addressed in Section 3.2 of this document.</w:t>
      </w:r>
      <w:r>
        <w:rPr>
          <w:rStyle w:val="Strong"/>
          <w:rFonts w:ascii="Times New Roman" w:hAnsi="Times New Roman"/>
          <w:sz w:val="24"/>
        </w:rPr>
        <w:t xml:space="preserve"> </w:t>
      </w:r>
    </w:p>
    <w:p w:rsidR="008E589C" w:rsidP="008E589C" w14:paraId="33B145F8"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expressed support for</w:t>
      </w:r>
      <w:r w:rsidRPr="006F68E9">
        <w:rPr>
          <w:rFonts w:ascii="Times New Roman" w:hAnsi="Times New Roman"/>
          <w:sz w:val="24"/>
        </w:rPr>
        <w:t xml:space="preserve"> fenceline monitoring, noting that the release of lower levels than the thresholds indicate a potentially larger release is occurring or about to occur</w:t>
      </w:r>
      <w:r>
        <w:rPr>
          <w:rFonts w:ascii="Times New Roman" w:hAnsi="Times New Roman"/>
          <w:sz w:val="24"/>
        </w:rPr>
        <w:t xml:space="preserve"> (0191).</w:t>
      </w:r>
    </w:p>
    <w:p w:rsidR="00196A0D" w:rsidP="00196A0D" w14:paraId="5D3E1AE3" w14:textId="77777777">
      <w:pPr>
        <w:rPr>
          <w:rFonts w:ascii="Times New Roman" w:hAnsi="Times New Roman"/>
          <w:sz w:val="24"/>
        </w:rPr>
      </w:pPr>
      <w:r w:rsidRPr="006F68E9">
        <w:rPr>
          <w:rFonts w:ascii="Times New Roman" w:hAnsi="Times New Roman"/>
          <w:sz w:val="24"/>
        </w:rPr>
        <w:t xml:space="preserve">The commenter cited </w:t>
      </w:r>
      <w:r>
        <w:rPr>
          <w:rFonts w:ascii="Times New Roman" w:hAnsi="Times New Roman"/>
          <w:sz w:val="24"/>
        </w:rPr>
        <w:t>EPA’s legal a</w:t>
      </w:r>
      <w:r w:rsidRPr="006F68E9">
        <w:rPr>
          <w:rFonts w:ascii="Times New Roman" w:hAnsi="Times New Roman"/>
          <w:sz w:val="24"/>
        </w:rPr>
        <w:t>uthority</w:t>
      </w:r>
      <w:r>
        <w:rPr>
          <w:rFonts w:ascii="Times New Roman" w:hAnsi="Times New Roman"/>
          <w:sz w:val="24"/>
        </w:rPr>
        <w:t xml:space="preserve">, stating that the statute’s </w:t>
      </w:r>
      <w:r w:rsidRPr="006F68E9">
        <w:rPr>
          <w:rFonts w:ascii="Times New Roman" w:hAnsi="Times New Roman"/>
          <w:sz w:val="24"/>
        </w:rPr>
        <w:t>requirement for “detection” to the greatest extent practicable directs EPA to require fenceline monitoring and leak detection to prevent and reduce harm at all RMP facilities (0460).</w:t>
      </w:r>
    </w:p>
    <w:p w:rsidR="00196A0D" w:rsidP="008E589C" w14:paraId="79B91343" w14:textId="1F7827B8">
      <w:pPr>
        <w:rPr>
          <w:rFonts w:ascii="Times New Roman" w:hAnsi="Times New Roman"/>
          <w:sz w:val="24"/>
        </w:rPr>
      </w:pPr>
      <w:r>
        <w:rPr>
          <w:rFonts w:ascii="Times New Roman" w:hAnsi="Times New Roman"/>
          <w:sz w:val="24"/>
        </w:rPr>
        <w:t xml:space="preserve">Another </w:t>
      </w:r>
      <w:r w:rsidRPr="006F68E9">
        <w:rPr>
          <w:rFonts w:ascii="Times New Roman" w:hAnsi="Times New Roman"/>
          <w:sz w:val="24"/>
        </w:rPr>
        <w:t xml:space="preserve">commenter </w:t>
      </w:r>
      <w:r>
        <w:rPr>
          <w:rFonts w:ascii="Times New Roman" w:hAnsi="Times New Roman"/>
          <w:sz w:val="24"/>
        </w:rPr>
        <w:t>stated</w:t>
      </w:r>
      <w:r w:rsidRPr="006F68E9">
        <w:rPr>
          <w:rFonts w:ascii="Times New Roman" w:hAnsi="Times New Roman"/>
          <w:sz w:val="24"/>
        </w:rPr>
        <w:t xml:space="preserve"> that EPA has the authority to require fenceline air monitoring, and that it has used this authority to issue fenceline monitoring requirements for benzene at petroleum refineries</w:t>
      </w:r>
      <w:r>
        <w:rPr>
          <w:rFonts w:ascii="Times New Roman" w:hAnsi="Times New Roman"/>
          <w:sz w:val="24"/>
        </w:rPr>
        <w:t xml:space="preserve"> (0270).</w:t>
      </w:r>
    </w:p>
    <w:p w:rsidR="00196A0D" w:rsidP="00196A0D" w14:paraId="77474DCB" w14:textId="77777777">
      <w:pPr>
        <w:rPr>
          <w:rFonts w:ascii="Times New Roman" w:hAnsi="Times New Roman"/>
          <w:sz w:val="24"/>
        </w:rPr>
      </w:pPr>
      <w:r w:rsidRPr="6AC75193">
        <w:rPr>
          <w:rFonts w:ascii="Times New Roman" w:hAnsi="Times New Roman"/>
          <w:sz w:val="24"/>
        </w:rPr>
        <w:t>Some commenters expressed that current monitoring networks are inadequate, leaving community members uninformed about potential health threats (0141, 0143, 0151, 0209, 0240, 0270, 0444).</w:t>
      </w:r>
      <w:r>
        <w:rPr>
          <w:rFonts w:ascii="Times New Roman" w:hAnsi="Times New Roman"/>
          <w:sz w:val="24"/>
        </w:rPr>
        <w:t xml:space="preserve"> </w:t>
      </w:r>
    </w:p>
    <w:p w:rsidR="00196A0D" w:rsidP="00196A0D" w14:paraId="05804D34"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expressed a concern that even though</w:t>
      </w:r>
      <w:r w:rsidRPr="006F68E9">
        <w:rPr>
          <w:rFonts w:ascii="Times New Roman" w:hAnsi="Times New Roman"/>
          <w:sz w:val="24"/>
        </w:rPr>
        <w:t xml:space="preserve"> there may be monitors in their location, they are placed in pristine areas so that it doesn’t seem as though environmental justice communities are impacted by air toxics (0157).</w:t>
      </w:r>
      <w:r w:rsidRPr="00C97006">
        <w:rPr>
          <w:rFonts w:ascii="Times New Roman" w:hAnsi="Times New Roman"/>
          <w:sz w:val="24"/>
        </w:rPr>
        <w:t xml:space="preserve"> </w:t>
      </w:r>
      <w:r w:rsidRPr="006F68E9">
        <w:rPr>
          <w:rFonts w:ascii="Times New Roman" w:hAnsi="Times New Roman"/>
          <w:sz w:val="24"/>
        </w:rPr>
        <w:t>Another commenter pointed out that the safety of those living near polluting facilities is nonexistent during a catastrophic incident (0219).</w:t>
      </w:r>
    </w:p>
    <w:p w:rsidR="00196A0D" w:rsidRPr="00196A0D" w:rsidP="008E589C" w14:paraId="4D7F4E4B" w14:textId="07D354E6">
      <w:pPr>
        <w:rPr>
          <w:rFonts w:ascii="Times New Roman" w:hAnsi="Times New Roman"/>
          <w:b/>
          <w:bCs/>
          <w:sz w:val="24"/>
        </w:rPr>
      </w:pPr>
      <w:r w:rsidRPr="006F68E9">
        <w:rPr>
          <w:rFonts w:ascii="Times New Roman" w:hAnsi="Times New Roman"/>
          <w:sz w:val="24"/>
        </w:rPr>
        <w:t xml:space="preserve">A few commenters agreed with EPA’s decision to not require fenceline monitoring at RMP facilities in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(0231, 0267, 0275).</w:t>
      </w:r>
    </w:p>
    <w:p w:rsidR="008E589C" w:rsidRPr="006F68E9" w:rsidP="008E589C" w14:paraId="32D60C2B" w14:textId="177C4D6C">
      <w:pPr>
        <w:ind w:left="720"/>
        <w:rPr>
          <w:rFonts w:ascii="Times New Roman" w:hAnsi="Times New Roman"/>
          <w:sz w:val="24"/>
        </w:rPr>
      </w:pPr>
      <w:r w:rsidRPr="0075098D">
        <w:rPr>
          <w:rFonts w:ascii="Times New Roman" w:hAnsi="Times New Roman"/>
          <w:b/>
          <w:sz w:val="24"/>
        </w:rPr>
        <w:t>EPA Response:</w:t>
      </w:r>
      <w:r w:rsidRPr="005A35F3">
        <w:rPr>
          <w:rFonts w:ascii="Times New Roman" w:hAnsi="Times New Roman"/>
          <w:sz w:val="24"/>
        </w:rPr>
        <w:t xml:space="preserve"> </w:t>
      </w:r>
      <w:bookmarkStart w:id="200" w:name="_Hlk148942249"/>
      <w:r w:rsidRPr="0075098D">
        <w:rPr>
          <w:rFonts w:ascii="Times New Roman" w:hAnsi="Times New Roman"/>
          <w:sz w:val="24"/>
        </w:rPr>
        <w:t xml:space="preserve">EPA acknowledges the need </w:t>
      </w:r>
      <w:r w:rsidR="00C87658">
        <w:rPr>
          <w:rFonts w:ascii="Times New Roman" w:hAnsi="Times New Roman"/>
          <w:sz w:val="24"/>
        </w:rPr>
        <w:t>for</w:t>
      </w:r>
      <w:r w:rsidRPr="0075098D">
        <w:rPr>
          <w:rFonts w:ascii="Times New Roman" w:hAnsi="Times New Roman"/>
          <w:sz w:val="24"/>
        </w:rPr>
        <w:t xml:space="preserve"> consider</w:t>
      </w:r>
      <w:r w:rsidR="00C87658">
        <w:rPr>
          <w:rFonts w:ascii="Times New Roman" w:hAnsi="Times New Roman"/>
          <w:sz w:val="24"/>
        </w:rPr>
        <w:t>ing</w:t>
      </w:r>
      <w:r w:rsidRPr="0075098D">
        <w:rPr>
          <w:rFonts w:ascii="Times New Roman" w:hAnsi="Times New Roman"/>
          <w:sz w:val="24"/>
        </w:rPr>
        <w:t xml:space="preserve"> expanding fenceline monitoring for RMP-regulated facilities</w:t>
      </w:r>
      <w:r w:rsidR="00BF226C">
        <w:rPr>
          <w:rFonts w:ascii="Times New Roman" w:hAnsi="Times New Roman"/>
          <w:sz w:val="24"/>
        </w:rPr>
        <w:t xml:space="preserve">. </w:t>
      </w:r>
      <w:r w:rsidR="00822D06">
        <w:rPr>
          <w:rFonts w:ascii="Times New Roman" w:hAnsi="Times New Roman"/>
          <w:sz w:val="24"/>
        </w:rPr>
        <w:t xml:space="preserve">The Agency </w:t>
      </w:r>
      <w:r w:rsidRPr="00A11AC7" w:rsidR="00BF226C">
        <w:rPr>
          <w:rFonts w:ascii="Times New Roman" w:hAnsi="Times New Roman"/>
          <w:sz w:val="24"/>
        </w:rPr>
        <w:t>will consider these comments when determining whether to take further action on this issue.</w:t>
      </w:r>
      <w:bookmarkEnd w:id="200"/>
    </w:p>
    <w:p w:rsidR="008E589C" w:rsidRPr="006F68E9" w:rsidP="006761FC" w14:paraId="0A2501C1" w14:textId="77777777">
      <w:pPr>
        <w:pStyle w:val="Heading2"/>
        <w:tabs>
          <w:tab w:val="clear" w:pos="8684"/>
        </w:tabs>
        <w:spacing w:before="120"/>
        <w:rPr>
          <w:rFonts w:ascii="Times New Roman" w:hAnsi="Times New Roman" w:cs="Times New Roman"/>
          <w:b/>
          <w:bCs/>
          <w:color w:val="auto"/>
          <w:sz w:val="24"/>
          <w:szCs w:val="24"/>
        </w:rPr>
      </w:pPr>
      <w:bookmarkStart w:id="201" w:name="_Toc146880059"/>
      <w:bookmarkStart w:id="202" w:name="_Toc153373845"/>
      <w:r w:rsidRPr="006F68E9">
        <w:rPr>
          <w:rFonts w:ascii="Times New Roman" w:hAnsi="Times New Roman" w:cs="Times New Roman"/>
          <w:b/>
          <w:bCs/>
          <w:color w:val="auto"/>
          <w:sz w:val="24"/>
          <w:szCs w:val="24"/>
        </w:rPr>
        <w:t>Regulated facilities</w:t>
      </w:r>
      <w:bookmarkEnd w:id="201"/>
      <w:bookmarkEnd w:id="202"/>
    </w:p>
    <w:p w:rsidR="008E589C" w:rsidRPr="00445F18" w:rsidP="008E589C" w14:paraId="48C11025" w14:textId="77777777">
      <w:pPr>
        <w:rPr>
          <w:rFonts w:ascii="Times New Roman" w:hAnsi="Times New Roman"/>
          <w:i/>
          <w:sz w:val="24"/>
        </w:rPr>
      </w:pPr>
      <w:r w:rsidRPr="00445F18">
        <w:rPr>
          <w:rFonts w:ascii="Times New Roman" w:hAnsi="Times New Roman"/>
          <w:i/>
          <w:iCs/>
          <w:sz w:val="24"/>
        </w:rPr>
        <w:t>Comments suggesting facilities to be regulated</w:t>
      </w:r>
    </w:p>
    <w:p w:rsidR="008E589C" w:rsidP="008E589C" w14:paraId="31953CC6" w14:textId="6D6E34B5">
      <w:pPr>
        <w:rPr>
          <w:rFonts w:ascii="Times New Roman" w:hAnsi="Times New Roman"/>
          <w:sz w:val="24"/>
        </w:rPr>
      </w:pPr>
      <w:r>
        <w:rPr>
          <w:rFonts w:ascii="Times New Roman" w:hAnsi="Times New Roman"/>
          <w:b/>
          <w:bCs/>
          <w:sz w:val="24"/>
        </w:rPr>
        <w:t>Comment 1</w:t>
      </w:r>
      <w:r w:rsidR="003F09AC">
        <w:rPr>
          <w:rFonts w:ascii="Times New Roman" w:hAnsi="Times New Roman"/>
          <w:b/>
          <w:bCs/>
          <w:sz w:val="24"/>
        </w:rPr>
        <w:t>8</w:t>
      </w:r>
      <w:r>
        <w:rPr>
          <w:rFonts w:ascii="Times New Roman" w:hAnsi="Times New Roman"/>
          <w:b/>
          <w:bCs/>
          <w:sz w:val="24"/>
        </w:rPr>
        <w:t xml:space="preserve">.2-01: </w:t>
      </w:r>
      <w:r w:rsidRPr="006F68E9">
        <w:rPr>
          <w:rFonts w:ascii="Times New Roman" w:hAnsi="Times New Roman"/>
          <w:sz w:val="24"/>
        </w:rPr>
        <w:t xml:space="preserve">Several commenters encouraged EPA to require real-time air fenceline monitoring at all RMP facilities (0179, 0191, 0250, 0252, </w:t>
      </w:r>
      <w:r>
        <w:rPr>
          <w:rFonts w:ascii="Times New Roman" w:hAnsi="Times New Roman"/>
          <w:sz w:val="24"/>
        </w:rPr>
        <w:t xml:space="preserve">0255, 0270, </w:t>
      </w:r>
      <w:r w:rsidRPr="006F68E9">
        <w:rPr>
          <w:rFonts w:ascii="Times New Roman" w:hAnsi="Times New Roman"/>
          <w:sz w:val="24"/>
        </w:rPr>
        <w:t>0264, 0269, 0460, 0447).</w:t>
      </w:r>
      <w:r w:rsidRPr="009A3572">
        <w:rPr>
          <w:rFonts w:ascii="Times New Roman" w:hAnsi="Times New Roman"/>
          <w:sz w:val="24"/>
        </w:rPr>
        <w:t xml:space="preserve"> </w:t>
      </w:r>
      <w:r w:rsidRPr="006F68E9">
        <w:rPr>
          <w:rFonts w:ascii="Times New Roman" w:hAnsi="Times New Roman"/>
          <w:sz w:val="24"/>
        </w:rPr>
        <w:t>A couple of the commenters added that fenceline monitoring requirements should include enforcement mechanisms (0250, 0255).</w:t>
      </w:r>
    </w:p>
    <w:p w:rsidR="008E589C" w:rsidP="008E589C" w14:paraId="45494FE5" w14:textId="77777777">
      <w:pPr>
        <w:rPr>
          <w:rFonts w:ascii="Times New Roman" w:hAnsi="Times New Roman"/>
          <w:sz w:val="24"/>
        </w:rPr>
      </w:pPr>
      <w:r w:rsidRPr="6AC75193">
        <w:rPr>
          <w:rFonts w:ascii="Times New Roman" w:hAnsi="Times New Roman"/>
          <w:sz w:val="24"/>
        </w:rPr>
        <w:t xml:space="preserve">One commenter </w:t>
      </w:r>
      <w:r>
        <w:rPr>
          <w:rFonts w:ascii="Times New Roman" w:hAnsi="Times New Roman"/>
          <w:sz w:val="24"/>
        </w:rPr>
        <w:t xml:space="preserve">recommended that EPA include fenceline monitoring in the proposed rule for refineries, </w:t>
      </w:r>
      <w:r w:rsidRPr="6AC75193">
        <w:rPr>
          <w:rFonts w:ascii="Times New Roman" w:hAnsi="Times New Roman"/>
          <w:sz w:val="24"/>
        </w:rPr>
        <w:t>explain</w:t>
      </w:r>
      <w:r>
        <w:rPr>
          <w:rFonts w:ascii="Times New Roman" w:hAnsi="Times New Roman"/>
          <w:sz w:val="24"/>
        </w:rPr>
        <w:t>ing</w:t>
      </w:r>
      <w:r w:rsidRPr="6AC75193">
        <w:rPr>
          <w:rFonts w:ascii="Times New Roman" w:hAnsi="Times New Roman"/>
          <w:sz w:val="24"/>
        </w:rPr>
        <w:t xml:space="preserve"> that there is no evidence that air quality permits would protect people from any of the RMP-regulated substances (0460).</w:t>
      </w:r>
    </w:p>
    <w:p w:rsidR="008E589C" w:rsidRPr="006D52C7" w:rsidP="008E589C" w14:paraId="288AE779"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recommende</w:t>
      </w:r>
      <w:r w:rsidRPr="006F68E9">
        <w:rPr>
          <w:rFonts w:ascii="Times New Roman" w:hAnsi="Times New Roman"/>
          <w:sz w:val="24"/>
        </w:rPr>
        <w:t xml:space="preserve">d fenceline air monitoring specifically for air toxics at the most dangerous RMP facilities. The commenter </w:t>
      </w:r>
      <w:r>
        <w:rPr>
          <w:rFonts w:ascii="Times New Roman" w:hAnsi="Times New Roman"/>
          <w:sz w:val="24"/>
        </w:rPr>
        <w:t>stated</w:t>
      </w:r>
      <w:r w:rsidRPr="006F68E9">
        <w:rPr>
          <w:rFonts w:ascii="Times New Roman" w:hAnsi="Times New Roman"/>
          <w:sz w:val="24"/>
        </w:rPr>
        <w:t xml:space="preserve"> that EPA has the authority to require fenceline air monitoring under the CAA and it has been implemented in various jurisdictions in certain states, such as California (0444).</w:t>
      </w:r>
    </w:p>
    <w:p w:rsidR="008E589C" w:rsidRPr="006F68E9" w:rsidP="008E589C" w14:paraId="73DEDA48"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added that the </w:t>
      </w:r>
      <w:r>
        <w:rPr>
          <w:rFonts w:ascii="Times New Roman" w:hAnsi="Times New Roman"/>
          <w:sz w:val="24"/>
        </w:rPr>
        <w:t>Inflation Reduction Act (</w:t>
      </w:r>
      <w:r w:rsidRPr="006F68E9">
        <w:rPr>
          <w:rFonts w:ascii="Times New Roman" w:hAnsi="Times New Roman"/>
          <w:sz w:val="24"/>
        </w:rPr>
        <w:t>IRA</w:t>
      </w:r>
      <w:r>
        <w:rPr>
          <w:rFonts w:ascii="Times New Roman" w:hAnsi="Times New Roman"/>
          <w:sz w:val="24"/>
        </w:rPr>
        <w:t>)</w:t>
      </w:r>
      <w:r w:rsidRPr="006F68E9">
        <w:rPr>
          <w:rFonts w:ascii="Times New Roman" w:hAnsi="Times New Roman"/>
          <w:sz w:val="24"/>
        </w:rPr>
        <w:t xml:space="preserve"> should be used to assure fenceline monitoring methods are available for chemicals like ethylene oxide, and that methods are included in rules with enforceable corrective action requirements (0460).</w:t>
      </w:r>
      <w:r>
        <w:rPr>
          <w:rFonts w:ascii="Times New Roman" w:hAnsi="Times New Roman"/>
          <w:sz w:val="24"/>
        </w:rPr>
        <w:t xml:space="preserve"> </w:t>
      </w:r>
      <w:r w:rsidRPr="006F68E9">
        <w:rPr>
          <w:rFonts w:ascii="Times New Roman" w:hAnsi="Times New Roman"/>
          <w:sz w:val="24"/>
        </w:rPr>
        <w:t xml:space="preserve">Another commenter </w:t>
      </w:r>
      <w:r>
        <w:rPr>
          <w:rFonts w:ascii="Times New Roman" w:hAnsi="Times New Roman"/>
          <w:sz w:val="24"/>
        </w:rPr>
        <w:t xml:space="preserve">echoed </w:t>
      </w:r>
      <w:r w:rsidRPr="006F68E9">
        <w:rPr>
          <w:rFonts w:ascii="Times New Roman" w:hAnsi="Times New Roman"/>
          <w:sz w:val="24"/>
        </w:rPr>
        <w:t xml:space="preserve">ethylene oxide as a particularly toxic chemical that should be monitored under fenceline monitoring (0191). </w:t>
      </w:r>
    </w:p>
    <w:p w:rsidR="00C80DE5" w:rsidRPr="00E17EE2" w:rsidP="00C80DE5" w14:paraId="2390B9C2" w14:textId="77777777">
      <w:pPr>
        <w:rPr>
          <w:rFonts w:ascii="Times New Roman" w:hAnsi="Times New Roman"/>
          <w:sz w:val="24"/>
        </w:rPr>
      </w:pPr>
      <w:r w:rsidRPr="00E17EE2">
        <w:rPr>
          <w:rFonts w:ascii="Times New Roman" w:hAnsi="Times New Roman"/>
          <w:sz w:val="24"/>
        </w:rPr>
        <w:t xml:space="preserve">One commenter stated that fenceline monitoring should not be applied to all sectors. The commenter explained that fenceline monitoring would be unnecessary for power generation facilities due to rare occurrence of accidents and an energy transition away from coal-based electricity generating units (0244). </w:t>
      </w:r>
    </w:p>
    <w:p w:rsidR="00C80DE5" w:rsidRPr="006F68E9" w:rsidP="008E589C" w14:paraId="63E2FFA1" w14:textId="14866894">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due to the disproportionate cost impacts on batch manufacturers, most of which are small businesses, batch manufacturing processes should be exempted from any fenceline monitoring requirement (0275).</w:t>
      </w:r>
    </w:p>
    <w:p w:rsidR="008E589C" w:rsidRPr="00274552" w:rsidP="008E589C" w14:paraId="4768E761" w14:textId="0559E268">
      <w:pPr>
        <w:ind w:left="720"/>
        <w:rPr>
          <w:rFonts w:ascii="Times New Roman" w:hAnsi="Times New Roman"/>
          <w:b/>
          <w:bCs/>
          <w:sz w:val="24"/>
        </w:rPr>
      </w:pPr>
      <w:r w:rsidRPr="00E17EE2">
        <w:rPr>
          <w:rFonts w:ascii="Times New Roman" w:hAnsi="Times New Roman"/>
          <w:b/>
          <w:bCs/>
          <w:sz w:val="24"/>
        </w:rPr>
        <w:t xml:space="preserve">EPA Response: </w:t>
      </w:r>
      <w:r w:rsidRPr="0075098D">
        <w:rPr>
          <w:rFonts w:ascii="Times New Roman" w:hAnsi="Times New Roman"/>
          <w:sz w:val="24"/>
        </w:rPr>
        <w:t xml:space="preserve">EPA acknowledges the need </w:t>
      </w:r>
      <w:r w:rsidRPr="009F74CE" w:rsidR="009F74CE">
        <w:rPr>
          <w:rFonts w:ascii="Times New Roman" w:hAnsi="Times New Roman"/>
          <w:sz w:val="24"/>
        </w:rPr>
        <w:t>for considering</w:t>
      </w:r>
      <w:r w:rsidRPr="0075098D">
        <w:rPr>
          <w:rFonts w:ascii="Times New Roman" w:hAnsi="Times New Roman"/>
          <w:sz w:val="24"/>
        </w:rPr>
        <w:t xml:space="preserve"> expanding fenceline monitoring for RMP-regulated facilities</w:t>
      </w:r>
      <w:r w:rsidRPr="009F74CE" w:rsidR="009F74CE">
        <w:rPr>
          <w:rFonts w:ascii="Times New Roman" w:hAnsi="Times New Roman"/>
          <w:sz w:val="24"/>
        </w:rPr>
        <w:t>.  The Agency will consider these comments when determining whether to take further action on this issue.</w:t>
      </w:r>
    </w:p>
    <w:p w:rsidR="008E589C" w:rsidRPr="006F68E9" w:rsidP="006761FC" w14:paraId="47741AB1" w14:textId="77777777">
      <w:pPr>
        <w:pStyle w:val="Heading2"/>
        <w:tabs>
          <w:tab w:val="clear" w:pos="8684"/>
        </w:tabs>
        <w:spacing w:before="120"/>
        <w:rPr>
          <w:rFonts w:ascii="Times New Roman" w:hAnsi="Times New Roman" w:cs="Times New Roman"/>
          <w:b/>
          <w:bCs/>
          <w:color w:val="auto"/>
          <w:sz w:val="24"/>
          <w:szCs w:val="24"/>
        </w:rPr>
      </w:pPr>
      <w:bookmarkStart w:id="203" w:name="_Toc146880060"/>
      <w:bookmarkStart w:id="204" w:name="_Toc153373846"/>
      <w:r w:rsidRPr="006F68E9">
        <w:rPr>
          <w:rFonts w:ascii="Times New Roman" w:hAnsi="Times New Roman" w:cs="Times New Roman"/>
          <w:b/>
          <w:bCs/>
          <w:color w:val="auto"/>
          <w:sz w:val="24"/>
          <w:szCs w:val="24"/>
        </w:rPr>
        <w:t>Type of monitoring</w:t>
      </w:r>
      <w:bookmarkEnd w:id="203"/>
      <w:bookmarkEnd w:id="204"/>
    </w:p>
    <w:p w:rsidR="008E589C" w:rsidRPr="0060494B" w:rsidP="008E589C" w14:paraId="4C30CFBE" w14:textId="77777777">
      <w:pPr>
        <w:rPr>
          <w:rFonts w:ascii="Times New Roman" w:hAnsi="Times New Roman"/>
          <w:sz w:val="24"/>
        </w:rPr>
      </w:pPr>
      <w:r w:rsidRPr="0060494B">
        <w:rPr>
          <w:rFonts w:ascii="Times New Roman" w:hAnsi="Times New Roman"/>
          <w:i/>
          <w:sz w:val="24"/>
        </w:rPr>
        <w:t xml:space="preserve">No comments were </w:t>
      </w:r>
      <w:r w:rsidRPr="0060494B">
        <w:rPr>
          <w:rFonts w:ascii="Times New Roman" w:hAnsi="Times New Roman"/>
          <w:i/>
          <w:iCs/>
          <w:sz w:val="24"/>
        </w:rPr>
        <w:t>recorded for this section</w:t>
      </w:r>
      <w:r>
        <w:rPr>
          <w:rFonts w:ascii="Times New Roman" w:hAnsi="Times New Roman"/>
          <w:sz w:val="24"/>
        </w:rPr>
        <w:t>.</w:t>
      </w:r>
    </w:p>
    <w:p w:rsidR="008E589C" w:rsidRPr="006F68E9" w:rsidP="006E51FD" w14:paraId="079E84E4" w14:textId="77777777">
      <w:pPr>
        <w:pStyle w:val="Heading2"/>
        <w:tabs>
          <w:tab w:val="clear" w:pos="8684"/>
        </w:tabs>
        <w:spacing w:before="120"/>
        <w:rPr>
          <w:rFonts w:ascii="Times New Roman" w:hAnsi="Times New Roman" w:cs="Times New Roman"/>
          <w:b/>
          <w:bCs/>
          <w:color w:val="auto"/>
          <w:sz w:val="24"/>
          <w:szCs w:val="24"/>
        </w:rPr>
      </w:pPr>
      <w:bookmarkStart w:id="205" w:name="_Toc146880061"/>
      <w:bookmarkStart w:id="206" w:name="_Toc153373847"/>
      <w:r w:rsidRPr="006F68E9">
        <w:rPr>
          <w:rFonts w:ascii="Times New Roman" w:hAnsi="Times New Roman" w:cs="Times New Roman"/>
          <w:b/>
          <w:bCs/>
          <w:color w:val="auto"/>
          <w:sz w:val="24"/>
          <w:szCs w:val="24"/>
        </w:rPr>
        <w:t>Automatic release notifications</w:t>
      </w:r>
      <w:bookmarkEnd w:id="205"/>
      <w:bookmarkEnd w:id="206"/>
    </w:p>
    <w:p w:rsidR="008E589C" w:rsidP="008E589C" w14:paraId="675CE2A3" w14:textId="65C7D8AD">
      <w:pPr>
        <w:rPr>
          <w:rFonts w:ascii="Times New Roman" w:hAnsi="Times New Roman"/>
          <w:sz w:val="24"/>
        </w:rPr>
      </w:pPr>
      <w:r w:rsidRPr="00770E7A">
        <w:rPr>
          <w:rFonts w:ascii="Times New Roman" w:hAnsi="Times New Roman"/>
          <w:b/>
          <w:bCs/>
          <w:sz w:val="24"/>
        </w:rPr>
        <w:t>Comment</w:t>
      </w:r>
      <w:r>
        <w:rPr>
          <w:rFonts w:ascii="Times New Roman" w:hAnsi="Times New Roman"/>
          <w:b/>
          <w:bCs/>
          <w:sz w:val="24"/>
        </w:rPr>
        <w:t xml:space="preserve"> 1</w:t>
      </w:r>
      <w:r w:rsidR="003F09AC">
        <w:rPr>
          <w:rFonts w:ascii="Times New Roman" w:hAnsi="Times New Roman"/>
          <w:b/>
          <w:bCs/>
          <w:sz w:val="24"/>
        </w:rPr>
        <w:t>8</w:t>
      </w:r>
      <w:r>
        <w:rPr>
          <w:rFonts w:ascii="Times New Roman" w:hAnsi="Times New Roman"/>
          <w:b/>
          <w:bCs/>
          <w:sz w:val="24"/>
        </w:rPr>
        <w:t>.4-01</w:t>
      </w:r>
      <w:r w:rsidRPr="00770E7A">
        <w:rPr>
          <w:rFonts w:ascii="Times New Roman" w:hAnsi="Times New Roman"/>
          <w:b/>
          <w:bCs/>
          <w:sz w:val="24"/>
        </w:rPr>
        <w:t>:</w:t>
      </w:r>
      <w:r>
        <w:rPr>
          <w:rFonts w:ascii="Times New Roman" w:hAnsi="Times New Roman"/>
          <w:sz w:val="24"/>
        </w:rPr>
        <w:t xml:space="preserve"> Several commenters specifically supported release notifications for fenceline monitoring (0151, 0158, 0460). </w:t>
      </w:r>
      <w:r w:rsidRPr="006F68E9">
        <w:rPr>
          <w:rFonts w:ascii="Times New Roman" w:hAnsi="Times New Roman"/>
          <w:sz w:val="24"/>
        </w:rPr>
        <w:t>Several commenter’s expressed support for fenceline monitoring coupled with their request for fenceline monitoring data to be made available to the public (0143, 0160, 0173, 0209, 0240, 0248, 0270, 0331).</w:t>
      </w:r>
    </w:p>
    <w:p w:rsidR="008E589C" w:rsidP="008E589C" w14:paraId="716F6FD0" w14:textId="77777777">
      <w:pPr>
        <w:rPr>
          <w:rFonts w:ascii="Times New Roman" w:hAnsi="Times New Roman"/>
          <w:sz w:val="24"/>
        </w:rPr>
      </w:pPr>
      <w:r>
        <w:rPr>
          <w:rFonts w:ascii="Times New Roman" w:hAnsi="Times New Roman"/>
          <w:sz w:val="24"/>
        </w:rPr>
        <w:t xml:space="preserve">A few </w:t>
      </w:r>
      <w:r w:rsidRPr="006F68E9">
        <w:rPr>
          <w:rFonts w:ascii="Times New Roman" w:hAnsi="Times New Roman"/>
          <w:sz w:val="24"/>
        </w:rPr>
        <w:t xml:space="preserve">commenters </w:t>
      </w:r>
      <w:r>
        <w:rPr>
          <w:rFonts w:ascii="Times New Roman" w:hAnsi="Times New Roman"/>
          <w:sz w:val="24"/>
        </w:rPr>
        <w:t>expressed support for</w:t>
      </w:r>
      <w:r w:rsidRPr="006F68E9">
        <w:rPr>
          <w:rFonts w:ascii="Times New Roman" w:hAnsi="Times New Roman"/>
          <w:sz w:val="24"/>
        </w:rPr>
        <w:t xml:space="preserve"> monitoring to protect vulnerable communities, notably for communities that are nearby industrial facilities with high accident rates (0143, 0402, 0456).</w:t>
      </w:r>
      <w:r>
        <w:rPr>
          <w:rFonts w:ascii="Times New Roman" w:hAnsi="Times New Roman"/>
          <w:sz w:val="24"/>
        </w:rPr>
        <w:t xml:space="preserve"> </w:t>
      </w:r>
      <w:r w:rsidRPr="006F68E9">
        <w:rPr>
          <w:rFonts w:ascii="Times New Roman" w:hAnsi="Times New Roman"/>
          <w:sz w:val="24"/>
        </w:rPr>
        <w:t>A couple of commenters highlighted the value in providing real-time fenceline monitoring as</w:t>
      </w:r>
      <w:r>
        <w:rPr>
          <w:rFonts w:ascii="Times New Roman" w:hAnsi="Times New Roman"/>
          <w:sz w:val="24"/>
        </w:rPr>
        <w:t xml:space="preserve"> </w:t>
      </w:r>
      <w:r w:rsidRPr="006F68E9">
        <w:rPr>
          <w:rFonts w:ascii="Times New Roman" w:hAnsi="Times New Roman"/>
          <w:sz w:val="24"/>
        </w:rPr>
        <w:t>multilingual notifications to inform community members living near RMP facilities (0157, 0331).</w:t>
      </w:r>
      <w:r>
        <w:rPr>
          <w:rFonts w:ascii="Times New Roman" w:hAnsi="Times New Roman"/>
          <w:sz w:val="24"/>
        </w:rPr>
        <w:t xml:space="preserve"> </w:t>
      </w:r>
      <w:r w:rsidRPr="006F68E9">
        <w:rPr>
          <w:rFonts w:ascii="Times New Roman" w:hAnsi="Times New Roman"/>
          <w:sz w:val="24"/>
        </w:rPr>
        <w:t xml:space="preserve">A couple of commenters related public notifications to environmental justice concerns and the need for multilingual notifications (0270, 0331). </w:t>
      </w:r>
    </w:p>
    <w:p w:rsidR="008E589C" w:rsidP="008E589C" w14:paraId="5B216E47" w14:textId="77777777">
      <w:pPr>
        <w:rPr>
          <w:rFonts w:ascii="Times New Roman" w:hAnsi="Times New Roman"/>
          <w:sz w:val="24"/>
        </w:rPr>
      </w:pPr>
      <w:r w:rsidRPr="006F68E9">
        <w:rPr>
          <w:rFonts w:ascii="Times New Roman" w:hAnsi="Times New Roman"/>
          <w:sz w:val="24"/>
        </w:rPr>
        <w:t>A few commenters expressed the value of fenceline monitoring to alert the public and/or emergency services, such as first responders (0157, 0179, 0269, 0447).</w:t>
      </w:r>
      <w:r>
        <w:rPr>
          <w:rFonts w:ascii="Times New Roman" w:hAnsi="Times New Roman"/>
          <w:sz w:val="24"/>
        </w:rPr>
        <w:t xml:space="preserve"> </w:t>
      </w:r>
      <w:r w:rsidRPr="006F68E9">
        <w:rPr>
          <w:rFonts w:ascii="Times New Roman" w:hAnsi="Times New Roman"/>
          <w:sz w:val="24"/>
        </w:rPr>
        <w:t>A few commenters described real-time fenceline air monitoring in events to identify chemical releases to trigger alerts and potential evacuation warnings (0270, 0456, 0460).</w:t>
      </w:r>
    </w:p>
    <w:p w:rsidR="008E589C" w:rsidRPr="00276327" w:rsidP="008E589C" w14:paraId="2C909367" w14:textId="77777777">
      <w:pPr>
        <w:rPr>
          <w:rFonts w:ascii="Times New Roman" w:hAnsi="Times New Roman"/>
          <w:b/>
          <w:bCs/>
          <w:sz w:val="24"/>
        </w:rPr>
      </w:pPr>
      <w:r w:rsidRPr="006F68E9">
        <w:rPr>
          <w:rFonts w:ascii="Times New Roman" w:hAnsi="Times New Roman"/>
          <w:sz w:val="24"/>
        </w:rPr>
        <w:t>One commenter said that full disclosure of gathered data on hazardous chemical emissions should be available to everyone on a website in multiple languages. The commenter added that phone calls, emails, or text messages be sent to people who requested notifications (0191).</w:t>
      </w:r>
    </w:p>
    <w:p w:rsidR="008E589C" w:rsidRPr="006F68E9" w:rsidP="008E589C" w14:paraId="4173A8B1" w14:textId="77777777">
      <w:pPr>
        <w:rPr>
          <w:rFonts w:ascii="Times New Roman" w:hAnsi="Times New Roman"/>
          <w:sz w:val="24"/>
        </w:rPr>
      </w:pPr>
      <w:r>
        <w:rPr>
          <w:rFonts w:ascii="Times New Roman" w:hAnsi="Times New Roman"/>
          <w:sz w:val="24"/>
        </w:rPr>
        <w:t>One commenter stated</w:t>
      </w:r>
      <w:r w:rsidRPr="006F68E9">
        <w:rPr>
          <w:rFonts w:ascii="Times New Roman" w:hAnsi="Times New Roman"/>
          <w:sz w:val="24"/>
        </w:rPr>
        <w:t xml:space="preserve"> that outdated information on monitoring technology from 2014 does not justify refusing to require fenceline monitoring. The commenter continued that in recent years, </w:t>
      </w:r>
      <w:r>
        <w:rPr>
          <w:rFonts w:ascii="Times New Roman" w:hAnsi="Times New Roman"/>
          <w:sz w:val="24"/>
        </w:rPr>
        <w:t>S</w:t>
      </w:r>
      <w:r w:rsidRPr="006F68E9">
        <w:rPr>
          <w:rFonts w:ascii="Times New Roman" w:hAnsi="Times New Roman"/>
          <w:sz w:val="24"/>
        </w:rPr>
        <w:t xml:space="preserve">tate and local governments have required use of real-time fenceline monitoring as methods have improve. The commenter </w:t>
      </w:r>
      <w:r>
        <w:rPr>
          <w:rFonts w:ascii="Times New Roman" w:hAnsi="Times New Roman"/>
          <w:sz w:val="24"/>
        </w:rPr>
        <w:t>discussed</w:t>
      </w:r>
      <w:r w:rsidRPr="006F68E9">
        <w:rPr>
          <w:rFonts w:ascii="Times New Roman" w:hAnsi="Times New Roman"/>
          <w:sz w:val="24"/>
        </w:rPr>
        <w:t xml:space="preserve"> the value of fenceline monitoring to assure information reaches first-responders and communities (0460). </w:t>
      </w:r>
    </w:p>
    <w:p w:rsidR="008E589C" w:rsidP="008E589C" w14:paraId="0D1B52B7" w14:textId="2D3EC57A">
      <w:pPr>
        <w:ind w:left="720"/>
        <w:rPr>
          <w:rFonts w:ascii="Times New Roman" w:hAnsi="Times New Roman"/>
          <w:sz w:val="24"/>
        </w:rPr>
      </w:pPr>
      <w:r w:rsidRPr="001726E6">
        <w:rPr>
          <w:rFonts w:ascii="Times New Roman" w:hAnsi="Times New Roman"/>
          <w:b/>
          <w:sz w:val="24"/>
        </w:rPr>
        <w:t>EPA Response:</w:t>
      </w:r>
      <w:r>
        <w:rPr>
          <w:rFonts w:ascii="Times New Roman" w:hAnsi="Times New Roman"/>
          <w:b/>
          <w:bCs/>
          <w:sz w:val="24"/>
        </w:rPr>
        <w:t xml:space="preserve"> </w:t>
      </w:r>
      <w:r w:rsidRPr="0075098D">
        <w:rPr>
          <w:rFonts w:ascii="Times New Roman" w:hAnsi="Times New Roman"/>
          <w:sz w:val="24"/>
        </w:rPr>
        <w:t xml:space="preserve">EPA acknowledges the need </w:t>
      </w:r>
      <w:r w:rsidR="00310EC0">
        <w:rPr>
          <w:rFonts w:ascii="Times New Roman" w:hAnsi="Times New Roman"/>
          <w:sz w:val="24"/>
        </w:rPr>
        <w:t>for</w:t>
      </w:r>
      <w:r w:rsidRPr="0075098D" w:rsidR="00310EC0">
        <w:rPr>
          <w:rFonts w:ascii="Times New Roman" w:hAnsi="Times New Roman"/>
          <w:sz w:val="24"/>
        </w:rPr>
        <w:t xml:space="preserve"> consider</w:t>
      </w:r>
      <w:r w:rsidR="00310EC0">
        <w:rPr>
          <w:rFonts w:ascii="Times New Roman" w:hAnsi="Times New Roman"/>
          <w:sz w:val="24"/>
        </w:rPr>
        <w:t>ing</w:t>
      </w:r>
      <w:r w:rsidRPr="0075098D">
        <w:rPr>
          <w:rFonts w:ascii="Times New Roman" w:hAnsi="Times New Roman"/>
          <w:sz w:val="24"/>
        </w:rPr>
        <w:t xml:space="preserve"> expanding fenceline monitoring for RMP-regulated facilities</w:t>
      </w:r>
      <w:r w:rsidR="00310EC0">
        <w:rPr>
          <w:rFonts w:ascii="Times New Roman" w:hAnsi="Times New Roman"/>
          <w:sz w:val="24"/>
        </w:rPr>
        <w:t xml:space="preserve">. The Agency </w:t>
      </w:r>
      <w:r w:rsidRPr="00A11AC7" w:rsidR="00310EC0">
        <w:rPr>
          <w:rFonts w:ascii="Times New Roman" w:hAnsi="Times New Roman"/>
          <w:sz w:val="24"/>
        </w:rPr>
        <w:t>will consider these comments when determining whether to take further action on this issue.</w:t>
      </w:r>
    </w:p>
    <w:p w:rsidR="008E589C" w:rsidRPr="006F68E9" w:rsidP="006E51FD" w14:paraId="106D986A" w14:textId="77777777">
      <w:pPr>
        <w:pStyle w:val="Heading2"/>
        <w:tabs>
          <w:tab w:val="clear" w:pos="8684"/>
        </w:tabs>
        <w:spacing w:before="120"/>
        <w:rPr>
          <w:rFonts w:ascii="Times New Roman" w:hAnsi="Times New Roman" w:cs="Times New Roman"/>
          <w:b/>
          <w:bCs/>
          <w:color w:val="auto"/>
          <w:sz w:val="24"/>
          <w:szCs w:val="24"/>
        </w:rPr>
      </w:pPr>
      <w:bookmarkStart w:id="207" w:name="_Toc146880062"/>
      <w:bookmarkStart w:id="208" w:name="_Toc153373848"/>
      <w:r w:rsidRPr="006F68E9">
        <w:rPr>
          <w:rFonts w:ascii="Times New Roman" w:hAnsi="Times New Roman" w:cs="Times New Roman"/>
          <w:b/>
          <w:bCs/>
          <w:color w:val="auto"/>
          <w:sz w:val="24"/>
          <w:szCs w:val="24"/>
        </w:rPr>
        <w:t>Quality assurance of fenceline monitoring</w:t>
      </w:r>
      <w:bookmarkEnd w:id="207"/>
      <w:bookmarkEnd w:id="208"/>
    </w:p>
    <w:p w:rsidR="008E589C" w:rsidP="008E589C" w14:paraId="577CCA63" w14:textId="281EE651">
      <w:pPr>
        <w:rPr>
          <w:rFonts w:ascii="Times New Roman" w:hAnsi="Times New Roman"/>
          <w:sz w:val="24"/>
        </w:rPr>
      </w:pPr>
      <w:r w:rsidRPr="00311A6A">
        <w:rPr>
          <w:rFonts w:ascii="Times New Roman" w:hAnsi="Times New Roman"/>
          <w:b/>
          <w:sz w:val="24"/>
        </w:rPr>
        <w:t xml:space="preserve">Comment </w:t>
      </w:r>
      <w:r>
        <w:rPr>
          <w:rFonts w:ascii="Times New Roman" w:hAnsi="Times New Roman"/>
          <w:b/>
          <w:sz w:val="24"/>
        </w:rPr>
        <w:t>1</w:t>
      </w:r>
      <w:r w:rsidR="003F09AC">
        <w:rPr>
          <w:rFonts w:ascii="Times New Roman" w:hAnsi="Times New Roman"/>
          <w:b/>
          <w:sz w:val="24"/>
        </w:rPr>
        <w:t>8</w:t>
      </w:r>
      <w:r>
        <w:rPr>
          <w:rFonts w:ascii="Times New Roman" w:hAnsi="Times New Roman"/>
          <w:b/>
          <w:sz w:val="24"/>
        </w:rPr>
        <w:t>.5-01</w:t>
      </w:r>
      <w:r w:rsidRPr="00311A6A">
        <w:rPr>
          <w:rFonts w:ascii="Times New Roman" w:hAnsi="Times New Roman"/>
          <w:b/>
          <w:sz w:val="24"/>
        </w:rPr>
        <w:t xml:space="preserve">: </w:t>
      </w:r>
      <w:r>
        <w:rPr>
          <w:rFonts w:ascii="Times New Roman" w:hAnsi="Times New Roman"/>
          <w:sz w:val="24"/>
        </w:rPr>
        <w:t>One</w:t>
      </w:r>
      <w:r w:rsidRPr="00311A6A">
        <w:rPr>
          <w:rFonts w:ascii="Times New Roman" w:hAnsi="Times New Roman"/>
          <w:sz w:val="24"/>
        </w:rPr>
        <w:t xml:space="preserve"> commenter </w:t>
      </w:r>
      <w:r>
        <w:rPr>
          <w:rFonts w:ascii="Times New Roman" w:hAnsi="Times New Roman"/>
          <w:sz w:val="24"/>
        </w:rPr>
        <w:t>stated</w:t>
      </w:r>
      <w:r w:rsidRPr="00311A6A">
        <w:rPr>
          <w:rFonts w:ascii="Times New Roman" w:hAnsi="Times New Roman"/>
          <w:sz w:val="24"/>
        </w:rPr>
        <w:t xml:space="preserve"> that, while fenceline monitors could detect an accidental release in some circumstances, high wind events such as hurricanes can render them useless such that a loss of power to monitors would have no adverse effect on the source or the surrounding community</w:t>
      </w:r>
      <w:r>
        <w:rPr>
          <w:rFonts w:ascii="Times New Roman" w:hAnsi="Times New Roman"/>
          <w:sz w:val="24"/>
        </w:rPr>
        <w:t xml:space="preserve"> (0215)</w:t>
      </w:r>
      <w:r w:rsidRPr="00311A6A">
        <w:rPr>
          <w:rFonts w:ascii="Times New Roman" w:hAnsi="Times New Roman"/>
          <w:sz w:val="24"/>
        </w:rPr>
        <w:t xml:space="preserve">. </w:t>
      </w:r>
    </w:p>
    <w:p w:rsidR="00C80DE5" w:rsidP="008E589C" w14:paraId="0FA66F45" w14:textId="62D259C1">
      <w:pPr>
        <w:rPr>
          <w:rFonts w:ascii="Times New Roman" w:hAnsi="Times New Roman"/>
          <w:sz w:val="24"/>
        </w:rPr>
      </w:pPr>
      <w:r w:rsidRPr="001A66AB">
        <w:rPr>
          <w:rFonts w:ascii="Times New Roman" w:hAnsi="Times New Roman"/>
          <w:sz w:val="24"/>
        </w:rPr>
        <w:t xml:space="preserve">One </w:t>
      </w:r>
      <w:r w:rsidRPr="006F68E9">
        <w:rPr>
          <w:rFonts w:ascii="Times New Roman" w:hAnsi="Times New Roman"/>
          <w:sz w:val="24"/>
        </w:rPr>
        <w:t xml:space="preserve">commenter </w:t>
      </w:r>
      <w:r>
        <w:rPr>
          <w:rFonts w:ascii="Times New Roman" w:hAnsi="Times New Roman"/>
          <w:sz w:val="24"/>
        </w:rPr>
        <w:t>stated</w:t>
      </w:r>
      <w:r w:rsidRPr="006F68E9">
        <w:rPr>
          <w:rFonts w:ascii="Times New Roman" w:hAnsi="Times New Roman"/>
          <w:sz w:val="24"/>
        </w:rPr>
        <w:t xml:space="preserve"> th</w:t>
      </w:r>
      <w:r>
        <w:rPr>
          <w:rFonts w:ascii="Times New Roman" w:hAnsi="Times New Roman"/>
          <w:sz w:val="24"/>
        </w:rPr>
        <w:t>at</w:t>
      </w:r>
      <w:r w:rsidRPr="006F68E9">
        <w:rPr>
          <w:rFonts w:ascii="Times New Roman" w:hAnsi="Times New Roman"/>
          <w:sz w:val="24"/>
        </w:rPr>
        <w:t xml:space="preserve"> technology has not advanced far enough to automatically detect chemical releases anywhere from an industrial facility with the accuracy demanded by the surrounding communities and will require additional manual due diligence. The commenter explained that there is a risk of a “crying wolf” scenario (0173).</w:t>
      </w:r>
    </w:p>
    <w:p w:rsidR="008E589C" w:rsidRPr="00B815A4" w:rsidP="00310EC0" w14:paraId="696D146D" w14:textId="5CE896C4">
      <w:pPr>
        <w:ind w:left="720"/>
        <w:rPr>
          <w:rFonts w:ascii="Times New Roman" w:hAnsi="Times New Roman"/>
          <w:b/>
          <w:bCs/>
          <w:sz w:val="24"/>
        </w:rPr>
      </w:pPr>
      <w:r w:rsidRPr="00310EC0">
        <w:rPr>
          <w:rFonts w:ascii="Times New Roman" w:hAnsi="Times New Roman"/>
          <w:b/>
          <w:bCs/>
          <w:sz w:val="24"/>
        </w:rPr>
        <w:t>EPA Response:</w:t>
      </w:r>
      <w:r w:rsidRPr="00B815A4">
        <w:rPr>
          <w:rFonts w:ascii="Times New Roman" w:hAnsi="Times New Roman"/>
          <w:b/>
          <w:bCs/>
          <w:sz w:val="24"/>
        </w:rPr>
        <w:t xml:space="preserve"> </w:t>
      </w:r>
      <w:r w:rsidRPr="0075098D" w:rsidR="00310EC0">
        <w:rPr>
          <w:rFonts w:ascii="Times New Roman" w:hAnsi="Times New Roman"/>
          <w:sz w:val="24"/>
        </w:rPr>
        <w:t xml:space="preserve">EPA acknowledges the need </w:t>
      </w:r>
      <w:r w:rsidR="00310EC0">
        <w:rPr>
          <w:rFonts w:ascii="Times New Roman" w:hAnsi="Times New Roman"/>
          <w:sz w:val="24"/>
        </w:rPr>
        <w:t>for</w:t>
      </w:r>
      <w:r w:rsidRPr="0075098D" w:rsidR="00310EC0">
        <w:rPr>
          <w:rFonts w:ascii="Times New Roman" w:hAnsi="Times New Roman"/>
          <w:sz w:val="24"/>
        </w:rPr>
        <w:t xml:space="preserve"> consider</w:t>
      </w:r>
      <w:r w:rsidR="00310EC0">
        <w:rPr>
          <w:rFonts w:ascii="Times New Roman" w:hAnsi="Times New Roman"/>
          <w:sz w:val="24"/>
        </w:rPr>
        <w:t>ing</w:t>
      </w:r>
      <w:r w:rsidRPr="0075098D" w:rsidR="00310EC0">
        <w:rPr>
          <w:rFonts w:ascii="Times New Roman" w:hAnsi="Times New Roman"/>
          <w:sz w:val="24"/>
        </w:rPr>
        <w:t xml:space="preserve"> expanding fenceline monitoring for RMP-regulated facilities</w:t>
      </w:r>
      <w:r w:rsidR="00310EC0">
        <w:rPr>
          <w:rFonts w:ascii="Times New Roman" w:hAnsi="Times New Roman"/>
          <w:sz w:val="24"/>
        </w:rPr>
        <w:t xml:space="preserve">. The Agency </w:t>
      </w:r>
      <w:r w:rsidRPr="00A11AC7" w:rsidR="00310EC0">
        <w:rPr>
          <w:rFonts w:ascii="Times New Roman" w:hAnsi="Times New Roman"/>
          <w:sz w:val="24"/>
        </w:rPr>
        <w:t>will consider these comments when determining whether to take further action on this issue.</w:t>
      </w:r>
    </w:p>
    <w:p w:rsidR="008E589C" w:rsidRPr="006F68E9" w:rsidP="006E51FD" w14:paraId="5E67DE71" w14:textId="77777777">
      <w:pPr>
        <w:pStyle w:val="Heading2"/>
        <w:tabs>
          <w:tab w:val="clear" w:pos="8684"/>
        </w:tabs>
        <w:spacing w:before="120"/>
        <w:rPr>
          <w:rFonts w:ascii="Times New Roman" w:hAnsi="Times New Roman" w:cs="Times New Roman"/>
          <w:b/>
          <w:bCs/>
          <w:color w:val="auto"/>
          <w:sz w:val="24"/>
          <w:szCs w:val="24"/>
        </w:rPr>
      </w:pPr>
      <w:bookmarkStart w:id="209" w:name="_Toc146880063"/>
      <w:bookmarkStart w:id="210" w:name="_Toc153373849"/>
      <w:r w:rsidRPr="006F68E9">
        <w:rPr>
          <w:rFonts w:ascii="Times New Roman" w:hAnsi="Times New Roman" w:cs="Times New Roman"/>
          <w:b/>
          <w:bCs/>
          <w:color w:val="auto"/>
          <w:sz w:val="24"/>
          <w:szCs w:val="24"/>
        </w:rPr>
        <w:t>Monitoring technologies and standards</w:t>
      </w:r>
      <w:bookmarkEnd w:id="209"/>
      <w:bookmarkEnd w:id="210"/>
    </w:p>
    <w:p w:rsidR="008E589C" w:rsidP="008E589C" w14:paraId="51CD6AD8" w14:textId="4A640E70">
      <w:pPr>
        <w:rPr>
          <w:rFonts w:ascii="Times New Roman" w:hAnsi="Times New Roman"/>
          <w:sz w:val="24"/>
        </w:rPr>
      </w:pPr>
      <w:r>
        <w:rPr>
          <w:rFonts w:ascii="Times New Roman" w:hAnsi="Times New Roman"/>
          <w:b/>
          <w:bCs/>
          <w:sz w:val="24"/>
        </w:rPr>
        <w:t>Comment 1</w:t>
      </w:r>
      <w:r w:rsidR="003F09AC">
        <w:rPr>
          <w:rFonts w:ascii="Times New Roman" w:hAnsi="Times New Roman"/>
          <w:b/>
          <w:bCs/>
          <w:sz w:val="24"/>
        </w:rPr>
        <w:t>8</w:t>
      </w:r>
      <w:r>
        <w:rPr>
          <w:rFonts w:ascii="Times New Roman" w:hAnsi="Times New Roman"/>
          <w:b/>
          <w:bCs/>
          <w:sz w:val="24"/>
        </w:rPr>
        <w:t xml:space="preserve">.6-01: </w:t>
      </w:r>
      <w:r w:rsidRPr="006F68E9">
        <w:rPr>
          <w:rFonts w:ascii="Times New Roman" w:hAnsi="Times New Roman"/>
          <w:sz w:val="24"/>
        </w:rPr>
        <w:t xml:space="preserve">One commenter suggested active fenceline monitoring with real-time data sharing. The commenter explained that in Texas, ambient air monitors are typically shut down by the TCEQ to avoid damage during disasters such as hurricanes. The commenter proposed that EPA should consider the feasibility of bringing mobile monitoring technology on site after a disaster because of the potential human exposure to pollution releases immediately following (0254). </w:t>
      </w:r>
    </w:p>
    <w:p w:rsidR="008E589C" w:rsidRPr="00250943" w:rsidP="008E589C" w14:paraId="5088B97C" w14:textId="08469CE7">
      <w:pPr>
        <w:ind w:left="720"/>
        <w:rPr>
          <w:rFonts w:ascii="Times New Roman" w:hAnsi="Times New Roman"/>
          <w:sz w:val="24"/>
        </w:rPr>
      </w:pPr>
      <w:r w:rsidRPr="00192C58">
        <w:rPr>
          <w:rFonts w:ascii="Times New Roman" w:hAnsi="Times New Roman"/>
          <w:b/>
          <w:bCs/>
          <w:sz w:val="24"/>
        </w:rPr>
        <w:t>EPA Response:</w:t>
      </w:r>
      <w:r w:rsidRPr="00FB1C0F">
        <w:rPr>
          <w:rFonts w:ascii="Times New Roman" w:hAnsi="Times New Roman"/>
          <w:b/>
          <w:bCs/>
          <w:sz w:val="24"/>
        </w:rPr>
        <w:t xml:space="preserve"> </w:t>
      </w:r>
      <w:r w:rsidRPr="0075098D">
        <w:rPr>
          <w:rFonts w:ascii="Times New Roman" w:hAnsi="Times New Roman"/>
          <w:sz w:val="24"/>
        </w:rPr>
        <w:t xml:space="preserve">EPA acknowledges the need </w:t>
      </w:r>
      <w:r w:rsidR="00310EC0">
        <w:rPr>
          <w:rFonts w:ascii="Times New Roman" w:hAnsi="Times New Roman"/>
          <w:sz w:val="24"/>
        </w:rPr>
        <w:t>for</w:t>
      </w:r>
      <w:r w:rsidRPr="0075098D" w:rsidR="00310EC0">
        <w:rPr>
          <w:rFonts w:ascii="Times New Roman" w:hAnsi="Times New Roman"/>
          <w:sz w:val="24"/>
        </w:rPr>
        <w:t xml:space="preserve"> consider</w:t>
      </w:r>
      <w:r w:rsidR="00310EC0">
        <w:rPr>
          <w:rFonts w:ascii="Times New Roman" w:hAnsi="Times New Roman"/>
          <w:sz w:val="24"/>
        </w:rPr>
        <w:t>ing</w:t>
      </w:r>
      <w:r w:rsidRPr="0075098D">
        <w:rPr>
          <w:rFonts w:ascii="Times New Roman" w:hAnsi="Times New Roman"/>
          <w:sz w:val="24"/>
        </w:rPr>
        <w:t xml:space="preserve"> expanding fenceline monitoring for RMP-regulated facilities</w:t>
      </w:r>
      <w:r w:rsidR="00310EC0">
        <w:rPr>
          <w:rFonts w:ascii="Times New Roman" w:hAnsi="Times New Roman"/>
          <w:sz w:val="24"/>
        </w:rPr>
        <w:t xml:space="preserve">. The Agency </w:t>
      </w:r>
      <w:r w:rsidRPr="00A11AC7" w:rsidR="00310EC0">
        <w:rPr>
          <w:rFonts w:ascii="Times New Roman" w:hAnsi="Times New Roman"/>
          <w:sz w:val="24"/>
        </w:rPr>
        <w:t>will consider these comments when determining whether to take further action on this issue.</w:t>
      </w:r>
    </w:p>
    <w:p w:rsidR="008E589C" w:rsidRPr="006F68E9" w:rsidP="006E51FD" w14:paraId="593C24E9" w14:textId="77777777">
      <w:pPr>
        <w:pStyle w:val="Heading2"/>
        <w:tabs>
          <w:tab w:val="clear" w:pos="8684"/>
        </w:tabs>
        <w:spacing w:before="120"/>
        <w:rPr>
          <w:rFonts w:ascii="Times New Roman" w:hAnsi="Times New Roman" w:cs="Times New Roman"/>
          <w:b/>
          <w:bCs/>
          <w:color w:val="auto"/>
          <w:sz w:val="24"/>
          <w:szCs w:val="24"/>
        </w:rPr>
      </w:pPr>
      <w:bookmarkStart w:id="211" w:name="_Toc146880064"/>
      <w:bookmarkStart w:id="212" w:name="_Toc153373850"/>
      <w:r w:rsidRPr="006F68E9">
        <w:rPr>
          <w:rFonts w:ascii="Times New Roman" w:hAnsi="Times New Roman" w:cs="Times New Roman"/>
          <w:b/>
          <w:bCs/>
          <w:color w:val="auto"/>
          <w:sz w:val="24"/>
          <w:szCs w:val="24"/>
        </w:rPr>
        <w:t>Design of a fenceline monitoring program</w:t>
      </w:r>
      <w:bookmarkEnd w:id="211"/>
      <w:bookmarkEnd w:id="212"/>
    </w:p>
    <w:p w:rsidR="008E589C" w:rsidRPr="006F68E9" w:rsidP="008E589C" w14:paraId="7360F122" w14:textId="3BF45ED7">
      <w:pPr>
        <w:rPr>
          <w:rFonts w:ascii="Times New Roman" w:hAnsi="Times New Roman"/>
          <w:sz w:val="24"/>
        </w:rPr>
      </w:pPr>
      <w:r>
        <w:rPr>
          <w:rFonts w:ascii="Times New Roman" w:hAnsi="Times New Roman"/>
          <w:b/>
          <w:bCs/>
          <w:sz w:val="24"/>
        </w:rPr>
        <w:t>Comment 1</w:t>
      </w:r>
      <w:r w:rsidR="003F09AC">
        <w:rPr>
          <w:rFonts w:ascii="Times New Roman" w:hAnsi="Times New Roman"/>
          <w:b/>
          <w:bCs/>
          <w:sz w:val="24"/>
        </w:rPr>
        <w:t>8</w:t>
      </w:r>
      <w:r>
        <w:rPr>
          <w:rFonts w:ascii="Times New Roman" w:hAnsi="Times New Roman"/>
          <w:b/>
          <w:bCs/>
          <w:sz w:val="24"/>
        </w:rPr>
        <w:t xml:space="preserve">.7-01: </w:t>
      </w: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EPA offices have experience and the ability to apply the best available known real-time methods for RMP hazardous substances, and for substances with no currently available technology, EPA should commit to review monitoring requirements. The commenter suggested starting with a program that would focus on a subset of high-toxicity substances with existing real-time monitoring technology, complex facilities, or facilities with multiple RMP processes or sources, and Program 3 RMP facilities (0406). </w:t>
      </w:r>
    </w:p>
    <w:p w:rsidR="00DC3E15" w:rsidP="008E589C" w14:paraId="27E42912" w14:textId="193F1BFD">
      <w:pPr>
        <w:rPr>
          <w:rFonts w:ascii="Times New Roman" w:hAnsi="Times New Roman"/>
          <w:sz w:val="24"/>
        </w:rPr>
      </w:pPr>
      <w:r w:rsidRPr="006F68E9">
        <w:rPr>
          <w:rFonts w:ascii="Times New Roman" w:hAnsi="Times New Roman"/>
          <w:sz w:val="24"/>
        </w:rPr>
        <w:t xml:space="preserve">One commenter expressed support for real-time monitoring technologies based on the EPA Office of Research and Development’s (ORD) expertise on how to ensure reliable and accurate air monitoring. The commenter explained that ORD has been evaluating and reporting on the effectiveness of various techniques, including for the RMP-regulated substance ethylene oxide, in recent years, and therefore, EPA should consult with </w:t>
      </w:r>
      <w:r>
        <w:rPr>
          <w:rFonts w:ascii="Times New Roman" w:hAnsi="Times New Roman"/>
          <w:sz w:val="24"/>
        </w:rPr>
        <w:t>S</w:t>
      </w:r>
      <w:r w:rsidRPr="006F68E9">
        <w:rPr>
          <w:rFonts w:ascii="Times New Roman" w:hAnsi="Times New Roman"/>
          <w:sz w:val="24"/>
        </w:rPr>
        <w:t>tate and local governments that have implemented fenceline monitoring</w:t>
      </w:r>
      <w:r>
        <w:rPr>
          <w:rFonts w:ascii="Times New Roman" w:hAnsi="Times New Roman"/>
          <w:sz w:val="24"/>
        </w:rPr>
        <w:t xml:space="preserve"> (0191).</w:t>
      </w:r>
    </w:p>
    <w:p w:rsidR="00DC3E15" w:rsidRPr="006F68E9" w:rsidP="00DC3E15" w14:paraId="41454D01"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provided a list of Federal, State, and local fenceline monitoring requirements for EPA to evaluate and draw on as the Agency implements monitoring under the RMP (0460).</w:t>
      </w:r>
    </w:p>
    <w:p w:rsidR="00DC3E15" w:rsidP="00DC3E15" w14:paraId="1AA7F42F" w14:textId="77777777">
      <w:pPr>
        <w:rPr>
          <w:rFonts w:ascii="Times New Roman" w:hAnsi="Times New Roman"/>
          <w:sz w:val="24"/>
        </w:rPr>
      </w:pPr>
      <w:r>
        <w:rPr>
          <w:rFonts w:ascii="Times New Roman" w:hAnsi="Times New Roman"/>
          <w:sz w:val="24"/>
        </w:rPr>
        <w:t>One</w:t>
      </w:r>
      <w:r w:rsidRPr="006F68E9">
        <w:rPr>
          <w:rFonts w:ascii="Times New Roman" w:hAnsi="Times New Roman"/>
          <w:sz w:val="24"/>
        </w:rPr>
        <w:t xml:space="preserve"> commenter </w:t>
      </w:r>
      <w:r>
        <w:rPr>
          <w:rFonts w:ascii="Times New Roman" w:hAnsi="Times New Roman"/>
          <w:sz w:val="24"/>
        </w:rPr>
        <w:t>stated</w:t>
      </w:r>
      <w:r w:rsidRPr="006F68E9">
        <w:rPr>
          <w:rFonts w:ascii="Times New Roman" w:hAnsi="Times New Roman"/>
          <w:sz w:val="24"/>
        </w:rPr>
        <w:t xml:space="preserve"> that </w:t>
      </w:r>
      <w:r>
        <w:rPr>
          <w:rFonts w:ascii="Times New Roman" w:hAnsi="Times New Roman"/>
          <w:sz w:val="24"/>
        </w:rPr>
        <w:t>Maine</w:t>
      </w:r>
      <w:r w:rsidRPr="006F68E9">
        <w:rPr>
          <w:rFonts w:ascii="Times New Roman" w:hAnsi="Times New Roman"/>
          <w:sz w:val="24"/>
        </w:rPr>
        <w:t xml:space="preserve"> requires continuous fenceline emissions monitoring of aboveground petroleum storage tanks (0456).</w:t>
      </w:r>
    </w:p>
    <w:p w:rsidR="00DC3E15" w:rsidRPr="006F68E9" w:rsidP="008E589C" w14:paraId="64C79F27" w14:textId="608977F1">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suggested</w:t>
      </w:r>
      <w:r w:rsidRPr="006F68E9">
        <w:rPr>
          <w:rFonts w:ascii="Times New Roman" w:hAnsi="Times New Roman"/>
          <w:sz w:val="24"/>
        </w:rPr>
        <w:t xml:space="preserve"> a monitoring program to be modeled off the nationwide program </w:t>
      </w:r>
      <w:r w:rsidRPr="00F92B7D">
        <w:rPr>
          <w:rFonts w:ascii="Times New Roman" w:hAnsi="Times New Roman"/>
          <w:sz w:val="24"/>
        </w:rPr>
        <w:t>AIRNow (0191).</w:t>
      </w:r>
    </w:p>
    <w:p w:rsidR="008E589C" w:rsidRPr="008F2870" w:rsidP="008E589C" w14:paraId="690F942B" w14:textId="586C7C12">
      <w:pPr>
        <w:ind w:left="720"/>
        <w:rPr>
          <w:rFonts w:ascii="Times New Roman" w:hAnsi="Times New Roman"/>
          <w:b/>
          <w:bCs/>
          <w:sz w:val="24"/>
        </w:rPr>
      </w:pPr>
      <w:r w:rsidRPr="00DF01C5">
        <w:rPr>
          <w:rFonts w:ascii="Times New Roman" w:hAnsi="Times New Roman"/>
          <w:b/>
          <w:bCs/>
          <w:sz w:val="24"/>
        </w:rPr>
        <w:t>EPA Response:</w:t>
      </w:r>
      <w:r w:rsidRPr="00DF01C5">
        <w:rPr>
          <w:rFonts w:ascii="Times New Roman" w:hAnsi="Times New Roman"/>
          <w:sz w:val="24"/>
        </w:rPr>
        <w:t xml:space="preserve"> </w:t>
      </w:r>
      <w:r w:rsidRPr="0075098D">
        <w:rPr>
          <w:rFonts w:ascii="Times New Roman" w:hAnsi="Times New Roman"/>
          <w:sz w:val="24"/>
        </w:rPr>
        <w:t xml:space="preserve">EPA acknowledges the need </w:t>
      </w:r>
      <w:r w:rsidR="00310EC0">
        <w:rPr>
          <w:rFonts w:ascii="Times New Roman" w:hAnsi="Times New Roman"/>
          <w:sz w:val="24"/>
        </w:rPr>
        <w:t>for</w:t>
      </w:r>
      <w:r w:rsidRPr="0075098D" w:rsidR="00310EC0">
        <w:rPr>
          <w:rFonts w:ascii="Times New Roman" w:hAnsi="Times New Roman"/>
          <w:sz w:val="24"/>
        </w:rPr>
        <w:t xml:space="preserve"> consider</w:t>
      </w:r>
      <w:r w:rsidR="00310EC0">
        <w:rPr>
          <w:rFonts w:ascii="Times New Roman" w:hAnsi="Times New Roman"/>
          <w:sz w:val="24"/>
        </w:rPr>
        <w:t>ing</w:t>
      </w:r>
      <w:r w:rsidRPr="0075098D">
        <w:rPr>
          <w:rFonts w:ascii="Times New Roman" w:hAnsi="Times New Roman"/>
          <w:sz w:val="24"/>
        </w:rPr>
        <w:t xml:space="preserve"> expanding fenceline monitoring for RMP-regulated facilities</w:t>
      </w:r>
      <w:r w:rsidR="00310EC0">
        <w:rPr>
          <w:rFonts w:ascii="Times New Roman" w:hAnsi="Times New Roman"/>
          <w:sz w:val="24"/>
        </w:rPr>
        <w:t xml:space="preserve">. The Agency </w:t>
      </w:r>
      <w:r w:rsidRPr="00A11AC7" w:rsidR="00310EC0">
        <w:rPr>
          <w:rFonts w:ascii="Times New Roman" w:hAnsi="Times New Roman"/>
          <w:sz w:val="24"/>
        </w:rPr>
        <w:t>will consider these comments when determining whether to take further action on this issue.</w:t>
      </w:r>
    </w:p>
    <w:p w:rsidR="008E589C" w:rsidRPr="006F68E9" w:rsidP="006E51FD" w14:paraId="46327DEB" w14:textId="77777777">
      <w:pPr>
        <w:pStyle w:val="Heading2"/>
        <w:tabs>
          <w:tab w:val="clear" w:pos="8684"/>
        </w:tabs>
        <w:spacing w:before="120"/>
        <w:rPr>
          <w:rFonts w:ascii="Times New Roman" w:hAnsi="Times New Roman" w:cs="Times New Roman"/>
          <w:b/>
          <w:bCs/>
          <w:color w:val="auto"/>
          <w:sz w:val="24"/>
          <w:szCs w:val="24"/>
        </w:rPr>
      </w:pPr>
      <w:bookmarkStart w:id="213" w:name="_Toc146880065"/>
      <w:bookmarkStart w:id="214" w:name="_Toc153373851"/>
      <w:r w:rsidRPr="006F68E9">
        <w:rPr>
          <w:rFonts w:ascii="Times New Roman" w:hAnsi="Times New Roman" w:cs="Times New Roman"/>
          <w:b/>
          <w:bCs/>
          <w:color w:val="auto"/>
          <w:sz w:val="24"/>
          <w:szCs w:val="24"/>
        </w:rPr>
        <w:t>Benefits of a fenceline monitoring program</w:t>
      </w:r>
      <w:bookmarkEnd w:id="213"/>
      <w:bookmarkEnd w:id="214"/>
    </w:p>
    <w:p w:rsidR="008E589C" w:rsidRPr="006F68E9" w:rsidP="008E589C" w14:paraId="1A158873" w14:textId="507AB548">
      <w:pPr>
        <w:rPr>
          <w:rFonts w:ascii="Times New Roman" w:hAnsi="Times New Roman"/>
          <w:sz w:val="24"/>
        </w:rPr>
      </w:pPr>
      <w:r>
        <w:rPr>
          <w:rFonts w:ascii="Times New Roman" w:hAnsi="Times New Roman"/>
          <w:b/>
          <w:bCs/>
          <w:sz w:val="24"/>
        </w:rPr>
        <w:t>Comment 1</w:t>
      </w:r>
      <w:r w:rsidR="003F09AC">
        <w:rPr>
          <w:rFonts w:ascii="Times New Roman" w:hAnsi="Times New Roman"/>
          <w:b/>
          <w:bCs/>
          <w:sz w:val="24"/>
        </w:rPr>
        <w:t>8</w:t>
      </w:r>
      <w:r>
        <w:rPr>
          <w:rFonts w:ascii="Times New Roman" w:hAnsi="Times New Roman"/>
          <w:b/>
          <w:bCs/>
          <w:sz w:val="24"/>
        </w:rPr>
        <w:t xml:space="preserve">.8-01: </w:t>
      </w:r>
      <w:r w:rsidRPr="006F68E9">
        <w:rPr>
          <w:rFonts w:ascii="Times New Roman" w:hAnsi="Times New Roman"/>
          <w:sz w:val="24"/>
        </w:rPr>
        <w:t>Some commenters provided comments on the benefits of a fenceline monitoring program, including harm reduction, public awareness, and public funding sources (</w:t>
      </w:r>
      <w:r>
        <w:rPr>
          <w:rFonts w:ascii="Times New Roman" w:hAnsi="Times New Roman"/>
          <w:sz w:val="24"/>
        </w:rPr>
        <w:t xml:space="preserve">0248, </w:t>
      </w:r>
      <w:r w:rsidRPr="006F68E9">
        <w:rPr>
          <w:rFonts w:ascii="Times New Roman" w:hAnsi="Times New Roman"/>
          <w:sz w:val="24"/>
        </w:rPr>
        <w:t xml:space="preserve">0151, 0266, 0456, 0460). One of the commenters </w:t>
      </w:r>
      <w:r>
        <w:rPr>
          <w:rFonts w:ascii="Times New Roman" w:hAnsi="Times New Roman"/>
          <w:sz w:val="24"/>
        </w:rPr>
        <w:t>said</w:t>
      </w:r>
      <w:r w:rsidRPr="006F68E9">
        <w:rPr>
          <w:rFonts w:ascii="Times New Roman" w:hAnsi="Times New Roman"/>
          <w:sz w:val="24"/>
        </w:rPr>
        <w:t xml:space="preserve"> that monitoring could improve compliance, early warning systems, and public awareness (0456).</w:t>
      </w:r>
      <w:r>
        <w:rPr>
          <w:rFonts w:ascii="Times New Roman" w:hAnsi="Times New Roman"/>
          <w:sz w:val="24"/>
        </w:rPr>
        <w:t xml:space="preserve"> </w:t>
      </w:r>
      <w:r w:rsidRPr="006F68E9">
        <w:rPr>
          <w:rFonts w:ascii="Times New Roman" w:hAnsi="Times New Roman"/>
          <w:sz w:val="24"/>
        </w:rPr>
        <w:t>One commenter mentioned that an analysis of fenceline monitoring benefits can be incorporated into final decision making (0266).</w:t>
      </w:r>
      <w:r>
        <w:rPr>
          <w:rFonts w:ascii="Times New Roman" w:hAnsi="Times New Roman"/>
          <w:sz w:val="24"/>
        </w:rPr>
        <w:t xml:space="preserve"> </w:t>
      </w:r>
      <w:r w:rsidRPr="520F7B23">
        <w:rPr>
          <w:rFonts w:ascii="Times New Roman" w:hAnsi="Times New Roman"/>
          <w:sz w:val="24"/>
        </w:rPr>
        <w:t xml:space="preserve">One commenter </w:t>
      </w:r>
      <w:r>
        <w:rPr>
          <w:rFonts w:ascii="Times New Roman" w:hAnsi="Times New Roman"/>
          <w:sz w:val="24"/>
        </w:rPr>
        <w:t>supported</w:t>
      </w:r>
      <w:r w:rsidRPr="520F7B23">
        <w:rPr>
          <w:rFonts w:ascii="Times New Roman" w:hAnsi="Times New Roman"/>
          <w:sz w:val="24"/>
        </w:rPr>
        <w:t xml:space="preserve"> fenceline monitoring, warning systems, enforcement, and whistleblower protections to improve worker health and safety (0248).</w:t>
      </w:r>
    </w:p>
    <w:p w:rsidR="008E589C" w:rsidRPr="00F935D5" w:rsidP="008E589C" w14:paraId="472062B8" w14:textId="0901A664">
      <w:pPr>
        <w:ind w:left="720"/>
        <w:rPr>
          <w:rFonts w:ascii="Times New Roman" w:hAnsi="Times New Roman"/>
          <w:b/>
          <w:bCs/>
          <w:sz w:val="24"/>
        </w:rPr>
      </w:pPr>
      <w:r w:rsidRPr="002705F5">
        <w:rPr>
          <w:rFonts w:ascii="Times New Roman" w:hAnsi="Times New Roman"/>
          <w:b/>
          <w:bCs/>
          <w:sz w:val="24"/>
        </w:rPr>
        <w:t xml:space="preserve">EPA Response: </w:t>
      </w:r>
      <w:r w:rsidRPr="002705F5">
        <w:rPr>
          <w:rFonts w:ascii="Times New Roman" w:hAnsi="Times New Roman"/>
          <w:sz w:val="24"/>
        </w:rPr>
        <w:t xml:space="preserve">EPA acknowledges the need </w:t>
      </w:r>
      <w:r w:rsidR="00310EC0">
        <w:rPr>
          <w:rFonts w:ascii="Times New Roman" w:hAnsi="Times New Roman"/>
          <w:sz w:val="24"/>
        </w:rPr>
        <w:t>for</w:t>
      </w:r>
      <w:r w:rsidRPr="0075098D" w:rsidR="00310EC0">
        <w:rPr>
          <w:rFonts w:ascii="Times New Roman" w:hAnsi="Times New Roman"/>
          <w:sz w:val="24"/>
        </w:rPr>
        <w:t xml:space="preserve"> consider</w:t>
      </w:r>
      <w:r w:rsidR="00310EC0">
        <w:rPr>
          <w:rFonts w:ascii="Times New Roman" w:hAnsi="Times New Roman"/>
          <w:sz w:val="24"/>
        </w:rPr>
        <w:t>ing</w:t>
      </w:r>
      <w:r w:rsidRPr="002705F5">
        <w:rPr>
          <w:rFonts w:ascii="Times New Roman" w:hAnsi="Times New Roman"/>
          <w:sz w:val="24"/>
        </w:rPr>
        <w:t xml:space="preserve"> expanding fenceline monitoring for RMP-regulated facilities</w:t>
      </w:r>
      <w:r w:rsidR="00310EC0">
        <w:rPr>
          <w:rFonts w:ascii="Times New Roman" w:hAnsi="Times New Roman"/>
          <w:sz w:val="24"/>
        </w:rPr>
        <w:t xml:space="preserve">. The Agency </w:t>
      </w:r>
      <w:r w:rsidRPr="00A11AC7" w:rsidR="00310EC0">
        <w:rPr>
          <w:rFonts w:ascii="Times New Roman" w:hAnsi="Times New Roman"/>
          <w:sz w:val="24"/>
        </w:rPr>
        <w:t>will consider these comments when determining whether to take further action on this issue.</w:t>
      </w:r>
    </w:p>
    <w:p w:rsidR="008E589C" w:rsidRPr="006F68E9" w:rsidP="006E51FD" w14:paraId="4077F680" w14:textId="77777777">
      <w:pPr>
        <w:pStyle w:val="Heading2"/>
        <w:tabs>
          <w:tab w:val="clear" w:pos="8684"/>
        </w:tabs>
        <w:spacing w:before="120"/>
        <w:rPr>
          <w:rFonts w:ascii="Times New Roman" w:hAnsi="Times New Roman" w:cs="Times New Roman"/>
          <w:b/>
          <w:bCs/>
          <w:color w:val="auto"/>
          <w:sz w:val="24"/>
          <w:szCs w:val="24"/>
        </w:rPr>
      </w:pPr>
      <w:bookmarkStart w:id="215" w:name="_Toc146880066"/>
      <w:bookmarkStart w:id="216" w:name="_Toc153373852"/>
      <w:r w:rsidRPr="006F68E9">
        <w:rPr>
          <w:rFonts w:ascii="Times New Roman" w:hAnsi="Times New Roman" w:cs="Times New Roman"/>
          <w:b/>
          <w:bCs/>
          <w:color w:val="auto"/>
          <w:sz w:val="24"/>
          <w:szCs w:val="24"/>
        </w:rPr>
        <w:t>Costs of a fenceline monitoring program</w:t>
      </w:r>
      <w:bookmarkEnd w:id="215"/>
      <w:bookmarkEnd w:id="216"/>
    </w:p>
    <w:p w:rsidR="008E589C" w:rsidRPr="006F68E9" w:rsidP="008E589C" w14:paraId="6D28A6E4" w14:textId="385BA1DC">
      <w:pPr>
        <w:rPr>
          <w:rFonts w:ascii="Times New Roman" w:hAnsi="Times New Roman"/>
          <w:sz w:val="24"/>
        </w:rPr>
      </w:pPr>
      <w:r>
        <w:rPr>
          <w:rFonts w:ascii="Times New Roman" w:hAnsi="Times New Roman"/>
          <w:b/>
          <w:bCs/>
          <w:sz w:val="24"/>
        </w:rPr>
        <w:t>Comment 1</w:t>
      </w:r>
      <w:r w:rsidR="003F09AC">
        <w:rPr>
          <w:rFonts w:ascii="Times New Roman" w:hAnsi="Times New Roman"/>
          <w:b/>
          <w:bCs/>
          <w:sz w:val="24"/>
        </w:rPr>
        <w:t>8</w:t>
      </w:r>
      <w:r>
        <w:rPr>
          <w:rFonts w:ascii="Times New Roman" w:hAnsi="Times New Roman"/>
          <w:b/>
          <w:bCs/>
          <w:sz w:val="24"/>
        </w:rPr>
        <w:t xml:space="preserve">.9-01: </w:t>
      </w:r>
      <w:r w:rsidRPr="006F68E9">
        <w:rPr>
          <w:rFonts w:ascii="Times New Roman" w:hAnsi="Times New Roman"/>
          <w:sz w:val="24"/>
        </w:rPr>
        <w:t xml:space="preserve">One commenter mentioned that a cost analysis of fenceline monitoring can be incorporated into final decision making and </w:t>
      </w:r>
      <w:r>
        <w:rPr>
          <w:rFonts w:ascii="Times New Roman" w:hAnsi="Times New Roman"/>
          <w:sz w:val="24"/>
        </w:rPr>
        <w:t>stated</w:t>
      </w:r>
      <w:r w:rsidRPr="006F68E9">
        <w:rPr>
          <w:rFonts w:ascii="Times New Roman" w:hAnsi="Times New Roman"/>
          <w:sz w:val="24"/>
        </w:rPr>
        <w:t xml:space="preserve"> that funds from the IRA could offset costs of fenceline monitoring.</w:t>
      </w:r>
      <w:r w:rsidR="006137BC">
        <w:rPr>
          <w:rFonts w:ascii="Times New Roman" w:hAnsi="Times New Roman"/>
          <w:sz w:val="24"/>
        </w:rPr>
        <w:t xml:space="preserve"> The</w:t>
      </w:r>
      <w:r w:rsidRPr="006F68E9">
        <w:rPr>
          <w:rFonts w:ascii="Times New Roman" w:hAnsi="Times New Roman"/>
          <w:sz w:val="24"/>
        </w:rPr>
        <w:t xml:space="preserve"> commenter </w:t>
      </w:r>
      <w:r>
        <w:rPr>
          <w:rFonts w:ascii="Times New Roman" w:hAnsi="Times New Roman"/>
          <w:sz w:val="24"/>
        </w:rPr>
        <w:t>said</w:t>
      </w:r>
      <w:r w:rsidRPr="006F68E9">
        <w:rPr>
          <w:rFonts w:ascii="Times New Roman" w:hAnsi="Times New Roman"/>
          <w:sz w:val="24"/>
        </w:rPr>
        <w:t xml:space="preserve"> that more information on the costs and benefits of fenceline monitoring and other strengthening provisions during the comment process can be incorporated into its analysis. The commenter also </w:t>
      </w:r>
      <w:r>
        <w:rPr>
          <w:rFonts w:ascii="Times New Roman" w:hAnsi="Times New Roman"/>
          <w:sz w:val="24"/>
        </w:rPr>
        <w:t>discussed</w:t>
      </w:r>
      <w:r w:rsidRPr="006F68E9">
        <w:rPr>
          <w:rFonts w:ascii="Times New Roman" w:hAnsi="Times New Roman"/>
          <w:sz w:val="24"/>
        </w:rPr>
        <w:t xml:space="preserve"> the allocation of funds to air quality monitoring under the IRA (0266).</w:t>
      </w:r>
    </w:p>
    <w:p w:rsidR="00D27964" w:rsidRPr="006F68E9" w:rsidP="00D27964" w14:paraId="3BFDAFB9"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said</w:t>
      </w:r>
      <w:r w:rsidRPr="006F68E9">
        <w:rPr>
          <w:rFonts w:ascii="Times New Roman" w:hAnsi="Times New Roman"/>
          <w:sz w:val="24"/>
        </w:rPr>
        <w:t xml:space="preserve"> that cost is not a lawful or valid justification for not requiring fenceline monitoring at RMP facilities with the greatest hazards and near communities. The commenter mentioned that in a case in California, the costs of fenceline monitoring systems have declined in recent years (0460). </w:t>
      </w:r>
    </w:p>
    <w:p w:rsidR="00D27964" w:rsidP="00D27964" w14:paraId="0E4B2E5E"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LDEQ estimated the cost of fenceline monitoring across Louisiana at five million dollars a year, which is trivial compared to the tens of millions of dollars in health costs for communities from just one petrochemical facility (0158).</w:t>
      </w:r>
    </w:p>
    <w:p w:rsidR="00D27964" w:rsidP="00D27964" w14:paraId="6A728271" w14:textId="77777777">
      <w:pPr>
        <w:rPr>
          <w:rFonts w:ascii="Times New Roman" w:hAnsi="Times New Roman"/>
          <w:sz w:val="24"/>
        </w:rPr>
      </w:pPr>
      <w:r w:rsidRPr="006F68E9">
        <w:rPr>
          <w:rFonts w:ascii="Times New Roman" w:hAnsi="Times New Roman"/>
          <w:sz w:val="24"/>
        </w:rPr>
        <w:t xml:space="preserve">One of the commenters </w:t>
      </w:r>
      <w:r>
        <w:rPr>
          <w:rFonts w:ascii="Times New Roman" w:hAnsi="Times New Roman"/>
          <w:sz w:val="24"/>
        </w:rPr>
        <w:t>stated</w:t>
      </w:r>
      <w:r w:rsidRPr="006F68E9">
        <w:rPr>
          <w:rFonts w:ascii="Times New Roman" w:hAnsi="Times New Roman"/>
          <w:sz w:val="24"/>
        </w:rPr>
        <w:t xml:space="preserve"> that RMP facilities already have detection devices or sensors in strategic areas that provide notification of a release at sites where an RMP-reportable release could occur. The commenter added that adding fenceline monitoring requirements would force facilities to expend considerable costs to install and maintain (0267). </w:t>
      </w:r>
    </w:p>
    <w:p w:rsidR="00D27964" w:rsidRPr="006F68E9" w:rsidP="008E589C" w14:paraId="780435D5" w14:textId="551AF761">
      <w:pPr>
        <w:rPr>
          <w:rFonts w:ascii="Times New Roman" w:hAnsi="Times New Roman"/>
          <w:sz w:val="24"/>
        </w:rPr>
      </w:pPr>
      <w:r w:rsidRPr="006F68E9">
        <w:rPr>
          <w:rFonts w:ascii="Times New Roman" w:hAnsi="Times New Roman"/>
          <w:sz w:val="24"/>
        </w:rPr>
        <w:t xml:space="preserve">One commenter expressed disagreement for EPA to require a fenceline monitoring program. The commenter explained that at batch manufacturing facilities, personnel or on-site alarms would identify any potential chemical releases. The commenter </w:t>
      </w:r>
      <w:r>
        <w:rPr>
          <w:rFonts w:ascii="Times New Roman" w:hAnsi="Times New Roman"/>
          <w:sz w:val="24"/>
        </w:rPr>
        <w:t>said</w:t>
      </w:r>
      <w:r w:rsidRPr="006F68E9">
        <w:rPr>
          <w:rFonts w:ascii="Times New Roman" w:hAnsi="Times New Roman"/>
          <w:sz w:val="24"/>
        </w:rPr>
        <w:t xml:space="preserve"> that because these facilities use a myriad of chemicals that continually change, a monitoring program would not be cost-effective compared to other processes, such as a process area detector (0275). </w:t>
      </w:r>
    </w:p>
    <w:p w:rsidR="008E589C" w:rsidP="008E589C" w14:paraId="4B976938" w14:textId="1ADD5869">
      <w:pPr>
        <w:ind w:left="720"/>
        <w:rPr>
          <w:rFonts w:ascii="Times New Roman" w:hAnsi="Times New Roman"/>
          <w:sz w:val="24"/>
        </w:rPr>
      </w:pPr>
      <w:r w:rsidRPr="00A02047">
        <w:rPr>
          <w:rFonts w:ascii="Times New Roman" w:hAnsi="Times New Roman"/>
          <w:b/>
          <w:bCs/>
          <w:sz w:val="24"/>
        </w:rPr>
        <w:t xml:space="preserve">EPA Response: </w:t>
      </w:r>
      <w:r w:rsidRPr="00A02047">
        <w:rPr>
          <w:rFonts w:ascii="Times New Roman" w:hAnsi="Times New Roman"/>
          <w:sz w:val="24"/>
        </w:rPr>
        <w:t xml:space="preserve">EPA acknowledges the need </w:t>
      </w:r>
      <w:r w:rsidR="00310EC0">
        <w:rPr>
          <w:rFonts w:ascii="Times New Roman" w:hAnsi="Times New Roman"/>
          <w:sz w:val="24"/>
        </w:rPr>
        <w:t>for</w:t>
      </w:r>
      <w:r w:rsidRPr="0075098D" w:rsidR="00310EC0">
        <w:rPr>
          <w:rFonts w:ascii="Times New Roman" w:hAnsi="Times New Roman"/>
          <w:sz w:val="24"/>
        </w:rPr>
        <w:t xml:space="preserve"> consider</w:t>
      </w:r>
      <w:r w:rsidR="00310EC0">
        <w:rPr>
          <w:rFonts w:ascii="Times New Roman" w:hAnsi="Times New Roman"/>
          <w:sz w:val="24"/>
        </w:rPr>
        <w:t>ing</w:t>
      </w:r>
      <w:r w:rsidRPr="00A02047">
        <w:rPr>
          <w:rFonts w:ascii="Times New Roman" w:hAnsi="Times New Roman"/>
          <w:sz w:val="24"/>
        </w:rPr>
        <w:t xml:space="preserve"> expanding fenceline monitoring for RMP-regulated facilities</w:t>
      </w:r>
      <w:r w:rsidR="00310EC0">
        <w:rPr>
          <w:rFonts w:ascii="Times New Roman" w:hAnsi="Times New Roman"/>
          <w:sz w:val="24"/>
        </w:rPr>
        <w:t xml:space="preserve">. The Agency </w:t>
      </w:r>
      <w:r w:rsidRPr="00A11AC7" w:rsidR="00310EC0">
        <w:rPr>
          <w:rFonts w:ascii="Times New Roman" w:hAnsi="Times New Roman"/>
          <w:sz w:val="24"/>
        </w:rPr>
        <w:t>will consider th</w:t>
      </w:r>
      <w:r w:rsidR="006137BC">
        <w:rPr>
          <w:rFonts w:ascii="Times New Roman" w:hAnsi="Times New Roman"/>
          <w:sz w:val="24"/>
        </w:rPr>
        <w:t>is</w:t>
      </w:r>
      <w:r w:rsidRPr="00A11AC7" w:rsidR="00310EC0">
        <w:rPr>
          <w:rFonts w:ascii="Times New Roman" w:hAnsi="Times New Roman"/>
          <w:sz w:val="24"/>
        </w:rPr>
        <w:t xml:space="preserve"> comment when determining whether to take further action on this issue.</w:t>
      </w:r>
    </w:p>
    <w:p w:rsidR="006E51FD" w:rsidRPr="00ED444F" w:rsidP="006E51FD" w14:paraId="729CBD49" w14:textId="77777777">
      <w:pPr>
        <w:rPr>
          <w:rFonts w:ascii="Times New Roman" w:hAnsi="Times New Roman"/>
          <w:b/>
          <w:bCs/>
          <w:sz w:val="24"/>
        </w:rPr>
      </w:pPr>
    </w:p>
    <w:p w:rsidR="008E589C" w:rsidP="006E51FD" w14:paraId="3DA33B30" w14:textId="7F6811DF">
      <w:pPr>
        <w:pStyle w:val="Heading1"/>
        <w:spacing w:before="120"/>
      </w:pPr>
      <w:bookmarkStart w:id="217" w:name="_Toc146880067"/>
      <w:bookmarkStart w:id="218" w:name="_Toc153373853"/>
      <w:r w:rsidRPr="6D3F9CC5">
        <w:t>Chemical list expansion</w:t>
      </w:r>
      <w:bookmarkEnd w:id="217"/>
      <w:bookmarkEnd w:id="218"/>
    </w:p>
    <w:p w:rsidR="00555907" w:rsidRPr="00555907" w:rsidP="006E51FD" w14:paraId="1A4B4781" w14:textId="77777777">
      <w:pPr>
        <w:keepNext/>
        <w:keepLines/>
        <w:numPr>
          <w:ilvl w:val="1"/>
          <w:numId w:val="1"/>
        </w:numPr>
        <w:outlineLvl w:val="1"/>
        <w:rPr>
          <w:rFonts w:ascii="Times New Roman" w:eastAsia="Times New Roman" w:hAnsi="Times New Roman"/>
          <w:b/>
          <w:bCs/>
          <w:sz w:val="24"/>
        </w:rPr>
      </w:pPr>
      <w:bookmarkStart w:id="219" w:name="_Ref124090275"/>
      <w:bookmarkStart w:id="220" w:name="_Toc146880068"/>
      <w:bookmarkStart w:id="221" w:name="_Toc153373854"/>
      <w:r w:rsidRPr="00555907">
        <w:rPr>
          <w:rFonts w:ascii="Times New Roman" w:eastAsia="Times New Roman" w:hAnsi="Times New Roman"/>
          <w:b/>
          <w:bCs/>
          <w:sz w:val="24"/>
        </w:rPr>
        <w:t>Ammonium nitrate</w:t>
      </w:r>
      <w:bookmarkEnd w:id="219"/>
      <w:bookmarkEnd w:id="220"/>
      <w:bookmarkEnd w:id="221"/>
    </w:p>
    <w:p w:rsidR="00555907" w:rsidRPr="00555907" w:rsidP="00555907" w14:paraId="5502E206" w14:textId="77777777">
      <w:pPr>
        <w:rPr>
          <w:rFonts w:ascii="Times New Roman" w:eastAsia="Times New Roman" w:hAnsi="Times New Roman" w:cstheme="majorBidi"/>
          <w:bCs/>
          <w:i/>
          <w:color w:val="2F5496" w:themeColor="accent1" w:themeShade="BF"/>
          <w:sz w:val="24"/>
          <w:szCs w:val="26"/>
        </w:rPr>
      </w:pPr>
      <w:r w:rsidRPr="00555907">
        <w:rPr>
          <w:rFonts w:ascii="Times New Roman" w:eastAsia="Times New Roman" w:hAnsi="Times New Roman"/>
          <w:b/>
          <w:bCs/>
          <w:i/>
          <w:iCs/>
          <w:sz w:val="24"/>
        </w:rPr>
        <w:t>General support for and opposition to including Ammonium Nitrate in RMP</w:t>
      </w:r>
    </w:p>
    <w:p w:rsidR="00555907" w:rsidRPr="00555907" w:rsidP="00555907" w14:paraId="6AA5E8ED" w14:textId="229333D8">
      <w:pPr>
        <w:rPr>
          <w:rFonts w:ascii="Times New Roman" w:eastAsia="Times New Roman" w:hAnsi="Times New Roman"/>
          <w:sz w:val="24"/>
        </w:rPr>
      </w:pPr>
      <w:r w:rsidRPr="00555907">
        <w:rPr>
          <w:rFonts w:ascii="Times New Roman" w:eastAsia="Times New Roman" w:hAnsi="Times New Roman"/>
          <w:b/>
          <w:bCs/>
          <w:sz w:val="24"/>
        </w:rPr>
        <w:t>Comment 1</w:t>
      </w:r>
      <w:r w:rsidR="00681040">
        <w:rPr>
          <w:rFonts w:ascii="Times New Roman" w:eastAsia="Times New Roman" w:hAnsi="Times New Roman"/>
          <w:b/>
          <w:bCs/>
          <w:sz w:val="24"/>
        </w:rPr>
        <w:t>9</w:t>
      </w:r>
      <w:r w:rsidRPr="00555907">
        <w:rPr>
          <w:rFonts w:ascii="Times New Roman" w:eastAsia="Times New Roman" w:hAnsi="Times New Roman"/>
          <w:b/>
          <w:bCs/>
          <w:sz w:val="24"/>
        </w:rPr>
        <w:t xml:space="preserve">.1-01: </w:t>
      </w:r>
      <w:r w:rsidRPr="00555907">
        <w:rPr>
          <w:rFonts w:ascii="Times New Roman" w:eastAsia="Times New Roman" w:hAnsi="Times New Roman"/>
          <w:sz w:val="24"/>
        </w:rPr>
        <w:t xml:space="preserve">Many commenters requested that EPA expand the RMP to include ammonium nitrate (AN) (0160, </w:t>
      </w:r>
      <w:r w:rsidRPr="00555907">
        <w:rPr>
          <w:rFonts w:ascii="Times New Roman" w:hAnsi="Times New Roman"/>
          <w:sz w:val="24"/>
        </w:rPr>
        <w:t xml:space="preserve">0208, </w:t>
      </w:r>
      <w:r w:rsidRPr="00555907">
        <w:rPr>
          <w:rFonts w:ascii="Times New Roman" w:eastAsia="Times New Roman" w:hAnsi="Times New Roman"/>
          <w:sz w:val="24"/>
        </w:rPr>
        <w:t xml:space="preserve">0209, </w:t>
      </w:r>
      <w:r w:rsidRPr="00555907">
        <w:rPr>
          <w:rFonts w:ascii="Times New Roman" w:hAnsi="Times New Roman"/>
          <w:sz w:val="24"/>
        </w:rPr>
        <w:t xml:space="preserve">0240, </w:t>
      </w:r>
      <w:r w:rsidR="001D7D52">
        <w:rPr>
          <w:rFonts w:ascii="Times New Roman" w:hAnsi="Times New Roman"/>
          <w:sz w:val="24"/>
        </w:rPr>
        <w:t xml:space="preserve">0252, </w:t>
      </w:r>
      <w:r w:rsidRPr="00555907">
        <w:rPr>
          <w:rFonts w:ascii="Times New Roman" w:hAnsi="Times New Roman"/>
          <w:sz w:val="24"/>
        </w:rPr>
        <w:t xml:space="preserve">0251, 0255, </w:t>
      </w:r>
      <w:r w:rsidR="001D7D52">
        <w:rPr>
          <w:rFonts w:ascii="Times New Roman" w:hAnsi="Times New Roman"/>
          <w:sz w:val="24"/>
        </w:rPr>
        <w:t xml:space="preserve">0269, </w:t>
      </w:r>
      <w:r w:rsidRPr="00555907">
        <w:rPr>
          <w:rFonts w:ascii="Times New Roman" w:hAnsi="Times New Roman"/>
          <w:sz w:val="24"/>
        </w:rPr>
        <w:t>0297</w:t>
      </w:r>
      <w:r w:rsidR="001D7D52">
        <w:rPr>
          <w:rFonts w:ascii="Times New Roman" w:hAnsi="Times New Roman"/>
          <w:sz w:val="24"/>
        </w:rPr>
        <w:t>,</w:t>
      </w:r>
      <w:r w:rsidRPr="00555907">
        <w:rPr>
          <w:rFonts w:ascii="Times New Roman" w:hAnsi="Times New Roman"/>
          <w:sz w:val="24"/>
        </w:rPr>
        <w:t xml:space="preserve"> 0444, 0460, 0456). </w:t>
      </w:r>
      <w:r w:rsidRPr="00555907">
        <w:rPr>
          <w:rFonts w:ascii="Times New Roman" w:eastAsia="Times New Roman" w:hAnsi="Times New Roman"/>
          <w:sz w:val="24"/>
        </w:rPr>
        <w:t>Several commenters shared reasons for EPA to add AN to the RMP, as described below.</w:t>
      </w:r>
    </w:p>
    <w:p w:rsidR="00555907" w:rsidRPr="00555907" w:rsidP="00555907" w14:paraId="79E5C9C0" w14:textId="77777777">
      <w:pPr>
        <w:rPr>
          <w:rFonts w:ascii="Times New Roman" w:hAnsi="Times New Roman"/>
          <w:sz w:val="24"/>
        </w:rPr>
      </w:pPr>
      <w:r w:rsidRPr="00555907">
        <w:rPr>
          <w:rFonts w:ascii="Times New Roman" w:eastAsia="Times New Roman" w:hAnsi="Times New Roman"/>
          <w:sz w:val="24"/>
        </w:rPr>
        <w:t>Many commenters stated that AN should be added because of the danger of explosion and fires which can result in property damage, injury, and death.</w:t>
      </w:r>
      <w:r w:rsidRPr="00555907">
        <w:rPr>
          <w:rFonts w:ascii="Times New Roman" w:hAnsi="Times New Roman"/>
          <w:sz w:val="24"/>
        </w:rPr>
        <w:t xml:space="preserve"> The commenters specified the need to protect public health and safety since AN is used near homes, schools, and hospitals; they asserted that AN poses a serious threat of death and injury</w:t>
      </w:r>
      <w:r w:rsidRPr="00555907">
        <w:rPr>
          <w:rFonts w:ascii="Times New Roman" w:eastAsia="Times New Roman" w:hAnsi="Times New Roman"/>
          <w:sz w:val="24"/>
        </w:rPr>
        <w:t xml:space="preserve"> for workers and community members, in particular</w:t>
      </w:r>
      <w:r w:rsidRPr="00555907">
        <w:rPr>
          <w:rFonts w:ascii="Times New Roman" w:hAnsi="Times New Roman"/>
          <w:sz w:val="24"/>
        </w:rPr>
        <w:t xml:space="preserve"> (</w:t>
      </w:r>
      <w:r w:rsidRPr="00555907">
        <w:rPr>
          <w:rFonts w:ascii="Times New Roman" w:eastAsia="Times New Roman" w:hAnsi="Times New Roman"/>
          <w:sz w:val="24"/>
        </w:rPr>
        <w:t xml:space="preserve">0209, </w:t>
      </w:r>
      <w:r w:rsidRPr="00555907">
        <w:rPr>
          <w:rFonts w:ascii="Times New Roman" w:hAnsi="Times New Roman"/>
          <w:sz w:val="24"/>
        </w:rPr>
        <w:t xml:space="preserve">0251, 0276, 0297, 0444, 0456, 0460). One commenter mentioned adding AN in support of chemical disaster prevention, detection, response, and harm minimization given the danger posed by unregulated substances (0460). Another commenter cited the use of water to extinguish AN-related fires, which could result in toxic runoff into nearby waterways, killing fish and wildlife (0255). </w:t>
      </w:r>
    </w:p>
    <w:p w:rsidR="00555907" w:rsidRPr="00555907" w:rsidP="00555907" w14:paraId="7F79BC0A" w14:textId="77777777">
      <w:pPr>
        <w:rPr>
          <w:rFonts w:ascii="Times New Roman" w:hAnsi="Times New Roman"/>
          <w:sz w:val="24"/>
        </w:rPr>
      </w:pPr>
      <w:r w:rsidRPr="00555907">
        <w:rPr>
          <w:rFonts w:ascii="Times New Roman" w:hAnsi="Times New Roman"/>
          <w:sz w:val="24"/>
        </w:rPr>
        <w:t xml:space="preserve">One commenter discussed environmental justice concerns for people living near industries where AN is used, which tend to include racial minorities. The commenter added that in past incidents first responders have been underprepared for AN events (0297). </w:t>
      </w:r>
    </w:p>
    <w:p w:rsidR="00555907" w:rsidRPr="00555907" w:rsidP="00555907" w14:paraId="7C2FBE0C" w14:textId="77777777">
      <w:pPr>
        <w:rPr>
          <w:rFonts w:ascii="Times New Roman" w:hAnsi="Times New Roman"/>
          <w:sz w:val="24"/>
        </w:rPr>
      </w:pPr>
      <w:r w:rsidRPr="00555907">
        <w:rPr>
          <w:rFonts w:ascii="Times New Roman" w:hAnsi="Times New Roman"/>
          <w:sz w:val="24"/>
        </w:rPr>
        <w:t>Another commenter countered a suggestion that following the RMP may be difficult for smaller businesses without safety staff. The commenter asserted that smaller business without dedicated safety staff are unlikely to address safety without clear prescriptive requirements by EPA; the commenter stated that any business using, storing, or managing AN should follow RMP requirements (0460).</w:t>
      </w:r>
    </w:p>
    <w:p w:rsidR="00555907" w:rsidRPr="00555907" w:rsidP="00555907" w14:paraId="4E9ABA49" w14:textId="77777777">
      <w:pPr>
        <w:rPr>
          <w:rFonts w:ascii="Times New Roman" w:eastAsia="Times New Roman" w:hAnsi="Times New Roman"/>
          <w:sz w:val="24"/>
        </w:rPr>
      </w:pPr>
      <w:r w:rsidRPr="00555907">
        <w:rPr>
          <w:rFonts w:ascii="Times New Roman" w:hAnsi="Times New Roman"/>
          <w:sz w:val="24"/>
        </w:rPr>
        <w:t xml:space="preserve">Additionally, many commenters pointed to past incidents involving AN as evidence for the need to list AN in the RMP. Many commenters pointed to an in incident in Texas (0185, </w:t>
      </w:r>
      <w:r w:rsidRPr="00555907">
        <w:rPr>
          <w:rFonts w:ascii="Times New Roman" w:eastAsia="Times New Roman" w:hAnsi="Times New Roman"/>
          <w:sz w:val="24"/>
        </w:rPr>
        <w:t>0209,</w:t>
      </w:r>
      <w:r w:rsidRPr="00555907">
        <w:rPr>
          <w:rFonts w:ascii="Times New Roman" w:hAnsi="Times New Roman"/>
          <w:sz w:val="24"/>
        </w:rPr>
        <w:t xml:space="preserve"> 0240,</w:t>
      </w:r>
      <w:r w:rsidRPr="00555907">
        <w:rPr>
          <w:rFonts w:ascii="Times New Roman" w:eastAsia="Times New Roman" w:hAnsi="Times New Roman"/>
          <w:sz w:val="24"/>
        </w:rPr>
        <w:t xml:space="preserve"> </w:t>
      </w:r>
      <w:r w:rsidRPr="00555907">
        <w:rPr>
          <w:rFonts w:ascii="Times New Roman" w:hAnsi="Times New Roman"/>
          <w:sz w:val="24"/>
        </w:rPr>
        <w:t>0255, 0270, 0276, 0297, 0460, 0456). Several commenters pointed to an incident in North Carolina (0240, 0255, 0270, 0297, 0460). Some of the commenters also discussed an incident in Beirut (0255, 0270, 0456, 0460). One commenter mentioned an incident in Iowa (0255).</w:t>
      </w:r>
      <w:r w:rsidRPr="00555907">
        <w:rPr>
          <w:rFonts w:ascii="Times New Roman" w:eastAsia="Times New Roman" w:hAnsi="Times New Roman"/>
          <w:sz w:val="24"/>
        </w:rPr>
        <w:t xml:space="preserve"> One commenter added that EPA has admitted incidents involving AN are among the most severe and highest-profile accidental releases in the U.S. and globally (0444).</w:t>
      </w:r>
    </w:p>
    <w:p w:rsidR="00555907" w:rsidRPr="00555907" w:rsidP="006E51FD" w14:paraId="20E959F7" w14:textId="77777777">
      <w:pPr>
        <w:spacing w:after="0"/>
        <w:rPr>
          <w:rFonts w:ascii="Times New Roman" w:hAnsi="Times New Roman"/>
          <w:sz w:val="24"/>
        </w:rPr>
      </w:pPr>
      <w:r w:rsidRPr="00555907">
        <w:rPr>
          <w:rFonts w:ascii="Times New Roman" w:hAnsi="Times New Roman"/>
          <w:sz w:val="24"/>
        </w:rPr>
        <w:t xml:space="preserve">A few commenters stated that many facilities use AN or other highly hazardous substances and are not regulated at all under the existing RMP or only regulated in part (0240, 0460, 0456). </w:t>
      </w:r>
    </w:p>
    <w:p w:rsidR="00555907" w:rsidRPr="00555907" w:rsidP="006E51FD" w14:paraId="6214C09B" w14:textId="7451CA6D">
      <w:pPr>
        <w:spacing w:before="0"/>
        <w:rPr>
          <w:rFonts w:ascii="Times New Roman" w:eastAsia="Times New Roman" w:hAnsi="Times New Roman"/>
          <w:sz w:val="24"/>
        </w:rPr>
      </w:pPr>
      <w:r w:rsidRPr="00555907">
        <w:rPr>
          <w:rFonts w:ascii="Times New Roman" w:eastAsia="Times New Roman" w:hAnsi="Times New Roman"/>
          <w:sz w:val="24"/>
        </w:rPr>
        <w:t>Several commenters addressed EPA’s authority to regulate AN.</w:t>
      </w:r>
    </w:p>
    <w:p w:rsidR="00555907" w:rsidRPr="00555907" w:rsidP="00555907" w14:paraId="512DE2E8" w14:textId="77777777">
      <w:pPr>
        <w:rPr>
          <w:rFonts w:ascii="Times New Roman" w:hAnsi="Times New Roman"/>
          <w:sz w:val="24"/>
        </w:rPr>
      </w:pPr>
      <w:r w:rsidRPr="00555907">
        <w:rPr>
          <w:rFonts w:ascii="Times New Roman" w:eastAsia="Times New Roman" w:hAnsi="Times New Roman"/>
          <w:sz w:val="24"/>
        </w:rPr>
        <w:t>A few commenters stated that EPA is required to reevaluate the list of RMP-regulated substances every five years; that list was last amended in 1998 and overdue for EPA review. The commenters stated that EPA had acknowledged the need for reviewing the list and requested that AN be added in a future review (</w:t>
      </w:r>
      <w:r w:rsidRPr="00555907">
        <w:rPr>
          <w:rFonts w:ascii="Times New Roman" w:hAnsi="Times New Roman"/>
          <w:sz w:val="24"/>
        </w:rPr>
        <w:t>0251</w:t>
      </w:r>
      <w:r w:rsidRPr="00555907">
        <w:rPr>
          <w:rFonts w:ascii="Times New Roman" w:eastAsia="Times New Roman" w:hAnsi="Times New Roman"/>
          <w:sz w:val="24"/>
        </w:rPr>
        <w:t>,</w:t>
      </w:r>
      <w:r w:rsidRPr="00555907">
        <w:rPr>
          <w:rFonts w:ascii="Times New Roman" w:hAnsi="Times New Roman"/>
          <w:sz w:val="24"/>
        </w:rPr>
        <w:t xml:space="preserve"> 0270, </w:t>
      </w:r>
      <w:r w:rsidRPr="00555907">
        <w:rPr>
          <w:rFonts w:ascii="Times New Roman" w:eastAsia="Times New Roman" w:hAnsi="Times New Roman"/>
          <w:sz w:val="24"/>
        </w:rPr>
        <w:t xml:space="preserve">0444, </w:t>
      </w:r>
      <w:r w:rsidRPr="00555907">
        <w:rPr>
          <w:rFonts w:ascii="Times New Roman" w:hAnsi="Times New Roman"/>
          <w:sz w:val="24"/>
        </w:rPr>
        <w:t xml:space="preserve">0460). </w:t>
      </w:r>
    </w:p>
    <w:p w:rsidR="00555907" w:rsidRPr="00555907" w:rsidP="00555907" w14:paraId="6866CDFF" w14:textId="77777777">
      <w:pPr>
        <w:rPr>
          <w:rFonts w:ascii="Times New Roman" w:hAnsi="Times New Roman"/>
          <w:sz w:val="24"/>
        </w:rPr>
      </w:pPr>
      <w:r w:rsidRPr="00555907">
        <w:rPr>
          <w:rFonts w:ascii="Times New Roman" w:hAnsi="Times New Roman"/>
          <w:sz w:val="24"/>
        </w:rPr>
        <w:t xml:space="preserve">One commenter said that AN and other chemicals meet the listing criteria under the RMP, supported by EPA’s Technical Background Document. The commenter cited specific provisions of the CAA (§ 112(r)(4)) which establish the factors EPA must consider when listing a substance: (2) the severity of any acute adverse health effects associated with accidental releases of the substance; (3) the likelihood of accidental releases of the substance; and (3) the potential magnitude of human exposure to accidental releases of the substance. The commenter shared that regulations provide criteria for the discretionary listing of a substance, stating that EPA may add a substance to the list “if, in the case of an accidental release, it is known to cause or may be reasonably anticipated to cause death, injury, or serious adverse effects to human health or the environment.” The commenter suggested that EPA has failed to complete its non-discretionary duty to review and update the RMP-regulated hazardous substances list and urged EPA to fulfill its statutory obligation to prevent chemical disasters and assure detection and response. The commenter added that there is no evidence that any other existing rules are better for health and safety protection or fill the safety gap from leaving these substances out of the RMP program (0460). </w:t>
      </w:r>
    </w:p>
    <w:p w:rsidR="00555907" w:rsidRPr="00555907" w:rsidP="00555907" w14:paraId="4AF9A92C" w14:textId="77777777">
      <w:pPr>
        <w:rPr>
          <w:rFonts w:ascii="Times New Roman" w:eastAsia="Times New Roman" w:hAnsi="Times New Roman"/>
          <w:sz w:val="24"/>
        </w:rPr>
      </w:pPr>
      <w:r w:rsidRPr="00555907">
        <w:rPr>
          <w:rFonts w:ascii="Times New Roman" w:eastAsia="Times New Roman" w:hAnsi="Times New Roman"/>
          <w:sz w:val="24"/>
        </w:rPr>
        <w:t xml:space="preserve">One commenter asserted that while additional regulatory and enforcement mechanisms are unnecessary for AN, the General Duty Clause would be a more appropriate authority for chemicals that become hazardous due to site and process specific condition (0228). </w:t>
      </w:r>
    </w:p>
    <w:p w:rsidR="00555907" w:rsidRPr="00555907" w:rsidP="00555907" w14:paraId="66DBC849" w14:textId="77777777">
      <w:pPr>
        <w:rPr>
          <w:rFonts w:ascii="Times New Roman" w:hAnsi="Times New Roman"/>
          <w:sz w:val="24"/>
        </w:rPr>
      </w:pPr>
      <w:r w:rsidRPr="00555907">
        <w:rPr>
          <w:rFonts w:ascii="Times New Roman" w:hAnsi="Times New Roman"/>
          <w:sz w:val="24"/>
        </w:rPr>
        <w:t>One commenter said that EPA already has the authority to regulate AN under the general duty clause’ in CAA § 112(r)(1) to ensure that a facility handling an RMP-regulated substance or any other “extremely hazardous substance” is operating in manner to prevent accidental releases. The commenter stated that EPA has issued guidance on the safe storage of AN and cited this authority on at least three occasions. The commenter questioned what deficiencies EPA perceives in existing authorities that necessitate the need for the addition of AN to the RMP list</w:t>
      </w:r>
      <w:r w:rsidRPr="00555907">
        <w:rPr>
          <w:rFonts w:ascii="Times New Roman" w:eastAsia="Times New Roman" w:hAnsi="Times New Roman"/>
          <w:b/>
          <w:bCs/>
          <w:sz w:val="24"/>
        </w:rPr>
        <w:t xml:space="preserve"> (</w:t>
      </w:r>
      <w:r w:rsidRPr="00555907">
        <w:rPr>
          <w:rFonts w:ascii="Times New Roman" w:hAnsi="Times New Roman"/>
          <w:sz w:val="24"/>
        </w:rPr>
        <w:t>0229).</w:t>
      </w:r>
    </w:p>
    <w:p w:rsidR="00555907" w:rsidRPr="00555907" w:rsidP="00555907" w14:paraId="7B654E0D" w14:textId="77777777">
      <w:pPr>
        <w:rPr>
          <w:rFonts w:ascii="Times New Roman" w:hAnsi="Times New Roman"/>
          <w:sz w:val="24"/>
        </w:rPr>
      </w:pPr>
      <w:r w:rsidRPr="00555907">
        <w:rPr>
          <w:rFonts w:ascii="Times New Roman" w:hAnsi="Times New Roman"/>
          <w:sz w:val="24"/>
        </w:rPr>
        <w:t>A couple of commenters pointed to other actions or organizations that support listing AN in the RMP. Several commenters mentioned the CSB recommends EPA adding missing chemicals, including AN, to the list (0185, 0240, 0255, 0270, 0456, 0460). One of the commenters discussed Executive Order 13650 on Improving Chemical Facility Safety and Security (0185). Another commenter pointed to New Jersey’s Toxic Catastrophe Prevention Act which regulates reactive hazards and provides a blueprint for EPA to follow (0460). One commenter discussed the NFPA, including a recommendation to cover AN under the RMP (0270). Another commenter discussed research and recommendations by the Fire Protection Research Foundation and Great Britain’s Health and Safety Executive (0185).</w:t>
      </w:r>
    </w:p>
    <w:p w:rsidR="00555907" w:rsidRPr="00555907" w:rsidP="00555907" w14:paraId="133A6061" w14:textId="00CFB748">
      <w:pPr>
        <w:rPr>
          <w:rFonts w:ascii="Times New Roman" w:hAnsi="Times New Roman"/>
          <w:sz w:val="24"/>
        </w:rPr>
      </w:pPr>
      <w:r w:rsidRPr="00555907">
        <w:rPr>
          <w:rFonts w:ascii="Times New Roman" w:eastAsia="Times New Roman" w:hAnsi="Times New Roman"/>
          <w:sz w:val="24"/>
        </w:rPr>
        <w:t xml:space="preserve">A few commenters provided detailed comments opposing listing AN as an RMP-regulated substance (0228, </w:t>
      </w:r>
      <w:r w:rsidRPr="00555907">
        <w:rPr>
          <w:rFonts w:ascii="Times New Roman" w:hAnsi="Times New Roman"/>
          <w:sz w:val="24"/>
        </w:rPr>
        <w:t xml:space="preserve">0229, </w:t>
      </w:r>
      <w:r w:rsidRPr="00555907">
        <w:rPr>
          <w:rFonts w:ascii="Times New Roman" w:eastAsia="Times New Roman" w:hAnsi="Times New Roman"/>
          <w:sz w:val="24"/>
        </w:rPr>
        <w:t>0236</w:t>
      </w:r>
      <w:r w:rsidRPr="00555907">
        <w:rPr>
          <w:rFonts w:ascii="Times New Roman" w:hAnsi="Times New Roman"/>
          <w:sz w:val="24"/>
        </w:rPr>
        <w:t>).</w:t>
      </w:r>
    </w:p>
    <w:p w:rsidR="00555907" w:rsidRPr="00555907" w:rsidP="00555907" w14:paraId="4190167F" w14:textId="77777777">
      <w:pPr>
        <w:rPr>
          <w:rFonts w:ascii="Times New Roman" w:hAnsi="Times New Roman"/>
          <w:sz w:val="24"/>
        </w:rPr>
      </w:pPr>
      <w:r w:rsidRPr="00555907">
        <w:rPr>
          <w:rFonts w:ascii="Times New Roman" w:eastAsia="Times New Roman" w:hAnsi="Times New Roman"/>
          <w:sz w:val="24"/>
        </w:rPr>
        <w:t>Another commenter stated that EPA’s Technical Background Document failed to provide justification that AN meets the minimum criteria for regulation under the RMP (both now and in previous rulemakings).</w:t>
      </w:r>
      <w:r w:rsidRPr="00555907">
        <w:rPr>
          <w:rFonts w:ascii="Times New Roman" w:hAnsi="Times New Roman"/>
          <w:sz w:val="24"/>
        </w:rPr>
        <w:t xml:space="preserve"> The commenter felt the explosive and flammable properties of AN should not alone dictate their listing as an RMP-regulated substance. According to the commenter, EPA must consider three factors to list additional substances such as AN and AN-based explosives, including: (1) the severity of any acute adverse health effects associated with accidental releases of the substance, (2) the likelihood of accidental releases of the substance, and (3) the potential magnitude of human exposure to accidental releases of the substance. </w:t>
      </w:r>
      <w:r w:rsidRPr="00555907">
        <w:rPr>
          <w:rFonts w:ascii="Times New Roman" w:eastAsia="Times New Roman" w:hAnsi="Times New Roman"/>
          <w:sz w:val="24"/>
        </w:rPr>
        <w:t>Additionally, the commenter stated that EPA did not discuss a single adverse health effect that the CAA § 112(r) was designed to address, such acute health impacts or biological risks to humans (0236</w:t>
      </w:r>
      <w:r w:rsidRPr="00555907">
        <w:rPr>
          <w:rFonts w:ascii="Times New Roman" w:hAnsi="Times New Roman"/>
          <w:sz w:val="24"/>
        </w:rPr>
        <w:t>).</w:t>
      </w:r>
    </w:p>
    <w:p w:rsidR="00555907" w:rsidRPr="00555907" w:rsidP="00555907" w14:paraId="4FBBD4E3" w14:textId="77777777">
      <w:pPr>
        <w:rPr>
          <w:rFonts w:ascii="Times New Roman" w:hAnsi="Times New Roman"/>
          <w:sz w:val="24"/>
        </w:rPr>
      </w:pPr>
      <w:r w:rsidRPr="00555907">
        <w:rPr>
          <w:rFonts w:ascii="Times New Roman" w:hAnsi="Times New Roman"/>
          <w:sz w:val="24"/>
        </w:rPr>
        <w:t xml:space="preserve">One commenter echoed that the information EPA provided (now and in previous rulemakings) does not support listing AN. The commenter pointed to </w:t>
      </w:r>
      <w:r w:rsidRPr="00555907">
        <w:rPr>
          <w:rFonts w:ascii="Times New Roman" w:eastAsia="Times New Roman" w:hAnsi="Times New Roman"/>
          <w:sz w:val="24"/>
        </w:rPr>
        <w:t xml:space="preserve">EPA’s acknowledgement that mining sites’ “use of ANFO [AN-fuel oil mixtures] may not be as likely to have explosions adversely affecting the public because they are often remote.” The commenter shared that EPA previously acknowledged that AN explosions are rare, and that “[s]tored AN is generally stable” and the “ignition [of AN] requires a strong initiating source or heating the substance under confinement.” Additionally, </w:t>
      </w:r>
      <w:r w:rsidRPr="00555907">
        <w:rPr>
          <w:rFonts w:ascii="Times New Roman" w:hAnsi="Times New Roman"/>
          <w:sz w:val="24"/>
        </w:rPr>
        <w:t>the commenter pointed out that EPA has previously considered regulation AN, but decided not to</w:t>
      </w:r>
      <w:r w:rsidRPr="00555907">
        <w:rPr>
          <w:rFonts w:ascii="Times New Roman" w:eastAsia="Times New Roman" w:hAnsi="Times New Roman"/>
          <w:sz w:val="24"/>
        </w:rPr>
        <w:t xml:space="preserve"> (0236</w:t>
      </w:r>
      <w:r w:rsidRPr="00555907">
        <w:rPr>
          <w:rFonts w:ascii="Times New Roman" w:hAnsi="Times New Roman"/>
          <w:sz w:val="24"/>
        </w:rPr>
        <w:t xml:space="preserve">). </w:t>
      </w:r>
    </w:p>
    <w:p w:rsidR="00555907" w:rsidRPr="00555907" w:rsidP="00555907" w14:paraId="73E2DEA1" w14:textId="77777777">
      <w:pPr>
        <w:rPr>
          <w:rFonts w:ascii="Times New Roman" w:eastAsia="Times New Roman" w:hAnsi="Times New Roman"/>
          <w:sz w:val="24"/>
        </w:rPr>
      </w:pPr>
      <w:r w:rsidRPr="00555907">
        <w:rPr>
          <w:rFonts w:ascii="Times New Roman" w:hAnsi="Times New Roman"/>
          <w:sz w:val="24"/>
        </w:rPr>
        <w:t xml:space="preserve">One commenter asserted that, to their knowledge, every serious AN incident resulted from or was exacerbated by improper storage practices; the commenter stated that these events could have been prevented by following best industry practices but not by additional regulation (0228). Another commenter echoed that additional regulation under the RMP would not have prevented past incidents involving AN, pointing to one incident was the result of intentional criminal and another that was outside the U.S. context and subject to different regulatory requirements </w:t>
      </w:r>
      <w:r w:rsidRPr="00555907">
        <w:rPr>
          <w:rFonts w:ascii="Times New Roman" w:eastAsia="Times New Roman" w:hAnsi="Times New Roman"/>
          <w:sz w:val="24"/>
        </w:rPr>
        <w:t>(0229).</w:t>
      </w:r>
    </w:p>
    <w:p w:rsidR="00555907" w:rsidRPr="00555907" w:rsidP="00555907" w14:paraId="6183C258" w14:textId="219E44AD">
      <w:pPr>
        <w:rPr>
          <w:rFonts w:ascii="Times New Roman" w:hAnsi="Times New Roman"/>
          <w:sz w:val="24"/>
        </w:rPr>
      </w:pPr>
      <w:r w:rsidRPr="00555907">
        <w:rPr>
          <w:rFonts w:ascii="Times New Roman" w:hAnsi="Times New Roman"/>
          <w:sz w:val="24"/>
        </w:rPr>
        <w:t xml:space="preserve">One commenter asserted that some information in the Technical Background Document was inaccurate. The commenter stated that the AN stored at West and Weaver would not be subject to EPCRA’s emergency planning provisions; EPCRA would need to be amended for first responders to receive information regarding the chemicals stored at facilities </w:t>
      </w:r>
      <w:r w:rsidRPr="00555907">
        <w:rPr>
          <w:rFonts w:ascii="Times New Roman" w:eastAsia="Times New Roman" w:hAnsi="Times New Roman"/>
          <w:sz w:val="24"/>
        </w:rPr>
        <w:t>(0229)</w:t>
      </w:r>
      <w:r w:rsidRPr="00555907">
        <w:rPr>
          <w:rFonts w:ascii="Times New Roman" w:hAnsi="Times New Roman"/>
          <w:sz w:val="24"/>
        </w:rPr>
        <w:t xml:space="preserve">. </w:t>
      </w:r>
    </w:p>
    <w:p w:rsidR="00555907" w:rsidRPr="00555907" w:rsidP="00555907" w14:paraId="671A1D0E" w14:textId="219E44AD">
      <w:pPr>
        <w:rPr>
          <w:rFonts w:ascii="Times New Roman" w:eastAsia="Times New Roman" w:hAnsi="Times New Roman"/>
          <w:sz w:val="24"/>
        </w:rPr>
      </w:pPr>
      <w:r w:rsidRPr="00555907">
        <w:rPr>
          <w:rFonts w:ascii="Times New Roman" w:eastAsia="Times New Roman" w:hAnsi="Times New Roman"/>
          <w:sz w:val="24"/>
        </w:rPr>
        <w:t xml:space="preserve">One commenter opposed expanding any provisions to notify the public regarding AN over concern with AN being sought for nefarious purposes. The commenter pointed to protection under CFATS regarding theft/diversion security designation. The commenter also opposed categorizing AN as a reactive chemical (0228). </w:t>
      </w:r>
    </w:p>
    <w:p w:rsidR="00555907" w:rsidRPr="00555907" w:rsidP="00555907" w14:paraId="070891D1" w14:textId="144B8198">
      <w:pPr>
        <w:rPr>
          <w:rFonts w:ascii="Times New Roman" w:eastAsia="Times New Roman" w:hAnsi="Times New Roman"/>
          <w:sz w:val="24"/>
        </w:rPr>
      </w:pPr>
      <w:r w:rsidRPr="00555907">
        <w:rPr>
          <w:rFonts w:ascii="Times New Roman" w:eastAsia="Times New Roman" w:hAnsi="Times New Roman"/>
          <w:sz w:val="24"/>
        </w:rPr>
        <w:t>A couple of commenters provided comments on how changes in rule provisions would adversely affect the explosives, and mining and related industries that use AN (including technical grade AN, AN solution, and ammonium-nitrate/fuel-oil) for blasting operations and explosives (0228, 0236). One of the commenters stated that some mining related operations such as mining and mineral processing machinery and suppliers; transporters; and financial and engineering firms use or manufacture above threshold quantities of regulated substances and are already regulated by the RMP. At the same time, the commenter shared that other mining and mining-related industries do not use RMP-regulated substances or use them below thresholds and thus are not regulated under this program. The commenter stated that changes related to AN would result in additional burden on these facilities (0236).</w:t>
      </w:r>
    </w:p>
    <w:p w:rsidR="00555907" w:rsidRPr="00555907" w:rsidP="00555907" w14:paraId="6ECEB938" w14:textId="77777777">
      <w:pPr>
        <w:rPr>
          <w:rFonts w:ascii="Times New Roman" w:eastAsia="Times New Roman" w:hAnsi="Times New Roman"/>
          <w:sz w:val="24"/>
        </w:rPr>
      </w:pPr>
      <w:r w:rsidRPr="00555907">
        <w:rPr>
          <w:rFonts w:ascii="Times New Roman" w:eastAsia="Times New Roman" w:hAnsi="Times New Roman"/>
          <w:sz w:val="24"/>
        </w:rPr>
        <w:t xml:space="preserve">A couple of commenters echoed that blasting, mining, and mining-related actors are already regulated under several other regulatory authorities to ensure safe AN and AN-based explosives storage and handling practices to prevent harm to employees and the surrounding community. The commenters felt that these safe-handling codes are sufficient, and additional regulation is unnecessary </w:t>
      </w:r>
      <w:r w:rsidRPr="00555907">
        <w:rPr>
          <w:rFonts w:ascii="Times New Roman" w:hAnsi="Times New Roman"/>
          <w:sz w:val="24"/>
        </w:rPr>
        <w:t>(</w:t>
      </w:r>
      <w:r w:rsidRPr="00555907">
        <w:rPr>
          <w:rFonts w:ascii="Times New Roman" w:eastAsia="Times New Roman" w:hAnsi="Times New Roman"/>
          <w:sz w:val="24"/>
        </w:rPr>
        <w:t xml:space="preserve">0228, </w:t>
      </w:r>
      <w:r w:rsidRPr="00555907">
        <w:rPr>
          <w:rFonts w:ascii="Times New Roman" w:hAnsi="Times New Roman"/>
          <w:sz w:val="24"/>
        </w:rPr>
        <w:t>0</w:t>
      </w:r>
      <w:r w:rsidRPr="00555907">
        <w:rPr>
          <w:rFonts w:ascii="Times New Roman" w:eastAsia="Times New Roman" w:hAnsi="Times New Roman"/>
          <w:sz w:val="24"/>
        </w:rPr>
        <w:t xml:space="preserve">236). One of the commenters shared that these existing regulatory authorities mean </w:t>
      </w:r>
      <w:r w:rsidRPr="00555907">
        <w:rPr>
          <w:rFonts w:ascii="Times New Roman" w:hAnsi="Times New Roman"/>
          <w:sz w:val="24"/>
        </w:rPr>
        <w:t>mining facilities store and manage their AN and AN-based explosives differently than fertilizer storage and distribution facilities. The commenter stated that r</w:t>
      </w:r>
      <w:r w:rsidRPr="00555907">
        <w:rPr>
          <w:rFonts w:ascii="Times New Roman" w:eastAsia="Times New Roman" w:hAnsi="Times New Roman"/>
          <w:sz w:val="24"/>
        </w:rPr>
        <w:t xml:space="preserve">egulation under the RMP would be duplicative and cause regulatory and legal uncertainty </w:t>
      </w:r>
      <w:r w:rsidRPr="00555907">
        <w:rPr>
          <w:rFonts w:ascii="Times New Roman" w:hAnsi="Times New Roman"/>
          <w:sz w:val="24"/>
        </w:rPr>
        <w:t>(0</w:t>
      </w:r>
      <w:r w:rsidRPr="00555907">
        <w:rPr>
          <w:rFonts w:ascii="Times New Roman" w:eastAsia="Times New Roman" w:hAnsi="Times New Roman"/>
          <w:sz w:val="24"/>
        </w:rPr>
        <w:t xml:space="preserve">236). </w:t>
      </w:r>
    </w:p>
    <w:p w:rsidR="00555907" w:rsidRPr="00555907" w:rsidP="00555907" w14:paraId="0BA47F53" w14:textId="77777777">
      <w:pPr>
        <w:rPr>
          <w:rFonts w:ascii="Times New Roman" w:eastAsia="Times New Roman" w:hAnsi="Times New Roman"/>
          <w:sz w:val="24"/>
        </w:rPr>
      </w:pPr>
      <w:r w:rsidRPr="00555907">
        <w:rPr>
          <w:rFonts w:ascii="Times New Roman" w:eastAsia="Times New Roman" w:hAnsi="Times New Roman"/>
          <w:sz w:val="24"/>
        </w:rPr>
        <w:t>Another commenter added that AN is a stable substance and is predictable, stating that AN is safely and effectively managed using safe-handling codes that the commercial explosives industry has helped develop and has followed for decades (0228).</w:t>
      </w:r>
    </w:p>
    <w:p w:rsidR="00555907" w:rsidRPr="00555907" w:rsidP="00555907" w14:paraId="40B54EDF" w14:textId="77777777">
      <w:pPr>
        <w:rPr>
          <w:rFonts w:ascii="Times New Roman" w:eastAsia="Times New Roman" w:hAnsi="Times New Roman"/>
          <w:sz w:val="24"/>
        </w:rPr>
      </w:pPr>
      <w:r w:rsidRPr="00555907">
        <w:rPr>
          <w:rFonts w:ascii="Times New Roman" w:eastAsia="Times New Roman" w:hAnsi="Times New Roman"/>
          <w:sz w:val="24"/>
        </w:rPr>
        <w:t xml:space="preserve">A couple of commenters pointed to several specific regulations or authorities that already apply (0228, 0236). For the mining sectors, one commenter discussed authorities under (1) the Surface Mining Control and Reclamation Act of 1977 (SMCRA), (2) the Office of Surface Mining Reclamation and Enforcement (OSM), (3) the Bureau of Alcohol, Tobacco, Firearms and Explosives (BATF), and (4) </w:t>
      </w:r>
      <w:r w:rsidRPr="00555907">
        <w:rPr>
          <w:rFonts w:ascii="Times New Roman" w:hAnsi="Times New Roman"/>
          <w:sz w:val="24"/>
        </w:rPr>
        <w:t>the Mine Safety and Health Administration (MSHA) (0</w:t>
      </w:r>
      <w:r w:rsidRPr="00555907">
        <w:rPr>
          <w:rFonts w:ascii="Times New Roman" w:eastAsia="Times New Roman" w:hAnsi="Times New Roman"/>
          <w:sz w:val="24"/>
        </w:rPr>
        <w:t>236). For the explosives and blasting sector, another commenter discussed authorities under: (1) DOT, (2) DHS Chemical Facility CFATS, (3) EPA’s EPCRA, (4) OSHA, and (5) the Secure Handling of Ammonium Nitrate Act, as well as voluntary practices and standards such as the SAFEX Code of Good Practice, Institute of Makers of Explosives’ protocol for Safe Handling of Solid Ammonium Nitrate, NFPA 400, the use of</w:t>
      </w:r>
      <w:r w:rsidRPr="00555907">
        <w:rPr>
          <w:rFonts w:ascii="Times New Roman" w:hAnsi="Times New Roman"/>
          <w:sz w:val="24"/>
        </w:rPr>
        <w:t xml:space="preserve"> s</w:t>
      </w:r>
      <w:r w:rsidRPr="00555907">
        <w:rPr>
          <w:rFonts w:ascii="Times New Roman" w:eastAsia="Times New Roman" w:hAnsi="Times New Roman"/>
          <w:sz w:val="24"/>
        </w:rPr>
        <w:t xml:space="preserve">oftware tools for siting to insulate stores of AN from potential sources of shock, application of Institute of Makers of Explosives Safety Analysis for Risk, and enhanced knowledge sharing though the United Nations/Organization for economic co-operation and development following the Beirut, Lebanon incident (0228). </w:t>
      </w:r>
    </w:p>
    <w:p w:rsidR="00555907" w:rsidRPr="00555907" w:rsidP="00555907" w14:paraId="069F91F0" w14:textId="77777777">
      <w:pPr>
        <w:rPr>
          <w:rFonts w:ascii="Times New Roman" w:eastAsia="Times New Roman" w:hAnsi="Times New Roman"/>
          <w:sz w:val="24"/>
        </w:rPr>
      </w:pPr>
      <w:r w:rsidRPr="00555907">
        <w:rPr>
          <w:rFonts w:ascii="Times New Roman" w:eastAsia="Times New Roman" w:hAnsi="Times New Roman"/>
          <w:sz w:val="24"/>
        </w:rPr>
        <w:t xml:space="preserve">A couple of commenters stated that, together, existing regulations and authorities cover an array of safety and security measures for AN, including AN-based explosives/blasting agents/detonators, and AN-fuel oil mixtures by the blasting and mining industries (including surface and underground mines for coal, metals, and non-metals). The commenters included a detailed list of measures included in these existing regulations </w:t>
      </w:r>
      <w:r w:rsidRPr="00555907">
        <w:rPr>
          <w:rFonts w:ascii="Times New Roman" w:hAnsi="Times New Roman"/>
          <w:sz w:val="24"/>
        </w:rPr>
        <w:t>(0228, 0236)</w:t>
      </w:r>
      <w:r w:rsidRPr="00555907">
        <w:rPr>
          <w:rFonts w:ascii="Times New Roman" w:eastAsia="Times New Roman" w:hAnsi="Times New Roman"/>
          <w:sz w:val="24"/>
        </w:rPr>
        <w:t xml:space="preserve">. </w:t>
      </w:r>
    </w:p>
    <w:p w:rsidR="00555907" w:rsidRPr="00555907" w:rsidP="00555907" w14:paraId="32AE5E42" w14:textId="77777777">
      <w:pPr>
        <w:rPr>
          <w:rFonts w:ascii="Times New Roman" w:eastAsia="Times New Roman" w:hAnsi="Times New Roman"/>
          <w:sz w:val="24"/>
        </w:rPr>
      </w:pPr>
      <w:r w:rsidRPr="00555907">
        <w:rPr>
          <w:rFonts w:ascii="Times New Roman" w:hAnsi="Times New Roman"/>
          <w:sz w:val="24"/>
        </w:rPr>
        <w:t>One commenter stated that EPA provided insufficient details regarding the sector’s handling and use of AN for on-site blasting operations, overlooking relevant regulatory programs that address the mining industry’s safe handling and management of AN and AN-based explosives</w:t>
      </w:r>
      <w:r w:rsidRPr="00DF6B7D">
        <w:rPr>
          <w:rFonts w:ascii="Times New Roman" w:eastAsia="Times New Roman" w:hAnsi="Times New Roman"/>
          <w:sz w:val="24"/>
        </w:rPr>
        <w:t xml:space="preserve"> (0236).</w:t>
      </w:r>
    </w:p>
    <w:p w:rsidR="00555907" w:rsidRPr="00555907" w:rsidP="00555907" w14:paraId="6662DB0C" w14:textId="219E44AD">
      <w:pPr>
        <w:rPr>
          <w:rFonts w:ascii="Times New Roman" w:eastAsia="Times New Roman" w:hAnsi="Times New Roman"/>
          <w:sz w:val="24"/>
        </w:rPr>
      </w:pPr>
      <w:r w:rsidRPr="00555907">
        <w:rPr>
          <w:rFonts w:ascii="Times New Roman" w:hAnsi="Times New Roman"/>
          <w:sz w:val="24"/>
        </w:rPr>
        <w:t>One commenter stated that information shows for AN use in mining operations: (1) the severity of acute adverse health effects is low; (2) the likelihood of accidental releases is low; and (3) the potential magnitude of human exposure is low when AN is managed and stored properly. Therefore, the commenter suggested EPA should not add duplicative regulations that would cause regulatory and legal uncertainty for mining facilities</w:t>
      </w:r>
      <w:r w:rsidRPr="00DF6B7D">
        <w:rPr>
          <w:rFonts w:ascii="Times New Roman" w:eastAsia="Times New Roman" w:hAnsi="Times New Roman"/>
          <w:sz w:val="24"/>
        </w:rPr>
        <w:t xml:space="preserve"> (0236). </w:t>
      </w:r>
    </w:p>
    <w:p w:rsidR="00555907" w:rsidRPr="00555907" w:rsidP="00555907" w14:paraId="27794EF6" w14:textId="053A38C5">
      <w:pPr>
        <w:rPr>
          <w:rFonts w:ascii="Times New Roman" w:hAnsi="Times New Roman"/>
          <w:sz w:val="24"/>
        </w:rPr>
      </w:pPr>
      <w:r w:rsidRPr="00555907">
        <w:rPr>
          <w:rFonts w:ascii="Times New Roman" w:hAnsi="Times New Roman"/>
          <w:sz w:val="24"/>
        </w:rPr>
        <w:t>A couple of commenters recommended that EPA should add fertilizer grade AN (0185, 0240).</w:t>
      </w:r>
      <w:r w:rsidRPr="00555907">
        <w:rPr>
          <w:rFonts w:ascii="Times New Roman" w:hAnsi="Times New Roman"/>
          <w:sz w:val="24"/>
        </w:rPr>
        <w:t xml:space="preserve"> </w:t>
      </w:r>
      <w:r w:rsidRPr="00555907">
        <w:rPr>
          <w:rFonts w:ascii="Times New Roman" w:hAnsi="Times New Roman"/>
          <w:sz w:val="24"/>
        </w:rPr>
        <w:t>A couple of commenters suggested that EPA expand the RMP to cover production and storage facilities</w:t>
      </w:r>
      <w:r w:rsidRPr="00555907">
        <w:rPr>
          <w:rFonts w:ascii="Times New Roman" w:hAnsi="Times New Roman"/>
          <w:i/>
          <w:iCs/>
          <w:sz w:val="24"/>
        </w:rPr>
        <w:t xml:space="preserve"> </w:t>
      </w:r>
      <w:r w:rsidRPr="00555907">
        <w:rPr>
          <w:rFonts w:ascii="Times New Roman" w:hAnsi="Times New Roman"/>
          <w:sz w:val="24"/>
        </w:rPr>
        <w:t>for other fertilizer and other highly hazardous chemicals not currently covered (0240, 0264).</w:t>
      </w:r>
    </w:p>
    <w:p w:rsidR="00DF6B7D" w:rsidRPr="00DF6B7D" w:rsidP="00555907" w14:paraId="29A169A1" w14:textId="58E24F2A">
      <w:pPr>
        <w:rPr>
          <w:rFonts w:ascii="Times New Roman" w:hAnsi="Times New Roman"/>
          <w:sz w:val="24"/>
        </w:rPr>
      </w:pPr>
      <w:r w:rsidRPr="00DF6B7D">
        <w:rPr>
          <w:rFonts w:ascii="Times New Roman" w:hAnsi="Times New Roman"/>
          <w:sz w:val="24"/>
        </w:rPr>
        <w:t xml:space="preserve">One commenter said that while the current Proposed Rule does not propose to expand the RMP to include ammonium nitrate (AN), the TBD for the proposal indicates that EPA intends to consider AN in a future rulemaking expanding the list of RMP substances. The commenter stated that they do not support the expansion of the RMP list to include AN and do not believe that the RMP is the appropriate regulatory program to ensure the responsible management of AN. The commenter also stated that AN is safely and effectively managed using safe-handling codes from the commercial explosives industry and attempting to apply safety “engineering analyses” to the storage and handling of AN would be redundant. The commenter added that neither of the criteria described by New Jersey Department of Environmental Protection (NJDEP) to identify reactive substances in its administration of the N.J. Toxic Catastrophe Prevention Act (TCPA), as specifically mentioned in the TBD, are applicable to AN. Additionally, the commenter stated </w:t>
      </w:r>
      <w:r w:rsidRPr="00DF6B7D">
        <w:rPr>
          <w:rFonts w:ascii="Times New Roman" w:hAnsi="Times New Roman"/>
          <w:sz w:val="24"/>
        </w:rPr>
        <w:t xml:space="preserve">that NJDEP’s consideration of prior accident history and an associated separation/distance assessment using the TNT equivalency method is not wholly appropriate for use with AN, and consider any evaluation and/or listing decision based on this analytical method to be questionable. The commenter stated, in regards to the reactive substances discussion in the TBD and EPA’s inquiry as to whether the General Duty Clause (“GDC”) rather than the RMP is the more appropriate authority for chemicals that only become hazardous due to site-specific and process-specific conditions, that they do not believe that EPA should attempt to recruit chemicals into the RMP via a process of “category” adoption and agree that the GDC is preferable to the RMP as a regulatory and/or enforcement mechanism (0228). </w:t>
      </w:r>
    </w:p>
    <w:p w:rsidR="00555907" w:rsidRPr="00555907" w:rsidP="00555907" w14:paraId="73D6F527" w14:textId="219E44AD">
      <w:pPr>
        <w:rPr>
          <w:rFonts w:ascii="Times New Roman" w:hAnsi="Times New Roman"/>
          <w:sz w:val="24"/>
        </w:rPr>
      </w:pPr>
      <w:r w:rsidRPr="00555907">
        <w:rPr>
          <w:rFonts w:ascii="Times New Roman" w:hAnsi="Times New Roman"/>
          <w:sz w:val="24"/>
        </w:rPr>
        <w:t xml:space="preserve">One commenter suggested that storage be heavily regulated with detailed risk management plans that reflect the needs of the local community (0297). Another commenter requested that EPA develop RMP rule guidance document(s) for regulated fertilizer grade AN facilities. The commenter suggested that EPA adopt a calculation for the OCA which considers the unique explosive characteristics of fertilizer grade AN to determine the endpoint for explosive effects and overpressure levels, such as those adopted by the 2014 Fire Protection Research Foundation report </w:t>
      </w:r>
      <w:r w:rsidRPr="00555907">
        <w:rPr>
          <w:rFonts w:ascii="Times New Roman" w:hAnsi="Times New Roman"/>
          <w:i/>
          <w:iCs/>
          <w:sz w:val="24"/>
        </w:rPr>
        <w:t>Separation Distances in NFPA Codes and Standards</w:t>
      </w:r>
      <w:r w:rsidRPr="00555907">
        <w:rPr>
          <w:rFonts w:ascii="Times New Roman" w:hAnsi="Times New Roman"/>
          <w:sz w:val="24"/>
        </w:rPr>
        <w:t xml:space="preserve"> (0185).</w:t>
      </w:r>
    </w:p>
    <w:p w:rsidR="00DF188D" w:rsidRPr="00555907" w:rsidP="17099E05" w14:paraId="7D6FB66F" w14:textId="219E44AD">
      <w:pPr>
        <w:rPr>
          <w:rFonts w:ascii="Times New Roman" w:hAnsi="Times New Roman"/>
          <w:sz w:val="24"/>
        </w:rPr>
      </w:pPr>
      <w:r w:rsidRPr="17099E05">
        <w:rPr>
          <w:rFonts w:ascii="Times New Roman" w:hAnsi="Times New Roman"/>
          <w:sz w:val="24"/>
        </w:rPr>
        <w:t xml:space="preserve">One commenter also stated that if EPA were to move to add AN to the RMP regulated substances list, EPA must ensure that other substances where AN is a component are not included by default; specifically, urea ammonium nitrate (UAN) is not flammable, explosive, or toxic and not easily converted back to the individual components. The commenter asserted it would be inappropriate to regulate UAN in the same way as AN and AN mixtures. The commenter also asserted that additional regulation under the RMP would not have prevented past incidents involving AN, pointing to one incident was the result of intentional criminal and another that was outside the U.S. context and subject to different regulatory requirements </w:t>
      </w:r>
      <w:r w:rsidRPr="00DF6B7D">
        <w:rPr>
          <w:rFonts w:ascii="Times New Roman" w:eastAsia="Times New Roman" w:hAnsi="Times New Roman"/>
          <w:sz w:val="24"/>
        </w:rPr>
        <w:t>(0229).</w:t>
      </w:r>
    </w:p>
    <w:p w:rsidR="00555907" w:rsidRPr="00555907" w:rsidP="00555907" w14:paraId="1887C571" w14:textId="6278C5BF">
      <w:pPr>
        <w:ind w:left="720"/>
        <w:rPr>
          <w:rFonts w:ascii="Times New Roman" w:eastAsia="Times New Roman" w:hAnsi="Times New Roman"/>
          <w:i/>
          <w:sz w:val="24"/>
        </w:rPr>
      </w:pPr>
      <w:r w:rsidRPr="00555907">
        <w:rPr>
          <w:rFonts w:ascii="Times New Roman" w:hAnsi="Times New Roman"/>
          <w:b/>
          <w:bCs/>
          <w:sz w:val="24"/>
        </w:rPr>
        <w:t xml:space="preserve">EPA Response: </w:t>
      </w:r>
      <w:bookmarkStart w:id="222" w:name="_Hlk157690892"/>
      <w:r w:rsidRPr="003B5876" w:rsidR="00141C85">
        <w:rPr>
          <w:rFonts w:ascii="Times New Roman" w:hAnsi="Times New Roman"/>
          <w:sz w:val="24"/>
        </w:rPr>
        <w:t>While</w:t>
      </w:r>
      <w:r w:rsidR="00141C85">
        <w:rPr>
          <w:rFonts w:ascii="Times New Roman" w:hAnsi="Times New Roman"/>
          <w:b/>
          <w:bCs/>
          <w:sz w:val="24"/>
        </w:rPr>
        <w:t xml:space="preserve"> </w:t>
      </w:r>
      <w:r w:rsidRPr="003B5876" w:rsidR="003F3335">
        <w:rPr>
          <w:rFonts w:ascii="Times New Roman" w:hAnsi="Times New Roman"/>
          <w:sz w:val="24"/>
        </w:rPr>
        <w:t xml:space="preserve">outside the scope of this rulemaking, </w:t>
      </w:r>
      <w:bookmarkStart w:id="223" w:name="_Hlk157690487"/>
      <w:r w:rsidRPr="00555907">
        <w:rPr>
          <w:rFonts w:ascii="Times New Roman" w:hAnsi="Times New Roman"/>
          <w:sz w:val="24"/>
        </w:rPr>
        <w:t xml:space="preserve">EPA acknowledges </w:t>
      </w:r>
      <w:r w:rsidRPr="00A11AC7" w:rsidR="00A11AC7">
        <w:rPr>
          <w:rFonts w:ascii="Times New Roman" w:hAnsi="Times New Roman"/>
          <w:sz w:val="24"/>
        </w:rPr>
        <w:t xml:space="preserve">the need for reviewing the list of RMP-regulated substances. </w:t>
      </w:r>
      <w:r w:rsidR="00A11AC7">
        <w:rPr>
          <w:rFonts w:ascii="Times New Roman" w:hAnsi="Times New Roman"/>
          <w:sz w:val="24"/>
        </w:rPr>
        <w:t>The Agency</w:t>
      </w:r>
      <w:r w:rsidRPr="00A11AC7" w:rsidR="00A11AC7">
        <w:rPr>
          <w:rFonts w:ascii="Times New Roman" w:hAnsi="Times New Roman"/>
          <w:sz w:val="24"/>
        </w:rPr>
        <w:t xml:space="preserve"> further acknowledges </w:t>
      </w:r>
      <w:r w:rsidRPr="00555907">
        <w:rPr>
          <w:rFonts w:ascii="Times New Roman" w:hAnsi="Times New Roman"/>
          <w:sz w:val="24"/>
        </w:rPr>
        <w:t>that there is both support and opposition to regulating AN and will consider these comments when determining whether to take further action on this issue</w:t>
      </w:r>
      <w:r w:rsidR="004E7F6F">
        <w:rPr>
          <w:rFonts w:ascii="Times New Roman" w:hAnsi="Times New Roman"/>
          <w:sz w:val="24"/>
        </w:rPr>
        <w:t xml:space="preserve"> at a later date</w:t>
      </w:r>
      <w:r w:rsidRPr="00555907">
        <w:rPr>
          <w:rFonts w:ascii="Times New Roman" w:hAnsi="Times New Roman"/>
          <w:sz w:val="24"/>
        </w:rPr>
        <w:t>.</w:t>
      </w:r>
      <w:bookmarkEnd w:id="222"/>
    </w:p>
    <w:bookmarkEnd w:id="223"/>
    <w:p w:rsidR="00555907" w:rsidRPr="00555907" w:rsidP="00555907" w14:paraId="2BAE45A9" w14:textId="0C938449">
      <w:pPr>
        <w:rPr>
          <w:rFonts w:ascii="Times New Roman" w:hAnsi="Times New Roman"/>
          <w:sz w:val="24"/>
        </w:rPr>
      </w:pPr>
      <w:r w:rsidRPr="00555907">
        <w:rPr>
          <w:rFonts w:ascii="Times New Roman" w:hAnsi="Times New Roman"/>
          <w:b/>
          <w:bCs/>
          <w:sz w:val="24"/>
        </w:rPr>
        <w:t>Comment 1</w:t>
      </w:r>
      <w:r w:rsidR="00681040">
        <w:rPr>
          <w:rFonts w:ascii="Times New Roman" w:hAnsi="Times New Roman"/>
          <w:b/>
          <w:bCs/>
          <w:sz w:val="24"/>
        </w:rPr>
        <w:t>9</w:t>
      </w:r>
      <w:r w:rsidRPr="00555907">
        <w:rPr>
          <w:rFonts w:ascii="Times New Roman" w:hAnsi="Times New Roman"/>
          <w:b/>
          <w:bCs/>
          <w:sz w:val="24"/>
        </w:rPr>
        <w:t>.1-0</w:t>
      </w:r>
      <w:r w:rsidR="00854CB7">
        <w:rPr>
          <w:rFonts w:ascii="Times New Roman" w:hAnsi="Times New Roman"/>
          <w:b/>
          <w:bCs/>
          <w:sz w:val="24"/>
        </w:rPr>
        <w:t>2</w:t>
      </w:r>
      <w:r w:rsidRPr="00555907">
        <w:rPr>
          <w:rFonts w:ascii="Times New Roman" w:hAnsi="Times New Roman"/>
          <w:b/>
          <w:bCs/>
          <w:sz w:val="24"/>
        </w:rPr>
        <w:t xml:space="preserve">: </w:t>
      </w:r>
      <w:r w:rsidRPr="00555907">
        <w:rPr>
          <w:rFonts w:ascii="Times New Roman" w:hAnsi="Times New Roman"/>
          <w:sz w:val="24"/>
        </w:rPr>
        <w:t xml:space="preserve">One commenter shared that for manufactures and distributors of AN fertilizer, ensuring the safe, effective, and secure production and use of AN is a top priority. The commenter stated that EPA should not expand the list of regulated substances to include AN, asserting that another regulatory program would not provide additional safety benefits. </w:t>
      </w:r>
    </w:p>
    <w:p w:rsidR="00555907" w:rsidRPr="00555907" w:rsidP="00555907" w14:paraId="57B3346B" w14:textId="77777777">
      <w:pPr>
        <w:rPr>
          <w:rFonts w:ascii="Times New Roman" w:hAnsi="Times New Roman"/>
          <w:sz w:val="24"/>
        </w:rPr>
      </w:pPr>
      <w:r w:rsidRPr="00555907">
        <w:rPr>
          <w:rFonts w:ascii="Times New Roman" w:eastAsia="Times New Roman" w:hAnsi="Times New Roman"/>
          <w:sz w:val="24"/>
        </w:rPr>
        <w:t>The commenter stated that AN for use as a fertilizer is already subject to regulation</w:t>
      </w:r>
      <w:r w:rsidRPr="00555907">
        <w:rPr>
          <w:rFonts w:ascii="Times New Roman" w:hAnsi="Times New Roman"/>
          <w:sz w:val="24"/>
        </w:rPr>
        <w:t xml:space="preserve"> </w:t>
      </w:r>
      <w:r w:rsidRPr="00555907">
        <w:rPr>
          <w:rFonts w:ascii="Times New Roman" w:eastAsia="Times New Roman" w:hAnsi="Times New Roman"/>
          <w:sz w:val="24"/>
        </w:rPr>
        <w:t>designed to protect employees and the public from any hazards associated with the storage and movement of AN. The commenter suggested that EPA coordinate with other federal agencies in charge of these efforts</w:t>
      </w:r>
      <w:r w:rsidRPr="00555907">
        <w:rPr>
          <w:rFonts w:ascii="Times New Roman" w:hAnsi="Times New Roman"/>
          <w:sz w:val="24"/>
        </w:rPr>
        <w:t xml:space="preserve"> t</w:t>
      </w:r>
      <w:r w:rsidRPr="00555907">
        <w:rPr>
          <w:rFonts w:ascii="Times New Roman" w:eastAsia="Times New Roman" w:hAnsi="Times New Roman"/>
          <w:sz w:val="24"/>
        </w:rPr>
        <w:t>o determine whether there is a need for additional regulation. The commenter shared examples of these entities: (1) the Cybersecurity and Infrastructure Security Agency oversees CFATS and operates the Ammonium Nitrate Security Program; (2) the fertilizer industry supports including AN on the CFATS Chemicals of Interest list; and (3) AN is also subject to regulation by OSHA,</w:t>
      </w:r>
      <w:r w:rsidRPr="00555907">
        <w:rPr>
          <w:rFonts w:ascii="Times New Roman" w:hAnsi="Times New Roman"/>
          <w:sz w:val="24"/>
        </w:rPr>
        <w:t xml:space="preserve"> </w:t>
      </w:r>
      <w:r w:rsidRPr="00555907">
        <w:rPr>
          <w:rFonts w:ascii="Times New Roman" w:eastAsia="Times New Roman" w:hAnsi="Times New Roman"/>
          <w:sz w:val="24"/>
        </w:rPr>
        <w:t>DHS, DOT, and BATF (</w:t>
      </w:r>
      <w:r w:rsidRPr="00555907">
        <w:rPr>
          <w:rFonts w:ascii="Times New Roman" w:hAnsi="Times New Roman"/>
          <w:sz w:val="24"/>
        </w:rPr>
        <w:t>0229).</w:t>
      </w:r>
    </w:p>
    <w:p w:rsidR="00555907" w:rsidRPr="00555907" w:rsidP="00555907" w14:paraId="10EEC66A" w14:textId="77777777">
      <w:pPr>
        <w:rPr>
          <w:rFonts w:ascii="Times New Roman" w:eastAsia="Times New Roman" w:hAnsi="Times New Roman"/>
          <w:sz w:val="24"/>
        </w:rPr>
      </w:pPr>
      <w:r w:rsidRPr="00555907">
        <w:rPr>
          <w:rFonts w:ascii="Times New Roman" w:hAnsi="Times New Roman"/>
          <w:sz w:val="24"/>
        </w:rPr>
        <w:t>The commenter stated that changes to existing regulatory authorities might be a more effective path forward than listing through the RMP program while also enhancing public safety. The commenter provided specific suggestions of existing authorities: (1) a</w:t>
      </w:r>
      <w:r w:rsidRPr="00555907">
        <w:rPr>
          <w:rFonts w:ascii="Times New Roman" w:eastAsia="Times New Roman" w:hAnsi="Times New Roman"/>
          <w:sz w:val="24"/>
        </w:rPr>
        <w:t xml:space="preserve">mending 29 CFR § 1910.109(i) to apply to AN and AN mixtures in fertilizer manufacturing and distribution (the </w:t>
      </w:r>
      <w:r w:rsidRPr="00555907">
        <w:rPr>
          <w:rFonts w:ascii="Times New Roman" w:eastAsia="Times New Roman" w:hAnsi="Times New Roman"/>
          <w:sz w:val="24"/>
        </w:rPr>
        <w:t>commenter stated it currently only applies to explosives and blasting agents); (2) seeking an amendment to EPCRA to remove § 311(e)(5) that currently excludes fertilizers from the definition of hazardous chemicals - adding AN would mean that public authorities receive safety data sheets receive estimates of hazardous chemicals at the facility during the prior year, an estimate of the average daily amounts of the hazardous chemicals at the facility during the prior calendar year, and the general location of the hazardous chemicals at the facility; and (3) revisiting the CFATS list for fertilizer grade AN, and to apply to larger quantities of fertilizer grade AN stored in bulk, regardless of how it stored (0229).</w:t>
      </w:r>
    </w:p>
    <w:p w:rsidR="00555907" w:rsidRPr="00555907" w:rsidP="00555907" w14:paraId="333E864F" w14:textId="77777777">
      <w:pPr>
        <w:rPr>
          <w:rFonts w:ascii="Times New Roman" w:eastAsia="Times New Roman" w:hAnsi="Times New Roman"/>
          <w:sz w:val="24"/>
        </w:rPr>
      </w:pPr>
      <w:r w:rsidRPr="00555907">
        <w:rPr>
          <w:rFonts w:ascii="Times New Roman" w:hAnsi="Times New Roman"/>
          <w:sz w:val="24"/>
        </w:rPr>
        <w:t xml:space="preserve">The commenter provided a list of efforts that the fertilizer industry voluntarily participates in to increase the safety and security of AN; the commenter asserted that these efforts prevent and respond to releases at considerable expense and time and demonstrate there is no need to regulate AN under the RMP </w:t>
      </w:r>
      <w:r w:rsidRPr="0053290D">
        <w:rPr>
          <w:rFonts w:ascii="Times New Roman" w:eastAsia="Times New Roman" w:hAnsi="Times New Roman"/>
          <w:sz w:val="24"/>
        </w:rPr>
        <w:t>(0229).</w:t>
      </w:r>
    </w:p>
    <w:p w:rsidR="00DF6B7D" w:rsidRPr="00555907" w:rsidP="006E51FD" w14:paraId="41C0A98A" w14:textId="3D7CE038">
      <w:pPr>
        <w:ind w:left="720"/>
        <w:rPr>
          <w:rFonts w:ascii="Times New Roman" w:hAnsi="Times New Roman"/>
          <w:sz w:val="24"/>
        </w:rPr>
      </w:pPr>
      <w:r w:rsidRPr="00555907">
        <w:rPr>
          <w:rFonts w:ascii="Times New Roman" w:hAnsi="Times New Roman"/>
          <w:b/>
          <w:bCs/>
          <w:sz w:val="24"/>
        </w:rPr>
        <w:t xml:space="preserve">EPA Response: </w:t>
      </w:r>
      <w:r w:rsidRPr="000B6DC1" w:rsidR="000B6DC1">
        <w:t xml:space="preserve"> </w:t>
      </w:r>
      <w:r w:rsidRPr="000B6DC1" w:rsidR="000B6DC1">
        <w:rPr>
          <w:rFonts w:ascii="Times New Roman" w:hAnsi="Times New Roman"/>
          <w:sz w:val="24"/>
        </w:rPr>
        <w:t>EPA acknowledges the need for reviewing the list of RMP-regulated substances. The Agency further</w:t>
      </w:r>
      <w:r w:rsidRPr="00555907">
        <w:rPr>
          <w:rFonts w:ascii="Times New Roman" w:hAnsi="Times New Roman"/>
          <w:sz w:val="24"/>
        </w:rPr>
        <w:t xml:space="preserve"> acknowledges that there is both support and opposition to regulating AN and will consider these comments when determining whether to take further action on this issue. In the interim, EPA encourages fertilizer retailers to review and use existing guidance. OSHA compiles several resources on their Fertilizer Industry Guidance on Storage and Use of Ammonium Nitrate webpage at https://www.osha.gov/dep/fertilizer_industry</w:t>
      </w:r>
      <w:r w:rsidRPr="00555907" w:rsidR="0053290D">
        <w:rPr>
          <w:rFonts w:ascii="Times New Roman" w:hAnsi="Times New Roman"/>
          <w:sz w:val="24"/>
        </w:rPr>
        <w:t>/.</w:t>
      </w:r>
      <w:r w:rsidRPr="00555907">
        <w:rPr>
          <w:rFonts w:ascii="Times New Roman" w:hAnsi="Times New Roman"/>
          <w:sz w:val="24"/>
        </w:rPr>
        <w:t xml:space="preserve"> Other agencies, including OSHA and DHS, are considering modifications to their regulations, and EPA will coordinate any potential changes to the list of substances in 40 CFR part 68 with the actions of these other agencies.</w:t>
      </w:r>
    </w:p>
    <w:p w:rsidR="00555907" w:rsidRPr="00555907" w:rsidP="00555907" w14:paraId="272B10F2" w14:textId="77777777"/>
    <w:p w:rsidR="008E589C" w:rsidRPr="006F68E9" w:rsidP="006E51FD" w14:paraId="21C844CA" w14:textId="77777777">
      <w:pPr>
        <w:pStyle w:val="Heading2"/>
        <w:tabs>
          <w:tab w:val="clear" w:pos="8684"/>
        </w:tabs>
        <w:spacing w:before="120"/>
        <w:rPr>
          <w:rFonts w:ascii="Times New Roman" w:hAnsi="Times New Roman" w:cs="Times New Roman"/>
          <w:b/>
          <w:bCs/>
          <w:color w:val="auto"/>
          <w:sz w:val="24"/>
          <w:szCs w:val="24"/>
        </w:rPr>
      </w:pPr>
      <w:bookmarkStart w:id="224" w:name="_Toc146880069"/>
      <w:bookmarkStart w:id="225" w:name="_Toc153373855"/>
      <w:r w:rsidRPr="006F68E9">
        <w:rPr>
          <w:rFonts w:ascii="Times New Roman" w:hAnsi="Times New Roman" w:cs="Times New Roman"/>
          <w:b/>
          <w:bCs/>
          <w:color w:val="auto"/>
          <w:sz w:val="24"/>
          <w:szCs w:val="24"/>
        </w:rPr>
        <w:t>Other substances identified by commenters</w:t>
      </w:r>
      <w:bookmarkEnd w:id="224"/>
      <w:bookmarkEnd w:id="225"/>
    </w:p>
    <w:p w:rsidR="00166575" w:rsidRPr="00555907" w:rsidP="00166575" w14:paraId="7617FAC7" w14:textId="51EC19F1">
      <w:pPr>
        <w:rPr>
          <w:rFonts w:ascii="Times New Roman" w:eastAsia="Times New Roman" w:hAnsi="Times New Roman"/>
          <w:sz w:val="24"/>
        </w:rPr>
      </w:pPr>
      <w:r w:rsidRPr="00032D1F">
        <w:rPr>
          <w:rFonts w:ascii="Times New Roman" w:hAnsi="Times New Roman"/>
          <w:b/>
          <w:bCs/>
          <w:sz w:val="24"/>
        </w:rPr>
        <w:t>Comment</w:t>
      </w:r>
      <w:r>
        <w:rPr>
          <w:rFonts w:ascii="Times New Roman" w:hAnsi="Times New Roman"/>
          <w:b/>
          <w:bCs/>
          <w:sz w:val="24"/>
        </w:rPr>
        <w:t xml:space="preserve"> 1</w:t>
      </w:r>
      <w:r w:rsidR="00681040">
        <w:rPr>
          <w:rFonts w:ascii="Times New Roman" w:hAnsi="Times New Roman"/>
          <w:b/>
          <w:bCs/>
          <w:sz w:val="24"/>
        </w:rPr>
        <w:t>9</w:t>
      </w:r>
      <w:r>
        <w:rPr>
          <w:rFonts w:ascii="Times New Roman" w:hAnsi="Times New Roman"/>
          <w:b/>
          <w:bCs/>
          <w:sz w:val="24"/>
        </w:rPr>
        <w:t>.2-01</w:t>
      </w:r>
      <w:r w:rsidRPr="00032D1F">
        <w:rPr>
          <w:rFonts w:ascii="Times New Roman" w:hAnsi="Times New Roman"/>
          <w:b/>
          <w:bCs/>
          <w:sz w:val="24"/>
        </w:rPr>
        <w:t>:</w:t>
      </w:r>
      <w:r>
        <w:rPr>
          <w:rFonts w:ascii="Times New Roman" w:hAnsi="Times New Roman"/>
          <w:sz w:val="24"/>
        </w:rPr>
        <w:t xml:space="preserve"> </w:t>
      </w:r>
      <w:r w:rsidRPr="00555907">
        <w:rPr>
          <w:rFonts w:ascii="Times New Roman" w:eastAsia="Times New Roman" w:hAnsi="Times New Roman"/>
          <w:sz w:val="24"/>
        </w:rPr>
        <w:t xml:space="preserve">Several commenters expressed support for expanding the list of chemicals covered under the RMP (0264, 0448, 0449, 0453, 0460, </w:t>
      </w:r>
      <w:r w:rsidRPr="00555907">
        <w:rPr>
          <w:rFonts w:ascii="Times New Roman" w:hAnsi="Times New Roman"/>
          <w:sz w:val="24"/>
        </w:rPr>
        <w:t>0409, 0456</w:t>
      </w:r>
      <w:r w:rsidRPr="00555907">
        <w:rPr>
          <w:rFonts w:ascii="Times New Roman" w:eastAsia="Times New Roman" w:hAnsi="Times New Roman"/>
          <w:sz w:val="24"/>
        </w:rPr>
        <w:t xml:space="preserve">). </w:t>
      </w:r>
    </w:p>
    <w:p w:rsidR="00166575" w:rsidRPr="00555907" w:rsidP="00166575" w14:paraId="10FC9AE8" w14:textId="77777777">
      <w:pPr>
        <w:rPr>
          <w:rFonts w:ascii="Times New Roman" w:hAnsi="Times New Roman"/>
          <w:sz w:val="24"/>
        </w:rPr>
      </w:pPr>
      <w:r w:rsidRPr="00555907">
        <w:rPr>
          <w:rFonts w:ascii="Times New Roman" w:hAnsi="Times New Roman"/>
          <w:sz w:val="24"/>
        </w:rPr>
        <w:t>Many commenters requested that EPA</w:t>
      </w:r>
      <w:r w:rsidRPr="00555907">
        <w:rPr>
          <w:rFonts w:ascii="Times New Roman" w:eastAsia="Times New Roman" w:hAnsi="Times New Roman"/>
          <w:sz w:val="24"/>
        </w:rPr>
        <w:t xml:space="preserve"> not delay and update the list as fast as possible, by the end of 2023 (</w:t>
      </w:r>
      <w:r w:rsidRPr="00555907">
        <w:rPr>
          <w:rFonts w:ascii="Times New Roman" w:hAnsi="Times New Roman"/>
          <w:sz w:val="24"/>
        </w:rPr>
        <w:t xml:space="preserve">0208, </w:t>
      </w:r>
      <w:r>
        <w:rPr>
          <w:rFonts w:ascii="Times New Roman" w:hAnsi="Times New Roman"/>
          <w:sz w:val="24"/>
        </w:rPr>
        <w:t xml:space="preserve">0252, </w:t>
      </w:r>
      <w:r w:rsidRPr="00555907">
        <w:rPr>
          <w:rFonts w:ascii="Times New Roman" w:hAnsi="Times New Roman"/>
          <w:sz w:val="24"/>
        </w:rPr>
        <w:t xml:space="preserve">0255, 0264, </w:t>
      </w:r>
      <w:r>
        <w:rPr>
          <w:rFonts w:ascii="Times New Roman" w:hAnsi="Times New Roman"/>
          <w:sz w:val="24"/>
        </w:rPr>
        <w:t xml:space="preserve">0269, </w:t>
      </w:r>
      <w:r w:rsidRPr="00555907">
        <w:rPr>
          <w:rFonts w:ascii="Times New Roman" w:hAnsi="Times New Roman"/>
          <w:sz w:val="24"/>
        </w:rPr>
        <w:t>0270, 0460). One commenter suggested that EPA should update the list of covered chemicals no later than the end of 2023 (0409).</w:t>
      </w:r>
    </w:p>
    <w:p w:rsidR="00166575" w:rsidRPr="00555907" w:rsidP="00166575" w14:paraId="45CF7E70" w14:textId="77777777">
      <w:pPr>
        <w:rPr>
          <w:rFonts w:ascii="Times New Roman" w:hAnsi="Times New Roman"/>
          <w:sz w:val="24"/>
        </w:rPr>
      </w:pPr>
      <w:r w:rsidRPr="00555907">
        <w:rPr>
          <w:rFonts w:ascii="Times New Roman" w:hAnsi="Times New Roman"/>
          <w:sz w:val="24"/>
        </w:rPr>
        <w:t>A few commenters opposed listing additional substances in the RMP (0212, 0228, 0229).</w:t>
      </w:r>
    </w:p>
    <w:p w:rsidR="008E589C" w:rsidRPr="00C12B5E" w:rsidP="008E589C" w14:paraId="78F6CF7A" w14:textId="3DAD5CEB">
      <w:pPr>
        <w:rPr>
          <w:rFonts w:ascii="Times New Roman" w:hAnsi="Times New Roman"/>
          <w:sz w:val="24"/>
        </w:rPr>
      </w:pPr>
      <w:r w:rsidRPr="006F68E9">
        <w:rPr>
          <w:rFonts w:ascii="Times New Roman" w:hAnsi="Times New Roman"/>
          <w:sz w:val="24"/>
        </w:rPr>
        <w:t xml:space="preserve">Several commenters </w:t>
      </w:r>
      <w:r w:rsidR="00390C0E">
        <w:rPr>
          <w:rFonts w:ascii="Times New Roman" w:hAnsi="Times New Roman"/>
          <w:sz w:val="24"/>
        </w:rPr>
        <w:t>specifically</w:t>
      </w:r>
      <w:r w:rsidRPr="006F68E9">
        <w:rPr>
          <w:rFonts w:ascii="Times New Roman" w:hAnsi="Times New Roman"/>
          <w:sz w:val="24"/>
        </w:rPr>
        <w:t xml:space="preserve"> </w:t>
      </w:r>
      <w:r>
        <w:rPr>
          <w:rFonts w:ascii="Times New Roman" w:hAnsi="Times New Roman"/>
          <w:sz w:val="24"/>
        </w:rPr>
        <w:t>encouraged EPA to expand RMP</w:t>
      </w:r>
      <w:r w:rsidRPr="006F68E9">
        <w:rPr>
          <w:rFonts w:ascii="Times New Roman" w:hAnsi="Times New Roman"/>
          <w:sz w:val="24"/>
        </w:rPr>
        <w:t xml:space="preserve"> to include more hazardous chemicals (i.e., flammable, explosive, reactive). The commenters stated that the program does not regulate many highly hazardous chemicals that, if released, could cause death, injury, toxic exposure, severe health effects, and other harm (0160, 0185, 0208, </w:t>
      </w:r>
      <w:r w:rsidRPr="005423E9">
        <w:rPr>
          <w:rStyle w:val="Strong"/>
          <w:rFonts w:ascii="Times New Roman" w:eastAsia="Times New Roman" w:hAnsi="Times New Roman"/>
          <w:b w:val="0"/>
          <w:sz w:val="24"/>
        </w:rPr>
        <w:t>0209</w:t>
      </w:r>
      <w:r w:rsidRPr="006F68E9">
        <w:rPr>
          <w:rStyle w:val="Strong"/>
          <w:rFonts w:ascii="Times New Roman" w:eastAsia="Times New Roman" w:hAnsi="Times New Roman"/>
          <w:sz w:val="24"/>
        </w:rPr>
        <w:t xml:space="preserve">, </w:t>
      </w:r>
      <w:r w:rsidRPr="006F68E9">
        <w:rPr>
          <w:rFonts w:ascii="Times New Roman" w:hAnsi="Times New Roman"/>
          <w:sz w:val="24"/>
        </w:rPr>
        <w:t>0240, 0248, 0270, 0276, 0413, 0444, 0456, 0460). Another commenter added that unregulated reactive chemicals meet the listing criteria and past accidents signal the need to list additional substances (0460).</w:t>
      </w:r>
    </w:p>
    <w:p w:rsidR="008E589C" w:rsidRPr="006F68E9" w:rsidP="008E589C" w14:paraId="2F826CEA" w14:textId="77777777">
      <w:pPr>
        <w:rPr>
          <w:rFonts w:ascii="Times New Roman" w:hAnsi="Times New Roman"/>
          <w:sz w:val="24"/>
        </w:rPr>
      </w:pPr>
      <w:r w:rsidRPr="006F68E9">
        <w:rPr>
          <w:rFonts w:ascii="Times New Roman" w:hAnsi="Times New Roman"/>
          <w:sz w:val="24"/>
        </w:rPr>
        <w:t xml:space="preserve">Some commenters emphasized that reactive substances </w:t>
      </w:r>
      <w:r>
        <w:rPr>
          <w:rFonts w:ascii="Times New Roman" w:hAnsi="Times New Roman"/>
          <w:sz w:val="24"/>
        </w:rPr>
        <w:t>specifically</w:t>
      </w:r>
      <w:r w:rsidRPr="006F68E9">
        <w:rPr>
          <w:rFonts w:ascii="Times New Roman" w:hAnsi="Times New Roman"/>
          <w:sz w:val="24"/>
        </w:rPr>
        <w:t xml:space="preserve"> are very hazardous and, therefore, should be listed (0185, 0240, 0270, 0276, 0456, 0460). Regarding reactive chemicals, one of the commenters provided two types that EPA should include in the RMP: </w:t>
      </w:r>
      <w:r>
        <w:rPr>
          <w:rFonts w:ascii="Times New Roman" w:hAnsi="Times New Roman"/>
          <w:sz w:val="24"/>
        </w:rPr>
        <w:t>(</w:t>
      </w:r>
      <w:r w:rsidRPr="006F68E9">
        <w:rPr>
          <w:rFonts w:ascii="Times New Roman" w:hAnsi="Times New Roman"/>
          <w:sz w:val="24"/>
        </w:rPr>
        <w:t xml:space="preserve">1) those chemicals subject to unintentional reactions because they are unstable or self-reacting, or may react if they are unintentionally exposed to air or water; and </w:t>
      </w:r>
      <w:r>
        <w:rPr>
          <w:rFonts w:ascii="Times New Roman" w:hAnsi="Times New Roman"/>
          <w:sz w:val="24"/>
        </w:rPr>
        <w:t>(</w:t>
      </w:r>
      <w:r w:rsidRPr="006F68E9">
        <w:rPr>
          <w:rFonts w:ascii="Times New Roman" w:hAnsi="Times New Roman"/>
          <w:sz w:val="24"/>
        </w:rPr>
        <w:t xml:space="preserve">2) those chemicals that cause risk from the intentional mixing of two or more chemicals in a process (0185). </w:t>
      </w:r>
    </w:p>
    <w:p w:rsidR="008E589C" w:rsidP="008E589C" w14:paraId="39990E92" w14:textId="77777777">
      <w:pPr>
        <w:rPr>
          <w:rFonts w:ascii="Times New Roman" w:hAnsi="Times New Roman"/>
          <w:sz w:val="24"/>
        </w:rPr>
      </w:pPr>
      <w:r w:rsidRPr="006F68E9">
        <w:rPr>
          <w:rFonts w:ascii="Times New Roman" w:hAnsi="Times New Roman"/>
          <w:sz w:val="24"/>
        </w:rPr>
        <w:t xml:space="preserve">A couple of commenters mentioned the New Jersey Toxic Catastrophe Prevention Program (TCPA) as a model for the RMP. The commenters </w:t>
      </w:r>
      <w:r>
        <w:rPr>
          <w:rFonts w:ascii="Times New Roman" w:hAnsi="Times New Roman"/>
          <w:sz w:val="24"/>
        </w:rPr>
        <w:t>stated</w:t>
      </w:r>
      <w:r w:rsidRPr="006F68E9">
        <w:rPr>
          <w:rFonts w:ascii="Times New Roman" w:hAnsi="Times New Roman"/>
          <w:sz w:val="24"/>
        </w:rPr>
        <w:t xml:space="preserve"> that the New Jersey Code includes reactive chemicals in their Environmental Hazardous Substance list, and that the state has added reactive hazard substances, organometallics, and liquified petroleum over time based on accidents or other sufficient information to justify the inclusion of the class to reduce the risk of a catastrophic release (0185, 0460). One of the commenters </w:t>
      </w:r>
      <w:r>
        <w:rPr>
          <w:rFonts w:ascii="Times New Roman" w:hAnsi="Times New Roman"/>
          <w:sz w:val="24"/>
        </w:rPr>
        <w:t>discussed</w:t>
      </w:r>
      <w:r w:rsidRPr="006F68E9">
        <w:rPr>
          <w:rFonts w:ascii="Times New Roman" w:hAnsi="Times New Roman"/>
          <w:sz w:val="24"/>
        </w:rPr>
        <w:t xml:space="preserve"> multiple resources from </w:t>
      </w:r>
      <w:r>
        <w:rPr>
          <w:rFonts w:ascii="Times New Roman" w:hAnsi="Times New Roman"/>
          <w:sz w:val="24"/>
        </w:rPr>
        <w:t>F</w:t>
      </w:r>
      <w:r w:rsidRPr="006F68E9">
        <w:rPr>
          <w:rFonts w:ascii="Times New Roman" w:hAnsi="Times New Roman"/>
          <w:sz w:val="24"/>
        </w:rPr>
        <w:t>ederal agencies, non-profit associations, and academia/researchers used by New Jersey to evaluate and group substances considering their chemical composition and their potential impact on the health and safety of the public (including unstable substances; water reactive substances; or intentional mixtures that are products, byproducts, or reactants) (0185).</w:t>
      </w:r>
    </w:p>
    <w:p w:rsidR="008E589C" w:rsidP="008E589C" w14:paraId="3FD0CE68" w14:textId="77777777">
      <w:pPr>
        <w:rPr>
          <w:rFonts w:ascii="Times New Roman" w:hAnsi="Times New Roman"/>
          <w:sz w:val="24"/>
        </w:rPr>
      </w:pPr>
      <w:r w:rsidRPr="006F68E9">
        <w:rPr>
          <w:rFonts w:ascii="Times New Roman" w:hAnsi="Times New Roman"/>
          <w:sz w:val="24"/>
        </w:rPr>
        <w:t>Some commenters referenced past CSB actions that support listing additional chemicals in the RMP. The commenters mentioned a CSB study on accidents caused by reactive chemicals; between 1980 and 2001 167 incidents involved uncontrolled chemical reactivity. The commenters added that CSB has recommended multiple times that EPA expand the current RMP to include reactive hazards (including self-reactive chemicals, combinations of chemicals, and process-specific conditions), which have the potential to seriously impact the public (0185, 0240, 0456, 0460).</w:t>
      </w:r>
    </w:p>
    <w:p w:rsidR="008E589C" w:rsidP="008E589C" w14:paraId="488B3DAD" w14:textId="77777777">
      <w:pPr>
        <w:rPr>
          <w:rFonts w:ascii="Times New Roman" w:hAnsi="Times New Roman"/>
          <w:sz w:val="24"/>
        </w:rPr>
      </w:pPr>
      <w:r>
        <w:rPr>
          <w:rFonts w:ascii="Times New Roman" w:hAnsi="Times New Roman"/>
          <w:sz w:val="24"/>
        </w:rPr>
        <w:t>Another</w:t>
      </w:r>
      <w:r w:rsidRPr="006F68E9">
        <w:rPr>
          <w:rFonts w:ascii="Times New Roman" w:hAnsi="Times New Roman"/>
          <w:sz w:val="24"/>
        </w:rPr>
        <w:t xml:space="preserve"> commenter mentioned New Jersey’s TCPA</w:t>
      </w:r>
      <w:r>
        <w:rPr>
          <w:rFonts w:ascii="Times New Roman" w:hAnsi="Times New Roman"/>
          <w:sz w:val="24"/>
        </w:rPr>
        <w:t>,</w:t>
      </w:r>
      <w:r w:rsidRPr="006F68E9">
        <w:rPr>
          <w:rFonts w:ascii="Times New Roman" w:hAnsi="Times New Roman"/>
          <w:sz w:val="24"/>
        </w:rPr>
        <w:t xml:space="preserve"> which includes reactive chemicals, liquified petroleum gas, and organometallics</w:t>
      </w:r>
      <w:r>
        <w:rPr>
          <w:rFonts w:ascii="Times New Roman" w:hAnsi="Times New Roman"/>
          <w:sz w:val="24"/>
        </w:rPr>
        <w:t xml:space="preserve"> (0456)</w:t>
      </w:r>
      <w:r w:rsidRPr="006F68E9">
        <w:rPr>
          <w:rFonts w:ascii="Times New Roman" w:hAnsi="Times New Roman"/>
          <w:sz w:val="24"/>
        </w:rPr>
        <w:t xml:space="preserve">. </w:t>
      </w:r>
    </w:p>
    <w:p w:rsidR="008E589C" w:rsidP="008E589C" w14:paraId="20CA0425" w14:textId="77777777">
      <w:pPr>
        <w:rPr>
          <w:rFonts w:ascii="Times New Roman" w:hAnsi="Times New Roman"/>
          <w:sz w:val="24"/>
        </w:rPr>
      </w:pPr>
      <w:r w:rsidRPr="006F68E9">
        <w:rPr>
          <w:rFonts w:ascii="Times New Roman" w:hAnsi="Times New Roman"/>
          <w:sz w:val="24"/>
        </w:rPr>
        <w:t xml:space="preserve">Another commenter mentioned the NFPA Fire Protection Guide to Hazardous Materials as a source of information for EPA to consider when listing chemicals in the RMP. The commenter </w:t>
      </w:r>
      <w:r>
        <w:rPr>
          <w:rFonts w:ascii="Times New Roman" w:hAnsi="Times New Roman"/>
          <w:sz w:val="24"/>
        </w:rPr>
        <w:t>stated</w:t>
      </w:r>
      <w:r w:rsidRPr="006F68E9">
        <w:rPr>
          <w:rFonts w:ascii="Times New Roman" w:hAnsi="Times New Roman"/>
          <w:sz w:val="24"/>
        </w:rPr>
        <w:t xml:space="preserve"> that the resource categorizes substances by the type and the degree of hazard, including for: </w:t>
      </w:r>
      <w:r>
        <w:rPr>
          <w:rFonts w:ascii="Times New Roman" w:hAnsi="Times New Roman"/>
          <w:sz w:val="24"/>
        </w:rPr>
        <w:t>(</w:t>
      </w:r>
      <w:r w:rsidRPr="006F68E9">
        <w:rPr>
          <w:rFonts w:ascii="Times New Roman" w:hAnsi="Times New Roman"/>
          <w:sz w:val="24"/>
        </w:rPr>
        <w:t xml:space="preserve">1) unstable substances that are capable of detonation, explosive decomposition, explosive reaction at normal temperatures and pressures, and </w:t>
      </w:r>
      <w:r>
        <w:rPr>
          <w:rFonts w:ascii="Times New Roman" w:hAnsi="Times New Roman"/>
          <w:sz w:val="24"/>
        </w:rPr>
        <w:t>(</w:t>
      </w:r>
      <w:r w:rsidRPr="006F68E9">
        <w:rPr>
          <w:rFonts w:ascii="Times New Roman" w:hAnsi="Times New Roman"/>
          <w:sz w:val="24"/>
        </w:rPr>
        <w:t>2) water reactive substances which when combined with water cause an explosive reaction (0185).</w:t>
      </w:r>
    </w:p>
    <w:p w:rsidR="008E589C" w:rsidP="008E589C" w14:paraId="010DC14F" w14:textId="77777777">
      <w:pPr>
        <w:rPr>
          <w:rFonts w:ascii="Times New Roman" w:hAnsi="Times New Roman"/>
          <w:sz w:val="24"/>
        </w:rPr>
      </w:pPr>
      <w:r>
        <w:rPr>
          <w:rFonts w:ascii="Times New Roman" w:hAnsi="Times New Roman"/>
          <w:sz w:val="24"/>
        </w:rPr>
        <w:t>One commenter suggested</w:t>
      </w:r>
      <w:r w:rsidRPr="006F68E9">
        <w:rPr>
          <w:rFonts w:ascii="Times New Roman" w:hAnsi="Times New Roman"/>
          <w:sz w:val="24"/>
        </w:rPr>
        <w:t xml:space="preserve"> that EPA consider higher stringency for chemicals with reactive, spontaneous decomposition, and explosive properties and with an accident history (such as New Jersey applied to calcium dithionite, sodium dithionite, and potassium dithionite) (0185).</w:t>
      </w:r>
    </w:p>
    <w:p w:rsidR="008E589C" w:rsidRPr="006F68E9" w:rsidP="008E589C" w14:paraId="0FD1F166" w14:textId="659A77F2">
      <w:pPr>
        <w:rPr>
          <w:rFonts w:ascii="Times New Roman" w:hAnsi="Times New Roman"/>
          <w:sz w:val="24"/>
        </w:rPr>
      </w:pPr>
      <w:r w:rsidRPr="006F68E9">
        <w:rPr>
          <w:rFonts w:ascii="Times New Roman" w:hAnsi="Times New Roman"/>
          <w:sz w:val="24"/>
        </w:rPr>
        <w:t>A couple of commenters opposed listing reactive chemicals in particular. One commenter stated that the Agency’s statutory authority under CAA § 112(r)(3) precludes it from regulating broad classes of substances including reactive chemicals (0229). Another commenter stated that EPA lacks authority under 42 U.S.C. § 7412(r) to designate broad categories of chemicals. The commenter also questioned if EPA has conducted sufficient supporting analyses to warrant including a reactive category of chemicals. The commenter stated that it is inappropriate to list ammonium nitrate under the RMP – emphasizing that OSHA has also excluded blasting agents from the PSM, a 2002 EPA decision not to identify reactive substances in the RMP, and data and reports submitted to NFPA which also support this conclusion (0228).</w:t>
      </w:r>
    </w:p>
    <w:p w:rsidR="008E589C" w:rsidRPr="006F68E9" w:rsidP="008E589C" w14:paraId="042684A0" w14:textId="77777777">
      <w:pPr>
        <w:rPr>
          <w:rFonts w:ascii="Times New Roman" w:hAnsi="Times New Roman"/>
          <w:sz w:val="24"/>
        </w:rPr>
      </w:pPr>
      <w:r w:rsidRPr="006F68E9">
        <w:rPr>
          <w:rFonts w:ascii="Times New Roman" w:hAnsi="Times New Roman"/>
          <w:sz w:val="24"/>
        </w:rPr>
        <w:t xml:space="preserve">The commenter </w:t>
      </w:r>
      <w:r>
        <w:rPr>
          <w:rFonts w:ascii="Times New Roman" w:hAnsi="Times New Roman"/>
          <w:sz w:val="24"/>
        </w:rPr>
        <w:t>said</w:t>
      </w:r>
      <w:r w:rsidRPr="006F68E9">
        <w:rPr>
          <w:rFonts w:ascii="Times New Roman" w:hAnsi="Times New Roman"/>
          <w:sz w:val="24"/>
        </w:rPr>
        <w:t xml:space="preserve"> that the Technical Background Document references New Jersey’s TCPA provisions regarding reactive chemicals and expressed that ammonium nitrate does not meet the criteria for a reactive chemical through inherent instability, self-reaction, through exposure to air or water, or through controlled production processes. The commenter suggested that chemicals that can be managed by safe handling and storage practices should not be considered reactive. The commenter also took issue with how New Jersey added substances – asserting application of </w:t>
      </w:r>
      <w:r w:rsidRPr="006F68E9">
        <w:rPr>
          <w:rFonts w:ascii="Times New Roman" w:hAnsi="Times New Roman"/>
          <w:sz w:val="24"/>
        </w:rPr>
        <w:t xml:space="preserve">a TNT equivalency is questionable since ammonium nitrate explosions are not easily comparable to TNT (0228). See Section </w:t>
      </w:r>
      <w:r w:rsidRPr="006F68E9">
        <w:rPr>
          <w:rFonts w:ascii="Times New Roman" w:hAnsi="Times New Roman"/>
          <w:sz w:val="24"/>
        </w:rPr>
        <w:fldChar w:fldCharType="begin"/>
      </w:r>
      <w:r w:rsidRPr="006F68E9">
        <w:rPr>
          <w:rFonts w:ascii="Times New Roman" w:hAnsi="Times New Roman"/>
          <w:sz w:val="24"/>
        </w:rPr>
        <w:instrText xml:space="preserve"> REF _Ref124090275 \r \h  \* MERGEFORMAT </w:instrText>
      </w:r>
      <w:r w:rsidRPr="006F68E9">
        <w:rPr>
          <w:rFonts w:ascii="Times New Roman" w:hAnsi="Times New Roman"/>
          <w:sz w:val="24"/>
        </w:rPr>
        <w:fldChar w:fldCharType="separate"/>
      </w:r>
      <w:r>
        <w:rPr>
          <w:rFonts w:ascii="Times New Roman" w:hAnsi="Times New Roman"/>
          <w:sz w:val="24"/>
        </w:rPr>
        <w:t>18.1</w:t>
      </w:r>
      <w:r w:rsidRPr="006F68E9">
        <w:rPr>
          <w:rFonts w:ascii="Times New Roman" w:hAnsi="Times New Roman"/>
          <w:sz w:val="24"/>
        </w:rPr>
        <w:fldChar w:fldCharType="end"/>
      </w:r>
      <w:r w:rsidRPr="006F68E9">
        <w:rPr>
          <w:rFonts w:ascii="Times New Roman" w:hAnsi="Times New Roman"/>
          <w:sz w:val="24"/>
        </w:rPr>
        <w:t xml:space="preserve"> for other comments on ammonium nitrate.</w:t>
      </w:r>
    </w:p>
    <w:p w:rsidR="008E589C" w:rsidP="008E589C" w14:paraId="1913D8D2" w14:textId="7B0A0F02">
      <w:pPr>
        <w:rPr>
          <w:rFonts w:ascii="Times New Roman" w:hAnsi="Times New Roman"/>
          <w:sz w:val="24"/>
        </w:rPr>
      </w:pPr>
      <w:r w:rsidRPr="006F68E9">
        <w:rPr>
          <w:rFonts w:ascii="Times New Roman" w:hAnsi="Times New Roman"/>
          <w:sz w:val="24"/>
        </w:rPr>
        <w:t xml:space="preserve">A few commenters </w:t>
      </w:r>
      <w:r>
        <w:rPr>
          <w:rFonts w:ascii="Times New Roman" w:hAnsi="Times New Roman"/>
          <w:sz w:val="24"/>
        </w:rPr>
        <w:t>voiced</w:t>
      </w:r>
      <w:r w:rsidRPr="006F68E9">
        <w:rPr>
          <w:rFonts w:ascii="Times New Roman" w:hAnsi="Times New Roman"/>
          <w:sz w:val="24"/>
        </w:rPr>
        <w:t xml:space="preserve"> particular concern that certain chemicals fall outside of the RMP-covered flammability rating but should be included due to fire and explosion risks (0255, 0456, 0460). One of the commenters added that unregulated flammable chemicals meet the listing criteria and past accidents illustrate the potential for accidental releases (0460).</w:t>
      </w:r>
    </w:p>
    <w:p w:rsidR="008E589C" w:rsidP="008E589C" w14:paraId="472BD498" w14:textId="3420C56D">
      <w:pPr>
        <w:rPr>
          <w:rFonts w:ascii="Times New Roman" w:hAnsi="Times New Roman"/>
          <w:sz w:val="24"/>
        </w:rPr>
      </w:pPr>
      <w:r>
        <w:rPr>
          <w:rFonts w:ascii="Times New Roman" w:hAnsi="Times New Roman"/>
          <w:sz w:val="24"/>
        </w:rPr>
        <w:t>A few</w:t>
      </w:r>
      <w:r w:rsidRPr="006F68E9">
        <w:rPr>
          <w:rFonts w:ascii="Times New Roman" w:hAnsi="Times New Roman"/>
          <w:sz w:val="24"/>
        </w:rPr>
        <w:t xml:space="preserve"> commenters mentioned specific chemicals for EPA to consider listing. A couple of commenters referenced a list of 395 chemicals regulated by California, New Jersey, or OSHA’s PSM rule that are not covered by the RMP program (0270, </w:t>
      </w:r>
      <w:r>
        <w:rPr>
          <w:rFonts w:ascii="Times New Roman" w:hAnsi="Times New Roman"/>
          <w:sz w:val="24"/>
        </w:rPr>
        <w:t xml:space="preserve">0456, </w:t>
      </w:r>
      <w:r w:rsidRPr="006F68E9">
        <w:rPr>
          <w:rFonts w:ascii="Times New Roman" w:hAnsi="Times New Roman"/>
          <w:sz w:val="24"/>
        </w:rPr>
        <w:t>0460).</w:t>
      </w:r>
      <w:r>
        <w:rPr>
          <w:rFonts w:ascii="Times New Roman" w:hAnsi="Times New Roman"/>
          <w:sz w:val="24"/>
        </w:rPr>
        <w:t xml:space="preserve"> </w:t>
      </w:r>
    </w:p>
    <w:p w:rsidR="008E589C" w:rsidRPr="006F68E9" w:rsidP="008E589C" w14:paraId="7787A44E" w14:textId="77777777">
      <w:pPr>
        <w:rPr>
          <w:rFonts w:ascii="Times New Roman" w:hAnsi="Times New Roman"/>
          <w:sz w:val="24"/>
        </w:rPr>
      </w:pPr>
      <w:r w:rsidRPr="006F68E9">
        <w:rPr>
          <w:rFonts w:ascii="Times New Roman" w:hAnsi="Times New Roman"/>
          <w:sz w:val="24"/>
        </w:rPr>
        <w:t xml:space="preserve">A few commenters each expressed a need to list hydroxyethyl acrylate, organic peroxides, nitrous oxide, and/or organometallics. The commenters each expressed a need to list methylcyclopentadienyl manganese tricarbonyl (MCMT), sulfuric acid, liquified petroleum gas, methyl bromide, methyl vinyl ketone, propargyl bromide, tellurium hexafluoride, calcium dithionite, sodium dithionite, and/or potassium dithionite (0185, 0456, 0460). </w:t>
      </w:r>
    </w:p>
    <w:p w:rsidR="008E589C" w:rsidRPr="006F68E9" w:rsidP="008E589C" w14:paraId="76A215BE" w14:textId="0905B508">
      <w:pPr>
        <w:rPr>
          <w:rFonts w:ascii="Times New Roman" w:hAnsi="Times New Roman"/>
          <w:sz w:val="24"/>
        </w:rPr>
      </w:pPr>
      <w:r w:rsidRPr="006F68E9">
        <w:rPr>
          <w:rFonts w:ascii="Times New Roman" w:hAnsi="Times New Roman"/>
          <w:sz w:val="24"/>
        </w:rPr>
        <w:t xml:space="preserve">One commenter provided comments on why hydrochloric (HCl) and HF acids used in steelmaking should not be regulated under EPA’s RMP regulations. The commenter stated that these substances are used below threshold concentrations; as such, their use does not present facility risks. The commenter added that the industry is dedicated to safety and is already implementing chemical-release prevention and response programs under other statutory requirements. The commenter stated that extending the RMP program to low-risk facilities would create regulatory inconsistency and confusion without improving industrial safety. The commenter </w:t>
      </w:r>
      <w:r>
        <w:rPr>
          <w:rFonts w:ascii="Times New Roman" w:hAnsi="Times New Roman"/>
          <w:sz w:val="24"/>
        </w:rPr>
        <w:t xml:space="preserve">noted </w:t>
      </w:r>
      <w:r w:rsidRPr="006F68E9">
        <w:rPr>
          <w:rFonts w:ascii="Times New Roman" w:hAnsi="Times New Roman"/>
          <w:sz w:val="24"/>
        </w:rPr>
        <w:t>that EPA has considered the RMP threshold concentrations for HF and HCl on past occasions and concluded that the current RMP threshold concentrations are sufficient. The commenter asserted that such conclusions remain valid as no steel mills have experienced any significant incidents involving these chemicals. The commenter urged EPA to maintain the current HCl and HF threshold concentrations in the current RMP regulations (0212).</w:t>
      </w:r>
    </w:p>
    <w:p w:rsidR="008E589C" w:rsidP="008E589C" w14:paraId="4E5FEA91" w14:textId="34CE2923">
      <w:pPr>
        <w:rPr>
          <w:rFonts w:ascii="Times New Roman" w:hAnsi="Times New Roman"/>
          <w:sz w:val="24"/>
        </w:rPr>
      </w:pPr>
      <w:r w:rsidRPr="006F68E9">
        <w:rPr>
          <w:rFonts w:ascii="Times New Roman" w:hAnsi="Times New Roman"/>
          <w:sz w:val="24"/>
        </w:rPr>
        <w:t xml:space="preserve">Many commenters asked EPA to reduce threshold quantities of substances for coverage (0185, </w:t>
      </w:r>
      <w:r w:rsidR="001D7D52">
        <w:rPr>
          <w:rFonts w:ascii="Times New Roman" w:hAnsi="Times New Roman"/>
          <w:sz w:val="24"/>
        </w:rPr>
        <w:t xml:space="preserve">0252, </w:t>
      </w:r>
      <w:r w:rsidRPr="006F68E9">
        <w:rPr>
          <w:rFonts w:ascii="Times New Roman" w:hAnsi="Times New Roman"/>
          <w:sz w:val="24"/>
        </w:rPr>
        <w:t xml:space="preserve">0240, 0264, </w:t>
      </w:r>
      <w:r w:rsidR="001D7D52">
        <w:rPr>
          <w:rFonts w:ascii="Times New Roman" w:hAnsi="Times New Roman"/>
          <w:sz w:val="24"/>
        </w:rPr>
        <w:t xml:space="preserve">0269, </w:t>
      </w:r>
      <w:r w:rsidRPr="006F68E9">
        <w:rPr>
          <w:rFonts w:ascii="Times New Roman" w:hAnsi="Times New Roman"/>
          <w:sz w:val="24"/>
        </w:rPr>
        <w:t xml:space="preserve">0270, 0456, 0460). </w:t>
      </w:r>
      <w:r>
        <w:rPr>
          <w:rFonts w:ascii="Times New Roman" w:eastAsia="Times New Roman" w:hAnsi="Times New Roman"/>
          <w:sz w:val="24"/>
        </w:rPr>
        <w:t>One</w:t>
      </w:r>
      <w:r w:rsidRPr="006F68E9">
        <w:rPr>
          <w:rFonts w:ascii="Times New Roman" w:eastAsia="Times New Roman" w:hAnsi="Times New Roman"/>
          <w:sz w:val="24"/>
        </w:rPr>
        <w:t xml:space="preserve"> </w:t>
      </w:r>
      <w:r>
        <w:rPr>
          <w:rFonts w:ascii="Times New Roman" w:eastAsia="Times New Roman" w:hAnsi="Times New Roman"/>
          <w:sz w:val="24"/>
        </w:rPr>
        <w:t xml:space="preserve">commenter noted that </w:t>
      </w:r>
      <w:r w:rsidRPr="006F68E9">
        <w:rPr>
          <w:rFonts w:ascii="Times New Roman" w:eastAsia="Times New Roman" w:hAnsi="Times New Roman"/>
          <w:sz w:val="24"/>
        </w:rPr>
        <w:t>the last update to the chemical list and thresholds occurred in 1994</w:t>
      </w:r>
      <w:r>
        <w:rPr>
          <w:rFonts w:ascii="Times New Roman" w:eastAsia="Times New Roman" w:hAnsi="Times New Roman"/>
          <w:sz w:val="24"/>
        </w:rPr>
        <w:t xml:space="preserve"> and stated that </w:t>
      </w:r>
      <w:r w:rsidRPr="006F68E9">
        <w:rPr>
          <w:rFonts w:ascii="Times New Roman" w:eastAsia="Times New Roman" w:hAnsi="Times New Roman"/>
          <w:sz w:val="24"/>
        </w:rPr>
        <w:t xml:space="preserve">high thresholds present a loophole that exempt some facilities which have been a source of </w:t>
      </w:r>
      <w:r>
        <w:rPr>
          <w:rFonts w:ascii="Times New Roman" w:eastAsia="Times New Roman" w:hAnsi="Times New Roman"/>
          <w:sz w:val="24"/>
        </w:rPr>
        <w:t>accidents (0460).</w:t>
      </w:r>
    </w:p>
    <w:p w:rsidR="008E589C" w:rsidRPr="006F68E9" w:rsidP="008E589C" w14:paraId="50B6A8F2" w14:textId="77777777">
      <w:pPr>
        <w:rPr>
          <w:rFonts w:ascii="Times New Roman" w:hAnsi="Times New Roman"/>
          <w:sz w:val="24"/>
        </w:rPr>
      </w:pPr>
      <w:r w:rsidRPr="006F68E9">
        <w:rPr>
          <w:rFonts w:ascii="Times New Roman" w:hAnsi="Times New Roman"/>
          <w:sz w:val="24"/>
        </w:rPr>
        <w:t xml:space="preserve">One of the commenters provided detailed comments on how EPA may calculate such thresholds based on the model in New Jersey (0185). </w:t>
      </w:r>
    </w:p>
    <w:p w:rsidR="008E589C" w:rsidP="008E589C" w14:paraId="0A7C37D0" w14:textId="77777777">
      <w:pPr>
        <w:rPr>
          <w:rFonts w:ascii="Times New Roman" w:hAnsi="Times New Roman"/>
          <w:sz w:val="24"/>
        </w:rPr>
      </w:pPr>
      <w:r>
        <w:rPr>
          <w:rFonts w:ascii="Times New Roman" w:hAnsi="Times New Roman"/>
          <w:sz w:val="24"/>
        </w:rPr>
        <w:t>One</w:t>
      </w:r>
      <w:r w:rsidRPr="00320FBB">
        <w:rPr>
          <w:rFonts w:ascii="Times New Roman" w:hAnsi="Times New Roman"/>
          <w:sz w:val="24"/>
        </w:rPr>
        <w:t xml:space="preserve"> commenter suggested that EPA lower the threshold quantity for regulated hazardous chemicals, as is the case in other jurisdictions. The commenter provided an example of an explosive incident involving hydrogen sulfide and methyl mercaptan, but where the facility was not regulated because it used these chemicals below the 10,000 lb. threshold. The commenter added that EPA’s threshold level for ammonia is also higher than in other jurisdictions, such as California and New Jersey (0456).</w:t>
      </w:r>
    </w:p>
    <w:p w:rsidR="008E589C" w:rsidP="008E589C" w14:paraId="5A75EF9E" w14:textId="77777777">
      <w:pPr>
        <w:rPr>
          <w:rFonts w:ascii="Times New Roman" w:hAnsi="Times New Roman"/>
          <w:sz w:val="24"/>
        </w:rPr>
      </w:pPr>
      <w:r w:rsidRPr="001F48CF">
        <w:rPr>
          <w:rFonts w:ascii="Times New Roman" w:hAnsi="Times New Roman"/>
          <w:sz w:val="24"/>
        </w:rPr>
        <w:t xml:space="preserve">Another commenter stated that EPA should review the list of regulated substances’ existing thresholds, along with other jurisdictions’ regulated threshold quantities and reduce the federal RMP threshold quantities accordingly. The commenter cited the Packaging Corporate of America Explosion as an example where the high threshold concentrations can present danger. The commenter </w:t>
      </w:r>
      <w:r>
        <w:rPr>
          <w:rFonts w:ascii="Times New Roman" w:hAnsi="Times New Roman"/>
          <w:sz w:val="24"/>
        </w:rPr>
        <w:t>stated</w:t>
      </w:r>
      <w:r w:rsidRPr="001F48CF">
        <w:rPr>
          <w:rFonts w:ascii="Times New Roman" w:hAnsi="Times New Roman"/>
          <w:sz w:val="24"/>
        </w:rPr>
        <w:t xml:space="preserve"> that in this example, the processes that used hydrogen sulfide and methyl </w:t>
      </w:r>
      <w:r w:rsidRPr="001F48CF">
        <w:rPr>
          <w:rFonts w:ascii="Times New Roman" w:hAnsi="Times New Roman"/>
          <w:sz w:val="24"/>
        </w:rPr>
        <w:t>mercaptan were not regulated under the RMP because they were at a lower threshold than the regulated threshold</w:t>
      </w:r>
      <w:r>
        <w:rPr>
          <w:rFonts w:ascii="Times New Roman" w:hAnsi="Times New Roman"/>
          <w:sz w:val="24"/>
        </w:rPr>
        <w:t>,</w:t>
      </w:r>
      <w:r w:rsidRPr="001F48CF">
        <w:rPr>
          <w:rFonts w:ascii="Times New Roman" w:hAnsi="Times New Roman"/>
          <w:sz w:val="24"/>
        </w:rPr>
        <w:t xml:space="preserve"> but there was still an explosion that led to three deaths and seven injuries. The commenter added EPA threshold quantity for anhydrous ammonia is 20,000</w:t>
      </w:r>
      <w:r>
        <w:rPr>
          <w:rFonts w:ascii="Times New Roman" w:hAnsi="Times New Roman"/>
          <w:sz w:val="24"/>
        </w:rPr>
        <w:t>,</w:t>
      </w:r>
      <w:r w:rsidRPr="001F48CF">
        <w:rPr>
          <w:rFonts w:ascii="Times New Roman" w:hAnsi="Times New Roman"/>
          <w:sz w:val="24"/>
        </w:rPr>
        <w:t xml:space="preserve"> but California and New Jersey specific rules cap allowable ammonia at 500 and 5,200 pounds, respectively (0460).</w:t>
      </w:r>
    </w:p>
    <w:p w:rsidR="00390C0E" w:rsidRPr="00555907" w:rsidP="00390C0E" w14:paraId="2318FD62" w14:textId="652EDA62">
      <w:pPr>
        <w:rPr>
          <w:rFonts w:ascii="Times New Roman" w:hAnsi="Times New Roman"/>
          <w:sz w:val="24"/>
        </w:rPr>
      </w:pPr>
      <w:r w:rsidRPr="00555907">
        <w:rPr>
          <w:rFonts w:ascii="Times New Roman" w:hAnsi="Times New Roman"/>
          <w:sz w:val="24"/>
        </w:rPr>
        <w:t>Several commenters pointed to past incidents that exemplify the need for listing additional substances in the RMP. The commenters provided examples of past incidents, which included those at T2 Laboratories in Jacksonville, FL in 2007; at Synthron in Morganton, NC in 2007; at MFG Chemical in Dalton, GA in 2004; at Bayer Crop Science in Institute in WV in 2008; in Beirut, Lebanon in 2020; at the Majestic Industries warehouse in Passaic, NJ (year not specified); at the Dow Bayport chemical plant in La Porte, TX (year not specified); at the Arkema plant in Crosby, TX (year not specified); at Winston Weaver in NC (year not specified); at BioLab in Westlake, LA (year not specified); at Chemtool in Rockton, IL (year not specified); at West Fertilizer in West, TX (year not specified); at First Chemical Corp. in Pascagoula, MS (year not specified); at Morton International in 1998 (location not specified); at Napp Technologies in 1995 (location not specified); at the Qualco chemical plant in 2022 (location not specified); an Airgas incident involving nitrous oxide (location nor year specified); at AB Specialty Silicones (location nor year specified); and for an ammonium nitrate incident (location nor year specified) (0185, 0240, 0255, 0270, 0276, 0456, 0460).</w:t>
      </w:r>
    </w:p>
    <w:p w:rsidR="00390C0E" w:rsidP="39FEC3B0" w14:paraId="10BD52C0" w14:textId="26FA74BE">
      <w:pPr>
        <w:rPr>
          <w:rFonts w:ascii="Times New Roman" w:hAnsi="Times New Roman"/>
          <w:sz w:val="24"/>
        </w:rPr>
      </w:pPr>
      <w:r w:rsidRPr="39FEC3B0">
        <w:rPr>
          <w:rFonts w:ascii="Times New Roman" w:hAnsi="Times New Roman"/>
          <w:sz w:val="24"/>
        </w:rPr>
        <w:t>A couple of commenters suggested EPA evaluate recent incidents and final investigation reports from the CSB to inform updates to the RMP (0456, 0460). One of the commenters suggested the NRC as another source of incident reports (0460).</w:t>
      </w:r>
    </w:p>
    <w:p w:rsidR="008E589C" w:rsidRPr="006F68E9" w:rsidP="008E589C" w14:paraId="750874C6" w14:textId="34416B1A">
      <w:pPr>
        <w:rPr>
          <w:rFonts w:ascii="Times New Roman" w:hAnsi="Times New Roman"/>
          <w:sz w:val="24"/>
        </w:rPr>
      </w:pPr>
      <w:r>
        <w:rPr>
          <w:rFonts w:ascii="Times New Roman" w:hAnsi="Times New Roman"/>
          <w:sz w:val="24"/>
        </w:rPr>
        <w:t>Two commenters recommended that EPA include the list of air contaminants in the</w:t>
      </w:r>
      <w:r w:rsidRPr="006F68E9">
        <w:rPr>
          <w:rFonts w:ascii="Times New Roman" w:hAnsi="Times New Roman"/>
          <w:sz w:val="24"/>
        </w:rPr>
        <w:t xml:space="preserve"> the OSHA PSM standard in the RMP. The commenter</w:t>
      </w:r>
      <w:r>
        <w:rPr>
          <w:rFonts w:ascii="Times New Roman" w:hAnsi="Times New Roman"/>
          <w:sz w:val="24"/>
        </w:rPr>
        <w:t>s</w:t>
      </w:r>
      <w:r w:rsidRPr="006F68E9">
        <w:rPr>
          <w:rFonts w:ascii="Times New Roman" w:hAnsi="Times New Roman"/>
          <w:sz w:val="24"/>
        </w:rPr>
        <w:t xml:space="preserve"> suggested that unifying the list of hazardous chemicals under the PSM and RMP would provide clarity and consistency in regulations as well as protect communities outside of the fenceline (0460</w:t>
      </w:r>
      <w:r>
        <w:rPr>
          <w:rFonts w:ascii="Times New Roman" w:hAnsi="Times New Roman"/>
          <w:sz w:val="24"/>
        </w:rPr>
        <w:t xml:space="preserve">, </w:t>
      </w:r>
      <w:r w:rsidRPr="006F68E9">
        <w:rPr>
          <w:rFonts w:ascii="Times New Roman" w:hAnsi="Times New Roman"/>
          <w:sz w:val="24"/>
        </w:rPr>
        <w:t>0456).</w:t>
      </w:r>
      <w:r>
        <w:rPr>
          <w:rFonts w:ascii="Times New Roman" w:hAnsi="Times New Roman"/>
          <w:sz w:val="24"/>
        </w:rPr>
        <w:t xml:space="preserve"> </w:t>
      </w:r>
    </w:p>
    <w:p w:rsidR="008E589C" w:rsidRPr="006F68E9" w:rsidP="008E589C" w14:paraId="74D043C5" w14:textId="534E62AF">
      <w:pPr>
        <w:rPr>
          <w:rFonts w:ascii="Times New Roman" w:hAnsi="Times New Roman"/>
          <w:sz w:val="24"/>
        </w:rPr>
      </w:pPr>
      <w:r w:rsidRPr="006F68E9">
        <w:rPr>
          <w:rFonts w:ascii="Times New Roman" w:hAnsi="Times New Roman"/>
          <w:sz w:val="24"/>
        </w:rPr>
        <w:t xml:space="preserve">Some commenters suggested several other resources for EPA to consider when updating the RMP list. One commenter suggested that EPA reference the DOT Hazardous Materials Table at 49 CFR Part 172 (0185). </w:t>
      </w:r>
      <w:r>
        <w:rPr>
          <w:rFonts w:ascii="Times New Roman" w:hAnsi="Times New Roman"/>
          <w:sz w:val="24"/>
        </w:rPr>
        <w:t xml:space="preserve">Two </w:t>
      </w:r>
      <w:r w:rsidRPr="006F68E9">
        <w:rPr>
          <w:rFonts w:ascii="Times New Roman" w:hAnsi="Times New Roman"/>
          <w:sz w:val="24"/>
        </w:rPr>
        <w:t>commenter</w:t>
      </w:r>
      <w:r>
        <w:rPr>
          <w:rFonts w:ascii="Times New Roman" w:hAnsi="Times New Roman"/>
          <w:sz w:val="24"/>
        </w:rPr>
        <w:t>s</w:t>
      </w:r>
      <w:r w:rsidRPr="006F68E9">
        <w:rPr>
          <w:rFonts w:ascii="Times New Roman" w:hAnsi="Times New Roman"/>
          <w:sz w:val="24"/>
        </w:rPr>
        <w:t xml:space="preserve"> referenced actions in California as model for the RMP</w:t>
      </w:r>
      <w:r>
        <w:rPr>
          <w:rFonts w:ascii="Times New Roman" w:hAnsi="Times New Roman"/>
          <w:sz w:val="24"/>
        </w:rPr>
        <w:t xml:space="preserve">, including </w:t>
      </w:r>
      <w:r w:rsidRPr="006F68E9">
        <w:rPr>
          <w:rFonts w:ascii="Times New Roman" w:hAnsi="Times New Roman"/>
          <w:sz w:val="24"/>
        </w:rPr>
        <w:t>CalARP and local ordinances (</w:t>
      </w:r>
      <w:r>
        <w:rPr>
          <w:rFonts w:ascii="Times New Roman" w:hAnsi="Times New Roman"/>
          <w:sz w:val="24"/>
        </w:rPr>
        <w:t xml:space="preserve">0456, </w:t>
      </w:r>
      <w:r w:rsidRPr="006F68E9">
        <w:rPr>
          <w:rFonts w:ascii="Times New Roman" w:hAnsi="Times New Roman"/>
          <w:sz w:val="24"/>
        </w:rPr>
        <w:t xml:space="preserve">0460). A couple of commenters mentioned the EPCRA list from 40 CFR Part 355, which establishes emergency response planning requirements for facilities that store or use extremely hazardous substances (0240, </w:t>
      </w:r>
      <w:r>
        <w:rPr>
          <w:rFonts w:ascii="Times New Roman" w:hAnsi="Times New Roman"/>
          <w:sz w:val="24"/>
        </w:rPr>
        <w:t xml:space="preserve">0456, </w:t>
      </w:r>
      <w:r w:rsidRPr="006F68E9">
        <w:rPr>
          <w:rFonts w:ascii="Times New Roman" w:hAnsi="Times New Roman"/>
          <w:sz w:val="24"/>
        </w:rPr>
        <w:t xml:space="preserve">0460). </w:t>
      </w:r>
      <w:r>
        <w:rPr>
          <w:rFonts w:ascii="Times New Roman" w:hAnsi="Times New Roman"/>
          <w:sz w:val="24"/>
        </w:rPr>
        <w:t>Two</w:t>
      </w:r>
      <w:r w:rsidRPr="006F68E9">
        <w:rPr>
          <w:rFonts w:ascii="Times New Roman" w:hAnsi="Times New Roman"/>
          <w:sz w:val="24"/>
        </w:rPr>
        <w:t xml:space="preserve"> commenter</w:t>
      </w:r>
      <w:r>
        <w:rPr>
          <w:rFonts w:ascii="Times New Roman" w:hAnsi="Times New Roman"/>
          <w:sz w:val="24"/>
        </w:rPr>
        <w:t>s</w:t>
      </w:r>
      <w:r w:rsidRPr="006F68E9">
        <w:rPr>
          <w:rFonts w:ascii="Times New Roman" w:hAnsi="Times New Roman"/>
          <w:sz w:val="24"/>
        </w:rPr>
        <w:t xml:space="preserve"> </w:t>
      </w:r>
      <w:r>
        <w:rPr>
          <w:rFonts w:ascii="Times New Roman" w:hAnsi="Times New Roman"/>
          <w:sz w:val="24"/>
        </w:rPr>
        <w:t>noted</w:t>
      </w:r>
      <w:r w:rsidRPr="006F68E9">
        <w:rPr>
          <w:rFonts w:ascii="Times New Roman" w:hAnsi="Times New Roman"/>
          <w:sz w:val="24"/>
        </w:rPr>
        <w:t xml:space="preserve"> that California has adopted the EPCRA list by reference (</w:t>
      </w:r>
      <w:r>
        <w:rPr>
          <w:rFonts w:ascii="Times New Roman" w:hAnsi="Times New Roman"/>
          <w:sz w:val="24"/>
        </w:rPr>
        <w:t xml:space="preserve">0456, </w:t>
      </w:r>
      <w:r w:rsidRPr="006F68E9">
        <w:rPr>
          <w:rFonts w:ascii="Times New Roman" w:hAnsi="Times New Roman"/>
          <w:sz w:val="24"/>
        </w:rPr>
        <w:t xml:space="preserve">0460). </w:t>
      </w:r>
      <w:r>
        <w:rPr>
          <w:rFonts w:ascii="Times New Roman" w:hAnsi="Times New Roman"/>
          <w:sz w:val="24"/>
        </w:rPr>
        <w:t xml:space="preserve">One </w:t>
      </w:r>
      <w:r w:rsidRPr="006F68E9">
        <w:rPr>
          <w:rFonts w:ascii="Times New Roman" w:hAnsi="Times New Roman"/>
          <w:sz w:val="24"/>
        </w:rPr>
        <w:t>commenter added that California rules also regulate</w:t>
      </w:r>
      <w:r>
        <w:rPr>
          <w:rFonts w:ascii="Times New Roman" w:hAnsi="Times New Roman"/>
          <w:sz w:val="24"/>
        </w:rPr>
        <w:t xml:space="preserve"> </w:t>
      </w:r>
      <w:r w:rsidRPr="006F68E9">
        <w:rPr>
          <w:rFonts w:ascii="Times New Roman" w:hAnsi="Times New Roman"/>
          <w:sz w:val="24"/>
        </w:rPr>
        <w:t xml:space="preserve">MCMT and sulfuric acid, </w:t>
      </w:r>
      <w:r>
        <w:rPr>
          <w:rFonts w:ascii="Times New Roman" w:hAnsi="Times New Roman"/>
          <w:sz w:val="24"/>
        </w:rPr>
        <w:t xml:space="preserve">which </w:t>
      </w:r>
      <w:r w:rsidRPr="006F68E9">
        <w:rPr>
          <w:rFonts w:ascii="Times New Roman" w:hAnsi="Times New Roman"/>
          <w:sz w:val="24"/>
        </w:rPr>
        <w:t>are not covered under EPA RMP rule but have caused incidents</w:t>
      </w:r>
      <w:r>
        <w:rPr>
          <w:rFonts w:ascii="Times New Roman" w:hAnsi="Times New Roman"/>
          <w:sz w:val="24"/>
        </w:rPr>
        <w:t xml:space="preserve"> (0456)</w:t>
      </w:r>
      <w:r w:rsidRPr="006F68E9">
        <w:rPr>
          <w:rFonts w:ascii="Times New Roman" w:hAnsi="Times New Roman"/>
          <w:sz w:val="24"/>
        </w:rPr>
        <w:t>.</w:t>
      </w:r>
      <w:r>
        <w:rPr>
          <w:rFonts w:ascii="Times New Roman" w:hAnsi="Times New Roman"/>
          <w:sz w:val="24"/>
        </w:rPr>
        <w:t xml:space="preserve"> </w:t>
      </w:r>
      <w:r w:rsidRPr="006F68E9">
        <w:rPr>
          <w:rFonts w:ascii="Times New Roman" w:hAnsi="Times New Roman"/>
          <w:sz w:val="24"/>
        </w:rPr>
        <w:t>Another commenter mentioned CERCLA and § 112(r) of the CAA (0240).</w:t>
      </w:r>
    </w:p>
    <w:p w:rsidR="008E589C" w:rsidRPr="005A509B" w:rsidP="008E589C" w14:paraId="640DF5FD" w14:textId="26FA74BE">
      <w:pPr>
        <w:ind w:left="720"/>
        <w:rPr>
          <w:rFonts w:ascii="Times New Roman" w:hAnsi="Times New Roman"/>
          <w:b/>
          <w:bCs/>
          <w:sz w:val="24"/>
        </w:rPr>
      </w:pPr>
      <w:r>
        <w:rPr>
          <w:rFonts w:ascii="Times New Roman" w:hAnsi="Times New Roman"/>
          <w:b/>
          <w:bCs/>
          <w:sz w:val="24"/>
        </w:rPr>
        <w:t xml:space="preserve">EPA Response: </w:t>
      </w:r>
      <w:r w:rsidRPr="007777B1">
        <w:rPr>
          <w:rFonts w:ascii="Times New Roman" w:hAnsi="Times New Roman"/>
          <w:sz w:val="24"/>
        </w:rPr>
        <w:t xml:space="preserve">EPA </w:t>
      </w:r>
      <w:r w:rsidRPr="00A11AC7" w:rsidR="00587A59">
        <w:rPr>
          <w:rFonts w:ascii="Times New Roman" w:hAnsi="Times New Roman"/>
          <w:sz w:val="24"/>
        </w:rPr>
        <w:t xml:space="preserve">acknowledges the need for reviewing the list of RMP-regulated substances. </w:t>
      </w:r>
      <w:r w:rsidRPr="007777B1">
        <w:rPr>
          <w:rFonts w:ascii="Times New Roman" w:hAnsi="Times New Roman"/>
          <w:sz w:val="24"/>
        </w:rPr>
        <w:t>EPA will consider these comments when determining whether to propose revisions to the list of substances.</w:t>
      </w:r>
    </w:p>
    <w:p w:rsidR="008E589C" w:rsidRPr="006F68E9" w:rsidP="006E51FD" w14:paraId="7C53EFE8" w14:textId="77777777">
      <w:pPr>
        <w:pStyle w:val="Heading2"/>
        <w:tabs>
          <w:tab w:val="clear" w:pos="8684"/>
        </w:tabs>
        <w:spacing w:before="120"/>
        <w:rPr>
          <w:rFonts w:ascii="Times New Roman" w:hAnsi="Times New Roman" w:cs="Times New Roman"/>
          <w:b/>
          <w:bCs/>
          <w:color w:val="auto"/>
          <w:sz w:val="24"/>
          <w:szCs w:val="24"/>
        </w:rPr>
      </w:pPr>
      <w:bookmarkStart w:id="226" w:name="_Toc146880070"/>
      <w:bookmarkStart w:id="227" w:name="_Toc153373856"/>
      <w:r w:rsidRPr="006F68E9">
        <w:rPr>
          <w:rFonts w:ascii="Times New Roman" w:hAnsi="Times New Roman" w:cs="Times New Roman"/>
          <w:b/>
          <w:bCs/>
          <w:color w:val="auto"/>
          <w:sz w:val="24"/>
          <w:szCs w:val="24"/>
        </w:rPr>
        <w:t>How should EPA prioritize listing new substances?</w:t>
      </w:r>
      <w:bookmarkEnd w:id="226"/>
      <w:bookmarkEnd w:id="227"/>
    </w:p>
    <w:p w:rsidR="008E589C" w:rsidRPr="006F68E9" w:rsidP="008E589C" w14:paraId="3B278773" w14:textId="347F96C3">
      <w:pPr>
        <w:rPr>
          <w:rFonts w:ascii="Times New Roman" w:hAnsi="Times New Roman"/>
          <w:sz w:val="24"/>
        </w:rPr>
      </w:pPr>
      <w:r>
        <w:rPr>
          <w:rFonts w:ascii="Times New Roman" w:hAnsi="Times New Roman"/>
          <w:b/>
          <w:bCs/>
          <w:sz w:val="24"/>
        </w:rPr>
        <w:t>Comment 1</w:t>
      </w:r>
      <w:r w:rsidR="00681040">
        <w:rPr>
          <w:rFonts w:ascii="Times New Roman" w:hAnsi="Times New Roman"/>
          <w:b/>
          <w:bCs/>
          <w:sz w:val="24"/>
        </w:rPr>
        <w:t>9</w:t>
      </w:r>
      <w:r>
        <w:rPr>
          <w:rFonts w:ascii="Times New Roman" w:hAnsi="Times New Roman"/>
          <w:b/>
          <w:bCs/>
          <w:sz w:val="24"/>
        </w:rPr>
        <w:t xml:space="preserve">.3-01: </w:t>
      </w: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if EPA were to consider listing AN, in particular, EPA must develop a robust technical and definitional basis to do so, and requested that that EPA establish a Federal advisory committee under the Federal Advisory Committee Act to facilitate </w:t>
      </w:r>
      <w:r w:rsidRPr="006F68E9">
        <w:rPr>
          <w:rFonts w:ascii="Times New Roman" w:hAnsi="Times New Roman"/>
          <w:sz w:val="24"/>
        </w:rPr>
        <w:t xml:space="preserve">industry stakeholder input regarding the scientific and technical issues associated with such a proposal (0229). </w:t>
      </w:r>
    </w:p>
    <w:p w:rsidR="008E589C" w:rsidRPr="00681634" w:rsidP="008E589C" w14:paraId="76841D77" w14:textId="49CED8D4">
      <w:pPr>
        <w:ind w:left="720"/>
        <w:rPr>
          <w:rFonts w:ascii="Times New Roman" w:hAnsi="Times New Roman"/>
          <w:b/>
          <w:bCs/>
          <w:sz w:val="24"/>
        </w:rPr>
      </w:pPr>
      <w:r>
        <w:rPr>
          <w:rFonts w:ascii="Times New Roman" w:hAnsi="Times New Roman"/>
          <w:b/>
          <w:bCs/>
          <w:sz w:val="24"/>
        </w:rPr>
        <w:t xml:space="preserve">EPA Response: </w:t>
      </w:r>
      <w:r w:rsidRPr="007777B1">
        <w:rPr>
          <w:rFonts w:ascii="Times New Roman" w:hAnsi="Times New Roman"/>
          <w:sz w:val="24"/>
        </w:rPr>
        <w:t xml:space="preserve">EPA </w:t>
      </w:r>
      <w:r w:rsidRPr="00A11AC7" w:rsidR="00587A59">
        <w:rPr>
          <w:rFonts w:ascii="Times New Roman" w:hAnsi="Times New Roman"/>
          <w:sz w:val="24"/>
        </w:rPr>
        <w:t xml:space="preserve">acknowledges the need for reviewing the list of RMP-regulated substances. </w:t>
      </w:r>
      <w:r w:rsidRPr="007777B1">
        <w:rPr>
          <w:rFonts w:ascii="Times New Roman" w:hAnsi="Times New Roman"/>
          <w:sz w:val="24"/>
        </w:rPr>
        <w:t>EPA will consider these comments when determining whether to propose revisions to the list of substances.</w:t>
      </w:r>
    </w:p>
    <w:p w:rsidR="008E589C" w:rsidRPr="006F68E9" w:rsidP="008E589C" w14:paraId="456B6481" w14:textId="77777777">
      <w:pPr>
        <w:rPr>
          <w:rFonts w:ascii="Times New Roman" w:hAnsi="Times New Roman"/>
          <w:sz w:val="24"/>
        </w:rPr>
      </w:pPr>
    </w:p>
    <w:p w:rsidR="008E589C" w:rsidRPr="006F68E9" w:rsidP="00E2164B" w14:paraId="1FF2262C" w14:textId="6CAA3C6E">
      <w:pPr>
        <w:pStyle w:val="Heading1"/>
        <w:spacing w:before="120"/>
      </w:pPr>
      <w:bookmarkStart w:id="228" w:name="_Toc146880071"/>
      <w:bookmarkStart w:id="229" w:name="_Toc153373857"/>
      <w:r w:rsidRPr="6D3F9CC5">
        <w:t>Other topics related to the Technical Background Document Content</w:t>
      </w:r>
      <w:bookmarkEnd w:id="228"/>
      <w:bookmarkEnd w:id="229"/>
    </w:p>
    <w:p w:rsidR="00DF6B7D" w:rsidRPr="0060494B" w:rsidP="00DF6B7D" w14:paraId="4F41B49D" w14:textId="77777777">
      <w:pPr>
        <w:rPr>
          <w:rFonts w:ascii="Times New Roman" w:hAnsi="Times New Roman"/>
          <w:sz w:val="24"/>
        </w:rPr>
      </w:pPr>
      <w:r w:rsidRPr="0060494B">
        <w:rPr>
          <w:rFonts w:ascii="Times New Roman" w:hAnsi="Times New Roman"/>
          <w:i/>
          <w:sz w:val="24"/>
        </w:rPr>
        <w:t xml:space="preserve">No comments were </w:t>
      </w:r>
      <w:r w:rsidRPr="0060494B">
        <w:rPr>
          <w:rFonts w:ascii="Times New Roman" w:hAnsi="Times New Roman"/>
          <w:i/>
          <w:iCs/>
          <w:sz w:val="24"/>
        </w:rPr>
        <w:t>recorded for this section</w:t>
      </w:r>
      <w:r>
        <w:rPr>
          <w:rFonts w:ascii="Times New Roman" w:hAnsi="Times New Roman"/>
          <w:sz w:val="24"/>
        </w:rPr>
        <w:t>.</w:t>
      </w:r>
    </w:p>
    <w:p w:rsidR="00E2164B" w:rsidRPr="0060494B" w:rsidP="00DF6B7D" w14:paraId="10DE87F9" w14:textId="77777777">
      <w:pPr>
        <w:rPr>
          <w:rFonts w:ascii="Times New Roman" w:hAnsi="Times New Roman"/>
          <w:sz w:val="24"/>
        </w:rPr>
      </w:pPr>
    </w:p>
    <w:p w:rsidR="009C5D68" w:rsidRPr="006F68E9" w:rsidP="00E2164B" w14:paraId="6E4CA148" w14:textId="77777777">
      <w:pPr>
        <w:pStyle w:val="Heading1"/>
        <w:spacing w:before="120"/>
      </w:pPr>
      <w:bookmarkStart w:id="230" w:name="_Toc146880072"/>
      <w:bookmarkStart w:id="231" w:name="_Toc153373858"/>
      <w:r w:rsidRPr="6D3F9CC5">
        <w:t>Statutory and Executive Orders Reviews</w:t>
      </w:r>
      <w:bookmarkEnd w:id="230"/>
      <w:bookmarkEnd w:id="231"/>
    </w:p>
    <w:p w:rsidR="009C5D68" w:rsidRPr="006F68E9" w:rsidP="00E2164B" w14:paraId="0CD44AF5" w14:textId="77777777">
      <w:pPr>
        <w:pStyle w:val="Heading2"/>
        <w:tabs>
          <w:tab w:val="clear" w:pos="8684"/>
        </w:tabs>
        <w:spacing w:before="120"/>
        <w:rPr>
          <w:rFonts w:ascii="Times New Roman" w:hAnsi="Times New Roman" w:cs="Times New Roman"/>
          <w:b/>
          <w:bCs/>
          <w:color w:val="auto"/>
          <w:sz w:val="24"/>
          <w:szCs w:val="24"/>
        </w:rPr>
      </w:pPr>
      <w:bookmarkStart w:id="232" w:name="_Toc146880073"/>
      <w:bookmarkStart w:id="233" w:name="_Toc153373859"/>
      <w:r w:rsidRPr="006F68E9">
        <w:rPr>
          <w:rFonts w:ascii="Times New Roman" w:hAnsi="Times New Roman" w:cs="Times New Roman"/>
          <w:b/>
          <w:bCs/>
          <w:color w:val="auto"/>
          <w:sz w:val="24"/>
          <w:szCs w:val="24"/>
        </w:rPr>
        <w:t>Executive Order 12866: Regulatory Planning and Review and Executive Order 13563: Improving Regulation and Regulatory Review</w:t>
      </w:r>
      <w:bookmarkEnd w:id="232"/>
      <w:bookmarkEnd w:id="233"/>
    </w:p>
    <w:p w:rsidR="009C5D68" w:rsidRPr="006F68E9" w:rsidP="009C5D68" w14:paraId="474C5FF6" w14:textId="517CCD27">
      <w:pPr>
        <w:rPr>
          <w:rFonts w:ascii="Times New Roman" w:hAnsi="Times New Roman"/>
          <w:sz w:val="24"/>
        </w:rPr>
      </w:pPr>
      <w:r w:rsidRPr="00743CA6">
        <w:rPr>
          <w:rFonts w:ascii="Times New Roman" w:hAnsi="Times New Roman"/>
          <w:b/>
          <w:bCs/>
          <w:sz w:val="24"/>
        </w:rPr>
        <w:t>Comment</w:t>
      </w:r>
      <w:r>
        <w:rPr>
          <w:rFonts w:ascii="Times New Roman" w:hAnsi="Times New Roman"/>
          <w:b/>
          <w:bCs/>
          <w:sz w:val="24"/>
        </w:rPr>
        <w:t xml:space="preserve"> 2</w:t>
      </w:r>
      <w:r w:rsidR="00D76886">
        <w:rPr>
          <w:rFonts w:ascii="Times New Roman" w:hAnsi="Times New Roman"/>
          <w:b/>
          <w:bCs/>
          <w:sz w:val="24"/>
        </w:rPr>
        <w:t>1</w:t>
      </w:r>
      <w:r>
        <w:rPr>
          <w:rFonts w:ascii="Times New Roman" w:hAnsi="Times New Roman"/>
          <w:b/>
          <w:bCs/>
          <w:sz w:val="24"/>
        </w:rPr>
        <w:t>.1-01</w:t>
      </w:r>
      <w:r w:rsidRPr="00743CA6">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expressed concern that the </w:t>
      </w:r>
      <w:r>
        <w:rPr>
          <w:rFonts w:ascii="Times New Roman" w:hAnsi="Times New Roman"/>
          <w:sz w:val="24"/>
        </w:rPr>
        <w:t>proposed rule</w:t>
      </w:r>
      <w:r w:rsidRPr="006F68E9">
        <w:rPr>
          <w:rFonts w:ascii="Times New Roman" w:hAnsi="Times New Roman"/>
          <w:sz w:val="24"/>
        </w:rPr>
        <w:t xml:space="preserve"> does not meet the goal stated in EO 13563 Section 1. General Principles of Regulation (0227):</w:t>
      </w:r>
    </w:p>
    <w:p w:rsidR="009C5D68" w:rsidRPr="006F68E9" w:rsidP="009C5D68" w14:paraId="580A3ABB" w14:textId="77777777">
      <w:pPr>
        <w:ind w:left="720"/>
        <w:rPr>
          <w:rFonts w:ascii="Times New Roman" w:hAnsi="Times New Roman"/>
          <w:sz w:val="24"/>
        </w:rPr>
      </w:pPr>
      <w:r w:rsidRPr="006F68E9">
        <w:rPr>
          <w:rFonts w:ascii="Times New Roman" w:hAnsi="Times New Roman"/>
          <w:sz w:val="24"/>
        </w:rPr>
        <w:t xml:space="preserve">(a) Our regulatory system must protect public health, welfare, safety, and our environment while promoting economic growth, innovation, competitiveness, and job creation. It must be based on the best available science. It must allow for public participation and an open exchange of ideas. It must promote predictability and reduce uncertainty. It must identify and use the best, most innovative, and least burdensome tools for achieving regulatory ends. It must consider benefits and costs, both quantitative and qualitative. It must ensure that regulations are accessible, consistent, written in plain language, and easy to understand. It must measure, and seek to improve, the actual results of regulatory requirements. </w:t>
      </w:r>
    </w:p>
    <w:p w:rsidR="00767D3F" w:rsidRPr="00767D3F" w:rsidP="00767D3F" w14:paraId="65DB3F2E" w14:textId="5DE3922B">
      <w:pPr>
        <w:ind w:left="720"/>
        <w:rPr>
          <w:rFonts w:ascii="Times New Roman" w:hAnsi="Times New Roman"/>
          <w:sz w:val="24"/>
        </w:rPr>
      </w:pPr>
      <w:r w:rsidRPr="00A70068">
        <w:rPr>
          <w:rFonts w:ascii="Times New Roman" w:hAnsi="Times New Roman"/>
          <w:b/>
          <w:bCs/>
          <w:sz w:val="24"/>
        </w:rPr>
        <w:t xml:space="preserve">EPA Response: </w:t>
      </w:r>
      <w:r w:rsidRPr="00A70068" w:rsidR="001B3209">
        <w:rPr>
          <w:rFonts w:ascii="Times New Roman" w:hAnsi="Times New Roman"/>
          <w:sz w:val="24"/>
        </w:rPr>
        <w:t xml:space="preserve">EPA </w:t>
      </w:r>
      <w:r w:rsidRPr="0085551D" w:rsidR="00B91E89">
        <w:rPr>
          <w:rFonts w:ascii="Times New Roman" w:hAnsi="Times New Roman"/>
          <w:sz w:val="24"/>
        </w:rPr>
        <w:t>believes that it does meet the goal state</w:t>
      </w:r>
      <w:r w:rsidR="00A13B36">
        <w:rPr>
          <w:rFonts w:ascii="Times New Roman" w:hAnsi="Times New Roman"/>
          <w:sz w:val="24"/>
        </w:rPr>
        <w:t>d</w:t>
      </w:r>
      <w:r w:rsidRPr="0085551D" w:rsidR="00B91E89">
        <w:rPr>
          <w:rFonts w:ascii="Times New Roman" w:hAnsi="Times New Roman"/>
          <w:sz w:val="24"/>
        </w:rPr>
        <w:t xml:space="preserve"> in </w:t>
      </w:r>
      <w:r w:rsidRPr="0085551D" w:rsidR="00604F1F">
        <w:rPr>
          <w:rFonts w:ascii="Times New Roman" w:hAnsi="Times New Roman"/>
          <w:sz w:val="24"/>
        </w:rPr>
        <w:t>EO</w:t>
      </w:r>
      <w:r w:rsidRPr="0085551D" w:rsidR="00B91E89">
        <w:rPr>
          <w:rFonts w:ascii="Times New Roman" w:hAnsi="Times New Roman"/>
          <w:sz w:val="24"/>
        </w:rPr>
        <w:t xml:space="preserve"> 1</w:t>
      </w:r>
      <w:r w:rsidRPr="0085551D" w:rsidR="007B2E2C">
        <w:rPr>
          <w:rFonts w:ascii="Times New Roman" w:hAnsi="Times New Roman"/>
          <w:sz w:val="24"/>
        </w:rPr>
        <w:t xml:space="preserve">3563. </w:t>
      </w:r>
      <w:r w:rsidR="00D914A9">
        <w:rPr>
          <w:rFonts w:ascii="Times New Roman" w:hAnsi="Times New Roman"/>
          <w:sz w:val="24"/>
        </w:rPr>
        <w:t>Because</w:t>
      </w:r>
      <w:r w:rsidRPr="00767D3F">
        <w:rPr>
          <w:rFonts w:ascii="Times New Roman" w:hAnsi="Times New Roman"/>
          <w:sz w:val="24"/>
        </w:rPr>
        <w:t xml:space="preserve"> major </w:t>
      </w:r>
      <w:r w:rsidR="00DC727F">
        <w:rPr>
          <w:rFonts w:ascii="Times New Roman" w:hAnsi="Times New Roman"/>
          <w:sz w:val="24"/>
        </w:rPr>
        <w:t xml:space="preserve">and other serious and concerning </w:t>
      </w:r>
      <w:r w:rsidRPr="00767D3F">
        <w:rPr>
          <w:rFonts w:ascii="Times New Roman" w:hAnsi="Times New Roman"/>
          <w:sz w:val="24"/>
        </w:rPr>
        <w:t>RMP accidents continue to occur, EPA believes that t</w:t>
      </w:r>
      <w:r>
        <w:rPr>
          <w:rFonts w:ascii="Times New Roman" w:hAnsi="Times New Roman"/>
          <w:sz w:val="24"/>
        </w:rPr>
        <w:t xml:space="preserve">he </w:t>
      </w:r>
      <w:r w:rsidRPr="00767D3F">
        <w:rPr>
          <w:rFonts w:ascii="Times New Roman" w:hAnsi="Times New Roman"/>
          <w:sz w:val="24"/>
        </w:rPr>
        <w:t xml:space="preserve">final </w:t>
      </w:r>
      <w:r>
        <w:rPr>
          <w:rFonts w:ascii="Times New Roman" w:hAnsi="Times New Roman"/>
          <w:sz w:val="24"/>
        </w:rPr>
        <w:t xml:space="preserve">SCCAP </w:t>
      </w:r>
      <w:r w:rsidRPr="00767D3F">
        <w:rPr>
          <w:rFonts w:ascii="Times New Roman" w:hAnsi="Times New Roman"/>
          <w:sz w:val="24"/>
        </w:rPr>
        <w:t xml:space="preserve">rule will </w:t>
      </w:r>
      <w:r w:rsidRPr="00767D3F">
        <w:rPr>
          <w:rFonts w:ascii="Times New Roman" w:hAnsi="Times New Roman"/>
          <w:sz w:val="24"/>
        </w:rPr>
        <w:t xml:space="preserve">help further protect human health and the environment from chemical hazards through advancement of process safety based on lessons learned. These amendments seek to improve chemical process safety; assist in planning, preparedness, and response to Risk Management Program-reportable accidents; and improve public awareness of chemical hazards at regulated sources. </w:t>
      </w:r>
    </w:p>
    <w:p w:rsidR="00205C74" w:rsidRPr="0085551D" w:rsidP="00205C74" w14:paraId="67633BEE" w14:textId="6A14CFDF">
      <w:pPr>
        <w:ind w:left="720"/>
        <w:rPr>
          <w:rFonts w:ascii="Times New Roman" w:hAnsi="Times New Roman"/>
          <w:sz w:val="24"/>
        </w:rPr>
      </w:pPr>
      <w:r w:rsidRPr="0085551D">
        <w:rPr>
          <w:rFonts w:ascii="Times New Roman" w:hAnsi="Times New Roman"/>
          <w:sz w:val="24"/>
        </w:rPr>
        <w:t>As discussed in the proposal, w</w:t>
      </w:r>
      <w:r w:rsidRPr="0085551D" w:rsidR="00604F1F">
        <w:rPr>
          <w:rFonts w:ascii="Times New Roman" w:hAnsi="Times New Roman"/>
          <w:sz w:val="24"/>
        </w:rPr>
        <w:t xml:space="preserve">hile </w:t>
      </w:r>
      <w:r w:rsidR="00725FC5">
        <w:rPr>
          <w:rFonts w:ascii="Times New Roman" w:hAnsi="Times New Roman"/>
          <w:sz w:val="24"/>
        </w:rPr>
        <w:t>EPA</w:t>
      </w:r>
      <w:r w:rsidRPr="0085551D" w:rsidR="00604F1F">
        <w:rPr>
          <w:rFonts w:ascii="Times New Roman" w:hAnsi="Times New Roman"/>
          <w:sz w:val="24"/>
        </w:rPr>
        <w:t xml:space="preserve"> was not required to </w:t>
      </w:r>
      <w:r w:rsidRPr="0085551D">
        <w:rPr>
          <w:rFonts w:ascii="Times New Roman" w:hAnsi="Times New Roman"/>
          <w:sz w:val="24"/>
        </w:rPr>
        <w:t>h</w:t>
      </w:r>
      <w:r w:rsidR="00F41996">
        <w:rPr>
          <w:rFonts w:ascii="Times New Roman" w:hAnsi="Times New Roman"/>
          <w:sz w:val="24"/>
        </w:rPr>
        <w:t>o</w:t>
      </w:r>
      <w:r w:rsidRPr="0085551D">
        <w:rPr>
          <w:rFonts w:ascii="Times New Roman" w:hAnsi="Times New Roman"/>
          <w:sz w:val="24"/>
        </w:rPr>
        <w:t>ld</w:t>
      </w:r>
      <w:r w:rsidRPr="0085551D" w:rsidR="00604F1F">
        <w:rPr>
          <w:rFonts w:ascii="Times New Roman" w:hAnsi="Times New Roman"/>
          <w:sz w:val="24"/>
        </w:rPr>
        <w:t xml:space="preserve"> </w:t>
      </w:r>
      <w:r w:rsidRPr="0085551D">
        <w:rPr>
          <w:rFonts w:ascii="Times New Roman" w:hAnsi="Times New Roman"/>
          <w:sz w:val="24"/>
        </w:rPr>
        <w:t>virtual public listening sessions</w:t>
      </w:r>
      <w:r w:rsidRPr="05515035" w:rsidR="17836B63">
        <w:rPr>
          <w:rFonts w:ascii="Times New Roman" w:hAnsi="Times New Roman"/>
          <w:sz w:val="24"/>
        </w:rPr>
        <w:t>,</w:t>
      </w:r>
      <w:r w:rsidRPr="0085551D">
        <w:rPr>
          <w:rFonts w:ascii="Times New Roman" w:hAnsi="Times New Roman"/>
          <w:sz w:val="24"/>
        </w:rPr>
        <w:t xml:space="preserve"> on June</w:t>
      </w:r>
      <w:r w:rsidRPr="0085551D" w:rsidR="00604F1F">
        <w:rPr>
          <w:rFonts w:ascii="Times New Roman" w:hAnsi="Times New Roman"/>
          <w:sz w:val="24"/>
        </w:rPr>
        <w:t xml:space="preserve"> </w:t>
      </w:r>
      <w:r w:rsidRPr="0085551D">
        <w:rPr>
          <w:rFonts w:ascii="Times New Roman" w:hAnsi="Times New Roman"/>
          <w:sz w:val="24"/>
        </w:rPr>
        <w:t xml:space="preserve">16 and July 8, 2021, </w:t>
      </w:r>
      <w:r w:rsidR="00C3146F">
        <w:rPr>
          <w:rFonts w:ascii="Times New Roman" w:hAnsi="Times New Roman"/>
          <w:sz w:val="24"/>
        </w:rPr>
        <w:t xml:space="preserve">the Agency did so </w:t>
      </w:r>
      <w:r w:rsidRPr="0085551D">
        <w:rPr>
          <w:rFonts w:ascii="Times New Roman" w:hAnsi="Times New Roman"/>
          <w:sz w:val="24"/>
        </w:rPr>
        <w:t>and had an open</w:t>
      </w:r>
      <w:r w:rsidRPr="0085551D" w:rsidR="00604F1F">
        <w:rPr>
          <w:rFonts w:ascii="Times New Roman" w:hAnsi="Times New Roman"/>
          <w:sz w:val="24"/>
        </w:rPr>
        <w:t xml:space="preserve"> </w:t>
      </w:r>
      <w:r w:rsidRPr="0085551D">
        <w:rPr>
          <w:rFonts w:ascii="Times New Roman" w:hAnsi="Times New Roman"/>
          <w:sz w:val="24"/>
        </w:rPr>
        <w:t>docket for public comment (86 FR</w:t>
      </w:r>
      <w:r w:rsidRPr="0085551D" w:rsidR="00604F1F">
        <w:rPr>
          <w:rFonts w:ascii="Times New Roman" w:hAnsi="Times New Roman"/>
          <w:sz w:val="24"/>
        </w:rPr>
        <w:t xml:space="preserve"> </w:t>
      </w:r>
      <w:r w:rsidRPr="0085551D">
        <w:rPr>
          <w:rFonts w:ascii="Times New Roman" w:hAnsi="Times New Roman"/>
          <w:sz w:val="24"/>
        </w:rPr>
        <w:t>28828; May 28, 2021). In the request for</w:t>
      </w:r>
      <w:r w:rsidRPr="0085551D" w:rsidR="00604F1F">
        <w:rPr>
          <w:rFonts w:ascii="Times New Roman" w:hAnsi="Times New Roman"/>
          <w:sz w:val="24"/>
        </w:rPr>
        <w:t xml:space="preserve"> </w:t>
      </w:r>
      <w:r w:rsidRPr="0085551D">
        <w:rPr>
          <w:rFonts w:ascii="Times New Roman" w:hAnsi="Times New Roman"/>
          <w:sz w:val="24"/>
        </w:rPr>
        <w:t>public comment, the Agency asked for</w:t>
      </w:r>
      <w:r w:rsidRPr="0085551D" w:rsidR="00604F1F">
        <w:rPr>
          <w:rFonts w:ascii="Times New Roman" w:hAnsi="Times New Roman"/>
          <w:sz w:val="24"/>
        </w:rPr>
        <w:t xml:space="preserve"> </w:t>
      </w:r>
      <w:r w:rsidRPr="0085551D">
        <w:rPr>
          <w:rFonts w:ascii="Times New Roman" w:hAnsi="Times New Roman"/>
          <w:sz w:val="24"/>
        </w:rPr>
        <w:t>information on the adequacy of</w:t>
      </w:r>
      <w:r w:rsidRPr="0085551D" w:rsidR="00604F1F">
        <w:rPr>
          <w:rFonts w:ascii="Times New Roman" w:hAnsi="Times New Roman"/>
          <w:sz w:val="24"/>
        </w:rPr>
        <w:t xml:space="preserve"> </w:t>
      </w:r>
      <w:r w:rsidRPr="0085551D">
        <w:rPr>
          <w:rFonts w:ascii="Times New Roman" w:hAnsi="Times New Roman"/>
          <w:sz w:val="24"/>
        </w:rPr>
        <w:t>revisions to the RMP regulations</w:t>
      </w:r>
      <w:r w:rsidRPr="0085551D" w:rsidR="00604F1F">
        <w:rPr>
          <w:rFonts w:ascii="Times New Roman" w:hAnsi="Times New Roman"/>
          <w:sz w:val="24"/>
        </w:rPr>
        <w:t xml:space="preserve"> </w:t>
      </w:r>
      <w:r w:rsidRPr="0085551D">
        <w:rPr>
          <w:rFonts w:ascii="Times New Roman" w:hAnsi="Times New Roman"/>
          <w:sz w:val="24"/>
        </w:rPr>
        <w:t>completed since 2017, incorporating</w:t>
      </w:r>
      <w:r w:rsidRPr="0085551D" w:rsidR="00604F1F">
        <w:rPr>
          <w:rFonts w:ascii="Times New Roman" w:hAnsi="Times New Roman"/>
          <w:sz w:val="24"/>
        </w:rPr>
        <w:t xml:space="preserve"> </w:t>
      </w:r>
      <w:r w:rsidRPr="0085551D">
        <w:rPr>
          <w:rFonts w:ascii="Times New Roman" w:hAnsi="Times New Roman"/>
          <w:sz w:val="24"/>
        </w:rPr>
        <w:t xml:space="preserve">consideration of climate </w:t>
      </w:r>
      <w:r w:rsidRPr="0085551D" w:rsidR="00604F1F">
        <w:rPr>
          <w:rFonts w:ascii="Times New Roman" w:hAnsi="Times New Roman"/>
          <w:sz w:val="24"/>
        </w:rPr>
        <w:t>c</w:t>
      </w:r>
      <w:r w:rsidRPr="0085551D">
        <w:rPr>
          <w:rFonts w:ascii="Times New Roman" w:hAnsi="Times New Roman"/>
          <w:sz w:val="24"/>
        </w:rPr>
        <w:t>hange risks</w:t>
      </w:r>
      <w:r w:rsidRPr="0085551D" w:rsidR="00604F1F">
        <w:rPr>
          <w:rFonts w:ascii="Times New Roman" w:hAnsi="Times New Roman"/>
          <w:sz w:val="24"/>
        </w:rPr>
        <w:t xml:space="preserve"> </w:t>
      </w:r>
      <w:r w:rsidRPr="0085551D">
        <w:rPr>
          <w:rFonts w:ascii="Times New Roman" w:hAnsi="Times New Roman"/>
          <w:sz w:val="24"/>
        </w:rPr>
        <w:t>and impacts into the regulations and</w:t>
      </w:r>
      <w:r w:rsidRPr="0085551D" w:rsidR="00604F1F">
        <w:rPr>
          <w:rFonts w:ascii="Times New Roman" w:hAnsi="Times New Roman"/>
          <w:sz w:val="24"/>
        </w:rPr>
        <w:t xml:space="preserve"> </w:t>
      </w:r>
      <w:r w:rsidRPr="0085551D">
        <w:rPr>
          <w:rFonts w:ascii="Times New Roman" w:hAnsi="Times New Roman"/>
          <w:sz w:val="24"/>
        </w:rPr>
        <w:t>expanding the application of EJ. EPA</w:t>
      </w:r>
      <w:r w:rsidRPr="0085551D" w:rsidR="00604F1F">
        <w:rPr>
          <w:rFonts w:ascii="Times New Roman" w:hAnsi="Times New Roman"/>
          <w:sz w:val="24"/>
        </w:rPr>
        <w:t xml:space="preserve"> </w:t>
      </w:r>
      <w:r w:rsidRPr="0085551D">
        <w:rPr>
          <w:rFonts w:ascii="Times New Roman" w:hAnsi="Times New Roman"/>
          <w:sz w:val="24"/>
        </w:rPr>
        <w:t>received a total of 27,828 public</w:t>
      </w:r>
      <w:r w:rsidRPr="0085551D" w:rsidR="00604F1F">
        <w:rPr>
          <w:rFonts w:ascii="Times New Roman" w:hAnsi="Times New Roman"/>
          <w:sz w:val="24"/>
        </w:rPr>
        <w:t xml:space="preserve"> </w:t>
      </w:r>
      <w:r w:rsidRPr="0085551D">
        <w:rPr>
          <w:rFonts w:ascii="Times New Roman" w:hAnsi="Times New Roman"/>
          <w:sz w:val="24"/>
        </w:rPr>
        <w:t>comments in response to the request for</w:t>
      </w:r>
      <w:r w:rsidRPr="0085551D" w:rsidR="00604F1F">
        <w:rPr>
          <w:rFonts w:ascii="Times New Roman" w:hAnsi="Times New Roman"/>
          <w:sz w:val="24"/>
        </w:rPr>
        <w:t xml:space="preserve"> </w:t>
      </w:r>
      <w:r w:rsidRPr="0085551D">
        <w:rPr>
          <w:rFonts w:ascii="Times New Roman" w:hAnsi="Times New Roman"/>
          <w:sz w:val="24"/>
        </w:rPr>
        <w:t>comments. This includes 27,720</w:t>
      </w:r>
      <w:r w:rsidRPr="0085551D" w:rsidR="00604F1F">
        <w:rPr>
          <w:rFonts w:ascii="Times New Roman" w:hAnsi="Times New Roman"/>
          <w:sz w:val="24"/>
        </w:rPr>
        <w:t xml:space="preserve"> </w:t>
      </w:r>
      <w:r w:rsidR="003B5232">
        <w:rPr>
          <w:rFonts w:ascii="Times New Roman" w:hAnsi="Times New Roman"/>
          <w:sz w:val="24"/>
        </w:rPr>
        <w:t>submitted to</w:t>
      </w:r>
      <w:r w:rsidRPr="0085551D">
        <w:rPr>
          <w:rFonts w:ascii="Times New Roman" w:hAnsi="Times New Roman"/>
          <w:sz w:val="24"/>
        </w:rPr>
        <w:t xml:space="preserve"> </w:t>
      </w:r>
      <w:r w:rsidRPr="0085551D">
        <w:rPr>
          <w:rFonts w:ascii="Times New Roman" w:hAnsi="Times New Roman"/>
          <w:i/>
          <w:iCs/>
          <w:sz w:val="24"/>
        </w:rPr>
        <w:t>regulations.gov</w:t>
      </w:r>
      <w:r w:rsidRPr="0085551D">
        <w:rPr>
          <w:rFonts w:ascii="Times New Roman" w:hAnsi="Times New Roman"/>
          <w:sz w:val="24"/>
        </w:rPr>
        <w:t>, 35</w:t>
      </w:r>
      <w:r w:rsidRPr="0085551D" w:rsidR="00604F1F">
        <w:rPr>
          <w:rFonts w:ascii="Times New Roman" w:hAnsi="Times New Roman"/>
          <w:sz w:val="24"/>
        </w:rPr>
        <w:t xml:space="preserve"> </w:t>
      </w:r>
      <w:r w:rsidRPr="0085551D">
        <w:rPr>
          <w:rFonts w:ascii="Times New Roman" w:hAnsi="Times New Roman"/>
          <w:sz w:val="24"/>
        </w:rPr>
        <w:t>provided during the listening session on</w:t>
      </w:r>
      <w:r w:rsidRPr="0085551D">
        <w:rPr>
          <w:rFonts w:ascii="Times New Roman" w:hAnsi="Times New Roman"/>
          <w:sz w:val="24"/>
        </w:rPr>
        <w:t xml:space="preserve"> </w:t>
      </w:r>
      <w:r w:rsidRPr="0085551D">
        <w:rPr>
          <w:rFonts w:ascii="Times New Roman" w:hAnsi="Times New Roman"/>
          <w:sz w:val="24"/>
        </w:rPr>
        <w:t>June 16, 2021, and 73 provided during</w:t>
      </w:r>
      <w:r w:rsidRPr="0085551D">
        <w:rPr>
          <w:rFonts w:ascii="Times New Roman" w:hAnsi="Times New Roman"/>
          <w:sz w:val="24"/>
        </w:rPr>
        <w:t xml:space="preserve"> </w:t>
      </w:r>
      <w:r w:rsidRPr="0085551D">
        <w:rPr>
          <w:rFonts w:ascii="Times New Roman" w:hAnsi="Times New Roman"/>
          <w:sz w:val="24"/>
        </w:rPr>
        <w:t>the listening session on July 8, 2021.</w:t>
      </w:r>
      <w:r w:rsidRPr="0085551D">
        <w:rPr>
          <w:rFonts w:ascii="Times New Roman" w:hAnsi="Times New Roman"/>
          <w:sz w:val="24"/>
        </w:rPr>
        <w:t xml:space="preserve"> </w:t>
      </w:r>
      <w:r w:rsidRPr="0085551D">
        <w:rPr>
          <w:rFonts w:ascii="Times New Roman" w:hAnsi="Times New Roman"/>
          <w:sz w:val="24"/>
        </w:rPr>
        <w:t>Information collected through</w:t>
      </w:r>
      <w:r w:rsidRPr="0085551D">
        <w:rPr>
          <w:rFonts w:ascii="Times New Roman" w:hAnsi="Times New Roman"/>
          <w:sz w:val="24"/>
        </w:rPr>
        <w:t xml:space="preserve"> </w:t>
      </w:r>
      <w:r w:rsidRPr="0085551D">
        <w:rPr>
          <w:rFonts w:ascii="Times New Roman" w:hAnsi="Times New Roman"/>
          <w:sz w:val="24"/>
        </w:rPr>
        <w:t>these comments has informed the</w:t>
      </w:r>
      <w:r w:rsidRPr="0085551D">
        <w:rPr>
          <w:rFonts w:ascii="Times New Roman" w:hAnsi="Times New Roman"/>
          <w:sz w:val="24"/>
        </w:rPr>
        <w:t xml:space="preserve"> </w:t>
      </w:r>
      <w:r w:rsidRPr="0085551D">
        <w:rPr>
          <w:rFonts w:ascii="Times New Roman" w:hAnsi="Times New Roman"/>
          <w:sz w:val="24"/>
        </w:rPr>
        <w:t>review.</w:t>
      </w:r>
    </w:p>
    <w:p w:rsidR="00BF72ED" w:rsidRPr="0085551D" w:rsidP="00E2164B" w14:paraId="5D3D3D4B" w14:textId="34BE1BDE">
      <w:pPr>
        <w:autoSpaceDE w:val="0"/>
        <w:autoSpaceDN w:val="0"/>
        <w:adjustRightInd w:val="0"/>
        <w:ind w:left="720"/>
        <w:rPr>
          <w:rFonts w:ascii="Times New Roman" w:hAnsi="Times New Roman"/>
          <w:sz w:val="24"/>
        </w:rPr>
      </w:pPr>
      <w:r w:rsidRPr="0085551D">
        <w:rPr>
          <w:rFonts w:ascii="Times New Roman" w:hAnsi="Times New Roman"/>
          <w:sz w:val="24"/>
        </w:rPr>
        <w:t xml:space="preserve">Further, the proposed rule RIA </w:t>
      </w:r>
      <w:r w:rsidRPr="0A6AFBF3">
        <w:rPr>
          <w:rFonts w:ascii="Times New Roman" w:hAnsi="Times New Roman"/>
          <w:sz w:val="24"/>
          <w14:ligatures w14:val="standardContextual"/>
        </w:rPr>
        <w:t xml:space="preserve">analyzed two regulatory alternatives to the proposed </w:t>
      </w:r>
      <w:r w:rsidRPr="0A6AFBF3" w:rsidR="00A70068">
        <w:rPr>
          <w:rFonts w:ascii="Times New Roman" w:hAnsi="Times New Roman"/>
          <w:sz w:val="24"/>
          <w14:ligatures w14:val="standardContextual"/>
        </w:rPr>
        <w:t>rule:</w:t>
      </w:r>
      <w:r w:rsidRPr="0A6AFBF3">
        <w:rPr>
          <w:rFonts w:ascii="Times New Roman" w:hAnsi="Times New Roman"/>
          <w:sz w:val="24"/>
          <w14:ligatures w14:val="standardContextual"/>
        </w:rPr>
        <w:t xml:space="preserve"> one alternative with lower costs and one with higher costs. </w:t>
      </w:r>
      <w:r w:rsidRPr="0A6AFBF3" w:rsidR="005F211B">
        <w:rPr>
          <w:rFonts w:ascii="Times New Roman" w:hAnsi="Times New Roman"/>
          <w:sz w:val="24"/>
          <w14:ligatures w14:val="standardContextual"/>
        </w:rPr>
        <w:t>EPA also conducted breakeven analyses for the two regulatory alternatives to give a sense of the decline in damages from accidents that would be needed to equal, or offset, the estimated costs of the proposed rule under each alternative.</w:t>
      </w:r>
    </w:p>
    <w:p w:rsidR="009C5D68" w:rsidRPr="006F68E9" w:rsidP="009C5D68" w14:paraId="7D4D46B8" w14:textId="50116DD0">
      <w:pPr>
        <w:rPr>
          <w:rFonts w:ascii="Times New Roman" w:hAnsi="Times New Roman"/>
          <w:sz w:val="24"/>
        </w:rPr>
      </w:pPr>
      <w:r w:rsidRPr="000F6EF1">
        <w:rPr>
          <w:rFonts w:ascii="Times New Roman" w:hAnsi="Times New Roman"/>
          <w:b/>
          <w:bCs/>
          <w:sz w:val="24"/>
        </w:rPr>
        <w:t>Comment</w:t>
      </w:r>
      <w:r>
        <w:rPr>
          <w:rFonts w:ascii="Times New Roman" w:hAnsi="Times New Roman"/>
          <w:b/>
          <w:bCs/>
          <w:sz w:val="24"/>
        </w:rPr>
        <w:t xml:space="preserve"> 2</w:t>
      </w:r>
      <w:r w:rsidR="00D76886">
        <w:rPr>
          <w:rFonts w:ascii="Times New Roman" w:hAnsi="Times New Roman"/>
          <w:b/>
          <w:bCs/>
          <w:sz w:val="24"/>
        </w:rPr>
        <w:t>1</w:t>
      </w:r>
      <w:r>
        <w:rPr>
          <w:rFonts w:ascii="Times New Roman" w:hAnsi="Times New Roman"/>
          <w:b/>
          <w:bCs/>
          <w:sz w:val="24"/>
        </w:rPr>
        <w:t>.1-02</w:t>
      </w:r>
      <w:r w:rsidRPr="000F6EF1">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Another commenter </w:t>
      </w:r>
      <w:r>
        <w:rPr>
          <w:rFonts w:ascii="Times New Roman" w:hAnsi="Times New Roman"/>
          <w:sz w:val="24"/>
        </w:rPr>
        <w:t>stated</w:t>
      </w:r>
      <w:r w:rsidRPr="006F68E9">
        <w:rPr>
          <w:rFonts w:ascii="Times New Roman" w:hAnsi="Times New Roman"/>
          <w:sz w:val="24"/>
        </w:rPr>
        <w:t xml:space="preserve">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ru</w:t>
      </w:r>
      <w:r w:rsidRPr="006F68E9">
        <w:rPr>
          <w:rFonts w:ascii="Times New Roman" w:hAnsi="Times New Roman"/>
          <w:sz w:val="24"/>
        </w:rPr>
        <w:t xml:space="preserve">le reflects a disregard of fundamental principles of rulemaking set forth in EO 12866 and articulated by </w:t>
      </w:r>
      <w:r>
        <w:rPr>
          <w:rFonts w:ascii="Times New Roman" w:hAnsi="Times New Roman"/>
          <w:sz w:val="24"/>
        </w:rPr>
        <w:t>court</w:t>
      </w:r>
      <w:r w:rsidRPr="006F68E9">
        <w:rPr>
          <w:rFonts w:ascii="Times New Roman" w:hAnsi="Times New Roman"/>
          <w:sz w:val="24"/>
        </w:rPr>
        <w:t xml:space="preserve"> cases </w:t>
      </w:r>
      <w:r>
        <w:rPr>
          <w:rFonts w:ascii="Times New Roman" w:hAnsi="Times New Roman"/>
          <w:sz w:val="24"/>
        </w:rPr>
        <w:t xml:space="preserve">concerning </w:t>
      </w:r>
      <w:r w:rsidRPr="006F68E9">
        <w:rPr>
          <w:rFonts w:ascii="Times New Roman" w:hAnsi="Times New Roman"/>
          <w:sz w:val="24"/>
        </w:rPr>
        <w:t xml:space="preserve">agency authority. The commenter suggested that EPA fell short of its EO 12866 obligations to: (1) explain how the provisions of the </w:t>
      </w:r>
      <w:r>
        <w:rPr>
          <w:rFonts w:ascii="Times New Roman" w:hAnsi="Times New Roman"/>
          <w:sz w:val="24"/>
        </w:rPr>
        <w:t>proposed rule</w:t>
      </w:r>
      <w:r w:rsidRPr="006F68E9">
        <w:rPr>
          <w:rFonts w:ascii="Times New Roman" w:hAnsi="Times New Roman"/>
          <w:sz w:val="24"/>
        </w:rPr>
        <w:t xml:space="preserve"> are necessary to meet a “compelling public need,” (2) clearly and credibly identify the problem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is intended to address, and (3) explain how the existing RMP regulations are insufficient to address issues that the </w:t>
      </w:r>
      <w:r>
        <w:rPr>
          <w:rFonts w:ascii="Times New Roman" w:hAnsi="Times New Roman"/>
          <w:sz w:val="24"/>
        </w:rPr>
        <w:t>pr</w:t>
      </w:r>
      <w:r w:rsidRPr="006F68E9">
        <w:rPr>
          <w:rFonts w:ascii="Times New Roman" w:hAnsi="Times New Roman"/>
          <w:sz w:val="24"/>
        </w:rPr>
        <w:t xml:space="preserve">oposed </w:t>
      </w:r>
      <w:r>
        <w:rPr>
          <w:rFonts w:ascii="Times New Roman" w:hAnsi="Times New Roman"/>
          <w:sz w:val="24"/>
        </w:rPr>
        <w:t>ru</w:t>
      </w:r>
      <w:r w:rsidRPr="006F68E9">
        <w:rPr>
          <w:rFonts w:ascii="Times New Roman" w:hAnsi="Times New Roman"/>
          <w:sz w:val="24"/>
        </w:rPr>
        <w:t xml:space="preserve">le </w:t>
      </w:r>
      <w:r w:rsidRPr="4FD0DF74" w:rsidR="2892DD02">
        <w:rPr>
          <w:rFonts w:ascii="Times New Roman" w:hAnsi="Times New Roman"/>
          <w:sz w:val="24"/>
        </w:rPr>
        <w:t>is</w:t>
      </w:r>
      <w:r w:rsidRPr="006F68E9">
        <w:rPr>
          <w:rFonts w:ascii="Times New Roman" w:hAnsi="Times New Roman"/>
          <w:sz w:val="24"/>
        </w:rPr>
        <w:t xml:space="preserve"> intended to correct</w:t>
      </w:r>
      <w:r>
        <w:rPr>
          <w:rFonts w:ascii="Times New Roman" w:hAnsi="Times New Roman"/>
          <w:sz w:val="24"/>
        </w:rPr>
        <w:t xml:space="preserve">. </w:t>
      </w:r>
      <w:r w:rsidRPr="006F68E9">
        <w:rPr>
          <w:rFonts w:ascii="Times New Roman" w:hAnsi="Times New Roman"/>
          <w:sz w:val="24"/>
        </w:rPr>
        <w:t xml:space="preserve">The commenter </w:t>
      </w:r>
      <w:r>
        <w:rPr>
          <w:rFonts w:ascii="Times New Roman" w:hAnsi="Times New Roman"/>
          <w:sz w:val="24"/>
        </w:rPr>
        <w:t>stated</w:t>
      </w:r>
      <w:r w:rsidRPr="006F68E9">
        <w:rPr>
          <w:rFonts w:ascii="Times New Roman" w:hAnsi="Times New Roman"/>
          <w:sz w:val="24"/>
        </w:rPr>
        <w:t xml:space="preserve"> that EPA cherry-picked certain data, focusing on a few metrics, such as evacuations, medical treatment, and sheltering in place, that could in fact be interpreted to suggest that accident response and mitigation measures are effective and working as intended (0233).</w:t>
      </w:r>
    </w:p>
    <w:p w:rsidR="00C6367E" w:rsidP="009C5D68" w14:paraId="658993B4" w14:textId="7944044F">
      <w:pPr>
        <w:ind w:left="720"/>
        <w:rPr>
          <w:rFonts w:ascii="Times New Roman" w:hAnsi="Times New Roman"/>
          <w:sz w:val="24"/>
        </w:rPr>
      </w:pPr>
      <w:r w:rsidRPr="001339ED">
        <w:rPr>
          <w:rFonts w:ascii="Times New Roman" w:hAnsi="Times New Roman"/>
          <w:b/>
          <w:bCs/>
          <w:sz w:val="24"/>
        </w:rPr>
        <w:t>EPA Response</w:t>
      </w:r>
      <w:r w:rsidRPr="001339ED">
        <w:rPr>
          <w:rFonts w:ascii="Times New Roman" w:hAnsi="Times New Roman"/>
          <w:sz w:val="24"/>
        </w:rPr>
        <w:t xml:space="preserve">: </w:t>
      </w:r>
      <w:r w:rsidRPr="001339ED" w:rsidR="00C47E7F">
        <w:rPr>
          <w:rFonts w:ascii="Times New Roman" w:hAnsi="Times New Roman"/>
          <w:sz w:val="24"/>
        </w:rPr>
        <w:t xml:space="preserve">EPA disagrees that it </w:t>
      </w:r>
      <w:r w:rsidRPr="001339ED" w:rsidR="00004F68">
        <w:rPr>
          <w:rFonts w:ascii="Times New Roman" w:hAnsi="Times New Roman"/>
          <w:sz w:val="24"/>
        </w:rPr>
        <w:t>disregarded the fundamental principles in EO 12866.</w:t>
      </w:r>
      <w:r w:rsidR="00004F68">
        <w:rPr>
          <w:rFonts w:ascii="Times New Roman" w:hAnsi="Times New Roman"/>
          <w:b/>
          <w:bCs/>
          <w:sz w:val="24"/>
        </w:rPr>
        <w:t xml:space="preserve"> </w:t>
      </w:r>
      <w:r w:rsidRPr="001339ED" w:rsidR="009A1F9C">
        <w:rPr>
          <w:rFonts w:ascii="Times New Roman" w:hAnsi="Times New Roman"/>
          <w:sz w:val="24"/>
        </w:rPr>
        <w:t>As EPA indicates for this final rule</w:t>
      </w:r>
      <w:r w:rsidRPr="001339ED" w:rsidR="00B03467">
        <w:rPr>
          <w:rFonts w:ascii="Times New Roman" w:hAnsi="Times New Roman"/>
          <w:sz w:val="24"/>
        </w:rPr>
        <w:t xml:space="preserve">, </w:t>
      </w:r>
      <w:r w:rsidR="003554FF">
        <w:rPr>
          <w:rFonts w:ascii="Times New Roman" w:hAnsi="Times New Roman"/>
          <w:sz w:val="24"/>
        </w:rPr>
        <w:t>because</w:t>
      </w:r>
      <w:r w:rsidRPr="00B03467" w:rsidR="003554FF">
        <w:rPr>
          <w:rFonts w:ascii="Times New Roman" w:hAnsi="Times New Roman"/>
          <w:sz w:val="24"/>
        </w:rPr>
        <w:t xml:space="preserve"> </w:t>
      </w:r>
      <w:r w:rsidRPr="00B03467" w:rsidR="002E5401">
        <w:rPr>
          <w:rFonts w:ascii="Times New Roman" w:hAnsi="Times New Roman"/>
          <w:sz w:val="24"/>
        </w:rPr>
        <w:t xml:space="preserve">major </w:t>
      </w:r>
      <w:r w:rsidR="003E19BE">
        <w:rPr>
          <w:rFonts w:ascii="Times New Roman" w:hAnsi="Times New Roman"/>
          <w:sz w:val="24"/>
        </w:rPr>
        <w:t xml:space="preserve">and other serious and concerning </w:t>
      </w:r>
      <w:r w:rsidRPr="00B03467" w:rsidR="002E5401">
        <w:rPr>
          <w:rFonts w:ascii="Times New Roman" w:hAnsi="Times New Roman"/>
          <w:sz w:val="24"/>
        </w:rPr>
        <w:t>RMP</w:t>
      </w:r>
      <w:r w:rsidRPr="00767D3F" w:rsidR="002E5401">
        <w:rPr>
          <w:rFonts w:ascii="Times New Roman" w:hAnsi="Times New Roman"/>
          <w:sz w:val="24"/>
        </w:rPr>
        <w:t xml:space="preserve"> accidents continue to occur, EPA believes that t</w:t>
      </w:r>
      <w:r w:rsidR="002E5401">
        <w:rPr>
          <w:rFonts w:ascii="Times New Roman" w:hAnsi="Times New Roman"/>
          <w:sz w:val="24"/>
        </w:rPr>
        <w:t xml:space="preserve">he </w:t>
      </w:r>
      <w:r w:rsidRPr="00767D3F" w:rsidR="002E5401">
        <w:rPr>
          <w:rFonts w:ascii="Times New Roman" w:hAnsi="Times New Roman"/>
          <w:sz w:val="24"/>
        </w:rPr>
        <w:t xml:space="preserve">final </w:t>
      </w:r>
      <w:r w:rsidR="002E5401">
        <w:rPr>
          <w:rFonts w:ascii="Times New Roman" w:hAnsi="Times New Roman"/>
          <w:sz w:val="24"/>
        </w:rPr>
        <w:t xml:space="preserve">SCCAP </w:t>
      </w:r>
      <w:r w:rsidRPr="00767D3F" w:rsidR="002E5401">
        <w:rPr>
          <w:rFonts w:ascii="Times New Roman" w:hAnsi="Times New Roman"/>
          <w:sz w:val="24"/>
        </w:rPr>
        <w:t>rule</w:t>
      </w:r>
      <w:r>
        <w:rPr>
          <w:rFonts w:ascii="Times New Roman" w:hAnsi="Times New Roman"/>
          <w:sz w:val="24"/>
        </w:rPr>
        <w:t xml:space="preserve"> are needed</w:t>
      </w:r>
      <w:r w:rsidR="007045FF">
        <w:rPr>
          <w:rFonts w:ascii="Times New Roman" w:hAnsi="Times New Roman"/>
          <w:sz w:val="24"/>
        </w:rPr>
        <w:t xml:space="preserve"> to </w:t>
      </w:r>
      <w:r w:rsidRPr="00767D3F" w:rsidR="002E5401">
        <w:rPr>
          <w:rFonts w:ascii="Times New Roman" w:hAnsi="Times New Roman"/>
          <w:sz w:val="24"/>
        </w:rPr>
        <w:t xml:space="preserve">help further protect human health </w:t>
      </w:r>
      <w:r w:rsidRPr="00767D3F" w:rsidR="002E5401">
        <w:rPr>
          <w:rFonts w:ascii="Times New Roman" w:hAnsi="Times New Roman"/>
          <w:sz w:val="24"/>
        </w:rPr>
        <w:t xml:space="preserve">and the environment from chemical hazards through advancement of process safety based on lessons learned. These amendments seek to improve chemical process safety; assist in planning, preparedness, and response to Risk Management Program-reportable accidents; and improve public awareness of chemical hazards at regulated sources. </w:t>
      </w:r>
    </w:p>
    <w:p w:rsidR="009C5D68" w:rsidRPr="006F68E9" w:rsidP="009C5D68" w14:paraId="189EF80F" w14:textId="6E20EF79">
      <w:pPr>
        <w:ind w:left="720"/>
        <w:rPr>
          <w:rFonts w:ascii="Times New Roman" w:hAnsi="Times New Roman"/>
          <w:sz w:val="24"/>
        </w:rPr>
      </w:pPr>
      <w:r w:rsidRPr="00550BDD">
        <w:rPr>
          <w:rFonts w:ascii="Times New Roman" w:hAnsi="Times New Roman"/>
          <w:sz w:val="24"/>
        </w:rPr>
        <w:t>While large events are rare, CAA section 112(r) was intended as a prevention program for large catastrophic releases as well as more common accidental releases. Post-event compliance measures such as outreach and enforcement are “too little, too late” for such large, but rare, events. Therefore, this final rule provides additional prevention program provisions reasonably calculated for stationary handling dangerous chemicals to prevent potentially catastrophic incidents. Thus, these are necessary updates to the existing RMP rule to ensure continued public safety concerning the operation of chemical facilities in and near</w:t>
      </w:r>
      <w:r w:rsidR="007722CB">
        <w:rPr>
          <w:rFonts w:ascii="Times New Roman" w:hAnsi="Times New Roman"/>
          <w:sz w:val="24"/>
        </w:rPr>
        <w:t>by</w:t>
      </w:r>
      <w:r w:rsidRPr="00550BDD">
        <w:rPr>
          <w:rFonts w:ascii="Times New Roman" w:hAnsi="Times New Roman"/>
          <w:sz w:val="24"/>
        </w:rPr>
        <w:t xml:space="preserve"> communities.</w:t>
      </w:r>
    </w:p>
    <w:p w:rsidR="00C47E7F" w:rsidRPr="00C47E7F" w:rsidP="00447715" w14:paraId="781F1D92" w14:textId="173C9A8D">
      <w:pPr>
        <w:ind w:left="720"/>
        <w:rPr>
          <w:rFonts w:ascii="Times New Roman" w:hAnsi="Times New Roman"/>
          <w:sz w:val="24"/>
        </w:rPr>
      </w:pPr>
      <w:r w:rsidRPr="00C47E7F">
        <w:rPr>
          <w:rFonts w:ascii="Times New Roman" w:hAnsi="Times New Roman"/>
          <w:sz w:val="24"/>
        </w:rPr>
        <w:t xml:space="preserve">Further, in enacting section 112(r), Congress was focused on catastrophic accidents such as </w:t>
      </w:r>
      <w:r w:rsidR="0086771A">
        <w:rPr>
          <w:rFonts w:ascii="Times New Roman" w:hAnsi="Times New Roman"/>
          <w:sz w:val="24"/>
        </w:rPr>
        <w:t xml:space="preserve">the 1984 Union Carbide industrial disaster in </w:t>
      </w:r>
      <w:r w:rsidRPr="00C47E7F">
        <w:rPr>
          <w:rFonts w:ascii="Times New Roman" w:hAnsi="Times New Roman"/>
          <w:sz w:val="24"/>
        </w:rPr>
        <w:t>Bhopal,</w:t>
      </w:r>
      <w:r w:rsidR="0086771A">
        <w:rPr>
          <w:rFonts w:ascii="Times New Roman" w:hAnsi="Times New Roman"/>
          <w:sz w:val="24"/>
        </w:rPr>
        <w:t xml:space="preserve"> India</w:t>
      </w:r>
      <w:r>
        <w:rPr>
          <w:rStyle w:val="FootnoteReference"/>
          <w:rFonts w:ascii="Times New Roman" w:hAnsi="Times New Roman"/>
          <w:sz w:val="24"/>
        </w:rPr>
        <w:footnoteReference w:id="218"/>
      </w:r>
      <w:r w:rsidR="00E91B80">
        <w:rPr>
          <w:rFonts w:ascii="Times New Roman" w:hAnsi="Times New Roman"/>
          <w:sz w:val="24"/>
        </w:rPr>
        <w:t>,</w:t>
      </w:r>
      <w:r w:rsidRPr="00C47E7F">
        <w:rPr>
          <w:rFonts w:ascii="Times New Roman" w:hAnsi="Times New Roman"/>
          <w:sz w:val="24"/>
        </w:rPr>
        <w:t xml:space="preserve"> which are extremely rare, but very high consequence events. </w:t>
      </w:r>
      <w:r w:rsidR="00E91B80">
        <w:rPr>
          <w:rFonts w:ascii="Times New Roman" w:hAnsi="Times New Roman"/>
          <w:sz w:val="24"/>
        </w:rPr>
        <w:t xml:space="preserve">While </w:t>
      </w:r>
      <w:r w:rsidRPr="00C47E7F">
        <w:rPr>
          <w:rFonts w:ascii="Times New Roman" w:hAnsi="Times New Roman"/>
          <w:sz w:val="24"/>
        </w:rPr>
        <w:t>large chemical facility accidents that have occurred in the U</w:t>
      </w:r>
      <w:r w:rsidR="007722CB">
        <w:rPr>
          <w:rFonts w:ascii="Times New Roman" w:hAnsi="Times New Roman"/>
          <w:sz w:val="24"/>
        </w:rPr>
        <w:t>nited States</w:t>
      </w:r>
      <w:r w:rsidRPr="00C47E7F">
        <w:rPr>
          <w:rFonts w:ascii="Times New Roman" w:hAnsi="Times New Roman"/>
          <w:sz w:val="24"/>
        </w:rPr>
        <w:t xml:space="preserve"> and Europe have not approached this level of damage, </w:t>
      </w:r>
      <w:r w:rsidR="000D38AA">
        <w:rPr>
          <w:rFonts w:ascii="Times New Roman" w:hAnsi="Times New Roman"/>
          <w:sz w:val="24"/>
        </w:rPr>
        <w:t xml:space="preserve">it is possible </w:t>
      </w:r>
      <w:r w:rsidRPr="00C47E7F">
        <w:rPr>
          <w:rFonts w:ascii="Times New Roman" w:hAnsi="Times New Roman"/>
          <w:sz w:val="24"/>
        </w:rPr>
        <w:t xml:space="preserve">that could happen. </w:t>
      </w:r>
      <w:r w:rsidR="00E91B80">
        <w:rPr>
          <w:rFonts w:ascii="Times New Roman" w:hAnsi="Times New Roman"/>
          <w:sz w:val="24"/>
        </w:rPr>
        <w:t>For example, one of the most consequential</w:t>
      </w:r>
      <w:r w:rsidRPr="00C47E7F">
        <w:rPr>
          <w:rFonts w:ascii="Times New Roman" w:hAnsi="Times New Roman"/>
          <w:sz w:val="24"/>
        </w:rPr>
        <w:t xml:space="preserve"> chemical accident</w:t>
      </w:r>
      <w:r w:rsidR="00AB1890">
        <w:rPr>
          <w:rFonts w:ascii="Times New Roman" w:hAnsi="Times New Roman"/>
          <w:sz w:val="24"/>
        </w:rPr>
        <w:t>s</w:t>
      </w:r>
      <w:r w:rsidRPr="00C47E7F">
        <w:rPr>
          <w:rFonts w:ascii="Times New Roman" w:hAnsi="Times New Roman"/>
          <w:sz w:val="24"/>
        </w:rPr>
        <w:t xml:space="preserve"> in the U</w:t>
      </w:r>
      <w:r w:rsidR="007722CB">
        <w:rPr>
          <w:rFonts w:ascii="Times New Roman" w:hAnsi="Times New Roman"/>
          <w:sz w:val="24"/>
        </w:rPr>
        <w:t>nited States</w:t>
      </w:r>
      <w:r>
        <w:rPr>
          <w:rStyle w:val="FootnoteReference"/>
          <w:rFonts w:ascii="Times New Roman" w:hAnsi="Times New Roman"/>
          <w:sz w:val="24"/>
        </w:rPr>
        <w:footnoteReference w:id="219"/>
      </w:r>
      <w:r w:rsidR="006F4681">
        <w:rPr>
          <w:rFonts w:ascii="Times New Roman" w:hAnsi="Times New Roman"/>
          <w:sz w:val="24"/>
        </w:rPr>
        <w:t xml:space="preserve"> was</w:t>
      </w:r>
      <w:r w:rsidRPr="00C47E7F">
        <w:rPr>
          <w:rFonts w:ascii="Times New Roman" w:hAnsi="Times New Roman"/>
          <w:sz w:val="24"/>
        </w:rPr>
        <w:t xml:space="preserve"> the </w:t>
      </w:r>
      <w:r w:rsidR="006F4681">
        <w:rPr>
          <w:rFonts w:ascii="Times New Roman" w:hAnsi="Times New Roman"/>
          <w:sz w:val="24"/>
        </w:rPr>
        <w:t xml:space="preserve">1989 </w:t>
      </w:r>
      <w:r w:rsidRPr="00C47E7F">
        <w:rPr>
          <w:rFonts w:ascii="Times New Roman" w:hAnsi="Times New Roman"/>
          <w:sz w:val="24"/>
        </w:rPr>
        <w:t xml:space="preserve">explosion at </w:t>
      </w:r>
      <w:r w:rsidR="006F4681">
        <w:rPr>
          <w:rFonts w:ascii="Times New Roman" w:hAnsi="Times New Roman"/>
          <w:sz w:val="24"/>
        </w:rPr>
        <w:t xml:space="preserve">the </w:t>
      </w:r>
      <w:r w:rsidRPr="00C47E7F">
        <w:rPr>
          <w:rFonts w:ascii="Times New Roman" w:hAnsi="Times New Roman"/>
          <w:sz w:val="24"/>
        </w:rPr>
        <w:t>Phillips</w:t>
      </w:r>
      <w:r w:rsidR="006F4681">
        <w:rPr>
          <w:rFonts w:ascii="Times New Roman" w:hAnsi="Times New Roman"/>
          <w:sz w:val="24"/>
        </w:rPr>
        <w:t xml:space="preserve"> facility</w:t>
      </w:r>
      <w:r w:rsidRPr="00C47E7F">
        <w:rPr>
          <w:rFonts w:ascii="Times New Roman" w:hAnsi="Times New Roman"/>
          <w:sz w:val="24"/>
        </w:rPr>
        <w:t xml:space="preserve"> in Pasadena, TX,</w:t>
      </w:r>
      <w:r w:rsidR="00260F3D">
        <w:rPr>
          <w:rFonts w:ascii="Times New Roman" w:hAnsi="Times New Roman"/>
          <w:sz w:val="24"/>
        </w:rPr>
        <w:t xml:space="preserve"> that</w:t>
      </w:r>
      <w:r w:rsidRPr="00C47E7F">
        <w:rPr>
          <w:rFonts w:ascii="Times New Roman" w:hAnsi="Times New Roman"/>
          <w:sz w:val="24"/>
        </w:rPr>
        <w:t xml:space="preserve"> killed 23 workers ($239 million in 2022 dollars), injured at least 150 more ($7.5 million), and caused $1.8 billion in property </w:t>
      </w:r>
      <w:r w:rsidRPr="00C47E7F">
        <w:rPr>
          <w:rFonts w:ascii="Times New Roman" w:hAnsi="Times New Roman"/>
          <w:sz w:val="24"/>
        </w:rPr>
        <w:t>damage.</w:t>
      </w:r>
      <w:r>
        <w:rPr>
          <w:rStyle w:val="FootnoteReference"/>
          <w:rFonts w:ascii="Times New Roman" w:hAnsi="Times New Roman"/>
          <w:sz w:val="24"/>
        </w:rPr>
        <w:footnoteReference w:id="220"/>
      </w:r>
      <w:r w:rsidRPr="00C47E7F">
        <w:rPr>
          <w:rFonts w:ascii="Times New Roman" w:hAnsi="Times New Roman"/>
          <w:sz w:val="24"/>
        </w:rPr>
        <w:t xml:space="preserve"> The five-year baseline period</w:t>
      </w:r>
      <w:r w:rsidR="00847760">
        <w:rPr>
          <w:rFonts w:ascii="Times New Roman" w:hAnsi="Times New Roman"/>
          <w:sz w:val="24"/>
        </w:rPr>
        <w:t xml:space="preserve"> accident costs</w:t>
      </w:r>
      <w:r w:rsidRPr="00C47E7F">
        <w:rPr>
          <w:rFonts w:ascii="Times New Roman" w:hAnsi="Times New Roman"/>
          <w:sz w:val="24"/>
        </w:rPr>
        <w:t xml:space="preserve"> included in </w:t>
      </w:r>
      <w:r w:rsidR="00847760">
        <w:rPr>
          <w:rFonts w:ascii="Times New Roman" w:hAnsi="Times New Roman"/>
          <w:sz w:val="24"/>
        </w:rPr>
        <w:t xml:space="preserve">EPA’s </w:t>
      </w:r>
      <w:r w:rsidRPr="00C47E7F">
        <w:rPr>
          <w:rFonts w:ascii="Times New Roman" w:hAnsi="Times New Roman"/>
          <w:sz w:val="24"/>
        </w:rPr>
        <w:t xml:space="preserve">analysis </w:t>
      </w:r>
      <w:r w:rsidR="00EA2BBA">
        <w:rPr>
          <w:rFonts w:ascii="Times New Roman" w:hAnsi="Times New Roman"/>
          <w:sz w:val="24"/>
        </w:rPr>
        <w:t xml:space="preserve">is </w:t>
      </w:r>
      <w:r w:rsidRPr="00C47E7F">
        <w:rPr>
          <w:rFonts w:ascii="Times New Roman" w:hAnsi="Times New Roman"/>
          <w:sz w:val="24"/>
        </w:rPr>
        <w:t>$540 million per year</w:t>
      </w:r>
      <w:r w:rsidR="00EA2BBA">
        <w:rPr>
          <w:rFonts w:ascii="Times New Roman" w:hAnsi="Times New Roman"/>
          <w:sz w:val="24"/>
        </w:rPr>
        <w:t>. This cost was estimated using impacts from accidents during 2016 through 2020 (the last year with complete data) reported to the RMP plan reporting database by facility owners and operators. EPA used this dataset due to a lack of alternative data describing accident impacts more comprehensively. This estimate</w:t>
      </w:r>
      <w:r w:rsidRPr="00C47E7F">
        <w:rPr>
          <w:rFonts w:ascii="Times New Roman" w:hAnsi="Times New Roman"/>
          <w:sz w:val="24"/>
        </w:rPr>
        <w:t xml:space="preserve"> does not include a major catastrophe</w:t>
      </w:r>
      <w:r w:rsidR="00EA2BBA">
        <w:rPr>
          <w:rFonts w:ascii="Times New Roman" w:hAnsi="Times New Roman"/>
          <w:sz w:val="24"/>
        </w:rPr>
        <w:t xml:space="preserve"> on the scale of Union Carbide-Bhopal, or even Phillips-Pasadena</w:t>
      </w:r>
      <w:r w:rsidRPr="00C47E7F">
        <w:rPr>
          <w:rFonts w:ascii="Times New Roman" w:hAnsi="Times New Roman"/>
          <w:sz w:val="24"/>
        </w:rPr>
        <w:t>. If the final rule provisions were to prevent or substantially mitigate even one accident of this magnitude, the benefits generated, quantified and unquantified, will be dramatic.</w:t>
      </w:r>
      <w:r w:rsidR="004608F7">
        <w:rPr>
          <w:rFonts w:ascii="Times New Roman" w:hAnsi="Times New Roman"/>
          <w:sz w:val="24"/>
        </w:rPr>
        <w:t xml:space="preserve"> </w:t>
      </w:r>
      <w:r w:rsidRPr="002A1ACB" w:rsidR="002A1ACB">
        <w:rPr>
          <w:rFonts w:ascii="Times New Roman" w:hAnsi="Times New Roman"/>
          <w:sz w:val="24"/>
        </w:rPr>
        <w:t>Further, some accidents that occurred at RMP facilities during the five-year period were not reported to EPA because the facility either closed after the accident, decommissioned the process, or removed the regulated substance from the process involved in the accident before it was required to submit a report to the RMP Database.</w:t>
      </w:r>
      <w:r>
        <w:rPr>
          <w:rFonts w:ascii="Times New Roman" w:hAnsi="Times New Roman"/>
          <w:sz w:val="24"/>
          <w:vertAlign w:val="superscript"/>
        </w:rPr>
        <w:footnoteReference w:id="221"/>
      </w:r>
      <w:r w:rsidRPr="002A1ACB" w:rsidR="002A1ACB">
        <w:rPr>
          <w:rFonts w:ascii="Times New Roman" w:hAnsi="Times New Roman"/>
          <w:sz w:val="24"/>
        </w:rPr>
        <w:t xml:space="preserve"> Additionally, the many baseline accident impacts that are not reflected in the $540 million baseline accident cost estimate because EPA was unable to monetize them</w:t>
      </w:r>
      <w:r>
        <w:rPr>
          <w:rFonts w:ascii="Times New Roman" w:hAnsi="Times New Roman"/>
          <w:sz w:val="24"/>
          <w:vertAlign w:val="superscript"/>
        </w:rPr>
        <w:footnoteReference w:id="222"/>
      </w:r>
      <w:r w:rsidRPr="002A1ACB" w:rsidR="002A1ACB">
        <w:rPr>
          <w:rFonts w:ascii="Times New Roman" w:hAnsi="Times New Roman"/>
          <w:sz w:val="24"/>
        </w:rPr>
        <w:t>, yet are expected to be avoided as a benefit of the final provisions, include responder costs, transaction costs, property value reductions, unmonetized costs of evacuations and sheltering-in-place, the costs of potential health effects from exposure to toxic chemicals, and productivity losses, among others. The $540 million estimate also does not reflect the full set of baseline inefficiencies that may be mitigated due to the improved information offered by several of the final provisions such as the community notification requirements and the back-up power for monitors. As the range of monetized accident impacts suggests (from $100 to $700 million for 2016 to 2020</w:t>
      </w:r>
      <w:r>
        <w:rPr>
          <w:rFonts w:ascii="Times New Roman" w:hAnsi="Times New Roman"/>
          <w:sz w:val="24"/>
          <w:vertAlign w:val="superscript"/>
        </w:rPr>
        <w:footnoteReference w:id="223"/>
      </w:r>
      <w:r w:rsidRPr="002A1ACB" w:rsidR="002A1ACB">
        <w:rPr>
          <w:rFonts w:ascii="Times New Roman" w:hAnsi="Times New Roman"/>
          <w:sz w:val="24"/>
        </w:rPr>
        <w:t xml:space="preserve">), the variation in monetized damages is substantial. Preventing a single high-cost accident annually would offset annual rule costs. </w:t>
      </w:r>
    </w:p>
    <w:p w:rsidR="00C47E7F" w:rsidRPr="006F68E9" w:rsidP="009C5D68" w14:paraId="41EC8C5C" w14:textId="033C742B">
      <w:pPr>
        <w:ind w:left="720"/>
        <w:rPr>
          <w:rFonts w:ascii="Times New Roman" w:hAnsi="Times New Roman"/>
          <w:sz w:val="24"/>
        </w:rPr>
      </w:pPr>
      <w:r w:rsidRPr="00C47E7F">
        <w:rPr>
          <w:rFonts w:ascii="Times New Roman" w:hAnsi="Times New Roman"/>
          <w:sz w:val="24"/>
        </w:rPr>
        <w:t xml:space="preserve">When considering this final rule’s likely benefits of avoiding some portion of the monetized accident impacts, as well as the additional nonmonetized benefits, EPA believes the costs of the rule are reasonable in comparison to its expected benefits. When assessing the reasonableness of the benefits and burdens of various regulatory options, EPA places weight on both preventing more common accidental releases captured in the accident history portion of the RMP database while also placing weight on less quantifiable potential catastrophic events. The Agency’s judgment as to what regulations are “reasonable” is informed by both quantifiable and unquantifiable </w:t>
      </w:r>
      <w:r w:rsidR="007722CB">
        <w:rPr>
          <w:rFonts w:ascii="Times New Roman" w:hAnsi="Times New Roman"/>
          <w:sz w:val="24"/>
        </w:rPr>
        <w:t>costs</w:t>
      </w:r>
      <w:r w:rsidRPr="00C47E7F">
        <w:rPr>
          <w:rFonts w:ascii="Times New Roman" w:hAnsi="Times New Roman"/>
          <w:sz w:val="24"/>
        </w:rPr>
        <w:t xml:space="preserve"> and benefits.</w:t>
      </w:r>
    </w:p>
    <w:p w:rsidR="009C5D68" w:rsidRPr="006F68E9" w:rsidP="00E2164B" w14:paraId="259F0AA1" w14:textId="77777777">
      <w:pPr>
        <w:pStyle w:val="Heading2"/>
        <w:tabs>
          <w:tab w:val="clear" w:pos="8684"/>
        </w:tabs>
        <w:spacing w:before="120"/>
        <w:rPr>
          <w:rFonts w:ascii="Times New Roman" w:hAnsi="Times New Roman" w:cs="Times New Roman"/>
          <w:b/>
          <w:bCs/>
          <w:color w:val="auto"/>
          <w:sz w:val="24"/>
          <w:szCs w:val="24"/>
        </w:rPr>
      </w:pPr>
      <w:bookmarkStart w:id="235" w:name="_Toc146880074"/>
      <w:bookmarkStart w:id="236" w:name="_Toc153373860"/>
      <w:r w:rsidRPr="006F68E9">
        <w:rPr>
          <w:rFonts w:ascii="Times New Roman" w:hAnsi="Times New Roman" w:cs="Times New Roman"/>
          <w:b/>
          <w:bCs/>
          <w:color w:val="auto"/>
          <w:sz w:val="24"/>
          <w:szCs w:val="24"/>
        </w:rPr>
        <w:t>Paperwork Reduction Act (PRA)</w:t>
      </w:r>
      <w:bookmarkEnd w:id="235"/>
      <w:bookmarkEnd w:id="236"/>
    </w:p>
    <w:p w:rsidR="009C5D68" w:rsidP="009C5D68" w14:paraId="61677849" w14:textId="70437401">
      <w:pPr>
        <w:rPr>
          <w:rFonts w:ascii="Times New Roman" w:hAnsi="Times New Roman"/>
          <w:sz w:val="24"/>
        </w:rPr>
      </w:pPr>
      <w:r w:rsidRPr="00991A36">
        <w:rPr>
          <w:rFonts w:ascii="Times New Roman" w:hAnsi="Times New Roman"/>
          <w:b/>
          <w:bCs/>
          <w:sz w:val="24"/>
        </w:rPr>
        <w:t>Comment 2</w:t>
      </w:r>
      <w:r w:rsidR="00501B3C">
        <w:rPr>
          <w:rFonts w:ascii="Times New Roman" w:hAnsi="Times New Roman"/>
          <w:b/>
          <w:bCs/>
          <w:sz w:val="24"/>
        </w:rPr>
        <w:t>1</w:t>
      </w:r>
      <w:r w:rsidRPr="00991A36">
        <w:rPr>
          <w:rFonts w:ascii="Times New Roman" w:hAnsi="Times New Roman"/>
          <w:b/>
          <w:bCs/>
          <w:sz w:val="24"/>
        </w:rPr>
        <w:t>.2-</w:t>
      </w:r>
      <w:r>
        <w:rPr>
          <w:rFonts w:ascii="Times New Roman" w:hAnsi="Times New Roman"/>
          <w:b/>
          <w:bCs/>
          <w:sz w:val="24"/>
        </w:rPr>
        <w:t>0</w:t>
      </w:r>
      <w:r w:rsidRPr="00991A36">
        <w:rPr>
          <w:rFonts w:ascii="Times New Roman" w:hAnsi="Times New Roman"/>
          <w:b/>
          <w:bCs/>
          <w:sz w:val="24"/>
        </w:rPr>
        <w:t>1:</w:t>
      </w:r>
      <w:r>
        <w:rPr>
          <w:rFonts w:ascii="Times New Roman" w:hAnsi="Times New Roman"/>
          <w:b/>
          <w:bCs/>
          <w:sz w:val="24"/>
        </w:rPr>
        <w:t xml:space="preserve"> </w:t>
      </w:r>
      <w:r w:rsidRPr="00E76AA1">
        <w:rPr>
          <w:rFonts w:ascii="Times New Roman" w:hAnsi="Times New Roman"/>
          <w:sz w:val="24"/>
        </w:rPr>
        <w:t>Several commenters expressed concern that EPA did not make a finding on the practical utility of information included in the proposed rule (0272, 0239, 0215). One commenter stated that because EPA fails to provide proof that the proposed requirements (separately or in aggregate) will “maximize practical utility and public benefit” and “minimize burden,” the proposed rule fails to meet the core standards of the PRA, and EPA should revise it. The commenter added that EPA could meet PRA standards by limiting the requirements to just those that are likely to reduce accidents at RMP facilities and to just those facilities that are likely to benefit from these new requirements</w:t>
      </w:r>
      <w:r w:rsidRPr="006D4C1C">
        <w:rPr>
          <w:rFonts w:ascii="Times New Roman" w:hAnsi="Times New Roman"/>
          <w:sz w:val="24"/>
        </w:rPr>
        <w:t xml:space="preserve"> (0215).</w:t>
      </w:r>
    </w:p>
    <w:p w:rsidR="009C5D68" w:rsidP="009C5D68" w14:paraId="597E7264" w14:textId="77777777">
      <w:pPr>
        <w:rPr>
          <w:rFonts w:ascii="Times New Roman" w:hAnsi="Times New Roman"/>
          <w:sz w:val="24"/>
        </w:rPr>
      </w:pPr>
      <w:r w:rsidRPr="00E76AA1">
        <w:rPr>
          <w:rFonts w:ascii="Times New Roman" w:hAnsi="Times New Roman"/>
          <w:sz w:val="24"/>
        </w:rPr>
        <w:t>One commenter specifically called out the need to address the practical utility of documents concerning third-party audits and PHAs and urged EPA to explain the actual usefulness of the proposed information to be collected and</w:t>
      </w:r>
      <w:r w:rsidRPr="006F68E9">
        <w:rPr>
          <w:rFonts w:ascii="Times New Roman" w:hAnsi="Times New Roman"/>
          <w:sz w:val="24"/>
        </w:rPr>
        <w:t xml:space="preserve"> disclosed pursuant to the </w:t>
      </w:r>
      <w:r>
        <w:rPr>
          <w:rFonts w:ascii="Times New Roman" w:hAnsi="Times New Roman"/>
          <w:sz w:val="24"/>
        </w:rPr>
        <w:t>p</w:t>
      </w:r>
      <w:r w:rsidRPr="006F68E9">
        <w:rPr>
          <w:rFonts w:ascii="Times New Roman" w:hAnsi="Times New Roman"/>
          <w:sz w:val="24"/>
        </w:rPr>
        <w:t>roposal, not just the theoretical or potential usefulness (0272).</w:t>
      </w:r>
      <w:r>
        <w:rPr>
          <w:rFonts w:ascii="Times New Roman" w:hAnsi="Times New Roman"/>
          <w:sz w:val="24"/>
        </w:rPr>
        <w:t xml:space="preserve"> Another commenter questioned the practical utility of the information availability requirements, </w:t>
      </w:r>
      <w:r w:rsidRPr="006F68E9">
        <w:rPr>
          <w:rFonts w:ascii="Times New Roman" w:hAnsi="Times New Roman"/>
          <w:sz w:val="24"/>
        </w:rPr>
        <w:t>as</w:t>
      </w:r>
      <w:r>
        <w:rPr>
          <w:rFonts w:ascii="Times New Roman" w:hAnsi="Times New Roman"/>
          <w:sz w:val="24"/>
        </w:rPr>
        <w:t>serting that</w:t>
      </w:r>
      <w:r w:rsidRPr="006F68E9">
        <w:rPr>
          <w:rFonts w:ascii="Times New Roman" w:hAnsi="Times New Roman"/>
          <w:sz w:val="24"/>
        </w:rPr>
        <w:t xml:space="preserve"> it is unclear how some of the information requirements proposed to be provided to LEPCs and emergency response officials will improve community response and preparedness (0239). </w:t>
      </w:r>
    </w:p>
    <w:p w:rsidR="009C5D68" w:rsidRPr="009A4FAF" w:rsidP="00E2164B" w14:paraId="62F7596B" w14:textId="0B01BEE9">
      <w:pPr>
        <w:pStyle w:val="BodyText"/>
        <w:spacing w:before="120" w:after="120" w:line="240" w:lineRule="auto"/>
        <w:ind w:left="720" w:firstLine="0"/>
        <w:rPr>
          <w:rFonts w:eastAsiaTheme="minorEastAsia"/>
        </w:rPr>
      </w:pPr>
      <w:r w:rsidRPr="0026421A">
        <w:rPr>
          <w:b/>
          <w:bCs/>
        </w:rPr>
        <w:t>EPA Response:</w:t>
      </w:r>
      <w:r>
        <w:rPr>
          <w:b/>
          <w:bCs/>
        </w:rPr>
        <w:t xml:space="preserve"> </w:t>
      </w:r>
      <w:r w:rsidRPr="4F541252" w:rsidR="00054418">
        <w:rPr>
          <w:rFonts w:eastAsiaTheme="minorEastAsia"/>
        </w:rPr>
        <w:t>As major</w:t>
      </w:r>
      <w:r w:rsidRPr="4F541252">
        <w:rPr>
          <w:rFonts w:eastAsiaTheme="minorEastAsia"/>
        </w:rPr>
        <w:t xml:space="preserve"> </w:t>
      </w:r>
      <w:r w:rsidR="00605838">
        <w:rPr>
          <w:rFonts w:eastAsiaTheme="minorEastAsia"/>
        </w:rPr>
        <w:t xml:space="preserve">and other serious and concerning RMP </w:t>
      </w:r>
      <w:r w:rsidRPr="4F541252">
        <w:rPr>
          <w:rFonts w:eastAsiaTheme="minorEastAsia"/>
        </w:rPr>
        <w:t xml:space="preserve">accidents </w:t>
      </w:r>
      <w:r w:rsidRPr="4F541252" w:rsidR="00054418">
        <w:rPr>
          <w:rFonts w:eastAsiaTheme="minorEastAsia"/>
        </w:rPr>
        <w:t>continue to occur</w:t>
      </w:r>
      <w:r w:rsidRPr="4F541252">
        <w:rPr>
          <w:rFonts w:eastAsiaTheme="minorEastAsia"/>
        </w:rPr>
        <w:t xml:space="preserve">, </w:t>
      </w:r>
      <w:r w:rsidR="006A3B5D">
        <w:rPr>
          <w:rFonts w:eastAsiaTheme="minorEastAsia"/>
        </w:rPr>
        <w:t xml:space="preserve">the record shows and </w:t>
      </w:r>
      <w:r w:rsidRPr="4F541252">
        <w:rPr>
          <w:rFonts w:eastAsiaTheme="minorEastAsia"/>
        </w:rPr>
        <w:t xml:space="preserve">EPA believes that revisions </w:t>
      </w:r>
      <w:r w:rsidRPr="4F541252" w:rsidR="002947FA">
        <w:rPr>
          <w:rFonts w:eastAsiaTheme="minorEastAsia"/>
        </w:rPr>
        <w:t>to the RMP regulations</w:t>
      </w:r>
      <w:r w:rsidRPr="4F541252">
        <w:rPr>
          <w:rFonts w:eastAsiaTheme="minorEastAsia"/>
        </w:rPr>
        <w:t xml:space="preserve"> </w:t>
      </w:r>
      <w:r w:rsidR="00B5521B">
        <w:rPr>
          <w:rFonts w:eastAsiaTheme="minorEastAsia"/>
        </w:rPr>
        <w:t>will likely</w:t>
      </w:r>
      <w:r w:rsidRPr="4F541252" w:rsidR="00B5521B">
        <w:rPr>
          <w:rFonts w:eastAsiaTheme="minorEastAsia"/>
        </w:rPr>
        <w:t xml:space="preserve"> </w:t>
      </w:r>
      <w:r w:rsidRPr="4F541252">
        <w:rPr>
          <w:rFonts w:eastAsiaTheme="minorEastAsia"/>
        </w:rPr>
        <w:t xml:space="preserve">further protect human health </w:t>
      </w:r>
      <w:r w:rsidRPr="4F541252">
        <w:rPr>
          <w:rFonts w:eastAsiaTheme="minorEastAsia"/>
        </w:rPr>
        <w:t xml:space="preserve">and the environment from chemical hazards through advancement of process safety based on lessons learned. The revisions in this final rule are a result of reviewing the existing RMP regulations and information gathered from the </w:t>
      </w:r>
      <w:r w:rsidRPr="4F541252" w:rsidR="007F075B">
        <w:rPr>
          <w:rFonts w:eastAsiaTheme="minorEastAsia"/>
        </w:rPr>
        <w:t>public comments on the SCCAP proposed rule</w:t>
      </w:r>
      <w:r w:rsidRPr="4F541252">
        <w:rPr>
          <w:rFonts w:eastAsiaTheme="minorEastAsia"/>
        </w:rPr>
        <w:t>. State and local authorities will use the information in RMPs to modify and enhance their community response plans. The agencies implementing the RMP rule use RMPs</w:t>
      </w:r>
      <w:r w:rsidRPr="018F9535" w:rsidR="32F30C51">
        <w:rPr>
          <w:rFonts w:eastAsiaTheme="minorEastAsia"/>
        </w:rPr>
        <w:t xml:space="preserve"> </w:t>
      </w:r>
      <w:r w:rsidRPr="4F541252" w:rsidR="32F30C51">
        <w:rPr>
          <w:rFonts w:eastAsiaTheme="minorEastAsia"/>
        </w:rPr>
        <w:t>and related records</w:t>
      </w:r>
      <w:r w:rsidRPr="4F541252">
        <w:rPr>
          <w:rFonts w:eastAsiaTheme="minorEastAsia"/>
        </w:rPr>
        <w:t xml:space="preserve"> to evaluate compliance with 40 CFR part 68 and to identify </w:t>
      </w:r>
      <w:r w:rsidRPr="4F541252" w:rsidR="0081184F">
        <w:rPr>
          <w:rFonts w:eastAsiaTheme="minorEastAsia"/>
        </w:rPr>
        <w:t>facilities</w:t>
      </w:r>
      <w:r w:rsidRPr="4F541252">
        <w:rPr>
          <w:rFonts w:eastAsiaTheme="minorEastAsia"/>
        </w:rPr>
        <w:t xml:space="preserve"> for inspection because they may pose significant risks to the community. Citizens may use the information to assess and address chemical hazards in their communities and to respond appropriately in the event of a release of a regulated substance. </w:t>
      </w:r>
      <w:r w:rsidRPr="6877B615" w:rsidR="2AD2F657">
        <w:rPr>
          <w:rFonts w:eastAsiaTheme="minorEastAsia"/>
        </w:rPr>
        <w:t xml:space="preserve">EPA believes the </w:t>
      </w:r>
      <w:r w:rsidRPr="408C2D10" w:rsidR="2AD2F657">
        <w:rPr>
          <w:rFonts w:eastAsiaTheme="minorEastAsia"/>
        </w:rPr>
        <w:t>info</w:t>
      </w:r>
      <w:r w:rsidRPr="408C2D10" w:rsidR="202B54E6">
        <w:rPr>
          <w:rFonts w:eastAsiaTheme="minorEastAsia"/>
        </w:rPr>
        <w:t>r</w:t>
      </w:r>
      <w:r w:rsidRPr="408C2D10" w:rsidR="2AD2F657">
        <w:rPr>
          <w:rFonts w:eastAsiaTheme="minorEastAsia"/>
        </w:rPr>
        <w:t>mation</w:t>
      </w:r>
      <w:r w:rsidRPr="6877B615" w:rsidR="2AD2F657">
        <w:rPr>
          <w:rFonts w:eastAsiaTheme="minorEastAsia"/>
        </w:rPr>
        <w:t xml:space="preserve"> disclosure provisions </w:t>
      </w:r>
      <w:r w:rsidRPr="2DCC9096" w:rsidR="79634A71">
        <w:rPr>
          <w:rFonts w:eastAsiaTheme="minorEastAsia"/>
        </w:rPr>
        <w:t xml:space="preserve">in particular are targeted towards potentially impacted </w:t>
      </w:r>
      <w:r w:rsidRPr="4FD11B77" w:rsidR="79634A71">
        <w:rPr>
          <w:rFonts w:eastAsiaTheme="minorEastAsia"/>
        </w:rPr>
        <w:t>communities</w:t>
      </w:r>
      <w:r w:rsidRPr="4FD11B77" w:rsidR="576DBFD7">
        <w:rPr>
          <w:rFonts w:eastAsiaTheme="minorEastAsia"/>
        </w:rPr>
        <w:t xml:space="preserve"> </w:t>
      </w:r>
      <w:r w:rsidRPr="3ABD6983" w:rsidR="576DBFD7">
        <w:rPr>
          <w:rFonts w:eastAsiaTheme="minorEastAsia"/>
        </w:rPr>
        <w:t>and</w:t>
      </w:r>
      <w:r w:rsidRPr="3ABD6983" w:rsidR="5874AEDC">
        <w:rPr>
          <w:rFonts w:eastAsiaTheme="minorEastAsia"/>
        </w:rPr>
        <w:t xml:space="preserve"> </w:t>
      </w:r>
      <w:r w:rsidRPr="3ABD6983" w:rsidR="06ED1B27">
        <w:rPr>
          <w:rFonts w:eastAsiaTheme="minorEastAsia"/>
        </w:rPr>
        <w:t>help</w:t>
      </w:r>
      <w:r w:rsidRPr="1C23B7E6" w:rsidR="06ED1B27">
        <w:rPr>
          <w:rFonts w:eastAsiaTheme="minorEastAsia"/>
        </w:rPr>
        <w:t xml:space="preserve"> minimize the potential magnitude of accident damage as well as the number of accidents</w:t>
      </w:r>
      <w:r w:rsidRPr="427851D1" w:rsidR="0DC05B5B">
        <w:rPr>
          <w:rFonts w:eastAsiaTheme="minorEastAsia"/>
        </w:rPr>
        <w:t xml:space="preserve">. </w:t>
      </w:r>
      <w:r w:rsidRPr="1045AA3F" w:rsidR="30666FA2">
        <w:rPr>
          <w:rFonts w:eastAsiaTheme="minorEastAsia"/>
        </w:rPr>
        <w:t xml:space="preserve">Overall, the recordkeeping </w:t>
      </w:r>
      <w:r w:rsidRPr="1045AA3F" w:rsidR="108F2997">
        <w:rPr>
          <w:rFonts w:eastAsiaTheme="minorEastAsia"/>
        </w:rPr>
        <w:t xml:space="preserve">and the focus on gathering information and relying on source assessing it rather than </w:t>
      </w:r>
      <w:r w:rsidRPr="3EE8480A" w:rsidR="10863FF2">
        <w:rPr>
          <w:rFonts w:eastAsiaTheme="minorEastAsia"/>
        </w:rPr>
        <w:t>more detailed command-and-control measures minimizes burden on sources.</w:t>
      </w:r>
      <w:r w:rsidRPr="3EE8480A" w:rsidR="0F2023E7">
        <w:rPr>
          <w:rFonts w:eastAsiaTheme="minorEastAsia"/>
        </w:rPr>
        <w:t xml:space="preserve"> </w:t>
      </w:r>
      <w:r w:rsidRPr="3EE8480A">
        <w:rPr>
          <w:rFonts w:eastAsiaTheme="minorEastAsia"/>
        </w:rPr>
        <w:t>These</w:t>
      </w:r>
      <w:r w:rsidRPr="4F541252">
        <w:rPr>
          <w:rFonts w:eastAsiaTheme="minorEastAsia"/>
        </w:rPr>
        <w:t xml:space="preserve"> revisions are made under the statutory authority provided by section 112(r) of the CAA as amended (42 U.S.C. 7412(r)). </w:t>
      </w:r>
    </w:p>
    <w:p w:rsidR="009C5D68" w:rsidRPr="006F68E9" w:rsidP="009C5D68" w14:paraId="462E37B6" w14:textId="1AD49A88">
      <w:pPr>
        <w:rPr>
          <w:rFonts w:ascii="Times New Roman" w:hAnsi="Times New Roman"/>
          <w:sz w:val="24"/>
        </w:rPr>
      </w:pPr>
      <w:r w:rsidRPr="00DB5152">
        <w:rPr>
          <w:rFonts w:ascii="Times New Roman" w:hAnsi="Times New Roman"/>
          <w:b/>
          <w:bCs/>
          <w:sz w:val="24"/>
        </w:rPr>
        <w:t>Comment 2</w:t>
      </w:r>
      <w:r w:rsidR="00501B3C">
        <w:rPr>
          <w:rFonts w:ascii="Times New Roman" w:hAnsi="Times New Roman"/>
          <w:b/>
          <w:bCs/>
          <w:sz w:val="24"/>
        </w:rPr>
        <w:t>1</w:t>
      </w:r>
      <w:r w:rsidRPr="00DB5152">
        <w:rPr>
          <w:rFonts w:ascii="Times New Roman" w:hAnsi="Times New Roman"/>
          <w:b/>
          <w:bCs/>
          <w:sz w:val="24"/>
        </w:rPr>
        <w:t>.2-</w:t>
      </w:r>
      <w:r>
        <w:rPr>
          <w:rFonts w:ascii="Times New Roman" w:hAnsi="Times New Roman"/>
          <w:b/>
          <w:bCs/>
          <w:sz w:val="24"/>
        </w:rPr>
        <w:t>0</w:t>
      </w:r>
      <w:r w:rsidRPr="00DB5152">
        <w:rPr>
          <w:rFonts w:ascii="Times New Roman" w:hAnsi="Times New Roman"/>
          <w:b/>
          <w:bCs/>
          <w:sz w:val="24"/>
        </w:rPr>
        <w:t>2:</w:t>
      </w:r>
      <w:r>
        <w:rPr>
          <w:rFonts w:ascii="Times New Roman" w:hAnsi="Times New Roman"/>
          <w:sz w:val="24"/>
        </w:rPr>
        <w:t xml:space="preserve"> </w:t>
      </w:r>
      <w:r w:rsidRPr="006F68E9">
        <w:rPr>
          <w:rFonts w:ascii="Times New Roman" w:hAnsi="Times New Roman"/>
          <w:sz w:val="24"/>
        </w:rPr>
        <w:t xml:space="preserve">A few commenters raised concerns about the PRA regarding duplicative collection of information from regulated entities (0237, 0253, 0272). A couple of the commenters specifically mentioned duplicative efforts under both the RMP </w:t>
      </w:r>
      <w:r>
        <w:rPr>
          <w:rFonts w:ascii="Times New Roman" w:hAnsi="Times New Roman"/>
          <w:sz w:val="24"/>
        </w:rPr>
        <w:t>pr</w:t>
      </w:r>
      <w:r w:rsidRPr="006F68E9">
        <w:rPr>
          <w:rFonts w:ascii="Times New Roman" w:hAnsi="Times New Roman"/>
          <w:sz w:val="24"/>
        </w:rPr>
        <w:t xml:space="preserve">oposed </w:t>
      </w:r>
      <w:r>
        <w:rPr>
          <w:rFonts w:ascii="Times New Roman" w:hAnsi="Times New Roman"/>
          <w:sz w:val="24"/>
        </w:rPr>
        <w:t>r</w:t>
      </w:r>
      <w:r w:rsidRPr="006F68E9">
        <w:rPr>
          <w:rFonts w:ascii="Times New Roman" w:hAnsi="Times New Roman"/>
          <w:sz w:val="24"/>
        </w:rPr>
        <w:t>ule and the OSHA PSM regulation (0237, 0272). One commenter stated that the proposed gap analysis would encroach on OSHA’s PSM regulations regarding equipment certification. The commenter also stated that the proposed provision appears to impose duplicative and costly paperwork burdens without any demonstrated safety benefit (0232). One commenter recommended that if EPA finalizes these provisions, they comply with the PRA and collaborate with OSHA to reduce the burden on facilities (0237).</w:t>
      </w:r>
    </w:p>
    <w:p w:rsidR="009C5D68" w:rsidRPr="001A57CC" w:rsidP="009C5D68" w14:paraId="761C12C9" w14:textId="411166D5">
      <w:pPr>
        <w:ind w:left="720"/>
        <w:rPr>
          <w:rFonts w:ascii="Times New Roman" w:hAnsi="Times New Roman"/>
          <w:sz w:val="24"/>
        </w:rPr>
      </w:pPr>
      <w:r w:rsidRPr="000825A0">
        <w:rPr>
          <w:rFonts w:ascii="Times New Roman" w:hAnsi="Times New Roman"/>
          <w:b/>
          <w:bCs/>
          <w:sz w:val="24"/>
        </w:rPr>
        <w:t>EPA Response:</w:t>
      </w:r>
      <w:r>
        <w:rPr>
          <w:rFonts w:ascii="Times New Roman" w:hAnsi="Times New Roman"/>
          <w:b/>
          <w:bCs/>
          <w:sz w:val="24"/>
        </w:rPr>
        <w:t xml:space="preserve"> </w:t>
      </w:r>
      <w:r w:rsidRPr="001A57CC">
        <w:rPr>
          <w:rFonts w:ascii="Times New Roman" w:hAnsi="Times New Roman"/>
          <w:sz w:val="24"/>
        </w:rPr>
        <w:t>In the United States, the Emergency Planning and Community Right to Know Act (EPCRA) was enacted in 1986 to promote community emergency planning and preparedness and provide local responders and the public with information about the chemical hazards in their community (42 U.S.C. 11002 et seq.). In 1990, sections 112(r) and 304 of the CAA were enacted to help prevent severe chemical facility accidents. Section 304 required the Occupational Safety &amp; Health Administration (OSHA) to publish a chemical process safety standard (Process Safety Management, or PSM standard) to prevent accidental releases of chemicals that could pose a threat to employees. Section 112(r) required the EPA to publish Accidental Release Prevention Program regulations to prevent chemical releases or minimize their consequences if they occur. CAA section 112(r) requires the owner or operator of an affected facility to develop and file a Risk Management Plan with EPA, the U.S. Chemical Safety Board (CSB) (also established under the section), the State, and local response agencies. OSHA adopted its PSM standard (codified at 29 CFR 1910.119) in 1992 (57 FR 6403, Feb. 24, 1992). However, not all the information in the RMP registration section, and almost none of the information in the prevention program and hazard assessment sections of the RMP, is submitted to EPA under other regulations. The EPCRA section 312 Tier II forms, which also include some information similar to that in the RMP registration form, are submitted only to States and local planning authorities, not to EPA</w:t>
      </w:r>
      <w:r w:rsidRPr="4A2CEF96" w:rsidR="75902D0D">
        <w:rPr>
          <w:rFonts w:ascii="Times New Roman" w:hAnsi="Times New Roman"/>
          <w:sz w:val="24"/>
        </w:rPr>
        <w:t xml:space="preserve"> </w:t>
      </w:r>
      <w:r w:rsidRPr="0416CF96" w:rsidR="4E25B490">
        <w:rPr>
          <w:rFonts w:ascii="Times New Roman" w:hAnsi="Times New Roman"/>
          <w:sz w:val="24"/>
        </w:rPr>
        <w:t>T</w:t>
      </w:r>
      <w:r w:rsidRPr="0416CF96" w:rsidR="4C58908F">
        <w:rPr>
          <w:rFonts w:ascii="Times New Roman" w:hAnsi="Times New Roman"/>
          <w:sz w:val="24"/>
        </w:rPr>
        <w:t>he</w:t>
      </w:r>
      <w:r w:rsidRPr="092F02F9" w:rsidR="4C58908F">
        <w:rPr>
          <w:rFonts w:ascii="Times New Roman" w:hAnsi="Times New Roman"/>
          <w:sz w:val="24"/>
        </w:rPr>
        <w:t xml:space="preserve"> collection of this data under the SCCAP rule enhances its accessibility and utility </w:t>
      </w:r>
      <w:r w:rsidRPr="092F02F9" w:rsidR="438750B1">
        <w:rPr>
          <w:rFonts w:ascii="Times New Roman" w:hAnsi="Times New Roman"/>
          <w:sz w:val="24"/>
        </w:rPr>
        <w:t>for accident prevention and mitigation of accident impacts.</w:t>
      </w:r>
    </w:p>
    <w:p w:rsidR="009C5D68" w:rsidRPr="001A57CC" w:rsidP="009C5D68" w14:paraId="2E09A8C6" w14:textId="77777777">
      <w:pPr>
        <w:ind w:left="720"/>
        <w:rPr>
          <w:rFonts w:ascii="Times New Roman" w:hAnsi="Times New Roman"/>
          <w:sz w:val="24"/>
        </w:rPr>
      </w:pPr>
      <w:r w:rsidRPr="001A57CC">
        <w:rPr>
          <w:rFonts w:ascii="Times New Roman" w:hAnsi="Times New Roman"/>
          <w:sz w:val="24"/>
        </w:rPr>
        <w:t>As discussed in more detail in the final rule, the OSHA PSM standard and EPA RMP regulations are closely aligned in content, policy interpretations, and enforcement. Congress recognized this relationship by requiring EPA to coordinate its requirements with those of OSHA in developing accident prevention regulations and requiring OSHA to coordinate with EPA when developing its PSM standard (see CAA section 112(r)((7)(D) and CAA section 304(a)). Therefore, since the inception of these regulations, EPA and OSHA have coordinated closely on their implementation in order to minimize regulatory burden and avoid conflicting requirements for regulated facilities. This coordination continued throughout the development of this final rule and is explained further as it relates to specific provisions of the final rule in the relevant sections of the final rule.</w:t>
      </w:r>
    </w:p>
    <w:p w:rsidR="009C5D68" w:rsidP="009C5D68" w14:paraId="439C823B" w14:textId="21625BFC">
      <w:pPr>
        <w:rPr>
          <w:rFonts w:ascii="Times New Roman" w:hAnsi="Times New Roman"/>
          <w:sz w:val="24"/>
        </w:rPr>
      </w:pPr>
      <w:r w:rsidRPr="003F4B27">
        <w:rPr>
          <w:rFonts w:ascii="Times New Roman" w:hAnsi="Times New Roman"/>
          <w:b/>
          <w:bCs/>
          <w:sz w:val="24"/>
        </w:rPr>
        <w:t>Comment 2</w:t>
      </w:r>
      <w:r w:rsidR="00501B3C">
        <w:rPr>
          <w:rFonts w:ascii="Times New Roman" w:hAnsi="Times New Roman"/>
          <w:b/>
          <w:bCs/>
          <w:sz w:val="24"/>
        </w:rPr>
        <w:t>1</w:t>
      </w:r>
      <w:r w:rsidRPr="003F4B27">
        <w:rPr>
          <w:rFonts w:ascii="Times New Roman" w:hAnsi="Times New Roman"/>
          <w:b/>
          <w:bCs/>
          <w:sz w:val="24"/>
        </w:rPr>
        <w:t>.2-03:</w:t>
      </w:r>
      <w:r>
        <w:rPr>
          <w:rFonts w:ascii="Times New Roman" w:hAnsi="Times New Roman"/>
          <w:sz w:val="24"/>
        </w:rPr>
        <w:t xml:space="preserve"> Several commenters expressed concerns with the paperwork burden of specific provisions of the proposed rule.</w:t>
      </w:r>
    </w:p>
    <w:p w:rsidR="009C5D68" w:rsidP="009C5D68" w14:paraId="663CE427" w14:textId="77777777">
      <w:pPr>
        <w:rPr>
          <w:rFonts w:ascii="Times New Roman" w:hAnsi="Times New Roman"/>
          <w:sz w:val="24"/>
        </w:rPr>
      </w:pPr>
      <w:r w:rsidRPr="006F68E9">
        <w:rPr>
          <w:rFonts w:ascii="Times New Roman" w:hAnsi="Times New Roman"/>
          <w:sz w:val="24"/>
        </w:rPr>
        <w:t>One commenter stated that the requirements would impose significant burdens on PHA teams and the associated reporting requirement for rejected recommendations would create unnecessary paperwork burdens EPA has not fully analyzed or determined to result in safety benefits (0253).</w:t>
      </w:r>
    </w:p>
    <w:p w:rsidR="009C5D68" w:rsidRPr="006F68E9" w:rsidP="009C5D68" w14:paraId="49099A63" w14:textId="77777777">
      <w:pPr>
        <w:rPr>
          <w:rFonts w:ascii="Times New Roman" w:hAnsi="Times New Roman"/>
          <w:sz w:val="24"/>
        </w:rPr>
      </w:pPr>
      <w:r w:rsidRPr="162835F2">
        <w:rPr>
          <w:rFonts w:ascii="Times New Roman" w:hAnsi="Times New Roman"/>
          <w:sz w:val="24"/>
        </w:rPr>
        <w:t xml:space="preserve">Several commenters expressed concern that there is no reasonable explanation for requiring the reporting of </w:t>
      </w:r>
      <w:r>
        <w:rPr>
          <w:rFonts w:ascii="Times New Roman" w:hAnsi="Times New Roman"/>
          <w:sz w:val="24"/>
        </w:rPr>
        <w:t>declined</w:t>
      </w:r>
      <w:r w:rsidRPr="162835F2">
        <w:rPr>
          <w:rFonts w:ascii="Times New Roman" w:hAnsi="Times New Roman"/>
          <w:sz w:val="24"/>
        </w:rPr>
        <w:t xml:space="preserve"> recommendations. The commenters</w:t>
      </w:r>
      <w:r>
        <w:rPr>
          <w:rFonts w:ascii="Times New Roman" w:hAnsi="Times New Roman"/>
          <w:sz w:val="24"/>
        </w:rPr>
        <w:t xml:space="preserve"> stated</w:t>
      </w:r>
      <w:r w:rsidRPr="162835F2">
        <w:rPr>
          <w:rFonts w:ascii="Times New Roman" w:hAnsi="Times New Roman"/>
          <w:sz w:val="24"/>
        </w:rPr>
        <w:t xml:space="preserve"> that the proposed PHA changes require new reporting obligations that are unnecessary and have not been fully analyzed</w:t>
      </w:r>
      <w:r w:rsidRPr="0F49C284">
        <w:rPr>
          <w:rFonts w:ascii="Times New Roman" w:hAnsi="Times New Roman"/>
          <w:sz w:val="24"/>
        </w:rPr>
        <w:t xml:space="preserve"> </w:t>
      </w:r>
      <w:r w:rsidRPr="7AEBAF0B">
        <w:rPr>
          <w:rFonts w:ascii="Times New Roman" w:hAnsi="Times New Roman"/>
          <w:sz w:val="24"/>
        </w:rPr>
        <w:t>(0232, 0238, 0253, 0268, 0272).</w:t>
      </w:r>
    </w:p>
    <w:p w:rsidR="009C5D68" w:rsidP="009C5D68" w14:paraId="1074A93A" w14:textId="77777777">
      <w:pPr>
        <w:rPr>
          <w:rFonts w:ascii="Times New Roman" w:hAnsi="Times New Roman"/>
          <w:sz w:val="24"/>
        </w:rPr>
      </w:pPr>
      <w:r w:rsidRPr="00007F80">
        <w:rPr>
          <w:rFonts w:ascii="Times New Roman" w:hAnsi="Times New Roman"/>
          <w:sz w:val="24"/>
        </w:rPr>
        <w:t xml:space="preserve">One </w:t>
      </w:r>
      <w:r>
        <w:rPr>
          <w:rFonts w:ascii="Times New Roman" w:hAnsi="Times New Roman"/>
          <w:sz w:val="24"/>
        </w:rPr>
        <w:t>commenter stated</w:t>
      </w:r>
      <w:r w:rsidRPr="00007F80">
        <w:rPr>
          <w:rFonts w:ascii="Times New Roman" w:hAnsi="Times New Roman"/>
          <w:sz w:val="24"/>
        </w:rPr>
        <w:t xml:space="preserve"> that EPA failed to consider the paperwork burden hours and costs associated with requiring the reporting of </w:t>
      </w:r>
      <w:r>
        <w:rPr>
          <w:rFonts w:ascii="Times New Roman" w:hAnsi="Times New Roman"/>
          <w:sz w:val="24"/>
        </w:rPr>
        <w:t>exercise evaluation reports</w:t>
      </w:r>
      <w:r w:rsidRPr="00007F80">
        <w:rPr>
          <w:rFonts w:ascii="Times New Roman" w:hAnsi="Times New Roman"/>
          <w:sz w:val="24"/>
        </w:rPr>
        <w:t xml:space="preserve"> (0268).</w:t>
      </w:r>
    </w:p>
    <w:p w:rsidR="009C5D68" w:rsidRPr="00653168" w:rsidP="009C5D68" w14:paraId="668CC0B4" w14:textId="3BDDB1CA">
      <w:pPr>
        <w:ind w:left="720"/>
        <w:rPr>
          <w:rFonts w:ascii="Times New Roman" w:hAnsi="Times New Roman"/>
          <w:sz w:val="24"/>
        </w:rPr>
      </w:pPr>
      <w:r w:rsidRPr="00653168">
        <w:rPr>
          <w:rFonts w:ascii="Times New Roman" w:hAnsi="Times New Roman"/>
          <w:b/>
          <w:sz w:val="24"/>
        </w:rPr>
        <w:t>EPA Response:</w:t>
      </w:r>
      <w:r w:rsidRPr="00653168">
        <w:rPr>
          <w:rFonts w:ascii="Times New Roman" w:hAnsi="Times New Roman"/>
          <w:sz w:val="24"/>
        </w:rPr>
        <w:t xml:space="preserve"> In response to comments, EPA added burden estimates for the requirements to provide written justifications for declining recommendations to address natural hazards, as well as power loss, facility siting, and RAGAGEP. EPA disagrees that the requirements to report on declined recommendations are </w:t>
      </w:r>
      <w:r w:rsidRPr="5310AD7B" w:rsidR="00C90B03">
        <w:rPr>
          <w:rFonts w:ascii="Times New Roman" w:eastAsia="Times New Roman" w:hAnsi="Times New Roman"/>
          <w:color w:val="000000" w:themeColor="text1"/>
          <w:sz w:val="24"/>
        </w:rPr>
        <w:t>unnecessary and provide no benefits. EPA believes the requirements are important to help the public understand how facilities address the hazards that may affect their community to keep the risk at or below an “acceptable level,” which include adherence to RAGAGEP</w:t>
      </w:r>
      <w:r w:rsidRPr="63266EB6" w:rsidR="00C90B03">
        <w:rPr>
          <w:rFonts w:ascii="Times New Roman" w:eastAsia="Times New Roman" w:hAnsi="Times New Roman"/>
          <w:color w:val="000000" w:themeColor="text1"/>
          <w:sz w:val="24"/>
        </w:rPr>
        <w:t>,</w:t>
      </w:r>
      <w:r w:rsidRPr="5310AD7B" w:rsidR="00C90B03">
        <w:rPr>
          <w:rFonts w:ascii="Times New Roman" w:eastAsia="Times New Roman" w:hAnsi="Times New Roman"/>
          <w:color w:val="000000" w:themeColor="text1"/>
          <w:sz w:val="24"/>
        </w:rPr>
        <w:t xml:space="preserve"> and the reasonable judgments and efforts of compliance programs aimed at preventing or mitigating accidental releases. </w:t>
      </w:r>
      <w:r w:rsidRPr="00653168">
        <w:rPr>
          <w:rFonts w:ascii="Times New Roman" w:hAnsi="Times New Roman"/>
          <w:sz w:val="24"/>
        </w:rPr>
        <w:t xml:space="preserve">Aside from these requirements, EPA notes that it is not finalizing additional PHA regulatory requirements from what already exists in the RMP regulations. The current RMP rule’s PHA requirements </w:t>
      </w:r>
      <w:r w:rsidR="00A12E01">
        <w:rPr>
          <w:rFonts w:ascii="Times New Roman" w:hAnsi="Times New Roman"/>
          <w:sz w:val="24"/>
        </w:rPr>
        <w:t xml:space="preserve">include determining and evaluating </w:t>
      </w:r>
      <w:r w:rsidRPr="00653168">
        <w:rPr>
          <w:rFonts w:ascii="Times New Roman" w:hAnsi="Times New Roman"/>
          <w:sz w:val="24"/>
        </w:rPr>
        <w:t xml:space="preserve">the hazards of the process” as </w:t>
      </w:r>
      <w:r w:rsidRPr="00653168">
        <w:rPr>
          <w:rFonts w:ascii="Times New Roman" w:hAnsi="Times New Roman"/>
          <w:sz w:val="24"/>
        </w:rPr>
        <w:t>well as “engineering...controls applicable to the hazards and their interrelationships such as appropriate application of detection methodologies.” (40 CFR 68.67(c)(1</w:t>
      </w:r>
      <w:r w:rsidRPr="00653168" w:rsidR="005D1FE1">
        <w:rPr>
          <w:rFonts w:ascii="Times New Roman" w:hAnsi="Times New Roman"/>
          <w:sz w:val="24"/>
        </w:rPr>
        <w:t>),(</w:t>
      </w:r>
      <w:r w:rsidRPr="00653168">
        <w:rPr>
          <w:rFonts w:ascii="Times New Roman" w:hAnsi="Times New Roman"/>
          <w:sz w:val="24"/>
        </w:rPr>
        <w:t>3)). Similar but less detailed requirements apply to Program 2 processes (40 CFR 68.50(a)). The hazard evaluation requirements reflect not only the OSHA and EPA rules but also existing industry recommended practices, and therefore, EPA assumes that these hazard evaluation amplifications impose no new requirements or costs on facilities.</w:t>
      </w:r>
    </w:p>
    <w:p w:rsidR="009C5D68" w:rsidRPr="00F16755" w:rsidP="009C5D68" w14:paraId="40C9A0CB" w14:textId="26AA4020">
      <w:pPr>
        <w:ind w:left="720"/>
        <w:rPr>
          <w:rFonts w:ascii="Times New Roman" w:hAnsi="Times New Roman"/>
          <w:sz w:val="24"/>
        </w:rPr>
      </w:pPr>
      <w:r>
        <w:rPr>
          <w:rFonts w:ascii="Times New Roman" w:hAnsi="Times New Roman"/>
          <w:sz w:val="24"/>
        </w:rPr>
        <w:t xml:space="preserve">Further, </w:t>
      </w:r>
      <w:r w:rsidRPr="00653168">
        <w:rPr>
          <w:rFonts w:ascii="Times New Roman" w:hAnsi="Times New Roman"/>
          <w:sz w:val="24"/>
        </w:rPr>
        <w:t xml:space="preserve">EPA assumes facilities are already conducting regular field exercises so that the emergency exercise provisions in the final rule may result in slightly different burdens but will not result in an </w:t>
      </w:r>
      <w:r w:rsidRPr="00F16755">
        <w:rPr>
          <w:rFonts w:ascii="Times New Roman" w:hAnsi="Times New Roman"/>
          <w:sz w:val="24"/>
        </w:rPr>
        <w:t xml:space="preserve">increase in burdens for facilities. The emergency response exercise provisions in the final rule will provide consistency between exercise evaluation and incident investigation documentation requirements. </w:t>
      </w:r>
    </w:p>
    <w:p w:rsidR="009C5D68" w:rsidRPr="006F68E9" w:rsidP="00E2164B" w14:paraId="122A58B3" w14:textId="77777777">
      <w:pPr>
        <w:pStyle w:val="Heading2"/>
        <w:tabs>
          <w:tab w:val="clear" w:pos="8684"/>
        </w:tabs>
        <w:spacing w:before="120"/>
        <w:rPr>
          <w:rFonts w:ascii="Times New Roman" w:hAnsi="Times New Roman" w:cs="Times New Roman"/>
          <w:b/>
          <w:bCs/>
          <w:color w:val="auto"/>
          <w:sz w:val="24"/>
          <w:szCs w:val="24"/>
        </w:rPr>
      </w:pPr>
      <w:bookmarkStart w:id="237" w:name="_Ref124499842"/>
      <w:bookmarkStart w:id="238" w:name="_Toc146880075"/>
      <w:bookmarkStart w:id="239" w:name="_Toc153373861"/>
      <w:r w:rsidRPr="006F68E9">
        <w:rPr>
          <w:rFonts w:ascii="Times New Roman" w:hAnsi="Times New Roman" w:cs="Times New Roman"/>
          <w:b/>
          <w:bCs/>
          <w:color w:val="auto"/>
          <w:sz w:val="24"/>
          <w:szCs w:val="24"/>
        </w:rPr>
        <w:t>Regulatory Flexibility Act (RFA)</w:t>
      </w:r>
      <w:bookmarkEnd w:id="237"/>
      <w:bookmarkEnd w:id="238"/>
      <w:bookmarkEnd w:id="239"/>
    </w:p>
    <w:p w:rsidR="009C5D68" w:rsidRPr="006F68E9" w:rsidP="009C5D68" w14:paraId="7D999368" w14:textId="53C8A593">
      <w:pPr>
        <w:rPr>
          <w:rFonts w:ascii="Times New Roman" w:hAnsi="Times New Roman"/>
          <w:sz w:val="24"/>
        </w:rPr>
      </w:pPr>
      <w:r w:rsidRPr="008F3E85">
        <w:rPr>
          <w:rFonts w:ascii="Times New Roman" w:hAnsi="Times New Roman"/>
          <w:b/>
          <w:bCs/>
          <w:sz w:val="24"/>
        </w:rPr>
        <w:t>Comment</w:t>
      </w:r>
      <w:r>
        <w:rPr>
          <w:rFonts w:ascii="Times New Roman" w:hAnsi="Times New Roman"/>
          <w:b/>
          <w:bCs/>
          <w:sz w:val="24"/>
        </w:rPr>
        <w:t xml:space="preserve"> 2</w:t>
      </w:r>
      <w:r w:rsidR="00501B3C">
        <w:rPr>
          <w:rFonts w:ascii="Times New Roman" w:hAnsi="Times New Roman"/>
          <w:b/>
          <w:bCs/>
          <w:sz w:val="24"/>
        </w:rPr>
        <w:t>1</w:t>
      </w:r>
      <w:r>
        <w:rPr>
          <w:rFonts w:ascii="Times New Roman" w:hAnsi="Times New Roman"/>
          <w:b/>
          <w:bCs/>
          <w:sz w:val="24"/>
        </w:rPr>
        <w:t>.3-01</w:t>
      </w:r>
      <w:r w:rsidRPr="008F3E8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w:t>
      </w:r>
      <w:r>
        <w:rPr>
          <w:rFonts w:ascii="Times New Roman" w:hAnsi="Times New Roman"/>
          <w:sz w:val="24"/>
        </w:rPr>
        <w:t xml:space="preserve">provided two specific suggestions for </w:t>
      </w:r>
      <w:r w:rsidRPr="006F68E9">
        <w:rPr>
          <w:rFonts w:ascii="Times New Roman" w:hAnsi="Times New Roman"/>
          <w:sz w:val="24"/>
        </w:rPr>
        <w:t xml:space="preserve">EPA </w:t>
      </w:r>
      <w:r>
        <w:rPr>
          <w:rFonts w:ascii="Times New Roman" w:hAnsi="Times New Roman"/>
          <w:sz w:val="24"/>
        </w:rPr>
        <w:t>to</w:t>
      </w:r>
      <w:r w:rsidRPr="006F68E9">
        <w:rPr>
          <w:rFonts w:ascii="Times New Roman" w:hAnsi="Times New Roman"/>
          <w:sz w:val="24"/>
        </w:rPr>
        <w:t xml:space="preserve"> improve its small entity impact analysis to support the factual basis required for its RFA certification (0188). </w:t>
      </w:r>
    </w:p>
    <w:p w:rsidR="009C5D68" w:rsidRPr="006F68E9" w:rsidP="009C5D68" w14:paraId="07B8E875" w14:textId="77777777">
      <w:pPr>
        <w:rPr>
          <w:rFonts w:ascii="Times New Roman" w:hAnsi="Times New Roman"/>
          <w:sz w:val="24"/>
        </w:rPr>
      </w:pPr>
      <w:r w:rsidRPr="006F68E9">
        <w:rPr>
          <w:rFonts w:ascii="Times New Roman" w:hAnsi="Times New Roman"/>
          <w:sz w:val="24"/>
        </w:rPr>
        <w:t xml:space="preserve">First, the commenter suggested that EPA should provide a more granular analysis of small entity impacts, noting that EPA’s analysis is at the three-digit NAICS level while RFA analyses generally examine impacts at the six-digit NAICS level. The commenter </w:t>
      </w:r>
      <w:r>
        <w:rPr>
          <w:rFonts w:ascii="Times New Roman" w:hAnsi="Times New Roman"/>
          <w:sz w:val="24"/>
        </w:rPr>
        <w:t>stated</w:t>
      </w:r>
      <w:r w:rsidRPr="006F68E9">
        <w:rPr>
          <w:rFonts w:ascii="Times New Roman" w:hAnsi="Times New Roman"/>
          <w:sz w:val="24"/>
        </w:rPr>
        <w:t xml:space="preserve"> that in Exhibit 8-6 of EPA’s RIA for this proposal, 89 out of 2,911 entities would have costs exceeding 1% of revenues. However, the commenter stated that the analysis was neither transparent nor sufficient factual basis for certification. The commenter </w:t>
      </w:r>
      <w:r>
        <w:rPr>
          <w:rFonts w:ascii="Times New Roman" w:hAnsi="Times New Roman"/>
          <w:sz w:val="24"/>
        </w:rPr>
        <w:t>stated</w:t>
      </w:r>
      <w:r w:rsidRPr="006F68E9">
        <w:rPr>
          <w:rFonts w:ascii="Times New Roman" w:hAnsi="Times New Roman"/>
          <w:sz w:val="24"/>
        </w:rPr>
        <w:t xml:space="preserve"> that it was not appropriate to look at impacts averaged across industries, as it may mask significant effects in individual industries. The commenter suggested that EPA show there is no industry where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would have significant impacts on a substantial number of small entities. The commenter also recommended that EPA demonstrate the number of affected entities in each industry relative to the number of significantly affected small entities in each industry (0188).</w:t>
      </w:r>
    </w:p>
    <w:p w:rsidR="009C5D68" w:rsidP="009C5D68" w14:paraId="5BBA84BA" w14:textId="77777777">
      <w:pPr>
        <w:rPr>
          <w:rFonts w:ascii="Times New Roman" w:hAnsi="Times New Roman"/>
          <w:sz w:val="24"/>
        </w:rPr>
      </w:pPr>
      <w:r w:rsidRPr="006F68E9">
        <w:rPr>
          <w:rFonts w:ascii="Times New Roman" w:hAnsi="Times New Roman"/>
          <w:sz w:val="24"/>
        </w:rPr>
        <w:t xml:space="preserve">Second, the commenter suggested that EPA account for </w:t>
      </w:r>
      <w:r>
        <w:rPr>
          <w:rFonts w:ascii="Times New Roman" w:hAnsi="Times New Roman"/>
          <w:sz w:val="24"/>
        </w:rPr>
        <w:t xml:space="preserve">several costs that the commenter believes are </w:t>
      </w:r>
      <w:r w:rsidRPr="006F68E9">
        <w:rPr>
          <w:rFonts w:ascii="Times New Roman" w:hAnsi="Times New Roman"/>
          <w:sz w:val="24"/>
        </w:rPr>
        <w:t>missing and underestimated costs in the small entity impact analysis</w:t>
      </w:r>
      <w:r>
        <w:rPr>
          <w:rFonts w:ascii="Times New Roman" w:hAnsi="Times New Roman"/>
          <w:sz w:val="24"/>
        </w:rPr>
        <w:t>:</w:t>
      </w:r>
    </w:p>
    <w:p w:rsidR="009C5D68" w:rsidP="009C5D68" w14:paraId="1D82C491" w14:textId="77777777">
      <w:pPr>
        <w:pStyle w:val="ListParagraph"/>
        <w:numPr>
          <w:ilvl w:val="0"/>
          <w:numId w:val="30"/>
        </w:numPr>
        <w:rPr>
          <w:rFonts w:ascii="Times New Roman" w:hAnsi="Times New Roman"/>
          <w:sz w:val="24"/>
        </w:rPr>
      </w:pPr>
      <w:r w:rsidRPr="00485F7D">
        <w:rPr>
          <w:rFonts w:ascii="Times New Roman" w:hAnsi="Times New Roman"/>
          <w:b/>
          <w:bCs/>
          <w:sz w:val="24"/>
        </w:rPr>
        <w:t>Written</w:t>
      </w:r>
      <w:r w:rsidRPr="00485F7D">
        <w:rPr>
          <w:rFonts w:ascii="Times New Roman" w:hAnsi="Times New Roman"/>
          <w:b/>
          <w:sz w:val="24"/>
        </w:rPr>
        <w:t xml:space="preserve"> justifications for declining relevant recommendations for the natural hazard, power loss, and chemical siting provisions</w:t>
      </w:r>
      <w:r w:rsidRPr="00485F7D">
        <w:rPr>
          <w:rFonts w:ascii="Times New Roman" w:hAnsi="Times New Roman"/>
          <w:b/>
          <w:bCs/>
          <w:sz w:val="24"/>
        </w:rPr>
        <w:t>:</w:t>
      </w:r>
      <w:r w:rsidRPr="006F68E9">
        <w:rPr>
          <w:rFonts w:ascii="Times New Roman" w:hAnsi="Times New Roman"/>
          <w:sz w:val="24"/>
        </w:rPr>
        <w:t xml:space="preserve"> The commenter </w:t>
      </w:r>
      <w:r>
        <w:rPr>
          <w:rFonts w:ascii="Times New Roman" w:hAnsi="Times New Roman"/>
          <w:sz w:val="24"/>
        </w:rPr>
        <w:t>stated</w:t>
      </w:r>
      <w:r w:rsidRPr="006F68E9">
        <w:rPr>
          <w:rFonts w:ascii="Times New Roman" w:hAnsi="Times New Roman"/>
          <w:sz w:val="24"/>
        </w:rPr>
        <w:t xml:space="preserve"> that EPA does not provide a cost associated with this documentation requirement</w:t>
      </w:r>
      <w:r>
        <w:rPr>
          <w:rFonts w:ascii="Times New Roman" w:hAnsi="Times New Roman"/>
          <w:sz w:val="24"/>
        </w:rPr>
        <w:t>,</w:t>
      </w:r>
      <w:r w:rsidRPr="006F68E9">
        <w:rPr>
          <w:rFonts w:ascii="Times New Roman" w:hAnsi="Times New Roman"/>
          <w:sz w:val="24"/>
        </w:rPr>
        <w:t xml:space="preserve"> including the missing costs of a gap analysis and documentation associated with EPA’s proposal to </w:t>
      </w:r>
      <w:r w:rsidRPr="006F68E9">
        <w:rPr>
          <w:rFonts w:ascii="Times New Roman" w:hAnsi="Times New Roman"/>
          <w:sz w:val="24"/>
        </w:rPr>
        <w:t xml:space="preserve">include an analysis of the most recent recognized and RAGAGEP related to the facility's design, maintenance, and operation. </w:t>
      </w:r>
      <w:r w:rsidRPr="00AF1DB4">
        <w:rPr>
          <w:rFonts w:ascii="Times New Roman" w:hAnsi="Times New Roman"/>
          <w:sz w:val="24"/>
        </w:rPr>
        <w:t xml:space="preserve"> </w:t>
      </w:r>
    </w:p>
    <w:p w:rsidR="009C5D68" w:rsidP="009C5D68" w14:paraId="3CBB9EDB" w14:textId="77777777">
      <w:pPr>
        <w:pStyle w:val="ListParagraph"/>
        <w:numPr>
          <w:ilvl w:val="0"/>
          <w:numId w:val="30"/>
        </w:numPr>
        <w:rPr>
          <w:rFonts w:ascii="Times New Roman" w:hAnsi="Times New Roman"/>
          <w:sz w:val="24"/>
        </w:rPr>
      </w:pPr>
      <w:r w:rsidRPr="00485F7D">
        <w:rPr>
          <w:rFonts w:ascii="Times New Roman" w:hAnsi="Times New Roman"/>
          <w:b/>
          <w:bCs/>
          <w:sz w:val="24"/>
        </w:rPr>
        <w:t>Employee</w:t>
      </w:r>
      <w:r w:rsidRPr="00485F7D">
        <w:rPr>
          <w:rFonts w:ascii="Times New Roman" w:hAnsi="Times New Roman"/>
          <w:b/>
          <w:sz w:val="24"/>
        </w:rPr>
        <w:t xml:space="preserve"> training</w:t>
      </w:r>
      <w:r w:rsidRPr="00485F7D">
        <w:rPr>
          <w:rFonts w:ascii="Times New Roman" w:hAnsi="Times New Roman"/>
          <w:b/>
          <w:bCs/>
          <w:sz w:val="24"/>
        </w:rPr>
        <w:t>:</w:t>
      </w:r>
      <w:r w:rsidRPr="006F68E9">
        <w:rPr>
          <w:rFonts w:ascii="Times New Roman" w:hAnsi="Times New Roman"/>
          <w:sz w:val="24"/>
        </w:rPr>
        <w:t xml:space="preserve"> The commenter </w:t>
      </w:r>
      <w:r>
        <w:rPr>
          <w:rFonts w:ascii="Times New Roman" w:hAnsi="Times New Roman"/>
          <w:sz w:val="24"/>
        </w:rPr>
        <w:t>stated</w:t>
      </w:r>
      <w:r w:rsidRPr="006F68E9">
        <w:rPr>
          <w:rFonts w:ascii="Times New Roman" w:hAnsi="Times New Roman"/>
          <w:sz w:val="24"/>
        </w:rPr>
        <w:t xml:space="preserve"> that there is no estimate for the cost to small entities of training employees on employee participation or on implementation of any other provisions of the </w:t>
      </w:r>
      <w:r>
        <w:rPr>
          <w:rFonts w:ascii="Times New Roman" w:hAnsi="Times New Roman"/>
          <w:sz w:val="24"/>
        </w:rPr>
        <w:t>proposed rule</w:t>
      </w:r>
      <w:r w:rsidRPr="006F68E9">
        <w:rPr>
          <w:rFonts w:ascii="Times New Roman" w:hAnsi="Times New Roman"/>
          <w:sz w:val="24"/>
        </w:rPr>
        <w:t>. The commenter stated that while the training may be incorporated in existing training programs, time that was devoted to other activities will need to be allocated to developing, administering, and receiving training.</w:t>
      </w:r>
    </w:p>
    <w:p w:rsidR="009C5D68" w:rsidRPr="006F68E9" w:rsidP="009C5D68" w14:paraId="04CA0989" w14:textId="77777777">
      <w:pPr>
        <w:pStyle w:val="ListParagraph"/>
        <w:numPr>
          <w:ilvl w:val="0"/>
          <w:numId w:val="30"/>
        </w:numPr>
        <w:rPr>
          <w:rFonts w:ascii="Times New Roman" w:hAnsi="Times New Roman"/>
          <w:sz w:val="24"/>
        </w:rPr>
      </w:pPr>
      <w:r w:rsidRPr="00485F7D">
        <w:rPr>
          <w:rFonts w:ascii="Times New Roman" w:hAnsi="Times New Roman"/>
          <w:b/>
          <w:bCs/>
          <w:sz w:val="24"/>
        </w:rPr>
        <w:t>Information</w:t>
      </w:r>
      <w:r w:rsidRPr="00485F7D">
        <w:rPr>
          <w:rFonts w:ascii="Times New Roman" w:hAnsi="Times New Roman"/>
          <w:b/>
          <w:sz w:val="24"/>
        </w:rPr>
        <w:t xml:space="preserve"> availability</w:t>
      </w:r>
      <w:r w:rsidRPr="00485F7D">
        <w:rPr>
          <w:rFonts w:ascii="Times New Roman" w:hAnsi="Times New Roman"/>
          <w:b/>
          <w:bCs/>
          <w:sz w:val="24"/>
        </w:rPr>
        <w:t>:</w:t>
      </w:r>
      <w:r>
        <w:rPr>
          <w:rFonts w:ascii="Times New Roman" w:hAnsi="Times New Roman"/>
          <w:b/>
          <w:bCs/>
          <w:sz w:val="24"/>
        </w:rPr>
        <w:t xml:space="preserve"> </w:t>
      </w:r>
      <w:r w:rsidRPr="00AF1DB4">
        <w:rPr>
          <w:rFonts w:ascii="Times New Roman" w:hAnsi="Times New Roman"/>
          <w:sz w:val="24"/>
        </w:rPr>
        <w:t xml:space="preserve">The commenter </w:t>
      </w:r>
      <w:r>
        <w:rPr>
          <w:rFonts w:ascii="Times New Roman" w:hAnsi="Times New Roman"/>
          <w:sz w:val="24"/>
        </w:rPr>
        <w:t>state</w:t>
      </w:r>
      <w:r w:rsidRPr="00AF1DB4">
        <w:rPr>
          <w:rFonts w:ascii="Times New Roman" w:hAnsi="Times New Roman"/>
          <w:sz w:val="24"/>
        </w:rPr>
        <w:t>d that costs of information availability</w:t>
      </w:r>
      <w:r w:rsidRPr="006F68E9">
        <w:rPr>
          <w:rFonts w:ascii="Times New Roman" w:hAnsi="Times New Roman"/>
          <w:sz w:val="24"/>
        </w:rPr>
        <w:t xml:space="preserve"> do not appear to be fully estimated or supported in the analysis, noting that it is not clear what EPA’s basis is for assuming that 50% of facilities would receive a request each year. The commenter suggested that EPA address the possibility of a high volume of requests in the analysis given that there is not a limit on the frequency. The commenter also noted that there should also be an estimate of the cost of translating and providing information in the requested languages and the cost to verify whether the requestor is within the six-mile boundary (0188).</w:t>
      </w:r>
    </w:p>
    <w:p w:rsidR="00E730A6" w:rsidRPr="0092467B" w:rsidP="000A3FE5" w14:paraId="505C3395" w14:textId="2661CC67">
      <w:pPr>
        <w:ind w:left="720"/>
        <w:rPr>
          <w:rFonts w:ascii="Times New Roman" w:hAnsi="Times New Roman" w:eastAsiaTheme="minorHAnsi"/>
          <w:sz w:val="24"/>
        </w:rPr>
      </w:pPr>
      <w:r w:rsidRPr="00813816">
        <w:rPr>
          <w:rFonts w:ascii="Times New Roman" w:hAnsi="Times New Roman"/>
          <w:b/>
          <w:bCs/>
          <w:sz w:val="24"/>
        </w:rPr>
        <w:t>EPA Response:</w:t>
      </w:r>
      <w:r w:rsidRPr="00C84C02" w:rsidR="000A3FE5">
        <w:rPr>
          <w:rFonts w:ascii="Times New Roman" w:hAnsi="Times New Roman" w:eastAsiaTheme="minorHAnsi"/>
          <w:szCs w:val="22"/>
        </w:rPr>
        <w:t xml:space="preserve"> </w:t>
      </w:r>
      <w:r w:rsidRPr="0092467B" w:rsidR="0070462B">
        <w:rPr>
          <w:rFonts w:ascii="Times New Roman" w:hAnsi="Times New Roman" w:eastAsiaTheme="minorHAnsi"/>
          <w:sz w:val="24"/>
        </w:rPr>
        <w:t xml:space="preserve">EPA notes that the final RIA has been updated to </w:t>
      </w:r>
      <w:r w:rsidRPr="0092467B" w:rsidR="0092467B">
        <w:rPr>
          <w:rFonts w:ascii="Times New Roman" w:hAnsi="Times New Roman" w:eastAsiaTheme="minorHAnsi"/>
          <w:sz w:val="24"/>
        </w:rPr>
        <w:t>address</w:t>
      </w:r>
      <w:r w:rsidRPr="0092467B" w:rsidR="005263F6">
        <w:rPr>
          <w:rFonts w:ascii="Times New Roman" w:hAnsi="Times New Roman" w:eastAsiaTheme="minorHAnsi"/>
          <w:sz w:val="24"/>
        </w:rPr>
        <w:t xml:space="preserve"> the concerns </w:t>
      </w:r>
      <w:r w:rsidRPr="0092467B">
        <w:rPr>
          <w:rFonts w:ascii="Times New Roman" w:hAnsi="Times New Roman" w:eastAsiaTheme="minorHAnsi"/>
          <w:sz w:val="24"/>
        </w:rPr>
        <w:t xml:space="preserve">raised by the commenter. </w:t>
      </w:r>
    </w:p>
    <w:p w:rsidR="0092467B" w:rsidP="000A3FE5" w14:paraId="79D0092A" w14:textId="77777777">
      <w:pPr>
        <w:ind w:left="720"/>
        <w:rPr>
          <w:rFonts w:ascii="Times New Roman" w:hAnsi="Times New Roman" w:eastAsiaTheme="minorHAnsi"/>
          <w:sz w:val="24"/>
        </w:rPr>
      </w:pPr>
      <w:r w:rsidRPr="0092467B">
        <w:rPr>
          <w:rFonts w:ascii="Times New Roman" w:hAnsi="Times New Roman" w:eastAsiaTheme="minorHAnsi"/>
          <w:sz w:val="24"/>
        </w:rPr>
        <w:t>The final rule RIA presents the distribution of small entity revenue impacts across six-digit NAICS sectors</w:t>
      </w:r>
      <w:r>
        <w:rPr>
          <w:rFonts w:ascii="Times New Roman" w:hAnsi="Times New Roman" w:eastAsiaTheme="minorHAnsi"/>
          <w:sz w:val="24"/>
        </w:rPr>
        <w:t xml:space="preserve"> (Exhibit 8-8)</w:t>
      </w:r>
      <w:r w:rsidRPr="0092467B">
        <w:rPr>
          <w:rFonts w:ascii="Times New Roman" w:hAnsi="Times New Roman" w:eastAsiaTheme="minorHAnsi"/>
          <w:sz w:val="24"/>
        </w:rPr>
        <w:t>, with the top ten highlighted from the remaining NAICS sectors. The proportion of revenue impacted was calculated for small entities with revenue data (1,776). This is fewer than the total number of small entities affected by the rule (2,636) and analyzed above because the extrapolation exercise described in Section 8.2.1 was done at the 3-digit NAICS level. Most 6-digit NAICS codes have too few entities from which to reasonably extrapolate. Thus, EPA focused the analysis of revenue impacts by 6-digit NAICS sectors on only those entities with matched revenue data. Exhibit 8-8 shows the number of matched entities for each of the top ten sectors designated as small, as well as the remaining sectors for which these small entities had corresponding six-digit NACIS information. The NAICS subsector 325998 has a larger percentage of entities with revenue impact greater than 3 percent. This can be explained by the SBA size standards and entity revenue. This subsector has a lower size standard than the other NAICS 325 sectors, with a limit of 500 employees versus 1,000+ employees for other subsectors, meaning more entities were qualified as small. As a result, the subsector's average revenue is lower than the other NAICS 325 sectors entities, which increases the proportion of revenue impacted for this particular subsector.</w:t>
      </w:r>
    </w:p>
    <w:p w:rsidR="000A3FE5" w:rsidRPr="00E730A6" w:rsidP="000A3FE5" w14:paraId="141860C7" w14:textId="73D1E082">
      <w:pPr>
        <w:ind w:left="720"/>
        <w:rPr>
          <w:rFonts w:ascii="Times New Roman" w:hAnsi="Times New Roman"/>
          <w:sz w:val="24"/>
        </w:rPr>
      </w:pPr>
      <w:r>
        <w:rPr>
          <w:rFonts w:ascii="Times New Roman" w:hAnsi="Times New Roman" w:eastAsiaTheme="minorHAnsi"/>
          <w:sz w:val="24"/>
        </w:rPr>
        <w:t>Further</w:t>
      </w:r>
      <w:r w:rsidR="0092467B">
        <w:rPr>
          <w:rFonts w:ascii="Times New Roman" w:hAnsi="Times New Roman" w:eastAsiaTheme="minorHAnsi"/>
          <w:sz w:val="24"/>
        </w:rPr>
        <w:t xml:space="preserve">, </w:t>
      </w:r>
      <w:r w:rsidRPr="00E730A6" w:rsidR="00786956">
        <w:rPr>
          <w:rFonts w:ascii="Times New Roman" w:hAnsi="Times New Roman" w:eastAsiaTheme="minorHAnsi"/>
          <w:sz w:val="24"/>
        </w:rPr>
        <w:t xml:space="preserve">EPA notes that the </w:t>
      </w:r>
      <w:r w:rsidRPr="00E730A6">
        <w:rPr>
          <w:rFonts w:ascii="Times New Roman" w:hAnsi="Times New Roman"/>
          <w:sz w:val="24"/>
        </w:rPr>
        <w:t>final rule RIA updates or adds costs for several provisions:</w:t>
      </w:r>
    </w:p>
    <w:p w:rsidR="000A3FE5" w:rsidRPr="001601C6" w:rsidP="000A3FE5" w14:paraId="333ADBC0" w14:textId="77777777">
      <w:pPr>
        <w:numPr>
          <w:ilvl w:val="0"/>
          <w:numId w:val="31"/>
        </w:numPr>
        <w:rPr>
          <w:rFonts w:ascii="Times New Roman" w:hAnsi="Times New Roman"/>
          <w:sz w:val="24"/>
        </w:rPr>
      </w:pPr>
      <w:r w:rsidRPr="001601C6">
        <w:rPr>
          <w:rFonts w:ascii="Times New Roman" w:hAnsi="Times New Roman"/>
          <w:sz w:val="24"/>
        </w:rPr>
        <w:t>Rule familiarization costs: updated assumptions on the number of hours required for Delegating Implementing Agencies and most facilities to be consistent with LEPCs in response to public comments.</w:t>
      </w:r>
    </w:p>
    <w:p w:rsidR="000A3FE5" w:rsidRPr="001601C6" w:rsidP="000A3FE5" w14:paraId="740D2FEF" w14:textId="77777777">
      <w:pPr>
        <w:numPr>
          <w:ilvl w:val="0"/>
          <w:numId w:val="31"/>
        </w:numPr>
        <w:rPr>
          <w:rFonts w:ascii="Times New Roman" w:hAnsi="Times New Roman"/>
          <w:sz w:val="24"/>
        </w:rPr>
      </w:pPr>
      <w:r w:rsidRPr="001601C6">
        <w:rPr>
          <w:rFonts w:ascii="Times New Roman" w:hAnsi="Times New Roman"/>
          <w:sz w:val="24"/>
        </w:rPr>
        <w:t>Third-party audits: Costs updated to reflect a change in the provision requiring third-party audits after any accident.</w:t>
      </w:r>
    </w:p>
    <w:p w:rsidR="000A3FE5" w:rsidRPr="001601C6" w:rsidP="000A3FE5" w14:paraId="38F4E633" w14:textId="5A5B9C36">
      <w:pPr>
        <w:numPr>
          <w:ilvl w:val="0"/>
          <w:numId w:val="31"/>
        </w:numPr>
        <w:rPr>
          <w:rFonts w:ascii="Times New Roman" w:hAnsi="Times New Roman"/>
          <w:sz w:val="24"/>
        </w:rPr>
      </w:pPr>
      <w:r w:rsidRPr="001601C6">
        <w:rPr>
          <w:rFonts w:ascii="Times New Roman" w:hAnsi="Times New Roman"/>
          <w:sz w:val="24"/>
        </w:rPr>
        <w:t xml:space="preserve">Initial Evaluation and Practicability Assessment: </w:t>
      </w:r>
      <w:r w:rsidR="0067040E">
        <w:rPr>
          <w:rFonts w:ascii="Times New Roman" w:hAnsi="Times New Roman"/>
          <w:sz w:val="24"/>
        </w:rPr>
        <w:t>C</w:t>
      </w:r>
      <w:r w:rsidRPr="001601C6">
        <w:rPr>
          <w:rFonts w:ascii="Times New Roman" w:hAnsi="Times New Roman"/>
          <w:sz w:val="24"/>
        </w:rPr>
        <w:t xml:space="preserve">osts updated to reflect changes to the provision requiring </w:t>
      </w:r>
      <w:r w:rsidR="0067040E">
        <w:rPr>
          <w:rFonts w:ascii="Times New Roman" w:hAnsi="Times New Roman"/>
          <w:sz w:val="24"/>
        </w:rPr>
        <w:t xml:space="preserve">a </w:t>
      </w:r>
      <w:r w:rsidRPr="001601C6">
        <w:rPr>
          <w:rFonts w:ascii="Times New Roman" w:hAnsi="Times New Roman"/>
          <w:sz w:val="24"/>
        </w:rPr>
        <w:t xml:space="preserve">STAA initial evaluation for more facilities and the practicability assessment for certain facilities that experience an accident since </w:t>
      </w:r>
      <w:r w:rsidRPr="001601C6">
        <w:rPr>
          <w:rFonts w:ascii="Times New Roman" w:hAnsi="Times New Roman"/>
          <w:sz w:val="24"/>
        </w:rPr>
        <w:t xml:space="preserve">their most recent process hazard analysis. </w:t>
      </w:r>
      <w:r w:rsidR="0067040E">
        <w:rPr>
          <w:rFonts w:ascii="Times New Roman" w:hAnsi="Times New Roman"/>
          <w:sz w:val="24"/>
        </w:rPr>
        <w:t>Costs were also u</w:t>
      </w:r>
      <w:r w:rsidRPr="001601C6">
        <w:rPr>
          <w:rFonts w:ascii="Times New Roman" w:hAnsi="Times New Roman"/>
          <w:sz w:val="24"/>
        </w:rPr>
        <w:t xml:space="preserve">pdated to account for </w:t>
      </w:r>
      <w:r w:rsidR="0067040E">
        <w:rPr>
          <w:rFonts w:ascii="Times New Roman" w:hAnsi="Times New Roman"/>
          <w:sz w:val="24"/>
        </w:rPr>
        <w:t>the reduced</w:t>
      </w:r>
      <w:r w:rsidRPr="001601C6">
        <w:rPr>
          <w:rFonts w:ascii="Times New Roman" w:hAnsi="Times New Roman"/>
          <w:sz w:val="24"/>
        </w:rPr>
        <w:t xml:space="preserve"> effort required the second time a STAA analysis is completed.</w:t>
      </w:r>
    </w:p>
    <w:p w:rsidR="000A3FE5" w:rsidRPr="001601C6" w:rsidP="000A3FE5" w14:paraId="26300E77" w14:textId="75D2DE49">
      <w:pPr>
        <w:numPr>
          <w:ilvl w:val="0"/>
          <w:numId w:val="31"/>
        </w:numPr>
        <w:rPr>
          <w:rFonts w:ascii="Times New Roman" w:hAnsi="Times New Roman"/>
          <w:sz w:val="24"/>
        </w:rPr>
      </w:pPr>
      <w:r w:rsidRPr="001601C6">
        <w:rPr>
          <w:rFonts w:ascii="Times New Roman" w:hAnsi="Times New Roman"/>
          <w:sz w:val="24"/>
        </w:rPr>
        <w:t>STAA Implementation: New cost for the provision now requiring certain facilities to implement one or more measures that ha</w:t>
      </w:r>
      <w:r w:rsidR="0067040E">
        <w:rPr>
          <w:rFonts w:ascii="Times New Roman" w:hAnsi="Times New Roman"/>
          <w:sz w:val="24"/>
        </w:rPr>
        <w:t>ve</w:t>
      </w:r>
      <w:r w:rsidRPr="001601C6">
        <w:rPr>
          <w:rFonts w:ascii="Times New Roman" w:hAnsi="Times New Roman"/>
          <w:sz w:val="24"/>
        </w:rPr>
        <w:t xml:space="preserve"> up-to passive measure risk reduction.</w:t>
      </w:r>
    </w:p>
    <w:p w:rsidR="000A3FE5" w:rsidRPr="001601C6" w:rsidP="000A3FE5" w14:paraId="1CA7C034" w14:textId="77777777">
      <w:pPr>
        <w:numPr>
          <w:ilvl w:val="0"/>
          <w:numId w:val="31"/>
        </w:numPr>
        <w:rPr>
          <w:rFonts w:ascii="Times New Roman" w:hAnsi="Times New Roman"/>
          <w:sz w:val="24"/>
        </w:rPr>
      </w:pPr>
      <w:r w:rsidRPr="001601C6">
        <w:rPr>
          <w:rFonts w:ascii="Times New Roman" w:hAnsi="Times New Roman"/>
          <w:sz w:val="24"/>
        </w:rPr>
        <w:t>Public Disclosure: New cost added to capture translation and ID verification requirements.</w:t>
      </w:r>
    </w:p>
    <w:p w:rsidR="000A3FE5" w:rsidRPr="001601C6" w:rsidP="000A3FE5" w14:paraId="6A853D9D" w14:textId="77777777">
      <w:pPr>
        <w:numPr>
          <w:ilvl w:val="0"/>
          <w:numId w:val="31"/>
        </w:numPr>
        <w:rPr>
          <w:rFonts w:ascii="Times New Roman" w:hAnsi="Times New Roman"/>
          <w:sz w:val="24"/>
        </w:rPr>
      </w:pPr>
      <w:r w:rsidRPr="001601C6">
        <w:rPr>
          <w:rFonts w:ascii="Times New Roman" w:hAnsi="Times New Roman"/>
          <w:sz w:val="24"/>
        </w:rPr>
        <w:t>Justifications: New costs added to capture four justification requirements in RMP submissions for RAGAGEP, Facility Siting, Natural Hazards, and Emergency Backup Power, which were not previously costed in the proposed rule RIA.</w:t>
      </w:r>
    </w:p>
    <w:p w:rsidR="000A3FE5" w:rsidRPr="001601C6" w:rsidP="000A3FE5" w14:paraId="1499AF1E" w14:textId="77777777">
      <w:pPr>
        <w:numPr>
          <w:ilvl w:val="0"/>
          <w:numId w:val="31"/>
        </w:numPr>
        <w:rPr>
          <w:rFonts w:ascii="Times New Roman" w:hAnsi="Times New Roman"/>
          <w:sz w:val="24"/>
        </w:rPr>
      </w:pPr>
      <w:r w:rsidRPr="001601C6">
        <w:rPr>
          <w:rFonts w:ascii="Times New Roman" w:hAnsi="Times New Roman"/>
          <w:sz w:val="24"/>
        </w:rPr>
        <w:t>Emergency Backup Power for Perimeter Monitors: Updated generator cost assumptions and added recurring operation and maintenance costs in response to public comments.</w:t>
      </w:r>
    </w:p>
    <w:p w:rsidR="009C5D68" w:rsidRPr="00EF28F0" w:rsidP="00EF28F0" w14:paraId="55DC754E" w14:textId="58D5B42A">
      <w:pPr>
        <w:numPr>
          <w:ilvl w:val="0"/>
          <w:numId w:val="31"/>
        </w:numPr>
        <w:rPr>
          <w:rFonts w:ascii="Times New Roman" w:hAnsi="Times New Roman"/>
          <w:sz w:val="24"/>
        </w:rPr>
      </w:pPr>
      <w:r w:rsidRPr="001601C6">
        <w:rPr>
          <w:rFonts w:ascii="Times New Roman" w:hAnsi="Times New Roman"/>
          <w:sz w:val="24"/>
        </w:rPr>
        <w:t>Employee Participation Plan: Added a cost for training requirements in response to public comments.</w:t>
      </w:r>
    </w:p>
    <w:p w:rsidR="009C5D68" w:rsidP="009C5D68" w14:paraId="058D1572" w14:textId="47864126">
      <w:pPr>
        <w:rPr>
          <w:rFonts w:ascii="Times New Roman" w:hAnsi="Times New Roman"/>
          <w:sz w:val="24"/>
        </w:rPr>
      </w:pPr>
      <w:r w:rsidRPr="00685075">
        <w:rPr>
          <w:rFonts w:ascii="Times New Roman" w:hAnsi="Times New Roman"/>
          <w:b/>
          <w:bCs/>
          <w:sz w:val="24"/>
        </w:rPr>
        <w:t>Comment</w:t>
      </w:r>
      <w:r>
        <w:rPr>
          <w:rFonts w:ascii="Times New Roman" w:hAnsi="Times New Roman"/>
          <w:b/>
          <w:bCs/>
          <w:sz w:val="24"/>
        </w:rPr>
        <w:t xml:space="preserve"> 2</w:t>
      </w:r>
      <w:r w:rsidR="00501B3C">
        <w:rPr>
          <w:rFonts w:ascii="Times New Roman" w:hAnsi="Times New Roman"/>
          <w:b/>
          <w:bCs/>
          <w:sz w:val="24"/>
        </w:rPr>
        <w:t>1</w:t>
      </w:r>
      <w:r>
        <w:rPr>
          <w:rFonts w:ascii="Times New Roman" w:hAnsi="Times New Roman"/>
          <w:b/>
          <w:bCs/>
          <w:sz w:val="24"/>
        </w:rPr>
        <w:t>.3-02</w:t>
      </w:r>
      <w:r w:rsidRPr="00685075">
        <w:rPr>
          <w:rFonts w:ascii="Times New Roman" w:hAnsi="Times New Roman"/>
          <w:b/>
          <w:bCs/>
          <w:sz w:val="24"/>
        </w:rPr>
        <w:t>:</w:t>
      </w:r>
      <w:r>
        <w:rPr>
          <w:rFonts w:ascii="Times New Roman" w:hAnsi="Times New Roman"/>
          <w:sz w:val="24"/>
        </w:rPr>
        <w:t xml:space="preserve"> </w:t>
      </w:r>
      <w:r w:rsidRPr="006F68E9">
        <w:rPr>
          <w:rFonts w:ascii="Times New Roman" w:hAnsi="Times New Roman"/>
          <w:sz w:val="24"/>
        </w:rPr>
        <w:t xml:space="preserve">One commenter stated that EPA must improve its </w:t>
      </w:r>
      <w:r>
        <w:rPr>
          <w:rFonts w:ascii="Times New Roman" w:hAnsi="Times New Roman"/>
          <w:sz w:val="24"/>
        </w:rPr>
        <w:t xml:space="preserve">RFA </w:t>
      </w:r>
      <w:r w:rsidRPr="006F68E9">
        <w:rPr>
          <w:rFonts w:ascii="Times New Roman" w:hAnsi="Times New Roman"/>
          <w:sz w:val="24"/>
        </w:rPr>
        <w:t>analysis to provide an adequate factual basis to support the certification that the rule will not have a significant economic impact on a substantial number of small entities</w:t>
      </w:r>
      <w:r>
        <w:rPr>
          <w:rFonts w:ascii="Times New Roman" w:hAnsi="Times New Roman"/>
          <w:sz w:val="24"/>
        </w:rPr>
        <w:t xml:space="preserve"> </w:t>
      </w:r>
      <w:r w:rsidRPr="006F68E9">
        <w:rPr>
          <w:rFonts w:ascii="Times New Roman" w:hAnsi="Times New Roman"/>
          <w:sz w:val="24"/>
        </w:rPr>
        <w:t xml:space="preserve">(0188). </w:t>
      </w:r>
      <w:r>
        <w:rPr>
          <w:rFonts w:ascii="Times New Roman" w:hAnsi="Times New Roman"/>
          <w:sz w:val="24"/>
        </w:rPr>
        <w:t xml:space="preserve">Another commenter echoed that </w:t>
      </w:r>
      <w:r w:rsidRPr="006F68E9">
        <w:rPr>
          <w:rFonts w:ascii="Times New Roman" w:hAnsi="Times New Roman"/>
          <w:sz w:val="24"/>
        </w:rPr>
        <w:t>they believed the Agency substantially understated the economic impact on small businesses</w:t>
      </w:r>
      <w:r>
        <w:rPr>
          <w:rFonts w:ascii="Times New Roman" w:hAnsi="Times New Roman"/>
          <w:sz w:val="24"/>
        </w:rPr>
        <w:t xml:space="preserve"> (0227).</w:t>
      </w:r>
    </w:p>
    <w:p w:rsidR="009C5D68" w:rsidP="009C5D68" w14:paraId="107C5D4E" w14:textId="77777777">
      <w:pPr>
        <w:rPr>
          <w:rFonts w:ascii="Times New Roman" w:hAnsi="Times New Roman"/>
          <w:sz w:val="24"/>
        </w:rPr>
      </w:pPr>
      <w:r>
        <w:rPr>
          <w:rFonts w:ascii="Times New Roman" w:hAnsi="Times New Roman"/>
          <w:sz w:val="24"/>
        </w:rPr>
        <w:t>One commenter</w:t>
      </w:r>
      <w:r w:rsidRPr="006F68E9">
        <w:rPr>
          <w:rFonts w:ascii="Times New Roman" w:hAnsi="Times New Roman"/>
          <w:sz w:val="24"/>
        </w:rPr>
        <w:t xml:space="preserve"> stated that in 2015, before EPA originally proposed some of the revisions in this rule, the Agency convened a Small Business Advocacy Review Panel (SBAR panel) because the Agency could not certify that the rule did not have significant economic burden on a substantial number of small entities. The commenter continued that, </w:t>
      </w:r>
      <w:r>
        <w:rPr>
          <w:rFonts w:ascii="Times New Roman" w:hAnsi="Times New Roman"/>
          <w:sz w:val="24"/>
        </w:rPr>
        <w:t>conversely,</w:t>
      </w:r>
      <w:r w:rsidRPr="006F68E9">
        <w:rPr>
          <w:rFonts w:ascii="Times New Roman" w:hAnsi="Times New Roman"/>
          <w:sz w:val="24"/>
        </w:rPr>
        <w:t xml:space="preserve"> the Agency proposes to certify that the rule will not have a significant economic impact on a substantial number of small entities (0188).</w:t>
      </w:r>
      <w:r>
        <w:rPr>
          <w:rFonts w:ascii="Times New Roman" w:hAnsi="Times New Roman"/>
          <w:sz w:val="24"/>
        </w:rPr>
        <w:t xml:space="preserve"> Another commenter echoed that </w:t>
      </w:r>
      <w:r w:rsidRPr="006F68E9">
        <w:rPr>
          <w:rFonts w:ascii="Times New Roman" w:hAnsi="Times New Roman"/>
          <w:sz w:val="24"/>
        </w:rPr>
        <w:t>the SBAR panel previously raised concerns that EPA had not adequately considered several aspects of the proposal, and that failing to do so would have placed significant unanticipated costs on regulated entities (0202).</w:t>
      </w:r>
    </w:p>
    <w:p w:rsidR="009C5D68" w:rsidRPr="003F5EDD" w:rsidP="009C5D68" w14:paraId="0E14373B" w14:textId="1D7948B8">
      <w:pPr>
        <w:tabs>
          <w:tab w:val="left" w:pos="720"/>
        </w:tabs>
        <w:ind w:left="720"/>
        <w:rPr>
          <w:rFonts w:ascii="Times New Roman" w:hAnsi="Times New Roman"/>
          <w:sz w:val="24"/>
        </w:rPr>
      </w:pPr>
      <w:r w:rsidRPr="003F5EDD">
        <w:rPr>
          <w:rFonts w:ascii="Times New Roman" w:hAnsi="Times New Roman"/>
          <w:b/>
          <w:sz w:val="24"/>
        </w:rPr>
        <w:t>EPA Response:</w:t>
      </w:r>
      <w:r w:rsidRPr="00685075">
        <w:rPr>
          <w:rFonts w:ascii="Times New Roman" w:hAnsi="Times New Roman"/>
          <w:b/>
          <w:bCs/>
          <w:sz w:val="24"/>
        </w:rPr>
        <w:t xml:space="preserve"> </w:t>
      </w:r>
      <w:r w:rsidRPr="003F5EDD" w:rsidR="00C445DC">
        <w:rPr>
          <w:rFonts w:ascii="Times New Roman" w:hAnsi="Times New Roman"/>
          <w:sz w:val="24"/>
        </w:rPr>
        <w:t xml:space="preserve">EPA disagrees that the Agency substantially understated the economic impact on small business </w:t>
      </w:r>
      <w:r w:rsidRPr="003F5EDD" w:rsidR="00AE4512">
        <w:rPr>
          <w:rFonts w:ascii="Times New Roman" w:hAnsi="Times New Roman"/>
          <w:sz w:val="24"/>
        </w:rPr>
        <w:t xml:space="preserve">for this rulemaking. </w:t>
      </w:r>
      <w:r w:rsidRPr="003F5EDD" w:rsidR="00C445DC">
        <w:rPr>
          <w:rFonts w:ascii="Times New Roman" w:hAnsi="Times New Roman"/>
          <w:sz w:val="24"/>
        </w:rPr>
        <w:t>The small entity analysis indicates that the final rule will not impose a significant economic burden to a substantial number of small entities exceeding the threshold amount of 1 percent of small entity revenues. For private sector entities, EPA estimated that 9.2 percent of small entities will experience costs exceeding 1 percent of revenue and only 2.8 percent of entities will have costs greater than 3 percent of revenue. For small governments, EPA does not have data to estimate the percent of entities with different percent of revenue impacts. However, based on costs to small governments and their respective populations, EPA concludes that it is unlikely that a small government will experience a cost impact larger than 1 percent of revenue. The second analysis that EPA conducted with data from D&amp;B Hoovers in Appendix C</w:t>
      </w:r>
      <w:r w:rsidR="00C359B4">
        <w:rPr>
          <w:rFonts w:ascii="Times New Roman" w:hAnsi="Times New Roman"/>
          <w:sz w:val="24"/>
        </w:rPr>
        <w:t xml:space="preserve"> of the RIA</w:t>
      </w:r>
      <w:r w:rsidRPr="003F5EDD" w:rsidR="00C445DC">
        <w:rPr>
          <w:rFonts w:ascii="Times New Roman" w:hAnsi="Times New Roman"/>
          <w:sz w:val="24"/>
        </w:rPr>
        <w:t xml:space="preserve"> further confirms that the final rule will not impose a significant economic burden to small entities and suggests that the final rule has a smaller impact on small private sector entities. Using D&amp;B Hoovers data, EPA estimated that 6.0 percent of small entities will experience costs exceeding 1 percent of revenue and only 1.9 percent of entities will </w:t>
      </w:r>
      <w:r w:rsidRPr="003F5EDD" w:rsidR="00C445DC">
        <w:rPr>
          <w:rFonts w:ascii="Times New Roman" w:hAnsi="Times New Roman"/>
          <w:sz w:val="24"/>
        </w:rPr>
        <w:t xml:space="preserve">have costs greater than 3 percent of revenue. Accordingly, the </w:t>
      </w:r>
      <w:r w:rsidR="008B40B2">
        <w:rPr>
          <w:rFonts w:ascii="Times New Roman" w:hAnsi="Times New Roman"/>
          <w:sz w:val="24"/>
        </w:rPr>
        <w:t xml:space="preserve">EPA </w:t>
      </w:r>
      <w:r w:rsidRPr="003F5EDD" w:rsidR="00C445DC">
        <w:rPr>
          <w:rFonts w:ascii="Times New Roman" w:hAnsi="Times New Roman"/>
          <w:sz w:val="24"/>
        </w:rPr>
        <w:t>Administrator certifie</w:t>
      </w:r>
      <w:r w:rsidR="008B40B2">
        <w:rPr>
          <w:rFonts w:ascii="Times New Roman" w:hAnsi="Times New Roman"/>
          <w:sz w:val="24"/>
        </w:rPr>
        <w:t>d</w:t>
      </w:r>
      <w:r w:rsidRPr="003F5EDD" w:rsidR="00C445DC">
        <w:rPr>
          <w:rFonts w:ascii="Times New Roman" w:hAnsi="Times New Roman"/>
          <w:sz w:val="24"/>
        </w:rPr>
        <w:t xml:space="preserve"> that that this final rule will not have a significant economic impact on a substantial number of small entities.</w:t>
      </w:r>
      <w:r w:rsidR="008B40B2">
        <w:rPr>
          <w:rFonts w:ascii="Times New Roman" w:hAnsi="Times New Roman"/>
          <w:sz w:val="24"/>
        </w:rPr>
        <w:t xml:space="preserve"> </w:t>
      </w:r>
      <w:r w:rsidRPr="003F5EDD" w:rsidR="00B76161">
        <w:rPr>
          <w:rFonts w:ascii="Times New Roman" w:hAnsi="Times New Roman"/>
          <w:sz w:val="24"/>
        </w:rPr>
        <w:t xml:space="preserve">Details of these analyses are presented in Chapter 8 of the RIA, which is available in the docket.  </w:t>
      </w:r>
    </w:p>
    <w:p w:rsidR="009C5D68" w:rsidRPr="006F68E9" w:rsidP="009C5D68" w14:paraId="38978742" w14:textId="719A47B9">
      <w:pPr>
        <w:rPr>
          <w:rFonts w:ascii="Times New Roman" w:hAnsi="Times New Roman"/>
          <w:sz w:val="24"/>
        </w:rPr>
      </w:pPr>
      <w:r w:rsidRPr="00F935D7">
        <w:rPr>
          <w:rFonts w:ascii="Times New Roman" w:hAnsi="Times New Roman"/>
          <w:b/>
          <w:sz w:val="24"/>
        </w:rPr>
        <w:t>Comment 2</w:t>
      </w:r>
      <w:r w:rsidR="00501B3C">
        <w:rPr>
          <w:rFonts w:ascii="Times New Roman" w:hAnsi="Times New Roman"/>
          <w:b/>
          <w:sz w:val="24"/>
        </w:rPr>
        <w:t>1</w:t>
      </w:r>
      <w:r w:rsidRPr="00F935D7">
        <w:rPr>
          <w:rFonts w:ascii="Times New Roman" w:hAnsi="Times New Roman"/>
          <w:b/>
          <w:sz w:val="24"/>
        </w:rPr>
        <w:t>.3-03:</w:t>
      </w:r>
      <w:r w:rsidRPr="00C07AC1">
        <w:rPr>
          <w:rFonts w:ascii="Times New Roman" w:hAnsi="Times New Roman"/>
          <w:sz w:val="24"/>
        </w:rPr>
        <w:t xml:space="preserve"> </w:t>
      </w:r>
      <w:r>
        <w:rPr>
          <w:rFonts w:ascii="Times New Roman" w:hAnsi="Times New Roman"/>
          <w:sz w:val="24"/>
        </w:rPr>
        <w:t xml:space="preserve">Two commenters expressed concern that the proposed rule had not been reviewed by an SBAR panel and urged EPA to do so </w:t>
      </w:r>
      <w:r w:rsidRPr="006F68E9">
        <w:rPr>
          <w:rFonts w:ascii="Times New Roman" w:hAnsi="Times New Roman"/>
          <w:sz w:val="24"/>
        </w:rPr>
        <w:t>(0227</w:t>
      </w:r>
      <w:r>
        <w:rPr>
          <w:rFonts w:ascii="Times New Roman" w:hAnsi="Times New Roman"/>
          <w:sz w:val="24"/>
        </w:rPr>
        <w:t>, 0214</w:t>
      </w:r>
      <w:r w:rsidRPr="006F68E9">
        <w:rPr>
          <w:rFonts w:ascii="Times New Roman" w:hAnsi="Times New Roman"/>
          <w:sz w:val="24"/>
        </w:rPr>
        <w:t>).</w:t>
      </w:r>
    </w:p>
    <w:p w:rsidR="009C5D68" w:rsidRPr="008B3385" w:rsidP="005304E7" w14:paraId="282CCAFE" w14:textId="2A5C4184">
      <w:pPr>
        <w:ind w:left="720"/>
        <w:rPr>
          <w:rFonts w:ascii="Times New Roman" w:hAnsi="Times New Roman"/>
          <w:b/>
          <w:sz w:val="24"/>
        </w:rPr>
      </w:pPr>
      <w:r w:rsidRPr="00EC10AC">
        <w:rPr>
          <w:rFonts w:ascii="Times New Roman" w:hAnsi="Times New Roman"/>
          <w:b/>
          <w:sz w:val="24"/>
        </w:rPr>
        <w:t>EPA Response:</w:t>
      </w:r>
      <w:r w:rsidRPr="00EC10AC">
        <w:rPr>
          <w:rFonts w:ascii="Times New Roman" w:hAnsi="Times New Roman"/>
          <w:b/>
          <w:bCs/>
          <w:sz w:val="24"/>
        </w:rPr>
        <w:t xml:space="preserve"> </w:t>
      </w:r>
      <w:r w:rsidRPr="00EC10AC" w:rsidR="005304E7">
        <w:rPr>
          <w:rFonts w:ascii="Times New Roman" w:hAnsi="Times New Roman"/>
          <w:sz w:val="24"/>
        </w:rPr>
        <w:t>As the small entity analysis indicates</w:t>
      </w:r>
      <w:r w:rsidR="00EC10AC">
        <w:rPr>
          <w:rFonts w:ascii="Times New Roman" w:hAnsi="Times New Roman"/>
          <w:sz w:val="24"/>
        </w:rPr>
        <w:t>,</w:t>
      </w:r>
      <w:r w:rsidRPr="00EC10AC" w:rsidR="005304E7">
        <w:rPr>
          <w:rFonts w:ascii="Times New Roman" w:hAnsi="Times New Roman"/>
          <w:sz w:val="24"/>
        </w:rPr>
        <w:t xml:space="preserve"> the final rule will not impose a significant economic burden to a substantial number of small entities exceeding the threshold amount of 1 percent of small entity revenues.</w:t>
      </w:r>
      <w:r w:rsidR="00EC10AC">
        <w:rPr>
          <w:rFonts w:ascii="Times New Roman" w:hAnsi="Times New Roman"/>
          <w:sz w:val="24"/>
        </w:rPr>
        <w:t xml:space="preserve"> As such</w:t>
      </w:r>
      <w:r w:rsidR="00663DFC">
        <w:rPr>
          <w:rFonts w:ascii="Times New Roman" w:hAnsi="Times New Roman"/>
          <w:sz w:val="24"/>
        </w:rPr>
        <w:t>,</w:t>
      </w:r>
      <w:r w:rsidR="00EC10AC">
        <w:rPr>
          <w:rFonts w:ascii="Times New Roman" w:hAnsi="Times New Roman"/>
          <w:sz w:val="24"/>
        </w:rPr>
        <w:t xml:space="preserve"> a</w:t>
      </w:r>
      <w:r w:rsidR="000E1DF1">
        <w:rPr>
          <w:rFonts w:ascii="Times New Roman" w:hAnsi="Times New Roman"/>
          <w:sz w:val="24"/>
        </w:rPr>
        <w:t>n</w:t>
      </w:r>
      <w:r w:rsidR="00EC10AC">
        <w:rPr>
          <w:rFonts w:ascii="Times New Roman" w:hAnsi="Times New Roman"/>
          <w:sz w:val="24"/>
        </w:rPr>
        <w:t xml:space="preserve"> SBAR </w:t>
      </w:r>
      <w:r w:rsidR="000920EC">
        <w:rPr>
          <w:rFonts w:ascii="Times New Roman" w:hAnsi="Times New Roman"/>
          <w:sz w:val="24"/>
        </w:rPr>
        <w:t>panel</w:t>
      </w:r>
      <w:r w:rsidR="00416EE9">
        <w:rPr>
          <w:rFonts w:ascii="Times New Roman" w:hAnsi="Times New Roman"/>
          <w:sz w:val="24"/>
        </w:rPr>
        <w:t xml:space="preserve"> is not r</w:t>
      </w:r>
      <w:r w:rsidR="00BF6924">
        <w:rPr>
          <w:rFonts w:ascii="Times New Roman" w:hAnsi="Times New Roman"/>
          <w:sz w:val="24"/>
        </w:rPr>
        <w:t>equired based on th</w:t>
      </w:r>
      <w:r w:rsidR="00663DFC">
        <w:rPr>
          <w:rFonts w:ascii="Times New Roman" w:hAnsi="Times New Roman"/>
          <w:sz w:val="24"/>
        </w:rPr>
        <w:t xml:space="preserve">e outcome of the analysis. </w:t>
      </w:r>
    </w:p>
    <w:p w:rsidR="009C5D68" w:rsidRPr="005832EC" w:rsidP="00EF28F0" w14:paraId="597427D9" w14:textId="77777777">
      <w:pPr>
        <w:pStyle w:val="Heading2"/>
        <w:tabs>
          <w:tab w:val="clear" w:pos="8684"/>
        </w:tabs>
        <w:spacing w:before="120"/>
        <w:rPr>
          <w:rFonts w:ascii="Times New Roman" w:hAnsi="Times New Roman" w:cs="Times New Roman"/>
          <w:b/>
          <w:bCs/>
          <w:color w:val="auto"/>
          <w:sz w:val="24"/>
          <w:szCs w:val="24"/>
        </w:rPr>
      </w:pPr>
      <w:bookmarkStart w:id="240" w:name="_Toc146880076"/>
      <w:bookmarkStart w:id="241" w:name="_Toc153373862"/>
      <w:r w:rsidRPr="005832EC">
        <w:rPr>
          <w:rFonts w:ascii="Times New Roman" w:hAnsi="Times New Roman" w:cs="Times New Roman"/>
          <w:b/>
          <w:bCs/>
          <w:color w:val="auto"/>
          <w:sz w:val="24"/>
          <w:szCs w:val="24"/>
        </w:rPr>
        <w:t>Unfunded Mandates Reform Act (UMRA)</w:t>
      </w:r>
      <w:bookmarkEnd w:id="240"/>
      <w:bookmarkEnd w:id="241"/>
    </w:p>
    <w:p w:rsidR="009C5D68" w:rsidRPr="005832EC" w:rsidP="009C5D68" w14:paraId="582984CD" w14:textId="77777777">
      <w:pPr>
        <w:rPr>
          <w:rFonts w:ascii="Times New Roman" w:eastAsia="Times New Roman" w:hAnsi="Times New Roman"/>
          <w:i/>
          <w:sz w:val="24"/>
        </w:rPr>
      </w:pPr>
      <w:bookmarkStart w:id="242" w:name="_Toc146880077"/>
      <w:r w:rsidRPr="005832EC">
        <w:rPr>
          <w:rFonts w:ascii="Times New Roman" w:eastAsia="Times New Roman" w:hAnsi="Times New Roman"/>
          <w:i/>
          <w:sz w:val="24"/>
        </w:rPr>
        <w:t>No comments were coded to this issue.</w:t>
      </w:r>
    </w:p>
    <w:p w:rsidR="009C5D68" w:rsidRPr="005832EC" w:rsidP="00EF28F0" w14:paraId="4BD88590" w14:textId="77777777">
      <w:pPr>
        <w:pStyle w:val="Heading2"/>
        <w:tabs>
          <w:tab w:val="clear" w:pos="8684"/>
        </w:tabs>
        <w:spacing w:before="120"/>
        <w:rPr>
          <w:rFonts w:ascii="Times New Roman" w:hAnsi="Times New Roman" w:cs="Times New Roman"/>
          <w:b/>
          <w:bCs/>
          <w:color w:val="auto"/>
          <w:sz w:val="24"/>
          <w:szCs w:val="24"/>
        </w:rPr>
      </w:pPr>
      <w:bookmarkStart w:id="243" w:name="_Toc153373863"/>
      <w:r w:rsidRPr="005832EC">
        <w:rPr>
          <w:rFonts w:ascii="Times New Roman" w:hAnsi="Times New Roman" w:cs="Times New Roman"/>
          <w:b/>
          <w:bCs/>
          <w:color w:val="auto"/>
          <w:sz w:val="24"/>
          <w:szCs w:val="24"/>
        </w:rPr>
        <w:t>Executive Order 13132: Federalism</w:t>
      </w:r>
      <w:bookmarkEnd w:id="242"/>
      <w:bookmarkEnd w:id="243"/>
    </w:p>
    <w:p w:rsidR="009C5D68" w:rsidRPr="005832EC" w:rsidP="009C5D68" w14:paraId="4C88BE07" w14:textId="77777777">
      <w:pPr>
        <w:rPr>
          <w:rFonts w:ascii="Times New Roman" w:eastAsia="Times New Roman" w:hAnsi="Times New Roman"/>
          <w:i/>
          <w:sz w:val="24"/>
        </w:rPr>
      </w:pPr>
      <w:bookmarkStart w:id="244" w:name="_Toc146880078"/>
      <w:r w:rsidRPr="005832EC">
        <w:rPr>
          <w:rFonts w:ascii="Times New Roman" w:eastAsia="Times New Roman" w:hAnsi="Times New Roman"/>
          <w:i/>
          <w:sz w:val="24"/>
        </w:rPr>
        <w:t>No comments were coded to this issue.</w:t>
      </w:r>
    </w:p>
    <w:p w:rsidR="009C5D68" w:rsidRPr="005832EC" w:rsidP="00EF28F0" w14:paraId="34EEEEC8" w14:textId="77777777">
      <w:pPr>
        <w:pStyle w:val="Heading2"/>
        <w:tabs>
          <w:tab w:val="clear" w:pos="8684"/>
        </w:tabs>
        <w:spacing w:before="120"/>
        <w:rPr>
          <w:rFonts w:ascii="Times New Roman" w:hAnsi="Times New Roman" w:cs="Times New Roman"/>
          <w:b/>
          <w:bCs/>
          <w:color w:val="auto"/>
          <w:sz w:val="24"/>
          <w:szCs w:val="24"/>
        </w:rPr>
      </w:pPr>
      <w:bookmarkStart w:id="245" w:name="_Toc153373864"/>
      <w:r w:rsidRPr="005832EC">
        <w:rPr>
          <w:rFonts w:ascii="Times New Roman" w:hAnsi="Times New Roman" w:cs="Times New Roman"/>
          <w:b/>
          <w:bCs/>
          <w:color w:val="auto"/>
          <w:sz w:val="24"/>
          <w:szCs w:val="24"/>
        </w:rPr>
        <w:t>Executive Order 13175: Consultation and Coordination With Indian Tribal Governments</w:t>
      </w:r>
      <w:bookmarkEnd w:id="244"/>
      <w:bookmarkEnd w:id="245"/>
    </w:p>
    <w:p w:rsidR="009C5D68" w:rsidRPr="005832EC" w:rsidP="009C5D68" w14:paraId="4D4B3922" w14:textId="77777777">
      <w:pPr>
        <w:rPr>
          <w:rFonts w:ascii="Times New Roman" w:eastAsia="Times New Roman" w:hAnsi="Times New Roman"/>
          <w:i/>
          <w:sz w:val="24"/>
        </w:rPr>
      </w:pPr>
      <w:r w:rsidRPr="005832EC">
        <w:rPr>
          <w:rFonts w:ascii="Times New Roman" w:eastAsia="Times New Roman" w:hAnsi="Times New Roman"/>
          <w:i/>
          <w:sz w:val="24"/>
        </w:rPr>
        <w:t>No comments were coded to this issue.</w:t>
      </w:r>
    </w:p>
    <w:p w:rsidR="009C5D68" w:rsidRPr="006F68E9" w:rsidP="00EF28F0" w14:paraId="59DBBC52" w14:textId="77777777">
      <w:pPr>
        <w:pStyle w:val="Heading2"/>
        <w:tabs>
          <w:tab w:val="clear" w:pos="8684"/>
        </w:tabs>
        <w:spacing w:before="120"/>
        <w:rPr>
          <w:rFonts w:ascii="Times New Roman" w:hAnsi="Times New Roman" w:cs="Times New Roman"/>
          <w:b/>
          <w:bCs/>
          <w:color w:val="auto"/>
          <w:sz w:val="24"/>
          <w:szCs w:val="24"/>
        </w:rPr>
      </w:pPr>
      <w:bookmarkStart w:id="246" w:name="_Toc146880079"/>
      <w:bookmarkStart w:id="247" w:name="_Toc153373865"/>
      <w:r w:rsidRPr="006F68E9">
        <w:rPr>
          <w:rFonts w:ascii="Times New Roman" w:hAnsi="Times New Roman" w:cs="Times New Roman"/>
          <w:b/>
          <w:bCs/>
          <w:color w:val="auto"/>
          <w:sz w:val="24"/>
          <w:szCs w:val="24"/>
        </w:rPr>
        <w:t>Executive Order 13045: Protection of Children From Environmental Health Risks and Safety Risks</w:t>
      </w:r>
      <w:bookmarkEnd w:id="246"/>
      <w:bookmarkEnd w:id="247"/>
    </w:p>
    <w:p w:rsidR="009C5D68" w:rsidP="009C5D68" w14:paraId="5DD47000" w14:textId="32D12D32">
      <w:pPr>
        <w:rPr>
          <w:rFonts w:ascii="Times New Roman" w:hAnsi="Times New Roman"/>
          <w:sz w:val="24"/>
        </w:rPr>
      </w:pPr>
      <w:r w:rsidRPr="004B6E82">
        <w:rPr>
          <w:rFonts w:ascii="Times New Roman" w:hAnsi="Times New Roman"/>
          <w:b/>
          <w:bCs/>
          <w:sz w:val="24"/>
        </w:rPr>
        <w:t>Comment 2</w:t>
      </w:r>
      <w:r w:rsidR="00501B3C">
        <w:rPr>
          <w:rFonts w:ascii="Times New Roman" w:hAnsi="Times New Roman"/>
          <w:b/>
          <w:bCs/>
          <w:sz w:val="24"/>
        </w:rPr>
        <w:t>1</w:t>
      </w:r>
      <w:r w:rsidRPr="004B6E82">
        <w:rPr>
          <w:rFonts w:ascii="Times New Roman" w:hAnsi="Times New Roman"/>
          <w:b/>
          <w:bCs/>
          <w:sz w:val="24"/>
        </w:rPr>
        <w:t>.7-01:</w:t>
      </w:r>
      <w:r>
        <w:rPr>
          <w:rFonts w:ascii="Times New Roman" w:hAnsi="Times New Roman"/>
          <w:sz w:val="24"/>
        </w:rPr>
        <w:t xml:space="preserve"> Several commenters emphasized the importance of protecting children from environmental health risks and safety risks (0249, 0158, 0160, 0451). </w:t>
      </w:r>
    </w:p>
    <w:p w:rsidR="009C5D68" w:rsidRPr="006F68E9" w:rsidP="009C5D68" w14:paraId="39D9A484"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asserted</w:t>
      </w:r>
      <w:r w:rsidRPr="006F68E9">
        <w:rPr>
          <w:rFonts w:ascii="Times New Roman" w:hAnsi="Times New Roman"/>
          <w:sz w:val="24"/>
        </w:rPr>
        <w:t xml:space="preserve"> that requiring facilities regulated by the RMP to implement inherently safer chemicals, technologies, and processes is essential, not only for the health of manufacturing communities, but for communities across the supply chain. The commenter suggested that communities deserve to be informed about which chemicals are being stockpiled and used in their communities and should not be required to track down the information at each individual chemical facility within a 6-mile radius from their home. The commenter also suggested that communities must be informed at the same time, in plain language, if the chemicals in these RMP facilities can harm children’s brains, cause cancer or what health effects the chemicals are linked to (0249).</w:t>
      </w:r>
    </w:p>
    <w:p w:rsidR="009C5D68" w:rsidP="009C5D68" w14:paraId="6D8920BC" w14:textId="00DB5C58">
      <w:pPr>
        <w:rPr>
          <w:rFonts w:ascii="Times New Roman" w:hAnsi="Times New Roman"/>
          <w:sz w:val="24"/>
        </w:rPr>
      </w:pPr>
      <w:r w:rsidRPr="006F68E9">
        <w:rPr>
          <w:rFonts w:ascii="Times New Roman" w:hAnsi="Times New Roman"/>
          <w:sz w:val="24"/>
        </w:rPr>
        <w:t xml:space="preserve">Several commenters </w:t>
      </w:r>
      <w:r>
        <w:rPr>
          <w:rFonts w:ascii="Times New Roman" w:hAnsi="Times New Roman"/>
          <w:sz w:val="24"/>
        </w:rPr>
        <w:t>stated</w:t>
      </w:r>
      <w:r w:rsidRPr="006F68E9">
        <w:rPr>
          <w:rFonts w:ascii="Times New Roman" w:hAnsi="Times New Roman"/>
          <w:sz w:val="24"/>
        </w:rPr>
        <w:t xml:space="preserve"> that over one in every three schoolchildren in the US attends a school within the vulnerable zone of a</w:t>
      </w:r>
      <w:r w:rsidR="00AA61B8">
        <w:rPr>
          <w:rFonts w:ascii="Times New Roman" w:hAnsi="Times New Roman"/>
          <w:sz w:val="24"/>
        </w:rPr>
        <w:t>n</w:t>
      </w:r>
      <w:r w:rsidRPr="006F68E9">
        <w:rPr>
          <w:rFonts w:ascii="Times New Roman" w:hAnsi="Times New Roman"/>
          <w:sz w:val="24"/>
        </w:rPr>
        <w:t xml:space="preserve"> RMP facility, with half of these children in schools located in more than one chemical vulnerab</w:t>
      </w:r>
      <w:r w:rsidR="00AA61B8">
        <w:rPr>
          <w:rFonts w:ascii="Times New Roman" w:hAnsi="Times New Roman"/>
          <w:sz w:val="24"/>
        </w:rPr>
        <w:t>le</w:t>
      </w:r>
      <w:r w:rsidRPr="006F68E9">
        <w:rPr>
          <w:rFonts w:ascii="Times New Roman" w:hAnsi="Times New Roman"/>
          <w:sz w:val="24"/>
        </w:rPr>
        <w:t xml:space="preserve"> zone. The commenters expressed concern about the risk to children’s health and safety, especially given that children’s bodies are still developing, from possible chemical exposure and releases due to accidents, noting specific examples of incidents. The commenters also </w:t>
      </w:r>
      <w:r>
        <w:rPr>
          <w:rFonts w:ascii="Times New Roman" w:hAnsi="Times New Roman"/>
          <w:sz w:val="24"/>
        </w:rPr>
        <w:t>discussed</w:t>
      </w:r>
      <w:r w:rsidRPr="006F68E9">
        <w:rPr>
          <w:rFonts w:ascii="Times New Roman" w:hAnsi="Times New Roman"/>
          <w:sz w:val="24"/>
        </w:rPr>
        <w:t xml:space="preserve"> proximity of facilities, including those yet to be constructed, to communities and schools (0158, 0160</w:t>
      </w:r>
      <w:r w:rsidRPr="42DA4DF9" w:rsidR="00C72917">
        <w:rPr>
          <w:rFonts w:ascii="Times New Roman" w:hAnsi="Times New Roman"/>
          <w:sz w:val="24"/>
        </w:rPr>
        <w:t>, 0451</w:t>
      </w:r>
      <w:r w:rsidRPr="42DA4DF9">
        <w:rPr>
          <w:rFonts w:ascii="Times New Roman" w:hAnsi="Times New Roman"/>
          <w:sz w:val="24"/>
        </w:rPr>
        <w:t>).</w:t>
      </w:r>
    </w:p>
    <w:p w:rsidR="009C5D68" w:rsidRPr="009F7215" w:rsidP="009C5D68" w14:paraId="31716D0F" w14:textId="15818C16">
      <w:pPr>
        <w:ind w:left="720"/>
        <w:rPr>
          <w:rFonts w:ascii="Times New Roman" w:hAnsi="Times New Roman"/>
          <w:b/>
          <w:sz w:val="24"/>
        </w:rPr>
      </w:pPr>
      <w:r w:rsidRPr="00CD6A88">
        <w:rPr>
          <w:rFonts w:ascii="Times New Roman" w:hAnsi="Times New Roman"/>
          <w:b/>
          <w:bCs/>
          <w:sz w:val="24"/>
        </w:rPr>
        <w:t>EPA Response:</w:t>
      </w:r>
      <w:r w:rsidRPr="009F7215">
        <w:rPr>
          <w:rFonts w:ascii="Times New Roman" w:hAnsi="Times New Roman"/>
          <w:b/>
          <w:bCs/>
          <w:sz w:val="24"/>
        </w:rPr>
        <w:t xml:space="preserve"> </w:t>
      </w:r>
      <w:r w:rsidRPr="007010F6" w:rsidR="007010F6">
        <w:t xml:space="preserve"> </w:t>
      </w:r>
      <w:r w:rsidRPr="004A4DE6" w:rsidR="007010F6">
        <w:rPr>
          <w:rFonts w:ascii="Times New Roman" w:hAnsi="Times New Roman"/>
          <w:sz w:val="24"/>
        </w:rPr>
        <w:t xml:space="preserve">EPA </w:t>
      </w:r>
      <w:r w:rsidR="004A4DE6">
        <w:rPr>
          <w:rFonts w:ascii="Times New Roman" w:hAnsi="Times New Roman"/>
          <w:sz w:val="24"/>
        </w:rPr>
        <w:t>acknowledges the</w:t>
      </w:r>
      <w:r w:rsidRPr="004A4DE6" w:rsidR="007010F6">
        <w:rPr>
          <w:rFonts w:ascii="Times New Roman" w:hAnsi="Times New Roman"/>
          <w:sz w:val="24"/>
        </w:rPr>
        <w:t xml:space="preserve"> scientific understanding that children may be at greater risk to environmental contaminants</w:t>
      </w:r>
      <w:r w:rsidR="00AA77B5">
        <w:rPr>
          <w:rFonts w:ascii="Times New Roman" w:hAnsi="Times New Roman"/>
          <w:sz w:val="24"/>
        </w:rPr>
        <w:t xml:space="preserve">, such as </w:t>
      </w:r>
      <w:r w:rsidRPr="00AA77B5" w:rsidR="00AA77B5">
        <w:rPr>
          <w:rFonts w:ascii="Times New Roman" w:hAnsi="Times New Roman"/>
          <w:sz w:val="24"/>
        </w:rPr>
        <w:t>chemical exposure and releases due to accidents</w:t>
      </w:r>
      <w:r w:rsidR="00AA77B5">
        <w:rPr>
          <w:rFonts w:ascii="Times New Roman" w:hAnsi="Times New Roman"/>
          <w:sz w:val="24"/>
        </w:rPr>
        <w:t>,</w:t>
      </w:r>
      <w:r w:rsidRPr="00AA77B5" w:rsidR="00AA77B5">
        <w:rPr>
          <w:rFonts w:ascii="Times New Roman" w:hAnsi="Times New Roman"/>
          <w:sz w:val="24"/>
        </w:rPr>
        <w:t xml:space="preserve"> </w:t>
      </w:r>
      <w:r w:rsidRPr="004A4DE6" w:rsidR="007010F6">
        <w:rPr>
          <w:rFonts w:ascii="Times New Roman" w:hAnsi="Times New Roman"/>
          <w:sz w:val="24"/>
        </w:rPr>
        <w:t xml:space="preserve">than adults due to differences in behavior and biology and that the effects of early life exposures may also arise in adulthood or in later generations. </w:t>
      </w:r>
      <w:r w:rsidR="00AA77B5">
        <w:rPr>
          <w:rFonts w:ascii="Times New Roman" w:hAnsi="Times New Roman"/>
          <w:sz w:val="24"/>
        </w:rPr>
        <w:t xml:space="preserve">Nevertheless, </w:t>
      </w:r>
      <w:r w:rsidRPr="004A4DE6" w:rsidR="004A4DE6">
        <w:rPr>
          <w:rFonts w:ascii="Times New Roman" w:hAnsi="Times New Roman"/>
          <w:sz w:val="24"/>
        </w:rPr>
        <w:t xml:space="preserve">EPA does not believe the environmental health risks or safety risks addressed by this action present a disproportionate risk to children as the Agency </w:t>
      </w:r>
      <w:r w:rsidRPr="004A4DE6">
        <w:rPr>
          <w:rFonts w:ascii="Times New Roman" w:hAnsi="Times New Roman"/>
          <w:sz w:val="24"/>
        </w:rPr>
        <w:t>believes that the revisions to the RMP regulations made by this final rule will further protect human health, including the health of children, through advancement of process safety.</w:t>
      </w:r>
      <w:r w:rsidRPr="004A4DE6" w:rsidR="002D0FAA">
        <w:rPr>
          <w:rFonts w:ascii="Times New Roman" w:hAnsi="Times New Roman"/>
          <w:sz w:val="24"/>
        </w:rPr>
        <w:t xml:space="preserve"> </w:t>
      </w:r>
      <w:r w:rsidRPr="004A4DE6" w:rsidR="004572FA">
        <w:rPr>
          <w:rFonts w:ascii="Times New Roman" w:hAnsi="Times New Roman"/>
          <w:sz w:val="24"/>
        </w:rPr>
        <w:t>Particularly</w:t>
      </w:r>
      <w:r w:rsidRPr="004A4DE6" w:rsidR="002D0FAA">
        <w:rPr>
          <w:rFonts w:ascii="Times New Roman" w:hAnsi="Times New Roman"/>
          <w:sz w:val="24"/>
        </w:rPr>
        <w:t xml:space="preserve"> regarding information availability, EPA continues to believe that providing chemical hazard information to the </w:t>
      </w:r>
      <w:r w:rsidRPr="004A4DE6" w:rsidR="004572FA">
        <w:rPr>
          <w:rFonts w:ascii="Times New Roman" w:hAnsi="Times New Roman"/>
          <w:sz w:val="24"/>
        </w:rPr>
        <w:t>general public</w:t>
      </w:r>
      <w:r w:rsidRPr="004A4DE6" w:rsidR="002D0FAA">
        <w:rPr>
          <w:rFonts w:ascii="Times New Roman" w:hAnsi="Times New Roman"/>
          <w:sz w:val="24"/>
        </w:rPr>
        <w:t xml:space="preserve"> will allow people that live or work near a regulated facility to improve their awareness of risks to </w:t>
      </w:r>
      <w:r w:rsidRPr="004A4DE6" w:rsidR="00AE1C81">
        <w:rPr>
          <w:rFonts w:ascii="Times New Roman" w:hAnsi="Times New Roman"/>
          <w:sz w:val="24"/>
        </w:rPr>
        <w:t>the health</w:t>
      </w:r>
      <w:r w:rsidRPr="004A4DE6" w:rsidR="00BE502E">
        <w:rPr>
          <w:rFonts w:ascii="Times New Roman" w:hAnsi="Times New Roman"/>
          <w:sz w:val="24"/>
        </w:rPr>
        <w:t xml:space="preserve"> of</w:t>
      </w:r>
      <w:r w:rsidRPr="004A4DE6" w:rsidR="004572FA">
        <w:rPr>
          <w:rFonts w:ascii="Times New Roman" w:hAnsi="Times New Roman"/>
          <w:sz w:val="24"/>
        </w:rPr>
        <w:t xml:space="preserve"> children</w:t>
      </w:r>
      <w:r w:rsidRPr="004A4DE6" w:rsidR="00BE502E">
        <w:rPr>
          <w:rFonts w:ascii="Times New Roman" w:hAnsi="Times New Roman"/>
          <w:sz w:val="24"/>
        </w:rPr>
        <w:t>,</w:t>
      </w:r>
      <w:r w:rsidRPr="004A4DE6" w:rsidR="004572FA">
        <w:rPr>
          <w:rFonts w:ascii="Times New Roman" w:hAnsi="Times New Roman"/>
          <w:sz w:val="24"/>
        </w:rPr>
        <w:t xml:space="preserve"> adults</w:t>
      </w:r>
      <w:r w:rsidRPr="004A4DE6" w:rsidR="002D0FAA">
        <w:rPr>
          <w:rFonts w:ascii="Times New Roman" w:hAnsi="Times New Roman"/>
          <w:sz w:val="24"/>
        </w:rPr>
        <w:t xml:space="preserve"> and the community and to be prepared to protect themselves in the event of an accidental release. The public’s ability to participate in emergency planning and readiness is enhanced by being better informed about accident history, types of chemicals present, and how to interact with the stationary source.</w:t>
      </w:r>
      <w:r w:rsidRPr="004A4DE6">
        <w:rPr>
          <w:rFonts w:ascii="Times New Roman" w:hAnsi="Times New Roman"/>
          <w:sz w:val="24"/>
        </w:rPr>
        <w:tab/>
      </w:r>
    </w:p>
    <w:p w:rsidR="009C5D68" w:rsidP="009C5D68" w14:paraId="6771B775" w14:textId="6248DB86">
      <w:pPr>
        <w:rPr>
          <w:rFonts w:ascii="Times New Roman" w:hAnsi="Times New Roman"/>
          <w:sz w:val="24"/>
        </w:rPr>
      </w:pPr>
      <w:r w:rsidRPr="00807E31">
        <w:rPr>
          <w:rFonts w:ascii="Times New Roman" w:hAnsi="Times New Roman"/>
          <w:b/>
          <w:bCs/>
          <w:sz w:val="24"/>
        </w:rPr>
        <w:t>Comment 2</w:t>
      </w:r>
      <w:r w:rsidR="00501B3C">
        <w:rPr>
          <w:rFonts w:ascii="Times New Roman" w:hAnsi="Times New Roman"/>
          <w:b/>
          <w:bCs/>
          <w:sz w:val="24"/>
        </w:rPr>
        <w:t>1</w:t>
      </w:r>
      <w:r w:rsidRPr="00807E31">
        <w:rPr>
          <w:rFonts w:ascii="Times New Roman" w:hAnsi="Times New Roman"/>
          <w:b/>
          <w:bCs/>
          <w:sz w:val="24"/>
        </w:rPr>
        <w:t>.7-02:</w:t>
      </w:r>
      <w:r>
        <w:rPr>
          <w:rFonts w:ascii="Times New Roman" w:hAnsi="Times New Roman"/>
          <w:sz w:val="24"/>
        </w:rPr>
        <w:t xml:space="preserve"> A few commenters suggested that EPA strengthen the proposed rule to protect children from environmental health risks and safety risks (0251, 0383). </w:t>
      </w:r>
    </w:p>
    <w:p w:rsidR="009C5D68" w:rsidRPr="006F68E9" w:rsidP="009C5D68" w14:paraId="1097E9A2" w14:textId="77777777">
      <w:pPr>
        <w:rPr>
          <w:rFonts w:ascii="Times New Roman" w:hAnsi="Times New Roman"/>
          <w:sz w:val="24"/>
        </w:rPr>
      </w:pPr>
      <w:r w:rsidRPr="006F68E9">
        <w:rPr>
          <w:rFonts w:ascii="Times New Roman" w:hAnsi="Times New Roman"/>
          <w:sz w:val="24"/>
        </w:rPr>
        <w:t xml:space="preserve">One commenter </w:t>
      </w:r>
      <w:r>
        <w:rPr>
          <w:rFonts w:ascii="Times New Roman" w:hAnsi="Times New Roman"/>
          <w:sz w:val="24"/>
        </w:rPr>
        <w:t>stated</w:t>
      </w:r>
      <w:r w:rsidRPr="006F68E9">
        <w:rPr>
          <w:rFonts w:ascii="Times New Roman" w:hAnsi="Times New Roman"/>
          <w:sz w:val="24"/>
        </w:rPr>
        <w:t xml:space="preserve"> that toxic releases from facilities that process extremely hazardous substances expose students, families, and educators to significant harm. </w:t>
      </w:r>
      <w:r>
        <w:rPr>
          <w:rFonts w:ascii="Times New Roman" w:hAnsi="Times New Roman"/>
          <w:sz w:val="24"/>
        </w:rPr>
        <w:t>The</w:t>
      </w:r>
      <w:r w:rsidRPr="006F68E9">
        <w:rPr>
          <w:rFonts w:ascii="Times New Roman" w:hAnsi="Times New Roman"/>
          <w:sz w:val="24"/>
        </w:rPr>
        <w:t xml:space="preserve"> commenter reported on a recent study which found that 1,977 schools were located within an approximately two-mile radius of 305 facilities (with the highest releases of air toxins, including five chemicals that are known as developmental toxins) putting approximately 964,525 students at risk. The commenter added that all students should be able to go to school and live in a community that fosters health and prosperity</w:t>
      </w:r>
      <w:r>
        <w:rPr>
          <w:rFonts w:ascii="Times New Roman" w:hAnsi="Times New Roman"/>
          <w:sz w:val="24"/>
        </w:rPr>
        <w:t xml:space="preserve">. </w:t>
      </w:r>
      <w:r w:rsidRPr="006F68E9">
        <w:rPr>
          <w:rFonts w:ascii="Times New Roman" w:hAnsi="Times New Roman"/>
          <w:sz w:val="24"/>
        </w:rPr>
        <w:t>The commenter requested that EPA strengthen the RMP rule to address this issue (0251).</w:t>
      </w:r>
    </w:p>
    <w:p w:rsidR="009C5D68" w:rsidRPr="006F68E9" w:rsidP="009C5D68" w14:paraId="2EEAB56F" w14:textId="77777777">
      <w:pPr>
        <w:rPr>
          <w:rFonts w:ascii="Times New Roman" w:hAnsi="Times New Roman"/>
          <w:sz w:val="24"/>
        </w:rPr>
      </w:pPr>
      <w:r w:rsidRPr="006F68E9">
        <w:rPr>
          <w:rFonts w:ascii="Times New Roman" w:hAnsi="Times New Roman"/>
          <w:sz w:val="24"/>
        </w:rPr>
        <w:t xml:space="preserve">Another commenter stated that their community endures more than enough poor air quality at the expense of the health of all ages within the community. The commenter </w:t>
      </w:r>
      <w:r>
        <w:rPr>
          <w:rFonts w:ascii="Times New Roman" w:hAnsi="Times New Roman"/>
          <w:sz w:val="24"/>
        </w:rPr>
        <w:t>stated</w:t>
      </w:r>
      <w:r w:rsidRPr="006F68E9">
        <w:rPr>
          <w:rFonts w:ascii="Times New Roman" w:hAnsi="Times New Roman"/>
          <w:sz w:val="24"/>
        </w:rPr>
        <w:t xml:space="preserve"> that too many elected officials and industry executives hold onto outdated practices. The commenter suggested that industry should pivot to require a STAA that can advise of the safer chemicals that can be used (0383).</w:t>
      </w:r>
    </w:p>
    <w:p w:rsidR="002C09F5" w:rsidP="009C5D68" w14:paraId="4235E172" w14:textId="197C629B">
      <w:pPr>
        <w:ind w:left="720"/>
        <w:rPr>
          <w:rFonts w:ascii="Times New Roman" w:hAnsi="Times New Roman"/>
          <w:sz w:val="24"/>
        </w:rPr>
      </w:pPr>
      <w:r w:rsidRPr="00E62ECF">
        <w:rPr>
          <w:rFonts w:ascii="Times New Roman" w:hAnsi="Times New Roman"/>
          <w:b/>
          <w:bCs/>
          <w:sz w:val="24"/>
        </w:rPr>
        <w:t>EPA Response:</w:t>
      </w:r>
      <w:r w:rsidRPr="00E62ECF">
        <w:rPr>
          <w:rFonts w:ascii="Times New Roman" w:hAnsi="Times New Roman"/>
          <w:sz w:val="24"/>
        </w:rPr>
        <w:t xml:space="preserve"> </w:t>
      </w:r>
      <w:r w:rsidRPr="00C2713C">
        <w:rPr>
          <w:rFonts w:ascii="Times New Roman" w:hAnsi="Times New Roman"/>
          <w:sz w:val="24"/>
        </w:rPr>
        <w:t>This action is not subject to E.O. 13045 because EPA does not believe the environmental health risks or safety risks addressed by this action present a disproportionate risk to children.</w:t>
      </w:r>
      <w:r w:rsidRPr="00E62ECF">
        <w:rPr>
          <w:rFonts w:ascii="Times New Roman" w:hAnsi="Times New Roman"/>
          <w:sz w:val="24"/>
        </w:rPr>
        <w:t xml:space="preserve"> </w:t>
      </w:r>
      <w:r w:rsidR="00D02D87">
        <w:rPr>
          <w:rFonts w:ascii="Times New Roman" w:hAnsi="Times New Roman"/>
          <w:sz w:val="24"/>
        </w:rPr>
        <w:t xml:space="preserve">As major RMP accidents continue to occur, </w:t>
      </w:r>
      <w:r w:rsidRPr="00E62ECF">
        <w:rPr>
          <w:rFonts w:ascii="Times New Roman" w:hAnsi="Times New Roman"/>
          <w:sz w:val="24"/>
        </w:rPr>
        <w:t>EPA believes that the revisions to the RMP regulations made by this final rule will further protect human health, including the health of children, through advancement of process safety.</w:t>
      </w:r>
    </w:p>
    <w:p w:rsidR="009C5D68" w:rsidRPr="006F68E9" w:rsidP="009C5D68" w14:paraId="7D3F2508" w14:textId="3F512AEE">
      <w:pPr>
        <w:ind w:left="720"/>
        <w:rPr>
          <w:rFonts w:ascii="Times New Roman" w:hAnsi="Times New Roman"/>
          <w:sz w:val="24"/>
        </w:rPr>
      </w:pPr>
      <w:r w:rsidRPr="002C09F5">
        <w:rPr>
          <w:rFonts w:ascii="Times New Roman" w:hAnsi="Times New Roman"/>
          <w:sz w:val="24"/>
        </w:rPr>
        <w:t>EPA hosted virtual public hearings on September 26, 27, and 28, 2022 to provide interested parties the opportunity to present data, views or arguments concerning the proposed action</w:t>
      </w:r>
      <w:r w:rsidR="00C77543">
        <w:rPr>
          <w:rFonts w:ascii="Times New Roman" w:hAnsi="Times New Roman"/>
          <w:sz w:val="24"/>
        </w:rPr>
        <w:t>, many of which in</w:t>
      </w:r>
      <w:r w:rsidR="008C213C">
        <w:rPr>
          <w:rFonts w:ascii="Times New Roman" w:hAnsi="Times New Roman"/>
          <w:sz w:val="24"/>
        </w:rPr>
        <w:t xml:space="preserve">cluded </w:t>
      </w:r>
      <w:r w:rsidR="00C1310F">
        <w:rPr>
          <w:rFonts w:ascii="Times New Roman" w:hAnsi="Times New Roman"/>
          <w:sz w:val="24"/>
        </w:rPr>
        <w:t xml:space="preserve">the consequences to community on accidental releases. </w:t>
      </w:r>
      <w:r w:rsidRPr="009E0AE3" w:rsidR="009E0AE3">
        <w:rPr>
          <w:rFonts w:ascii="Times New Roman" w:hAnsi="Times New Roman"/>
          <w:sz w:val="24"/>
        </w:rPr>
        <w:t xml:space="preserve">Information collected through oral testimonies and written comments from the hearings informed </w:t>
      </w:r>
      <w:r w:rsidR="009E0AE3">
        <w:rPr>
          <w:rFonts w:ascii="Times New Roman" w:hAnsi="Times New Roman"/>
          <w:sz w:val="24"/>
        </w:rPr>
        <w:t xml:space="preserve">and enhanced the </w:t>
      </w:r>
      <w:r w:rsidRPr="009E0AE3" w:rsidR="009E0AE3">
        <w:rPr>
          <w:rFonts w:ascii="Times New Roman" w:hAnsi="Times New Roman"/>
          <w:sz w:val="24"/>
        </w:rPr>
        <w:t>final rule.</w:t>
      </w:r>
      <w:r w:rsidR="009E0AE3">
        <w:rPr>
          <w:rFonts w:ascii="Times New Roman" w:hAnsi="Times New Roman"/>
          <w:sz w:val="24"/>
        </w:rPr>
        <w:t xml:space="preserve"> Details of the changes from the proposed to final </w:t>
      </w:r>
      <w:r w:rsidR="00FC1571">
        <w:rPr>
          <w:rFonts w:ascii="Times New Roman" w:hAnsi="Times New Roman"/>
          <w:sz w:val="24"/>
        </w:rPr>
        <w:t xml:space="preserve">rule </w:t>
      </w:r>
      <w:r w:rsidR="009E0AE3">
        <w:rPr>
          <w:rFonts w:ascii="Times New Roman" w:hAnsi="Times New Roman"/>
          <w:sz w:val="24"/>
        </w:rPr>
        <w:t xml:space="preserve">can be found in the details of each issue in the </w:t>
      </w:r>
      <w:r w:rsidR="00E617EC">
        <w:rPr>
          <w:rFonts w:ascii="Times New Roman" w:hAnsi="Times New Roman"/>
          <w:sz w:val="24"/>
        </w:rPr>
        <w:t>preamble.</w:t>
      </w:r>
    </w:p>
    <w:p w:rsidR="009C5D68" w:rsidRPr="000E4B25" w:rsidP="00EF28F0" w14:paraId="7A7CAF92" w14:textId="77777777">
      <w:pPr>
        <w:pStyle w:val="Heading2"/>
        <w:tabs>
          <w:tab w:val="clear" w:pos="8684"/>
        </w:tabs>
        <w:spacing w:before="120"/>
        <w:rPr>
          <w:rFonts w:ascii="Times New Roman" w:hAnsi="Times New Roman" w:cs="Times New Roman"/>
          <w:b/>
          <w:color w:val="auto"/>
          <w:sz w:val="24"/>
          <w:szCs w:val="24"/>
        </w:rPr>
      </w:pPr>
      <w:bookmarkStart w:id="248" w:name="_Toc146880080"/>
      <w:bookmarkStart w:id="249" w:name="_Toc153373866"/>
      <w:r w:rsidRPr="006F68E9">
        <w:rPr>
          <w:rFonts w:ascii="Times New Roman" w:hAnsi="Times New Roman" w:cs="Times New Roman"/>
          <w:b/>
          <w:bCs/>
          <w:color w:val="auto"/>
          <w:sz w:val="24"/>
          <w:szCs w:val="24"/>
        </w:rPr>
        <w:t>Executive Order 13211: Actions Concerning Regulations That Significantly Affect Energy Supply, Distribution or Use</w:t>
      </w:r>
      <w:bookmarkEnd w:id="248"/>
      <w:bookmarkEnd w:id="249"/>
    </w:p>
    <w:p w:rsidR="009C5D68" w:rsidP="009C5D68" w14:paraId="1C68640F" w14:textId="2800D9CD">
      <w:pPr>
        <w:rPr>
          <w:rFonts w:ascii="Times New Roman" w:hAnsi="Times New Roman"/>
          <w:sz w:val="24"/>
        </w:rPr>
      </w:pPr>
      <w:r w:rsidRPr="000E4B25">
        <w:rPr>
          <w:rFonts w:ascii="Times New Roman" w:hAnsi="Times New Roman"/>
          <w:b/>
          <w:bCs/>
          <w:sz w:val="24"/>
        </w:rPr>
        <w:t>Comment 2</w:t>
      </w:r>
      <w:r w:rsidR="00501B3C">
        <w:rPr>
          <w:rFonts w:ascii="Times New Roman" w:hAnsi="Times New Roman"/>
          <w:b/>
          <w:bCs/>
          <w:sz w:val="24"/>
        </w:rPr>
        <w:t>1</w:t>
      </w:r>
      <w:r w:rsidRPr="000E4B25">
        <w:rPr>
          <w:rFonts w:ascii="Times New Roman" w:hAnsi="Times New Roman"/>
          <w:b/>
          <w:bCs/>
          <w:sz w:val="24"/>
        </w:rPr>
        <w:t>.8-01:</w:t>
      </w:r>
      <w:r>
        <w:rPr>
          <w:rFonts w:ascii="Times New Roman" w:hAnsi="Times New Roman"/>
          <w:sz w:val="24"/>
        </w:rPr>
        <w:t xml:space="preserve"> </w:t>
      </w:r>
      <w:r w:rsidRPr="00122B3F">
        <w:rPr>
          <w:rFonts w:ascii="Times New Roman" w:hAnsi="Times New Roman"/>
          <w:sz w:val="24"/>
        </w:rPr>
        <w:t>One commenter suggested that the proposed rule would raise energy costs and impede the US’ ability to compete in global energy markets (0233).</w:t>
      </w:r>
      <w:r w:rsidRPr="72A6ED8D">
        <w:rPr>
          <w:rFonts w:ascii="Times New Roman" w:hAnsi="Times New Roman"/>
          <w:sz w:val="24"/>
        </w:rPr>
        <w:t xml:space="preserve"> </w:t>
      </w:r>
    </w:p>
    <w:p w:rsidR="009C5D68" w:rsidRPr="00F37AF8" w:rsidP="009C5D68" w14:paraId="6BD35C34" w14:textId="78B1A5F4">
      <w:pPr>
        <w:rPr>
          <w:rFonts w:ascii="Times New Roman" w:hAnsi="Times New Roman"/>
          <w:sz w:val="24"/>
        </w:rPr>
      </w:pPr>
      <w:r w:rsidRPr="006F68E9">
        <w:rPr>
          <w:rFonts w:ascii="Times New Roman" w:hAnsi="Times New Roman"/>
          <w:sz w:val="24"/>
        </w:rPr>
        <w:t xml:space="preserve">A couple of commenters stated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would impact the U.S. economy, predominantly through </w:t>
      </w:r>
      <w:r w:rsidRPr="00CB6A12">
        <w:rPr>
          <w:rFonts w:ascii="Times New Roman" w:hAnsi="Times New Roman"/>
          <w:sz w:val="24"/>
        </w:rPr>
        <w:t>increased gasoline production costs (0227, 0477). One of the commenters, noting EPA</w:t>
      </w:r>
      <w:r w:rsidRPr="00CB6A12" w:rsidR="00FB76EB">
        <w:rPr>
          <w:rFonts w:ascii="Times New Roman" w:hAnsi="Times New Roman"/>
          <w:sz w:val="24"/>
        </w:rPr>
        <w:t>’</w:t>
      </w:r>
      <w:r w:rsidRPr="00CB6A12">
        <w:rPr>
          <w:rFonts w:ascii="Times New Roman" w:hAnsi="Times New Roman"/>
          <w:sz w:val="24"/>
        </w:rPr>
        <w:t>s estimated costs to make changes at refining and petrochemical sites of possibly $1 billion per site, claimed that the rule would have a significant impact on all industries, including small businesses, due to significant impacts on U.S. gasoline production and stress on U.S. fuel supplies. The commenter was concerned that, due to current historic highs in gas and diesel costs and record inflation, the economic impact on the U.S. economy would be catastrophic (0227). Another commenter similarly claimed that the proposed rule could significantly impede domestic gasoline production, impacting supply chains and increasing costs for consumers. The commenter believed that this rule will be directly responsible for increasing consumer prices at the pump and exacerbating America’s</w:t>
      </w:r>
      <w:r w:rsidRPr="006F68E9">
        <w:rPr>
          <w:rFonts w:ascii="Times New Roman" w:hAnsi="Times New Roman"/>
          <w:sz w:val="24"/>
        </w:rPr>
        <w:t xml:space="preserve"> high inflation rate (0477).</w:t>
      </w:r>
    </w:p>
    <w:p w:rsidR="009C5D68" w:rsidRPr="006F68E9" w:rsidP="009C5D68" w14:paraId="26851F0B" w14:textId="77777777">
      <w:pPr>
        <w:ind w:left="720"/>
        <w:rPr>
          <w:rFonts w:ascii="Times New Roman" w:hAnsi="Times New Roman"/>
          <w:sz w:val="24"/>
        </w:rPr>
      </w:pPr>
      <w:r w:rsidRPr="00AD0D50">
        <w:rPr>
          <w:rFonts w:ascii="Times New Roman" w:hAnsi="Times New Roman"/>
          <w:b/>
          <w:bCs/>
          <w:sz w:val="24"/>
        </w:rPr>
        <w:t>EPA Response:</w:t>
      </w:r>
      <w:r w:rsidRPr="00AD0D50">
        <w:rPr>
          <w:rFonts w:ascii="Times New Roman" w:hAnsi="Times New Roman"/>
          <w:sz w:val="24"/>
        </w:rPr>
        <w:t xml:space="preserve"> This action is not anticipated to have notable impacts on emissions, costs, or energy supply decisions for the affected electric utility industry.</w:t>
      </w:r>
    </w:p>
    <w:p w:rsidR="008717CE" w:rsidRPr="006F68E9" w:rsidP="00D47E80" w14:paraId="3DBAD65A" w14:textId="58B858DA">
      <w:pPr>
        <w:ind w:left="720"/>
        <w:rPr>
          <w:rFonts w:ascii="Times New Roman" w:hAnsi="Times New Roman"/>
          <w:sz w:val="24"/>
        </w:rPr>
      </w:pPr>
      <w:bookmarkStart w:id="250" w:name="_Hlk152567922"/>
      <w:r w:rsidRPr="48D304A1">
        <w:rPr>
          <w:rFonts w:ascii="Times New Roman" w:hAnsi="Times New Roman"/>
          <w:sz w:val="24"/>
        </w:rPr>
        <w:t xml:space="preserve">With respect to the supply and </w:t>
      </w:r>
      <w:r w:rsidRPr="32C946B7">
        <w:rPr>
          <w:rFonts w:ascii="Times New Roman" w:hAnsi="Times New Roman"/>
          <w:sz w:val="24"/>
        </w:rPr>
        <w:t xml:space="preserve">cost of gasoline, </w:t>
      </w:r>
      <w:r w:rsidRPr="002D5A86" w:rsidR="002D5A86">
        <w:rPr>
          <w:rFonts w:ascii="Times New Roman" w:hAnsi="Times New Roman"/>
          <w:sz w:val="24"/>
        </w:rPr>
        <w:t>EPA’s analysis in the proposed rule indicate</w:t>
      </w:r>
      <w:r w:rsidR="00270C1E">
        <w:rPr>
          <w:rFonts w:ascii="Times New Roman" w:hAnsi="Times New Roman"/>
          <w:sz w:val="24"/>
        </w:rPr>
        <w:t>d</w:t>
      </w:r>
      <w:r w:rsidRPr="002D5A86" w:rsidR="002D5A86">
        <w:rPr>
          <w:rFonts w:ascii="Times New Roman" w:hAnsi="Times New Roman"/>
          <w:sz w:val="24"/>
        </w:rPr>
        <w:t xml:space="preserve"> that the proposal would not result in significant increases</w:t>
      </w:r>
      <w:r w:rsidR="00270C1E">
        <w:rPr>
          <w:rFonts w:ascii="Times New Roman" w:hAnsi="Times New Roman"/>
          <w:sz w:val="24"/>
        </w:rPr>
        <w:t xml:space="preserve"> </w:t>
      </w:r>
      <w:r w:rsidRPr="002D5A86" w:rsidR="002D5A86">
        <w:rPr>
          <w:rFonts w:ascii="Times New Roman" w:hAnsi="Times New Roman"/>
          <w:sz w:val="24"/>
        </w:rPr>
        <w:t>in consumer prices. During the rulemaking process, EPA sought additional information on the estimated</w:t>
      </w:r>
      <w:r w:rsidR="00270C1E">
        <w:rPr>
          <w:rFonts w:ascii="Times New Roman" w:hAnsi="Times New Roman"/>
          <w:sz w:val="24"/>
        </w:rPr>
        <w:t xml:space="preserve"> </w:t>
      </w:r>
      <w:r w:rsidRPr="002D5A86" w:rsidR="002D5A86">
        <w:rPr>
          <w:rFonts w:ascii="Times New Roman" w:hAnsi="Times New Roman"/>
          <w:sz w:val="24"/>
        </w:rPr>
        <w:t>costs of the proposed rule and, in particular, requested cost data or studies related to the cost of</w:t>
      </w:r>
      <w:r w:rsidR="00270C1E">
        <w:rPr>
          <w:rFonts w:ascii="Times New Roman" w:hAnsi="Times New Roman"/>
          <w:sz w:val="24"/>
        </w:rPr>
        <w:t xml:space="preserve"> </w:t>
      </w:r>
      <w:r w:rsidRPr="002D5A86" w:rsidR="002D5A86">
        <w:rPr>
          <w:rFonts w:ascii="Times New Roman" w:hAnsi="Times New Roman"/>
          <w:sz w:val="24"/>
        </w:rPr>
        <w:t>practicability studies for conversion of hydrofluoric acid alkylation units to safer technologies. EPA consider</w:t>
      </w:r>
      <w:r w:rsidR="00B4767E">
        <w:rPr>
          <w:rFonts w:ascii="Times New Roman" w:hAnsi="Times New Roman"/>
          <w:sz w:val="24"/>
        </w:rPr>
        <w:t>ed</w:t>
      </w:r>
      <w:r w:rsidRPr="002D5A86" w:rsidR="002D5A86">
        <w:rPr>
          <w:rFonts w:ascii="Times New Roman" w:hAnsi="Times New Roman"/>
          <w:sz w:val="24"/>
        </w:rPr>
        <w:t xml:space="preserve"> information submitted on this point</w:t>
      </w:r>
      <w:r w:rsidR="00B4767E">
        <w:rPr>
          <w:rFonts w:ascii="Times New Roman" w:hAnsi="Times New Roman"/>
          <w:sz w:val="24"/>
        </w:rPr>
        <w:t xml:space="preserve"> and for the final </w:t>
      </w:r>
      <w:r w:rsidR="00AD4F58">
        <w:rPr>
          <w:rFonts w:ascii="Times New Roman" w:hAnsi="Times New Roman"/>
          <w:sz w:val="24"/>
        </w:rPr>
        <w:t xml:space="preserve">rule </w:t>
      </w:r>
      <w:r w:rsidR="00EF5015">
        <w:rPr>
          <w:rFonts w:ascii="Times New Roman" w:hAnsi="Times New Roman"/>
          <w:sz w:val="24"/>
        </w:rPr>
        <w:t>still concludes that the proposal would not result in significant increases in consumer prices.</w:t>
      </w:r>
      <w:r w:rsidRPr="002D5A86" w:rsidR="002D5A86">
        <w:rPr>
          <w:rFonts w:ascii="Times New Roman" w:hAnsi="Times New Roman"/>
          <w:sz w:val="24"/>
        </w:rPr>
        <w:t xml:space="preserve"> </w:t>
      </w:r>
      <w:r w:rsidR="00D47E80">
        <w:rPr>
          <w:rFonts w:ascii="Times New Roman" w:hAnsi="Times New Roman"/>
          <w:sz w:val="24"/>
        </w:rPr>
        <w:t xml:space="preserve">In particular, </w:t>
      </w:r>
      <w:r w:rsidRPr="00D47E80" w:rsidR="00D47E80">
        <w:rPr>
          <w:rFonts w:ascii="Times New Roman" w:hAnsi="Times New Roman"/>
          <w:sz w:val="24"/>
        </w:rPr>
        <w:t>we note that the</w:t>
      </w:r>
      <w:r w:rsidR="00C369AA">
        <w:rPr>
          <w:rFonts w:ascii="Times New Roman" w:hAnsi="Times New Roman"/>
          <w:sz w:val="24"/>
        </w:rPr>
        <w:t xml:space="preserve"> </w:t>
      </w:r>
      <w:r w:rsidR="00D47E80">
        <w:rPr>
          <w:rFonts w:ascii="Times New Roman" w:hAnsi="Times New Roman"/>
          <w:sz w:val="24"/>
        </w:rPr>
        <w:t>final</w:t>
      </w:r>
      <w:r w:rsidRPr="00D47E80" w:rsidR="00D47E80">
        <w:rPr>
          <w:rFonts w:ascii="Times New Roman" w:hAnsi="Times New Roman"/>
          <w:sz w:val="24"/>
        </w:rPr>
        <w:t xml:space="preserve"> rule w</w:t>
      </w:r>
      <w:r w:rsidR="00C369AA">
        <w:rPr>
          <w:rFonts w:ascii="Times New Roman" w:hAnsi="Times New Roman"/>
          <w:sz w:val="24"/>
        </w:rPr>
        <w:t>ill</w:t>
      </w:r>
      <w:r w:rsidRPr="00D47E80" w:rsidR="00D47E80">
        <w:rPr>
          <w:rFonts w:ascii="Times New Roman" w:hAnsi="Times New Roman"/>
          <w:sz w:val="24"/>
        </w:rPr>
        <w:t xml:space="preserve"> not require any refinery to stop using </w:t>
      </w:r>
      <w:r w:rsidRPr="002D5A86" w:rsidR="00D47E80">
        <w:rPr>
          <w:rFonts w:ascii="Times New Roman" w:hAnsi="Times New Roman"/>
          <w:sz w:val="24"/>
        </w:rPr>
        <w:t>hydrofluoric acid</w:t>
      </w:r>
      <w:r w:rsidRPr="00D47E80" w:rsidR="00D47E80">
        <w:rPr>
          <w:rFonts w:ascii="Times New Roman" w:hAnsi="Times New Roman"/>
          <w:sz w:val="24"/>
        </w:rPr>
        <w:t xml:space="preserve"> alkylation.</w:t>
      </w:r>
      <w:r w:rsidR="00D47E80">
        <w:rPr>
          <w:rFonts w:ascii="Times New Roman" w:hAnsi="Times New Roman"/>
          <w:sz w:val="24"/>
        </w:rPr>
        <w:t xml:space="preserve"> </w:t>
      </w:r>
      <w:r w:rsidRPr="002D5A86" w:rsidR="002D5A86">
        <w:rPr>
          <w:rFonts w:ascii="Times New Roman" w:hAnsi="Times New Roman"/>
          <w:sz w:val="24"/>
        </w:rPr>
        <w:t>Furthermore, EPA notes that in addition to potentially</w:t>
      </w:r>
      <w:r w:rsidR="00270C1E">
        <w:rPr>
          <w:rFonts w:ascii="Times New Roman" w:hAnsi="Times New Roman"/>
          <w:sz w:val="24"/>
        </w:rPr>
        <w:t xml:space="preserve"> </w:t>
      </w:r>
      <w:r w:rsidRPr="002D5A86" w:rsidR="002D5A86">
        <w:rPr>
          <w:rFonts w:ascii="Times New Roman" w:hAnsi="Times New Roman"/>
          <w:sz w:val="24"/>
        </w:rPr>
        <w:t>threatening lives and causing harm to property and the environment, serious accidents at petroleum</w:t>
      </w:r>
      <w:r w:rsidR="00270C1E">
        <w:rPr>
          <w:rFonts w:ascii="Times New Roman" w:hAnsi="Times New Roman"/>
          <w:sz w:val="24"/>
        </w:rPr>
        <w:t xml:space="preserve"> </w:t>
      </w:r>
      <w:r w:rsidRPr="002D5A86" w:rsidR="002D5A86">
        <w:rPr>
          <w:rFonts w:ascii="Times New Roman" w:hAnsi="Times New Roman"/>
          <w:sz w:val="24"/>
        </w:rPr>
        <w:t>refineries can result in lost production capacity that result</w:t>
      </w:r>
      <w:r w:rsidR="00C369AA">
        <w:rPr>
          <w:rFonts w:ascii="Times New Roman" w:hAnsi="Times New Roman"/>
          <w:sz w:val="24"/>
        </w:rPr>
        <w:t>s</w:t>
      </w:r>
      <w:r w:rsidRPr="002D5A86" w:rsidR="002D5A86">
        <w:rPr>
          <w:rFonts w:ascii="Times New Roman" w:hAnsi="Times New Roman"/>
          <w:sz w:val="24"/>
        </w:rPr>
        <w:t xml:space="preserve"> in increased gasoline prices. For example, the</w:t>
      </w:r>
      <w:r w:rsidR="00270C1E">
        <w:rPr>
          <w:rFonts w:ascii="Times New Roman" w:hAnsi="Times New Roman"/>
          <w:sz w:val="24"/>
        </w:rPr>
        <w:t xml:space="preserve"> </w:t>
      </w:r>
      <w:r w:rsidRPr="002D5A86" w:rsidR="002D5A86">
        <w:rPr>
          <w:rFonts w:ascii="Times New Roman" w:hAnsi="Times New Roman"/>
          <w:sz w:val="24"/>
        </w:rPr>
        <w:t xml:space="preserve">proposed rule’s </w:t>
      </w:r>
      <w:r w:rsidR="00C369AA">
        <w:rPr>
          <w:rFonts w:ascii="Times New Roman" w:hAnsi="Times New Roman"/>
          <w:sz w:val="24"/>
        </w:rPr>
        <w:t>RIA</w:t>
      </w:r>
      <w:r w:rsidRPr="002D5A86" w:rsidR="002D5A86">
        <w:rPr>
          <w:rFonts w:ascii="Times New Roman" w:hAnsi="Times New Roman"/>
          <w:sz w:val="24"/>
        </w:rPr>
        <w:t xml:space="preserve"> discusses a February 18, 2015, accident at the ExxonMobil</w:t>
      </w:r>
      <w:r w:rsidR="00270C1E">
        <w:rPr>
          <w:rFonts w:ascii="Times New Roman" w:hAnsi="Times New Roman"/>
          <w:sz w:val="24"/>
        </w:rPr>
        <w:t xml:space="preserve"> </w:t>
      </w:r>
      <w:r w:rsidRPr="002D5A86" w:rsidR="002D5A86">
        <w:rPr>
          <w:rFonts w:ascii="Times New Roman" w:hAnsi="Times New Roman"/>
          <w:sz w:val="24"/>
        </w:rPr>
        <w:t>refinery in Torrance, California that cost consumers more than $2.4 billion in increased gasoline prices</w:t>
      </w:r>
      <w:r w:rsidR="00270C1E">
        <w:rPr>
          <w:rFonts w:ascii="Times New Roman" w:hAnsi="Times New Roman"/>
          <w:sz w:val="24"/>
        </w:rPr>
        <w:t xml:space="preserve"> </w:t>
      </w:r>
      <w:r w:rsidRPr="002D5A86" w:rsidR="002D5A86">
        <w:rPr>
          <w:rFonts w:ascii="Times New Roman" w:hAnsi="Times New Roman"/>
          <w:sz w:val="24"/>
        </w:rPr>
        <w:t xml:space="preserve">due to </w:t>
      </w:r>
      <w:r w:rsidR="00C369AA">
        <w:rPr>
          <w:rFonts w:ascii="Times New Roman" w:hAnsi="Times New Roman"/>
          <w:sz w:val="24"/>
        </w:rPr>
        <w:t xml:space="preserve">the </w:t>
      </w:r>
      <w:r w:rsidRPr="002D5A86" w:rsidR="002D5A86">
        <w:rPr>
          <w:rFonts w:ascii="Times New Roman" w:hAnsi="Times New Roman"/>
          <w:sz w:val="24"/>
        </w:rPr>
        <w:t>shutdown of a production unit. EPA believes that the proposed safer technologies and alternatives</w:t>
      </w:r>
      <w:r w:rsidR="00270C1E">
        <w:rPr>
          <w:rFonts w:ascii="Times New Roman" w:hAnsi="Times New Roman"/>
          <w:sz w:val="24"/>
        </w:rPr>
        <w:t xml:space="preserve"> </w:t>
      </w:r>
      <w:r w:rsidRPr="002D5A86" w:rsidR="002D5A86">
        <w:rPr>
          <w:rFonts w:ascii="Times New Roman" w:hAnsi="Times New Roman"/>
          <w:sz w:val="24"/>
        </w:rPr>
        <w:t>analysis provision has the potential to help avoid serious accidental releases like these and the associated</w:t>
      </w:r>
      <w:r w:rsidR="00270C1E">
        <w:rPr>
          <w:rFonts w:ascii="Times New Roman" w:hAnsi="Times New Roman"/>
          <w:sz w:val="24"/>
        </w:rPr>
        <w:t xml:space="preserve"> </w:t>
      </w:r>
      <w:r w:rsidRPr="002D5A86" w:rsidR="002D5A86">
        <w:rPr>
          <w:rFonts w:ascii="Times New Roman" w:hAnsi="Times New Roman"/>
          <w:sz w:val="24"/>
        </w:rPr>
        <w:t>harms to consumers and communities.</w:t>
      </w:r>
      <w:bookmarkEnd w:id="250"/>
    </w:p>
    <w:p w:rsidR="009C5D68" w:rsidRPr="008F209D" w:rsidP="00EF28F0" w14:paraId="5C04AF0D" w14:textId="77777777">
      <w:pPr>
        <w:pStyle w:val="Heading2"/>
        <w:tabs>
          <w:tab w:val="clear" w:pos="8684"/>
        </w:tabs>
        <w:spacing w:before="120"/>
        <w:rPr>
          <w:rFonts w:ascii="Times New Roman" w:hAnsi="Times New Roman" w:cs="Times New Roman"/>
          <w:b/>
          <w:bCs/>
          <w:color w:val="auto"/>
          <w:sz w:val="24"/>
          <w:szCs w:val="24"/>
        </w:rPr>
      </w:pPr>
      <w:bookmarkStart w:id="251" w:name="_Toc146880081"/>
      <w:bookmarkStart w:id="252" w:name="_Toc153373867"/>
      <w:r w:rsidRPr="006F68E9">
        <w:rPr>
          <w:rFonts w:ascii="Times New Roman" w:hAnsi="Times New Roman" w:cs="Times New Roman"/>
          <w:b/>
          <w:bCs/>
          <w:color w:val="auto"/>
          <w:sz w:val="24"/>
          <w:szCs w:val="24"/>
        </w:rPr>
        <w:t xml:space="preserve">National Technology </w:t>
      </w:r>
      <w:r w:rsidRPr="008F209D">
        <w:rPr>
          <w:rFonts w:ascii="Times New Roman" w:hAnsi="Times New Roman" w:cs="Times New Roman"/>
          <w:b/>
          <w:bCs/>
          <w:color w:val="auto"/>
          <w:sz w:val="24"/>
          <w:szCs w:val="24"/>
        </w:rPr>
        <w:t>Transfer and Advancement Act (NTTAA)</w:t>
      </w:r>
      <w:bookmarkEnd w:id="251"/>
      <w:bookmarkEnd w:id="252"/>
    </w:p>
    <w:p w:rsidR="009C5D68" w:rsidRPr="008F209D" w:rsidP="009C5D68" w14:paraId="3ABC7F8F" w14:textId="77777777">
      <w:pPr>
        <w:rPr>
          <w:rFonts w:ascii="Times New Roman" w:eastAsia="Times New Roman" w:hAnsi="Times New Roman"/>
          <w:i/>
          <w:sz w:val="24"/>
        </w:rPr>
      </w:pPr>
      <w:bookmarkStart w:id="253" w:name="_Toc146880082"/>
      <w:r w:rsidRPr="008F209D">
        <w:rPr>
          <w:rFonts w:ascii="Times New Roman" w:eastAsia="Times New Roman" w:hAnsi="Times New Roman"/>
          <w:i/>
          <w:sz w:val="24"/>
        </w:rPr>
        <w:t>No comments were coded to this issue.</w:t>
      </w:r>
    </w:p>
    <w:p w:rsidR="009C5D68" w:rsidRPr="006F68E9" w:rsidP="00EF28F0" w14:paraId="6C7651C3" w14:textId="2C5EE9FA">
      <w:pPr>
        <w:pStyle w:val="Heading2"/>
        <w:tabs>
          <w:tab w:val="clear" w:pos="8684"/>
        </w:tabs>
        <w:spacing w:before="120"/>
        <w:rPr>
          <w:rFonts w:ascii="Times New Roman" w:hAnsi="Times New Roman" w:cs="Times New Roman"/>
          <w:b/>
          <w:bCs/>
          <w:color w:val="auto"/>
          <w:sz w:val="24"/>
          <w:szCs w:val="24"/>
        </w:rPr>
      </w:pPr>
      <w:bookmarkStart w:id="254" w:name="_Toc153373868"/>
      <w:r w:rsidRPr="006430B9">
        <w:rPr>
          <w:rFonts w:ascii="Times New Roman" w:hAnsi="Times New Roman" w:cs="Times New Roman"/>
          <w:b/>
          <w:color w:val="auto"/>
          <w:sz w:val="24"/>
          <w:szCs w:val="24"/>
        </w:rPr>
        <w:t>Executive Order 14096: Revitalizing Our Nation’s Commitment to Environmental Justice for All</w:t>
      </w:r>
      <w:r w:rsidRPr="006F68E9">
        <w:rPr>
          <w:rFonts w:ascii="Times New Roman" w:hAnsi="Times New Roman" w:cs="Times New Roman"/>
          <w:b/>
          <w:bCs/>
          <w:color w:val="auto"/>
          <w:sz w:val="24"/>
          <w:szCs w:val="24"/>
        </w:rPr>
        <w:t xml:space="preserve"> </w:t>
      </w:r>
      <w:r w:rsidRPr="006F68E9">
        <w:rPr>
          <w:rFonts w:ascii="Times New Roman" w:hAnsi="Times New Roman" w:cs="Times New Roman"/>
          <w:b/>
          <w:bCs/>
          <w:color w:val="auto"/>
          <w:sz w:val="24"/>
          <w:szCs w:val="24"/>
        </w:rPr>
        <w:t>Executive Order 12898: Federal Actions To Address Environmental Justice in Minority Populations and Low-Income Populations</w:t>
      </w:r>
      <w:bookmarkEnd w:id="253"/>
      <w:bookmarkEnd w:id="254"/>
    </w:p>
    <w:p w:rsidR="009C5D68" w:rsidRPr="006F68E9" w:rsidP="009C5D68" w14:paraId="122B8441" w14:textId="180C340A">
      <w:pPr>
        <w:rPr>
          <w:rFonts w:ascii="Times New Roman" w:hAnsi="Times New Roman"/>
          <w:sz w:val="24"/>
        </w:rPr>
      </w:pPr>
      <w:r w:rsidRPr="000B7497">
        <w:rPr>
          <w:rFonts w:ascii="Times New Roman" w:hAnsi="Times New Roman"/>
          <w:b/>
          <w:bCs/>
          <w:sz w:val="24"/>
        </w:rPr>
        <w:t>Comment 2</w:t>
      </w:r>
      <w:r w:rsidR="00501B3C">
        <w:rPr>
          <w:rFonts w:ascii="Times New Roman" w:hAnsi="Times New Roman"/>
          <w:b/>
          <w:bCs/>
          <w:sz w:val="24"/>
        </w:rPr>
        <w:t>1</w:t>
      </w:r>
      <w:r w:rsidRPr="000B7497">
        <w:rPr>
          <w:rFonts w:ascii="Times New Roman" w:hAnsi="Times New Roman"/>
          <w:b/>
          <w:bCs/>
          <w:sz w:val="24"/>
        </w:rPr>
        <w:t>.10-01:</w:t>
      </w:r>
      <w:r>
        <w:rPr>
          <w:rFonts w:ascii="Times New Roman" w:hAnsi="Times New Roman"/>
          <w:sz w:val="24"/>
        </w:rPr>
        <w:t xml:space="preserve"> </w:t>
      </w:r>
      <w:r w:rsidRPr="006F68E9">
        <w:rPr>
          <w:rFonts w:ascii="Times New Roman" w:hAnsi="Times New Roman"/>
          <w:sz w:val="24"/>
        </w:rPr>
        <w:t xml:space="preserve">One commenter requested that EPA fully carry out its responsibilities under EO 12898 by directly addressing environmental justice issues of the kind outlined in its </w:t>
      </w:r>
      <w:r>
        <w:rPr>
          <w:rFonts w:ascii="Times New Roman" w:hAnsi="Times New Roman"/>
          <w:sz w:val="24"/>
        </w:rPr>
        <w:t>final rule</w:t>
      </w:r>
      <w:r w:rsidRPr="006F68E9">
        <w:rPr>
          <w:rFonts w:ascii="Times New Roman" w:hAnsi="Times New Roman"/>
          <w:sz w:val="24"/>
        </w:rPr>
        <w:t xml:space="preserve"> (0251).</w:t>
      </w:r>
    </w:p>
    <w:p w:rsidR="009C5D68" w:rsidRPr="005C408C" w:rsidP="009C5D68" w14:paraId="2A7D5FFF" w14:textId="77777777">
      <w:pPr>
        <w:ind w:left="720"/>
        <w:rPr>
          <w:rFonts w:ascii="Times New Roman" w:hAnsi="Times New Roman"/>
          <w:sz w:val="24"/>
        </w:rPr>
      </w:pPr>
      <w:r w:rsidRPr="0087243E">
        <w:rPr>
          <w:rFonts w:ascii="Times New Roman" w:hAnsi="Times New Roman"/>
          <w:b/>
          <w:bCs/>
          <w:sz w:val="24"/>
        </w:rPr>
        <w:t>EPA Response:</w:t>
      </w:r>
      <w:r w:rsidRPr="005C408C">
        <w:rPr>
          <w:rFonts w:ascii="Times New Roman" w:hAnsi="Times New Roman"/>
          <w:sz w:val="24"/>
        </w:rPr>
        <w:t xml:space="preserve"> EPA believes that the human health or environmental conditions that exist prior to this action result in or have the potential to result in disproportionate and adverse human health or environmental effects on people of color, low-income populations and/or Indigenous peoples.</w:t>
      </w:r>
    </w:p>
    <w:p w:rsidR="009C5D68" w:rsidRPr="005C408C" w:rsidP="009C5D68" w14:paraId="26D87DD3" w14:textId="42FA6002">
      <w:pPr>
        <w:ind w:left="720"/>
        <w:rPr>
          <w:rFonts w:ascii="Times New Roman" w:hAnsi="Times New Roman"/>
          <w:sz w:val="24"/>
        </w:rPr>
      </w:pPr>
      <w:r w:rsidRPr="005C408C">
        <w:rPr>
          <w:rFonts w:ascii="Times New Roman" w:hAnsi="Times New Roman"/>
          <w:sz w:val="24"/>
        </w:rPr>
        <w:t xml:space="preserve">EPA conducted an EJ analysis using the Agency’s EJ screening tool, EJSCREEN and the U.S. Census Bureau’s American Community Survey (ACS). The EJ analysis shows that historically underserved and overburdened populations live within proximity to RMP-regulated facilities and thus are at greater risk than other populations. The analysis also found evidence that regulated facilities are disproportionately located within historically underserved and overburdened communities. Thus, EPA recognizes that accidental releases of regulated chemicals from facilities regulated by this action will likely pose disproportionate risks to historically marginalized communities. However, EPA has concluded that the regulatory requirements will </w:t>
      </w:r>
      <w:r w:rsidRPr="005C408C">
        <w:rPr>
          <w:rFonts w:ascii="Times New Roman" w:hAnsi="Times New Roman"/>
          <w:sz w:val="24"/>
        </w:rPr>
        <w:t xml:space="preserve">advance </w:t>
      </w:r>
      <w:r w:rsidR="00C71BD2">
        <w:rPr>
          <w:rFonts w:ascii="Times New Roman" w:hAnsi="Times New Roman"/>
          <w:sz w:val="24"/>
        </w:rPr>
        <w:t>just</w:t>
      </w:r>
      <w:r w:rsidRPr="005C408C">
        <w:rPr>
          <w:rFonts w:ascii="Times New Roman" w:hAnsi="Times New Roman"/>
          <w:sz w:val="24"/>
        </w:rPr>
        <w:t xml:space="preserve"> </w:t>
      </w:r>
      <w:r w:rsidRPr="005C408C">
        <w:rPr>
          <w:rFonts w:ascii="Times New Roman" w:hAnsi="Times New Roman"/>
          <w:sz w:val="24"/>
        </w:rPr>
        <w:t xml:space="preserve">treatment of those populations by reducing the disproportionate damages from accidental releases that RMP-regulated facilities might otherwise inflict on those populations. EPA’s full EJ analysis is documented in “Regulatory Impact Analysis: Safer Communities by Chemical Accident Prevention </w:t>
      </w:r>
      <w:r>
        <w:rPr>
          <w:rFonts w:ascii="Times New Roman" w:hAnsi="Times New Roman"/>
          <w:sz w:val="24"/>
        </w:rPr>
        <w:t>final rule</w:t>
      </w:r>
      <w:r w:rsidRPr="005C408C">
        <w:rPr>
          <w:rFonts w:ascii="Times New Roman" w:hAnsi="Times New Roman"/>
          <w:sz w:val="24"/>
        </w:rPr>
        <w:t>,” which is available in the docket.</w:t>
      </w:r>
    </w:p>
    <w:p w:rsidR="009C5D68" w:rsidRPr="005C408C" w:rsidP="009C5D68" w14:paraId="5A5FC65E" w14:textId="730B2E72">
      <w:pPr>
        <w:ind w:left="720"/>
        <w:rPr>
          <w:rFonts w:ascii="Times New Roman" w:hAnsi="Times New Roman"/>
          <w:sz w:val="24"/>
        </w:rPr>
      </w:pPr>
      <w:r w:rsidRPr="005C408C">
        <w:rPr>
          <w:rFonts w:ascii="Times New Roman" w:hAnsi="Times New Roman"/>
          <w:sz w:val="24"/>
        </w:rPr>
        <w:t xml:space="preserve">EPA believes that this action is likely to reduce existing disproportionate and adverse effects on </w:t>
      </w:r>
      <w:r w:rsidRPr="005C408C">
        <w:rPr>
          <w:rFonts w:ascii="Times New Roman" w:hAnsi="Times New Roman"/>
          <w:sz w:val="24"/>
        </w:rPr>
        <w:t xml:space="preserve">people of color, low-income populations and/or Indigenous peoples. </w:t>
      </w:r>
      <w:r w:rsidR="00304591">
        <w:rPr>
          <w:rFonts w:ascii="Times New Roman" w:hAnsi="Times New Roman"/>
          <w:sz w:val="24"/>
        </w:rPr>
        <w:t>Because</w:t>
      </w:r>
      <w:r w:rsidRPr="005C408C">
        <w:rPr>
          <w:rFonts w:ascii="Times New Roman" w:hAnsi="Times New Roman"/>
          <w:sz w:val="24"/>
        </w:rPr>
        <w:t xml:space="preserve"> populations living closer to facilities are more likely to be exposed if an accidental release at an RMP facility occurs, these releases pose a greater risk to </w:t>
      </w:r>
      <w:r w:rsidR="00304591">
        <w:rPr>
          <w:rFonts w:ascii="Times New Roman" w:hAnsi="Times New Roman"/>
          <w:sz w:val="24"/>
        </w:rPr>
        <w:t>communities</w:t>
      </w:r>
      <w:r w:rsidRPr="005C408C">
        <w:rPr>
          <w:rFonts w:ascii="Times New Roman" w:hAnsi="Times New Roman"/>
          <w:sz w:val="24"/>
        </w:rPr>
        <w:t xml:space="preserve">. Therefore, the benefits of this regulation will </w:t>
      </w:r>
      <w:r w:rsidR="00304591">
        <w:rPr>
          <w:rFonts w:ascii="Times New Roman" w:hAnsi="Times New Roman"/>
          <w:sz w:val="24"/>
        </w:rPr>
        <w:t xml:space="preserve">include </w:t>
      </w:r>
      <w:r w:rsidRPr="005C408C">
        <w:rPr>
          <w:rFonts w:ascii="Times New Roman" w:hAnsi="Times New Roman"/>
          <w:sz w:val="24"/>
        </w:rPr>
        <w:t>reduce</w:t>
      </w:r>
      <w:r w:rsidR="00304591">
        <w:rPr>
          <w:rFonts w:ascii="Times New Roman" w:hAnsi="Times New Roman"/>
          <w:sz w:val="24"/>
        </w:rPr>
        <w:t>d</w:t>
      </w:r>
      <w:r w:rsidRPr="005C408C">
        <w:rPr>
          <w:rFonts w:ascii="Times New Roman" w:hAnsi="Times New Roman"/>
          <w:sz w:val="24"/>
        </w:rPr>
        <w:t xml:space="preserve"> risk for</w:t>
      </w:r>
      <w:r w:rsidRPr="005C408C">
        <w:rPr>
          <w:rFonts w:ascii="Times New Roman" w:hAnsi="Times New Roman"/>
          <w:sz w:val="24"/>
        </w:rPr>
        <w:t xml:space="preserve"> historically underserved and overburdened populations. </w:t>
      </w:r>
    </w:p>
    <w:p w:rsidR="00621F71" w:rsidP="00EF28F0" w14:paraId="2749DF43" w14:textId="0D3F1AA5">
      <w:pPr>
        <w:pStyle w:val="BodyText"/>
        <w:spacing w:before="120" w:after="120" w:line="240" w:lineRule="auto"/>
        <w:ind w:left="720" w:firstLine="0"/>
      </w:pPr>
      <w:r w:rsidRPr="005C408C">
        <w:rPr>
          <w:rFonts w:eastAsiaTheme="minorEastAsia"/>
          <w:szCs w:val="24"/>
        </w:rPr>
        <w:t>EPA additionally identified and addressed EJ concerns by holding virtual public listening sessions on June 16 and July 8, 2021, and had an open docket for public comment (86 FR 28828). In the request for public comment, the Agency asked for information on the adequacy of revisions to the RMP regulations completed since 2017, incorporating consideration of climate change risks and impacts into the regulations, and expanding the application of EJ in the RMP. Following publication of the proposed rule, EPA held three public hearings (September 26, 27, and 28, 2022)</w:t>
      </w:r>
      <w:r w:rsidR="008E74EA">
        <w:rPr>
          <w:rFonts w:eastAsiaTheme="minorEastAsia"/>
          <w:szCs w:val="24"/>
        </w:rPr>
        <w:t xml:space="preserve"> </w:t>
      </w:r>
      <w:r w:rsidR="008E74EA">
        <w:rPr>
          <w:rFonts w:eastAsiaTheme="minorEastAsia"/>
          <w:szCs w:val="24"/>
        </w:rPr>
        <w:t>and had a 60-day open public comment period</w:t>
      </w:r>
      <w:r w:rsidRPr="005C408C">
        <w:rPr>
          <w:rFonts w:eastAsiaTheme="minorEastAsia"/>
          <w:szCs w:val="24"/>
        </w:rPr>
        <w:t xml:space="preserve">. </w:t>
      </w:r>
      <w:r w:rsidRPr="005C408C">
        <w:rPr>
          <w:rFonts w:eastAsiaTheme="minorEastAsia"/>
          <w:szCs w:val="24"/>
        </w:rPr>
        <w:t>Participants in the virtual public listening sessions and hearings included a wide range of stakeholders including environmental and community groups, individual regulated facilities, industry groups, local and State governments, Federal agencies, and private citizens. Information collected through oral testimonies and written comments from the listening</w:t>
      </w:r>
      <w:r>
        <w:t xml:space="preserve"> sessions</w:t>
      </w:r>
      <w:r w:rsidRPr="00E84CD4">
        <w:t xml:space="preserve"> </w:t>
      </w:r>
      <w:r>
        <w:t xml:space="preserve">and hearings respectively </w:t>
      </w:r>
      <w:r w:rsidRPr="00E84CD4">
        <w:t xml:space="preserve">informed </w:t>
      </w:r>
      <w:r>
        <w:t xml:space="preserve">the </w:t>
      </w:r>
      <w:r w:rsidRPr="00E84CD4">
        <w:t>propos</w:t>
      </w:r>
      <w:r>
        <w:t>ed and final rule</w:t>
      </w:r>
      <w:r w:rsidR="000C0237">
        <w:t>s</w:t>
      </w:r>
      <w:r>
        <w:t>.</w:t>
      </w:r>
    </w:p>
    <w:p w:rsidR="00621F71" w:rsidP="00EF28F0" w14:paraId="27A9060B" w14:textId="0ADDA2B6">
      <w:pPr>
        <w:spacing w:before="0" w:after="0" w:line="259" w:lineRule="auto"/>
        <w:rPr>
          <w:rFonts w:ascii="Times New Roman" w:eastAsia="Times New Roman" w:hAnsi="Times New Roman"/>
          <w:sz w:val="24"/>
          <w:szCs w:val="20"/>
        </w:rPr>
      </w:pPr>
    </w:p>
    <w:p w:rsidR="00025134" w:rsidRPr="00A411EF" w:rsidP="00EF28F0" w14:paraId="3258DCFF" w14:textId="4E006005">
      <w:pPr>
        <w:pStyle w:val="Heading1"/>
        <w:spacing w:before="120"/>
      </w:pPr>
      <w:bookmarkStart w:id="255" w:name="_Toc153373869"/>
      <w:r w:rsidRPr="00A411EF">
        <w:t>Comments Outside Current Rulemaking Scope</w:t>
      </w:r>
      <w:bookmarkEnd w:id="149"/>
      <w:bookmarkEnd w:id="255"/>
    </w:p>
    <w:p w:rsidR="00025134" w:rsidRPr="00307D66" w:rsidP="00025134" w14:paraId="1622F642" w14:textId="77777777">
      <w:pPr>
        <w:rPr>
          <w:rFonts w:ascii="Times New Roman" w:hAnsi="Times New Roman"/>
          <w:i/>
          <w:iCs/>
          <w:sz w:val="24"/>
        </w:rPr>
      </w:pPr>
      <w:r>
        <w:rPr>
          <w:rFonts w:ascii="Times New Roman" w:hAnsi="Times New Roman"/>
          <w:i/>
          <w:iCs/>
          <w:sz w:val="24"/>
        </w:rPr>
        <w:t>Environmental Concerns</w:t>
      </w:r>
    </w:p>
    <w:p w:rsidR="00025134" w:rsidRPr="006F68E9" w:rsidP="00025134" w14:paraId="564E10BA" w14:textId="0ADDD92D">
      <w:pPr>
        <w:rPr>
          <w:rFonts w:ascii="Times New Roman" w:hAnsi="Times New Roman"/>
          <w:sz w:val="24"/>
        </w:rPr>
      </w:pPr>
      <w:r>
        <w:rPr>
          <w:rFonts w:ascii="Times New Roman" w:hAnsi="Times New Roman"/>
          <w:b/>
          <w:bCs/>
          <w:sz w:val="24"/>
        </w:rPr>
        <w:t>Comment 2</w:t>
      </w:r>
      <w:r w:rsidR="00BF7B84">
        <w:rPr>
          <w:rFonts w:ascii="Times New Roman" w:hAnsi="Times New Roman"/>
          <w:b/>
          <w:bCs/>
          <w:sz w:val="24"/>
        </w:rPr>
        <w:t>2</w:t>
      </w:r>
      <w:r>
        <w:rPr>
          <w:rFonts w:ascii="Times New Roman" w:hAnsi="Times New Roman"/>
          <w:b/>
          <w:bCs/>
          <w:sz w:val="24"/>
        </w:rPr>
        <w:t xml:space="preserve">-01: </w:t>
      </w:r>
      <w:r w:rsidRPr="00122B3F">
        <w:rPr>
          <w:rFonts w:ascii="Times New Roman" w:hAnsi="Times New Roman"/>
          <w:sz w:val="24"/>
        </w:rPr>
        <w:t>One of the commenters recommended EPA take the opportunity to enhance knowledge and implementation of nature-based solutions (NBS) across the U.S. (0204).</w:t>
      </w:r>
    </w:p>
    <w:p w:rsidR="00025134" w:rsidRPr="006F68E9" w:rsidP="00025134" w14:paraId="0BE485BE" w14:textId="1510B698">
      <w:pPr>
        <w:rPr>
          <w:rFonts w:ascii="Times New Roman" w:hAnsi="Times New Roman"/>
          <w:sz w:val="24"/>
        </w:rPr>
      </w:pPr>
      <w:r>
        <w:rPr>
          <w:rFonts w:ascii="Times New Roman" w:hAnsi="Times New Roman"/>
          <w:sz w:val="24"/>
        </w:rPr>
        <w:t xml:space="preserve">Another </w:t>
      </w:r>
      <w:r w:rsidRPr="006F68E9">
        <w:rPr>
          <w:rFonts w:ascii="Times New Roman" w:hAnsi="Times New Roman"/>
          <w:sz w:val="24"/>
        </w:rPr>
        <w:t>commenter discussed the transformation to clean energy in the United States. The commenter discussed using new advanced clean energy technologies to reduce emissions, ultimately reaching net-zero carbon emissions while providing reliable and affordable electricity for customers (0244).</w:t>
      </w:r>
    </w:p>
    <w:p w:rsidR="00025134" w:rsidRPr="00AE0BF4" w:rsidP="00025134" w14:paraId="58EB7927" w14:textId="77777777">
      <w:pPr>
        <w:ind w:left="720"/>
        <w:rPr>
          <w:rFonts w:ascii="Times New Roman" w:hAnsi="Times New Roman"/>
          <w:b/>
          <w:bCs/>
          <w:sz w:val="24"/>
        </w:rPr>
      </w:pPr>
      <w:r w:rsidRPr="00AE0BF4">
        <w:rPr>
          <w:rFonts w:ascii="Times New Roman" w:hAnsi="Times New Roman"/>
          <w:b/>
          <w:bCs/>
          <w:sz w:val="24"/>
        </w:rPr>
        <w:t>EPA Response:</w:t>
      </w:r>
      <w:r>
        <w:rPr>
          <w:rFonts w:ascii="Times New Roman" w:hAnsi="Times New Roman"/>
          <w:b/>
          <w:bCs/>
          <w:sz w:val="24"/>
        </w:rPr>
        <w:t xml:space="preserve"> </w:t>
      </w:r>
      <w:r w:rsidRPr="00AE0BF4">
        <w:rPr>
          <w:rFonts w:ascii="Times New Roman" w:hAnsi="Times New Roman"/>
          <w:sz w:val="24"/>
        </w:rPr>
        <w:t>These comments are outside of the scope of the proposed rule.</w:t>
      </w:r>
    </w:p>
    <w:p w:rsidR="00025134" w:rsidRPr="00307D66" w:rsidP="00025134" w14:paraId="5C93B0AC" w14:textId="77777777">
      <w:pPr>
        <w:rPr>
          <w:rFonts w:ascii="Times New Roman" w:hAnsi="Times New Roman"/>
          <w:i/>
          <w:iCs/>
          <w:sz w:val="24"/>
        </w:rPr>
      </w:pPr>
      <w:r>
        <w:rPr>
          <w:rFonts w:ascii="Times New Roman" w:hAnsi="Times New Roman"/>
          <w:i/>
          <w:iCs/>
          <w:sz w:val="24"/>
        </w:rPr>
        <w:t>“Upset Emissions”</w:t>
      </w:r>
    </w:p>
    <w:p w:rsidR="00025134" w:rsidRPr="006F68E9" w:rsidP="00025134" w14:paraId="28ED98B8" w14:textId="43F11308">
      <w:pPr>
        <w:rPr>
          <w:rFonts w:ascii="Times New Roman" w:hAnsi="Times New Roman"/>
          <w:sz w:val="24"/>
        </w:rPr>
      </w:pPr>
      <w:r>
        <w:rPr>
          <w:rFonts w:ascii="Times New Roman" w:hAnsi="Times New Roman"/>
          <w:b/>
          <w:bCs/>
          <w:sz w:val="24"/>
        </w:rPr>
        <w:t>Comment 2</w:t>
      </w:r>
      <w:r w:rsidR="00BF7B84">
        <w:rPr>
          <w:rFonts w:ascii="Times New Roman" w:hAnsi="Times New Roman"/>
          <w:b/>
          <w:bCs/>
          <w:sz w:val="24"/>
        </w:rPr>
        <w:t>2</w:t>
      </w:r>
      <w:r>
        <w:rPr>
          <w:rFonts w:ascii="Times New Roman" w:hAnsi="Times New Roman"/>
          <w:b/>
          <w:bCs/>
          <w:sz w:val="24"/>
        </w:rPr>
        <w:t xml:space="preserve">-02: </w:t>
      </w:r>
      <w:r w:rsidRPr="006F68E9">
        <w:rPr>
          <w:rFonts w:ascii="Times New Roman" w:hAnsi="Times New Roman"/>
          <w:sz w:val="24"/>
        </w:rPr>
        <w:t xml:space="preserve">One commenter stated that the RMP rule should be tightened to close the loop in the CAA that exempts reporting and regulating “upset emissions” such as those that are frequently the result of routine process safety events, maintenance, etc., as they are often precursors to RMP incidents (0255). </w:t>
      </w:r>
    </w:p>
    <w:p w:rsidR="00025134" w:rsidRPr="00AE0BF4" w:rsidP="00025134" w14:paraId="3E088357" w14:textId="77777777">
      <w:pPr>
        <w:ind w:left="720"/>
        <w:rPr>
          <w:rFonts w:ascii="Times New Roman" w:hAnsi="Times New Roman"/>
          <w:b/>
          <w:bCs/>
          <w:sz w:val="24"/>
        </w:rPr>
      </w:pPr>
      <w:r w:rsidRPr="00AE0BF4">
        <w:rPr>
          <w:rFonts w:ascii="Times New Roman" w:hAnsi="Times New Roman"/>
          <w:b/>
          <w:bCs/>
          <w:sz w:val="24"/>
        </w:rPr>
        <w:t xml:space="preserve">EPA Response: </w:t>
      </w:r>
      <w:r w:rsidRPr="00AE0BF4">
        <w:rPr>
          <w:rFonts w:ascii="Times New Roman" w:hAnsi="Times New Roman"/>
          <w:sz w:val="24"/>
        </w:rPr>
        <w:t>Th</w:t>
      </w:r>
      <w:r>
        <w:rPr>
          <w:rFonts w:ascii="Times New Roman" w:hAnsi="Times New Roman"/>
          <w:sz w:val="24"/>
        </w:rPr>
        <w:t xml:space="preserve">is </w:t>
      </w:r>
      <w:r w:rsidRPr="00AE0BF4">
        <w:rPr>
          <w:rFonts w:ascii="Times New Roman" w:hAnsi="Times New Roman"/>
          <w:sz w:val="24"/>
        </w:rPr>
        <w:t xml:space="preserve">comment </w:t>
      </w:r>
      <w:r>
        <w:rPr>
          <w:rFonts w:ascii="Times New Roman" w:hAnsi="Times New Roman"/>
          <w:sz w:val="24"/>
        </w:rPr>
        <w:t>is</w:t>
      </w:r>
      <w:r w:rsidRPr="00AE0BF4">
        <w:rPr>
          <w:rFonts w:ascii="Times New Roman" w:hAnsi="Times New Roman"/>
          <w:sz w:val="24"/>
        </w:rPr>
        <w:t xml:space="preserve"> outside of the scope of the proposed rule.</w:t>
      </w:r>
    </w:p>
    <w:p w:rsidR="00025134" w:rsidRPr="005B3606" w:rsidP="00025134" w14:paraId="67A378CB" w14:textId="77777777">
      <w:pPr>
        <w:rPr>
          <w:rFonts w:ascii="Times New Roman" w:hAnsi="Times New Roman"/>
          <w:i/>
          <w:iCs/>
          <w:sz w:val="24"/>
        </w:rPr>
      </w:pPr>
      <w:r>
        <w:rPr>
          <w:rFonts w:ascii="Times New Roman" w:hAnsi="Times New Roman"/>
          <w:i/>
          <w:iCs/>
          <w:sz w:val="24"/>
        </w:rPr>
        <w:t>Engineering Contractors</w:t>
      </w:r>
    </w:p>
    <w:p w:rsidR="00025134" w:rsidP="00025134" w14:paraId="055DFBEF" w14:textId="7CD741D0">
      <w:pPr>
        <w:rPr>
          <w:rFonts w:ascii="Times New Roman" w:hAnsi="Times New Roman"/>
          <w:sz w:val="24"/>
        </w:rPr>
      </w:pPr>
      <w:r>
        <w:rPr>
          <w:rFonts w:ascii="Times New Roman" w:hAnsi="Times New Roman"/>
          <w:b/>
          <w:bCs/>
          <w:sz w:val="24"/>
        </w:rPr>
        <w:t>Comment 2</w:t>
      </w:r>
      <w:r w:rsidR="00BF7B84">
        <w:rPr>
          <w:rFonts w:ascii="Times New Roman" w:hAnsi="Times New Roman"/>
          <w:b/>
          <w:bCs/>
          <w:sz w:val="24"/>
        </w:rPr>
        <w:t>2</w:t>
      </w:r>
      <w:r>
        <w:rPr>
          <w:rFonts w:ascii="Times New Roman" w:hAnsi="Times New Roman"/>
          <w:b/>
          <w:bCs/>
          <w:sz w:val="24"/>
        </w:rPr>
        <w:t xml:space="preserve">-03: </w:t>
      </w:r>
      <w:r>
        <w:rPr>
          <w:rFonts w:ascii="Times New Roman" w:hAnsi="Times New Roman"/>
          <w:sz w:val="24"/>
        </w:rPr>
        <w:t>One</w:t>
      </w:r>
      <w:r w:rsidRPr="006F68E9">
        <w:rPr>
          <w:rFonts w:ascii="Times New Roman" w:hAnsi="Times New Roman"/>
          <w:sz w:val="24"/>
        </w:rPr>
        <w:t xml:space="preserve"> commenter suggested that provisions for using engineering contractors under close EPA supervision should be added to the new EPA rule (0402).</w:t>
      </w:r>
    </w:p>
    <w:p w:rsidR="00025134" w:rsidP="00025134" w14:paraId="0196C0CB" w14:textId="77777777">
      <w:pPr>
        <w:ind w:left="720"/>
        <w:rPr>
          <w:rFonts w:ascii="Times New Roman" w:hAnsi="Times New Roman"/>
          <w:sz w:val="24"/>
        </w:rPr>
      </w:pPr>
      <w:r>
        <w:rPr>
          <w:rFonts w:ascii="Times New Roman" w:hAnsi="Times New Roman"/>
          <w:b/>
          <w:bCs/>
          <w:sz w:val="24"/>
        </w:rPr>
        <w:t xml:space="preserve">EPA Response: </w:t>
      </w:r>
      <w:r>
        <w:rPr>
          <w:rFonts w:ascii="Times New Roman" w:hAnsi="Times New Roman"/>
          <w:sz w:val="24"/>
        </w:rPr>
        <w:t>This comment is outside of the scope of the proposed rule.</w:t>
      </w:r>
    </w:p>
    <w:p w:rsidR="00025134" w:rsidRPr="00AE0BF4" w:rsidP="00025134" w14:paraId="0F6ECB5E" w14:textId="0F39DFA9">
      <w:pPr>
        <w:rPr>
          <w:rFonts w:ascii="Times New Roman" w:hAnsi="Times New Roman"/>
          <w:i/>
          <w:iCs/>
          <w:sz w:val="24"/>
        </w:rPr>
      </w:pPr>
      <w:r w:rsidRPr="00AE0BF4">
        <w:rPr>
          <w:rFonts w:ascii="Times New Roman" w:hAnsi="Times New Roman"/>
          <w:i/>
          <w:iCs/>
          <w:sz w:val="24"/>
        </w:rPr>
        <w:t>General</w:t>
      </w:r>
    </w:p>
    <w:p w:rsidR="00025134" w:rsidRPr="00AE0BF4" w:rsidP="00025134" w14:paraId="287CA1A7" w14:textId="31E003FA">
      <w:pPr>
        <w:rPr>
          <w:rFonts w:ascii="Times New Roman" w:hAnsi="Times New Roman"/>
          <w:sz w:val="24"/>
        </w:rPr>
      </w:pPr>
      <w:r w:rsidRPr="00AE0BF4">
        <w:rPr>
          <w:rFonts w:ascii="Times New Roman" w:hAnsi="Times New Roman"/>
          <w:b/>
          <w:bCs/>
          <w:sz w:val="24"/>
        </w:rPr>
        <w:t>Comment 2</w:t>
      </w:r>
      <w:r w:rsidR="00BF7B84">
        <w:rPr>
          <w:rFonts w:ascii="Times New Roman" w:hAnsi="Times New Roman"/>
          <w:b/>
          <w:bCs/>
          <w:sz w:val="24"/>
        </w:rPr>
        <w:t>2</w:t>
      </w:r>
      <w:r w:rsidRPr="00AE0BF4">
        <w:rPr>
          <w:rFonts w:ascii="Times New Roman" w:hAnsi="Times New Roman"/>
          <w:b/>
          <w:bCs/>
          <w:sz w:val="24"/>
        </w:rPr>
        <w:t>-0</w:t>
      </w:r>
      <w:r>
        <w:rPr>
          <w:rFonts w:ascii="Times New Roman" w:hAnsi="Times New Roman"/>
          <w:b/>
          <w:bCs/>
          <w:sz w:val="24"/>
        </w:rPr>
        <w:t>4</w:t>
      </w:r>
      <w:r w:rsidRPr="00AE0BF4">
        <w:rPr>
          <w:rFonts w:ascii="Times New Roman" w:hAnsi="Times New Roman"/>
          <w:b/>
          <w:bCs/>
          <w:sz w:val="24"/>
        </w:rPr>
        <w:t xml:space="preserve">: </w:t>
      </w:r>
      <w:r w:rsidRPr="00AE0BF4">
        <w:rPr>
          <w:rFonts w:ascii="Times New Roman" w:hAnsi="Times New Roman"/>
          <w:sz w:val="24"/>
        </w:rPr>
        <w:t>Several commenters provided other comments outside the scope of the current rulemaking (</w:t>
      </w:r>
      <w:r w:rsidR="00D65569">
        <w:rPr>
          <w:rFonts w:ascii="Times New Roman" w:hAnsi="Times New Roman"/>
          <w:sz w:val="24"/>
        </w:rPr>
        <w:t xml:space="preserve">0148, </w:t>
      </w:r>
      <w:r w:rsidR="008774F2">
        <w:rPr>
          <w:rFonts w:ascii="Times New Roman" w:hAnsi="Times New Roman"/>
          <w:sz w:val="24"/>
        </w:rPr>
        <w:t xml:space="preserve">0157, </w:t>
      </w:r>
      <w:r w:rsidR="00010EC1">
        <w:rPr>
          <w:rFonts w:ascii="Times New Roman" w:hAnsi="Times New Roman"/>
          <w:sz w:val="24"/>
        </w:rPr>
        <w:t>0164,</w:t>
      </w:r>
      <w:r w:rsidR="008774F2">
        <w:rPr>
          <w:rFonts w:ascii="Times New Roman" w:hAnsi="Times New Roman"/>
          <w:sz w:val="24"/>
        </w:rPr>
        <w:t xml:space="preserve"> </w:t>
      </w:r>
      <w:r w:rsidRPr="00AE0BF4">
        <w:rPr>
          <w:rFonts w:ascii="Times New Roman" w:hAnsi="Times New Roman"/>
          <w:sz w:val="24"/>
        </w:rPr>
        <w:t xml:space="preserve">0184, 0208, 0237, 0244, </w:t>
      </w:r>
      <w:r w:rsidR="001E1C80">
        <w:rPr>
          <w:rFonts w:ascii="Times New Roman" w:hAnsi="Times New Roman"/>
          <w:sz w:val="24"/>
        </w:rPr>
        <w:t xml:space="preserve">0245, </w:t>
      </w:r>
      <w:r w:rsidR="00036E85">
        <w:rPr>
          <w:rFonts w:ascii="Times New Roman" w:hAnsi="Times New Roman"/>
          <w:sz w:val="24"/>
        </w:rPr>
        <w:t xml:space="preserve">0252, </w:t>
      </w:r>
      <w:r w:rsidRPr="00AE0BF4">
        <w:rPr>
          <w:rFonts w:ascii="Times New Roman" w:hAnsi="Times New Roman"/>
          <w:sz w:val="24"/>
        </w:rPr>
        <w:t xml:space="preserve">0255, </w:t>
      </w:r>
      <w:r w:rsidR="003F3140">
        <w:rPr>
          <w:rFonts w:ascii="Times New Roman" w:hAnsi="Times New Roman"/>
          <w:sz w:val="24"/>
        </w:rPr>
        <w:t>0263,</w:t>
      </w:r>
      <w:r w:rsidRPr="00AE0BF4">
        <w:rPr>
          <w:rFonts w:ascii="Times New Roman" w:hAnsi="Times New Roman"/>
          <w:sz w:val="24"/>
        </w:rPr>
        <w:t xml:space="preserve"> </w:t>
      </w:r>
      <w:r w:rsidR="00036E85">
        <w:rPr>
          <w:rFonts w:ascii="Times New Roman" w:hAnsi="Times New Roman"/>
          <w:sz w:val="24"/>
        </w:rPr>
        <w:t xml:space="preserve">0269, </w:t>
      </w:r>
      <w:r w:rsidR="00E16294">
        <w:rPr>
          <w:rFonts w:ascii="Times New Roman" w:hAnsi="Times New Roman"/>
          <w:sz w:val="24"/>
        </w:rPr>
        <w:t xml:space="preserve">0270, 0409, </w:t>
      </w:r>
      <w:r w:rsidRPr="00AE0BF4">
        <w:rPr>
          <w:rFonts w:ascii="Times New Roman" w:hAnsi="Times New Roman"/>
          <w:sz w:val="24"/>
        </w:rPr>
        <w:t xml:space="preserve">0460). </w:t>
      </w:r>
    </w:p>
    <w:p w:rsidR="00025134" w:rsidRPr="00010EC1" w:rsidP="00025134" w14:paraId="5CE823CC" w14:textId="49F56390">
      <w:pPr>
        <w:ind w:left="720"/>
        <w:rPr>
          <w:rFonts w:ascii="Times New Roman" w:hAnsi="Times New Roman"/>
          <w:sz w:val="24"/>
        </w:rPr>
      </w:pPr>
      <w:r w:rsidRPr="00AE0BF4">
        <w:rPr>
          <w:rFonts w:ascii="Times New Roman" w:hAnsi="Times New Roman"/>
          <w:b/>
          <w:bCs/>
          <w:sz w:val="24"/>
        </w:rPr>
        <w:t xml:space="preserve">EPA Response: </w:t>
      </w:r>
      <w:bookmarkStart w:id="256" w:name="_Hlk147211746"/>
      <w:r w:rsidRPr="00AE0BF4">
        <w:rPr>
          <w:rFonts w:ascii="Times New Roman" w:hAnsi="Times New Roman"/>
          <w:sz w:val="24"/>
        </w:rPr>
        <w:t>These comments are outside of the scope of the proposed rule.</w:t>
      </w:r>
      <w:bookmarkEnd w:id="256"/>
    </w:p>
    <w:p w:rsidR="00803940" w:rsidRPr="00803940" w:rsidP="00803940" w14:paraId="2D23541B" w14:textId="7E65661B">
      <w:pPr>
        <w:rPr>
          <w:rFonts w:ascii="Times New Roman" w:hAnsi="Times New Roman"/>
          <w:i/>
          <w:iCs/>
          <w:sz w:val="24"/>
        </w:rPr>
      </w:pPr>
      <w:r w:rsidRPr="00803940">
        <w:rPr>
          <w:rFonts w:ascii="Times New Roman" w:hAnsi="Times New Roman"/>
          <w:i/>
          <w:iCs/>
          <w:sz w:val="24"/>
        </w:rPr>
        <w:t>Applicability</w:t>
      </w:r>
    </w:p>
    <w:p w:rsidR="00803940" w:rsidRPr="006F68E9" w:rsidP="00803940" w14:paraId="2D3C1689" w14:textId="47F1E241">
      <w:pPr>
        <w:rPr>
          <w:rFonts w:ascii="Times New Roman" w:hAnsi="Times New Roman"/>
          <w:sz w:val="24"/>
        </w:rPr>
      </w:pPr>
      <w:r>
        <w:rPr>
          <w:rFonts w:ascii="Times New Roman" w:hAnsi="Times New Roman"/>
          <w:b/>
          <w:bCs/>
          <w:sz w:val="24"/>
        </w:rPr>
        <w:t>Comment 2</w:t>
      </w:r>
      <w:r w:rsidR="00BF7B84">
        <w:rPr>
          <w:rFonts w:ascii="Times New Roman" w:hAnsi="Times New Roman"/>
          <w:b/>
          <w:bCs/>
          <w:sz w:val="24"/>
        </w:rPr>
        <w:t>2</w:t>
      </w:r>
      <w:r>
        <w:rPr>
          <w:rFonts w:ascii="Times New Roman" w:hAnsi="Times New Roman"/>
          <w:b/>
          <w:bCs/>
          <w:sz w:val="24"/>
        </w:rPr>
        <w:t xml:space="preserve">-05: </w:t>
      </w:r>
      <w:r w:rsidRPr="006F68E9">
        <w:rPr>
          <w:rFonts w:ascii="Times New Roman" w:hAnsi="Times New Roman"/>
          <w:sz w:val="24"/>
        </w:rPr>
        <w:t xml:space="preserve">A couple of commenters </w:t>
      </w:r>
      <w:r>
        <w:rPr>
          <w:rFonts w:ascii="Times New Roman" w:hAnsi="Times New Roman"/>
          <w:sz w:val="24"/>
        </w:rPr>
        <w:t>said</w:t>
      </w:r>
      <w:r w:rsidRPr="006F68E9">
        <w:rPr>
          <w:rFonts w:ascii="Times New Roman" w:hAnsi="Times New Roman"/>
          <w:sz w:val="24"/>
        </w:rPr>
        <w:t xml:space="preserve"> that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 xml:space="preserve">ule would have an impact on ammonia, which is subject to the RMP, but is also the most efficient and effective alternatives for facilities considering a change from hydrofluorocarbons (HFCs) in industrial refrigerant use. The commenters stated that they caution EPA not to overburden RMP requirements such that EPA disincentivizes investments in lower GHG-emitting technologies and urged EPA to consider the unintended consequences the </w:t>
      </w:r>
      <w:r>
        <w:rPr>
          <w:rFonts w:ascii="Times New Roman" w:hAnsi="Times New Roman"/>
          <w:sz w:val="24"/>
        </w:rPr>
        <w:t>p</w:t>
      </w:r>
      <w:r w:rsidRPr="006F68E9">
        <w:rPr>
          <w:rFonts w:ascii="Times New Roman" w:hAnsi="Times New Roman"/>
          <w:sz w:val="24"/>
        </w:rPr>
        <w:t xml:space="preserve">roposed </w:t>
      </w:r>
      <w:r>
        <w:rPr>
          <w:rFonts w:ascii="Times New Roman" w:hAnsi="Times New Roman"/>
          <w:sz w:val="24"/>
        </w:rPr>
        <w:t>r</w:t>
      </w:r>
      <w:r w:rsidRPr="006F68E9">
        <w:rPr>
          <w:rFonts w:ascii="Times New Roman" w:hAnsi="Times New Roman"/>
          <w:sz w:val="24"/>
        </w:rPr>
        <w:t>ule may have on moving facilities away from HFCs to ammonia (0184, 0237).</w:t>
      </w:r>
    </w:p>
    <w:p w:rsidR="00803940" w:rsidP="00803940" w14:paraId="07705DB1" w14:textId="77777777">
      <w:pPr>
        <w:ind w:left="720"/>
        <w:rPr>
          <w:rFonts w:ascii="Times New Roman" w:hAnsi="Times New Roman"/>
          <w:sz w:val="24"/>
        </w:rPr>
      </w:pPr>
      <w:r>
        <w:rPr>
          <w:rFonts w:ascii="Times New Roman" w:hAnsi="Times New Roman"/>
          <w:b/>
          <w:bCs/>
          <w:sz w:val="24"/>
        </w:rPr>
        <w:t xml:space="preserve">EPA Response: </w:t>
      </w:r>
      <w:r>
        <w:rPr>
          <w:rFonts w:ascii="Times New Roman" w:hAnsi="Times New Roman"/>
          <w:sz w:val="24"/>
        </w:rPr>
        <w:t>This comment is outside of the scope of the proposed rule.</w:t>
      </w:r>
    </w:p>
    <w:p w:rsidR="001C2962" w:rsidP="001C2962" w14:paraId="4BB4CE9F" w14:textId="13BB3F0D">
      <w:pPr>
        <w:rPr>
          <w:rFonts w:ascii="Times New Roman" w:hAnsi="Times New Roman"/>
          <w:sz w:val="24"/>
        </w:rPr>
      </w:pPr>
      <w:r>
        <w:rPr>
          <w:rFonts w:ascii="Times New Roman" w:hAnsi="Times New Roman"/>
          <w:b/>
          <w:bCs/>
          <w:sz w:val="24"/>
        </w:rPr>
        <w:t>Comment 2</w:t>
      </w:r>
      <w:r w:rsidR="00BF7B84">
        <w:rPr>
          <w:rFonts w:ascii="Times New Roman" w:hAnsi="Times New Roman"/>
          <w:b/>
          <w:bCs/>
          <w:sz w:val="24"/>
        </w:rPr>
        <w:t>2</w:t>
      </w:r>
      <w:r>
        <w:rPr>
          <w:rFonts w:ascii="Times New Roman" w:hAnsi="Times New Roman"/>
          <w:b/>
          <w:bCs/>
          <w:sz w:val="24"/>
        </w:rPr>
        <w:t xml:space="preserve">-06: </w:t>
      </w:r>
      <w:r w:rsidRPr="00232BB6">
        <w:rPr>
          <w:rFonts w:ascii="Times New Roman" w:hAnsi="Times New Roman"/>
          <w:sz w:val="24"/>
        </w:rPr>
        <w:t xml:space="preserve">Another commenter urged EPA </w:t>
      </w:r>
      <w:r>
        <w:rPr>
          <w:rFonts w:ascii="Times New Roman" w:hAnsi="Times New Roman"/>
          <w:sz w:val="24"/>
        </w:rPr>
        <w:t xml:space="preserve">to </w:t>
      </w:r>
      <w:r w:rsidRPr="00232BB6">
        <w:rPr>
          <w:rFonts w:ascii="Times New Roman" w:hAnsi="Times New Roman"/>
          <w:sz w:val="24"/>
        </w:rPr>
        <w:t>revi</w:t>
      </w:r>
      <w:r>
        <w:rPr>
          <w:rFonts w:ascii="Times New Roman" w:hAnsi="Times New Roman"/>
          <w:sz w:val="24"/>
        </w:rPr>
        <w:t>se</w:t>
      </w:r>
      <w:r w:rsidRPr="00232BB6">
        <w:rPr>
          <w:rFonts w:ascii="Times New Roman" w:hAnsi="Times New Roman"/>
          <w:sz w:val="24"/>
        </w:rPr>
        <w:t xml:space="preserve"> the proposed rule so that air permits for major sources regulated by the RMP include safety plans and incident reports (0448).</w:t>
      </w:r>
    </w:p>
    <w:p w:rsidR="001C2962" w:rsidP="001C2962" w14:paraId="726798F4" w14:textId="77777777">
      <w:pPr>
        <w:ind w:left="720"/>
        <w:rPr>
          <w:rFonts w:ascii="Times New Roman" w:hAnsi="Times New Roman"/>
          <w:sz w:val="24"/>
        </w:rPr>
      </w:pPr>
      <w:r w:rsidRPr="0069372F">
        <w:rPr>
          <w:rFonts w:ascii="Times New Roman" w:hAnsi="Times New Roman"/>
          <w:b/>
          <w:bCs/>
          <w:sz w:val="24"/>
        </w:rPr>
        <w:t>EPA Response:</w:t>
      </w:r>
      <w:r w:rsidRPr="0069372F">
        <w:rPr>
          <w:rFonts w:ascii="Times New Roman" w:hAnsi="Times New Roman"/>
          <w:sz w:val="24"/>
        </w:rPr>
        <w:t xml:space="preserve"> </w:t>
      </w:r>
      <w:r>
        <w:rPr>
          <w:rFonts w:ascii="Times New Roman" w:hAnsi="Times New Roman"/>
          <w:sz w:val="24"/>
        </w:rPr>
        <w:t>This comment is outside of the scope of the proposed rule.</w:t>
      </w:r>
    </w:p>
    <w:p w:rsidR="0006781C" w:rsidRPr="00A610E5" w:rsidP="0006781C" w14:paraId="46B4F75F" w14:textId="77777777">
      <w:pPr>
        <w:rPr>
          <w:rFonts w:ascii="Times New Roman" w:hAnsi="Times New Roman"/>
          <w:i/>
          <w:iCs/>
          <w:sz w:val="24"/>
        </w:rPr>
      </w:pPr>
      <w:r>
        <w:rPr>
          <w:rFonts w:ascii="Times New Roman" w:hAnsi="Times New Roman"/>
          <w:i/>
          <w:iCs/>
          <w:sz w:val="24"/>
        </w:rPr>
        <w:t>5-Year Reporting Timeline</w:t>
      </w:r>
    </w:p>
    <w:p w:rsidR="0006781C" w:rsidP="0006781C" w14:paraId="2782DD6A" w14:textId="42EF7EDF">
      <w:pPr>
        <w:rPr>
          <w:rFonts w:ascii="Times New Roman" w:hAnsi="Times New Roman"/>
          <w:sz w:val="24"/>
        </w:rPr>
      </w:pPr>
      <w:r>
        <w:rPr>
          <w:rFonts w:ascii="Times New Roman" w:hAnsi="Times New Roman"/>
          <w:b/>
          <w:bCs/>
          <w:sz w:val="24"/>
        </w:rPr>
        <w:t>Comment 2</w:t>
      </w:r>
      <w:r w:rsidR="00BF7B84">
        <w:rPr>
          <w:rFonts w:ascii="Times New Roman" w:hAnsi="Times New Roman"/>
          <w:b/>
          <w:bCs/>
          <w:sz w:val="24"/>
        </w:rPr>
        <w:t>2</w:t>
      </w:r>
      <w:r>
        <w:rPr>
          <w:rFonts w:ascii="Times New Roman" w:hAnsi="Times New Roman"/>
          <w:b/>
          <w:bCs/>
          <w:sz w:val="24"/>
        </w:rPr>
        <w:t xml:space="preserve">-07: </w:t>
      </w:r>
      <w:r w:rsidRPr="006F68E9">
        <w:rPr>
          <w:rFonts w:ascii="Times New Roman" w:hAnsi="Times New Roman"/>
          <w:sz w:val="24"/>
        </w:rPr>
        <w:t xml:space="preserve">One of the commenters stated that current reporting every 5 years is inadequate and stated that EPA should require compliance reports to EPA with the normal reporting required in air permits. The commenter specifically asked EPA to require more frequent compliance reporting in the form of electronic, semi-annual compliance reports, near-miss reporting, and reporting of IST and NaTech assessments (0456). Another commenter claimed that some facilities miss or ignore the 6-month deadline to report incidents and only update their accident history at the 5-year RMP update deadline. The commenter suggested that EPA seek review by enforcement experts within EPA’s OECA to ensure that compliance is built into the </w:t>
      </w:r>
      <w:r>
        <w:rPr>
          <w:rFonts w:ascii="Times New Roman" w:hAnsi="Times New Roman"/>
          <w:sz w:val="24"/>
        </w:rPr>
        <w:t>p</w:t>
      </w:r>
      <w:r w:rsidRPr="006F68E9">
        <w:rPr>
          <w:rFonts w:ascii="Times New Roman" w:hAnsi="Times New Roman"/>
          <w:sz w:val="24"/>
        </w:rPr>
        <w:t xml:space="preserve">roposed </w:t>
      </w:r>
      <w:r w:rsidR="007335A7">
        <w:rPr>
          <w:rFonts w:ascii="Times New Roman" w:hAnsi="Times New Roman"/>
          <w:sz w:val="24"/>
        </w:rPr>
        <w:t>r</w:t>
      </w:r>
      <w:r w:rsidRPr="006F68E9" w:rsidR="007335A7">
        <w:rPr>
          <w:rFonts w:ascii="Times New Roman" w:hAnsi="Times New Roman"/>
          <w:sz w:val="24"/>
        </w:rPr>
        <w:t>ule</w:t>
      </w:r>
      <w:r w:rsidRPr="006F68E9">
        <w:rPr>
          <w:rFonts w:ascii="Times New Roman" w:hAnsi="Times New Roman"/>
          <w:sz w:val="24"/>
        </w:rPr>
        <w:t xml:space="preserve"> and implement the recommendations of CSB for more detailed reporting on the PHA and incident reporting. The commenter </w:t>
      </w:r>
      <w:r>
        <w:rPr>
          <w:rFonts w:ascii="Times New Roman" w:hAnsi="Times New Roman"/>
          <w:sz w:val="24"/>
        </w:rPr>
        <w:t>said</w:t>
      </w:r>
      <w:r w:rsidRPr="006F68E9">
        <w:rPr>
          <w:rFonts w:ascii="Times New Roman" w:hAnsi="Times New Roman"/>
          <w:sz w:val="24"/>
        </w:rPr>
        <w:t xml:space="preserve"> that writing compliance-design focused rules will increase compliance without any further action from EPA, serve the core goal of preventing incidents before they occur, and provide more information EPA can use to assist in </w:t>
      </w:r>
      <w:r w:rsidRPr="006F68E9">
        <w:rPr>
          <w:rFonts w:ascii="Times New Roman" w:hAnsi="Times New Roman"/>
          <w:sz w:val="24"/>
        </w:rPr>
        <w:t xml:space="preserve">enforcement where this is needed. The commenter explained that former EPA enforcement expert Cynthia Giles supports this approach. The commenter suggested that EPA require more frequent reporting, increased monitoring, automatic liability admission, corrective action, and penalty requirements, and increased transparency and review during the permit process (0460). </w:t>
      </w:r>
    </w:p>
    <w:p w:rsidR="0006781C" w:rsidP="0006781C" w14:paraId="6275068B" w14:textId="77777777">
      <w:pPr>
        <w:ind w:left="720"/>
        <w:rPr>
          <w:rFonts w:ascii="Times New Roman" w:hAnsi="Times New Roman"/>
          <w:sz w:val="24"/>
        </w:rPr>
      </w:pPr>
      <w:r>
        <w:rPr>
          <w:rFonts w:ascii="Times New Roman" w:hAnsi="Times New Roman"/>
          <w:b/>
          <w:bCs/>
          <w:sz w:val="24"/>
        </w:rPr>
        <w:t xml:space="preserve">EPA Response: </w:t>
      </w:r>
      <w:r>
        <w:rPr>
          <w:rFonts w:ascii="Times New Roman" w:hAnsi="Times New Roman"/>
          <w:sz w:val="24"/>
        </w:rPr>
        <w:t>This comment is outside of the scope of the proposed rule.</w:t>
      </w:r>
    </w:p>
    <w:p w:rsidR="00BF7BBE" w:rsidRPr="00BF7BBE" w:rsidP="00BF7BBE" w14:paraId="4757ADCC" w14:textId="06C6BAF7">
      <w:pPr>
        <w:rPr>
          <w:rFonts w:ascii="Times New Roman" w:hAnsi="Times New Roman"/>
          <w:i/>
          <w:iCs/>
          <w:sz w:val="24"/>
        </w:rPr>
      </w:pPr>
      <w:r w:rsidRPr="00BF7BBE">
        <w:rPr>
          <w:rFonts w:ascii="Times New Roman" w:hAnsi="Times New Roman"/>
          <w:i/>
          <w:iCs/>
          <w:sz w:val="24"/>
        </w:rPr>
        <w:t>Permits</w:t>
      </w:r>
    </w:p>
    <w:p w:rsidR="00932792" w:rsidRPr="00932792" w:rsidP="00932792" w14:paraId="539F0697" w14:textId="5B016FD7">
      <w:pPr>
        <w:rPr>
          <w:rFonts w:ascii="Times New Roman" w:hAnsi="Times New Roman"/>
          <w:sz w:val="24"/>
        </w:rPr>
      </w:pPr>
      <w:r w:rsidRPr="00932792">
        <w:rPr>
          <w:rFonts w:ascii="Times New Roman" w:hAnsi="Times New Roman"/>
          <w:b/>
          <w:bCs/>
          <w:sz w:val="24"/>
        </w:rPr>
        <w:t>Comment 2</w:t>
      </w:r>
      <w:r w:rsidR="00BF7B84">
        <w:rPr>
          <w:rFonts w:ascii="Times New Roman" w:hAnsi="Times New Roman"/>
          <w:b/>
          <w:bCs/>
          <w:sz w:val="24"/>
        </w:rPr>
        <w:t>2</w:t>
      </w:r>
      <w:r w:rsidRPr="00932792">
        <w:rPr>
          <w:rFonts w:ascii="Times New Roman" w:hAnsi="Times New Roman"/>
          <w:b/>
          <w:bCs/>
          <w:sz w:val="24"/>
        </w:rPr>
        <w:t xml:space="preserve">-08: </w:t>
      </w:r>
      <w:r w:rsidRPr="00932792">
        <w:rPr>
          <w:rFonts w:ascii="Times New Roman" w:hAnsi="Times New Roman"/>
          <w:sz w:val="24"/>
        </w:rPr>
        <w:t xml:space="preserve">One commenter suggested EPA consider issuing RMP permits to hold facilities accountable for maintaining their covered process equipment and RMP program (0158). </w:t>
      </w:r>
    </w:p>
    <w:p w:rsidR="00932792" w:rsidRPr="00932792" w:rsidP="00932792" w14:paraId="16CCBB6E" w14:textId="77777777">
      <w:pPr>
        <w:ind w:firstLine="720"/>
        <w:rPr>
          <w:rFonts w:ascii="Times New Roman" w:hAnsi="Times New Roman"/>
          <w:sz w:val="24"/>
        </w:rPr>
      </w:pPr>
      <w:r w:rsidRPr="00932792">
        <w:rPr>
          <w:rFonts w:ascii="Times New Roman" w:hAnsi="Times New Roman"/>
          <w:b/>
          <w:bCs/>
          <w:sz w:val="24"/>
        </w:rPr>
        <w:t xml:space="preserve">EPA Response: </w:t>
      </w:r>
      <w:r w:rsidRPr="00932792">
        <w:rPr>
          <w:rFonts w:ascii="Times New Roman" w:hAnsi="Times New Roman"/>
          <w:sz w:val="24"/>
        </w:rPr>
        <w:t>This comment is outside of the scope of the proposed rule.</w:t>
      </w:r>
    </w:p>
    <w:p w:rsidR="00932792" w:rsidRPr="00932792" w:rsidP="00932792" w14:paraId="473F2601" w14:textId="79CADDE7">
      <w:pPr>
        <w:rPr>
          <w:rFonts w:ascii="Times New Roman" w:hAnsi="Times New Roman"/>
          <w:sz w:val="24"/>
        </w:rPr>
      </w:pPr>
      <w:r w:rsidRPr="00932792">
        <w:rPr>
          <w:rFonts w:ascii="Times New Roman" w:hAnsi="Times New Roman"/>
          <w:b/>
          <w:bCs/>
          <w:sz w:val="24"/>
        </w:rPr>
        <w:t>Comment 2</w:t>
      </w:r>
      <w:r w:rsidR="00BF7B84">
        <w:rPr>
          <w:rFonts w:ascii="Times New Roman" w:hAnsi="Times New Roman"/>
          <w:b/>
          <w:bCs/>
          <w:sz w:val="24"/>
        </w:rPr>
        <w:t>2</w:t>
      </w:r>
      <w:r w:rsidRPr="00932792">
        <w:rPr>
          <w:rFonts w:ascii="Times New Roman" w:hAnsi="Times New Roman"/>
          <w:b/>
          <w:bCs/>
          <w:sz w:val="24"/>
        </w:rPr>
        <w:t xml:space="preserve">-09: </w:t>
      </w:r>
      <w:r w:rsidRPr="00932792">
        <w:rPr>
          <w:rFonts w:ascii="Times New Roman" w:hAnsi="Times New Roman"/>
          <w:sz w:val="24"/>
        </w:rPr>
        <w:t xml:space="preserve">One commenter stated that permits are based on the location of the actual facility, not based on the actual air pollution that crosses boundaries. The commenter expressed concern that EPA does not regulate what does off-site from these industries and does not inform the community of exposure based on air pollution modeling (0160). </w:t>
      </w:r>
    </w:p>
    <w:p w:rsidR="00932792" w:rsidRPr="001A71F2" w:rsidP="00932792" w14:paraId="5CA1D34C" w14:textId="77777777">
      <w:pPr>
        <w:ind w:firstLine="720"/>
        <w:rPr>
          <w:rFonts w:ascii="Times New Roman" w:hAnsi="Times New Roman"/>
          <w:sz w:val="24"/>
        </w:rPr>
      </w:pPr>
      <w:r w:rsidRPr="00932792">
        <w:rPr>
          <w:rFonts w:ascii="Times New Roman" w:hAnsi="Times New Roman"/>
          <w:b/>
          <w:bCs/>
          <w:sz w:val="24"/>
        </w:rPr>
        <w:t xml:space="preserve">EPA Response: </w:t>
      </w:r>
      <w:r w:rsidRPr="00932792">
        <w:rPr>
          <w:rFonts w:ascii="Times New Roman" w:hAnsi="Times New Roman"/>
          <w:sz w:val="24"/>
        </w:rPr>
        <w:t>This comment is outside of the scope of the proposed rule.</w:t>
      </w:r>
      <w:r>
        <w:rPr>
          <w:rFonts w:ascii="Times New Roman" w:hAnsi="Times New Roman"/>
          <w:sz w:val="24"/>
        </w:rPr>
        <w:t xml:space="preserve"> </w:t>
      </w:r>
    </w:p>
    <w:p w:rsidR="001E1C80" w:rsidRPr="008A4390" w:rsidP="00BB64F0" w14:paraId="235065B9" w14:textId="50F1AECB">
      <w:pPr>
        <w:rPr>
          <w:rFonts w:ascii="Times New Roman" w:eastAsia="Calibri" w:hAnsi="Times New Roman"/>
          <w:sz w:val="24"/>
        </w:rPr>
      </w:pPr>
      <w:r w:rsidRPr="008A4390">
        <w:rPr>
          <w:rFonts w:ascii="Times New Roman" w:eastAsia="Calibri" w:hAnsi="Times New Roman"/>
          <w:b/>
          <w:bCs/>
          <w:sz w:val="24"/>
        </w:rPr>
        <w:t>Comment 2</w:t>
      </w:r>
      <w:r w:rsidR="00BF7B84">
        <w:rPr>
          <w:rFonts w:ascii="Times New Roman" w:eastAsia="Calibri" w:hAnsi="Times New Roman"/>
          <w:b/>
          <w:bCs/>
          <w:sz w:val="24"/>
        </w:rPr>
        <w:t>2</w:t>
      </w:r>
      <w:r w:rsidRPr="008A4390">
        <w:rPr>
          <w:rFonts w:ascii="Times New Roman" w:eastAsia="Calibri" w:hAnsi="Times New Roman"/>
          <w:b/>
          <w:bCs/>
          <w:sz w:val="24"/>
        </w:rPr>
        <w:t>-10:</w:t>
      </w:r>
      <w:r>
        <w:rPr>
          <w:rFonts w:ascii="Times New Roman" w:eastAsia="Calibri" w:hAnsi="Times New Roman"/>
          <w:sz w:val="24"/>
        </w:rPr>
        <w:t xml:space="preserve"> </w:t>
      </w:r>
      <w:r w:rsidRPr="006F68E9" w:rsidR="00DC1E55">
        <w:rPr>
          <w:rFonts w:ascii="Times New Roman" w:eastAsia="Calibri" w:hAnsi="Times New Roman"/>
          <w:sz w:val="24"/>
        </w:rPr>
        <w:t>One commenter strongly urged EPA to review and update the list of RMP listed chemicals to assure coverage of all hazardous facilities that threaten communities and to ensure the promise of full protection (0413).</w:t>
      </w:r>
    </w:p>
    <w:p w:rsidR="008A4390" w:rsidRPr="00AE0BF4" w:rsidP="008A4390" w14:paraId="5670AB60" w14:textId="77777777">
      <w:pPr>
        <w:ind w:left="720"/>
        <w:rPr>
          <w:rFonts w:ascii="Times New Roman" w:hAnsi="Times New Roman"/>
          <w:b/>
          <w:bCs/>
          <w:sz w:val="24"/>
        </w:rPr>
      </w:pPr>
      <w:r w:rsidRPr="00AE0BF4">
        <w:rPr>
          <w:rFonts w:ascii="Times New Roman" w:hAnsi="Times New Roman"/>
          <w:b/>
          <w:bCs/>
          <w:sz w:val="24"/>
        </w:rPr>
        <w:t xml:space="preserve">EPA Response: </w:t>
      </w:r>
      <w:r w:rsidRPr="00AE0BF4">
        <w:rPr>
          <w:rFonts w:ascii="Times New Roman" w:hAnsi="Times New Roman"/>
          <w:sz w:val="24"/>
        </w:rPr>
        <w:t>Th</w:t>
      </w:r>
      <w:r>
        <w:rPr>
          <w:rFonts w:ascii="Times New Roman" w:hAnsi="Times New Roman"/>
          <w:sz w:val="24"/>
        </w:rPr>
        <w:t xml:space="preserve">is </w:t>
      </w:r>
      <w:r w:rsidRPr="00AE0BF4">
        <w:rPr>
          <w:rFonts w:ascii="Times New Roman" w:hAnsi="Times New Roman"/>
          <w:sz w:val="24"/>
        </w:rPr>
        <w:t xml:space="preserve">comment </w:t>
      </w:r>
      <w:r>
        <w:rPr>
          <w:rFonts w:ascii="Times New Roman" w:hAnsi="Times New Roman"/>
          <w:sz w:val="24"/>
        </w:rPr>
        <w:t>is</w:t>
      </w:r>
      <w:r w:rsidRPr="00AE0BF4">
        <w:rPr>
          <w:rFonts w:ascii="Times New Roman" w:hAnsi="Times New Roman"/>
          <w:sz w:val="24"/>
        </w:rPr>
        <w:t xml:space="preserve"> outside of the scope of the proposed rule.</w:t>
      </w:r>
    </w:p>
    <w:p w:rsidR="008A4390" w:rsidP="00BB64F0" w14:paraId="364ADBA1" w14:textId="7E86D580">
      <w:pPr>
        <w:rPr>
          <w:rFonts w:ascii="Times New Roman" w:hAnsi="Times New Roman"/>
          <w:b/>
          <w:bCs/>
          <w:sz w:val="24"/>
        </w:rPr>
        <w:sectPr w:rsidSect="00F94626">
          <w:pgSz w:w="12240" w:h="15840"/>
          <w:pgMar w:top="1440" w:right="1440" w:bottom="1440" w:left="1440" w:header="720" w:footer="720" w:gutter="0"/>
          <w:pgNumType w:start="1"/>
          <w:cols w:space="720"/>
          <w:docGrid w:linePitch="360"/>
        </w:sectPr>
      </w:pPr>
    </w:p>
    <w:p w:rsidR="00BB64F0" w:rsidRPr="00183FB8" w:rsidP="00BB64F0" w14:paraId="42F550CA" w14:textId="47723E88">
      <w:pPr>
        <w:rPr>
          <w:rFonts w:ascii="Times New Roman" w:hAnsi="Times New Roman"/>
          <w:sz w:val="24"/>
        </w:rPr>
      </w:pPr>
      <w:r w:rsidRPr="00183FB8">
        <w:rPr>
          <w:rFonts w:ascii="Times New Roman" w:hAnsi="Times New Roman"/>
          <w:b/>
          <w:bCs/>
          <w:sz w:val="24"/>
        </w:rPr>
        <w:t>APPENDIX A</w:t>
      </w:r>
      <w:r w:rsidRPr="00183FB8">
        <w:rPr>
          <w:rFonts w:ascii="Times New Roman" w:hAnsi="Times New Roman"/>
          <w:sz w:val="24"/>
        </w:rPr>
        <w:t xml:space="preserve"> - Meeting dates for EPA/OSHA </w:t>
      </w:r>
      <w:r w:rsidR="00247899">
        <w:rPr>
          <w:rFonts w:ascii="Times New Roman" w:hAnsi="Times New Roman"/>
          <w:sz w:val="24"/>
        </w:rPr>
        <w:t>on program coordination and the SCCAP rule</w:t>
      </w:r>
    </w:p>
    <w:p w:rsidR="00BB64F0" w:rsidRPr="00183FB8" w:rsidP="00BB64F0" w14:paraId="58292FBF" w14:textId="72E8C33E">
      <w:pPr>
        <w:rPr>
          <w:rFonts w:ascii="Times New Roman" w:hAnsi="Times New Roman"/>
          <w:sz w:val="24"/>
          <w:u w:val="single"/>
        </w:rPr>
      </w:pPr>
      <w:r w:rsidRPr="00183FB8">
        <w:rPr>
          <w:rFonts w:ascii="Times New Roman" w:hAnsi="Times New Roman"/>
          <w:sz w:val="24"/>
          <w:u w:val="single"/>
        </w:rPr>
        <w:t>EPA/OSHA PSM/RMP program coordination meetings</w:t>
      </w:r>
      <w:r w:rsidRPr="00183FB8" w:rsidR="00603349">
        <w:rPr>
          <w:rFonts w:ascii="Times New Roman" w:hAnsi="Times New Roman"/>
          <w:sz w:val="24"/>
          <w:u w:val="single"/>
        </w:rPr>
        <w:t>:</w:t>
      </w:r>
    </w:p>
    <w:p w:rsidR="00BB64F0" w:rsidRPr="00183FB8" w:rsidP="00BB64F0" w14:paraId="3F198E79" w14:textId="18481949">
      <w:pPr>
        <w:rPr>
          <w:rFonts w:ascii="Times New Roman" w:hAnsi="Times New Roman"/>
          <w:sz w:val="24"/>
        </w:rPr>
      </w:pPr>
      <w:r w:rsidRPr="00183FB8">
        <w:rPr>
          <w:rFonts w:ascii="Times New Roman" w:hAnsi="Times New Roman"/>
          <w:sz w:val="24"/>
        </w:rPr>
        <w:t xml:space="preserve">EPA and OSHA staff participated in regularly scheduled PSM/RMP coordination meetings that involved discussions of EPA’s revisions to the RMP rule and OSHA’s revisions to their PSM standard, as well as discussion on other issues involving implementation, enforcement, and guidance for PSM and RMP programs. The dates of these meetings </w:t>
      </w:r>
      <w:r w:rsidRPr="00183FB8" w:rsidR="002D63B5">
        <w:rPr>
          <w:rFonts w:ascii="Times New Roman" w:hAnsi="Times New Roman"/>
          <w:sz w:val="24"/>
        </w:rPr>
        <w:t>(virtual Microsoft Teams meetings</w:t>
      </w:r>
      <w:r w:rsidRPr="00183FB8">
        <w:rPr>
          <w:rFonts w:ascii="Times New Roman" w:hAnsi="Times New Roman"/>
          <w:sz w:val="24"/>
        </w:rPr>
        <w:t xml:space="preserve">) were as follows: 2/16/2021, </w:t>
      </w:r>
      <w:r w:rsidRPr="00183FB8" w:rsidR="00603349">
        <w:rPr>
          <w:rFonts w:ascii="Times New Roman" w:hAnsi="Times New Roman"/>
          <w:sz w:val="24"/>
        </w:rPr>
        <w:t>3/16/2021, 4/20/2021, 5/18/2021, 6/15/2021, 7/20/2021,</w:t>
      </w:r>
      <w:r w:rsidRPr="00183FB8" w:rsidR="002D63B5">
        <w:rPr>
          <w:rFonts w:ascii="Times New Roman" w:hAnsi="Times New Roman"/>
          <w:sz w:val="24"/>
        </w:rPr>
        <w:t xml:space="preserve"> </w:t>
      </w:r>
      <w:r w:rsidRPr="00183FB8" w:rsidR="00603349">
        <w:rPr>
          <w:rFonts w:ascii="Times New Roman" w:hAnsi="Times New Roman"/>
          <w:sz w:val="24"/>
        </w:rPr>
        <w:t xml:space="preserve">9/21/2021, 11/16/2021, 1/18/2022, 02/15/2022, 3/15/2022, </w:t>
      </w:r>
      <w:r w:rsidRPr="00183FB8" w:rsidR="00823228">
        <w:rPr>
          <w:rFonts w:ascii="Times New Roman" w:hAnsi="Times New Roman"/>
          <w:sz w:val="24"/>
        </w:rPr>
        <w:t xml:space="preserve">5/17/2022, 7/19/2022, 8/16/2022, 10/18/2022, </w:t>
      </w:r>
      <w:r w:rsidRPr="00183FB8" w:rsidR="002D63B5">
        <w:rPr>
          <w:rFonts w:ascii="Times New Roman" w:hAnsi="Times New Roman"/>
          <w:sz w:val="24"/>
        </w:rPr>
        <w:t>1/17/2023, 2/21/2023, 3/21/2023. 4/18/2023, 06/20/2023, 7/18/2023, 9/19/2023.</w:t>
      </w:r>
    </w:p>
    <w:p w:rsidR="00BB64F0" w:rsidRPr="00183FB8" w:rsidP="00BB64F0" w14:paraId="527B9ADD" w14:textId="245CF239">
      <w:pPr>
        <w:rPr>
          <w:rFonts w:ascii="Times New Roman" w:hAnsi="Times New Roman"/>
          <w:sz w:val="24"/>
          <w:u w:val="single"/>
        </w:rPr>
      </w:pPr>
      <w:r w:rsidRPr="00183FB8">
        <w:rPr>
          <w:rFonts w:ascii="Times New Roman" w:hAnsi="Times New Roman"/>
          <w:sz w:val="24"/>
          <w:u w:val="single"/>
        </w:rPr>
        <w:t>EPA and OSHA Meetings on the SCCAP Rule</w:t>
      </w:r>
      <w:r w:rsidRPr="00183FB8" w:rsidR="00603349">
        <w:rPr>
          <w:rFonts w:ascii="Times New Roman" w:hAnsi="Times New Roman"/>
          <w:sz w:val="24"/>
          <w:u w:val="single"/>
        </w:rPr>
        <w:t>:</w:t>
      </w:r>
    </w:p>
    <w:p w:rsidR="00BB64F0" w:rsidRPr="00183FB8" w:rsidP="00BB64F0" w14:paraId="6AF0E121" w14:textId="5C72EBFA">
      <w:pPr>
        <w:rPr>
          <w:rFonts w:ascii="Times New Roman" w:hAnsi="Times New Roman"/>
          <w:sz w:val="24"/>
        </w:rPr>
      </w:pPr>
      <w:r w:rsidRPr="00183FB8">
        <w:rPr>
          <w:rFonts w:ascii="Times New Roman" w:hAnsi="Times New Roman"/>
          <w:sz w:val="24"/>
        </w:rPr>
        <w:t>OSHA and EPA staff attended these meetings on 0</w:t>
      </w:r>
      <w:r w:rsidRPr="00183FB8" w:rsidR="00603349">
        <w:rPr>
          <w:rFonts w:ascii="Times New Roman" w:hAnsi="Times New Roman"/>
          <w:sz w:val="24"/>
        </w:rPr>
        <w:t>3</w:t>
      </w:r>
      <w:r w:rsidRPr="00183FB8">
        <w:rPr>
          <w:rFonts w:ascii="Times New Roman" w:hAnsi="Times New Roman"/>
          <w:sz w:val="24"/>
        </w:rPr>
        <w:t>/</w:t>
      </w:r>
      <w:r w:rsidRPr="00183FB8" w:rsidR="00603349">
        <w:rPr>
          <w:rFonts w:ascii="Times New Roman" w:hAnsi="Times New Roman"/>
          <w:sz w:val="24"/>
        </w:rPr>
        <w:t>04</w:t>
      </w:r>
      <w:r w:rsidRPr="00183FB8">
        <w:rPr>
          <w:rFonts w:ascii="Times New Roman" w:hAnsi="Times New Roman"/>
          <w:sz w:val="24"/>
        </w:rPr>
        <w:t>/20</w:t>
      </w:r>
      <w:r w:rsidRPr="00183FB8" w:rsidR="00603349">
        <w:rPr>
          <w:rFonts w:ascii="Times New Roman" w:hAnsi="Times New Roman"/>
          <w:sz w:val="24"/>
        </w:rPr>
        <w:t>21</w:t>
      </w:r>
      <w:r w:rsidRPr="00183FB8" w:rsidR="00823228">
        <w:rPr>
          <w:rFonts w:ascii="Times New Roman" w:hAnsi="Times New Roman"/>
          <w:sz w:val="24"/>
        </w:rPr>
        <w:t>, 10/6/2021, 1/10/2022, 2/14/2022, 03/07/2022</w:t>
      </w:r>
      <w:r w:rsidRPr="00183FB8">
        <w:rPr>
          <w:rFonts w:ascii="Times New Roman" w:hAnsi="Times New Roman"/>
          <w:sz w:val="24"/>
        </w:rPr>
        <w:t xml:space="preserve"> and 0</w:t>
      </w:r>
      <w:r w:rsidRPr="00183FB8" w:rsidR="00823228">
        <w:rPr>
          <w:rFonts w:ascii="Times New Roman" w:hAnsi="Times New Roman"/>
          <w:sz w:val="24"/>
        </w:rPr>
        <w:t>1</w:t>
      </w:r>
      <w:r w:rsidRPr="00183FB8">
        <w:rPr>
          <w:rFonts w:ascii="Times New Roman" w:hAnsi="Times New Roman"/>
          <w:sz w:val="24"/>
        </w:rPr>
        <w:t>/</w:t>
      </w:r>
      <w:r w:rsidRPr="00183FB8" w:rsidR="00823228">
        <w:rPr>
          <w:rFonts w:ascii="Times New Roman" w:hAnsi="Times New Roman"/>
          <w:sz w:val="24"/>
        </w:rPr>
        <w:t>23</w:t>
      </w:r>
      <w:r w:rsidRPr="00183FB8">
        <w:rPr>
          <w:rFonts w:ascii="Times New Roman" w:hAnsi="Times New Roman"/>
          <w:sz w:val="24"/>
        </w:rPr>
        <w:t>/20</w:t>
      </w:r>
      <w:r w:rsidRPr="00183FB8" w:rsidR="00823228">
        <w:rPr>
          <w:rFonts w:ascii="Times New Roman" w:hAnsi="Times New Roman"/>
          <w:sz w:val="24"/>
        </w:rPr>
        <w:t>23</w:t>
      </w:r>
      <w:r w:rsidRPr="00183FB8" w:rsidR="00203B93">
        <w:rPr>
          <w:rFonts w:ascii="Times New Roman" w:hAnsi="Times New Roman"/>
          <w:sz w:val="24"/>
        </w:rPr>
        <w:t>, 05/30/2023, 07/11/2023</w:t>
      </w:r>
      <w:r w:rsidRPr="00183FB8">
        <w:rPr>
          <w:rFonts w:ascii="Times New Roman" w:hAnsi="Times New Roman"/>
          <w:sz w:val="24"/>
        </w:rPr>
        <w:t>.</w:t>
      </w:r>
    </w:p>
    <w:p w:rsidR="00C81F6B" w:rsidP="00BB64F0" w14:paraId="37D320BF" w14:textId="55B2A2F3">
      <w:pPr>
        <w:rPr>
          <w:rFonts w:ascii="Times New Roman" w:hAnsi="Times New Roman"/>
          <w:sz w:val="24"/>
        </w:rPr>
      </w:pPr>
      <w:r w:rsidRPr="00183FB8">
        <w:rPr>
          <w:rFonts w:ascii="Times New Roman" w:hAnsi="Times New Roman"/>
          <w:sz w:val="24"/>
        </w:rPr>
        <w:t xml:space="preserve">Sources of meeting dates: Primarily calendars of William Noggle and Deanne Grant (EPA/OLEM/OEM). </w:t>
      </w:r>
    </w:p>
    <w:p w:rsidR="002C3D2D" w:rsidP="00BB64F0" w14:paraId="56A584D2" w14:textId="77777777">
      <w:pPr>
        <w:rPr>
          <w:rFonts w:ascii="Times New Roman" w:hAnsi="Times New Roman"/>
          <w:sz w:val="24"/>
        </w:rPr>
      </w:pPr>
    </w:p>
    <w:p w:rsidR="002C3D2D" w:rsidP="00BB64F0" w14:paraId="449AD357" w14:textId="77777777">
      <w:pPr>
        <w:rPr>
          <w:rFonts w:ascii="Times New Roman" w:hAnsi="Times New Roman"/>
          <w:sz w:val="24"/>
        </w:rPr>
      </w:pPr>
    </w:p>
    <w:p w:rsidR="002C3D2D" w:rsidP="00BB64F0" w14:paraId="65C44F9B" w14:textId="77777777">
      <w:pPr>
        <w:rPr>
          <w:rFonts w:ascii="Times New Roman" w:hAnsi="Times New Roman"/>
          <w:sz w:val="24"/>
        </w:rPr>
      </w:pPr>
    </w:p>
    <w:p w:rsidR="002C3D2D" w:rsidP="00BB64F0" w14:paraId="1388518D" w14:textId="77777777">
      <w:pPr>
        <w:rPr>
          <w:rFonts w:ascii="Times New Roman" w:hAnsi="Times New Roman"/>
          <w:sz w:val="24"/>
        </w:rPr>
      </w:pPr>
    </w:p>
    <w:p w:rsidR="002C3D2D" w:rsidP="00BB64F0" w14:paraId="63990EE3" w14:textId="77777777">
      <w:pPr>
        <w:rPr>
          <w:rFonts w:ascii="Times New Roman" w:hAnsi="Times New Roman"/>
          <w:sz w:val="24"/>
        </w:rPr>
      </w:pPr>
    </w:p>
    <w:p w:rsidR="002C3D2D" w:rsidP="00BB64F0" w14:paraId="1A04676B" w14:textId="77777777">
      <w:pPr>
        <w:rPr>
          <w:rFonts w:ascii="Times New Roman" w:hAnsi="Times New Roman"/>
          <w:sz w:val="24"/>
        </w:rPr>
      </w:pPr>
    </w:p>
    <w:p w:rsidR="002C3D2D" w:rsidP="00BB64F0" w14:paraId="3EECAA44" w14:textId="77777777">
      <w:pPr>
        <w:rPr>
          <w:rFonts w:ascii="Times New Roman" w:hAnsi="Times New Roman"/>
          <w:sz w:val="24"/>
        </w:rPr>
      </w:pPr>
    </w:p>
    <w:p w:rsidR="002C3D2D" w:rsidP="00BB64F0" w14:paraId="551EE45E" w14:textId="77777777">
      <w:pPr>
        <w:rPr>
          <w:rFonts w:ascii="Times New Roman" w:hAnsi="Times New Roman"/>
          <w:sz w:val="24"/>
        </w:rPr>
      </w:pPr>
    </w:p>
    <w:p w:rsidR="002C3D2D" w:rsidP="00BB64F0" w14:paraId="31F97EDE" w14:textId="77777777">
      <w:pPr>
        <w:rPr>
          <w:rFonts w:ascii="Times New Roman" w:hAnsi="Times New Roman"/>
          <w:sz w:val="24"/>
        </w:rPr>
      </w:pPr>
    </w:p>
    <w:p w:rsidR="002C3D2D" w:rsidP="00BB64F0" w14:paraId="455AF447" w14:textId="77777777">
      <w:pPr>
        <w:rPr>
          <w:rFonts w:ascii="Times New Roman" w:hAnsi="Times New Roman"/>
          <w:sz w:val="24"/>
        </w:rPr>
      </w:pPr>
    </w:p>
    <w:p w:rsidR="002C3D2D" w:rsidP="00BB64F0" w14:paraId="17D15E1E" w14:textId="77777777">
      <w:pPr>
        <w:rPr>
          <w:rFonts w:ascii="Times New Roman" w:hAnsi="Times New Roman"/>
          <w:sz w:val="24"/>
        </w:rPr>
      </w:pPr>
    </w:p>
    <w:p w:rsidR="002C3D2D" w:rsidP="00BB64F0" w14:paraId="68B12876" w14:textId="77777777">
      <w:pPr>
        <w:rPr>
          <w:rFonts w:ascii="Times New Roman" w:hAnsi="Times New Roman"/>
          <w:sz w:val="24"/>
        </w:rPr>
      </w:pPr>
    </w:p>
    <w:p w:rsidR="002C3D2D" w:rsidP="00BB64F0" w14:paraId="58E95E0C" w14:textId="77777777">
      <w:pPr>
        <w:rPr>
          <w:rFonts w:ascii="Times New Roman" w:hAnsi="Times New Roman"/>
          <w:sz w:val="24"/>
        </w:rPr>
      </w:pPr>
    </w:p>
    <w:p w:rsidR="002C3D2D" w:rsidP="00BB64F0" w14:paraId="57CE10A5" w14:textId="77777777">
      <w:pPr>
        <w:rPr>
          <w:rFonts w:ascii="Times New Roman" w:hAnsi="Times New Roman"/>
          <w:sz w:val="24"/>
        </w:rPr>
      </w:pPr>
    </w:p>
    <w:p w:rsidR="002C3D2D" w:rsidP="00BB64F0" w14:paraId="1242D308" w14:textId="77777777">
      <w:pPr>
        <w:rPr>
          <w:rFonts w:ascii="Times New Roman" w:hAnsi="Times New Roman"/>
          <w:sz w:val="24"/>
        </w:rPr>
      </w:pPr>
    </w:p>
    <w:p w:rsidR="002C3D2D" w:rsidP="00BB64F0" w14:paraId="1B989719" w14:textId="77777777">
      <w:pPr>
        <w:rPr>
          <w:rFonts w:ascii="Times New Roman" w:hAnsi="Times New Roman"/>
          <w:sz w:val="24"/>
        </w:rPr>
      </w:pPr>
    </w:p>
    <w:p w:rsidR="002C3D2D" w:rsidP="00BB64F0" w14:paraId="60BDC5AA" w14:textId="77777777">
      <w:pPr>
        <w:rPr>
          <w:rFonts w:ascii="Times New Roman" w:hAnsi="Times New Roman"/>
          <w:sz w:val="24"/>
        </w:rPr>
      </w:pPr>
    </w:p>
    <w:p w:rsidR="002C3D2D" w:rsidP="00BB64F0" w14:paraId="36A3E749" w14:textId="77777777">
      <w:pPr>
        <w:rPr>
          <w:rFonts w:ascii="Times New Roman" w:hAnsi="Times New Roman"/>
          <w:sz w:val="24"/>
        </w:rPr>
      </w:pPr>
    </w:p>
    <w:p w:rsidR="002C3D2D" w:rsidP="00BB64F0" w14:paraId="38E87F45" w14:textId="77777777">
      <w:pPr>
        <w:rPr>
          <w:rFonts w:ascii="Times New Roman" w:hAnsi="Times New Roman"/>
          <w:sz w:val="24"/>
        </w:rPr>
      </w:pPr>
    </w:p>
    <w:p w:rsidR="002C3D2D" w:rsidP="00BB64F0" w14:paraId="7A3B6F3E" w14:textId="77777777">
      <w:pPr>
        <w:rPr>
          <w:rFonts w:ascii="Times New Roman" w:hAnsi="Times New Roman"/>
          <w:sz w:val="24"/>
        </w:rPr>
      </w:pPr>
    </w:p>
    <w:p w:rsidR="002C3D2D" w:rsidP="00BB64F0" w14:paraId="699054B3" w14:textId="77777777">
      <w:pPr>
        <w:rPr>
          <w:rFonts w:ascii="Times New Roman" w:hAnsi="Times New Roman"/>
          <w:sz w:val="24"/>
        </w:rPr>
      </w:pPr>
    </w:p>
    <w:p w:rsidR="00C53D2B" w:rsidP="002C3D2D" w14:paraId="2482356A" w14:textId="407F49E1">
      <w:pPr>
        <w:rPr>
          <w:rFonts w:ascii="Times New Roman" w:hAnsi="Times New Roman"/>
          <w:sz w:val="24"/>
        </w:rPr>
      </w:pPr>
      <w:r w:rsidRPr="00183FB8">
        <w:rPr>
          <w:rFonts w:ascii="Times New Roman" w:hAnsi="Times New Roman"/>
          <w:b/>
          <w:bCs/>
          <w:sz w:val="24"/>
        </w:rPr>
        <w:t xml:space="preserve">APPENDIX </w:t>
      </w:r>
      <w:r>
        <w:rPr>
          <w:rFonts w:ascii="Times New Roman" w:hAnsi="Times New Roman"/>
          <w:b/>
          <w:bCs/>
          <w:sz w:val="24"/>
        </w:rPr>
        <w:t>B</w:t>
      </w:r>
      <w:r w:rsidRPr="00183FB8">
        <w:rPr>
          <w:rFonts w:ascii="Times New Roman" w:hAnsi="Times New Roman"/>
          <w:sz w:val="24"/>
        </w:rPr>
        <w:t xml:space="preserve"> </w:t>
      </w:r>
      <w:r>
        <w:rPr>
          <w:rFonts w:ascii="Times New Roman" w:hAnsi="Times New Roman"/>
          <w:sz w:val="24"/>
        </w:rPr>
        <w:t>–</w:t>
      </w:r>
      <w:r w:rsidRPr="00183FB8">
        <w:rPr>
          <w:rFonts w:ascii="Times New Roman" w:hAnsi="Times New Roman"/>
          <w:sz w:val="24"/>
        </w:rPr>
        <w:t xml:space="preserve"> </w:t>
      </w:r>
      <w:r>
        <w:rPr>
          <w:rFonts w:ascii="Times New Roman" w:hAnsi="Times New Roman"/>
          <w:sz w:val="24"/>
        </w:rPr>
        <w:t>Other Federal partner coordination meetings</w:t>
      </w:r>
    </w:p>
    <w:p w:rsidR="002C3D2D" w:rsidRPr="009A5E96" w:rsidP="002C3D2D" w14:paraId="491F9B9F" w14:textId="40FFFB61">
      <w:pPr>
        <w:rPr>
          <w:rFonts w:ascii="Times New Roman" w:hAnsi="Times New Roman"/>
          <w:sz w:val="24"/>
          <w:u w:val="single"/>
        </w:rPr>
      </w:pPr>
      <w:r w:rsidRPr="00C53D2B">
        <w:rPr>
          <w:rFonts w:ascii="Times New Roman" w:hAnsi="Times New Roman"/>
          <w:sz w:val="24"/>
          <w:u w:val="single"/>
        </w:rPr>
        <w:t xml:space="preserve">Meeting dates for </w:t>
      </w:r>
      <w:r w:rsidRPr="00C53D2B" w:rsidR="006F1C89">
        <w:rPr>
          <w:rFonts w:ascii="Times New Roman" w:hAnsi="Times New Roman"/>
          <w:sz w:val="24"/>
          <w:u w:val="single"/>
        </w:rPr>
        <w:t xml:space="preserve">National Working Group on Chemical </w:t>
      </w:r>
      <w:r w:rsidRPr="00C53D2B" w:rsidR="007D06A1">
        <w:rPr>
          <w:rFonts w:ascii="Times New Roman" w:hAnsi="Times New Roman"/>
          <w:sz w:val="24"/>
          <w:u w:val="single"/>
        </w:rPr>
        <w:t>Facility Safety and Security</w:t>
      </w:r>
      <w:r>
        <w:rPr>
          <w:rStyle w:val="FootnoteReference"/>
          <w:rFonts w:ascii="Times New Roman" w:hAnsi="Times New Roman"/>
          <w:sz w:val="24"/>
          <w:u w:val="single"/>
        </w:rPr>
        <w:footnoteReference w:id="224"/>
      </w:r>
      <w:r w:rsidR="005B61ED">
        <w:rPr>
          <w:rFonts w:ascii="Times New Roman" w:hAnsi="Times New Roman"/>
          <w:sz w:val="24"/>
          <w:u w:val="single"/>
        </w:rPr>
        <w:t>:</w:t>
      </w:r>
      <w:r w:rsidRPr="009A5E96" w:rsidR="007D06A1">
        <w:rPr>
          <w:rFonts w:ascii="Times New Roman" w:hAnsi="Times New Roman"/>
          <w:sz w:val="24"/>
          <w:u w:val="single"/>
        </w:rPr>
        <w:t xml:space="preserve"> </w:t>
      </w:r>
    </w:p>
    <w:p w:rsidR="0055063F" w:rsidP="002C3D2D" w14:paraId="02A5FDEC" w14:textId="7E8DCCFC">
      <w:pPr>
        <w:rPr>
          <w:rFonts w:ascii="Times New Roman" w:hAnsi="Times New Roman"/>
          <w:sz w:val="24"/>
        </w:rPr>
      </w:pPr>
      <w:r w:rsidRPr="00183FB8">
        <w:rPr>
          <w:rFonts w:ascii="Times New Roman" w:hAnsi="Times New Roman"/>
          <w:sz w:val="24"/>
        </w:rPr>
        <w:t>EPA</w:t>
      </w:r>
      <w:r w:rsidR="0094701E">
        <w:rPr>
          <w:rFonts w:ascii="Times New Roman" w:hAnsi="Times New Roman"/>
          <w:sz w:val="24"/>
        </w:rPr>
        <w:t>, O</w:t>
      </w:r>
      <w:r w:rsidRPr="00183FB8">
        <w:rPr>
          <w:rFonts w:ascii="Times New Roman" w:hAnsi="Times New Roman"/>
          <w:sz w:val="24"/>
        </w:rPr>
        <w:t>SHA</w:t>
      </w:r>
      <w:r w:rsidR="0094701E">
        <w:rPr>
          <w:rFonts w:ascii="Times New Roman" w:hAnsi="Times New Roman"/>
          <w:sz w:val="24"/>
        </w:rPr>
        <w:t>, DHS</w:t>
      </w:r>
      <w:r w:rsidR="009915CE">
        <w:rPr>
          <w:rFonts w:ascii="Times New Roman" w:hAnsi="Times New Roman"/>
          <w:sz w:val="24"/>
        </w:rPr>
        <w:t>, and DOT</w:t>
      </w:r>
      <w:r w:rsidRPr="00183FB8">
        <w:rPr>
          <w:rFonts w:ascii="Times New Roman" w:hAnsi="Times New Roman"/>
          <w:sz w:val="24"/>
        </w:rPr>
        <w:t xml:space="preserve"> staff participated in </w:t>
      </w:r>
      <w:r w:rsidR="0030055F">
        <w:rPr>
          <w:rFonts w:ascii="Times New Roman" w:hAnsi="Times New Roman"/>
          <w:sz w:val="24"/>
        </w:rPr>
        <w:t xml:space="preserve">these </w:t>
      </w:r>
      <w:r w:rsidR="00CB582E">
        <w:rPr>
          <w:rFonts w:ascii="Times New Roman" w:hAnsi="Times New Roman"/>
          <w:sz w:val="24"/>
        </w:rPr>
        <w:t>regularly</w:t>
      </w:r>
      <w:r w:rsidR="0030055F">
        <w:rPr>
          <w:rFonts w:ascii="Times New Roman" w:hAnsi="Times New Roman"/>
          <w:sz w:val="24"/>
        </w:rPr>
        <w:t xml:space="preserve"> s</w:t>
      </w:r>
      <w:r w:rsidR="005F21CF">
        <w:rPr>
          <w:rFonts w:ascii="Times New Roman" w:hAnsi="Times New Roman"/>
          <w:sz w:val="24"/>
        </w:rPr>
        <w:t xml:space="preserve">cheduled meetings. </w:t>
      </w:r>
      <w:r w:rsidR="00CB582E">
        <w:rPr>
          <w:rFonts w:ascii="Times New Roman" w:hAnsi="Times New Roman"/>
          <w:sz w:val="24"/>
        </w:rPr>
        <w:t xml:space="preserve">The </w:t>
      </w:r>
      <w:r w:rsidRPr="00183FB8">
        <w:rPr>
          <w:rFonts w:ascii="Times New Roman" w:hAnsi="Times New Roman"/>
          <w:sz w:val="24"/>
        </w:rPr>
        <w:t xml:space="preserve">dates of these meetings (virtual Microsoft Teams meetings) were as follows: </w:t>
      </w:r>
      <w:r w:rsidR="00CD2B95">
        <w:rPr>
          <w:rFonts w:ascii="Times New Roman" w:hAnsi="Times New Roman"/>
          <w:sz w:val="24"/>
        </w:rPr>
        <w:t>01/</w:t>
      </w:r>
      <w:r w:rsidR="00170808">
        <w:rPr>
          <w:rFonts w:ascii="Times New Roman" w:hAnsi="Times New Roman"/>
          <w:sz w:val="24"/>
        </w:rPr>
        <w:t>27/2021, 2/24</w:t>
      </w:r>
      <w:r w:rsidR="004F4F8C">
        <w:rPr>
          <w:rFonts w:ascii="Times New Roman" w:hAnsi="Times New Roman"/>
          <w:sz w:val="24"/>
        </w:rPr>
        <w:t>/2021, 3</w:t>
      </w:r>
      <w:r w:rsidR="008E16D6">
        <w:rPr>
          <w:rFonts w:ascii="Times New Roman" w:hAnsi="Times New Roman"/>
          <w:sz w:val="24"/>
        </w:rPr>
        <w:t>/24</w:t>
      </w:r>
      <w:r w:rsidR="00D74109">
        <w:rPr>
          <w:rFonts w:ascii="Times New Roman" w:hAnsi="Times New Roman"/>
          <w:sz w:val="24"/>
        </w:rPr>
        <w:t>/2021,</w:t>
      </w:r>
      <w:r w:rsidR="00B25A83">
        <w:rPr>
          <w:rFonts w:ascii="Times New Roman" w:hAnsi="Times New Roman"/>
          <w:sz w:val="24"/>
        </w:rPr>
        <w:t xml:space="preserve"> </w:t>
      </w:r>
      <w:r w:rsidR="00B41621">
        <w:rPr>
          <w:rFonts w:ascii="Times New Roman" w:hAnsi="Times New Roman"/>
          <w:sz w:val="24"/>
        </w:rPr>
        <w:t>4/</w:t>
      </w:r>
      <w:r w:rsidR="002847B3">
        <w:rPr>
          <w:rFonts w:ascii="Times New Roman" w:hAnsi="Times New Roman"/>
          <w:sz w:val="24"/>
        </w:rPr>
        <w:t>28</w:t>
      </w:r>
      <w:r w:rsidRPr="00183FB8" w:rsidR="00B41621">
        <w:rPr>
          <w:rFonts w:ascii="Times New Roman" w:hAnsi="Times New Roman"/>
          <w:sz w:val="24"/>
        </w:rPr>
        <w:t xml:space="preserve">/2021, </w:t>
      </w:r>
      <w:r w:rsidR="00D83D02">
        <w:rPr>
          <w:rFonts w:ascii="Times New Roman" w:hAnsi="Times New Roman"/>
          <w:sz w:val="24"/>
        </w:rPr>
        <w:t>5</w:t>
      </w:r>
      <w:r w:rsidR="002847B3">
        <w:rPr>
          <w:rFonts w:ascii="Times New Roman" w:hAnsi="Times New Roman"/>
          <w:sz w:val="24"/>
        </w:rPr>
        <w:t>/26</w:t>
      </w:r>
      <w:r w:rsidRPr="00183FB8" w:rsidR="00B41621">
        <w:rPr>
          <w:rFonts w:ascii="Times New Roman" w:hAnsi="Times New Roman"/>
          <w:sz w:val="24"/>
        </w:rPr>
        <w:t>/202</w:t>
      </w:r>
      <w:r w:rsidR="002847B3">
        <w:rPr>
          <w:rFonts w:ascii="Times New Roman" w:hAnsi="Times New Roman"/>
          <w:sz w:val="24"/>
        </w:rPr>
        <w:t>1</w:t>
      </w:r>
      <w:r w:rsidRPr="00183FB8" w:rsidR="00B41621">
        <w:rPr>
          <w:rFonts w:ascii="Times New Roman" w:hAnsi="Times New Roman"/>
          <w:sz w:val="24"/>
        </w:rPr>
        <w:t>, 0</w:t>
      </w:r>
      <w:r w:rsidR="00D83D02">
        <w:rPr>
          <w:rFonts w:ascii="Times New Roman" w:hAnsi="Times New Roman"/>
          <w:sz w:val="24"/>
        </w:rPr>
        <w:t>6</w:t>
      </w:r>
      <w:r w:rsidRPr="00183FB8" w:rsidR="00B41621">
        <w:rPr>
          <w:rFonts w:ascii="Times New Roman" w:hAnsi="Times New Roman"/>
          <w:sz w:val="24"/>
        </w:rPr>
        <w:t>/</w:t>
      </w:r>
      <w:r w:rsidR="002847B3">
        <w:rPr>
          <w:rFonts w:ascii="Times New Roman" w:hAnsi="Times New Roman"/>
          <w:sz w:val="24"/>
        </w:rPr>
        <w:t>23</w:t>
      </w:r>
      <w:r w:rsidRPr="00183FB8" w:rsidR="00B41621">
        <w:rPr>
          <w:rFonts w:ascii="Times New Roman" w:hAnsi="Times New Roman"/>
          <w:sz w:val="24"/>
        </w:rPr>
        <w:t>/202</w:t>
      </w:r>
      <w:r w:rsidR="002847B3">
        <w:rPr>
          <w:rFonts w:ascii="Times New Roman" w:hAnsi="Times New Roman"/>
          <w:sz w:val="24"/>
        </w:rPr>
        <w:t>1</w:t>
      </w:r>
      <w:r w:rsidRPr="00183FB8" w:rsidR="00B41621">
        <w:rPr>
          <w:rFonts w:ascii="Times New Roman" w:hAnsi="Times New Roman"/>
          <w:sz w:val="24"/>
        </w:rPr>
        <w:t xml:space="preserve">, </w:t>
      </w:r>
      <w:r w:rsidR="00D83D02">
        <w:rPr>
          <w:rFonts w:ascii="Times New Roman" w:hAnsi="Times New Roman"/>
          <w:sz w:val="24"/>
        </w:rPr>
        <w:t>7</w:t>
      </w:r>
      <w:r w:rsidRPr="00183FB8" w:rsidR="00B41621">
        <w:rPr>
          <w:rFonts w:ascii="Times New Roman" w:hAnsi="Times New Roman"/>
          <w:sz w:val="24"/>
        </w:rPr>
        <w:t>/</w:t>
      </w:r>
      <w:r w:rsidR="006000A9">
        <w:rPr>
          <w:rFonts w:ascii="Times New Roman" w:hAnsi="Times New Roman"/>
          <w:sz w:val="24"/>
        </w:rPr>
        <w:t>28</w:t>
      </w:r>
      <w:r w:rsidRPr="00183FB8" w:rsidR="00B41621">
        <w:rPr>
          <w:rFonts w:ascii="Times New Roman" w:hAnsi="Times New Roman"/>
          <w:sz w:val="24"/>
        </w:rPr>
        <w:t>/202</w:t>
      </w:r>
      <w:r w:rsidR="002847B3">
        <w:rPr>
          <w:rFonts w:ascii="Times New Roman" w:hAnsi="Times New Roman"/>
          <w:sz w:val="24"/>
        </w:rPr>
        <w:t>1</w:t>
      </w:r>
      <w:r w:rsidRPr="00183FB8" w:rsidR="00B41621">
        <w:rPr>
          <w:rFonts w:ascii="Times New Roman" w:hAnsi="Times New Roman"/>
          <w:sz w:val="24"/>
        </w:rPr>
        <w:t>,</w:t>
      </w:r>
      <w:r w:rsidR="00D83D02">
        <w:rPr>
          <w:rFonts w:ascii="Times New Roman" w:hAnsi="Times New Roman"/>
          <w:sz w:val="24"/>
        </w:rPr>
        <w:t xml:space="preserve"> 8</w:t>
      </w:r>
      <w:r w:rsidRPr="00183FB8" w:rsidR="00B41621">
        <w:rPr>
          <w:rFonts w:ascii="Times New Roman" w:hAnsi="Times New Roman"/>
          <w:sz w:val="24"/>
        </w:rPr>
        <w:t>/</w:t>
      </w:r>
      <w:r w:rsidR="00187518">
        <w:rPr>
          <w:rFonts w:ascii="Times New Roman" w:hAnsi="Times New Roman"/>
          <w:sz w:val="24"/>
        </w:rPr>
        <w:t>25</w:t>
      </w:r>
      <w:r w:rsidRPr="00183FB8" w:rsidR="00B41621">
        <w:rPr>
          <w:rFonts w:ascii="Times New Roman" w:hAnsi="Times New Roman"/>
          <w:sz w:val="24"/>
        </w:rPr>
        <w:t>/202</w:t>
      </w:r>
      <w:r w:rsidR="002847B3">
        <w:rPr>
          <w:rFonts w:ascii="Times New Roman" w:hAnsi="Times New Roman"/>
          <w:sz w:val="24"/>
        </w:rPr>
        <w:t>1</w:t>
      </w:r>
      <w:r w:rsidRPr="00183FB8" w:rsidR="00B41621">
        <w:rPr>
          <w:rFonts w:ascii="Times New Roman" w:hAnsi="Times New Roman"/>
          <w:sz w:val="24"/>
        </w:rPr>
        <w:t xml:space="preserve">, </w:t>
      </w:r>
      <w:r w:rsidR="00D83D02">
        <w:rPr>
          <w:rFonts w:ascii="Times New Roman" w:hAnsi="Times New Roman"/>
          <w:sz w:val="24"/>
        </w:rPr>
        <w:t>9</w:t>
      </w:r>
      <w:r w:rsidRPr="00183FB8" w:rsidR="00B41621">
        <w:rPr>
          <w:rFonts w:ascii="Times New Roman" w:hAnsi="Times New Roman"/>
          <w:sz w:val="24"/>
        </w:rPr>
        <w:t>/</w:t>
      </w:r>
      <w:r w:rsidR="00187518">
        <w:rPr>
          <w:rFonts w:ascii="Times New Roman" w:hAnsi="Times New Roman"/>
          <w:sz w:val="24"/>
        </w:rPr>
        <w:t>22</w:t>
      </w:r>
      <w:r w:rsidRPr="00183FB8" w:rsidR="00B41621">
        <w:rPr>
          <w:rFonts w:ascii="Times New Roman" w:hAnsi="Times New Roman"/>
          <w:sz w:val="24"/>
        </w:rPr>
        <w:t>/202</w:t>
      </w:r>
      <w:r w:rsidR="002847B3">
        <w:rPr>
          <w:rFonts w:ascii="Times New Roman" w:hAnsi="Times New Roman"/>
          <w:sz w:val="24"/>
        </w:rPr>
        <w:t>1</w:t>
      </w:r>
      <w:r w:rsidRPr="00183FB8" w:rsidR="00B41621">
        <w:rPr>
          <w:rFonts w:ascii="Times New Roman" w:hAnsi="Times New Roman"/>
          <w:sz w:val="24"/>
        </w:rPr>
        <w:t xml:space="preserve">, </w:t>
      </w:r>
      <w:r w:rsidR="00D83D02">
        <w:rPr>
          <w:rFonts w:ascii="Times New Roman" w:hAnsi="Times New Roman"/>
          <w:sz w:val="24"/>
        </w:rPr>
        <w:t>10</w:t>
      </w:r>
      <w:r w:rsidRPr="00183FB8" w:rsidR="00B41621">
        <w:rPr>
          <w:rFonts w:ascii="Times New Roman" w:hAnsi="Times New Roman"/>
          <w:sz w:val="24"/>
        </w:rPr>
        <w:t>/</w:t>
      </w:r>
      <w:r w:rsidR="00323348">
        <w:rPr>
          <w:rFonts w:ascii="Times New Roman" w:hAnsi="Times New Roman"/>
          <w:sz w:val="24"/>
        </w:rPr>
        <w:t>27</w:t>
      </w:r>
      <w:r w:rsidRPr="00183FB8" w:rsidR="00B41621">
        <w:rPr>
          <w:rFonts w:ascii="Times New Roman" w:hAnsi="Times New Roman"/>
          <w:sz w:val="24"/>
        </w:rPr>
        <w:t>/202</w:t>
      </w:r>
      <w:r w:rsidR="002847B3">
        <w:rPr>
          <w:rFonts w:ascii="Times New Roman" w:hAnsi="Times New Roman"/>
          <w:sz w:val="24"/>
        </w:rPr>
        <w:t>1</w:t>
      </w:r>
      <w:r w:rsidRPr="00183FB8" w:rsidR="00B41621">
        <w:rPr>
          <w:rFonts w:ascii="Times New Roman" w:hAnsi="Times New Roman"/>
          <w:sz w:val="24"/>
        </w:rPr>
        <w:t>, 1</w:t>
      </w:r>
      <w:r w:rsidR="003524FA">
        <w:rPr>
          <w:rFonts w:ascii="Times New Roman" w:hAnsi="Times New Roman"/>
          <w:sz w:val="24"/>
        </w:rPr>
        <w:t xml:space="preserve">2/1/2021, </w:t>
      </w:r>
      <w:r w:rsidR="00550C74">
        <w:rPr>
          <w:rFonts w:ascii="Times New Roman" w:hAnsi="Times New Roman"/>
          <w:sz w:val="24"/>
        </w:rPr>
        <w:t>1/2</w:t>
      </w:r>
      <w:r w:rsidR="00EE7EB7">
        <w:rPr>
          <w:rFonts w:ascii="Times New Roman" w:hAnsi="Times New Roman"/>
          <w:sz w:val="24"/>
        </w:rPr>
        <w:t>6</w:t>
      </w:r>
      <w:r w:rsidR="00550C74">
        <w:rPr>
          <w:rFonts w:ascii="Times New Roman" w:hAnsi="Times New Roman"/>
          <w:sz w:val="24"/>
        </w:rPr>
        <w:t>/202</w:t>
      </w:r>
      <w:r w:rsidR="00DC7539">
        <w:rPr>
          <w:rFonts w:ascii="Times New Roman" w:hAnsi="Times New Roman"/>
          <w:sz w:val="24"/>
        </w:rPr>
        <w:t>2</w:t>
      </w:r>
      <w:r w:rsidR="00550C74">
        <w:rPr>
          <w:rFonts w:ascii="Times New Roman" w:hAnsi="Times New Roman"/>
          <w:sz w:val="24"/>
        </w:rPr>
        <w:t>, 2/2</w:t>
      </w:r>
      <w:r w:rsidR="00EE7EB7">
        <w:rPr>
          <w:rFonts w:ascii="Times New Roman" w:hAnsi="Times New Roman"/>
          <w:sz w:val="24"/>
        </w:rPr>
        <w:t>3</w:t>
      </w:r>
      <w:r w:rsidR="00550C74">
        <w:rPr>
          <w:rFonts w:ascii="Times New Roman" w:hAnsi="Times New Roman"/>
          <w:sz w:val="24"/>
        </w:rPr>
        <w:t>/202</w:t>
      </w:r>
      <w:r w:rsidR="00DC7539">
        <w:rPr>
          <w:rFonts w:ascii="Times New Roman" w:hAnsi="Times New Roman"/>
          <w:sz w:val="24"/>
        </w:rPr>
        <w:t>2</w:t>
      </w:r>
      <w:r w:rsidR="00550C74">
        <w:rPr>
          <w:rFonts w:ascii="Times New Roman" w:hAnsi="Times New Roman"/>
          <w:sz w:val="24"/>
        </w:rPr>
        <w:t>, 3/2</w:t>
      </w:r>
      <w:r w:rsidR="00EE7EB7">
        <w:rPr>
          <w:rFonts w:ascii="Times New Roman" w:hAnsi="Times New Roman"/>
          <w:sz w:val="24"/>
        </w:rPr>
        <w:t>3</w:t>
      </w:r>
      <w:r w:rsidR="00550C74">
        <w:rPr>
          <w:rFonts w:ascii="Times New Roman" w:hAnsi="Times New Roman"/>
          <w:sz w:val="24"/>
        </w:rPr>
        <w:t>/202</w:t>
      </w:r>
      <w:r w:rsidR="00DC7539">
        <w:rPr>
          <w:rFonts w:ascii="Times New Roman" w:hAnsi="Times New Roman"/>
          <w:sz w:val="24"/>
        </w:rPr>
        <w:t>2</w:t>
      </w:r>
      <w:r w:rsidR="00550C74">
        <w:rPr>
          <w:rFonts w:ascii="Times New Roman" w:hAnsi="Times New Roman"/>
          <w:sz w:val="24"/>
        </w:rPr>
        <w:t>, 4/</w:t>
      </w:r>
      <w:r w:rsidR="00EE7EB7">
        <w:rPr>
          <w:rFonts w:ascii="Times New Roman" w:hAnsi="Times New Roman"/>
          <w:sz w:val="24"/>
        </w:rPr>
        <w:t>27</w:t>
      </w:r>
      <w:r w:rsidRPr="00183FB8" w:rsidR="00550C74">
        <w:rPr>
          <w:rFonts w:ascii="Times New Roman" w:hAnsi="Times New Roman"/>
          <w:sz w:val="24"/>
        </w:rPr>
        <w:t>/202</w:t>
      </w:r>
      <w:r w:rsidR="00DC7539">
        <w:rPr>
          <w:rFonts w:ascii="Times New Roman" w:hAnsi="Times New Roman"/>
          <w:sz w:val="24"/>
        </w:rPr>
        <w:t>2</w:t>
      </w:r>
      <w:r w:rsidRPr="00183FB8" w:rsidR="00550C74">
        <w:rPr>
          <w:rFonts w:ascii="Times New Roman" w:hAnsi="Times New Roman"/>
          <w:sz w:val="24"/>
        </w:rPr>
        <w:t xml:space="preserve">, </w:t>
      </w:r>
      <w:r w:rsidR="00550C74">
        <w:rPr>
          <w:rFonts w:ascii="Times New Roman" w:hAnsi="Times New Roman"/>
          <w:sz w:val="24"/>
        </w:rPr>
        <w:t>5</w:t>
      </w:r>
      <w:r w:rsidR="00EE7EB7">
        <w:rPr>
          <w:rFonts w:ascii="Times New Roman" w:hAnsi="Times New Roman"/>
          <w:sz w:val="24"/>
        </w:rPr>
        <w:t>/25</w:t>
      </w:r>
      <w:r w:rsidRPr="00183FB8" w:rsidR="00550C74">
        <w:rPr>
          <w:rFonts w:ascii="Times New Roman" w:hAnsi="Times New Roman"/>
          <w:sz w:val="24"/>
        </w:rPr>
        <w:t>/2022, 0</w:t>
      </w:r>
      <w:r w:rsidR="00550C74">
        <w:rPr>
          <w:rFonts w:ascii="Times New Roman" w:hAnsi="Times New Roman"/>
          <w:sz w:val="24"/>
        </w:rPr>
        <w:t>6</w:t>
      </w:r>
      <w:r w:rsidRPr="00183FB8" w:rsidR="00550C74">
        <w:rPr>
          <w:rFonts w:ascii="Times New Roman" w:hAnsi="Times New Roman"/>
          <w:sz w:val="24"/>
        </w:rPr>
        <w:t>/</w:t>
      </w:r>
      <w:r w:rsidR="00EE7EB7">
        <w:rPr>
          <w:rFonts w:ascii="Times New Roman" w:hAnsi="Times New Roman"/>
          <w:sz w:val="24"/>
        </w:rPr>
        <w:t>22</w:t>
      </w:r>
      <w:r w:rsidRPr="00183FB8" w:rsidR="00550C74">
        <w:rPr>
          <w:rFonts w:ascii="Times New Roman" w:hAnsi="Times New Roman"/>
          <w:sz w:val="24"/>
        </w:rPr>
        <w:t xml:space="preserve">/2022, </w:t>
      </w:r>
      <w:r w:rsidR="00550C74">
        <w:rPr>
          <w:rFonts w:ascii="Times New Roman" w:hAnsi="Times New Roman"/>
          <w:sz w:val="24"/>
        </w:rPr>
        <w:t>7</w:t>
      </w:r>
      <w:r w:rsidRPr="00183FB8" w:rsidR="00550C74">
        <w:rPr>
          <w:rFonts w:ascii="Times New Roman" w:hAnsi="Times New Roman"/>
          <w:sz w:val="24"/>
        </w:rPr>
        <w:t>/</w:t>
      </w:r>
      <w:r w:rsidR="00EE7EB7">
        <w:rPr>
          <w:rFonts w:ascii="Times New Roman" w:hAnsi="Times New Roman"/>
          <w:sz w:val="24"/>
        </w:rPr>
        <w:t>27</w:t>
      </w:r>
      <w:r w:rsidRPr="00183FB8" w:rsidR="00550C74">
        <w:rPr>
          <w:rFonts w:ascii="Times New Roman" w:hAnsi="Times New Roman"/>
          <w:sz w:val="24"/>
        </w:rPr>
        <w:t>/2022,</w:t>
      </w:r>
      <w:r w:rsidR="00550C74">
        <w:rPr>
          <w:rFonts w:ascii="Times New Roman" w:hAnsi="Times New Roman"/>
          <w:sz w:val="24"/>
        </w:rPr>
        <w:t xml:space="preserve"> 8</w:t>
      </w:r>
      <w:r w:rsidRPr="00183FB8" w:rsidR="00550C74">
        <w:rPr>
          <w:rFonts w:ascii="Times New Roman" w:hAnsi="Times New Roman"/>
          <w:sz w:val="24"/>
        </w:rPr>
        <w:t>/</w:t>
      </w:r>
      <w:r w:rsidR="00EE7EB7">
        <w:rPr>
          <w:rFonts w:ascii="Times New Roman" w:hAnsi="Times New Roman"/>
          <w:sz w:val="24"/>
        </w:rPr>
        <w:t>24</w:t>
      </w:r>
      <w:r w:rsidRPr="00183FB8" w:rsidR="00550C74">
        <w:rPr>
          <w:rFonts w:ascii="Times New Roman" w:hAnsi="Times New Roman"/>
          <w:sz w:val="24"/>
        </w:rPr>
        <w:t xml:space="preserve">/2022, </w:t>
      </w:r>
      <w:r w:rsidR="00550C74">
        <w:rPr>
          <w:rFonts w:ascii="Times New Roman" w:hAnsi="Times New Roman"/>
          <w:sz w:val="24"/>
        </w:rPr>
        <w:t>9</w:t>
      </w:r>
      <w:r w:rsidRPr="00183FB8" w:rsidR="00550C74">
        <w:rPr>
          <w:rFonts w:ascii="Times New Roman" w:hAnsi="Times New Roman"/>
          <w:sz w:val="24"/>
        </w:rPr>
        <w:t>/</w:t>
      </w:r>
      <w:r w:rsidR="00EE7EB7">
        <w:rPr>
          <w:rFonts w:ascii="Times New Roman" w:hAnsi="Times New Roman"/>
          <w:sz w:val="24"/>
        </w:rPr>
        <w:t>28</w:t>
      </w:r>
      <w:r w:rsidRPr="00183FB8" w:rsidR="00550C74">
        <w:rPr>
          <w:rFonts w:ascii="Times New Roman" w:hAnsi="Times New Roman"/>
          <w:sz w:val="24"/>
        </w:rPr>
        <w:t xml:space="preserve">/2022, </w:t>
      </w:r>
      <w:r w:rsidR="00550C74">
        <w:rPr>
          <w:rFonts w:ascii="Times New Roman" w:hAnsi="Times New Roman"/>
          <w:sz w:val="24"/>
        </w:rPr>
        <w:t>10</w:t>
      </w:r>
      <w:r w:rsidRPr="00183FB8" w:rsidR="00550C74">
        <w:rPr>
          <w:rFonts w:ascii="Times New Roman" w:hAnsi="Times New Roman"/>
          <w:sz w:val="24"/>
        </w:rPr>
        <w:t>/</w:t>
      </w:r>
      <w:r w:rsidR="00EE7EB7">
        <w:rPr>
          <w:rFonts w:ascii="Times New Roman" w:hAnsi="Times New Roman"/>
          <w:sz w:val="24"/>
        </w:rPr>
        <w:t>26</w:t>
      </w:r>
      <w:r w:rsidRPr="00183FB8" w:rsidR="00550C74">
        <w:rPr>
          <w:rFonts w:ascii="Times New Roman" w:hAnsi="Times New Roman"/>
          <w:sz w:val="24"/>
        </w:rPr>
        <w:t xml:space="preserve">/2022, </w:t>
      </w:r>
      <w:r w:rsidR="00852C63">
        <w:rPr>
          <w:rFonts w:ascii="Times New Roman" w:hAnsi="Times New Roman"/>
          <w:sz w:val="24"/>
        </w:rPr>
        <w:t>12</w:t>
      </w:r>
      <w:r w:rsidRPr="00183FB8" w:rsidR="00550C74">
        <w:rPr>
          <w:rFonts w:ascii="Times New Roman" w:hAnsi="Times New Roman"/>
          <w:sz w:val="24"/>
        </w:rPr>
        <w:t>/</w:t>
      </w:r>
      <w:r w:rsidR="008D582E">
        <w:rPr>
          <w:rFonts w:ascii="Times New Roman" w:hAnsi="Times New Roman"/>
          <w:sz w:val="24"/>
        </w:rPr>
        <w:t>7</w:t>
      </w:r>
      <w:r w:rsidRPr="00183FB8" w:rsidR="00550C74">
        <w:rPr>
          <w:rFonts w:ascii="Times New Roman" w:hAnsi="Times New Roman"/>
          <w:sz w:val="24"/>
        </w:rPr>
        <w:t xml:space="preserve">/2022, </w:t>
      </w:r>
      <w:r w:rsidR="00550C74">
        <w:rPr>
          <w:rFonts w:ascii="Times New Roman" w:hAnsi="Times New Roman"/>
          <w:sz w:val="24"/>
        </w:rPr>
        <w:t>1</w:t>
      </w:r>
      <w:r w:rsidRPr="00183FB8" w:rsidR="00550C74">
        <w:rPr>
          <w:rFonts w:ascii="Times New Roman" w:hAnsi="Times New Roman"/>
          <w:sz w:val="24"/>
        </w:rPr>
        <w:t>/</w:t>
      </w:r>
      <w:r w:rsidR="008D582E">
        <w:rPr>
          <w:rFonts w:ascii="Times New Roman" w:hAnsi="Times New Roman"/>
          <w:sz w:val="24"/>
        </w:rPr>
        <w:t>25</w:t>
      </w:r>
      <w:r w:rsidRPr="00183FB8" w:rsidR="00550C74">
        <w:rPr>
          <w:rFonts w:ascii="Times New Roman" w:hAnsi="Times New Roman"/>
          <w:sz w:val="24"/>
        </w:rPr>
        <w:t>/2023,</w:t>
      </w:r>
      <w:r w:rsidR="00550C74">
        <w:rPr>
          <w:rFonts w:ascii="Times New Roman" w:hAnsi="Times New Roman"/>
          <w:sz w:val="24"/>
        </w:rPr>
        <w:t xml:space="preserve"> 2/2</w:t>
      </w:r>
      <w:r w:rsidR="00EC638D">
        <w:rPr>
          <w:rFonts w:ascii="Times New Roman" w:hAnsi="Times New Roman"/>
          <w:sz w:val="24"/>
        </w:rPr>
        <w:t>2</w:t>
      </w:r>
      <w:r w:rsidR="00550C74">
        <w:rPr>
          <w:rFonts w:ascii="Times New Roman" w:hAnsi="Times New Roman"/>
          <w:sz w:val="24"/>
        </w:rPr>
        <w:t>/202</w:t>
      </w:r>
      <w:r w:rsidR="008D582E">
        <w:rPr>
          <w:rFonts w:ascii="Times New Roman" w:hAnsi="Times New Roman"/>
          <w:sz w:val="24"/>
        </w:rPr>
        <w:t>3</w:t>
      </w:r>
      <w:r w:rsidR="00550C74">
        <w:rPr>
          <w:rFonts w:ascii="Times New Roman" w:hAnsi="Times New Roman"/>
          <w:sz w:val="24"/>
        </w:rPr>
        <w:t>, 3/2</w:t>
      </w:r>
      <w:r w:rsidR="00EC638D">
        <w:rPr>
          <w:rFonts w:ascii="Times New Roman" w:hAnsi="Times New Roman"/>
          <w:sz w:val="24"/>
        </w:rPr>
        <w:t>2</w:t>
      </w:r>
      <w:r w:rsidR="00550C74">
        <w:rPr>
          <w:rFonts w:ascii="Times New Roman" w:hAnsi="Times New Roman"/>
          <w:sz w:val="24"/>
        </w:rPr>
        <w:t>/202</w:t>
      </w:r>
      <w:r w:rsidR="008D582E">
        <w:rPr>
          <w:rFonts w:ascii="Times New Roman" w:hAnsi="Times New Roman"/>
          <w:sz w:val="24"/>
        </w:rPr>
        <w:t>3</w:t>
      </w:r>
      <w:r w:rsidR="00550C74">
        <w:rPr>
          <w:rFonts w:ascii="Times New Roman" w:hAnsi="Times New Roman"/>
          <w:sz w:val="24"/>
        </w:rPr>
        <w:t>, 4/</w:t>
      </w:r>
      <w:r w:rsidR="0007208B">
        <w:rPr>
          <w:rFonts w:ascii="Times New Roman" w:hAnsi="Times New Roman"/>
          <w:sz w:val="24"/>
        </w:rPr>
        <w:t>2</w:t>
      </w:r>
      <w:r w:rsidRPr="00183FB8" w:rsidR="00550C74">
        <w:rPr>
          <w:rFonts w:ascii="Times New Roman" w:hAnsi="Times New Roman"/>
          <w:sz w:val="24"/>
        </w:rPr>
        <w:t>6/202</w:t>
      </w:r>
      <w:r w:rsidR="008D582E">
        <w:rPr>
          <w:rFonts w:ascii="Times New Roman" w:hAnsi="Times New Roman"/>
          <w:sz w:val="24"/>
        </w:rPr>
        <w:t>3</w:t>
      </w:r>
      <w:r w:rsidRPr="00183FB8" w:rsidR="00550C74">
        <w:rPr>
          <w:rFonts w:ascii="Times New Roman" w:hAnsi="Times New Roman"/>
          <w:sz w:val="24"/>
        </w:rPr>
        <w:t xml:space="preserve">, </w:t>
      </w:r>
      <w:r w:rsidR="00550C74">
        <w:rPr>
          <w:rFonts w:ascii="Times New Roman" w:hAnsi="Times New Roman"/>
          <w:sz w:val="24"/>
        </w:rPr>
        <w:t>5</w:t>
      </w:r>
      <w:r w:rsidR="008D582E">
        <w:rPr>
          <w:rFonts w:ascii="Times New Roman" w:hAnsi="Times New Roman"/>
          <w:sz w:val="24"/>
        </w:rPr>
        <w:t>/</w:t>
      </w:r>
      <w:r w:rsidR="0007208B">
        <w:rPr>
          <w:rFonts w:ascii="Times New Roman" w:hAnsi="Times New Roman"/>
          <w:sz w:val="24"/>
        </w:rPr>
        <w:t>24</w:t>
      </w:r>
      <w:r w:rsidRPr="00183FB8" w:rsidR="00550C74">
        <w:rPr>
          <w:rFonts w:ascii="Times New Roman" w:hAnsi="Times New Roman"/>
          <w:sz w:val="24"/>
        </w:rPr>
        <w:t>/202</w:t>
      </w:r>
      <w:r w:rsidR="008D582E">
        <w:rPr>
          <w:rFonts w:ascii="Times New Roman" w:hAnsi="Times New Roman"/>
          <w:sz w:val="24"/>
        </w:rPr>
        <w:t>3</w:t>
      </w:r>
      <w:r w:rsidRPr="00183FB8" w:rsidR="00550C74">
        <w:rPr>
          <w:rFonts w:ascii="Times New Roman" w:hAnsi="Times New Roman"/>
          <w:sz w:val="24"/>
        </w:rPr>
        <w:t>, 0</w:t>
      </w:r>
      <w:r w:rsidR="00550C74">
        <w:rPr>
          <w:rFonts w:ascii="Times New Roman" w:hAnsi="Times New Roman"/>
          <w:sz w:val="24"/>
        </w:rPr>
        <w:t>6</w:t>
      </w:r>
      <w:r w:rsidRPr="00183FB8" w:rsidR="00550C74">
        <w:rPr>
          <w:rFonts w:ascii="Times New Roman" w:hAnsi="Times New Roman"/>
          <w:sz w:val="24"/>
        </w:rPr>
        <w:t>/</w:t>
      </w:r>
      <w:r w:rsidR="00507590">
        <w:rPr>
          <w:rFonts w:ascii="Times New Roman" w:hAnsi="Times New Roman"/>
          <w:sz w:val="24"/>
        </w:rPr>
        <w:t>28</w:t>
      </w:r>
      <w:r w:rsidRPr="00183FB8" w:rsidR="00550C74">
        <w:rPr>
          <w:rFonts w:ascii="Times New Roman" w:hAnsi="Times New Roman"/>
          <w:sz w:val="24"/>
        </w:rPr>
        <w:t>/202</w:t>
      </w:r>
      <w:r w:rsidR="008D582E">
        <w:rPr>
          <w:rFonts w:ascii="Times New Roman" w:hAnsi="Times New Roman"/>
          <w:sz w:val="24"/>
        </w:rPr>
        <w:t>3,</w:t>
      </w:r>
      <w:r w:rsidRPr="00183FB8" w:rsidR="00550C74">
        <w:rPr>
          <w:rFonts w:ascii="Times New Roman" w:hAnsi="Times New Roman"/>
          <w:sz w:val="24"/>
        </w:rPr>
        <w:t xml:space="preserve"> </w:t>
      </w:r>
      <w:r w:rsidR="00550C74">
        <w:rPr>
          <w:rFonts w:ascii="Times New Roman" w:hAnsi="Times New Roman"/>
          <w:sz w:val="24"/>
        </w:rPr>
        <w:t>7</w:t>
      </w:r>
      <w:r w:rsidRPr="00183FB8" w:rsidR="00550C74">
        <w:rPr>
          <w:rFonts w:ascii="Times New Roman" w:hAnsi="Times New Roman"/>
          <w:sz w:val="24"/>
        </w:rPr>
        <w:t>/</w:t>
      </w:r>
      <w:r w:rsidR="00507590">
        <w:rPr>
          <w:rFonts w:ascii="Times New Roman" w:hAnsi="Times New Roman"/>
          <w:sz w:val="24"/>
        </w:rPr>
        <w:t>26</w:t>
      </w:r>
      <w:r w:rsidRPr="00183FB8" w:rsidR="00550C74">
        <w:rPr>
          <w:rFonts w:ascii="Times New Roman" w:hAnsi="Times New Roman"/>
          <w:sz w:val="24"/>
        </w:rPr>
        <w:t>/202</w:t>
      </w:r>
      <w:r w:rsidR="008D582E">
        <w:rPr>
          <w:rFonts w:ascii="Times New Roman" w:hAnsi="Times New Roman"/>
          <w:sz w:val="24"/>
        </w:rPr>
        <w:t>3</w:t>
      </w:r>
      <w:r w:rsidRPr="00183FB8" w:rsidR="00550C74">
        <w:rPr>
          <w:rFonts w:ascii="Times New Roman" w:hAnsi="Times New Roman"/>
          <w:sz w:val="24"/>
        </w:rPr>
        <w:t>,</w:t>
      </w:r>
      <w:r w:rsidR="00550C74">
        <w:rPr>
          <w:rFonts w:ascii="Times New Roman" w:hAnsi="Times New Roman"/>
          <w:sz w:val="24"/>
        </w:rPr>
        <w:t xml:space="preserve"> 8</w:t>
      </w:r>
      <w:r w:rsidRPr="00183FB8" w:rsidR="00550C74">
        <w:rPr>
          <w:rFonts w:ascii="Times New Roman" w:hAnsi="Times New Roman"/>
          <w:sz w:val="24"/>
        </w:rPr>
        <w:t>/17/202</w:t>
      </w:r>
      <w:r w:rsidR="008D582E">
        <w:rPr>
          <w:rFonts w:ascii="Times New Roman" w:hAnsi="Times New Roman"/>
          <w:sz w:val="24"/>
        </w:rPr>
        <w:t xml:space="preserve">3, </w:t>
      </w:r>
      <w:r w:rsidR="00550C74">
        <w:rPr>
          <w:rFonts w:ascii="Times New Roman" w:hAnsi="Times New Roman"/>
          <w:sz w:val="24"/>
        </w:rPr>
        <w:t>9</w:t>
      </w:r>
      <w:r w:rsidRPr="00183FB8" w:rsidR="00550C74">
        <w:rPr>
          <w:rFonts w:ascii="Times New Roman" w:hAnsi="Times New Roman"/>
          <w:sz w:val="24"/>
        </w:rPr>
        <w:t>/</w:t>
      </w:r>
      <w:r w:rsidR="00507590">
        <w:rPr>
          <w:rFonts w:ascii="Times New Roman" w:hAnsi="Times New Roman"/>
          <w:sz w:val="24"/>
        </w:rPr>
        <w:t>27</w:t>
      </w:r>
      <w:r w:rsidRPr="00183FB8" w:rsidR="00550C74">
        <w:rPr>
          <w:rFonts w:ascii="Times New Roman" w:hAnsi="Times New Roman"/>
          <w:sz w:val="24"/>
        </w:rPr>
        <w:t>/202</w:t>
      </w:r>
      <w:r w:rsidR="008D582E">
        <w:rPr>
          <w:rFonts w:ascii="Times New Roman" w:hAnsi="Times New Roman"/>
          <w:sz w:val="24"/>
        </w:rPr>
        <w:t>3</w:t>
      </w:r>
      <w:r w:rsidRPr="00183FB8" w:rsidR="00550C74">
        <w:rPr>
          <w:rFonts w:ascii="Times New Roman" w:hAnsi="Times New Roman"/>
          <w:sz w:val="24"/>
        </w:rPr>
        <w:t xml:space="preserve">, </w:t>
      </w:r>
      <w:r w:rsidR="00550C74">
        <w:rPr>
          <w:rFonts w:ascii="Times New Roman" w:hAnsi="Times New Roman"/>
          <w:sz w:val="24"/>
        </w:rPr>
        <w:t>10</w:t>
      </w:r>
      <w:r w:rsidRPr="00183FB8" w:rsidR="00550C74">
        <w:rPr>
          <w:rFonts w:ascii="Times New Roman" w:hAnsi="Times New Roman"/>
          <w:sz w:val="24"/>
        </w:rPr>
        <w:t>/</w:t>
      </w:r>
      <w:r w:rsidR="005B61ED">
        <w:rPr>
          <w:rFonts w:ascii="Times New Roman" w:hAnsi="Times New Roman"/>
          <w:sz w:val="24"/>
        </w:rPr>
        <w:t>25</w:t>
      </w:r>
      <w:r w:rsidRPr="00183FB8" w:rsidR="00550C74">
        <w:rPr>
          <w:rFonts w:ascii="Times New Roman" w:hAnsi="Times New Roman"/>
          <w:sz w:val="24"/>
        </w:rPr>
        <w:t>/202</w:t>
      </w:r>
      <w:r w:rsidR="008D582E">
        <w:rPr>
          <w:rFonts w:ascii="Times New Roman" w:hAnsi="Times New Roman"/>
          <w:sz w:val="24"/>
        </w:rPr>
        <w:t>3</w:t>
      </w:r>
      <w:r w:rsidRPr="00183FB8" w:rsidR="00550C74">
        <w:rPr>
          <w:rFonts w:ascii="Times New Roman" w:hAnsi="Times New Roman"/>
          <w:sz w:val="24"/>
        </w:rPr>
        <w:t>, 1</w:t>
      </w:r>
      <w:r w:rsidR="005B61ED">
        <w:rPr>
          <w:rFonts w:ascii="Times New Roman" w:hAnsi="Times New Roman"/>
          <w:sz w:val="24"/>
        </w:rPr>
        <w:t>2</w:t>
      </w:r>
      <w:r w:rsidRPr="00183FB8" w:rsidR="00550C74">
        <w:rPr>
          <w:rFonts w:ascii="Times New Roman" w:hAnsi="Times New Roman"/>
          <w:sz w:val="24"/>
        </w:rPr>
        <w:t>/</w:t>
      </w:r>
      <w:r w:rsidR="005B61ED">
        <w:rPr>
          <w:rFonts w:ascii="Times New Roman" w:hAnsi="Times New Roman"/>
          <w:sz w:val="24"/>
        </w:rPr>
        <w:t>6</w:t>
      </w:r>
      <w:r w:rsidRPr="00183FB8" w:rsidR="00550C74">
        <w:rPr>
          <w:rFonts w:ascii="Times New Roman" w:hAnsi="Times New Roman"/>
          <w:sz w:val="24"/>
        </w:rPr>
        <w:t>/202</w:t>
      </w:r>
      <w:r w:rsidR="008D582E">
        <w:rPr>
          <w:rFonts w:ascii="Times New Roman" w:hAnsi="Times New Roman"/>
          <w:sz w:val="24"/>
        </w:rPr>
        <w:t>3</w:t>
      </w:r>
      <w:r w:rsidR="005B61ED">
        <w:rPr>
          <w:rFonts w:ascii="Times New Roman" w:hAnsi="Times New Roman"/>
          <w:sz w:val="24"/>
        </w:rPr>
        <w:t>.</w:t>
      </w:r>
    </w:p>
    <w:p w:rsidR="001952BD" w:rsidRPr="00B474A3" w:rsidP="002C3D2D" w14:paraId="5F531E00" w14:textId="505ED6BF">
      <w:pPr>
        <w:rPr>
          <w:rFonts w:ascii="Times New Roman" w:hAnsi="Times New Roman"/>
          <w:sz w:val="24"/>
          <w:u w:val="single"/>
        </w:rPr>
      </w:pPr>
      <w:r w:rsidRPr="009A5E96">
        <w:rPr>
          <w:rFonts w:ascii="Times New Roman" w:hAnsi="Times New Roman"/>
          <w:sz w:val="24"/>
          <w:u w:val="single"/>
        </w:rPr>
        <w:t xml:space="preserve">Meeting dates with DHS </w:t>
      </w:r>
      <w:r w:rsidRPr="009A5E96" w:rsidR="00990263">
        <w:rPr>
          <w:rFonts w:ascii="Times New Roman" w:hAnsi="Times New Roman"/>
          <w:sz w:val="24"/>
          <w:u w:val="single"/>
        </w:rPr>
        <w:t>regarding information avai</w:t>
      </w:r>
      <w:r w:rsidR="00D12ECC">
        <w:rPr>
          <w:rFonts w:ascii="Times New Roman" w:hAnsi="Times New Roman"/>
          <w:sz w:val="24"/>
          <w:u w:val="single"/>
        </w:rPr>
        <w:t>lability</w:t>
      </w:r>
      <w:r w:rsidRPr="00B474A3" w:rsidR="00990263">
        <w:rPr>
          <w:rFonts w:ascii="Times New Roman" w:hAnsi="Times New Roman"/>
          <w:sz w:val="24"/>
          <w:u w:val="single"/>
        </w:rPr>
        <w:t xml:space="preserve"> provisions in </w:t>
      </w:r>
      <w:r w:rsidR="00D12930">
        <w:rPr>
          <w:rFonts w:ascii="Times New Roman" w:hAnsi="Times New Roman"/>
          <w:sz w:val="24"/>
          <w:u w:val="single"/>
        </w:rPr>
        <w:t xml:space="preserve">the </w:t>
      </w:r>
      <w:r w:rsidRPr="00B474A3" w:rsidR="00990263">
        <w:rPr>
          <w:rFonts w:ascii="Times New Roman" w:hAnsi="Times New Roman"/>
          <w:sz w:val="24"/>
          <w:u w:val="single"/>
        </w:rPr>
        <w:t>SCCAP rule</w:t>
      </w:r>
      <w:r w:rsidR="005B61ED">
        <w:rPr>
          <w:rFonts w:ascii="Times New Roman" w:hAnsi="Times New Roman"/>
          <w:sz w:val="24"/>
          <w:u w:val="single"/>
        </w:rPr>
        <w:t>:</w:t>
      </w:r>
    </w:p>
    <w:p w:rsidR="00F7092F" w:rsidP="002C3D2D" w14:paraId="17283E9A" w14:textId="28EB24BC">
      <w:pPr>
        <w:rPr>
          <w:rFonts w:ascii="Times New Roman" w:hAnsi="Times New Roman"/>
          <w:sz w:val="24"/>
        </w:rPr>
      </w:pPr>
      <w:r>
        <w:rPr>
          <w:rFonts w:ascii="Times New Roman" w:hAnsi="Times New Roman"/>
          <w:sz w:val="24"/>
        </w:rPr>
        <w:t>EPA</w:t>
      </w:r>
      <w:r w:rsidR="009915CE">
        <w:rPr>
          <w:rFonts w:ascii="Times New Roman" w:hAnsi="Times New Roman"/>
          <w:sz w:val="24"/>
        </w:rPr>
        <w:t xml:space="preserve"> and</w:t>
      </w:r>
      <w:r>
        <w:rPr>
          <w:rFonts w:ascii="Times New Roman" w:hAnsi="Times New Roman"/>
          <w:sz w:val="24"/>
        </w:rPr>
        <w:t>, DHS</w:t>
      </w:r>
      <w:r w:rsidR="00E13195">
        <w:rPr>
          <w:rFonts w:ascii="Times New Roman" w:hAnsi="Times New Roman"/>
          <w:sz w:val="24"/>
        </w:rPr>
        <w:t xml:space="preserve"> </w:t>
      </w:r>
      <w:r w:rsidR="009915CE">
        <w:rPr>
          <w:rFonts w:ascii="Times New Roman" w:hAnsi="Times New Roman"/>
          <w:sz w:val="24"/>
        </w:rPr>
        <w:t xml:space="preserve">staff </w:t>
      </w:r>
      <w:r w:rsidR="00E13195">
        <w:rPr>
          <w:rFonts w:ascii="Times New Roman" w:hAnsi="Times New Roman"/>
          <w:sz w:val="24"/>
        </w:rPr>
        <w:t xml:space="preserve">participated in meetings on </w:t>
      </w:r>
      <w:r w:rsidR="00A23A55">
        <w:rPr>
          <w:rFonts w:ascii="Times New Roman" w:hAnsi="Times New Roman"/>
          <w:sz w:val="24"/>
        </w:rPr>
        <w:t xml:space="preserve">4/25/2022, </w:t>
      </w:r>
      <w:r w:rsidR="00AC69E6">
        <w:rPr>
          <w:rFonts w:ascii="Times New Roman" w:hAnsi="Times New Roman"/>
          <w:sz w:val="24"/>
        </w:rPr>
        <w:t>1/25/2023,</w:t>
      </w:r>
      <w:r w:rsidR="00B97958">
        <w:rPr>
          <w:rFonts w:ascii="Times New Roman" w:hAnsi="Times New Roman"/>
          <w:sz w:val="24"/>
        </w:rPr>
        <w:t xml:space="preserve"> 8/</w:t>
      </w:r>
      <w:r w:rsidR="00F5501C">
        <w:rPr>
          <w:rFonts w:ascii="Times New Roman" w:hAnsi="Times New Roman"/>
          <w:sz w:val="24"/>
        </w:rPr>
        <w:t>1</w:t>
      </w:r>
      <w:r w:rsidR="00B97958">
        <w:rPr>
          <w:rFonts w:ascii="Times New Roman" w:hAnsi="Times New Roman"/>
          <w:sz w:val="24"/>
        </w:rPr>
        <w:t>4/</w:t>
      </w:r>
      <w:r w:rsidR="00D12ECC">
        <w:rPr>
          <w:rFonts w:ascii="Times New Roman" w:hAnsi="Times New Roman"/>
          <w:sz w:val="24"/>
        </w:rPr>
        <w:t>2023, 9/6/2023.</w:t>
      </w:r>
    </w:p>
    <w:p w:rsidR="00F7092F" w:rsidRPr="00B474A3" w:rsidP="002C3D2D" w14:paraId="4DD47367" w14:textId="4C6BEF5D">
      <w:pPr>
        <w:rPr>
          <w:rFonts w:ascii="Times New Roman" w:hAnsi="Times New Roman"/>
          <w:sz w:val="24"/>
          <w:u w:val="single"/>
        </w:rPr>
      </w:pPr>
      <w:r w:rsidRPr="00D12ECC">
        <w:rPr>
          <w:rFonts w:ascii="Times New Roman" w:hAnsi="Times New Roman"/>
          <w:sz w:val="24"/>
          <w:u w:val="single"/>
        </w:rPr>
        <w:t xml:space="preserve">Meeting dates with FBI regarding information availability provisions in </w:t>
      </w:r>
      <w:r w:rsidR="00D12930">
        <w:rPr>
          <w:rFonts w:ascii="Times New Roman" w:hAnsi="Times New Roman"/>
          <w:sz w:val="24"/>
          <w:u w:val="single"/>
        </w:rPr>
        <w:t xml:space="preserve">the </w:t>
      </w:r>
      <w:r w:rsidRPr="00D12ECC">
        <w:rPr>
          <w:rFonts w:ascii="Times New Roman" w:hAnsi="Times New Roman"/>
          <w:sz w:val="24"/>
          <w:u w:val="single"/>
        </w:rPr>
        <w:t>SCCAP rule</w:t>
      </w:r>
      <w:r w:rsidR="005B61ED">
        <w:rPr>
          <w:rFonts w:ascii="Times New Roman" w:hAnsi="Times New Roman"/>
          <w:sz w:val="24"/>
          <w:u w:val="single"/>
        </w:rPr>
        <w:t>:</w:t>
      </w:r>
    </w:p>
    <w:p w:rsidR="002C3D2D" w:rsidRPr="00183FB8" w:rsidP="002C3D2D" w14:paraId="34B3AC07" w14:textId="230E6A00">
      <w:pPr>
        <w:rPr>
          <w:rFonts w:ascii="Times New Roman" w:hAnsi="Times New Roman"/>
          <w:sz w:val="24"/>
        </w:rPr>
      </w:pPr>
      <w:r>
        <w:rPr>
          <w:rFonts w:ascii="Times New Roman" w:hAnsi="Times New Roman"/>
          <w:sz w:val="24"/>
        </w:rPr>
        <w:t>EPA</w:t>
      </w:r>
      <w:r w:rsidRPr="00183FB8">
        <w:rPr>
          <w:rFonts w:ascii="Times New Roman" w:hAnsi="Times New Roman"/>
          <w:sz w:val="24"/>
        </w:rPr>
        <w:t xml:space="preserve"> and </w:t>
      </w:r>
      <w:r w:rsidR="001A35FB">
        <w:rPr>
          <w:rFonts w:ascii="Times New Roman" w:hAnsi="Times New Roman"/>
          <w:sz w:val="24"/>
        </w:rPr>
        <w:t>FBI</w:t>
      </w:r>
      <w:r w:rsidR="00D95C98">
        <w:rPr>
          <w:rFonts w:ascii="Times New Roman" w:hAnsi="Times New Roman"/>
          <w:sz w:val="24"/>
        </w:rPr>
        <w:t xml:space="preserve">/DOJ </w:t>
      </w:r>
      <w:r w:rsidR="00D12930">
        <w:rPr>
          <w:rFonts w:ascii="Times New Roman" w:hAnsi="Times New Roman"/>
          <w:sz w:val="24"/>
        </w:rPr>
        <w:t xml:space="preserve">staff </w:t>
      </w:r>
      <w:r w:rsidR="00D95C98">
        <w:rPr>
          <w:rFonts w:ascii="Times New Roman" w:hAnsi="Times New Roman"/>
          <w:sz w:val="24"/>
        </w:rPr>
        <w:t xml:space="preserve">participated in meetings on </w:t>
      </w:r>
      <w:r w:rsidRPr="00183FB8">
        <w:rPr>
          <w:rFonts w:ascii="Times New Roman" w:hAnsi="Times New Roman"/>
          <w:sz w:val="24"/>
        </w:rPr>
        <w:t>3/</w:t>
      </w:r>
      <w:r w:rsidR="00D95C98">
        <w:rPr>
          <w:rFonts w:ascii="Times New Roman" w:hAnsi="Times New Roman"/>
          <w:sz w:val="24"/>
        </w:rPr>
        <w:t>23</w:t>
      </w:r>
      <w:r w:rsidRPr="00183FB8">
        <w:rPr>
          <w:rFonts w:ascii="Times New Roman" w:hAnsi="Times New Roman"/>
          <w:sz w:val="24"/>
        </w:rPr>
        <w:t>/202</w:t>
      </w:r>
      <w:r w:rsidR="00B64452">
        <w:rPr>
          <w:rFonts w:ascii="Times New Roman" w:hAnsi="Times New Roman"/>
          <w:sz w:val="24"/>
        </w:rPr>
        <w:t>3</w:t>
      </w:r>
      <w:r w:rsidRPr="00183FB8">
        <w:rPr>
          <w:rFonts w:ascii="Times New Roman" w:hAnsi="Times New Roman"/>
          <w:sz w:val="24"/>
        </w:rPr>
        <w:t xml:space="preserve">, </w:t>
      </w:r>
      <w:r w:rsidR="00E31D82">
        <w:rPr>
          <w:rFonts w:ascii="Times New Roman" w:hAnsi="Times New Roman"/>
          <w:sz w:val="24"/>
        </w:rPr>
        <w:t>4</w:t>
      </w:r>
      <w:r w:rsidRPr="00183FB8">
        <w:rPr>
          <w:rFonts w:ascii="Times New Roman" w:hAnsi="Times New Roman"/>
          <w:sz w:val="24"/>
        </w:rPr>
        <w:t>/</w:t>
      </w:r>
      <w:r w:rsidR="00E31D82">
        <w:rPr>
          <w:rFonts w:ascii="Times New Roman" w:hAnsi="Times New Roman"/>
          <w:sz w:val="24"/>
        </w:rPr>
        <w:t>25</w:t>
      </w:r>
      <w:r w:rsidRPr="00183FB8">
        <w:rPr>
          <w:rFonts w:ascii="Times New Roman" w:hAnsi="Times New Roman"/>
          <w:sz w:val="24"/>
        </w:rPr>
        <w:t>/202</w:t>
      </w:r>
      <w:r w:rsidR="00E31D82">
        <w:rPr>
          <w:rFonts w:ascii="Times New Roman" w:hAnsi="Times New Roman"/>
          <w:sz w:val="24"/>
        </w:rPr>
        <w:t>3</w:t>
      </w:r>
      <w:r w:rsidRPr="00183FB8">
        <w:rPr>
          <w:rFonts w:ascii="Times New Roman" w:hAnsi="Times New Roman"/>
          <w:sz w:val="24"/>
        </w:rPr>
        <w:t xml:space="preserve">, </w:t>
      </w:r>
      <w:r w:rsidR="00BF089D">
        <w:rPr>
          <w:rFonts w:ascii="Times New Roman" w:hAnsi="Times New Roman"/>
          <w:sz w:val="24"/>
        </w:rPr>
        <w:t>6</w:t>
      </w:r>
      <w:r w:rsidRPr="00183FB8">
        <w:rPr>
          <w:rFonts w:ascii="Times New Roman" w:hAnsi="Times New Roman"/>
          <w:sz w:val="24"/>
        </w:rPr>
        <w:t>/</w:t>
      </w:r>
      <w:r w:rsidR="00BF089D">
        <w:rPr>
          <w:rFonts w:ascii="Times New Roman" w:hAnsi="Times New Roman"/>
          <w:sz w:val="24"/>
        </w:rPr>
        <w:t>6</w:t>
      </w:r>
      <w:r w:rsidRPr="00183FB8">
        <w:rPr>
          <w:rFonts w:ascii="Times New Roman" w:hAnsi="Times New Roman"/>
          <w:sz w:val="24"/>
        </w:rPr>
        <w:t>/202</w:t>
      </w:r>
      <w:r w:rsidR="00BF089D">
        <w:rPr>
          <w:rFonts w:ascii="Times New Roman" w:hAnsi="Times New Roman"/>
          <w:sz w:val="24"/>
        </w:rPr>
        <w:t>3</w:t>
      </w:r>
      <w:r w:rsidRPr="00183FB8">
        <w:rPr>
          <w:rFonts w:ascii="Times New Roman" w:hAnsi="Times New Roman"/>
          <w:sz w:val="24"/>
        </w:rPr>
        <w:t xml:space="preserve">, </w:t>
      </w:r>
      <w:r w:rsidR="00963761">
        <w:rPr>
          <w:rFonts w:ascii="Times New Roman" w:hAnsi="Times New Roman"/>
          <w:sz w:val="24"/>
        </w:rPr>
        <w:t>9</w:t>
      </w:r>
      <w:r w:rsidRPr="00183FB8">
        <w:rPr>
          <w:rFonts w:ascii="Times New Roman" w:hAnsi="Times New Roman"/>
          <w:sz w:val="24"/>
        </w:rPr>
        <w:t>/</w:t>
      </w:r>
      <w:r w:rsidR="00963761">
        <w:rPr>
          <w:rFonts w:ascii="Times New Roman" w:hAnsi="Times New Roman"/>
          <w:sz w:val="24"/>
        </w:rPr>
        <w:t>6</w:t>
      </w:r>
      <w:r w:rsidRPr="00183FB8">
        <w:rPr>
          <w:rFonts w:ascii="Times New Roman" w:hAnsi="Times New Roman"/>
          <w:sz w:val="24"/>
        </w:rPr>
        <w:t>/202</w:t>
      </w:r>
      <w:r w:rsidR="00963761">
        <w:rPr>
          <w:rFonts w:ascii="Times New Roman" w:hAnsi="Times New Roman"/>
          <w:sz w:val="24"/>
        </w:rPr>
        <w:t>3</w:t>
      </w:r>
      <w:r>
        <w:rPr>
          <w:rStyle w:val="FootnoteReference"/>
          <w:rFonts w:ascii="Times New Roman" w:hAnsi="Times New Roman"/>
          <w:sz w:val="24"/>
        </w:rPr>
        <w:footnoteReference w:id="225"/>
      </w:r>
      <w:r w:rsidR="00963761">
        <w:rPr>
          <w:rFonts w:ascii="Times New Roman" w:hAnsi="Times New Roman"/>
          <w:sz w:val="24"/>
        </w:rPr>
        <w:t>.</w:t>
      </w:r>
    </w:p>
    <w:p w:rsidR="002C3D2D" w:rsidP="002C3D2D" w14:paraId="6BDB6201" w14:textId="26C939AD">
      <w:pPr>
        <w:rPr>
          <w:rFonts w:ascii="Times New Roman" w:hAnsi="Times New Roman"/>
          <w:sz w:val="24"/>
        </w:rPr>
      </w:pPr>
      <w:r w:rsidRPr="00183FB8">
        <w:rPr>
          <w:rFonts w:ascii="Times New Roman" w:hAnsi="Times New Roman"/>
          <w:sz w:val="24"/>
        </w:rPr>
        <w:t xml:space="preserve">Sources of meeting dates: Primarily calendar of Deanne Grant (EPA/OLEM/OEM). </w:t>
      </w:r>
    </w:p>
    <w:p w:rsidR="003B5876" w:rsidRPr="00D12930" w:rsidP="002C3D2D" w14:paraId="42CD2762" w14:textId="4BEEBADF">
      <w:pPr>
        <w:rPr>
          <w:rFonts w:ascii="Times New Roman" w:hAnsi="Times New Roman"/>
          <w:sz w:val="24"/>
          <w:u w:val="single"/>
        </w:rPr>
      </w:pPr>
      <w:r w:rsidRPr="00D12930">
        <w:rPr>
          <w:rFonts w:ascii="Times New Roman" w:hAnsi="Times New Roman"/>
          <w:sz w:val="24"/>
          <w:u w:val="single"/>
        </w:rPr>
        <w:t>Meeting dates with DOT regarding</w:t>
      </w:r>
      <w:r w:rsidR="00D12930">
        <w:rPr>
          <w:rFonts w:ascii="Times New Roman" w:hAnsi="Times New Roman"/>
          <w:sz w:val="24"/>
          <w:u w:val="single"/>
        </w:rPr>
        <w:t xml:space="preserve"> proposed </w:t>
      </w:r>
      <w:r w:rsidRPr="00D12930">
        <w:rPr>
          <w:rFonts w:ascii="Times New Roman" w:hAnsi="Times New Roman"/>
          <w:sz w:val="24"/>
          <w:u w:val="single"/>
        </w:rPr>
        <w:t xml:space="preserve">regulatory text changes to the storage incident to transportation provisions </w:t>
      </w:r>
      <w:r w:rsidR="00D12930">
        <w:rPr>
          <w:rFonts w:ascii="Times New Roman" w:hAnsi="Times New Roman"/>
          <w:sz w:val="24"/>
          <w:u w:val="single"/>
        </w:rPr>
        <w:t>in th</w:t>
      </w:r>
      <w:r w:rsidRPr="00D12930">
        <w:rPr>
          <w:rFonts w:ascii="Times New Roman" w:hAnsi="Times New Roman"/>
          <w:sz w:val="24"/>
          <w:u w:val="single"/>
        </w:rPr>
        <w:t>e SCCAP rule:</w:t>
      </w:r>
    </w:p>
    <w:p w:rsidR="003B5876" w:rsidRPr="00183FB8" w:rsidP="002C3D2D" w14:paraId="64B05A97" w14:textId="2D40F3C6">
      <w:pPr>
        <w:rPr>
          <w:rFonts w:ascii="Times New Roman" w:hAnsi="Times New Roman"/>
          <w:sz w:val="24"/>
        </w:rPr>
      </w:pPr>
      <w:r>
        <w:rPr>
          <w:rFonts w:ascii="Times New Roman" w:hAnsi="Times New Roman"/>
          <w:sz w:val="24"/>
        </w:rPr>
        <w:t>EPA</w:t>
      </w:r>
      <w:r w:rsidR="009915CE">
        <w:rPr>
          <w:rFonts w:ascii="Times New Roman" w:hAnsi="Times New Roman"/>
          <w:sz w:val="24"/>
        </w:rPr>
        <w:t xml:space="preserve"> and DOT staff corresponded by email</w:t>
      </w:r>
      <w:r w:rsidR="00D12930">
        <w:rPr>
          <w:rFonts w:ascii="Times New Roman" w:hAnsi="Times New Roman"/>
          <w:sz w:val="24"/>
        </w:rPr>
        <w:t xml:space="preserve"> in March 2022</w:t>
      </w:r>
      <w:r w:rsidR="009915CE">
        <w:rPr>
          <w:rFonts w:ascii="Times New Roman" w:hAnsi="Times New Roman"/>
          <w:sz w:val="24"/>
        </w:rPr>
        <w:t xml:space="preserve"> </w:t>
      </w:r>
      <w:r w:rsidR="00D12930">
        <w:rPr>
          <w:rFonts w:ascii="Times New Roman" w:hAnsi="Times New Roman"/>
          <w:sz w:val="24"/>
        </w:rPr>
        <w:t>and participated in a meeting on 2/1/23.</w:t>
      </w:r>
    </w:p>
    <w:p w:rsidR="002C3D2D" w:rsidP="00BB64F0" w14:paraId="0E6D18A9" w14:textId="37957D82">
      <w:pPr>
        <w:rPr>
          <w:rFonts w:ascii="Times New Roman" w:hAnsi="Times New Roman"/>
          <w:sz w:val="24"/>
        </w:rPr>
      </w:pPr>
      <w:r w:rsidRPr="00D12930">
        <w:rPr>
          <w:rFonts w:ascii="Times New Roman" w:hAnsi="Times New Roman"/>
          <w:sz w:val="24"/>
        </w:rPr>
        <w:t xml:space="preserve">Sources of meeting dates: </w:t>
      </w:r>
      <w:r>
        <w:rPr>
          <w:rFonts w:ascii="Times New Roman" w:hAnsi="Times New Roman"/>
          <w:sz w:val="24"/>
        </w:rPr>
        <w:t>Email and p</w:t>
      </w:r>
      <w:r w:rsidRPr="00D12930">
        <w:rPr>
          <w:rFonts w:ascii="Times New Roman" w:hAnsi="Times New Roman"/>
          <w:sz w:val="24"/>
        </w:rPr>
        <w:t>rimarily calendar of Deanne Grant (EPA/OLEM/OEM).</w:t>
      </w:r>
    </w:p>
    <w:p w:rsidR="00C81F6B" w:rsidRPr="00183FB8" w:rsidP="00BB64F0" w14:paraId="303965D7" w14:textId="77777777">
      <w:pPr>
        <w:rPr>
          <w:rFonts w:ascii="Times New Roman" w:hAnsi="Times New Roman"/>
          <w:sz w:val="24"/>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94626" w:rsidP="00025134" w14:paraId="61A2E11B" w14:textId="77777777">
      <w:pPr>
        <w:spacing w:before="0" w:after="0"/>
      </w:pPr>
      <w:r>
        <w:separator/>
      </w:r>
    </w:p>
  </w:endnote>
  <w:endnote w:type="continuationSeparator" w:id="1">
    <w:p w:rsidR="00F94626" w:rsidP="00025134" w14:paraId="3A3B0C7F" w14:textId="77777777">
      <w:pPr>
        <w:spacing w:before="0" w:after="0"/>
      </w:pPr>
      <w:r>
        <w:continuationSeparator/>
      </w:r>
    </w:p>
  </w:endnote>
  <w:endnote w:type="continuationNotice" w:id="2">
    <w:p w:rsidR="00F94626" w14:paraId="720CD807"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lior">
    <w:altName w:val="Cambria"/>
    <w:panose1 w:val="00000000000000000000"/>
    <w:charset w:val="00"/>
    <w:family w:val="roman"/>
    <w:notTrueType/>
    <w:pitch w:val="default"/>
    <w:sig w:usb0="00000003" w:usb1="00000000" w:usb2="00000000" w:usb3="00000000" w:csb0="00000001" w:csb1="00000000"/>
  </w:font>
  <w:font w:name="Times New Roman,Times New Roman">
    <w:altName w:val="Times New Roman"/>
    <w:panose1 w:val="00000000000000000000"/>
    <w:charset w:val="00"/>
    <w:family w:val="roman"/>
    <w:notTrueType/>
    <w:pitch w:val="default"/>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21775972"/>
      <w:docPartObj>
        <w:docPartGallery w:val="Page Numbers (Bottom of Page)"/>
        <w:docPartUnique/>
      </w:docPartObj>
    </w:sdtPr>
    <w:sdtEndPr>
      <w:rPr>
        <w:noProof/>
      </w:rPr>
    </w:sdtEndPr>
    <w:sdtContent>
      <w:p w:rsidR="00025134" w:rsidP="00025134" w14:paraId="0111A149" w14:textId="05586269">
        <w:pPr>
          <w:pStyle w:val="Footer"/>
          <w:ind w:firstLine="1440"/>
          <w:jc w:val="center"/>
        </w:pPr>
        <w:r>
          <w:rPr>
            <w:rFonts w:asciiTheme="minorHAnsi" w:hAnsiTheme="minorHAnsi" w:cstheme="minorHAnsi"/>
            <w:szCs w:val="22"/>
          </w:rPr>
          <w:tab/>
        </w:r>
        <w:r>
          <w:fldChar w:fldCharType="begin"/>
        </w:r>
        <w:r>
          <w:instrText xml:space="preserve"> PAGE   \* MERGEFORMAT </w:instrText>
        </w:r>
        <w:r>
          <w:fldChar w:fldCharType="separate"/>
        </w:r>
        <w:r>
          <w:t>26</w:t>
        </w:r>
        <w:r>
          <w:rPr>
            <w:noProof/>
          </w:rPr>
          <w:fldChar w:fldCharType="end"/>
        </w:r>
      </w:p>
    </w:sdtContent>
  </w:sdt>
  <w:p w:rsidR="00025134" w14:paraId="12C927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94626" w:rsidP="00025134" w14:paraId="548DB393" w14:textId="77777777">
      <w:pPr>
        <w:spacing w:before="0" w:after="0"/>
      </w:pPr>
      <w:r>
        <w:separator/>
      </w:r>
    </w:p>
  </w:footnote>
  <w:footnote w:type="continuationSeparator" w:id="1">
    <w:p w:rsidR="00F94626" w:rsidP="00025134" w14:paraId="32709A1C" w14:textId="77777777">
      <w:pPr>
        <w:spacing w:before="0" w:after="0"/>
      </w:pPr>
      <w:r>
        <w:continuationSeparator/>
      </w:r>
    </w:p>
  </w:footnote>
  <w:footnote w:type="continuationNotice" w:id="2">
    <w:p w:rsidR="00F94626" w14:paraId="17E2A4A1" w14:textId="77777777">
      <w:pPr>
        <w:spacing w:before="0" w:after="0"/>
      </w:pPr>
    </w:p>
  </w:footnote>
  <w:footnote w:id="3">
    <w:p w:rsidR="00432AAA" w:rsidRPr="00937620" w14:paraId="229782D4" w14:textId="403605C3">
      <w:pPr>
        <w:pStyle w:val="FootnoteText"/>
        <w:rPr>
          <w:rFonts w:ascii="Times New Roman" w:hAnsi="Times New Roman"/>
        </w:rPr>
      </w:pPr>
      <w:r w:rsidRPr="00937620">
        <w:rPr>
          <w:rStyle w:val="FootnoteReference"/>
          <w:rFonts w:ascii="Times New Roman" w:hAnsi="Times New Roman"/>
        </w:rPr>
        <w:footnoteRef/>
      </w:r>
      <w:r w:rsidRPr="00937620">
        <w:rPr>
          <w:rFonts w:ascii="Times New Roman" w:hAnsi="Times New Roman"/>
        </w:rPr>
        <w:t xml:space="preserve"> https://www.epa.gov/enforcement/national-enforcement-and-compliance-initiative-reducing-risks-accidental-releases</w:t>
      </w:r>
    </w:p>
  </w:footnote>
  <w:footnote w:id="4">
    <w:p w:rsidR="00E934B5" w:rsidRPr="0076074F" w:rsidP="00E934B5" w14:paraId="07E9E418" w14:textId="77777777">
      <w:pPr>
        <w:pStyle w:val="FootnoteText"/>
        <w:rPr>
          <w:rFonts w:ascii="Times New Roman" w:hAnsi="Times New Roman"/>
        </w:rPr>
      </w:pPr>
      <w:r w:rsidRPr="0076074F">
        <w:rPr>
          <w:rStyle w:val="FootnoteReference"/>
          <w:rFonts w:ascii="Times New Roman" w:hAnsi="Times New Roman"/>
        </w:rPr>
        <w:footnoteRef/>
      </w:r>
      <w:r w:rsidRPr="0076074F">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5">
    <w:p w:rsidR="0086335D" w:rsidRPr="0025089B" w14:paraId="49BBDC5C" w14:textId="2917DCB0">
      <w:pPr>
        <w:pStyle w:val="FootnoteText"/>
        <w:rPr>
          <w:rFonts w:ascii="Times New Roman" w:hAnsi="Times New Roman"/>
          <w:i/>
          <w:iCs/>
        </w:rPr>
      </w:pPr>
      <w:r w:rsidRPr="0025089B">
        <w:rPr>
          <w:rStyle w:val="FootnoteReference"/>
          <w:rFonts w:ascii="Times New Roman" w:hAnsi="Times New Roman"/>
        </w:rPr>
        <w:footnoteRef/>
      </w:r>
      <w:r w:rsidRPr="0025089B">
        <w:rPr>
          <w:rFonts w:ascii="Times New Roman" w:hAnsi="Times New Roman"/>
        </w:rPr>
        <w:t xml:space="preserve"> The U.S. Chemical Safety Board’s TPC incident investigation report outlines the safety issues contributing to the incident, conclusions, recommendations, and key lessons for the industry. </w:t>
      </w:r>
      <w:r w:rsidRPr="0025089B">
        <w:rPr>
          <w:rFonts w:ascii="Times New Roman" w:hAnsi="Times New Roman"/>
          <w:i/>
          <w:iCs/>
        </w:rPr>
        <w:t>https://www.csb.gov/tpc-port-neches-explosions-and-fire/</w:t>
      </w:r>
    </w:p>
  </w:footnote>
  <w:footnote w:id="6">
    <w:p w:rsidR="00D65AE8" w:rsidRPr="00E30A98" w14:paraId="111B59A7" w14:textId="03461CCE">
      <w:pPr>
        <w:pStyle w:val="FootnoteText"/>
        <w:rPr>
          <w:rFonts w:ascii="Times New Roman" w:hAnsi="Times New Roman"/>
        </w:rPr>
      </w:pPr>
      <w:r w:rsidRPr="00E30A98">
        <w:rPr>
          <w:rStyle w:val="FootnoteReference"/>
          <w:rFonts w:ascii="Times New Roman" w:hAnsi="Times New Roman"/>
        </w:rPr>
        <w:footnoteRef/>
      </w:r>
      <w:r w:rsidRPr="00E30A98">
        <w:rPr>
          <w:rFonts w:ascii="Times New Roman" w:hAnsi="Times New Roman"/>
        </w:rPr>
        <w:t xml:space="preserve"> TPC </w:t>
      </w:r>
      <w:r w:rsidR="00E30A98">
        <w:rPr>
          <w:rFonts w:ascii="Times New Roman" w:hAnsi="Times New Roman"/>
        </w:rPr>
        <w:t xml:space="preserve">Group </w:t>
      </w:r>
      <w:r w:rsidRPr="00E30A98">
        <w:rPr>
          <w:rFonts w:ascii="Times New Roman" w:hAnsi="Times New Roman"/>
        </w:rPr>
        <w:t xml:space="preserve">would have been required to conduct an initial STAA </w:t>
      </w:r>
      <w:r w:rsidRPr="00E30A98" w:rsidR="002F4587">
        <w:rPr>
          <w:rFonts w:ascii="Times New Roman" w:hAnsi="Times New Roman"/>
        </w:rPr>
        <w:t>evaluation</w:t>
      </w:r>
      <w:r w:rsidRPr="00E30A98">
        <w:rPr>
          <w:rFonts w:ascii="Times New Roman" w:hAnsi="Times New Roman"/>
        </w:rPr>
        <w:t xml:space="preserve"> because it ha</w:t>
      </w:r>
      <w:r w:rsidRPr="00E30A98" w:rsidR="003801BC">
        <w:rPr>
          <w:rFonts w:ascii="Times New Roman" w:hAnsi="Times New Roman"/>
        </w:rPr>
        <w:t xml:space="preserve">d a covered process in NAICS 325. The </w:t>
      </w:r>
      <w:r w:rsidRPr="00E30A98" w:rsidR="002F4587">
        <w:rPr>
          <w:rFonts w:ascii="Times New Roman" w:hAnsi="Times New Roman"/>
        </w:rPr>
        <w:t>practicability</w:t>
      </w:r>
      <w:r w:rsidRPr="00E30A98" w:rsidR="003801BC">
        <w:rPr>
          <w:rFonts w:ascii="Times New Roman" w:hAnsi="Times New Roman"/>
        </w:rPr>
        <w:t xml:space="preserve"> assessment and safeguard implementation would have been required since its 325 NAIS covered process was located within 1 mile of another </w:t>
      </w:r>
      <w:r w:rsidRPr="00E30A98" w:rsidR="002F4587">
        <w:rPr>
          <w:rFonts w:ascii="Times New Roman" w:hAnsi="Times New Roman"/>
        </w:rPr>
        <w:t>facility having a process in NAICS 324/325.</w:t>
      </w:r>
      <w:r w:rsidR="00814256">
        <w:rPr>
          <w:rFonts w:ascii="Times New Roman" w:hAnsi="Times New Roman"/>
        </w:rPr>
        <w:t xml:space="preserve"> </w:t>
      </w:r>
      <w:r w:rsidR="008A69FB">
        <w:rPr>
          <w:rFonts w:ascii="Times New Roman" w:hAnsi="Times New Roman"/>
        </w:rPr>
        <w:t>Addi</w:t>
      </w:r>
      <w:r w:rsidR="001A6D3E">
        <w:rPr>
          <w:rFonts w:ascii="Times New Roman" w:hAnsi="Times New Roman"/>
        </w:rPr>
        <w:t xml:space="preserve">tionally, </w:t>
      </w:r>
      <w:r w:rsidR="008A69FB">
        <w:rPr>
          <w:rFonts w:ascii="Times New Roman" w:hAnsi="Times New Roman"/>
        </w:rPr>
        <w:t>n</w:t>
      </w:r>
      <w:r w:rsidR="00B456E2">
        <w:rPr>
          <w:rFonts w:ascii="Times New Roman" w:hAnsi="Times New Roman"/>
        </w:rPr>
        <w:t xml:space="preserve">ote that TPC Group was not </w:t>
      </w:r>
      <w:r w:rsidR="00960D8F">
        <w:rPr>
          <w:rFonts w:ascii="Times New Roman" w:hAnsi="Times New Roman"/>
        </w:rPr>
        <w:t>included in the</w:t>
      </w:r>
      <w:r w:rsidR="008D696E">
        <w:rPr>
          <w:rFonts w:ascii="Times New Roman" w:hAnsi="Times New Roman"/>
        </w:rPr>
        <w:t xml:space="preserve"> Appendix A</w:t>
      </w:r>
      <w:r w:rsidR="001F1544">
        <w:rPr>
          <w:rFonts w:ascii="Times New Roman" w:hAnsi="Times New Roman"/>
        </w:rPr>
        <w:t xml:space="preserve"> </w:t>
      </w:r>
      <w:r w:rsidR="001A6D3E">
        <w:rPr>
          <w:rFonts w:ascii="Times New Roman" w:hAnsi="Times New Roman"/>
        </w:rPr>
        <w:t xml:space="preserve">list </w:t>
      </w:r>
      <w:r w:rsidR="001F1544">
        <w:rPr>
          <w:rFonts w:ascii="Times New Roman" w:hAnsi="Times New Roman"/>
        </w:rPr>
        <w:t xml:space="preserve">of the </w:t>
      </w:r>
      <w:r w:rsidR="001A6D3E">
        <w:rPr>
          <w:rFonts w:ascii="Times New Roman" w:hAnsi="Times New Roman"/>
        </w:rPr>
        <w:t xml:space="preserve">SCCAP proposed rule </w:t>
      </w:r>
      <w:r w:rsidR="001F1544">
        <w:rPr>
          <w:rFonts w:ascii="Times New Roman" w:hAnsi="Times New Roman"/>
        </w:rPr>
        <w:t xml:space="preserve">Technical Background Document identifying facilities with processes with NAICS 324/325 within 1 mile of another facility with a process in 324/325 because after the accident, TPC </w:t>
      </w:r>
      <w:r w:rsidR="00106530">
        <w:rPr>
          <w:rFonts w:ascii="Times New Roman" w:hAnsi="Times New Roman"/>
        </w:rPr>
        <w:t xml:space="preserve">no longer had </w:t>
      </w:r>
      <w:r w:rsidR="00000B55">
        <w:rPr>
          <w:rFonts w:ascii="Times New Roman" w:hAnsi="Times New Roman"/>
        </w:rPr>
        <w:t>a</w:t>
      </w:r>
      <w:r w:rsidR="00106530">
        <w:rPr>
          <w:rFonts w:ascii="Times New Roman" w:hAnsi="Times New Roman"/>
        </w:rPr>
        <w:t xml:space="preserve"> </w:t>
      </w:r>
      <w:r w:rsidR="00AF08DE">
        <w:rPr>
          <w:rFonts w:ascii="Times New Roman" w:hAnsi="Times New Roman"/>
        </w:rPr>
        <w:t>325 process on site</w:t>
      </w:r>
      <w:r w:rsidR="00000B55">
        <w:rPr>
          <w:rFonts w:ascii="Times New Roman" w:hAnsi="Times New Roman"/>
        </w:rPr>
        <w:t>.</w:t>
      </w:r>
    </w:p>
  </w:footnote>
  <w:footnote w:id="7">
    <w:p w:rsidR="00016C0C" w:rsidRPr="00016C0C" w14:paraId="07540534" w14:textId="4E7E579C">
      <w:pPr>
        <w:pStyle w:val="FootnoteText"/>
        <w:rPr>
          <w:rFonts w:ascii="Times New Roman" w:hAnsi="Times New Roman"/>
        </w:rPr>
      </w:pPr>
      <w:r w:rsidRPr="00016C0C">
        <w:rPr>
          <w:rStyle w:val="FootnoteReference"/>
          <w:rFonts w:ascii="Times New Roman" w:hAnsi="Times New Roman"/>
        </w:rPr>
        <w:footnoteRef/>
      </w:r>
      <w:r w:rsidRPr="00016C0C">
        <w:rPr>
          <w:rFonts w:ascii="Times New Roman" w:hAnsi="Times New Roman"/>
        </w:rPr>
        <w:t xml:space="preserve"> 2016. EPA Response to Comments on the 2016 Proposed Rulemaking Amending EPA’s Risk Management Program Regulations. </w:t>
      </w:r>
    </w:p>
  </w:footnote>
  <w:footnote w:id="8">
    <w:p w:rsidR="0068408E" w:rsidRPr="00E3101A" w:rsidP="00E3101A" w14:paraId="46BCFB0C" w14:textId="73052F1E">
      <w:pPr>
        <w:autoSpaceDE w:val="0"/>
        <w:autoSpaceDN w:val="0"/>
        <w:adjustRightInd w:val="0"/>
        <w:spacing w:before="0" w:after="0"/>
        <w:rPr>
          <w:rFonts w:ascii="Times New Roman" w:hAnsi="Times New Roman"/>
          <w:sz w:val="20"/>
          <w:szCs w:val="20"/>
        </w:rPr>
      </w:pPr>
      <w:r w:rsidRPr="00E3101A">
        <w:rPr>
          <w:rStyle w:val="FootnoteReference"/>
          <w:rFonts w:ascii="Times New Roman" w:hAnsi="Times New Roman"/>
          <w:sz w:val="20"/>
          <w:szCs w:val="20"/>
        </w:rPr>
        <w:footnoteRef/>
      </w:r>
      <w:r w:rsidRPr="00E3101A">
        <w:rPr>
          <w:rFonts w:ascii="Times New Roman" w:hAnsi="Times New Roman"/>
          <w:sz w:val="20"/>
          <w:szCs w:val="20"/>
        </w:rPr>
        <w:t xml:space="preserve"> </w:t>
      </w:r>
      <w:r w:rsidRPr="00E3101A" w:rsidR="00E3101A">
        <w:rPr>
          <w:rFonts w:ascii="Times New Roman" w:hAnsi="Times New Roman"/>
          <w:sz w:val="20"/>
          <w:szCs w:val="20"/>
        </w:rPr>
        <w:t xml:space="preserve">As described in </w:t>
      </w:r>
      <w:r w:rsidRPr="00E3101A" w:rsidR="00E3101A">
        <w:rPr>
          <w:rFonts w:ascii="Times New Roman" w:hAnsi="Times New Roman" w:eastAsiaTheme="minorHAnsi"/>
          <w:sz w:val="20"/>
          <w:szCs w:val="20"/>
          <w14:ligatures w14:val="standardContextual"/>
        </w:rPr>
        <w:t xml:space="preserve">CCPS, </w:t>
      </w:r>
      <w:r w:rsidRPr="00E3101A" w:rsidR="00E3101A">
        <w:rPr>
          <w:rFonts w:ascii="Times New Roman" w:hAnsi="Times New Roman" w:eastAsiaTheme="minorHAnsi"/>
          <w:i/>
          <w:iCs/>
          <w:sz w:val="20"/>
          <w:szCs w:val="20"/>
          <w14:ligatures w14:val="standardContextual"/>
        </w:rPr>
        <w:t xml:space="preserve">Guidelines for Siting and Layout of Facilities, 2nd Edition </w:t>
      </w:r>
      <w:r w:rsidRPr="00E3101A" w:rsidR="00E3101A">
        <w:rPr>
          <w:rFonts w:ascii="Times New Roman" w:hAnsi="Times New Roman" w:eastAsiaTheme="minorHAnsi"/>
          <w:sz w:val="20"/>
          <w:szCs w:val="20"/>
          <w14:ligatures w14:val="standardContextual"/>
        </w:rPr>
        <w:t xml:space="preserve">(Hoboken, NJ: Wiley, 2018), </w:t>
      </w:r>
      <w:r w:rsidRPr="00E3101A" w:rsidR="00E3101A">
        <w:rPr>
          <w:rFonts w:ascii="Times New Roman" w:hAnsi="Times New Roman" w:eastAsiaTheme="minorHAnsi"/>
          <w:i/>
          <w:iCs/>
          <w:sz w:val="20"/>
          <w:szCs w:val="20"/>
          <w14:ligatures w14:val="standardContextual"/>
        </w:rPr>
        <w:t>https://www.aiche.org/ccps/resources/publications/books/guidelines-siting-and-layout-facilities-2ndedition.</w:t>
      </w:r>
    </w:p>
  </w:footnote>
  <w:footnote w:id="9">
    <w:p w:rsidR="00740CCB" w:rsidRPr="00E3101A" w:rsidP="00740CCB" w14:paraId="169B714A" w14:textId="3D07BA22">
      <w:pPr>
        <w:autoSpaceDE w:val="0"/>
        <w:autoSpaceDN w:val="0"/>
        <w:adjustRightInd w:val="0"/>
        <w:spacing w:before="0" w:after="0"/>
        <w:rPr>
          <w:rFonts w:ascii="Times New Roman" w:hAnsi="Times New Roman"/>
          <w:sz w:val="20"/>
          <w:szCs w:val="20"/>
        </w:rPr>
      </w:pPr>
      <w:r w:rsidRPr="00E3101A">
        <w:rPr>
          <w:rStyle w:val="FootnoteReference"/>
          <w:rFonts w:ascii="Times New Roman" w:hAnsi="Times New Roman"/>
          <w:sz w:val="20"/>
          <w:szCs w:val="20"/>
        </w:rPr>
        <w:footnoteRef/>
      </w:r>
      <w:r w:rsidRPr="00E3101A">
        <w:rPr>
          <w:rFonts w:ascii="Times New Roman" w:hAnsi="Times New Roman"/>
          <w:sz w:val="20"/>
          <w:szCs w:val="20"/>
        </w:rPr>
        <w:t xml:space="preserve"> As described in </w:t>
      </w:r>
      <w:r w:rsidRPr="00E3101A">
        <w:rPr>
          <w:rFonts w:ascii="Times New Roman" w:hAnsi="Times New Roman" w:eastAsiaTheme="minorHAnsi"/>
          <w:sz w:val="20"/>
          <w:szCs w:val="20"/>
          <w14:ligatures w14:val="standardContextual"/>
        </w:rPr>
        <w:t xml:space="preserve">CCPS, </w:t>
      </w:r>
      <w:r w:rsidRPr="00E3101A">
        <w:rPr>
          <w:rFonts w:ascii="Times New Roman" w:hAnsi="Times New Roman" w:eastAsiaTheme="minorHAnsi"/>
          <w:i/>
          <w:iCs/>
          <w:sz w:val="20"/>
          <w:szCs w:val="20"/>
          <w14:ligatures w14:val="standardContextual"/>
        </w:rPr>
        <w:t xml:space="preserve">Guidelines for Siting and Layout of Facilities, 2nd Edition </w:t>
      </w:r>
      <w:r w:rsidRPr="00E3101A">
        <w:rPr>
          <w:rFonts w:ascii="Times New Roman" w:hAnsi="Times New Roman" w:eastAsiaTheme="minorHAnsi"/>
          <w:sz w:val="20"/>
          <w:szCs w:val="20"/>
          <w14:ligatures w14:val="standardContextual"/>
        </w:rPr>
        <w:t xml:space="preserve">(Hoboken, NJ: Wiley, 2018), </w:t>
      </w:r>
      <w:r w:rsidRPr="00E3101A">
        <w:rPr>
          <w:rFonts w:ascii="Times New Roman" w:hAnsi="Times New Roman" w:eastAsiaTheme="minorHAnsi"/>
          <w:i/>
          <w:iCs/>
          <w:sz w:val="20"/>
          <w:szCs w:val="20"/>
          <w14:ligatures w14:val="standardContextual"/>
        </w:rPr>
        <w:t>https://www.aiche.org/ccps/resources/publications/books/guidelines-siting-and-layout-facilities-2ndediti</w:t>
      </w:r>
      <w:r w:rsidR="00C865AC">
        <w:rPr>
          <w:rFonts w:ascii="Times New Roman" w:hAnsi="Times New Roman" w:eastAsiaTheme="minorHAnsi"/>
          <w:i/>
          <w:iCs/>
          <w:sz w:val="20"/>
          <w:szCs w:val="20"/>
          <w14:ligatures w14:val="standardContextual"/>
        </w:rPr>
        <w:t>on</w:t>
      </w:r>
      <w:r w:rsidRPr="00E3101A">
        <w:rPr>
          <w:rFonts w:ascii="Times New Roman" w:hAnsi="Times New Roman" w:eastAsiaTheme="minorHAnsi"/>
          <w:sz w:val="20"/>
          <w:szCs w:val="20"/>
          <w14:ligatures w14:val="standardContextual"/>
        </w:rPr>
        <w:t>.</w:t>
      </w:r>
    </w:p>
  </w:footnote>
  <w:footnote w:id="10">
    <w:p w:rsidR="009C0819" w:rsidRPr="00EE467D" w14:paraId="706E8EB7" w14:textId="719795CE">
      <w:pPr>
        <w:pStyle w:val="FootnoteText"/>
        <w:rPr>
          <w:rFonts w:ascii="Times New Roman" w:hAnsi="Times New Roman"/>
        </w:rPr>
      </w:pPr>
      <w:r w:rsidRPr="009C0819">
        <w:rPr>
          <w:rStyle w:val="FootnoteReference"/>
          <w:rFonts w:ascii="Times New Roman" w:hAnsi="Times New Roman"/>
        </w:rPr>
        <w:footnoteRef/>
      </w:r>
      <w:r w:rsidRPr="009C0819">
        <w:rPr>
          <w:rFonts w:ascii="Times New Roman" w:hAnsi="Times New Roman"/>
        </w:rPr>
        <w:t xml:space="preserve"> </w:t>
      </w:r>
      <w:hyperlink r:id="rId1" w:history="1">
        <w:r w:rsidRPr="00EE467D">
          <w:rPr>
            <w:rStyle w:val="Hyperlink"/>
            <w:rFonts w:ascii="Times New Roman" w:hAnsi="Times New Roman"/>
          </w:rPr>
          <w:t>https://www.epa.gov/sites/default/files/2013-10/documents/chap-01-final.pdf</w:t>
        </w:r>
      </w:hyperlink>
    </w:p>
  </w:footnote>
  <w:footnote w:id="11">
    <w:p w:rsidR="009C0819" w14:paraId="1836BB98" w14:textId="51C3A428">
      <w:pPr>
        <w:pStyle w:val="FootnoteText"/>
      </w:pPr>
      <w:r w:rsidRPr="00EE467D">
        <w:rPr>
          <w:rStyle w:val="FootnoteReference"/>
          <w:rFonts w:ascii="Times New Roman" w:hAnsi="Times New Roman"/>
        </w:rPr>
        <w:footnoteRef/>
      </w:r>
      <w:r w:rsidRPr="00EE467D">
        <w:rPr>
          <w:rFonts w:ascii="Times New Roman" w:hAnsi="Times New Roman"/>
        </w:rPr>
        <w:t xml:space="preserve"> </w:t>
      </w:r>
      <w:hyperlink r:id="rId2" w:history="1">
        <w:r w:rsidRPr="00EE467D">
          <w:rPr>
            <w:rStyle w:val="Hyperlink"/>
            <w:rFonts w:ascii="Times New Roman" w:hAnsi="Times New Roman"/>
          </w:rPr>
          <w:t>https://www.epa.gov/rmp/epa-regional-rmp-contacts</w:t>
        </w:r>
      </w:hyperlink>
      <w:r>
        <w:t xml:space="preserve"> </w:t>
      </w:r>
    </w:p>
  </w:footnote>
  <w:footnote w:id="12">
    <w:p w:rsidR="00891FFD" w:rsidRPr="00E1032F" w:rsidP="00891FFD" w14:paraId="4C9B243A" w14:textId="77777777">
      <w:pPr>
        <w:pStyle w:val="FootnoteText"/>
        <w:rPr>
          <w:rFonts w:ascii="Times New Roman" w:hAnsi="Times New Roman"/>
        </w:rPr>
      </w:pPr>
      <w:r w:rsidRPr="00E1032F">
        <w:rPr>
          <w:rStyle w:val="FootnoteReference"/>
          <w:rFonts w:ascii="Times New Roman" w:hAnsi="Times New Roman"/>
        </w:rPr>
        <w:footnoteRef/>
      </w:r>
      <w:r w:rsidRPr="00E1032F">
        <w:rPr>
          <w:rFonts w:ascii="Times New Roman" w:hAnsi="Times New Roman"/>
        </w:rPr>
        <w:t xml:space="preserve"> </w:t>
      </w:r>
      <w:bookmarkStart w:id="20" w:name="_Hlk153964707"/>
      <w:r w:rsidRPr="00E1032F">
        <w:rPr>
          <w:rFonts w:ascii="Times New Roman" w:hAnsi="Times New Roman"/>
        </w:rPr>
        <w:t>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bookmarkEnd w:id="20"/>
    </w:p>
  </w:footnote>
  <w:footnote w:id="13">
    <w:p w:rsidR="00877E19" w:rsidRPr="00877E19" w:rsidP="00877E19" w14:paraId="27E675AC" w14:textId="77777777">
      <w:pPr>
        <w:pStyle w:val="FootnoteText"/>
        <w:rPr>
          <w:rFonts w:ascii="Times New Roman" w:hAnsi="Times New Roman"/>
        </w:rPr>
      </w:pPr>
      <w:r w:rsidRPr="00877E19">
        <w:rPr>
          <w:rStyle w:val="FootnoteReference"/>
          <w:rFonts w:ascii="Times New Roman" w:hAnsi="Times New Roman"/>
        </w:rPr>
        <w:footnoteRef/>
      </w:r>
      <w:r w:rsidRPr="00877E19">
        <w:rPr>
          <w:rFonts w:ascii="Times New Roman" w:hAnsi="Times New Roman"/>
        </w:rPr>
        <w:t xml:space="preserve"> </w:t>
      </w:r>
      <w:r w:rsidRPr="00877E19">
        <w:rPr>
          <w:rFonts w:ascii="Times New Roman" w:hAnsi="Times New Roman"/>
          <w:bCs/>
        </w:rPr>
        <w:t>In the SCCAP proposal, EPA acknowledged the likelihood of late-reported accidents affecting the last few years of data. Based on its prior experience, EPA judged that there would be a slight increase in the number of accidents in the last few years of data.</w:t>
      </w:r>
    </w:p>
  </w:footnote>
  <w:footnote w:id="14">
    <w:p w:rsidR="00697496" w:rsidP="00697496" w14:paraId="7E7CED17" w14:textId="77777777">
      <w:pPr>
        <w:pStyle w:val="FootnoteText"/>
      </w:pPr>
      <w:r w:rsidRPr="00BD130A">
        <w:rPr>
          <w:rStyle w:val="FootnoteReference"/>
          <w:rFonts w:ascii="Times New Roman" w:hAnsi="Times New Roman"/>
        </w:rPr>
        <w:footnoteRef/>
      </w:r>
      <w:r w:rsidRPr="00BD130A">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15">
    <w:p w:rsidR="00877E19" w:rsidRPr="00877E19" w:rsidP="00877E19" w14:paraId="60C5EDB3" w14:textId="77777777">
      <w:pPr>
        <w:pStyle w:val="FootnoteText"/>
        <w:rPr>
          <w:rFonts w:ascii="Times New Roman" w:hAnsi="Times New Roman"/>
        </w:rPr>
      </w:pPr>
      <w:r w:rsidRPr="00877E19">
        <w:rPr>
          <w:rStyle w:val="FootnoteReference"/>
          <w:rFonts w:ascii="Times New Roman" w:hAnsi="Times New Roman"/>
        </w:rPr>
        <w:footnoteRef/>
      </w:r>
      <w:r w:rsidRPr="00877E19">
        <w:rPr>
          <w:rFonts w:ascii="Times New Roman" w:hAnsi="Times New Roman"/>
        </w:rPr>
        <w:t xml:space="preserve"> </w:t>
      </w:r>
      <w:r w:rsidRPr="00877E19">
        <w:rPr>
          <w:rFonts w:ascii="Times New Roman" w:hAnsi="Times New Roman"/>
          <w:bCs/>
        </w:rPr>
        <w:t>In the SCCAP proposal, EPA acknowledged the likelihood of late-reported accidents affecting the last few years of data. Based on its prior experience, EPA judged that there would be a slight increase in the number of accidents in the last few years of data.</w:t>
      </w:r>
    </w:p>
  </w:footnote>
  <w:footnote w:id="16">
    <w:p w:rsidR="006C28E4" w:rsidRPr="001C31F8" w14:paraId="463B1B60" w14:textId="7FF0D16A">
      <w:pPr>
        <w:pStyle w:val="FootnoteText"/>
        <w:rPr>
          <w:rFonts w:ascii="Times New Roman" w:hAnsi="Times New Roman"/>
        </w:rPr>
      </w:pPr>
      <w:r w:rsidRPr="001C31F8">
        <w:rPr>
          <w:rStyle w:val="FootnoteReference"/>
          <w:rFonts w:ascii="Times New Roman" w:hAnsi="Times New Roman"/>
        </w:rPr>
        <w:footnoteRef/>
      </w:r>
      <w:r w:rsidRPr="001C31F8">
        <w:rPr>
          <w:rFonts w:ascii="Times New Roman" w:hAnsi="Times New Roman"/>
        </w:rPr>
        <w:t xml:space="preserve"> </w:t>
      </w:r>
      <w:r w:rsidRPr="001C31F8" w:rsidR="005368BE">
        <w:rPr>
          <w:rFonts w:ascii="Times New Roman" w:hAnsi="Times New Roman"/>
        </w:rPr>
        <w:t>Such data are also consistent with accident frequency data that formed part of the basis for the STAA applicability provisions in the 2017 Amendments rule. See 81 Fed. Reg. 13668-69 (March 14, 2016) (Amendments rule NPRM); 82 Fed. Reg. 4632-34 (January 13, 2017).</w:t>
      </w:r>
    </w:p>
  </w:footnote>
  <w:footnote w:id="17">
    <w:p w:rsidR="00560CB0" w:rsidRPr="00821650" w14:paraId="3C9F4E2D" w14:textId="7962A9E5">
      <w:pPr>
        <w:pStyle w:val="FootnoteText"/>
        <w:rPr>
          <w:rFonts w:ascii="Times New Roman" w:hAnsi="Times New Roman"/>
        </w:rPr>
      </w:pPr>
      <w:r w:rsidRPr="00821650">
        <w:rPr>
          <w:rStyle w:val="FootnoteReference"/>
          <w:rFonts w:ascii="Times New Roman" w:hAnsi="Times New Roman"/>
        </w:rPr>
        <w:footnoteRef/>
      </w:r>
      <w:r w:rsidRPr="00821650">
        <w:rPr>
          <w:rFonts w:ascii="Times New Roman" w:hAnsi="Times New Roman"/>
        </w:rPr>
        <w:t xml:space="preserve"> Regulatory Impact Analysis: Safer Communities by Chemical Accident Prevention: Final Rule, </w:t>
      </w:r>
      <w:r w:rsidRPr="00821650" w:rsidR="00B80A1D">
        <w:rPr>
          <w:rFonts w:ascii="Times New Roman" w:hAnsi="Times New Roman"/>
        </w:rPr>
        <w:t>Exhibit 3-13</w:t>
      </w:r>
      <w:r w:rsidRPr="00821650">
        <w:rPr>
          <w:rFonts w:ascii="Times New Roman" w:hAnsi="Times New Roman"/>
        </w:rPr>
        <w:t>. This document is available in the docket for this rulemaking (EPA-HQ-OLEM-2022-0174).</w:t>
      </w:r>
    </w:p>
  </w:footnote>
  <w:footnote w:id="18">
    <w:p w:rsidR="008B1355" w:rsidP="008B1355" w14:paraId="1FD241EA" w14:textId="77777777">
      <w:pPr>
        <w:pStyle w:val="FootnoteText"/>
      </w:pPr>
      <w:r w:rsidRPr="00BD130A">
        <w:rPr>
          <w:rStyle w:val="FootnoteReference"/>
          <w:rFonts w:ascii="Times New Roman" w:hAnsi="Times New Roman"/>
        </w:rPr>
        <w:footnoteRef/>
      </w:r>
      <w:r w:rsidRPr="00BD130A">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19">
    <w:p w:rsidR="00877E19" w:rsidRPr="00877E19" w:rsidP="00877E19" w14:paraId="7E86F37F" w14:textId="77777777">
      <w:pPr>
        <w:pStyle w:val="FootnoteText"/>
        <w:rPr>
          <w:rFonts w:ascii="Times New Roman" w:hAnsi="Times New Roman"/>
        </w:rPr>
      </w:pPr>
      <w:r w:rsidRPr="00877E19">
        <w:rPr>
          <w:rStyle w:val="FootnoteReference"/>
          <w:rFonts w:ascii="Times New Roman" w:hAnsi="Times New Roman"/>
        </w:rPr>
        <w:footnoteRef/>
      </w:r>
      <w:r w:rsidRPr="00877E19">
        <w:rPr>
          <w:rFonts w:ascii="Times New Roman" w:hAnsi="Times New Roman"/>
        </w:rPr>
        <w:t xml:space="preserve"> </w:t>
      </w:r>
      <w:r w:rsidRPr="00877E19">
        <w:rPr>
          <w:rFonts w:ascii="Times New Roman" w:hAnsi="Times New Roman"/>
          <w:bCs/>
        </w:rPr>
        <w:t>In the SCCAP proposal, EPA acknowledged the likelihood of late-reported accidents affecting the last few years of data. Based on its prior experience, EPA judged that there would be a slight increase in the number of accidents in the last few years of data.</w:t>
      </w:r>
    </w:p>
  </w:footnote>
  <w:footnote w:id="20">
    <w:p w:rsidR="00386F41" w:rsidRPr="0076074F" w:rsidP="00386F41" w14:paraId="38EDC6C2" w14:textId="77777777">
      <w:pPr>
        <w:pStyle w:val="FootnoteText"/>
        <w:rPr>
          <w:rFonts w:ascii="Times New Roman" w:hAnsi="Times New Roman"/>
        </w:rPr>
      </w:pPr>
      <w:r w:rsidRPr="0076074F">
        <w:rPr>
          <w:rStyle w:val="FootnoteReference"/>
          <w:rFonts w:ascii="Times New Roman" w:hAnsi="Times New Roman"/>
        </w:rPr>
        <w:footnoteRef/>
      </w:r>
      <w:r w:rsidRPr="0076074F">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21">
    <w:p w:rsidR="00ED42A0" w:rsidRPr="0025089B" w:rsidP="00ED42A0" w14:paraId="7DB8365B" w14:textId="77777777">
      <w:pPr>
        <w:pStyle w:val="FootnoteText"/>
        <w:rPr>
          <w:rFonts w:ascii="Times New Roman" w:hAnsi="Times New Roman"/>
          <w:i/>
          <w:iCs/>
        </w:rPr>
      </w:pPr>
      <w:r w:rsidRPr="0025089B">
        <w:rPr>
          <w:rStyle w:val="FootnoteReference"/>
          <w:rFonts w:ascii="Times New Roman" w:hAnsi="Times New Roman"/>
        </w:rPr>
        <w:footnoteRef/>
      </w:r>
      <w:r w:rsidRPr="0025089B">
        <w:rPr>
          <w:rFonts w:ascii="Times New Roman" w:hAnsi="Times New Roman"/>
        </w:rPr>
        <w:t xml:space="preserve"> The U.S. Chemical Safety Board’s TPC incident investigation report outlines the safety issues contributing to the incident, conclusions, recommendations, and key lessons for the industry. </w:t>
      </w:r>
      <w:r w:rsidRPr="0025089B">
        <w:rPr>
          <w:rFonts w:ascii="Times New Roman" w:hAnsi="Times New Roman"/>
          <w:i/>
          <w:iCs/>
        </w:rPr>
        <w:t>https://www.csb.gov/tpc-port-neches-explosions-and-fire/</w:t>
      </w:r>
    </w:p>
  </w:footnote>
  <w:footnote w:id="22">
    <w:p w:rsidR="00DF1546" w:rsidRPr="00DF1546" w:rsidP="00DF1546" w14:paraId="041E5B79" w14:textId="016858A1">
      <w:pPr>
        <w:pStyle w:val="FootnoteText"/>
        <w:rPr>
          <w:rFonts w:ascii="Times New Roman" w:hAnsi="Times New Roman"/>
        </w:rPr>
      </w:pPr>
      <w:r w:rsidRPr="00DF1546">
        <w:rPr>
          <w:rStyle w:val="FootnoteReference"/>
          <w:rFonts w:ascii="Times New Roman" w:hAnsi="Times New Roman"/>
        </w:rPr>
        <w:footnoteRef/>
      </w:r>
      <w:r w:rsidRPr="00DF1546">
        <w:rPr>
          <w:rFonts w:ascii="Times New Roman" w:hAnsi="Times New Roman"/>
        </w:rPr>
        <w:t xml:space="preserve"> Technical Background Document for Notice of Proposed Rulemaking: Risk Management Programs Under the Clean Air Act, Section 112(r)(7); Safer Communities by Chemical Accident Prevention (April 19, 2022).</w:t>
      </w:r>
    </w:p>
  </w:footnote>
  <w:footnote w:id="23">
    <w:p w:rsidR="00160273" w:rsidRPr="0098250B" w14:paraId="72B393A3" w14:textId="3EAA1C57">
      <w:pPr>
        <w:pStyle w:val="FootnoteText"/>
        <w:rPr>
          <w:rFonts w:ascii="Times New Roman" w:hAnsi="Times New Roman"/>
        </w:rPr>
      </w:pPr>
      <w:r w:rsidRPr="0098250B">
        <w:rPr>
          <w:rStyle w:val="FootnoteReference"/>
          <w:rFonts w:ascii="Times New Roman" w:hAnsi="Times New Roman"/>
        </w:rPr>
        <w:footnoteRef/>
      </w:r>
      <w:r w:rsidRPr="0098250B">
        <w:rPr>
          <w:rFonts w:ascii="Times New Roman" w:hAnsi="Times New Roman"/>
        </w:rPr>
        <w:t xml:space="preserve"> Because accident data are reported to the RMP database by facility owners and operators, EPA acknowledges the likelihood of late-reported accidents affecting the last few years of data because some facilities may have not reported their RMP accidents as they are required to do. See sections 3.2 and 3.3 of the RIA for more on this and other limitations on the number and costs of baseline accidents.</w:t>
      </w:r>
    </w:p>
  </w:footnote>
  <w:footnote w:id="24">
    <w:p w:rsidR="003A0851" w:rsidRPr="00FA76B1" w14:paraId="05144F5F" w14:textId="51264464">
      <w:pPr>
        <w:pStyle w:val="FootnoteText"/>
        <w:rPr>
          <w:rFonts w:ascii="Times New Roman" w:hAnsi="Times New Roman"/>
        </w:rPr>
      </w:pPr>
      <w:r>
        <w:rPr>
          <w:rStyle w:val="FootnoteReference"/>
        </w:rPr>
        <w:footnoteRef/>
      </w:r>
      <w:r>
        <w:t xml:space="preserve"> </w:t>
      </w:r>
      <w:r w:rsidRPr="00DF1546">
        <w:rPr>
          <w:rFonts w:ascii="Times New Roman" w:hAnsi="Times New Roman"/>
        </w:rPr>
        <w:t>Technical Background Document for Notice of Proposed Rulemaking: Risk Management Programs Under the Clean Air Act, Section 112(r)(7); Safer Communities by Chemical Accident Prevention (April 19, 2022).</w:t>
      </w:r>
    </w:p>
  </w:footnote>
  <w:footnote w:id="25">
    <w:p w:rsidR="00D43808" w:rsidP="00D43808" w14:paraId="39D0E37D" w14:textId="77777777">
      <w:pPr>
        <w:pStyle w:val="FootnoteText"/>
      </w:pPr>
      <w:r w:rsidRPr="00FA76B1">
        <w:rPr>
          <w:rStyle w:val="FootnoteReference"/>
          <w:rFonts w:ascii="Times New Roman" w:hAnsi="Times New Roman"/>
        </w:rPr>
        <w:footnoteRef/>
      </w:r>
      <w:r w:rsidRPr="00FA76B1">
        <w:rPr>
          <w:rFonts w:ascii="Times New Roman" w:hAnsi="Times New Roman"/>
        </w:rPr>
        <w:t xml:space="preserve"> </w:t>
      </w:r>
      <w:r w:rsidRPr="00FA76B1">
        <w:rPr>
          <w:rStyle w:val="cf01"/>
          <w:rFonts w:ascii="Times New Roman" w:hAnsi="Times New Roman" w:cs="Times New Roman"/>
          <w:sz w:val="20"/>
          <w:szCs w:val="20"/>
        </w:rPr>
        <w:t xml:space="preserve">Docket 0268 included language that was assumed to be a typo, based on the context of the rest of the comment. The commenter said "Such a small universe of accidents does justify EPA imposing the far-reaching proposed changes to evaluate undefined ‘external events’ in PHAs.” However, based on the context of the remainder of the comment it was assumed that the commenter meant "...does </w:t>
      </w:r>
      <w:r w:rsidRPr="00FA76B1">
        <w:rPr>
          <w:rStyle w:val="cf01"/>
          <w:rFonts w:ascii="Times New Roman" w:hAnsi="Times New Roman" w:cs="Times New Roman"/>
          <w:b/>
          <w:sz w:val="20"/>
          <w:szCs w:val="20"/>
        </w:rPr>
        <w:t>not</w:t>
      </w:r>
      <w:r w:rsidRPr="00FA76B1">
        <w:rPr>
          <w:rStyle w:val="cf01"/>
          <w:rFonts w:ascii="Times New Roman" w:hAnsi="Times New Roman" w:cs="Times New Roman"/>
          <w:sz w:val="20"/>
          <w:szCs w:val="20"/>
        </w:rPr>
        <w:t xml:space="preserve"> justify EPA…"</w:t>
      </w:r>
    </w:p>
  </w:footnote>
  <w:footnote w:id="26">
    <w:p w:rsidR="008C2DB8" w:rsidRPr="000733D6" w14:paraId="0A7D9EA3" w14:textId="37CF1D0D">
      <w:pPr>
        <w:pStyle w:val="FootnoteText"/>
        <w:rPr>
          <w:rFonts w:ascii="Times New Roman" w:hAnsi="Times New Roman"/>
        </w:rPr>
      </w:pPr>
      <w:r w:rsidRPr="000733D6">
        <w:rPr>
          <w:rStyle w:val="FootnoteReference"/>
          <w:rFonts w:ascii="Times New Roman" w:hAnsi="Times New Roman"/>
        </w:rPr>
        <w:footnoteRef/>
      </w:r>
      <w:r w:rsidRPr="000733D6">
        <w:rPr>
          <w:rFonts w:ascii="Times New Roman" w:hAnsi="Times New Roman"/>
        </w:rPr>
        <w:t xml:space="preserve"> </w:t>
      </w:r>
      <w:r w:rsidRPr="000733D6">
        <w:rPr>
          <w:rFonts w:ascii="Times New Roman" w:hAnsi="Times New Roman"/>
          <w:i/>
          <w:iCs/>
        </w:rPr>
        <w:t>https://hazards.fema.gov/nri/natural-hazards</w:t>
      </w:r>
    </w:p>
  </w:footnote>
  <w:footnote w:id="27">
    <w:p w:rsidR="008C2DB8" w:rsidRPr="000733D6" w14:paraId="0E85AD19" w14:textId="6183EDEC">
      <w:pPr>
        <w:pStyle w:val="FootnoteText"/>
        <w:rPr>
          <w:rFonts w:ascii="Times New Roman" w:hAnsi="Times New Roman"/>
        </w:rPr>
      </w:pPr>
      <w:r w:rsidRPr="000733D6">
        <w:rPr>
          <w:rStyle w:val="FootnoteReference"/>
          <w:rFonts w:ascii="Times New Roman" w:hAnsi="Times New Roman"/>
        </w:rPr>
        <w:footnoteRef/>
      </w:r>
      <w:r w:rsidRPr="000733D6">
        <w:rPr>
          <w:rFonts w:ascii="Times New Roman" w:hAnsi="Times New Roman"/>
        </w:rPr>
        <w:t xml:space="preserve"> </w:t>
      </w:r>
      <w:r w:rsidRPr="000733D6">
        <w:rPr>
          <w:rFonts w:ascii="Times New Roman" w:hAnsi="Times New Roman"/>
          <w:i/>
          <w:iCs/>
        </w:rPr>
        <w:t>https://www.fema.gov/sites/default/files/documents/fema_climate-essentials_072023.pdf</w:t>
      </w:r>
    </w:p>
  </w:footnote>
  <w:footnote w:id="28">
    <w:p w:rsidR="000C45B1" w:rsidRPr="000733D6" w14:paraId="4EEE3947" w14:textId="5CA60E48">
      <w:pPr>
        <w:pStyle w:val="FootnoteText"/>
        <w:rPr>
          <w:rFonts w:ascii="Times New Roman" w:hAnsi="Times New Roman"/>
        </w:rPr>
      </w:pPr>
      <w:r w:rsidRPr="000733D6">
        <w:rPr>
          <w:rStyle w:val="FootnoteReference"/>
          <w:rFonts w:ascii="Times New Roman" w:hAnsi="Times New Roman"/>
        </w:rPr>
        <w:footnoteRef/>
      </w:r>
      <w:r w:rsidRPr="000733D6">
        <w:rPr>
          <w:rFonts w:ascii="Times New Roman" w:hAnsi="Times New Roman"/>
        </w:rPr>
        <w:t xml:space="preserve"> </w:t>
      </w:r>
      <w:r w:rsidRPr="000733D6" w:rsidR="00F05F0E">
        <w:rPr>
          <w:rFonts w:ascii="Times New Roman" w:hAnsi="Times New Roman" w:eastAsiaTheme="minorHAnsi"/>
          <w14:ligatures w14:val="standardContextual"/>
        </w:rPr>
        <w:t xml:space="preserve">CCPS, </w:t>
      </w:r>
      <w:r w:rsidRPr="000733D6" w:rsidR="00F05F0E">
        <w:rPr>
          <w:rFonts w:ascii="Times New Roman" w:hAnsi="Times New Roman" w:eastAsiaTheme="minorHAnsi"/>
          <w:i/>
          <w:iCs/>
          <w14:ligatures w14:val="standardContextual"/>
        </w:rPr>
        <w:t xml:space="preserve">CCPS Monograph: Assessment of and Planning For Natural Hazards </w:t>
      </w:r>
      <w:r w:rsidRPr="000733D6" w:rsidR="00F05F0E">
        <w:rPr>
          <w:rFonts w:ascii="Times New Roman" w:hAnsi="Times New Roman" w:eastAsiaTheme="minorHAnsi"/>
          <w14:ligatures w14:val="standardContextual"/>
        </w:rPr>
        <w:t>(American Institute of Chemical Engineers, 2019</w:t>
      </w:r>
      <w:hyperlink r:id="rId3" w:history="1">
        <w:r w:rsidRPr="000733D6" w:rsidR="00F05F0E">
          <w:rPr>
            <w:rStyle w:val="Hyperlink"/>
            <w:rFonts w:ascii="Times New Roman" w:hAnsi="Times New Roman" w:eastAsiaTheme="minorHAnsi"/>
            <w14:ligatures w14:val="standardContextual"/>
          </w:rPr>
          <w:t>), h</w:t>
        </w:r>
        <w:r w:rsidRPr="000733D6" w:rsidR="00F05F0E">
          <w:rPr>
            <w:rStyle w:val="Hyperlink"/>
            <w:rFonts w:ascii="Times New Roman" w:hAnsi="Times New Roman" w:eastAsiaTheme="minorHAnsi"/>
            <w:iCs/>
            <w14:ligatures w14:val="standardContextual"/>
          </w:rPr>
          <w:t>ttps://</w:t>
        </w:r>
      </w:hyperlink>
      <w:r w:rsidRPr="000733D6" w:rsidR="00F05F0E">
        <w:rPr>
          <w:rFonts w:ascii="Times New Roman" w:hAnsi="Times New Roman" w:eastAsiaTheme="minorHAnsi"/>
          <w:i/>
          <w:iCs/>
          <w14:ligatures w14:val="standardContextual"/>
        </w:rPr>
        <w:t>www.aiche.org/sites/default/files/html/536181/NaturalDisaster-CCPSmonograph.html</w:t>
      </w:r>
    </w:p>
  </w:footnote>
  <w:footnote w:id="29">
    <w:p w:rsidR="00F05F0E" w:rsidRPr="000733D6" w14:paraId="28091151" w14:textId="646E7E54">
      <w:pPr>
        <w:pStyle w:val="FootnoteText"/>
        <w:rPr>
          <w:rFonts w:ascii="Times New Roman" w:hAnsi="Times New Roman"/>
        </w:rPr>
      </w:pPr>
      <w:r w:rsidRPr="000733D6">
        <w:rPr>
          <w:rStyle w:val="FootnoteReference"/>
          <w:rFonts w:ascii="Times New Roman" w:hAnsi="Times New Roman"/>
        </w:rPr>
        <w:footnoteRef/>
      </w:r>
      <w:r w:rsidRPr="000733D6">
        <w:rPr>
          <w:rFonts w:ascii="Times New Roman" w:hAnsi="Times New Roman"/>
        </w:rPr>
        <w:t xml:space="preserve"> </w:t>
      </w:r>
      <w:hyperlink r:id="rId4" w:history="1">
        <w:r w:rsidRPr="000733D6" w:rsidR="00CA7BF3">
          <w:rPr>
            <w:rStyle w:val="Hyperlink"/>
            <w:rFonts w:ascii="Times New Roman" w:hAnsi="Times New Roman"/>
          </w:rPr>
          <w:t>https://hazards.fema.gov/nri/natural-hazards</w:t>
        </w:r>
      </w:hyperlink>
    </w:p>
  </w:footnote>
  <w:footnote w:id="30">
    <w:p w:rsidR="00CA7BF3" w:rsidRPr="000733D6" w14:paraId="19F5E61B" w14:textId="175FFAEF">
      <w:pPr>
        <w:pStyle w:val="FootnoteText"/>
        <w:rPr>
          <w:rFonts w:ascii="Times New Roman" w:hAnsi="Times New Roman"/>
        </w:rPr>
      </w:pPr>
      <w:r w:rsidRPr="000733D6">
        <w:rPr>
          <w:rStyle w:val="FootnoteReference"/>
          <w:rFonts w:ascii="Times New Roman" w:hAnsi="Times New Roman"/>
        </w:rPr>
        <w:footnoteRef/>
      </w:r>
      <w:r w:rsidRPr="000733D6">
        <w:rPr>
          <w:rFonts w:ascii="Times New Roman" w:hAnsi="Times New Roman"/>
        </w:rPr>
        <w:t xml:space="preserve"> </w:t>
      </w:r>
      <w:hyperlink r:id="rId5" w:history="1">
        <w:r w:rsidRPr="000733D6" w:rsidR="009C248B">
          <w:rPr>
            <w:rStyle w:val="Hyperlink"/>
            <w:rFonts w:ascii="Times New Roman" w:hAnsi="Times New Roman"/>
          </w:rPr>
          <w:t>https://disgeoportal.egs.anl.gov/ClimRR/</w:t>
        </w:r>
      </w:hyperlink>
    </w:p>
  </w:footnote>
  <w:footnote w:id="31">
    <w:p w:rsidR="009C248B" w14:paraId="4C33CDD9" w14:textId="488B652E">
      <w:pPr>
        <w:pStyle w:val="FootnoteText"/>
      </w:pPr>
      <w:r w:rsidRPr="000733D6">
        <w:rPr>
          <w:rStyle w:val="FootnoteReference"/>
          <w:rFonts w:ascii="Times New Roman" w:hAnsi="Times New Roman"/>
        </w:rPr>
        <w:footnoteRef/>
      </w:r>
      <w:r w:rsidRPr="000733D6">
        <w:rPr>
          <w:rFonts w:ascii="Times New Roman" w:hAnsi="Times New Roman"/>
        </w:rPr>
        <w:t xml:space="preserve"> </w:t>
      </w:r>
      <w:hyperlink r:id="rId6" w:history="1">
        <w:r w:rsidRPr="000733D6" w:rsidR="00EA0CD0">
          <w:rPr>
            <w:rStyle w:val="Hyperlink"/>
            <w:rFonts w:ascii="Times New Roman" w:hAnsi="Times New Roman"/>
          </w:rPr>
          <w:t>https://resilience.climate.gov/</w:t>
        </w:r>
      </w:hyperlink>
    </w:p>
  </w:footnote>
  <w:footnote w:id="32">
    <w:p w:rsidR="00B32A2A" w:rsidRPr="00C76FB6" w:rsidP="00B32A2A" w14:paraId="61AF330A" w14:textId="77777777">
      <w:pPr>
        <w:pStyle w:val="FootnoteText"/>
      </w:pPr>
      <w:r w:rsidRPr="00C76FB6">
        <w:rPr>
          <w:rStyle w:val="FootnoteReference"/>
        </w:rPr>
        <w:footnoteRef/>
      </w:r>
      <w:r w:rsidRPr="00C76FB6">
        <w:t xml:space="preserve"> </w:t>
      </w:r>
      <w:hyperlink r:id="rId4" w:history="1">
        <w:r w:rsidRPr="00C76FB6">
          <w:rPr>
            <w:rStyle w:val="Hyperlink"/>
          </w:rPr>
          <w:t>https://hazards.fema.gov/nri/natural-hazards</w:t>
        </w:r>
      </w:hyperlink>
      <w:r w:rsidRPr="00C76FB6">
        <w:t xml:space="preserve"> </w:t>
      </w:r>
    </w:p>
  </w:footnote>
  <w:footnote w:id="33">
    <w:p w:rsidR="00B32A2A" w:rsidRPr="00C76FB6" w:rsidP="00B32A2A" w14:paraId="1945F35B" w14:textId="77777777">
      <w:pPr>
        <w:pStyle w:val="FootnoteText"/>
      </w:pPr>
      <w:r w:rsidRPr="00C76FB6">
        <w:rPr>
          <w:rStyle w:val="FootnoteReference"/>
        </w:rPr>
        <w:footnoteRef/>
      </w:r>
      <w:r w:rsidRPr="00C76FB6">
        <w:t xml:space="preserve"> </w:t>
      </w:r>
      <w:hyperlink r:id="rId7" w:history="1">
        <w:r w:rsidRPr="00C76FB6">
          <w:rPr>
            <w:rStyle w:val="Hyperlink"/>
          </w:rPr>
          <w:t>https://www.fema.gov/sites/default/files/documents/fema_climate-essentials_072023.pdf</w:t>
        </w:r>
      </w:hyperlink>
      <w:r w:rsidRPr="00C76FB6">
        <w:t xml:space="preserve"> </w:t>
      </w:r>
    </w:p>
  </w:footnote>
  <w:footnote w:id="34">
    <w:p w:rsidR="00500D26" w:rsidP="00500D26" w14:paraId="204955ED" w14:textId="71F976CF">
      <w:pPr>
        <w:pStyle w:val="FootnoteText"/>
      </w:pPr>
      <w:r>
        <w:rPr>
          <w:rStyle w:val="FootnoteReference"/>
        </w:rPr>
        <w:footnoteRef/>
      </w:r>
      <w:r>
        <w:t xml:space="preserve"> </w:t>
      </w:r>
      <w:r w:rsidRPr="00500D26">
        <w:rPr>
          <w:rFonts w:ascii="Times New Roman" w:hAnsi="Times New Roman"/>
        </w:rPr>
        <w:t>Technical Background Document for Notice of Proposed Rulemaking: Risk Management Programs Under the Clean Air Act, Section 112(r)(7); Safer Communities by Chemical Accident Prevention (April 19, 2022); 87 FR 53568</w:t>
      </w:r>
      <w:r>
        <w:t>.</w:t>
      </w:r>
    </w:p>
  </w:footnote>
  <w:footnote w:id="35">
    <w:p w:rsidR="00341BC2" w:rsidRPr="00540155" w:rsidP="00341BC2" w14:paraId="13880E33" w14:textId="77777777">
      <w:pPr>
        <w:pStyle w:val="FootnoteText"/>
        <w:rPr>
          <w:rFonts w:ascii="Times New Roman" w:hAnsi="Times New Roman"/>
        </w:rPr>
      </w:pPr>
      <w:r w:rsidRPr="00540155">
        <w:rPr>
          <w:rStyle w:val="FootnoteReference"/>
          <w:rFonts w:ascii="Times New Roman" w:hAnsi="Times New Roman"/>
        </w:rPr>
        <w:footnoteRef/>
      </w:r>
      <w:r w:rsidRPr="00540155">
        <w:rPr>
          <w:rFonts w:ascii="Times New Roman" w:hAnsi="Times New Roman"/>
        </w:rPr>
        <w:t xml:space="preserve"> </w:t>
      </w:r>
      <w:hyperlink r:id="rId4" w:history="1">
        <w:r w:rsidRPr="00570C93">
          <w:rPr>
            <w:rStyle w:val="Hyperlink"/>
            <w:rFonts w:ascii="Times New Roman" w:hAnsi="Times New Roman"/>
            <w:i/>
            <w:iCs/>
            <w:u w:val="none"/>
          </w:rPr>
          <w:t>https://hazards.fema.gov/nri/natural-hazards</w:t>
        </w:r>
      </w:hyperlink>
      <w:r w:rsidRPr="00540155">
        <w:rPr>
          <w:rFonts w:ascii="Times New Roman" w:hAnsi="Times New Roman"/>
        </w:rPr>
        <w:t xml:space="preserve"> </w:t>
      </w:r>
    </w:p>
  </w:footnote>
  <w:footnote w:id="36">
    <w:p w:rsidR="00341BC2" w:rsidRPr="00570C93" w:rsidP="00341BC2" w14:paraId="6595660F" w14:textId="77777777">
      <w:pPr>
        <w:pStyle w:val="FootnoteText"/>
        <w:rPr>
          <w:rFonts w:ascii="Times New Roman" w:hAnsi="Times New Roman"/>
          <w:i/>
          <w:iCs/>
        </w:rPr>
      </w:pPr>
      <w:r w:rsidRPr="00540155">
        <w:rPr>
          <w:rStyle w:val="FootnoteReference"/>
          <w:rFonts w:ascii="Times New Roman" w:hAnsi="Times New Roman"/>
        </w:rPr>
        <w:footnoteRef/>
      </w:r>
      <w:r w:rsidRPr="00540155">
        <w:rPr>
          <w:rFonts w:ascii="Times New Roman" w:hAnsi="Times New Roman"/>
        </w:rPr>
        <w:t xml:space="preserve"> </w:t>
      </w:r>
      <w:hyperlink r:id="rId7" w:history="1">
        <w:r w:rsidRPr="00570C93">
          <w:rPr>
            <w:rStyle w:val="Hyperlink"/>
            <w:rFonts w:ascii="Times New Roman" w:hAnsi="Times New Roman"/>
            <w:i/>
            <w:iCs/>
          </w:rPr>
          <w:t>https://www.fema.gov/sites/default/files/documents/fema_climate-essentials_072023.pdf</w:t>
        </w:r>
      </w:hyperlink>
      <w:r w:rsidRPr="00570C93">
        <w:rPr>
          <w:rFonts w:ascii="Times New Roman" w:hAnsi="Times New Roman"/>
          <w:i/>
          <w:iCs/>
        </w:rPr>
        <w:t xml:space="preserve"> </w:t>
      </w:r>
    </w:p>
  </w:footnote>
  <w:footnote w:id="37">
    <w:p w:rsidR="00341BC2" w:rsidRPr="00C76FB6" w:rsidP="00341BC2" w14:paraId="2F793BBF" w14:textId="77777777">
      <w:pPr>
        <w:autoSpaceDE w:val="0"/>
        <w:autoSpaceDN w:val="0"/>
        <w:adjustRightInd w:val="0"/>
        <w:rPr>
          <w:sz w:val="20"/>
        </w:rPr>
      </w:pPr>
      <w:r w:rsidRPr="00540155">
        <w:rPr>
          <w:rStyle w:val="FootnoteReference"/>
          <w:rFonts w:ascii="Times New Roman" w:hAnsi="Times New Roman"/>
          <w:sz w:val="20"/>
          <w:szCs w:val="20"/>
        </w:rPr>
        <w:footnoteRef/>
      </w:r>
      <w:r w:rsidRPr="00540155">
        <w:rPr>
          <w:rFonts w:ascii="Times New Roman" w:hAnsi="Times New Roman"/>
          <w:sz w:val="20"/>
          <w:szCs w:val="20"/>
        </w:rPr>
        <w:t xml:space="preserve"> </w:t>
      </w:r>
      <w:r w:rsidRPr="00540155">
        <w:rPr>
          <w:rFonts w:ascii="Times New Roman" w:hAnsi="Times New Roman" w:eastAsiaTheme="minorHAnsi"/>
          <w:sz w:val="20"/>
          <w:szCs w:val="20"/>
          <w14:ligatures w14:val="standardContextual"/>
        </w:rPr>
        <w:t xml:space="preserve">CCPS, </w:t>
      </w:r>
      <w:r w:rsidRPr="00540155">
        <w:rPr>
          <w:rFonts w:ascii="Times New Roman" w:hAnsi="Times New Roman" w:eastAsiaTheme="minorHAnsi"/>
          <w:i/>
          <w:iCs/>
          <w:sz w:val="20"/>
          <w:szCs w:val="20"/>
          <w14:ligatures w14:val="standardContextual"/>
        </w:rPr>
        <w:t xml:space="preserve">CCPS Monograph: Assessment of and Planning For Natural Hazards </w:t>
      </w:r>
      <w:r w:rsidRPr="00540155">
        <w:rPr>
          <w:rFonts w:ascii="Times New Roman" w:hAnsi="Times New Roman" w:eastAsiaTheme="minorHAnsi"/>
          <w:sz w:val="20"/>
          <w:szCs w:val="20"/>
          <w14:ligatures w14:val="standardContextual"/>
        </w:rPr>
        <w:t>(American Institute of Chemical Engineers, 2019</w:t>
      </w:r>
      <w:hyperlink r:id="rId3" w:history="1">
        <w:r w:rsidRPr="00540155">
          <w:rPr>
            <w:rStyle w:val="Hyperlink"/>
            <w:rFonts w:ascii="Times New Roman" w:hAnsi="Times New Roman" w:eastAsiaTheme="minorHAnsi"/>
            <w:sz w:val="20"/>
            <w:szCs w:val="20"/>
            <w14:ligatures w14:val="standardContextual"/>
          </w:rPr>
          <w:t>), h</w:t>
        </w:r>
        <w:r w:rsidRPr="00540155">
          <w:rPr>
            <w:rStyle w:val="Hyperlink"/>
            <w:rFonts w:ascii="Times New Roman" w:hAnsi="Times New Roman" w:eastAsiaTheme="minorHAnsi"/>
            <w:iCs/>
            <w:sz w:val="20"/>
            <w:szCs w:val="20"/>
            <w14:ligatures w14:val="standardContextual"/>
          </w:rPr>
          <w:t>ttps://</w:t>
        </w:r>
      </w:hyperlink>
      <w:r w:rsidRPr="00540155">
        <w:rPr>
          <w:rFonts w:ascii="Times New Roman" w:hAnsi="Times New Roman" w:eastAsiaTheme="minorHAnsi"/>
          <w:i/>
          <w:iCs/>
          <w:sz w:val="20"/>
          <w:szCs w:val="20"/>
          <w14:ligatures w14:val="standardContextual"/>
        </w:rPr>
        <w:t>www.aiche.org/sites/default/files/html/536181/NaturalDisaster-CCPSmonograph.html.</w:t>
      </w:r>
    </w:p>
  </w:footnote>
  <w:footnote w:id="38">
    <w:p w:rsidR="00540155" w:rsidRPr="00540155" w:rsidP="00540155" w14:paraId="210DEB82" w14:textId="77777777">
      <w:pPr>
        <w:pStyle w:val="FootnoteText"/>
        <w:rPr>
          <w:rFonts w:ascii="Times New Roman" w:hAnsi="Times New Roman"/>
        </w:rPr>
      </w:pPr>
      <w:r w:rsidRPr="00540155">
        <w:rPr>
          <w:rStyle w:val="FootnoteReference"/>
          <w:rFonts w:ascii="Times New Roman" w:hAnsi="Times New Roman"/>
        </w:rPr>
        <w:footnoteRef/>
      </w:r>
      <w:r w:rsidRPr="00540155">
        <w:rPr>
          <w:rFonts w:ascii="Times New Roman" w:hAnsi="Times New Roman"/>
        </w:rPr>
        <w:t xml:space="preserve"> </w:t>
      </w:r>
      <w:hyperlink r:id="rId4" w:history="1">
        <w:r w:rsidRPr="000733D6">
          <w:rPr>
            <w:rStyle w:val="Hyperlink"/>
            <w:rFonts w:ascii="Times New Roman" w:hAnsi="Times New Roman"/>
            <w:i/>
            <w:iCs/>
          </w:rPr>
          <w:t>https://hazards.fema.gov/nri/natural-hazards</w:t>
        </w:r>
      </w:hyperlink>
      <w:r w:rsidRPr="00540155">
        <w:rPr>
          <w:rFonts w:ascii="Times New Roman" w:hAnsi="Times New Roman"/>
        </w:rPr>
        <w:t xml:space="preserve"> </w:t>
      </w:r>
    </w:p>
  </w:footnote>
  <w:footnote w:id="39">
    <w:p w:rsidR="00540155" w:rsidRPr="00540155" w:rsidP="00540155" w14:paraId="2E10ADD9" w14:textId="77777777">
      <w:pPr>
        <w:pStyle w:val="FootnoteText"/>
        <w:rPr>
          <w:rFonts w:ascii="Times New Roman" w:hAnsi="Times New Roman"/>
        </w:rPr>
      </w:pPr>
      <w:r w:rsidRPr="00540155">
        <w:rPr>
          <w:rStyle w:val="FootnoteReference"/>
          <w:rFonts w:ascii="Times New Roman" w:hAnsi="Times New Roman"/>
        </w:rPr>
        <w:footnoteRef/>
      </w:r>
      <w:r w:rsidRPr="00540155">
        <w:rPr>
          <w:rFonts w:ascii="Times New Roman" w:hAnsi="Times New Roman"/>
        </w:rPr>
        <w:t xml:space="preserve"> </w:t>
      </w:r>
      <w:hyperlink r:id="rId5" w:history="1">
        <w:r w:rsidRPr="000733D6">
          <w:rPr>
            <w:rStyle w:val="Hyperlink"/>
            <w:rFonts w:ascii="Times New Roman" w:hAnsi="Times New Roman"/>
            <w:i/>
            <w:iCs/>
          </w:rPr>
          <w:t>https://disgeoportal.egs.anl.gov/ClimRR/</w:t>
        </w:r>
      </w:hyperlink>
      <w:r w:rsidRPr="00540155">
        <w:rPr>
          <w:rFonts w:ascii="Times New Roman" w:hAnsi="Times New Roman"/>
        </w:rPr>
        <w:t xml:space="preserve"> </w:t>
      </w:r>
    </w:p>
  </w:footnote>
  <w:footnote w:id="40">
    <w:p w:rsidR="00540155" w:rsidP="00540155" w14:paraId="50EA2C95" w14:textId="77777777">
      <w:pPr>
        <w:pStyle w:val="FootnoteText"/>
      </w:pPr>
      <w:r w:rsidRPr="00540155">
        <w:rPr>
          <w:rStyle w:val="FootnoteReference"/>
          <w:rFonts w:ascii="Times New Roman" w:hAnsi="Times New Roman"/>
        </w:rPr>
        <w:footnoteRef/>
      </w:r>
      <w:r w:rsidRPr="00540155">
        <w:rPr>
          <w:rFonts w:ascii="Times New Roman" w:hAnsi="Times New Roman"/>
        </w:rPr>
        <w:t xml:space="preserve"> </w:t>
      </w:r>
      <w:hyperlink r:id="rId6" w:history="1">
        <w:r w:rsidRPr="000733D6">
          <w:rPr>
            <w:rStyle w:val="Hyperlink"/>
            <w:rFonts w:ascii="Times New Roman" w:hAnsi="Times New Roman"/>
            <w:i/>
            <w:iCs/>
          </w:rPr>
          <w:t>https://resilience.climate.gov/</w:t>
        </w:r>
      </w:hyperlink>
      <w:r>
        <w:t xml:space="preserve"> </w:t>
      </w:r>
    </w:p>
  </w:footnote>
  <w:footnote w:id="41">
    <w:p w:rsidR="00FA61EE" w:rsidRPr="00872C27" w:rsidP="00FA61EE" w14:paraId="59CA99E3" w14:textId="77777777">
      <w:pPr>
        <w:pStyle w:val="FootnoteText"/>
        <w:rPr>
          <w:rFonts w:ascii="Times New Roman" w:hAnsi="Times New Roman"/>
        </w:rPr>
      </w:pPr>
      <w:r w:rsidRPr="00872C27">
        <w:rPr>
          <w:rStyle w:val="FootnoteReference"/>
          <w:rFonts w:ascii="Times New Roman" w:hAnsi="Times New Roman"/>
        </w:rPr>
        <w:footnoteRef/>
      </w:r>
      <w:r w:rsidRPr="00872C27">
        <w:rPr>
          <w:rFonts w:ascii="Times New Roman" w:hAnsi="Times New Roman"/>
        </w:rPr>
        <w:t xml:space="preserve"> </w:t>
      </w:r>
      <w:r w:rsidRPr="00872C27">
        <w:rPr>
          <w:rFonts w:ascii="Times New Roman" w:hAnsi="Times New Roman"/>
          <w:i/>
          <w:iCs/>
        </w:rPr>
        <w:t>https://hazards.fema.gov/nri/natural-hazards</w:t>
      </w:r>
    </w:p>
  </w:footnote>
  <w:footnote w:id="42">
    <w:p w:rsidR="00FA61EE" w:rsidP="00FA61EE" w14:paraId="4C7E6DC2" w14:textId="77777777">
      <w:pPr>
        <w:pStyle w:val="FootnoteText"/>
      </w:pPr>
      <w:r w:rsidRPr="00872C27">
        <w:rPr>
          <w:rStyle w:val="FootnoteReference"/>
          <w:rFonts w:ascii="Times New Roman" w:hAnsi="Times New Roman"/>
        </w:rPr>
        <w:footnoteRef/>
      </w:r>
      <w:r w:rsidRPr="00872C27">
        <w:rPr>
          <w:rFonts w:ascii="Times New Roman" w:hAnsi="Times New Roman"/>
        </w:rPr>
        <w:t xml:space="preserve"> </w:t>
      </w:r>
      <w:r w:rsidRPr="00872C27">
        <w:rPr>
          <w:rFonts w:ascii="Times New Roman" w:hAnsi="Times New Roman"/>
          <w:i/>
          <w:iCs/>
        </w:rPr>
        <w:t>https://www.fema.gov/sites/default/files/documents/fema_climate-essentials_072023.pdf</w:t>
      </w:r>
    </w:p>
  </w:footnote>
  <w:footnote w:id="43">
    <w:p w:rsidR="00FA61EE" w:rsidRPr="00FE5769" w:rsidP="00FA61EE" w14:paraId="29459294" w14:textId="77777777">
      <w:pPr>
        <w:pStyle w:val="FootnoteText"/>
        <w:rPr>
          <w:rFonts w:ascii="Times New Roman" w:hAnsi="Times New Roman"/>
        </w:rPr>
      </w:pPr>
      <w:r w:rsidRPr="00FE5769">
        <w:rPr>
          <w:rStyle w:val="FootnoteReference"/>
          <w:rFonts w:ascii="Times New Roman" w:hAnsi="Times New Roman"/>
        </w:rPr>
        <w:footnoteRef/>
      </w:r>
      <w:r w:rsidRPr="00FE5769">
        <w:rPr>
          <w:rFonts w:ascii="Times New Roman" w:hAnsi="Times New Roman"/>
        </w:rPr>
        <w:t xml:space="preserve"> </w:t>
      </w:r>
      <w:r w:rsidRPr="00FE5769">
        <w:rPr>
          <w:rFonts w:ascii="Times New Roman" w:hAnsi="Times New Roman" w:eastAsiaTheme="minorHAnsi"/>
          <w14:ligatures w14:val="standardContextual"/>
        </w:rPr>
        <w:t xml:space="preserve">CCPS, </w:t>
      </w:r>
      <w:r w:rsidRPr="00FE5769">
        <w:rPr>
          <w:rFonts w:ascii="Times New Roman" w:hAnsi="Times New Roman" w:eastAsiaTheme="minorHAnsi"/>
          <w:i/>
          <w:iCs/>
          <w14:ligatures w14:val="standardContextual"/>
        </w:rPr>
        <w:t xml:space="preserve">CCPS Monograph: Assessment of and Planning For Natural Hazards </w:t>
      </w:r>
      <w:r w:rsidRPr="00FE5769">
        <w:rPr>
          <w:rFonts w:ascii="Times New Roman" w:hAnsi="Times New Roman" w:eastAsiaTheme="minorHAnsi"/>
          <w14:ligatures w14:val="standardContextual"/>
        </w:rPr>
        <w:t>(American Institute of Chemical Engineers, 2019</w:t>
      </w:r>
      <w:hyperlink r:id="rId3" w:history="1">
        <w:r w:rsidRPr="00FE5769">
          <w:rPr>
            <w:rStyle w:val="Hyperlink"/>
            <w:rFonts w:ascii="Times New Roman" w:hAnsi="Times New Roman" w:eastAsiaTheme="minorHAnsi"/>
            <w14:ligatures w14:val="standardContextual"/>
          </w:rPr>
          <w:t>), h</w:t>
        </w:r>
        <w:r w:rsidRPr="00FE5769">
          <w:rPr>
            <w:rStyle w:val="Hyperlink"/>
            <w:rFonts w:ascii="Times New Roman" w:hAnsi="Times New Roman" w:eastAsiaTheme="minorHAnsi"/>
            <w:iCs/>
            <w14:ligatures w14:val="standardContextual"/>
          </w:rPr>
          <w:t>ttps://</w:t>
        </w:r>
      </w:hyperlink>
      <w:r w:rsidRPr="00FE5769">
        <w:rPr>
          <w:rFonts w:ascii="Times New Roman" w:hAnsi="Times New Roman" w:eastAsiaTheme="minorHAnsi"/>
          <w:i/>
          <w:iCs/>
          <w14:ligatures w14:val="standardContextual"/>
        </w:rPr>
        <w:t>www.aiche.org/sites/default/files/html/536181/NaturalDisaster-CCPSmonograph.html</w:t>
      </w:r>
    </w:p>
  </w:footnote>
  <w:footnote w:id="44">
    <w:p w:rsidR="00FA61EE" w:rsidRPr="00FE5769" w:rsidP="00FA61EE" w14:paraId="6D150F34" w14:textId="77777777">
      <w:pPr>
        <w:pStyle w:val="FootnoteText"/>
        <w:rPr>
          <w:rFonts w:ascii="Times New Roman" w:hAnsi="Times New Roman"/>
        </w:rPr>
      </w:pPr>
      <w:r w:rsidRPr="00FE5769">
        <w:rPr>
          <w:rStyle w:val="FootnoteReference"/>
          <w:rFonts w:ascii="Times New Roman" w:hAnsi="Times New Roman"/>
        </w:rPr>
        <w:footnoteRef/>
      </w:r>
      <w:r w:rsidRPr="00FE5769">
        <w:rPr>
          <w:rFonts w:ascii="Times New Roman" w:hAnsi="Times New Roman"/>
        </w:rPr>
        <w:t xml:space="preserve"> </w:t>
      </w:r>
      <w:hyperlink r:id="rId4" w:history="1">
        <w:r w:rsidRPr="00FE5769">
          <w:rPr>
            <w:rStyle w:val="Hyperlink"/>
            <w:rFonts w:ascii="Times New Roman" w:hAnsi="Times New Roman"/>
            <w:i/>
            <w:iCs/>
          </w:rPr>
          <w:t>https://hazards.fema.gov/nri/natural-hazards</w:t>
        </w:r>
      </w:hyperlink>
    </w:p>
  </w:footnote>
  <w:footnote w:id="45">
    <w:p w:rsidR="00FA61EE" w:rsidRPr="00FE5769" w:rsidP="00FA61EE" w14:paraId="5BF53D1E" w14:textId="77777777">
      <w:pPr>
        <w:pStyle w:val="FootnoteText"/>
        <w:rPr>
          <w:rFonts w:ascii="Times New Roman" w:hAnsi="Times New Roman"/>
          <w:i/>
          <w:iCs/>
        </w:rPr>
      </w:pPr>
      <w:r w:rsidRPr="00FE5769">
        <w:rPr>
          <w:rStyle w:val="FootnoteReference"/>
          <w:rFonts w:ascii="Times New Roman" w:hAnsi="Times New Roman"/>
        </w:rPr>
        <w:footnoteRef/>
      </w:r>
      <w:r w:rsidRPr="00FE5769">
        <w:rPr>
          <w:rFonts w:ascii="Times New Roman" w:hAnsi="Times New Roman"/>
        </w:rPr>
        <w:t xml:space="preserve"> </w:t>
      </w:r>
      <w:hyperlink r:id="rId5" w:history="1">
        <w:r w:rsidRPr="00FE5769">
          <w:rPr>
            <w:rStyle w:val="Hyperlink"/>
            <w:rFonts w:ascii="Times New Roman" w:hAnsi="Times New Roman"/>
            <w:i/>
            <w:iCs/>
          </w:rPr>
          <w:t>https://disgeoportal.egs.anl.gov/ClimRR/</w:t>
        </w:r>
      </w:hyperlink>
    </w:p>
  </w:footnote>
  <w:footnote w:id="46">
    <w:p w:rsidR="00FA61EE" w:rsidP="00FA61EE" w14:paraId="6A369238" w14:textId="77777777">
      <w:pPr>
        <w:pStyle w:val="FootnoteText"/>
      </w:pPr>
      <w:r w:rsidRPr="00FE5769">
        <w:rPr>
          <w:rStyle w:val="FootnoteReference"/>
          <w:rFonts w:ascii="Times New Roman" w:hAnsi="Times New Roman"/>
        </w:rPr>
        <w:footnoteRef/>
      </w:r>
      <w:r w:rsidRPr="00FE5769">
        <w:rPr>
          <w:rFonts w:ascii="Times New Roman" w:hAnsi="Times New Roman"/>
        </w:rPr>
        <w:t xml:space="preserve"> </w:t>
      </w:r>
      <w:hyperlink r:id="rId6" w:history="1">
        <w:r w:rsidRPr="00FE5769">
          <w:rPr>
            <w:rStyle w:val="Hyperlink"/>
            <w:rFonts w:ascii="Times New Roman" w:hAnsi="Times New Roman"/>
            <w:i/>
            <w:iCs/>
          </w:rPr>
          <w:t>https://resilience.climate.gov/</w:t>
        </w:r>
      </w:hyperlink>
    </w:p>
  </w:footnote>
  <w:footnote w:id="47">
    <w:p w:rsidR="00C7654B" w:rsidRPr="0037416C" w:rsidP="00C7654B" w14:paraId="23DD1279" w14:textId="77777777">
      <w:pPr>
        <w:pStyle w:val="FootnoteText"/>
        <w:rPr>
          <w:rFonts w:ascii="Times New Roman" w:hAnsi="Times New Roman"/>
        </w:rPr>
      </w:pPr>
      <w:r w:rsidRPr="0037416C">
        <w:rPr>
          <w:rStyle w:val="FootnoteReference"/>
          <w:rFonts w:ascii="Times New Roman" w:hAnsi="Times New Roman"/>
        </w:rPr>
        <w:footnoteRef/>
      </w:r>
      <w:r w:rsidRPr="0037416C">
        <w:rPr>
          <w:rFonts w:ascii="Times New Roman" w:hAnsi="Times New Roman"/>
        </w:rPr>
        <w:t xml:space="preserve"> David Flores, et al., Preventing ‘‘Double Disasters’’ (2021</w:t>
      </w:r>
      <w:hyperlink r:id="rId3" w:history="1">
        <w:r w:rsidRPr="0037416C">
          <w:rPr>
            <w:rStyle w:val="Hyperlink"/>
            <w:rFonts w:ascii="Times New Roman" w:hAnsi="Times New Roman"/>
          </w:rPr>
          <w:t>),</w:t>
        </w:r>
        <w:r w:rsidRPr="0037416C">
          <w:rPr>
            <w:rStyle w:val="Hyperlink"/>
            <w:rFonts w:ascii="Times New Roman" w:hAnsi="Times New Roman"/>
            <w:i/>
            <w:iCs/>
          </w:rPr>
          <w:t xml:space="preserve"> https://</w:t>
        </w:r>
      </w:hyperlink>
      <w:r w:rsidRPr="0037416C">
        <w:rPr>
          <w:rFonts w:ascii="Times New Roman" w:hAnsi="Times New Roman"/>
          <w:i/>
          <w:iCs/>
        </w:rPr>
        <w:t>www.ucsusa.org/sites/default/files/2021-07/preventing-double-disasters%20FINAL.pdf.</w:t>
      </w:r>
    </w:p>
  </w:footnote>
  <w:footnote w:id="48">
    <w:p w:rsidR="00C7654B" w:rsidRPr="0037416C" w:rsidP="00C7654B" w14:paraId="731A7622" w14:textId="77777777">
      <w:pPr>
        <w:pStyle w:val="FootnoteText"/>
        <w:rPr>
          <w:rFonts w:ascii="Times New Roman" w:hAnsi="Times New Roman"/>
        </w:rPr>
      </w:pPr>
      <w:r w:rsidRPr="0037416C">
        <w:rPr>
          <w:rStyle w:val="FootnoteReference"/>
          <w:rFonts w:ascii="Times New Roman" w:hAnsi="Times New Roman"/>
        </w:rPr>
        <w:footnoteRef/>
      </w:r>
      <w:r w:rsidRPr="0037416C">
        <w:rPr>
          <w:rFonts w:ascii="Times New Roman" w:hAnsi="Times New Roman"/>
        </w:rPr>
        <w:t xml:space="preserve"> U.S. Government Accountability Office, Chemical Accident Prevention: EPA Should Ensure Regulated Facilities Consider Risks from Climate Change (2022), </w:t>
      </w:r>
      <w:hyperlink r:id="rId8" w:history="1">
        <w:r w:rsidRPr="0037416C">
          <w:rPr>
            <w:rStyle w:val="Hyperlink"/>
            <w:rFonts w:ascii="Times New Roman" w:hAnsi="Times New Roman"/>
            <w:i/>
            <w:iCs/>
          </w:rPr>
          <w:t>https://www.gao.gov/assets/gao-22-104494.pdf</w:t>
        </w:r>
      </w:hyperlink>
    </w:p>
  </w:footnote>
  <w:footnote w:id="49">
    <w:p w:rsidR="00C7654B" w:rsidRPr="0037416C" w:rsidP="00C7654B" w14:paraId="5932EFCF" w14:textId="77777777">
      <w:pPr>
        <w:pStyle w:val="FootnoteText"/>
        <w:rPr>
          <w:rFonts w:ascii="Times New Roman" w:hAnsi="Times New Roman"/>
        </w:rPr>
      </w:pPr>
      <w:r w:rsidRPr="0037416C">
        <w:rPr>
          <w:rStyle w:val="FootnoteReference"/>
          <w:rFonts w:ascii="Times New Roman" w:hAnsi="Times New Roman"/>
        </w:rPr>
        <w:footnoteRef/>
      </w:r>
      <w:r w:rsidRPr="0037416C">
        <w:rPr>
          <w:rFonts w:ascii="Times New Roman" w:hAnsi="Times New Roman"/>
        </w:rPr>
        <w:t xml:space="preserve"> </w:t>
      </w:r>
      <w:hyperlink r:id="rId9" w:history="1">
        <w:r w:rsidRPr="0037416C">
          <w:rPr>
            <w:rStyle w:val="Hyperlink"/>
            <w:rFonts w:ascii="Times New Roman" w:hAnsi="Times New Roman"/>
            <w:i/>
            <w:iCs/>
          </w:rPr>
          <w:t>https://hazards.fema.gov/nri/</w:t>
        </w:r>
      </w:hyperlink>
      <w:r w:rsidRPr="0037416C">
        <w:rPr>
          <w:rFonts w:ascii="Times New Roman" w:hAnsi="Times New Roman"/>
        </w:rPr>
        <w:t xml:space="preserve"> </w:t>
      </w:r>
    </w:p>
  </w:footnote>
  <w:footnote w:id="50">
    <w:p w:rsidR="00C7654B" w:rsidRPr="00C76FB6" w:rsidP="00C7654B" w14:paraId="1226C2FA" w14:textId="77777777">
      <w:pPr>
        <w:pStyle w:val="FootnoteText"/>
      </w:pPr>
      <w:r w:rsidRPr="0037416C">
        <w:rPr>
          <w:rStyle w:val="FootnoteReference"/>
          <w:rFonts w:ascii="Times New Roman" w:hAnsi="Times New Roman"/>
        </w:rPr>
        <w:footnoteRef/>
      </w:r>
      <w:r w:rsidRPr="0037416C">
        <w:rPr>
          <w:rFonts w:ascii="Times New Roman" w:hAnsi="Times New Roman"/>
        </w:rPr>
        <w:t xml:space="preserve"> </w:t>
      </w:r>
      <w:hyperlink r:id="rId7" w:history="1">
        <w:r w:rsidRPr="0037416C">
          <w:rPr>
            <w:rStyle w:val="Hyperlink"/>
            <w:rFonts w:ascii="Times New Roman" w:hAnsi="Times New Roman"/>
            <w:i/>
            <w:iCs/>
          </w:rPr>
          <w:t>https://www.fema.gov/sites/default/files/documents/fema_climate-essentials_072023.pdf</w:t>
        </w:r>
      </w:hyperlink>
      <w:r w:rsidRPr="00C76FB6">
        <w:t xml:space="preserve"> </w:t>
      </w:r>
    </w:p>
  </w:footnote>
  <w:footnote w:id="51">
    <w:p w:rsidR="00D83D01" w:rsidRPr="00D033D1" w:rsidP="00D83D01" w14:paraId="0BA515AE" w14:textId="77777777">
      <w:pPr>
        <w:pStyle w:val="FootnoteText"/>
        <w:rPr>
          <w:rFonts w:ascii="Times New Roman" w:hAnsi="Times New Roman"/>
          <w:i/>
          <w:iCs/>
        </w:rPr>
      </w:pPr>
      <w:r w:rsidRPr="00D033D1">
        <w:rPr>
          <w:rStyle w:val="FootnoteReference"/>
          <w:rFonts w:ascii="Times New Roman" w:hAnsi="Times New Roman"/>
        </w:rPr>
        <w:footnoteRef/>
      </w:r>
      <w:r w:rsidRPr="00D033D1">
        <w:rPr>
          <w:rFonts w:ascii="Times New Roman" w:hAnsi="Times New Roman"/>
        </w:rPr>
        <w:t xml:space="preserve"> David Flores, et al., Preventing ‘‘Double Disasters’’ (2021</w:t>
      </w:r>
      <w:hyperlink r:id="rId3" w:history="1">
        <w:r w:rsidRPr="00D033D1">
          <w:rPr>
            <w:rStyle w:val="Hyperlink"/>
            <w:rFonts w:ascii="Times New Roman" w:hAnsi="Times New Roman"/>
          </w:rPr>
          <w:t>),</w:t>
        </w:r>
        <w:r w:rsidRPr="00D033D1">
          <w:rPr>
            <w:rStyle w:val="Hyperlink"/>
            <w:rFonts w:ascii="Times New Roman" w:hAnsi="Times New Roman"/>
            <w:i/>
            <w:iCs/>
          </w:rPr>
          <w:t xml:space="preserve"> https://</w:t>
        </w:r>
      </w:hyperlink>
      <w:r w:rsidRPr="00D033D1">
        <w:rPr>
          <w:rFonts w:ascii="Times New Roman" w:hAnsi="Times New Roman"/>
          <w:i/>
          <w:iCs/>
        </w:rPr>
        <w:t>www.ucsusa.org/sites/default/files/2021-07/preventing-double-disasters%20FINAL.pdf.</w:t>
      </w:r>
    </w:p>
  </w:footnote>
  <w:footnote w:id="52">
    <w:p w:rsidR="00D83D01" w:rsidRPr="00D033D1" w:rsidP="00D83D01" w14:paraId="573D5FE5" w14:textId="77777777">
      <w:pPr>
        <w:pStyle w:val="FootnoteText"/>
        <w:rPr>
          <w:rFonts w:ascii="Times New Roman" w:hAnsi="Times New Roman"/>
          <w:i/>
          <w:iCs/>
        </w:rPr>
      </w:pPr>
      <w:r w:rsidRPr="00D033D1">
        <w:rPr>
          <w:rStyle w:val="FootnoteReference"/>
          <w:rFonts w:ascii="Times New Roman" w:hAnsi="Times New Roman"/>
        </w:rPr>
        <w:footnoteRef/>
      </w:r>
      <w:r w:rsidRPr="00D033D1">
        <w:rPr>
          <w:rFonts w:ascii="Times New Roman" w:hAnsi="Times New Roman"/>
        </w:rPr>
        <w:t xml:space="preserve"> U.S. Government Accountability Office, Chemical Accident Prevention: EPA Should Ensure Regulated Facilities Consider Risks from Climate Change (2022), </w:t>
      </w:r>
      <w:hyperlink r:id="rId8" w:history="1">
        <w:r w:rsidRPr="00D033D1">
          <w:rPr>
            <w:rStyle w:val="Hyperlink"/>
            <w:rFonts w:ascii="Times New Roman" w:hAnsi="Times New Roman"/>
            <w:i/>
            <w:iCs/>
          </w:rPr>
          <w:t>https://www.gao.gov/assets/gao-22-104494.pdf</w:t>
        </w:r>
      </w:hyperlink>
    </w:p>
  </w:footnote>
  <w:footnote w:id="53">
    <w:p w:rsidR="00D83D01" w:rsidRPr="00D033D1" w:rsidP="00D83D01" w14:paraId="6894AA0F" w14:textId="77777777">
      <w:pPr>
        <w:pStyle w:val="FootnoteText"/>
        <w:rPr>
          <w:rFonts w:ascii="Times New Roman" w:hAnsi="Times New Roman"/>
        </w:rPr>
      </w:pPr>
      <w:r w:rsidRPr="00D033D1">
        <w:rPr>
          <w:rStyle w:val="FootnoteReference"/>
          <w:rFonts w:ascii="Times New Roman" w:hAnsi="Times New Roman"/>
        </w:rPr>
        <w:footnoteRef/>
      </w:r>
      <w:r w:rsidRPr="00D033D1">
        <w:rPr>
          <w:rFonts w:ascii="Times New Roman" w:hAnsi="Times New Roman"/>
        </w:rPr>
        <w:t xml:space="preserve"> </w:t>
      </w:r>
      <w:hyperlink r:id="rId9" w:history="1">
        <w:r w:rsidRPr="00D033D1">
          <w:rPr>
            <w:rStyle w:val="Hyperlink"/>
            <w:rFonts w:ascii="Times New Roman" w:hAnsi="Times New Roman"/>
            <w:i/>
            <w:iCs/>
          </w:rPr>
          <w:t>https://hazards.fema.gov/nri/</w:t>
        </w:r>
      </w:hyperlink>
      <w:r w:rsidRPr="00D033D1">
        <w:rPr>
          <w:rFonts w:ascii="Times New Roman" w:hAnsi="Times New Roman"/>
        </w:rPr>
        <w:t xml:space="preserve"> </w:t>
      </w:r>
    </w:p>
  </w:footnote>
  <w:footnote w:id="54">
    <w:p w:rsidR="00D83D01" w:rsidRPr="00C76FB6" w:rsidP="00D83D01" w14:paraId="2A4CE16F" w14:textId="77777777">
      <w:pPr>
        <w:pStyle w:val="FootnoteText"/>
      </w:pPr>
      <w:r w:rsidRPr="00D033D1">
        <w:rPr>
          <w:rStyle w:val="FootnoteReference"/>
          <w:rFonts w:ascii="Times New Roman" w:hAnsi="Times New Roman"/>
        </w:rPr>
        <w:footnoteRef/>
      </w:r>
      <w:r w:rsidRPr="00D033D1">
        <w:rPr>
          <w:rFonts w:ascii="Times New Roman" w:hAnsi="Times New Roman"/>
        </w:rPr>
        <w:t xml:space="preserve"> </w:t>
      </w:r>
      <w:hyperlink r:id="rId7" w:history="1">
        <w:r w:rsidRPr="00D033D1">
          <w:rPr>
            <w:rStyle w:val="Hyperlink"/>
            <w:rFonts w:ascii="Times New Roman" w:hAnsi="Times New Roman"/>
            <w:i/>
            <w:iCs/>
          </w:rPr>
          <w:t>https://www.fema.gov/sites/default/files/documents/fema_climate-essentials_072023.pdf</w:t>
        </w:r>
      </w:hyperlink>
      <w:r w:rsidRPr="00C76FB6">
        <w:t xml:space="preserve"> </w:t>
      </w:r>
    </w:p>
  </w:footnote>
  <w:footnote w:id="55">
    <w:p w:rsidR="00585796" w:rsidRPr="007D684B" w:rsidP="007D684B" w14:paraId="13B08496" w14:textId="3673FD83">
      <w:pPr>
        <w:autoSpaceDE w:val="0"/>
        <w:autoSpaceDN w:val="0"/>
        <w:adjustRightInd w:val="0"/>
        <w:spacing w:before="0" w:after="0"/>
        <w:rPr>
          <w:rFonts w:ascii="Times New Roman" w:hAnsi="Times New Roman"/>
          <w:sz w:val="20"/>
          <w:szCs w:val="20"/>
        </w:rPr>
      </w:pPr>
      <w:r w:rsidRPr="007D684B">
        <w:rPr>
          <w:rStyle w:val="FootnoteReference"/>
          <w:rFonts w:ascii="Times New Roman" w:hAnsi="Times New Roman"/>
          <w:sz w:val="20"/>
          <w:szCs w:val="20"/>
        </w:rPr>
        <w:footnoteRef/>
      </w:r>
      <w:r w:rsidRPr="007D684B">
        <w:rPr>
          <w:rFonts w:ascii="Times New Roman" w:hAnsi="Times New Roman"/>
          <w:sz w:val="20"/>
          <w:szCs w:val="20"/>
        </w:rPr>
        <w:t xml:space="preserve"> </w:t>
      </w:r>
      <w:r w:rsidRPr="007D684B">
        <w:rPr>
          <w:rFonts w:ascii="Times New Roman" w:hAnsi="Times New Roman" w:eastAsiaTheme="minorHAnsi"/>
          <w:sz w:val="20"/>
          <w:szCs w:val="20"/>
          <w14:ligatures w14:val="standardContextual"/>
        </w:rPr>
        <w:t xml:space="preserve">David Flores, et al., </w:t>
      </w:r>
      <w:r w:rsidRPr="007D684B">
        <w:rPr>
          <w:rFonts w:ascii="Times New Roman" w:hAnsi="Times New Roman" w:eastAsiaTheme="minorHAnsi"/>
          <w:i/>
          <w:iCs/>
          <w:sz w:val="20"/>
          <w:szCs w:val="20"/>
          <w14:ligatures w14:val="standardContextual"/>
        </w:rPr>
        <w:t>Preventing Double Disasters</w:t>
      </w:r>
      <w:r w:rsidRPr="007D684B">
        <w:rPr>
          <w:rFonts w:ascii="Times New Roman" w:hAnsi="Times New Roman" w:eastAsiaTheme="minorHAnsi"/>
          <w:sz w:val="20"/>
          <w:szCs w:val="20"/>
          <w14:ligatures w14:val="standardContextual"/>
        </w:rPr>
        <w:t xml:space="preserve">’ (2021), </w:t>
      </w:r>
      <w:r w:rsidRPr="00FE7D7A" w:rsidR="00FE7D7A">
        <w:rPr>
          <w:rFonts w:ascii="Times New Roman" w:hAnsi="Times New Roman" w:eastAsiaTheme="minorHAnsi"/>
          <w:i/>
          <w:iCs/>
          <w:sz w:val="20"/>
          <w:szCs w:val="20"/>
          <w14:ligatures w14:val="standardContextual"/>
        </w:rPr>
        <w:t>https://www.ucsusa.org/sites/default/files/2021-07/preventing-double-disasters%20FINAL.pdf</w:t>
      </w:r>
      <w:r w:rsidRPr="007D684B">
        <w:rPr>
          <w:rFonts w:ascii="Times New Roman" w:hAnsi="Times New Roman" w:eastAsiaTheme="minorHAnsi"/>
          <w:i/>
          <w:iCs/>
          <w:sz w:val="20"/>
          <w:szCs w:val="20"/>
          <w14:ligatures w14:val="standardContextual"/>
        </w:rPr>
        <w:t xml:space="preserve">. </w:t>
      </w:r>
    </w:p>
  </w:footnote>
  <w:footnote w:id="56">
    <w:p w:rsidR="00884551" w:rsidRPr="007D684B" w:rsidP="007D684B" w14:paraId="15889940" w14:textId="197FFA33">
      <w:pPr>
        <w:autoSpaceDE w:val="0"/>
        <w:autoSpaceDN w:val="0"/>
        <w:adjustRightInd w:val="0"/>
        <w:spacing w:before="0" w:after="0"/>
        <w:rPr>
          <w:rFonts w:ascii="Times New Roman" w:hAnsi="Times New Roman"/>
          <w:sz w:val="20"/>
          <w:szCs w:val="20"/>
        </w:rPr>
      </w:pPr>
      <w:r w:rsidRPr="007D684B">
        <w:rPr>
          <w:rStyle w:val="FootnoteReference"/>
          <w:rFonts w:ascii="Times New Roman" w:hAnsi="Times New Roman"/>
          <w:sz w:val="20"/>
          <w:szCs w:val="20"/>
        </w:rPr>
        <w:footnoteRef/>
      </w:r>
      <w:r w:rsidRPr="007D684B">
        <w:rPr>
          <w:rFonts w:ascii="Times New Roman" w:hAnsi="Times New Roman"/>
          <w:sz w:val="20"/>
          <w:szCs w:val="20"/>
        </w:rPr>
        <w:t xml:space="preserve"> </w:t>
      </w:r>
      <w:r w:rsidRPr="007D684B">
        <w:rPr>
          <w:rFonts w:ascii="Times New Roman" w:hAnsi="Times New Roman" w:eastAsiaTheme="minorHAnsi"/>
          <w:sz w:val="20"/>
          <w:szCs w:val="20"/>
          <w14:ligatures w14:val="standardContextual"/>
        </w:rPr>
        <w:t>U.S. Government Accountability Office,</w:t>
      </w:r>
      <w:r w:rsidRPr="007D684B" w:rsidR="007D684B">
        <w:rPr>
          <w:rFonts w:ascii="Times New Roman" w:hAnsi="Times New Roman" w:eastAsiaTheme="minorHAnsi"/>
          <w:sz w:val="20"/>
          <w:szCs w:val="20"/>
          <w14:ligatures w14:val="standardContextual"/>
        </w:rPr>
        <w:t xml:space="preserve"> </w:t>
      </w:r>
      <w:r w:rsidRPr="007D684B">
        <w:rPr>
          <w:rFonts w:ascii="Times New Roman" w:hAnsi="Times New Roman" w:eastAsiaTheme="minorHAnsi"/>
          <w:i/>
          <w:iCs/>
          <w:sz w:val="20"/>
          <w:szCs w:val="20"/>
          <w14:ligatures w14:val="standardContextual"/>
        </w:rPr>
        <w:t>Chemical Accident Prevention: EPA Should Ensure</w:t>
      </w:r>
      <w:r w:rsidRPr="007D684B" w:rsidR="007D684B">
        <w:rPr>
          <w:rFonts w:ascii="Times New Roman" w:hAnsi="Times New Roman" w:eastAsiaTheme="minorHAnsi"/>
          <w:i/>
          <w:iCs/>
          <w:sz w:val="20"/>
          <w:szCs w:val="20"/>
          <w14:ligatures w14:val="standardContextual"/>
        </w:rPr>
        <w:t xml:space="preserve"> </w:t>
      </w:r>
      <w:r w:rsidRPr="007D684B">
        <w:rPr>
          <w:rFonts w:ascii="Times New Roman" w:hAnsi="Times New Roman" w:eastAsiaTheme="minorHAnsi"/>
          <w:i/>
          <w:iCs/>
          <w:sz w:val="20"/>
          <w:szCs w:val="20"/>
          <w14:ligatures w14:val="standardContextual"/>
        </w:rPr>
        <w:t>Regulated Facilities Consider Risks from Climate</w:t>
      </w:r>
      <w:r w:rsidR="007D684B">
        <w:rPr>
          <w:rFonts w:ascii="Times New Roman" w:hAnsi="Times New Roman" w:eastAsiaTheme="minorHAnsi"/>
          <w:i/>
          <w:iCs/>
          <w:sz w:val="20"/>
          <w:szCs w:val="20"/>
          <w14:ligatures w14:val="standardContextual"/>
        </w:rPr>
        <w:t xml:space="preserve"> </w:t>
      </w:r>
      <w:r w:rsidRPr="007D684B">
        <w:rPr>
          <w:rFonts w:ascii="Times New Roman" w:hAnsi="Times New Roman" w:eastAsiaTheme="minorHAnsi"/>
          <w:i/>
          <w:iCs/>
          <w:sz w:val="20"/>
          <w:szCs w:val="20"/>
          <w14:ligatures w14:val="standardContextual"/>
        </w:rPr>
        <w:t xml:space="preserve">Change </w:t>
      </w:r>
      <w:r w:rsidRPr="007D684B">
        <w:rPr>
          <w:rFonts w:ascii="Times New Roman" w:hAnsi="Times New Roman" w:eastAsiaTheme="minorHAnsi"/>
          <w:sz w:val="20"/>
          <w:szCs w:val="20"/>
          <w14:ligatures w14:val="standardContextual"/>
        </w:rPr>
        <w:t xml:space="preserve">(2022), </w:t>
      </w:r>
      <w:r w:rsidRPr="007D684B">
        <w:rPr>
          <w:rFonts w:ascii="Times New Roman" w:hAnsi="Times New Roman" w:eastAsiaTheme="minorHAnsi"/>
          <w:i/>
          <w:iCs/>
          <w:sz w:val="20"/>
          <w:szCs w:val="20"/>
          <w14:ligatures w14:val="standardContextual"/>
        </w:rPr>
        <w:t>https://www.gao.gov/assets/gao-22-104494.pdf.</w:t>
      </w:r>
    </w:p>
  </w:footnote>
  <w:footnote w:id="57">
    <w:p w:rsidR="007D684B" w:rsidP="007D684B" w14:paraId="331CABD3" w14:textId="7FBB0EE2">
      <w:pPr>
        <w:autoSpaceDE w:val="0"/>
        <w:autoSpaceDN w:val="0"/>
        <w:adjustRightInd w:val="0"/>
        <w:spacing w:before="0" w:after="0"/>
      </w:pPr>
      <w:r w:rsidRPr="007D684B">
        <w:rPr>
          <w:rStyle w:val="FootnoteReference"/>
          <w:rFonts w:ascii="Times New Roman" w:hAnsi="Times New Roman"/>
          <w:sz w:val="20"/>
          <w:szCs w:val="20"/>
        </w:rPr>
        <w:footnoteRef/>
      </w:r>
      <w:r w:rsidRPr="007D684B">
        <w:rPr>
          <w:rFonts w:ascii="Times New Roman" w:hAnsi="Times New Roman"/>
          <w:sz w:val="20"/>
          <w:szCs w:val="20"/>
        </w:rPr>
        <w:t xml:space="preserve"> </w:t>
      </w:r>
      <w:r w:rsidRPr="007D684B">
        <w:rPr>
          <w:rFonts w:ascii="Times New Roman" w:hAnsi="Times New Roman" w:eastAsiaTheme="minorHAnsi"/>
          <w:sz w:val="20"/>
          <w:szCs w:val="20"/>
          <w14:ligatures w14:val="standardContextual"/>
        </w:rPr>
        <w:t xml:space="preserve">U.S. Global Change Research Program, </w:t>
      </w:r>
      <w:r w:rsidRPr="007D684B">
        <w:rPr>
          <w:rFonts w:ascii="Times New Roman" w:hAnsi="Times New Roman" w:eastAsiaTheme="minorHAnsi"/>
          <w:i/>
          <w:iCs/>
          <w:sz w:val="20"/>
          <w:szCs w:val="20"/>
          <w14:ligatures w14:val="standardContextual"/>
        </w:rPr>
        <w:t xml:space="preserve">Fourth National Climate Assessment </w:t>
      </w:r>
      <w:r w:rsidRPr="007D684B">
        <w:rPr>
          <w:rFonts w:ascii="Times New Roman" w:hAnsi="Times New Roman" w:eastAsiaTheme="minorHAnsi"/>
          <w:sz w:val="20"/>
          <w:szCs w:val="20"/>
          <w14:ligatures w14:val="standardContextual"/>
        </w:rPr>
        <w:t xml:space="preserve">(2018), </w:t>
      </w:r>
      <w:r>
        <w:rPr>
          <w:rFonts w:ascii="Times New Roman" w:hAnsi="Times New Roman" w:eastAsiaTheme="minorHAnsi"/>
          <w:sz w:val="20"/>
          <w:szCs w:val="20"/>
          <w14:ligatures w14:val="standardContextual"/>
        </w:rPr>
        <w:t>h</w:t>
      </w:r>
      <w:r w:rsidRPr="007D684B">
        <w:rPr>
          <w:rFonts w:ascii="Times New Roman" w:hAnsi="Times New Roman" w:eastAsiaTheme="minorHAnsi"/>
          <w:i/>
          <w:iCs/>
          <w:sz w:val="20"/>
          <w:szCs w:val="20"/>
          <w14:ligatures w14:val="standardContextual"/>
        </w:rPr>
        <w:t>ttps://nca2018.globalchange.gov/.</w:t>
      </w:r>
    </w:p>
  </w:footnote>
  <w:footnote w:id="58">
    <w:p w:rsidR="00D83D01" w:rsidRPr="001702C6" w:rsidP="00D83D01" w14:paraId="1C01805F" w14:textId="77777777">
      <w:pPr>
        <w:pStyle w:val="FootnoteText"/>
        <w:rPr>
          <w:rFonts w:ascii="Times New Roman" w:hAnsi="Times New Roman"/>
          <w:i/>
          <w:iCs/>
        </w:rPr>
      </w:pPr>
      <w:r w:rsidRPr="00236FA4">
        <w:rPr>
          <w:rStyle w:val="FootnoteReference"/>
          <w:rFonts w:ascii="Times New Roman" w:hAnsi="Times New Roman"/>
        </w:rPr>
        <w:footnoteRef/>
      </w:r>
      <w:r w:rsidRPr="001702C6">
        <w:rPr>
          <w:rFonts w:ascii="Times New Roman" w:hAnsi="Times New Roman"/>
        </w:rPr>
        <w:t xml:space="preserve"> David Flores, et al., Preventing ‘‘Double Disasters’’ (2021</w:t>
      </w:r>
      <w:hyperlink r:id="rId3" w:history="1">
        <w:r w:rsidRPr="001702C6">
          <w:rPr>
            <w:rStyle w:val="Hyperlink"/>
            <w:rFonts w:ascii="Times New Roman" w:hAnsi="Times New Roman"/>
          </w:rPr>
          <w:t xml:space="preserve">), </w:t>
        </w:r>
        <w:r w:rsidRPr="001702C6">
          <w:rPr>
            <w:rStyle w:val="Hyperlink"/>
            <w:rFonts w:ascii="Times New Roman" w:hAnsi="Times New Roman"/>
            <w:i/>
            <w:iCs/>
          </w:rPr>
          <w:t>https://</w:t>
        </w:r>
      </w:hyperlink>
      <w:r w:rsidRPr="001702C6">
        <w:rPr>
          <w:rFonts w:ascii="Times New Roman" w:hAnsi="Times New Roman"/>
          <w:i/>
          <w:iCs/>
        </w:rPr>
        <w:t>www.ucsusa.org/sites/default/files/2021-07/preventing-double-disasters%20FINAL.pdf.</w:t>
      </w:r>
    </w:p>
  </w:footnote>
  <w:footnote w:id="59">
    <w:p w:rsidR="00D83D01" w:rsidRPr="001702C6" w:rsidP="00D83D01" w14:paraId="00A67C6E" w14:textId="77777777">
      <w:pPr>
        <w:pStyle w:val="FootnoteText"/>
        <w:rPr>
          <w:rFonts w:ascii="Times New Roman" w:hAnsi="Times New Roman"/>
          <w:i/>
          <w:iCs/>
        </w:rPr>
      </w:pPr>
      <w:r w:rsidRPr="001702C6">
        <w:rPr>
          <w:rStyle w:val="FootnoteReference"/>
          <w:rFonts w:ascii="Times New Roman" w:hAnsi="Times New Roman"/>
        </w:rPr>
        <w:footnoteRef/>
      </w:r>
      <w:r w:rsidRPr="001702C6">
        <w:rPr>
          <w:rFonts w:ascii="Times New Roman" w:hAnsi="Times New Roman"/>
        </w:rPr>
        <w:t xml:space="preserve"> U.S. Government Accountability Office, Chemical Accident Prevention: EPA Should Ensure Regulated Facilities Consider Risks from Climate Change (2022), </w:t>
      </w:r>
      <w:hyperlink r:id="rId8" w:history="1">
        <w:r w:rsidRPr="001702C6">
          <w:rPr>
            <w:rStyle w:val="Hyperlink"/>
            <w:rFonts w:ascii="Times New Roman" w:hAnsi="Times New Roman"/>
            <w:i/>
            <w:iCs/>
          </w:rPr>
          <w:t>https://www.gao.gov/assets/gao-22-104494.pdf</w:t>
        </w:r>
      </w:hyperlink>
    </w:p>
  </w:footnote>
  <w:footnote w:id="60">
    <w:p w:rsidR="00D83D01" w:rsidRPr="001702C6" w:rsidP="00D83D01" w14:paraId="0E00391E" w14:textId="77777777">
      <w:pPr>
        <w:pStyle w:val="FootnoteText"/>
        <w:rPr>
          <w:rFonts w:ascii="Times New Roman" w:hAnsi="Times New Roman"/>
        </w:rPr>
      </w:pPr>
      <w:r w:rsidRPr="001702C6">
        <w:rPr>
          <w:rStyle w:val="FootnoteReference"/>
          <w:rFonts w:ascii="Times New Roman" w:hAnsi="Times New Roman"/>
        </w:rPr>
        <w:footnoteRef/>
      </w:r>
      <w:r w:rsidRPr="001702C6">
        <w:rPr>
          <w:rFonts w:ascii="Times New Roman" w:hAnsi="Times New Roman"/>
        </w:rPr>
        <w:t xml:space="preserve"> </w:t>
      </w:r>
      <w:hyperlink r:id="rId9" w:history="1">
        <w:r w:rsidRPr="001702C6">
          <w:rPr>
            <w:rStyle w:val="Hyperlink"/>
            <w:rFonts w:ascii="Times New Roman" w:hAnsi="Times New Roman"/>
            <w:i/>
            <w:iCs/>
          </w:rPr>
          <w:t>https://hazards.fema.gov/nri/</w:t>
        </w:r>
      </w:hyperlink>
      <w:r w:rsidRPr="001702C6">
        <w:rPr>
          <w:rFonts w:ascii="Times New Roman" w:hAnsi="Times New Roman"/>
        </w:rPr>
        <w:t xml:space="preserve"> </w:t>
      </w:r>
    </w:p>
  </w:footnote>
  <w:footnote w:id="61">
    <w:p w:rsidR="00D83D01" w:rsidRPr="001702C6" w:rsidP="00D83D01" w14:paraId="399BED5F" w14:textId="77777777">
      <w:pPr>
        <w:pStyle w:val="FootnoteText"/>
        <w:rPr>
          <w:i/>
          <w:iCs/>
        </w:rPr>
      </w:pPr>
      <w:r w:rsidRPr="001702C6">
        <w:rPr>
          <w:rStyle w:val="FootnoteReference"/>
          <w:rFonts w:ascii="Times New Roman" w:hAnsi="Times New Roman"/>
        </w:rPr>
        <w:footnoteRef/>
      </w:r>
      <w:r w:rsidRPr="001702C6">
        <w:rPr>
          <w:rFonts w:ascii="Times New Roman" w:hAnsi="Times New Roman"/>
        </w:rPr>
        <w:t xml:space="preserve"> </w:t>
      </w:r>
      <w:hyperlink r:id="rId7" w:history="1">
        <w:r w:rsidRPr="001702C6">
          <w:rPr>
            <w:rStyle w:val="Hyperlink"/>
            <w:rFonts w:ascii="Times New Roman" w:hAnsi="Times New Roman"/>
            <w:i/>
            <w:iCs/>
          </w:rPr>
          <w:t>https://www.fema.gov/sites/default/files/documents/fema_climate-essentials_072023.pdf</w:t>
        </w:r>
      </w:hyperlink>
      <w:r w:rsidRPr="001702C6">
        <w:rPr>
          <w:i/>
          <w:iCs/>
        </w:rPr>
        <w:t xml:space="preserve"> </w:t>
      </w:r>
    </w:p>
  </w:footnote>
  <w:footnote w:id="62">
    <w:p w:rsidR="003F5D08" w:rsidRPr="0076074F" w:rsidP="003F5D08" w14:paraId="3C7009B3" w14:textId="77777777">
      <w:pPr>
        <w:pStyle w:val="FootnoteText"/>
        <w:rPr>
          <w:rFonts w:ascii="Times New Roman" w:hAnsi="Times New Roman"/>
        </w:rPr>
      </w:pPr>
      <w:r w:rsidRPr="0076074F">
        <w:rPr>
          <w:rStyle w:val="FootnoteReference"/>
          <w:rFonts w:ascii="Times New Roman" w:hAnsi="Times New Roman"/>
        </w:rPr>
        <w:footnoteRef/>
      </w:r>
      <w:r w:rsidRPr="0076074F">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63">
    <w:p w:rsidR="00311905" w:rsidRPr="00CD0928" w:rsidP="00564A59" w14:paraId="5EEB6991" w14:textId="77777777">
      <w:pPr>
        <w:pStyle w:val="TOC2"/>
      </w:pPr>
      <w:r w:rsidRPr="00CD0928">
        <w:rPr>
          <w:rStyle w:val="FootnoteReference"/>
          <w:rFonts w:ascii="Times New Roman" w:hAnsi="Times New Roman"/>
          <w:b/>
          <w:sz w:val="20"/>
          <w:szCs w:val="20"/>
        </w:rPr>
        <w:footnoteRef/>
      </w:r>
      <w:r w:rsidRPr="00CD0928">
        <w:t xml:space="preserve"> Power requirements for a variety of continuous emissions monitoring systems can be found in reports at  </w:t>
      </w:r>
      <w:hyperlink r:id="rId10" w:history="1">
        <w:r w:rsidRPr="008C2FF9">
          <w:rPr>
            <w:rStyle w:val="Hyperlink"/>
            <w:rFonts w:ascii="Times New Roman" w:hAnsi="Times New Roman"/>
            <w:sz w:val="20"/>
            <w:szCs w:val="20"/>
          </w:rPr>
          <w:t>https://www.epa.gov/emc/emc-continuous-emission-monitoring-systems</w:t>
        </w:r>
      </w:hyperlink>
      <w:r w:rsidRPr="00CD0928">
        <w:t xml:space="preserve">. For example, Ammonia CEMS specification tables list power requirements, </w:t>
      </w:r>
      <w:hyperlink r:id="rId11" w:history="1">
        <w:r w:rsidRPr="008C2FF9">
          <w:rPr>
            <w:rStyle w:val="Hyperlink"/>
            <w:rFonts w:ascii="Times New Roman" w:eastAsia="Calibri" w:hAnsi="Times New Roman"/>
            <w:sz w:val="20"/>
            <w:szCs w:val="20"/>
            <w:lang w:bidi="en-US"/>
          </w:rPr>
          <w:t>http://www.epa.gov/sites/default/files/2020-08/documents/04-nh3_cems.pdf</w:t>
        </w:r>
      </w:hyperlink>
      <w:r w:rsidRPr="008C2FF9">
        <w:rPr>
          <w:rStyle w:val="Heading3Char"/>
          <w:rFonts w:ascii="Times New Roman" w:hAnsi="Times New Roman" w:cs="Times New Roman"/>
          <w:sz w:val="20"/>
          <w:szCs w:val="20"/>
        </w:rPr>
        <w:t xml:space="preserve"> .</w:t>
      </w:r>
    </w:p>
  </w:footnote>
  <w:footnote w:id="64">
    <w:p w:rsidR="0066451A" w14:paraId="3846463A" w14:textId="61902636">
      <w:pPr>
        <w:pStyle w:val="FootnoteText"/>
      </w:pPr>
      <w:r>
        <w:rPr>
          <w:rStyle w:val="FootnoteReference"/>
        </w:rPr>
        <w:footnoteRef/>
      </w:r>
      <w:r>
        <w:t xml:space="preserve"> </w:t>
      </w:r>
      <w:hyperlink r:id="rId12" w:history="1">
        <w:r w:rsidRPr="002F2101">
          <w:rPr>
            <w:rStyle w:val="Hyperlink"/>
            <w:rFonts w:ascii="Times New Roman" w:hAnsi="Times New Roman"/>
          </w:rPr>
          <w:t>https://www.oecd.org/chemicalsafety/chemical-accidents/</w:t>
        </w:r>
      </w:hyperlink>
      <w:r>
        <w:t xml:space="preserve"> </w:t>
      </w:r>
    </w:p>
  </w:footnote>
  <w:footnote w:id="65">
    <w:p w:rsidR="00E649F5" w:rsidP="00E649F5" w14:paraId="481E96B1" w14:textId="77036E5B">
      <w:pPr>
        <w:autoSpaceDE w:val="0"/>
        <w:autoSpaceDN w:val="0"/>
        <w:adjustRightInd w:val="0"/>
        <w:spacing w:before="0" w:after="0"/>
      </w:pPr>
      <w:r>
        <w:rPr>
          <w:rStyle w:val="FootnoteReference"/>
        </w:rPr>
        <w:footnoteRef/>
      </w:r>
      <w:r>
        <w:t xml:space="preserve"> </w:t>
      </w:r>
      <w:r w:rsidRPr="00541C64">
        <w:rPr>
          <w:rFonts w:ascii="Times New Roman" w:hAnsi="Times New Roman" w:eastAsiaTheme="minorHAnsi"/>
          <w:sz w:val="20"/>
          <w:szCs w:val="20"/>
          <w14:ligatures w14:val="standardContextual"/>
        </w:rPr>
        <w:t>IIAR, IIAR–9–2020 Minimum Safety Requirements for Existing Closed Circuit Ammonia Refrigeration Systems 7.4.7.2.</w:t>
      </w:r>
    </w:p>
  </w:footnote>
  <w:footnote w:id="66">
    <w:p w:rsidR="00DD45B4" w:rsidRPr="00C95EAA" w:rsidP="00564A59" w14:paraId="5FD376DF" w14:textId="77777777">
      <w:pPr>
        <w:pStyle w:val="TOC2"/>
        <w:rPr>
          <w:rFonts w:ascii="Times New Roman" w:hAnsi="Times New Roman"/>
          <w:sz w:val="20"/>
          <w:szCs w:val="20"/>
        </w:rPr>
      </w:pPr>
      <w:r w:rsidRPr="00737AAE">
        <w:rPr>
          <w:rStyle w:val="FootnoteReference"/>
          <w:rFonts w:ascii="Times New Roman" w:hAnsi="Times New Roman"/>
          <w:sz w:val="20"/>
          <w:szCs w:val="20"/>
        </w:rPr>
        <w:footnoteRef/>
      </w:r>
      <w:r w:rsidRPr="00C95EAA">
        <w:rPr>
          <w:rFonts w:ascii="Times New Roman" w:hAnsi="Times New Roman"/>
          <w:sz w:val="20"/>
          <w:szCs w:val="20"/>
        </w:rPr>
        <w:t xml:space="preserve"> Power requirements for a variety of continuous emissions monitoring systems can be found in reports at  </w:t>
      </w:r>
      <w:hyperlink r:id="rId10" w:history="1">
        <w:r w:rsidRPr="00564A59">
          <w:rPr>
            <w:rStyle w:val="Hyperlink"/>
            <w:rFonts w:ascii="Times New Roman" w:hAnsi="Times New Roman"/>
            <w:sz w:val="20"/>
            <w:szCs w:val="20"/>
          </w:rPr>
          <w:t>https://www.epa.gov/emc/emc-continuous-emission-monitoring-systems</w:t>
        </w:r>
      </w:hyperlink>
      <w:r w:rsidRPr="00C95EAA">
        <w:rPr>
          <w:rFonts w:ascii="Times New Roman" w:hAnsi="Times New Roman"/>
          <w:sz w:val="20"/>
          <w:szCs w:val="20"/>
        </w:rPr>
        <w:t xml:space="preserve">. For example, Ammonia CEMS specification tables list power requirements, </w:t>
      </w:r>
      <w:hyperlink r:id="rId11" w:history="1">
        <w:r w:rsidRPr="00564A59">
          <w:rPr>
            <w:rStyle w:val="Hyperlink"/>
            <w:rFonts w:ascii="Times New Roman" w:eastAsia="Calibri" w:hAnsi="Times New Roman"/>
            <w:sz w:val="20"/>
            <w:szCs w:val="20"/>
            <w:lang w:bidi="en-US"/>
          </w:rPr>
          <w:t>http://www.epa.gov/sites/default/files/2020-08/documents/04-nh3_cems.pdf</w:t>
        </w:r>
      </w:hyperlink>
      <w:r w:rsidRPr="00C95EAA">
        <w:rPr>
          <w:rFonts w:ascii="Times New Roman" w:hAnsi="Times New Roman"/>
          <w:sz w:val="20"/>
          <w:szCs w:val="20"/>
        </w:rPr>
        <w:t xml:space="preserve"> .</w:t>
      </w:r>
    </w:p>
  </w:footnote>
  <w:footnote w:id="67">
    <w:p w:rsidR="007836C1" w:rsidRPr="00CE7EAC" w14:paraId="504476B8" w14:textId="29C865B7">
      <w:pPr>
        <w:pStyle w:val="FootnoteText"/>
        <w:rPr>
          <w:rFonts w:ascii="Times New Roman" w:hAnsi="Times New Roman"/>
        </w:rPr>
      </w:pPr>
      <w:r w:rsidRPr="00CE7EAC">
        <w:rPr>
          <w:rStyle w:val="FootnoteReference"/>
          <w:rFonts w:ascii="Times New Roman" w:hAnsi="Times New Roman"/>
        </w:rPr>
        <w:footnoteRef/>
      </w:r>
      <w:r w:rsidRPr="00CE7EAC">
        <w:rPr>
          <w:rFonts w:ascii="Times New Roman" w:hAnsi="Times New Roman"/>
        </w:rPr>
        <w:t xml:space="preserve"> </w:t>
      </w:r>
      <w:r w:rsidRPr="00CE7EAC" w:rsidR="004465A1">
        <w:rPr>
          <w:rFonts w:ascii="Times New Roman" w:hAnsi="Times New Roman" w:eastAsiaTheme="minorHAnsi"/>
        </w:rPr>
        <w:t>Marsh JLT Specialty, "100 Largest Losses in the Hydrocarbon Industry,” 27</w:t>
      </w:r>
      <w:r w:rsidRPr="00CE7EAC" w:rsidR="004465A1">
        <w:rPr>
          <w:rFonts w:ascii="Times New Roman" w:hAnsi="Times New Roman" w:eastAsiaTheme="minorHAnsi"/>
          <w:vertAlign w:val="superscript"/>
        </w:rPr>
        <w:t>th</w:t>
      </w:r>
      <w:r w:rsidRPr="00CE7EAC" w:rsidR="004465A1">
        <w:rPr>
          <w:rFonts w:ascii="Times New Roman" w:hAnsi="Times New Roman" w:eastAsiaTheme="minorHAnsi"/>
        </w:rPr>
        <w:t xml:space="preserve"> Edition, March 2022. Accessed from </w:t>
      </w:r>
      <w:hyperlink r:id="rId13" w:history="1">
        <w:r w:rsidRPr="00CE7EAC" w:rsidR="004465A1">
          <w:rPr>
            <w:rFonts w:ascii="Times New Roman" w:hAnsi="Times New Roman" w:eastAsiaTheme="minorHAnsi"/>
            <w:color w:val="0563C1" w:themeColor="hyperlink"/>
            <w:u w:val="single"/>
          </w:rPr>
          <w:t>https://www.marsh.com/uk/industries/energy-and-power/insights/100-largest-losses.html</w:t>
        </w:r>
      </w:hyperlink>
      <w:r w:rsidRPr="00CE7EAC" w:rsidR="004465A1">
        <w:rPr>
          <w:rFonts w:ascii="Times New Roman" w:hAnsi="Times New Roman" w:eastAsiaTheme="minorHAnsi"/>
        </w:rPr>
        <w:t>. Marsh provides estimates of large property damage losses in the hydrocarbon industry from 1974 to 2021 in current and 2021 dollars and in a few cases, business loss costs.</w:t>
      </w:r>
    </w:p>
  </w:footnote>
  <w:footnote w:id="68">
    <w:p w:rsidR="00E83473" w:rsidRPr="00C224B3" w14:paraId="10024ACC" w14:textId="39FE4838">
      <w:pPr>
        <w:pStyle w:val="FootnoteText"/>
        <w:rPr>
          <w:rFonts w:ascii="Times New Roman" w:hAnsi="Times New Roman"/>
        </w:rPr>
      </w:pPr>
      <w:r w:rsidRPr="00C224B3">
        <w:rPr>
          <w:rStyle w:val="FootnoteReference"/>
          <w:rFonts w:ascii="Times New Roman" w:hAnsi="Times New Roman"/>
        </w:rPr>
        <w:footnoteRef/>
      </w:r>
      <w:r w:rsidRPr="00C224B3">
        <w:rPr>
          <w:rFonts w:ascii="Times New Roman" w:hAnsi="Times New Roman"/>
        </w:rPr>
        <w:t xml:space="preserve"> See 40 CFR 68.50(a)(4), (40 CFR 68.65(d)(1)(viii)), (40 CFR 68.67(c)(3)).</w:t>
      </w:r>
    </w:p>
  </w:footnote>
  <w:footnote w:id="69">
    <w:p w:rsidR="004C26DF" w:rsidRPr="00C224B3" w14:paraId="238F69BF" w14:textId="07B22ABC">
      <w:pPr>
        <w:pStyle w:val="FootnoteText"/>
        <w:rPr>
          <w:rFonts w:ascii="Times New Roman" w:hAnsi="Times New Roman"/>
        </w:rPr>
      </w:pPr>
      <w:r w:rsidRPr="00C224B3">
        <w:rPr>
          <w:rStyle w:val="FootnoteReference"/>
          <w:rFonts w:ascii="Times New Roman" w:hAnsi="Times New Roman"/>
        </w:rPr>
        <w:footnoteRef/>
      </w:r>
      <w:r w:rsidRPr="00C224B3">
        <w:rPr>
          <w:rFonts w:ascii="Times New Roman" w:hAnsi="Times New Roman"/>
        </w:rPr>
        <w:t xml:space="preserve"> </w:t>
      </w:r>
      <w:r w:rsidRPr="00C224B3">
        <w:rPr>
          <w:rFonts w:ascii="Times New Roman" w:hAnsi="Times New Roman" w:eastAsiaTheme="minorHAnsi"/>
          <w14:ligatures w14:val="standardContextual"/>
        </w:rPr>
        <w:t xml:space="preserve">IIAR, </w:t>
      </w:r>
      <w:r w:rsidRPr="00C224B3">
        <w:rPr>
          <w:rFonts w:ascii="Times New Roman" w:hAnsi="Times New Roman" w:eastAsiaTheme="minorHAnsi"/>
          <w:i/>
          <w:iCs/>
          <w14:ligatures w14:val="standardContextual"/>
        </w:rPr>
        <w:t xml:space="preserve">ANSI/IIAR Standard 9–2020 </w:t>
      </w:r>
      <w:r w:rsidRPr="00C224B3">
        <w:rPr>
          <w:rFonts w:ascii="Times New Roman" w:hAnsi="Times New Roman" w:eastAsiaTheme="minorHAnsi"/>
          <w14:ligatures w14:val="standardContextual"/>
        </w:rPr>
        <w:t>(2020).</w:t>
      </w:r>
    </w:p>
  </w:footnote>
  <w:footnote w:id="70">
    <w:p w:rsidR="009463F9" w:rsidP="00543D4F" w14:paraId="6DE46187" w14:textId="53838B70">
      <w:pPr>
        <w:autoSpaceDE w:val="0"/>
        <w:autoSpaceDN w:val="0"/>
        <w:adjustRightInd w:val="0"/>
        <w:spacing w:before="0" w:after="0"/>
      </w:pPr>
      <w:r w:rsidRPr="00C224B3">
        <w:rPr>
          <w:rStyle w:val="FootnoteReference"/>
          <w:rFonts w:ascii="Times New Roman" w:hAnsi="Times New Roman"/>
          <w:sz w:val="20"/>
          <w:szCs w:val="20"/>
        </w:rPr>
        <w:footnoteRef/>
      </w:r>
      <w:r w:rsidRPr="00C224B3">
        <w:rPr>
          <w:rFonts w:ascii="Times New Roman" w:hAnsi="Times New Roman"/>
          <w:sz w:val="20"/>
          <w:szCs w:val="20"/>
        </w:rPr>
        <w:t xml:space="preserve"> </w:t>
      </w:r>
      <w:r w:rsidRPr="00C224B3" w:rsidR="00543D4F">
        <w:rPr>
          <w:rFonts w:ascii="Times New Roman" w:hAnsi="Times New Roman" w:eastAsiaTheme="minorHAnsi"/>
          <w:sz w:val="20"/>
          <w:szCs w:val="20"/>
          <w14:ligatures w14:val="standardContextual"/>
        </w:rPr>
        <w:t xml:space="preserve">The Chlorine Institute, </w:t>
      </w:r>
      <w:r w:rsidRPr="00C224B3" w:rsidR="00543D4F">
        <w:rPr>
          <w:rFonts w:ascii="Times New Roman" w:hAnsi="Times New Roman" w:eastAsiaTheme="minorHAnsi"/>
          <w:i/>
          <w:iCs/>
          <w:sz w:val="20"/>
          <w:szCs w:val="20"/>
          <w14:ligatures w14:val="standardContextual"/>
        </w:rPr>
        <w:t>Pamphlet 7</w:t>
      </w:r>
      <w:r w:rsidRPr="00C224B3" w:rsidR="00911704">
        <w:rPr>
          <w:rFonts w:ascii="Times New Roman" w:hAnsi="Times New Roman" w:eastAsiaTheme="minorHAnsi"/>
          <w:i/>
          <w:iCs/>
          <w:sz w:val="20"/>
          <w:szCs w:val="20"/>
          <w14:ligatures w14:val="standardContextual"/>
        </w:rPr>
        <w:t>3,</w:t>
      </w:r>
      <w:r w:rsidRPr="00C224B3" w:rsidR="00543D4F">
        <w:rPr>
          <w:rFonts w:ascii="Times New Roman" w:hAnsi="Times New Roman" w:eastAsiaTheme="minorHAnsi"/>
          <w:i/>
          <w:iCs/>
          <w:sz w:val="20"/>
          <w:szCs w:val="20"/>
          <w14:ligatures w14:val="standardContextual"/>
        </w:rPr>
        <w:t xml:space="preserve"> Atmospheric Monitoring Equipment for Chlorine </w:t>
      </w:r>
      <w:r w:rsidRPr="00C224B3" w:rsidR="00543D4F">
        <w:rPr>
          <w:rFonts w:ascii="Times New Roman" w:hAnsi="Times New Roman" w:eastAsiaTheme="minorHAnsi"/>
          <w:sz w:val="20"/>
          <w:szCs w:val="20"/>
          <w14:ligatures w14:val="standardContextual"/>
        </w:rPr>
        <w:t>(2021),</w:t>
      </w:r>
      <w:r w:rsidRPr="00C224B3" w:rsidR="00543D4F">
        <w:rPr>
          <w:rFonts w:ascii="Times New Roman" w:hAnsi="Times New Roman"/>
          <w:sz w:val="20"/>
          <w:szCs w:val="20"/>
        </w:rPr>
        <w:t xml:space="preserve"> </w:t>
      </w:r>
      <w:hyperlink r:id="rId14" w:history="1">
        <w:r w:rsidRPr="00C224B3" w:rsidR="00911704">
          <w:rPr>
            <w:rStyle w:val="Hyperlink"/>
            <w:rFonts w:ascii="Times New Roman" w:hAnsi="Times New Roman"/>
            <w:sz w:val="20"/>
            <w:szCs w:val="20"/>
          </w:rPr>
          <w:t>https://bookstore.chlorineinstitute.org/pamphlet-73-atmospheric-monitoring-equipment-for-chlorine.html?Session_ID=66da3abed669d2ecb4448e5c1c17ba5e</w:t>
        </w:r>
      </w:hyperlink>
      <w:r w:rsidR="00911704">
        <w:rPr>
          <w:rFonts w:ascii="Times New Roman" w:hAnsi="Times New Roman"/>
          <w:sz w:val="20"/>
          <w:szCs w:val="20"/>
        </w:rPr>
        <w:t xml:space="preserve"> </w:t>
      </w:r>
    </w:p>
  </w:footnote>
  <w:footnote w:id="71">
    <w:p w:rsidR="00C545E0" w14:paraId="2F74323D" w14:textId="372D00D3">
      <w:pPr>
        <w:pStyle w:val="FootnoteText"/>
      </w:pPr>
      <w:r>
        <w:rPr>
          <w:rStyle w:val="FootnoteReference"/>
        </w:rPr>
        <w:footnoteRef/>
      </w:r>
      <w:r>
        <w:t xml:space="preserve"> </w:t>
      </w:r>
      <w:bookmarkStart w:id="51" w:name="_Hlk141341346"/>
      <w:r w:rsidRPr="00C545E0">
        <w:rPr>
          <w:rFonts w:ascii="Times New Roman" w:hAnsi="Times New Roman"/>
        </w:rPr>
        <w:t>A full description of costs and benefits for this final rule can be found in the Regulatory Impact Analysis: Safer Communities by Chemical Accident Prevention: Final Rule. This document is available in the docket for this rulemaking (EPA-HQ-OLEM-2022-0174</w:t>
      </w:r>
      <w:bookmarkEnd w:id="51"/>
      <w:r w:rsidRPr="00C545E0">
        <w:rPr>
          <w:rFonts w:ascii="Times New Roman" w:hAnsi="Times New Roman"/>
        </w:rPr>
        <w:t>).</w:t>
      </w:r>
    </w:p>
  </w:footnote>
  <w:footnote w:id="72">
    <w:p w:rsidR="00F438A4" w:rsidRPr="00E3101A" w:rsidP="00F438A4" w14:paraId="70825C11" w14:textId="77777777">
      <w:pPr>
        <w:autoSpaceDE w:val="0"/>
        <w:autoSpaceDN w:val="0"/>
        <w:adjustRightInd w:val="0"/>
        <w:spacing w:before="0" w:after="0"/>
        <w:rPr>
          <w:rFonts w:ascii="Times New Roman" w:hAnsi="Times New Roman"/>
          <w:sz w:val="20"/>
          <w:szCs w:val="20"/>
        </w:rPr>
      </w:pPr>
      <w:r w:rsidRPr="00E3101A">
        <w:rPr>
          <w:rStyle w:val="FootnoteReference"/>
          <w:rFonts w:ascii="Times New Roman" w:hAnsi="Times New Roman"/>
          <w:sz w:val="20"/>
          <w:szCs w:val="20"/>
        </w:rPr>
        <w:footnoteRef/>
      </w:r>
      <w:r w:rsidRPr="00E3101A">
        <w:rPr>
          <w:rFonts w:ascii="Times New Roman" w:hAnsi="Times New Roman"/>
          <w:sz w:val="20"/>
          <w:szCs w:val="20"/>
        </w:rPr>
        <w:t xml:space="preserve"> As described in </w:t>
      </w:r>
      <w:r w:rsidRPr="00E3101A">
        <w:rPr>
          <w:rFonts w:ascii="Times New Roman" w:hAnsi="Times New Roman" w:eastAsiaTheme="minorHAnsi"/>
          <w:sz w:val="20"/>
          <w:szCs w:val="20"/>
          <w14:ligatures w14:val="standardContextual"/>
        </w:rPr>
        <w:t xml:space="preserve">CCPS, </w:t>
      </w:r>
      <w:r w:rsidRPr="00E3101A">
        <w:rPr>
          <w:rFonts w:ascii="Times New Roman" w:hAnsi="Times New Roman" w:eastAsiaTheme="minorHAnsi"/>
          <w:i/>
          <w:iCs/>
          <w:sz w:val="20"/>
          <w:szCs w:val="20"/>
          <w14:ligatures w14:val="standardContextual"/>
        </w:rPr>
        <w:t xml:space="preserve">Guidelines for Siting and Layout of Facilities, 2nd Edition </w:t>
      </w:r>
      <w:r w:rsidRPr="00E3101A">
        <w:rPr>
          <w:rFonts w:ascii="Times New Roman" w:hAnsi="Times New Roman" w:eastAsiaTheme="minorHAnsi"/>
          <w:sz w:val="20"/>
          <w:szCs w:val="20"/>
          <w14:ligatures w14:val="standardContextual"/>
        </w:rPr>
        <w:t xml:space="preserve">(Hoboken, NJ: Wiley, 2018), </w:t>
      </w:r>
      <w:r w:rsidRPr="00E3101A">
        <w:rPr>
          <w:rFonts w:ascii="Times New Roman" w:hAnsi="Times New Roman" w:eastAsiaTheme="minorHAnsi"/>
          <w:i/>
          <w:iCs/>
          <w:sz w:val="20"/>
          <w:szCs w:val="20"/>
          <w14:ligatures w14:val="standardContextual"/>
        </w:rPr>
        <w:t>https://www.aiche.org/ccps/resources/publications/books/guidelines-siting-and-layout-facilities-2ndedition.</w:t>
      </w:r>
      <w:r w:rsidRPr="00E3101A">
        <w:rPr>
          <w:rFonts w:ascii="Times New Roman" w:hAnsi="Times New Roman" w:eastAsiaTheme="minorHAnsi"/>
          <w:sz w:val="20"/>
          <w:szCs w:val="20"/>
          <w14:ligatures w14:val="standardContextual"/>
        </w:rPr>
        <w:t>).</w:t>
      </w:r>
    </w:p>
  </w:footnote>
  <w:footnote w:id="73">
    <w:p w:rsidR="00F438A4" w:rsidRPr="009E5041" w:rsidP="00F438A4" w14:paraId="5412F2E8" w14:textId="0D82BF55">
      <w:pPr>
        <w:pStyle w:val="FootnoteText"/>
        <w:rPr>
          <w:rFonts w:ascii="Times New Roman" w:hAnsi="Times New Roman"/>
        </w:rPr>
      </w:pPr>
      <w:r w:rsidRPr="009E5041">
        <w:rPr>
          <w:rStyle w:val="FootnoteReference"/>
          <w:rFonts w:ascii="Times New Roman" w:hAnsi="Times New Roman"/>
        </w:rPr>
        <w:footnoteRef/>
      </w:r>
      <w:r w:rsidRPr="009E5041">
        <w:rPr>
          <w:rFonts w:ascii="Times New Roman" w:hAnsi="Times New Roman"/>
        </w:rPr>
        <w:t xml:space="preserve"> G.L.L. Reniers, W. Dullaert</w:t>
      </w:r>
      <w:r w:rsidR="00F079CA">
        <w:rPr>
          <w:rFonts w:ascii="Times New Roman" w:hAnsi="Times New Roman"/>
        </w:rPr>
        <w:t xml:space="preserve">, </w:t>
      </w:r>
      <w:r w:rsidRPr="00F079CA">
        <w:rPr>
          <w:rFonts w:ascii="Times New Roman" w:hAnsi="Times New Roman"/>
          <w:i/>
        </w:rPr>
        <w:t>Knock-on accident prevention in a chemical cluster</w:t>
      </w:r>
      <w:r w:rsidRPr="009E5041">
        <w:rPr>
          <w:rFonts w:ascii="Times New Roman" w:hAnsi="Times New Roman"/>
        </w:rPr>
        <w:t>, Expert Systems with Applications 34 (2008) 42–49</w:t>
      </w:r>
      <w:r w:rsidR="00764F3F">
        <w:rPr>
          <w:rFonts w:ascii="Times New Roman" w:hAnsi="Times New Roman"/>
        </w:rPr>
        <w:t>.</w:t>
      </w:r>
    </w:p>
    <w:p w:rsidR="00F438A4" w:rsidP="00F438A4" w14:paraId="75FD9C7F" w14:textId="77777777">
      <w:pPr>
        <w:pStyle w:val="FootnoteText"/>
      </w:pPr>
    </w:p>
  </w:footnote>
  <w:footnote w:id="74">
    <w:p w:rsidR="000048E9" w:rsidRPr="00BC16B0" w:rsidP="000048E9" w14:paraId="529B164D" w14:textId="427191CC">
      <w:pPr>
        <w:pStyle w:val="FootnoteText"/>
        <w:rPr>
          <w:rFonts w:ascii="Times New Roman" w:eastAsia="Times New Roman" w:hAnsi="Times New Roman"/>
        </w:rPr>
      </w:pPr>
      <w:r w:rsidRPr="00BC16B0">
        <w:rPr>
          <w:rStyle w:val="FootnoteReference"/>
          <w:rFonts w:ascii="Times New Roman" w:hAnsi="Times New Roman"/>
        </w:rPr>
        <w:footnoteRef/>
      </w:r>
      <w:r w:rsidRPr="006A7C04">
        <w:rPr>
          <w:rFonts w:ascii="Times New Roman" w:hAnsi="Times New Roman"/>
        </w:rPr>
        <w:t xml:space="preserve"> </w:t>
      </w:r>
      <w:hyperlink r:id="rId15" w:history="1">
        <w:r w:rsidRPr="00DE2E17" w:rsidR="006A7C04">
          <w:rPr>
            <w:rStyle w:val="Hyperlink"/>
            <w:rFonts w:ascii="Times New Roman" w:hAnsi="Times New Roman"/>
          </w:rPr>
          <w:t>https://www.osha.gov/sites/default/files/enforcement/directives/CPL02-02-045_CH-1_20150901.pdf</w:t>
        </w:r>
      </w:hyperlink>
      <w:r w:rsidR="006A7C04">
        <w:rPr>
          <w:rFonts w:ascii="Times New Roman" w:hAnsi="Times New Roman"/>
        </w:rPr>
        <w:t xml:space="preserve"> </w:t>
      </w:r>
    </w:p>
  </w:footnote>
  <w:footnote w:id="75">
    <w:p w:rsidR="004A315D" w:rsidRPr="00850AE6" w14:paraId="0BE2E65D" w14:textId="1CA7E555">
      <w:pPr>
        <w:pStyle w:val="FootnoteText"/>
        <w:rPr>
          <w:rFonts w:ascii="Times New Roman" w:hAnsi="Times New Roman"/>
        </w:rPr>
      </w:pPr>
      <w:r w:rsidRPr="00850AE6">
        <w:rPr>
          <w:rStyle w:val="FootnoteReference"/>
          <w:rFonts w:ascii="Times New Roman" w:hAnsi="Times New Roman"/>
        </w:rPr>
        <w:footnoteRef/>
      </w:r>
      <w:r w:rsidRPr="00850AE6">
        <w:rPr>
          <w:rFonts w:ascii="Times New Roman" w:hAnsi="Times New Roman"/>
        </w:rPr>
        <w:t xml:space="preserve"> Preselected categories are offered for this input. For more detail see the RMP </w:t>
      </w:r>
      <w:r w:rsidRPr="00850AE6" w:rsidR="00850AE6">
        <w:rPr>
          <w:rFonts w:ascii="Times New Roman" w:hAnsi="Times New Roman"/>
        </w:rPr>
        <w:t xml:space="preserve">*eSubmit Users Manual, </w:t>
      </w:r>
      <w:hyperlink r:id="rId16" w:history="1">
        <w:r w:rsidRPr="00850AE6" w:rsidR="00850AE6">
          <w:rPr>
            <w:rStyle w:val="Hyperlink"/>
            <w:rFonts w:ascii="Times New Roman" w:hAnsi="Times New Roman"/>
          </w:rPr>
          <w:t>https://www.epa.gov/system/files/documents/2022-11/RMP%20eSubmit%20User%20Manual%20%28October%202022%29.pdf</w:t>
        </w:r>
      </w:hyperlink>
      <w:r w:rsidRPr="00850AE6" w:rsidR="00850AE6">
        <w:rPr>
          <w:rFonts w:ascii="Times New Roman" w:hAnsi="Times New Roman"/>
        </w:rPr>
        <w:t xml:space="preserve"> (pages 96-97)</w:t>
      </w:r>
    </w:p>
  </w:footnote>
  <w:footnote w:id="76">
    <w:p w:rsidR="00DA04BD" w:rsidRPr="00FF43E3" w14:paraId="0864364A" w14:textId="01873D0D">
      <w:pPr>
        <w:pStyle w:val="FootnoteText"/>
        <w:rPr>
          <w:rFonts w:ascii="Times New Roman" w:hAnsi="Times New Roman"/>
        </w:rPr>
      </w:pPr>
      <w:r w:rsidRPr="00FF43E3">
        <w:rPr>
          <w:rStyle w:val="FootnoteReference"/>
          <w:rFonts w:ascii="Times New Roman" w:hAnsi="Times New Roman"/>
        </w:rPr>
        <w:footnoteRef/>
      </w:r>
      <w:r w:rsidRPr="00FF43E3">
        <w:rPr>
          <w:rFonts w:ascii="Times New Roman" w:hAnsi="Times New Roman"/>
        </w:rPr>
        <w:t xml:space="preserve"> </w:t>
      </w:r>
      <w:r w:rsidRPr="00FF43E3" w:rsidR="00C86966">
        <w:rPr>
          <w:rFonts w:ascii="Times New Roman" w:hAnsi="Times New Roman"/>
        </w:rPr>
        <w:t>These changes will be made to the submission system prior to the 4-year compliance date as described further in section IX.C.8. of the preamble</w:t>
      </w:r>
      <w:r w:rsidR="000D4E2A">
        <w:rPr>
          <w:rFonts w:ascii="Times New Roman" w:hAnsi="Times New Roman"/>
        </w:rPr>
        <w:t xml:space="preserve"> to the final rule</w:t>
      </w:r>
      <w:r w:rsidRPr="00FF43E3" w:rsidR="00C86966">
        <w:rPr>
          <w:rFonts w:ascii="Times New Roman" w:hAnsi="Times New Roman"/>
        </w:rPr>
        <w:t>.</w:t>
      </w:r>
    </w:p>
  </w:footnote>
  <w:footnote w:id="77">
    <w:p w:rsidR="000808F9" w:rsidP="000808F9" w14:paraId="25FE3AD8" w14:textId="226F87A1">
      <w:pPr>
        <w:pStyle w:val="FootnoteText"/>
        <w:rPr>
          <w:rFonts w:eastAsia="Times New Roman"/>
        </w:rPr>
      </w:pPr>
      <w:r>
        <w:rPr>
          <w:rStyle w:val="FootnoteReference"/>
          <w:rFonts w:cstheme="minorHAnsi"/>
        </w:rPr>
        <w:footnoteRef/>
      </w:r>
      <w:r>
        <w:t xml:space="preserve"> </w:t>
      </w:r>
      <w:hyperlink r:id="rId15" w:history="1">
        <w:r w:rsidRPr="00B57D00" w:rsidR="00531FDE">
          <w:rPr>
            <w:rStyle w:val="Hyperlink"/>
            <w:rFonts w:ascii="Times New Roman" w:hAnsi="Times New Roman"/>
          </w:rPr>
          <w:t>https://www.osha.gov/sites/default/files/enforcement/directives/CPL02-02-045_CH-1_20150901.pdf</w:t>
        </w:r>
      </w:hyperlink>
      <w:r w:rsidR="00531FDE">
        <w:rPr>
          <w:i/>
          <w:iCs/>
        </w:rPr>
        <w:t xml:space="preserve"> </w:t>
      </w:r>
    </w:p>
  </w:footnote>
  <w:footnote w:id="78">
    <w:p w:rsidR="003B30B6" w:rsidRPr="00FF43E3" w:rsidP="003B30B6" w14:paraId="0CC7762F" w14:textId="77777777">
      <w:pPr>
        <w:pStyle w:val="FootnoteText"/>
        <w:rPr>
          <w:rFonts w:ascii="Times New Roman" w:hAnsi="Times New Roman"/>
        </w:rPr>
      </w:pPr>
      <w:r w:rsidRPr="00FF43E3">
        <w:rPr>
          <w:rStyle w:val="FootnoteReference"/>
          <w:rFonts w:ascii="Times New Roman" w:hAnsi="Times New Roman"/>
        </w:rPr>
        <w:footnoteRef/>
      </w:r>
      <w:r w:rsidRPr="00FF43E3">
        <w:rPr>
          <w:rFonts w:ascii="Times New Roman" w:hAnsi="Times New Roman"/>
        </w:rPr>
        <w:t xml:space="preserve"> These changes will be made to the submission system prior to the 4-year compliance date as described further in section IX.C.8. of the preamble</w:t>
      </w:r>
      <w:r>
        <w:rPr>
          <w:rFonts w:ascii="Times New Roman" w:hAnsi="Times New Roman"/>
        </w:rPr>
        <w:t xml:space="preserve"> to the final rule</w:t>
      </w:r>
      <w:r w:rsidRPr="00FF43E3">
        <w:rPr>
          <w:rFonts w:ascii="Times New Roman" w:hAnsi="Times New Roman"/>
        </w:rPr>
        <w:t>.</w:t>
      </w:r>
    </w:p>
  </w:footnote>
  <w:footnote w:id="79">
    <w:p w:rsidR="003B12AF" w:rsidRPr="00CD0928" w:rsidP="003B12AF" w14:paraId="2A71E42B" w14:textId="77777777">
      <w:pPr>
        <w:pStyle w:val="FootnoteText"/>
        <w:rPr>
          <w:rFonts w:ascii="Times New Roman" w:hAnsi="Times New Roman"/>
        </w:rPr>
      </w:pPr>
      <w:r w:rsidRPr="00CD0928">
        <w:rPr>
          <w:rStyle w:val="FootnoteReference"/>
          <w:rFonts w:ascii="Times New Roman" w:hAnsi="Times New Roman"/>
        </w:rPr>
        <w:footnoteRef/>
      </w:r>
      <w:r w:rsidRPr="00CD0928">
        <w:rPr>
          <w:rFonts w:ascii="Times New Roman" w:hAnsi="Times New Roman"/>
        </w:rPr>
        <w:t xml:space="preserve"> Changes include chemical reduction, chemical increase, change in process parameters, installation of process controls, installation of process detection, installation of perimeter monitoring, installation of mitigation systems, revised maintenance, revised training, revised operating procedures, or other changes not included in these categories. These change categories are those reported in RMPs under 40 CFR 68.175(e)(6).</w:t>
      </w:r>
    </w:p>
  </w:footnote>
  <w:footnote w:id="80">
    <w:p w:rsidR="008D2F6F" w:rsidRPr="00E248B2" w14:paraId="5343CD17" w14:textId="6C231CC7">
      <w:pPr>
        <w:pStyle w:val="FootnoteText"/>
        <w:rPr>
          <w:rFonts w:ascii="Times New Roman" w:hAnsi="Times New Roman"/>
        </w:rPr>
      </w:pPr>
      <w:r w:rsidRPr="00E248B2">
        <w:rPr>
          <w:rStyle w:val="FootnoteReference"/>
          <w:rFonts w:ascii="Times New Roman" w:hAnsi="Times New Roman"/>
        </w:rPr>
        <w:footnoteRef/>
      </w:r>
      <w:r w:rsidRPr="00E248B2">
        <w:rPr>
          <w:rFonts w:ascii="Times New Roman" w:hAnsi="Times New Roman"/>
        </w:rPr>
        <w:t xml:space="preserve"> </w:t>
      </w:r>
      <w:r w:rsidRPr="00E248B2" w:rsidR="0007006C">
        <w:rPr>
          <w:rFonts w:ascii="Times New Roman" w:hAnsi="Times New Roman"/>
        </w:rPr>
        <w:t xml:space="preserve">The list of RMP facilities whose most current RMP plans (as of December 31, 2020) were reviewed is provided in the docket for this rulemaking, EPA-HQ-OLEM-2022-0174, </w:t>
      </w:r>
      <w:r w:rsidRPr="00E248B2" w:rsidR="0007006C">
        <w:rPr>
          <w:rFonts w:ascii="Times New Roman" w:hAnsi="Times New Roman"/>
          <w:i/>
        </w:rPr>
        <w:t>RMP facilities in PHA_accident change analysis</w:t>
      </w:r>
      <w:r w:rsidRPr="00E248B2" w:rsidR="0007006C">
        <w:rPr>
          <w:rFonts w:ascii="Times New Roman" w:hAnsi="Times New Roman"/>
        </w:rPr>
        <w:t>.</w:t>
      </w:r>
    </w:p>
  </w:footnote>
  <w:footnote w:id="81">
    <w:p w:rsidR="00F37E04" w:rsidRPr="0095537F" w14:paraId="2275C5AB" w14:textId="25216E14">
      <w:pPr>
        <w:pStyle w:val="FootnoteText"/>
        <w:rPr>
          <w:rFonts w:ascii="Times New Roman" w:hAnsi="Times New Roman"/>
        </w:rPr>
      </w:pPr>
      <w:r w:rsidRPr="0095537F">
        <w:rPr>
          <w:rStyle w:val="FootnoteReference"/>
          <w:rFonts w:ascii="Times New Roman" w:hAnsi="Times New Roman"/>
        </w:rPr>
        <w:footnoteRef/>
      </w:r>
      <w:r w:rsidRPr="0095537F">
        <w:rPr>
          <w:rFonts w:ascii="Times New Roman" w:hAnsi="Times New Roman"/>
        </w:rPr>
        <w:t xml:space="preserve"> </w:t>
      </w:r>
      <w:hyperlink r:id="rId17" w:history="1">
        <w:r w:rsidRPr="0095537F" w:rsidR="007C39CD">
          <w:rPr>
            <w:rStyle w:val="Hyperlink"/>
            <w:rFonts w:ascii="Times New Roman" w:hAnsi="Times New Roman"/>
          </w:rPr>
          <w:t>https://www.dir.ca.gov/title8/5189_1.html</w:t>
        </w:r>
      </w:hyperlink>
      <w:r w:rsidRPr="0095537F" w:rsidR="007C39CD">
        <w:rPr>
          <w:rFonts w:ascii="Times New Roman" w:hAnsi="Times New Roman"/>
        </w:rPr>
        <w:t xml:space="preserve">; </w:t>
      </w:r>
    </w:p>
  </w:footnote>
  <w:footnote w:id="82">
    <w:p w:rsidR="00B81A5F" w14:paraId="028580A8" w14:textId="4E39F8FF">
      <w:pPr>
        <w:pStyle w:val="FootnoteText"/>
      </w:pPr>
      <w:r w:rsidRPr="0095537F">
        <w:rPr>
          <w:rStyle w:val="FootnoteReference"/>
          <w:rFonts w:ascii="Times New Roman" w:hAnsi="Times New Roman"/>
        </w:rPr>
        <w:footnoteRef/>
      </w:r>
      <w:r w:rsidRPr="0095537F">
        <w:rPr>
          <w:rFonts w:ascii="Times New Roman" w:hAnsi="Times New Roman"/>
        </w:rPr>
        <w:t xml:space="preserve"> https://www.regulations.gov/comment/EPA-HQ-OLEM-2021-0312-0069</w:t>
      </w:r>
    </w:p>
  </w:footnote>
  <w:footnote w:id="83">
    <w:p w:rsidR="00DA56BA" w:rsidRPr="003B1EC5" w14:paraId="302B1DF9" w14:textId="7EAAF52C">
      <w:pPr>
        <w:pStyle w:val="FootnoteText"/>
        <w:rPr>
          <w:rFonts w:ascii="Times New Roman" w:hAnsi="Times New Roman"/>
        </w:rPr>
      </w:pPr>
      <w:r w:rsidRPr="003B1EC5">
        <w:rPr>
          <w:rStyle w:val="FootnoteReference"/>
          <w:rFonts w:ascii="Times New Roman" w:hAnsi="Times New Roman"/>
        </w:rPr>
        <w:footnoteRef/>
      </w:r>
      <w:r w:rsidRPr="003B1EC5">
        <w:rPr>
          <w:rFonts w:ascii="Times New Roman" w:hAnsi="Times New Roman"/>
        </w:rPr>
        <w:t xml:space="preserve"> </w:t>
      </w:r>
      <w:r w:rsidRPr="003B1EC5" w:rsidR="00E42181">
        <w:rPr>
          <w:rFonts w:ascii="Times New Roman" w:hAnsi="Times New Roman"/>
        </w:rPr>
        <w:t xml:space="preserve">Regulatory Impact Analysis: Safer Communities by Chemical Accident Prevention: Final Rule, Chapter </w:t>
      </w:r>
      <w:r w:rsidRPr="003B1EC5" w:rsidR="003B1EC5">
        <w:rPr>
          <w:rFonts w:ascii="Times New Roman" w:hAnsi="Times New Roman"/>
        </w:rPr>
        <w:t xml:space="preserve">9. </w:t>
      </w:r>
      <w:r w:rsidRPr="003B1EC5" w:rsidR="00E42181">
        <w:rPr>
          <w:rFonts w:ascii="Times New Roman" w:hAnsi="Times New Roman"/>
        </w:rPr>
        <w:t>This document is available in the docket for this rulemaking (EPA-HQ-OLEM-2022-0174).</w:t>
      </w:r>
    </w:p>
  </w:footnote>
  <w:footnote w:id="84">
    <w:p w:rsidR="0071330D" w:rsidRPr="00565DE4" w14:paraId="68F023F7" w14:textId="732C03BF">
      <w:pPr>
        <w:pStyle w:val="FootnoteText"/>
        <w:rPr>
          <w:rFonts w:ascii="Times New Roman" w:hAnsi="Times New Roman"/>
        </w:rPr>
      </w:pPr>
      <w:r w:rsidRPr="00F36706">
        <w:rPr>
          <w:rStyle w:val="FootnoteReference"/>
          <w:rFonts w:ascii="Times New Roman" w:hAnsi="Times New Roman"/>
        </w:rPr>
        <w:footnoteRef/>
      </w:r>
      <w:r w:rsidRPr="00565DE4">
        <w:rPr>
          <w:rFonts w:ascii="Times New Roman" w:hAnsi="Times New Roman"/>
        </w:rPr>
        <w:t xml:space="preserve"> EPA-HQ-2022-0174-0233</w:t>
      </w:r>
    </w:p>
  </w:footnote>
  <w:footnote w:id="85">
    <w:p w:rsidR="00225007" w:rsidRPr="00565DE4" w14:paraId="58DF5C6E" w14:textId="6E4077B3">
      <w:pPr>
        <w:pStyle w:val="FootnoteText"/>
        <w:rPr>
          <w:rFonts w:ascii="Times New Roman" w:hAnsi="Times New Roman"/>
        </w:rPr>
      </w:pPr>
      <w:r w:rsidRPr="00565DE4">
        <w:rPr>
          <w:rStyle w:val="FootnoteReference"/>
          <w:rFonts w:ascii="Times New Roman" w:hAnsi="Times New Roman"/>
        </w:rPr>
        <w:footnoteRef/>
      </w:r>
      <w:r w:rsidRPr="00565DE4">
        <w:rPr>
          <w:rFonts w:ascii="Times New Roman" w:hAnsi="Times New Roman"/>
        </w:rPr>
        <w:t xml:space="preserve"> See section </w:t>
      </w:r>
      <w:r w:rsidRPr="007E7320" w:rsidR="007E7320">
        <w:rPr>
          <w:rFonts w:ascii="Times New Roman" w:hAnsi="Times New Roman"/>
        </w:rPr>
        <w:t>V.</w:t>
      </w:r>
      <w:r w:rsidR="007E7320">
        <w:rPr>
          <w:rFonts w:ascii="Times New Roman" w:hAnsi="Times New Roman"/>
        </w:rPr>
        <w:t>B.3.</w:t>
      </w:r>
      <w:r w:rsidRPr="007E7320" w:rsidR="007E7320">
        <w:rPr>
          <w:rFonts w:ascii="Times New Roman" w:hAnsi="Times New Roman"/>
        </w:rPr>
        <w:t>d. ii.</w:t>
      </w:r>
      <w:r w:rsidRPr="00565DE4" w:rsidR="00DC3A99">
        <w:rPr>
          <w:rFonts w:ascii="Times New Roman" w:hAnsi="Times New Roman"/>
        </w:rPr>
        <w:t xml:space="preserve"> for more </w:t>
      </w:r>
      <w:r w:rsidR="005E599C">
        <w:rPr>
          <w:rFonts w:ascii="Times New Roman" w:hAnsi="Times New Roman"/>
        </w:rPr>
        <w:t>a more detailed description of the data analysis. The data is also included in the docket for this action</w:t>
      </w:r>
      <w:r w:rsidR="00565DE4">
        <w:rPr>
          <w:rFonts w:ascii="Times New Roman" w:hAnsi="Times New Roman"/>
        </w:rPr>
        <w:t>,</w:t>
      </w:r>
      <w:r w:rsidR="005E599C">
        <w:rPr>
          <w:rFonts w:ascii="Times New Roman" w:hAnsi="Times New Roman"/>
        </w:rPr>
        <w:t xml:space="preserve"> </w:t>
      </w:r>
      <w:r w:rsidR="00565DE4">
        <w:rPr>
          <w:rFonts w:ascii="Times New Roman" w:hAnsi="Times New Roman"/>
        </w:rPr>
        <w:t>EPA-HQ-2022-0174.</w:t>
      </w:r>
    </w:p>
  </w:footnote>
  <w:footnote w:id="86">
    <w:p w:rsidR="003963B8" w:rsidP="003963B8" w14:paraId="0B48CC67" w14:textId="7700F83E">
      <w:pPr>
        <w:pStyle w:val="FootnoteText"/>
      </w:pPr>
      <w:r w:rsidRPr="00565DE4">
        <w:rPr>
          <w:rStyle w:val="FootnoteReference"/>
          <w:rFonts w:ascii="Times New Roman" w:hAnsi="Times New Roman"/>
        </w:rPr>
        <w:footnoteRef/>
      </w:r>
      <w:r w:rsidRPr="00565DE4">
        <w:rPr>
          <w:rFonts w:ascii="Times New Roman" w:hAnsi="Times New Roman"/>
        </w:rPr>
        <w:t xml:space="preserve"> Safety experts have developed a way to group types of controls in an order or ‘‘hierarchy of controls’’ that prefers those that are least likely to fail. As discussed in more detail in the 2022 SCCAP proposed rule (87 FR 53575), controls that eliminate the hazard are preferred over those that do not require power or activation, which are preferred over those that do require power or activation, which are preferred over those that depend simply on rules of operation.</w:t>
      </w:r>
    </w:p>
  </w:footnote>
  <w:footnote w:id="87">
    <w:p w:rsidR="00A37800" w:rsidRPr="00342E25" w:rsidP="00A37800" w14:paraId="30D36AAF" w14:textId="77777777">
      <w:pPr>
        <w:pStyle w:val="FootnoteText"/>
        <w:rPr>
          <w:rFonts w:ascii="Times New Roman" w:hAnsi="Times New Roman"/>
        </w:rPr>
      </w:pPr>
      <w:r w:rsidRPr="00342E25">
        <w:rPr>
          <w:rStyle w:val="FootnoteReference"/>
          <w:rFonts w:ascii="Times New Roman" w:hAnsi="Times New Roman"/>
        </w:rPr>
        <w:footnoteRef/>
      </w:r>
      <w:r w:rsidRPr="00342E25">
        <w:rPr>
          <w:rFonts w:ascii="Times New Roman" w:hAnsi="Times New Roman"/>
        </w:rPr>
        <w:t xml:space="preserve"> EPA estimated monetized damages from RMP facility accidents of $540.23 million per year.</w:t>
      </w:r>
    </w:p>
  </w:footnote>
  <w:footnote w:id="88">
    <w:p w:rsidR="00A37800" w:rsidP="00A37800" w14:paraId="39B07E90" w14:textId="77777777">
      <w:pPr>
        <w:pStyle w:val="FootnoteText"/>
      </w:pPr>
      <w:r w:rsidRPr="00342E25">
        <w:rPr>
          <w:rStyle w:val="FootnoteReference"/>
          <w:rFonts w:ascii="Times New Roman" w:hAnsi="Times New Roman"/>
        </w:rPr>
        <w:footnoteRef/>
      </w:r>
      <w:r w:rsidRPr="00342E25">
        <w:rPr>
          <w:rFonts w:ascii="Times New Roman" w:hAnsi="Times New Roman"/>
        </w:rPr>
        <w:t xml:space="preserve"> </w:t>
      </w:r>
      <w:r w:rsidRPr="00342E25">
        <w:rPr>
          <w:rFonts w:ascii="Times New Roman" w:hAnsi="Times New Roman" w:eastAsiaTheme="minorHAnsi"/>
          <w:sz w:val="18"/>
          <w:szCs w:val="18"/>
        </w:rPr>
        <w:t>Marsh JLT Specialty, "100 Largest Losses in the Hydrocarbon Industry,” 27</w:t>
      </w:r>
      <w:r w:rsidRPr="00342E25">
        <w:rPr>
          <w:rFonts w:ascii="Times New Roman" w:hAnsi="Times New Roman" w:eastAsiaTheme="minorHAnsi"/>
          <w:sz w:val="18"/>
          <w:szCs w:val="18"/>
          <w:vertAlign w:val="superscript"/>
        </w:rPr>
        <w:t>th</w:t>
      </w:r>
      <w:r w:rsidRPr="00342E25">
        <w:rPr>
          <w:rFonts w:ascii="Times New Roman" w:hAnsi="Times New Roman" w:eastAsiaTheme="minorHAnsi"/>
          <w:sz w:val="18"/>
          <w:szCs w:val="18"/>
        </w:rPr>
        <w:t xml:space="preserve"> Edition, March 2022. Accessed from </w:t>
      </w:r>
      <w:hyperlink r:id="rId13" w:history="1">
        <w:r w:rsidRPr="00342E25">
          <w:rPr>
            <w:rFonts w:ascii="Times New Roman" w:hAnsi="Times New Roman" w:eastAsiaTheme="minorHAnsi"/>
            <w:color w:val="0563C1" w:themeColor="hyperlink"/>
            <w:sz w:val="18"/>
            <w:szCs w:val="18"/>
            <w:u w:val="single"/>
          </w:rPr>
          <w:t>https://www.marsh.com/uk/industries/energy-and-power/insights/100-largest-losses.html</w:t>
        </w:r>
      </w:hyperlink>
      <w:r w:rsidRPr="00342E25">
        <w:rPr>
          <w:rFonts w:ascii="Times New Roman" w:hAnsi="Times New Roman" w:eastAsiaTheme="minorHAnsi"/>
          <w:sz w:val="18"/>
          <w:szCs w:val="18"/>
        </w:rPr>
        <w:t>. Marsh provides estimates of large property damage losses in the hydrocarbon industry from 1974 to 2021 in current and 2021 dollars and in a few cases, business loss costs.</w:t>
      </w:r>
    </w:p>
  </w:footnote>
  <w:footnote w:id="89">
    <w:p w:rsidR="006A325B" w:rsidRPr="00197F65" w14:paraId="681BEBB7" w14:textId="1D6A0A31">
      <w:pPr>
        <w:pStyle w:val="FootnoteText"/>
        <w:rPr>
          <w:rFonts w:ascii="Times New Roman" w:hAnsi="Times New Roman"/>
        </w:rPr>
      </w:pPr>
      <w:r w:rsidRPr="00197F65">
        <w:rPr>
          <w:rStyle w:val="FootnoteReference"/>
          <w:rFonts w:ascii="Times New Roman" w:hAnsi="Times New Roman"/>
        </w:rPr>
        <w:footnoteRef/>
      </w:r>
      <w:r w:rsidRPr="00197F65">
        <w:rPr>
          <w:rFonts w:ascii="Times New Roman" w:hAnsi="Times New Roman"/>
        </w:rPr>
        <w:t xml:space="preserve"> This is further discussed in greater detail in Chapter 6 of the RIA. </w:t>
      </w:r>
    </w:p>
  </w:footnote>
  <w:footnote w:id="90">
    <w:p w:rsidR="008D0242" w:rsidRPr="00120258" w:rsidP="008D0242" w14:paraId="09BEFE2F" w14:textId="77777777">
      <w:pPr>
        <w:pStyle w:val="FootnoteText"/>
        <w:rPr>
          <w:rFonts w:ascii="Times New Roman" w:hAnsi="Times New Roman"/>
        </w:rPr>
      </w:pPr>
      <w:r w:rsidRPr="00051802">
        <w:rPr>
          <w:rStyle w:val="FootnoteReference"/>
          <w:rFonts w:ascii="Times New Roman" w:hAnsi="Times New Roman"/>
        </w:rPr>
        <w:footnoteRef/>
      </w:r>
      <w:r w:rsidRPr="00051802">
        <w:rPr>
          <w:rFonts w:ascii="Times New Roman" w:hAnsi="Times New Roman"/>
        </w:rPr>
        <w:t xml:space="preserve"> Modified HF (MHF) is a mixture of pure HF with another chemical (sulfolane) that is intended to reduce the dispersion of HF in the event of an accidental release. To the extent such mixtures exceed the above concentration and threshold quantity criteria, the mixture would be covered under the RMP rule. </w:t>
      </w:r>
    </w:p>
  </w:footnote>
  <w:footnote w:id="91">
    <w:p w:rsidR="008D0242" w:rsidP="008D0242" w14:paraId="7F2A134F" w14:textId="77777777">
      <w:pPr>
        <w:pStyle w:val="FootnoteText"/>
      </w:pPr>
      <w:r>
        <w:rPr>
          <w:rStyle w:val="FootnoteReference"/>
        </w:rPr>
        <w:footnoteRef/>
      </w:r>
      <w:r>
        <w:t xml:space="preserve"> </w:t>
      </w:r>
      <w:r w:rsidRPr="00817238">
        <w:rPr>
          <w:rStyle w:val="normaltextrun"/>
          <w:rFonts w:ascii="Times New Roman" w:hAnsi="Times New Roman"/>
          <w:color w:val="000000"/>
          <w:shd w:val="clear" w:color="auto" w:fill="FFFFFF"/>
        </w:rPr>
        <w:t>Including but not limited to meetings on various dates in Appendix B to this document.</w:t>
      </w:r>
    </w:p>
  </w:footnote>
  <w:footnote w:id="92">
    <w:p w:rsidR="008B1355" w:rsidP="008B1355" w14:paraId="15BF8983" w14:textId="77777777">
      <w:pPr>
        <w:pStyle w:val="FootnoteText"/>
      </w:pPr>
      <w:r w:rsidRPr="00BD130A">
        <w:rPr>
          <w:rStyle w:val="FootnoteReference"/>
          <w:rFonts w:ascii="Times New Roman" w:hAnsi="Times New Roman"/>
        </w:rPr>
        <w:footnoteRef/>
      </w:r>
      <w:r w:rsidRPr="00BD130A">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93">
    <w:p w:rsidR="00557390" w:rsidRPr="000E5153" w:rsidP="00557390" w14:paraId="1B7E1E69" w14:textId="77777777">
      <w:pPr>
        <w:pStyle w:val="FootnoteText"/>
        <w:rPr>
          <w:rFonts w:ascii="Times New Roman" w:hAnsi="Times New Roman"/>
        </w:rPr>
      </w:pPr>
      <w:r w:rsidRPr="006523F8">
        <w:rPr>
          <w:rStyle w:val="FootnoteReference"/>
          <w:rFonts w:ascii="Times New Roman" w:hAnsi="Times New Roman"/>
        </w:rPr>
        <w:footnoteRef/>
      </w:r>
      <w:r w:rsidRPr="000E5153">
        <w:rPr>
          <w:rFonts w:ascii="Times New Roman" w:hAnsi="Times New Roman"/>
        </w:rPr>
        <w:t xml:space="preserve"> The list of these accidents and their details can be found in the Technical Background Document for Notice of Proposed Rulemaking: Risk Management Programs Under the Clean Air Act, Section 112(r)(7); Safer Communities by Chemical Accident Prevention (April 19, 2022), Appendix A, </w:t>
      </w:r>
      <w:hyperlink r:id="rId18" w:history="1">
        <w:r w:rsidRPr="000E5153">
          <w:rPr>
            <w:rStyle w:val="Hyperlink"/>
            <w:rFonts w:ascii="Times New Roman" w:hAnsi="Times New Roman"/>
          </w:rPr>
          <w:t>https://www.regulations.gov/document/EPA-HQ-OLEM-2022-0174-0065</w:t>
        </w:r>
      </w:hyperlink>
      <w:r w:rsidRPr="000E5153">
        <w:rPr>
          <w:rFonts w:ascii="Times New Roman" w:hAnsi="Times New Roman"/>
        </w:rPr>
        <w:t>. These accidents are specifically identified in Column BZ.</w:t>
      </w:r>
    </w:p>
  </w:footnote>
  <w:footnote w:id="94">
    <w:p w:rsidR="00AC491E" w:rsidRPr="00A31BB8" w14:paraId="7FD9F7D2" w14:textId="578BBCFD">
      <w:pPr>
        <w:pStyle w:val="FootnoteText"/>
        <w:rPr>
          <w:rFonts w:ascii="Times New Roman" w:hAnsi="Times New Roman"/>
        </w:rPr>
      </w:pPr>
      <w:r>
        <w:rPr>
          <w:rStyle w:val="FootnoteReference"/>
        </w:rPr>
        <w:footnoteRef/>
      </w:r>
      <w:r>
        <w:t xml:space="preserve"> </w:t>
      </w:r>
      <w:r w:rsidRPr="00A31BB8">
        <w:rPr>
          <w:rFonts w:ascii="Times New Roman" w:hAnsi="Times New Roman"/>
        </w:rPr>
        <w:t>CCPS. 2009, Inherently Safer Chemical Processes: A Life Cycle Approach. 2nd ed.</w:t>
      </w:r>
      <w:r w:rsidRPr="00A31BB8" w:rsidR="00A31BB8">
        <w:rPr>
          <w:rFonts w:ascii="Times New Roman" w:hAnsi="Times New Roman"/>
        </w:rPr>
        <w:t xml:space="preserve">, </w:t>
      </w:r>
      <w:hyperlink r:id="rId19" w:history="1">
        <w:r w:rsidRPr="00000E58" w:rsidR="00742901">
          <w:rPr>
            <w:rStyle w:val="Hyperlink"/>
            <w:rFonts w:ascii="Times New Roman" w:hAnsi="Times New Roman"/>
          </w:rPr>
          <w:t>https://www.regulations.gov/document?D=EPA-HQ-OEM-2015-0725-0253</w:t>
        </w:r>
      </w:hyperlink>
      <w:r w:rsidR="00742901">
        <w:rPr>
          <w:rFonts w:ascii="Times New Roman" w:hAnsi="Times New Roman"/>
        </w:rPr>
        <w:t xml:space="preserve"> </w:t>
      </w:r>
    </w:p>
  </w:footnote>
  <w:footnote w:id="95">
    <w:p w:rsidR="00A37E6C" w:rsidRPr="00A31BB8" w14:paraId="334009DA" w14:textId="6CF7E346">
      <w:pPr>
        <w:pStyle w:val="FootnoteText"/>
        <w:rPr>
          <w:rFonts w:ascii="Times New Roman" w:hAnsi="Times New Roman"/>
        </w:rPr>
      </w:pPr>
      <w:r w:rsidRPr="00A31BB8">
        <w:rPr>
          <w:rStyle w:val="FootnoteReference"/>
          <w:rFonts w:ascii="Times New Roman" w:hAnsi="Times New Roman"/>
        </w:rPr>
        <w:footnoteRef/>
      </w:r>
      <w:r w:rsidRPr="00A31BB8">
        <w:rPr>
          <w:rFonts w:ascii="Times New Roman" w:hAnsi="Times New Roman"/>
        </w:rPr>
        <w:t xml:space="preserve"> CCPS. July 2010. Final Report: Definition for Inherently Safer Technology in Production, Transportation, Storage, and </w:t>
      </w:r>
      <w:r w:rsidRPr="00A31BB8" w:rsidR="007F446A">
        <w:rPr>
          <w:rFonts w:ascii="Times New Roman" w:hAnsi="Times New Roman"/>
        </w:rPr>
        <w:t xml:space="preserve">Use, </w:t>
      </w:r>
      <w:hyperlink r:id="rId20" w:history="1">
        <w:r w:rsidRPr="00000E58" w:rsidR="00742901">
          <w:rPr>
            <w:rStyle w:val="Hyperlink"/>
            <w:rFonts w:ascii="Times New Roman" w:hAnsi="Times New Roman"/>
          </w:rPr>
          <w:t>https://www.regulations.gov/document?D=EPA-HQ-OEM-2015-0725-0274</w:t>
        </w:r>
      </w:hyperlink>
      <w:r w:rsidR="00742901">
        <w:rPr>
          <w:rFonts w:ascii="Times New Roman" w:hAnsi="Times New Roman"/>
        </w:rPr>
        <w:t xml:space="preserve"> </w:t>
      </w:r>
    </w:p>
  </w:footnote>
  <w:footnote w:id="96">
    <w:p w:rsidR="005047E5" w14:paraId="313287C0" w14:textId="2AB2374D">
      <w:pPr>
        <w:pStyle w:val="FootnoteText"/>
      </w:pPr>
      <w:r w:rsidRPr="00A31BB8">
        <w:rPr>
          <w:rStyle w:val="FootnoteReference"/>
          <w:rFonts w:ascii="Times New Roman" w:hAnsi="Times New Roman"/>
        </w:rPr>
        <w:footnoteRef/>
      </w:r>
      <w:r w:rsidRPr="00A31BB8">
        <w:rPr>
          <w:rFonts w:ascii="Times New Roman" w:hAnsi="Times New Roman"/>
        </w:rPr>
        <w:t xml:space="preserve"> NJDEP TCPA. March 29, 2012. NJ Title 7, Chapter 31 TCPA Program Consolidated Rule Document </w:t>
      </w:r>
      <w:hyperlink r:id="rId21" w:history="1">
        <w:r w:rsidRPr="00000E58" w:rsidR="00742901">
          <w:rPr>
            <w:rStyle w:val="Hyperlink"/>
            <w:rFonts w:ascii="Times New Roman" w:hAnsi="Times New Roman"/>
          </w:rPr>
          <w:t>http://www.nj.gov/dep/rules/rules/njac7_31.pdf</w:t>
        </w:r>
      </w:hyperlink>
      <w:r w:rsidR="00742901">
        <w:rPr>
          <w:rFonts w:ascii="Times New Roman" w:hAnsi="Times New Roman"/>
          <w:color w:val="0000FF"/>
        </w:rPr>
        <w:t xml:space="preserve"> </w:t>
      </w:r>
      <w:r w:rsidRPr="00A31BB8">
        <w:rPr>
          <w:rFonts w:ascii="Times New Roman" w:hAnsi="Times New Roman"/>
        </w:rPr>
        <w:t>.</w:t>
      </w:r>
      <w:r>
        <w:t xml:space="preserve">  </w:t>
      </w:r>
    </w:p>
  </w:footnote>
  <w:footnote w:id="97">
    <w:p w:rsidR="00996E9A" w:rsidRPr="00612638" w:rsidP="00996E9A" w14:paraId="519513F1" w14:textId="795E194A">
      <w:pPr>
        <w:pStyle w:val="FootnoteText"/>
        <w:rPr>
          <w:rFonts w:ascii="Times New Roman" w:hAnsi="Times New Roman"/>
        </w:rPr>
      </w:pPr>
      <w:r w:rsidRPr="00612638">
        <w:rPr>
          <w:rStyle w:val="FootnoteReference"/>
          <w:rFonts w:ascii="Times New Roman" w:hAnsi="Times New Roman"/>
        </w:rPr>
        <w:footnoteRef/>
      </w:r>
      <w:r w:rsidRPr="00612638">
        <w:rPr>
          <w:rFonts w:ascii="Times New Roman" w:hAnsi="Times New Roman"/>
        </w:rPr>
        <w:t xml:space="preserve"> </w:t>
      </w:r>
      <w:r w:rsidRPr="002C6180" w:rsidR="002C6180">
        <w:t xml:space="preserve"> </w:t>
      </w:r>
      <w:hyperlink r:id="rId22" w:history="1">
        <w:r w:rsidRPr="002C6180" w:rsidR="002C6180">
          <w:rPr>
            <w:rStyle w:val="Hyperlink"/>
            <w:rFonts w:ascii="Times New Roman" w:hAnsi="Times New Roman"/>
          </w:rPr>
          <w:t>https://www.nj.gov/dep/enforcement/tcpa/downloads/istguidance_rev2.pdf</w:t>
        </w:r>
      </w:hyperlink>
      <w:r w:rsidR="002C6180">
        <w:t xml:space="preserve">    </w:t>
      </w:r>
    </w:p>
  </w:footnote>
  <w:footnote w:id="98">
    <w:p w:rsidR="00D046C7" w14:paraId="3263A4F9" w14:textId="3906FE85">
      <w:pPr>
        <w:pStyle w:val="FootnoteText"/>
      </w:pPr>
      <w:r>
        <w:rPr>
          <w:rStyle w:val="FootnoteReference"/>
        </w:rPr>
        <w:footnoteRef/>
      </w:r>
      <w:r>
        <w:t xml:space="preserve"> </w:t>
      </w:r>
      <w:hyperlink r:id="rId16" w:history="1">
        <w:r w:rsidRPr="00D046C7">
          <w:rPr>
            <w:rStyle w:val="Hyperlink"/>
            <w:rFonts w:ascii="Times New Roman" w:hAnsi="Times New Roman"/>
          </w:rPr>
          <w:t>https://www.epa.gov/system/files/documents/2022-11/RMP%20eSubmit%20User%20Manual%20%28October%202022%29.pdf</w:t>
        </w:r>
      </w:hyperlink>
      <w:r>
        <w:t xml:space="preserve"> </w:t>
      </w:r>
    </w:p>
  </w:footnote>
  <w:footnote w:id="99">
    <w:p w:rsidR="004E06A9" w:rsidRPr="005323FE" w14:paraId="7014D65F" w14:textId="79706AD3">
      <w:pPr>
        <w:pStyle w:val="FootnoteText"/>
        <w:rPr>
          <w:rFonts w:ascii="Times New Roman" w:hAnsi="Times New Roman"/>
        </w:rPr>
      </w:pPr>
      <w:r w:rsidRPr="005323FE">
        <w:rPr>
          <w:rStyle w:val="FootnoteReference"/>
          <w:rFonts w:ascii="Times New Roman" w:hAnsi="Times New Roman"/>
        </w:rPr>
        <w:footnoteRef/>
      </w:r>
      <w:r w:rsidRPr="005323FE">
        <w:rPr>
          <w:rFonts w:ascii="Times New Roman" w:hAnsi="Times New Roman"/>
        </w:rPr>
        <w:t xml:space="preserve"> Such data are also consistent with accident frequency data that formed part of the basis for the STAA applicability provisions in the 2017 Amendments rule. See 81 Fed. Reg. 13668-69 (March 14, 2016) (Amendments rule NPRM); 82 Fed. Reg. 4632-34 (January 13, 2017).</w:t>
      </w:r>
    </w:p>
  </w:footnote>
  <w:footnote w:id="100">
    <w:p w:rsidR="001F5FEA" w:rsidRPr="005323FE" w14:paraId="1D83925E" w14:textId="2265F806">
      <w:pPr>
        <w:pStyle w:val="FootnoteText"/>
        <w:rPr>
          <w:rFonts w:ascii="Times New Roman" w:hAnsi="Times New Roman"/>
        </w:rPr>
      </w:pPr>
      <w:r w:rsidRPr="005323FE">
        <w:rPr>
          <w:rStyle w:val="FootnoteReference"/>
          <w:rFonts w:ascii="Times New Roman" w:hAnsi="Times New Roman"/>
        </w:rPr>
        <w:footnoteRef/>
      </w:r>
      <w:r w:rsidRPr="005323FE">
        <w:rPr>
          <w:rFonts w:ascii="Times New Roman" w:hAnsi="Times New Roman"/>
        </w:rPr>
        <w:t xml:space="preserve"> </w:t>
      </w:r>
      <w:r w:rsidRPr="005323FE" w:rsidR="00502809">
        <w:rPr>
          <w:rFonts w:ascii="Times New Roman" w:hAnsi="Times New Roman"/>
        </w:rPr>
        <w:t>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See sections 3.2 and 3.3 of the RIA for more on this and other limitations on the number and costs of baseline accidents.</w:t>
      </w:r>
    </w:p>
  </w:footnote>
  <w:footnote w:id="101">
    <w:p w:rsidR="0059359B" w:rsidRPr="00F17F57" w:rsidP="0059359B" w14:paraId="1575273D" w14:textId="77777777">
      <w:pPr>
        <w:pStyle w:val="FootnoteText"/>
        <w:rPr>
          <w:rFonts w:ascii="Times New Roman" w:hAnsi="Times New Roman"/>
        </w:rPr>
      </w:pPr>
      <w:r w:rsidRPr="00F17F57">
        <w:rPr>
          <w:rStyle w:val="FootnoteReference"/>
          <w:rFonts w:ascii="Times New Roman" w:hAnsi="Times New Roman"/>
        </w:rPr>
        <w:footnoteRef/>
      </w:r>
      <w:r w:rsidRPr="00F17F57">
        <w:rPr>
          <w:rFonts w:ascii="Times New Roman" w:hAnsi="Times New Roman"/>
        </w:rPr>
        <w:t xml:space="preserve"> The list of these accidents and their details can be found in the Technical Background Document for Notice of Proposed Rulemaking: Risk Management Programs Under the Clean Air Act, Section 112(r)(7); Safer Communities by Chemical Accident Prevention (April 19, 2022), Appendix A, </w:t>
      </w:r>
      <w:hyperlink r:id="rId18" w:history="1">
        <w:r w:rsidRPr="00F17F57">
          <w:rPr>
            <w:rStyle w:val="Hyperlink"/>
            <w:rFonts w:ascii="Times New Roman" w:hAnsi="Times New Roman"/>
          </w:rPr>
          <w:t>https://www.regulations.gov/document/EPA-HQ-OLEM-2022-0174-0065</w:t>
        </w:r>
      </w:hyperlink>
      <w:r w:rsidRPr="00F17F57">
        <w:rPr>
          <w:rFonts w:ascii="Times New Roman" w:hAnsi="Times New Roman"/>
        </w:rPr>
        <w:t>. These accidents are specifically identified in Column BZ.</w:t>
      </w:r>
    </w:p>
  </w:footnote>
  <w:footnote w:id="102">
    <w:p w:rsidR="00C06F6B" w:rsidRPr="00471ECE" w:rsidP="00C06F6B" w14:paraId="3888D213" w14:textId="77777777">
      <w:pPr>
        <w:pStyle w:val="FootnoteText"/>
        <w:rPr>
          <w:rFonts w:ascii="Times New Roman" w:hAnsi="Times New Roman"/>
        </w:rPr>
      </w:pPr>
      <w:r w:rsidRPr="00471ECE">
        <w:rPr>
          <w:rStyle w:val="FootnoteReference"/>
          <w:rFonts w:ascii="Times New Roman" w:hAnsi="Times New Roman"/>
        </w:rPr>
        <w:footnoteRef/>
      </w:r>
      <w:r w:rsidRPr="00471ECE">
        <w:rPr>
          <w:rFonts w:ascii="Times New Roman" w:hAnsi="Times New Roman"/>
        </w:rPr>
        <w:t xml:space="preserve"> The list of these accidents and their details can be found in the Technical Background Document for Notice of Proposed Rulemaking: Risk Management Programs Under the Clean Air Act, Section 112(r)(7); Safer Communities by Chemical Accident Prevention (April 19, 2022), Appendix A, </w:t>
      </w:r>
      <w:hyperlink r:id="rId18" w:history="1">
        <w:r w:rsidRPr="00471ECE">
          <w:rPr>
            <w:rStyle w:val="Hyperlink"/>
            <w:rFonts w:ascii="Times New Roman" w:hAnsi="Times New Roman"/>
          </w:rPr>
          <w:t>https://www.regulations.gov/document/EPA-HQ-OLEM-2022-0174-0065</w:t>
        </w:r>
      </w:hyperlink>
      <w:r w:rsidRPr="00471ECE">
        <w:rPr>
          <w:rFonts w:ascii="Times New Roman" w:hAnsi="Times New Roman"/>
        </w:rPr>
        <w:t>. These accidents are specifically identified in Column BZ.</w:t>
      </w:r>
    </w:p>
  </w:footnote>
  <w:footnote w:id="103">
    <w:p w:rsidR="00D94A93" w:rsidP="00D94A93" w14:paraId="22D6BF12" w14:textId="77777777">
      <w:pPr>
        <w:pStyle w:val="FootnoteText"/>
      </w:pPr>
      <w:r>
        <w:rPr>
          <w:rStyle w:val="FootnoteReference"/>
        </w:rPr>
        <w:footnoteRef/>
      </w:r>
      <w:r>
        <w:t xml:space="preserve"> </w:t>
      </w:r>
      <w:hyperlink r:id="rId23" w:history="1">
        <w:r w:rsidRPr="00B45507">
          <w:rPr>
            <w:rStyle w:val="Hyperlink"/>
            <w:rFonts w:ascii="Times New Roman" w:hAnsi="Times New Roman"/>
          </w:rPr>
          <w:t>https://www.regulations.gov/document/EPA-HQ-OLEM-2022-0174-0091</w:t>
        </w:r>
      </w:hyperlink>
      <w:r>
        <w:t xml:space="preserve"> </w:t>
      </w:r>
    </w:p>
  </w:footnote>
  <w:footnote w:id="104">
    <w:p w:rsidR="0013064E" w:rsidP="0097566D" w14:paraId="26F060A4" w14:textId="167D83EE">
      <w:pPr>
        <w:autoSpaceDE w:val="0"/>
        <w:autoSpaceDN w:val="0"/>
        <w:adjustRightInd w:val="0"/>
        <w:spacing w:before="0" w:after="0"/>
      </w:pPr>
      <w:r w:rsidRPr="00256E87">
        <w:rPr>
          <w:rStyle w:val="FootnoteReference"/>
          <w:rFonts w:ascii="Times New Roman" w:hAnsi="Times New Roman"/>
          <w:sz w:val="20"/>
          <w:szCs w:val="20"/>
        </w:rPr>
        <w:footnoteRef/>
      </w:r>
      <w:r w:rsidRPr="00256E87">
        <w:rPr>
          <w:rFonts w:ascii="Times New Roman" w:hAnsi="Times New Roman"/>
          <w:sz w:val="20"/>
          <w:szCs w:val="20"/>
        </w:rPr>
        <w:t xml:space="preserve"> </w:t>
      </w:r>
      <w:r w:rsidRPr="00256E87">
        <w:rPr>
          <w:rFonts w:ascii="Times New Roman" w:hAnsi="Times New Roman" w:eastAsiaTheme="minorHAnsi"/>
          <w:sz w:val="20"/>
          <w:szCs w:val="20"/>
          <w14:ligatures w14:val="standardContextual"/>
        </w:rPr>
        <w:t>Technical Background Document for Notice of</w:t>
      </w:r>
      <w:r w:rsidRPr="00256E87" w:rsidR="0097566D">
        <w:rPr>
          <w:rFonts w:ascii="Times New Roman" w:hAnsi="Times New Roman" w:eastAsiaTheme="minorHAnsi"/>
          <w:sz w:val="20"/>
          <w:szCs w:val="20"/>
          <w14:ligatures w14:val="standardContextual"/>
        </w:rPr>
        <w:t xml:space="preserve"> </w:t>
      </w:r>
      <w:r w:rsidRPr="00256E87">
        <w:rPr>
          <w:rFonts w:ascii="Times New Roman" w:hAnsi="Times New Roman" w:eastAsiaTheme="minorHAnsi"/>
          <w:sz w:val="20"/>
          <w:szCs w:val="20"/>
          <w14:ligatures w14:val="standardContextual"/>
        </w:rPr>
        <w:t>Proposed Rulemaking: Risk Management Programs</w:t>
      </w:r>
      <w:r w:rsidRPr="00256E87" w:rsidR="0097566D">
        <w:rPr>
          <w:rFonts w:ascii="Times New Roman" w:hAnsi="Times New Roman" w:eastAsiaTheme="minorHAnsi"/>
          <w:sz w:val="20"/>
          <w:szCs w:val="20"/>
          <w14:ligatures w14:val="standardContextual"/>
        </w:rPr>
        <w:t xml:space="preserve"> </w:t>
      </w:r>
      <w:r w:rsidRPr="00256E87">
        <w:rPr>
          <w:rFonts w:ascii="Times New Roman" w:hAnsi="Times New Roman" w:eastAsiaTheme="minorHAnsi"/>
          <w:sz w:val="20"/>
          <w:szCs w:val="20"/>
          <w14:ligatures w14:val="standardContextual"/>
        </w:rPr>
        <w:t>Under the Clean Air Act, Section 112(r)(7); Safer</w:t>
      </w:r>
      <w:r w:rsidR="00256E87">
        <w:rPr>
          <w:rFonts w:ascii="Times New Roman" w:hAnsi="Times New Roman" w:eastAsiaTheme="minorHAnsi"/>
          <w:sz w:val="20"/>
          <w:szCs w:val="20"/>
          <w14:ligatures w14:val="standardContextual"/>
        </w:rPr>
        <w:t xml:space="preserve"> </w:t>
      </w:r>
      <w:r w:rsidRPr="00256E87">
        <w:rPr>
          <w:rFonts w:ascii="Times New Roman" w:hAnsi="Times New Roman" w:eastAsiaTheme="minorHAnsi"/>
          <w:sz w:val="20"/>
          <w:szCs w:val="20"/>
          <w14:ligatures w14:val="standardContextual"/>
        </w:rPr>
        <w:t>Communities by Chemical Accident Prevention</w:t>
      </w:r>
      <w:r w:rsidRPr="00256E87" w:rsidR="0097566D">
        <w:rPr>
          <w:rFonts w:ascii="Times New Roman" w:hAnsi="Times New Roman" w:eastAsiaTheme="minorHAnsi"/>
          <w:sz w:val="20"/>
          <w:szCs w:val="20"/>
          <w14:ligatures w14:val="standardContextual"/>
        </w:rPr>
        <w:t xml:space="preserve"> </w:t>
      </w:r>
      <w:r w:rsidRPr="00256E87">
        <w:rPr>
          <w:rFonts w:ascii="Times New Roman" w:hAnsi="Times New Roman" w:eastAsiaTheme="minorHAnsi"/>
          <w:sz w:val="20"/>
          <w:szCs w:val="20"/>
          <w14:ligatures w14:val="standardContextual"/>
        </w:rPr>
        <w:t>(April 19, 2022).</w:t>
      </w:r>
    </w:p>
  </w:footnote>
  <w:footnote w:id="105">
    <w:p w:rsidR="0037477F" w:rsidRPr="00FE1DF7" w14:paraId="2F0EBC42" w14:textId="4124E13F">
      <w:pPr>
        <w:pStyle w:val="FootnoteText"/>
        <w:rPr>
          <w:rFonts w:ascii="Times New Roman" w:hAnsi="Times New Roman"/>
        </w:rPr>
      </w:pPr>
      <w:r w:rsidRPr="00FE1DF7">
        <w:rPr>
          <w:rStyle w:val="FootnoteReference"/>
          <w:rFonts w:ascii="Times New Roman" w:hAnsi="Times New Roman"/>
        </w:rPr>
        <w:footnoteRef/>
      </w:r>
      <w:r w:rsidRPr="00FE1DF7">
        <w:rPr>
          <w:rFonts w:ascii="Times New Roman" w:hAnsi="Times New Roman"/>
        </w:rPr>
        <w:t xml:space="preserve"> Such data are also consistent with accident frequency data that formed part of the basis for the STAA applicability provisions in the 2017 Amendments rule. See 81 Fed. Reg. 13668-69 (March 14, 2016) (Amendments rule NPRM); 82 Fed. Reg. 4632-34 (January 13, 2017).</w:t>
      </w:r>
    </w:p>
  </w:footnote>
  <w:footnote w:id="106">
    <w:p w:rsidR="003039D6" w:rsidRPr="00803B74" w:rsidP="003039D6" w14:paraId="4456C298" w14:textId="77777777">
      <w:pPr>
        <w:pStyle w:val="FootnoteText"/>
        <w:rPr>
          <w:rFonts w:ascii="Times New Roman" w:hAnsi="Times New Roman"/>
        </w:rPr>
      </w:pPr>
      <w:r w:rsidRPr="00803B74">
        <w:rPr>
          <w:rStyle w:val="FootnoteReference"/>
          <w:rFonts w:ascii="Times New Roman" w:hAnsi="Times New Roman"/>
        </w:rPr>
        <w:footnoteRef/>
      </w:r>
      <w:r w:rsidRPr="00803B74">
        <w:rPr>
          <w:rFonts w:ascii="Times New Roman" w:hAnsi="Times New Roman"/>
        </w:rPr>
        <w:t xml:space="preserve"> Technical Background Document for Notice of Proposed Rulemaking: Risk Management Programs Under the Clean Air Act, Section 112(r)(7); Safer Communities by Chemical Accident Prevention (April 19, 2022)</w:t>
      </w:r>
    </w:p>
  </w:footnote>
  <w:footnote w:id="107">
    <w:p w:rsidR="00EC3EFE" w:rsidRPr="00E3101A" w:rsidP="00EC3EFE" w14:paraId="45BF248C" w14:textId="77777777">
      <w:pPr>
        <w:autoSpaceDE w:val="0"/>
        <w:autoSpaceDN w:val="0"/>
        <w:adjustRightInd w:val="0"/>
        <w:spacing w:before="0" w:after="0"/>
        <w:rPr>
          <w:rFonts w:ascii="Times New Roman" w:hAnsi="Times New Roman"/>
          <w:sz w:val="20"/>
          <w:szCs w:val="20"/>
        </w:rPr>
      </w:pPr>
      <w:r w:rsidRPr="00E3101A">
        <w:rPr>
          <w:rStyle w:val="FootnoteReference"/>
          <w:rFonts w:ascii="Times New Roman" w:hAnsi="Times New Roman"/>
          <w:sz w:val="20"/>
          <w:szCs w:val="20"/>
        </w:rPr>
        <w:footnoteRef/>
      </w:r>
      <w:r w:rsidRPr="00E3101A">
        <w:rPr>
          <w:rFonts w:ascii="Times New Roman" w:hAnsi="Times New Roman"/>
          <w:sz w:val="20"/>
          <w:szCs w:val="20"/>
        </w:rPr>
        <w:t xml:space="preserve"> As described in </w:t>
      </w:r>
      <w:r w:rsidRPr="00E3101A">
        <w:rPr>
          <w:rFonts w:ascii="Times New Roman" w:hAnsi="Times New Roman" w:eastAsiaTheme="minorHAnsi"/>
          <w:sz w:val="20"/>
          <w:szCs w:val="20"/>
          <w14:ligatures w14:val="standardContextual"/>
        </w:rPr>
        <w:t xml:space="preserve">CCPS, </w:t>
      </w:r>
      <w:r w:rsidRPr="00E3101A">
        <w:rPr>
          <w:rFonts w:ascii="Times New Roman" w:hAnsi="Times New Roman" w:eastAsiaTheme="minorHAnsi"/>
          <w:i/>
          <w:iCs/>
          <w:sz w:val="20"/>
          <w:szCs w:val="20"/>
          <w14:ligatures w14:val="standardContextual"/>
        </w:rPr>
        <w:t xml:space="preserve">Guidelines for Siting and Layout of Facilities, 2nd Edition </w:t>
      </w:r>
      <w:r w:rsidRPr="00E3101A">
        <w:rPr>
          <w:rFonts w:ascii="Times New Roman" w:hAnsi="Times New Roman" w:eastAsiaTheme="minorHAnsi"/>
          <w:sz w:val="20"/>
          <w:szCs w:val="20"/>
          <w14:ligatures w14:val="standardContextual"/>
        </w:rPr>
        <w:t xml:space="preserve">(Hoboken, NJ: Wiley, 2018), </w:t>
      </w:r>
      <w:r w:rsidRPr="00E3101A">
        <w:rPr>
          <w:rFonts w:ascii="Times New Roman" w:hAnsi="Times New Roman" w:eastAsiaTheme="minorHAnsi"/>
          <w:i/>
          <w:iCs/>
          <w:sz w:val="20"/>
          <w:szCs w:val="20"/>
          <w14:ligatures w14:val="standardContextual"/>
        </w:rPr>
        <w:t>https://www.aiche.org/ccps/resources/publications/books/guidelines-siting-and-layout-facilities-2ndedition.</w:t>
      </w:r>
      <w:r w:rsidRPr="00E3101A">
        <w:rPr>
          <w:rFonts w:ascii="Times New Roman" w:hAnsi="Times New Roman" w:eastAsiaTheme="minorHAnsi"/>
          <w:sz w:val="20"/>
          <w:szCs w:val="20"/>
          <w14:ligatures w14:val="standardContextual"/>
        </w:rPr>
        <w:t>).</w:t>
      </w:r>
    </w:p>
  </w:footnote>
  <w:footnote w:id="108">
    <w:p w:rsidR="00782276" w:rsidRPr="009E5041" w:rsidP="00782276" w14:paraId="4299282B" w14:textId="6B3B613A">
      <w:pPr>
        <w:pStyle w:val="FootnoteText"/>
        <w:rPr>
          <w:rFonts w:ascii="Times New Roman" w:hAnsi="Times New Roman"/>
        </w:rPr>
      </w:pPr>
      <w:r w:rsidRPr="009E5041">
        <w:rPr>
          <w:rStyle w:val="FootnoteReference"/>
          <w:rFonts w:ascii="Times New Roman" w:hAnsi="Times New Roman"/>
        </w:rPr>
        <w:footnoteRef/>
      </w:r>
      <w:r w:rsidRPr="009E5041">
        <w:rPr>
          <w:rFonts w:ascii="Times New Roman" w:hAnsi="Times New Roman"/>
        </w:rPr>
        <w:t xml:space="preserve"> </w:t>
      </w:r>
      <w:r w:rsidRPr="009E5041">
        <w:rPr>
          <w:rFonts w:ascii="Times New Roman" w:hAnsi="Times New Roman"/>
        </w:rPr>
        <w:t>G.L.L. Reniers, W. Dullaert,</w:t>
      </w:r>
      <w:r w:rsidR="008E7982">
        <w:rPr>
          <w:rFonts w:ascii="Times New Roman" w:hAnsi="Times New Roman"/>
        </w:rPr>
        <w:t xml:space="preserve"> </w:t>
      </w:r>
      <w:r w:rsidRPr="009E5041">
        <w:rPr>
          <w:rFonts w:ascii="Times New Roman" w:hAnsi="Times New Roman"/>
        </w:rPr>
        <w:t>Knock-on accident prevention in a chemical cluster</w:t>
      </w:r>
      <w:r w:rsidRPr="009E5041" w:rsidR="009E5041">
        <w:rPr>
          <w:rFonts w:ascii="Times New Roman" w:hAnsi="Times New Roman"/>
        </w:rPr>
        <w:t>, Expert Systems with Applications 34 (2008) 42–49</w:t>
      </w:r>
    </w:p>
    <w:p w:rsidR="00F41271" w14:paraId="08868538" w14:textId="3799B804">
      <w:pPr>
        <w:pStyle w:val="FootnoteText"/>
      </w:pPr>
      <w:bookmarkStart w:id="83" w:name="_Hlk152250324"/>
    </w:p>
    <w:bookmarkEnd w:id="83"/>
  </w:footnote>
  <w:footnote w:id="109">
    <w:p w:rsidR="00E63714" w:rsidRPr="00C9751C" w14:paraId="2133123A" w14:textId="6E43D453">
      <w:pPr>
        <w:pStyle w:val="FootnoteText"/>
        <w:rPr>
          <w:rFonts w:ascii="Times New Roman" w:hAnsi="Times New Roman"/>
        </w:rPr>
      </w:pPr>
      <w:r w:rsidRPr="00C9751C">
        <w:rPr>
          <w:rStyle w:val="FootnoteReference"/>
          <w:rFonts w:ascii="Times New Roman" w:hAnsi="Times New Roman"/>
        </w:rPr>
        <w:footnoteRef/>
      </w:r>
      <w:r w:rsidRPr="00C9751C">
        <w:rPr>
          <w:rFonts w:ascii="Times New Roman" w:hAnsi="Times New Roman"/>
        </w:rPr>
        <w:t xml:space="preserve"> </w:t>
      </w:r>
      <w:hyperlink r:id="rId22" w:history="1">
        <w:r w:rsidRPr="000D276A" w:rsidR="00AE4433">
          <w:rPr>
            <w:rStyle w:val="Hyperlink"/>
            <w:rFonts w:ascii="Times New Roman" w:hAnsi="Times New Roman"/>
            <w:i/>
          </w:rPr>
          <w:t>https://www.nj.gov/dep/enforcement/tcpa/downloads/istguidance_rev2.pdf</w:t>
        </w:r>
      </w:hyperlink>
      <w:r w:rsidR="00AE4433">
        <w:t xml:space="preserve">    </w:t>
      </w:r>
    </w:p>
  </w:footnote>
  <w:footnote w:id="110">
    <w:p w:rsidR="003B12AF" w:rsidRPr="00EF6E81" w:rsidP="003B12AF" w14:paraId="51F48FB2" w14:textId="77777777">
      <w:pPr>
        <w:pStyle w:val="FootnoteText"/>
        <w:rPr>
          <w:rFonts w:ascii="Times New Roman" w:hAnsi="Times New Roman"/>
        </w:rPr>
      </w:pPr>
      <w:r w:rsidRPr="00EF6E81">
        <w:rPr>
          <w:rStyle w:val="FootnoteReference"/>
          <w:rFonts w:ascii="Times New Roman" w:hAnsi="Times New Roman"/>
        </w:rPr>
        <w:footnoteRef/>
      </w:r>
      <w:r w:rsidRPr="00EF6E81">
        <w:rPr>
          <w:rFonts w:ascii="Times New Roman" w:hAnsi="Times New Roman"/>
        </w:rPr>
        <w:t xml:space="preserve"> EPA, General RMP Guidance - Chapter. 6: Prevention Program (Program 2) (2004), pp. 6–11, </w:t>
      </w:r>
      <w:r w:rsidRPr="00EF6E81">
        <w:rPr>
          <w:rFonts w:ascii="Times New Roman" w:hAnsi="Times New Roman"/>
          <w:i/>
          <w:iCs/>
        </w:rPr>
        <w:t>https://www.epa.gov/sites/default/files/2013-11/documents/chap-06-final.pdf</w:t>
      </w:r>
      <w:r w:rsidRPr="00EF6E81">
        <w:rPr>
          <w:rFonts w:ascii="Times New Roman" w:hAnsi="Times New Roman"/>
        </w:rPr>
        <w:t>.</w:t>
      </w:r>
    </w:p>
  </w:footnote>
  <w:footnote w:id="111">
    <w:p w:rsidR="003B12AF" w:rsidRPr="000843B9" w:rsidP="003B12AF" w14:paraId="2E397CCD" w14:textId="77777777">
      <w:pPr>
        <w:pStyle w:val="FootnoteText"/>
        <w:rPr>
          <w:rFonts w:ascii="Times New Roman" w:hAnsi="Times New Roman"/>
        </w:rPr>
      </w:pPr>
      <w:r w:rsidRPr="000843B9">
        <w:rPr>
          <w:rStyle w:val="FootnoteReference"/>
          <w:rFonts w:ascii="Times New Roman" w:hAnsi="Times New Roman"/>
        </w:rPr>
        <w:footnoteRef/>
      </w:r>
      <w:r w:rsidRPr="000843B9">
        <w:rPr>
          <w:rFonts w:ascii="Times New Roman" w:hAnsi="Times New Roman"/>
        </w:rPr>
        <w:t xml:space="preserve"> EPA, General RMP Guidance – Chapter 7: Prevention Program (Program 3) (2004), pp. 7-7, </w:t>
      </w:r>
      <w:r w:rsidRPr="000843B9">
        <w:rPr>
          <w:rFonts w:ascii="Times New Roman" w:hAnsi="Times New Roman"/>
          <w:i/>
          <w:iCs/>
        </w:rPr>
        <w:t>https://www.epa.gov/sites/default/files/2013-11/documents/chap-07-final.pdf</w:t>
      </w:r>
      <w:r w:rsidRPr="000843B9">
        <w:rPr>
          <w:rFonts w:ascii="Times New Roman" w:hAnsi="Times New Roman"/>
        </w:rPr>
        <w:t>.</w:t>
      </w:r>
    </w:p>
  </w:footnote>
  <w:footnote w:id="112">
    <w:p w:rsidR="003B12AF" w:rsidRPr="000843B9" w:rsidP="003B12AF" w14:paraId="6E7595D8" w14:textId="77777777">
      <w:pPr>
        <w:pStyle w:val="FootnoteText"/>
        <w:rPr>
          <w:rFonts w:ascii="Times New Roman" w:hAnsi="Times New Roman"/>
        </w:rPr>
      </w:pPr>
      <w:r w:rsidRPr="000843B9">
        <w:rPr>
          <w:rStyle w:val="FootnoteReference"/>
          <w:rFonts w:ascii="Times New Roman" w:eastAsia="MS Mincho" w:hAnsi="Times New Roman"/>
        </w:rPr>
        <w:footnoteRef/>
      </w:r>
      <w:r w:rsidRPr="000843B9">
        <w:rPr>
          <w:rFonts w:ascii="Times New Roman" w:hAnsi="Times New Roman"/>
        </w:rPr>
        <w:t xml:space="preserve"> </w:t>
      </w:r>
      <w:hyperlink r:id="rId24" w:history="1">
        <w:r w:rsidRPr="000843B9">
          <w:rPr>
            <w:rStyle w:val="Hyperlink"/>
            <w:rFonts w:ascii="Times New Roman" w:hAnsi="Times New Roman"/>
          </w:rPr>
          <w:t>https://www.csb.gov/husky-energy-superior-refinery-explosion-and-fire/</w:t>
        </w:r>
      </w:hyperlink>
      <w:r w:rsidRPr="000843B9">
        <w:rPr>
          <w:rFonts w:ascii="Times New Roman" w:hAnsi="Times New Roman"/>
        </w:rPr>
        <w:t>.</w:t>
      </w:r>
    </w:p>
  </w:footnote>
  <w:footnote w:id="113">
    <w:p w:rsidR="003B12AF" w:rsidRPr="00886CF4" w:rsidP="003B12AF" w14:paraId="30026359" w14:textId="77777777">
      <w:pPr>
        <w:pStyle w:val="FootnoteText"/>
      </w:pPr>
      <w:r w:rsidRPr="000843B9">
        <w:rPr>
          <w:rStyle w:val="FootnoteReference"/>
          <w:rFonts w:ascii="Times New Roman" w:eastAsia="MS Mincho" w:hAnsi="Times New Roman"/>
        </w:rPr>
        <w:footnoteRef/>
      </w:r>
      <w:r w:rsidRPr="000843B9">
        <w:rPr>
          <w:rFonts w:ascii="Times New Roman" w:hAnsi="Times New Roman"/>
        </w:rPr>
        <w:t xml:space="preserve"> </w:t>
      </w:r>
      <w:hyperlink r:id="rId25" w:history="1">
        <w:r w:rsidRPr="000843B9">
          <w:rPr>
            <w:rStyle w:val="Hyperlink"/>
            <w:rFonts w:ascii="Times New Roman" w:hAnsi="Times New Roman"/>
          </w:rPr>
          <w:t>https://www.csb.gov/philadelphia-energy-solutions-pes-refinery-fire-and-explosions-/</w:t>
        </w:r>
      </w:hyperlink>
      <w:r w:rsidRPr="000843B9">
        <w:rPr>
          <w:rFonts w:ascii="Times New Roman" w:hAnsi="Times New Roman"/>
        </w:rPr>
        <w:t>.</w:t>
      </w:r>
    </w:p>
  </w:footnote>
  <w:footnote w:id="114">
    <w:p w:rsidR="00FD7D60" w:rsidRPr="00437CB1" w:rsidP="00FD7D60" w14:paraId="3144FEFE" w14:textId="77777777">
      <w:pPr>
        <w:pStyle w:val="FootnoteText"/>
        <w:rPr>
          <w:rFonts w:ascii="Times New Roman" w:hAnsi="Times New Roman"/>
        </w:rPr>
      </w:pPr>
      <w:r w:rsidRPr="00437CB1">
        <w:rPr>
          <w:rStyle w:val="FootnoteReference"/>
          <w:rFonts w:ascii="Times New Roman" w:hAnsi="Times New Roman"/>
        </w:rPr>
        <w:footnoteRef/>
      </w:r>
      <w:r w:rsidRPr="00437CB1">
        <w:rPr>
          <w:rFonts w:ascii="Times New Roman" w:hAnsi="Times New Roman"/>
        </w:rPr>
        <w:t xml:space="preserve"> If passive mitigation or other adopted mitigation measures would be sufficient to change all NAICS 324 or 325 processes to Program 1, then the source no longer would have an obligation to add additional mitigation measures in future PHAs, as the mandate for safeguard implementation only applies to Program 3 processes. If the adopted mitigation measure is insufficient to meet Program 1 at all NAICS 324 and 325 processes at the source, then the potential for offsite impacts presenting risk would remain. </w:t>
      </w:r>
    </w:p>
  </w:footnote>
  <w:footnote w:id="115">
    <w:p w:rsidR="003B12AF" w:rsidRPr="00886CF4" w:rsidP="003B12AF" w14:paraId="296B4C1F" w14:textId="77777777">
      <w:pPr>
        <w:pStyle w:val="FootnoteText"/>
      </w:pPr>
      <w:r w:rsidRPr="00886CF4">
        <w:rPr>
          <w:rStyle w:val="FootnoteReference"/>
        </w:rPr>
        <w:footnoteRef/>
      </w:r>
      <w:r w:rsidRPr="00886CF4">
        <w:t xml:space="preserve"> </w:t>
      </w:r>
      <w:r w:rsidRPr="00D829F8">
        <w:rPr>
          <w:rFonts w:ascii="Times New Roman" w:hAnsi="Times New Roman"/>
        </w:rPr>
        <w:t>The 2019 Reconsideration Rule did not specifically discuss requiring or not requiring implementation of measures identified in a STAA because it more generally rescinded all prevention measures promulgated in 2017. With no requirement to perform an STAA, there was no need to assess whether implementation of measures identified in such an analysis needed to be implemented. The proposed rule and this final rule discuss the reasons for adopting a different broad approach to prevention than that adopted in 2019.</w:t>
      </w:r>
    </w:p>
  </w:footnote>
  <w:footnote w:id="116">
    <w:p w:rsidR="00F41FFB" w:rsidRPr="00BC16B0" w:rsidP="00F41FFB" w14:paraId="5B9D15E7" w14:textId="77777777">
      <w:pPr>
        <w:pStyle w:val="FootnoteText"/>
        <w:rPr>
          <w:rFonts w:ascii="Times New Roman" w:hAnsi="Times New Roman"/>
        </w:rPr>
      </w:pPr>
      <w:r w:rsidRPr="00BC16B0">
        <w:rPr>
          <w:rStyle w:val="FootnoteReference"/>
          <w:rFonts w:ascii="Times New Roman" w:hAnsi="Times New Roman"/>
        </w:rPr>
        <w:footnoteRef/>
      </w:r>
      <w:r w:rsidRPr="00BC16B0">
        <w:rPr>
          <w:rFonts w:ascii="Times New Roman" w:hAnsi="Times New Roman"/>
        </w:rPr>
        <w:t xml:space="preserve"> Technical Background Document for Notice of Proposed Rulemaking: Risk Management Programs Under the Clean Air Act, Section 112(r)(7); Safer Communities by Chemical Accident Prevention (April 19, 2022).</w:t>
      </w:r>
    </w:p>
  </w:footnote>
  <w:footnote w:id="117">
    <w:p w:rsidR="00F41FFB" w:rsidRPr="00BC16B0" w:rsidP="00F41FFB" w14:paraId="345E2160" w14:textId="77777777">
      <w:pPr>
        <w:pStyle w:val="FootnoteText"/>
        <w:rPr>
          <w:rFonts w:ascii="Times New Roman" w:hAnsi="Times New Roman"/>
        </w:rPr>
      </w:pPr>
      <w:r w:rsidRPr="00BC16B0">
        <w:rPr>
          <w:rStyle w:val="FootnoteReference"/>
          <w:rFonts w:ascii="Times New Roman" w:hAnsi="Times New Roman"/>
        </w:rPr>
        <w:footnoteRef/>
      </w:r>
      <w:r w:rsidRPr="00BC16B0">
        <w:rPr>
          <w:rFonts w:ascii="Times New Roman" w:hAnsi="Times New Roman"/>
        </w:rPr>
        <w:t xml:space="preserve"> CCPS 2019. Center for Chemical Process Safety, Guidelines for Investigating Process Safety Incidents, 3rd Edition, NY: AIChE.</w:t>
      </w:r>
    </w:p>
  </w:footnote>
  <w:footnote w:id="118">
    <w:p w:rsidR="00F41FFB" w:rsidRPr="00BC16B0" w:rsidP="00F41FFB" w14:paraId="1A332D47" w14:textId="77777777">
      <w:pPr>
        <w:pStyle w:val="FootnoteText"/>
        <w:rPr>
          <w:rFonts w:ascii="Times New Roman" w:hAnsi="Times New Roman"/>
        </w:rPr>
      </w:pPr>
      <w:r w:rsidRPr="00BC16B0">
        <w:rPr>
          <w:rStyle w:val="FootnoteReference"/>
          <w:rFonts w:ascii="Times New Roman" w:hAnsi="Times New Roman"/>
        </w:rPr>
        <w:footnoteRef/>
      </w:r>
      <w:r w:rsidRPr="00BC16B0">
        <w:rPr>
          <w:rFonts w:ascii="Times New Roman" w:hAnsi="Times New Roman"/>
        </w:rPr>
        <w:t xml:space="preserve"> Technical Background Document for Notice of Proposed Rulemaking: Risk Management Programs Under the Clean Air Act, Section 112(r)(7); Safer Communities by Chemical Accident Prevention (April 19, 2022).</w:t>
      </w:r>
    </w:p>
  </w:footnote>
  <w:footnote w:id="119">
    <w:p w:rsidR="00F41FFB" w:rsidRPr="00886CF4" w:rsidP="00F41FFB" w14:paraId="385CC89F" w14:textId="77777777">
      <w:pPr>
        <w:pStyle w:val="FootnoteText"/>
      </w:pPr>
      <w:r w:rsidRPr="00BC16B0">
        <w:rPr>
          <w:rStyle w:val="FootnoteReference"/>
          <w:rFonts w:ascii="Times New Roman" w:hAnsi="Times New Roman"/>
        </w:rPr>
        <w:footnoteRef/>
      </w:r>
      <w:r w:rsidRPr="00BC16B0">
        <w:rPr>
          <w:rFonts w:ascii="Times New Roman" w:hAnsi="Times New Roman"/>
        </w:rPr>
        <w:t xml:space="preserve"> See 40 CFR 68.10 Program 2 eligibility requirements.</w:t>
      </w:r>
    </w:p>
  </w:footnote>
  <w:footnote w:id="120">
    <w:p w:rsidR="007E0FCC" w:rsidRPr="00982BC3" w:rsidP="007E0FCC" w14:paraId="0EF67D52" w14:textId="77777777">
      <w:pPr>
        <w:pStyle w:val="FootnoteText"/>
        <w:rPr>
          <w:rFonts w:ascii="Times New Roman" w:eastAsia="Times New Roman" w:hAnsi="Times New Roman"/>
        </w:rPr>
      </w:pPr>
      <w:r w:rsidRPr="00982BC3">
        <w:rPr>
          <w:rStyle w:val="FootnoteReference"/>
          <w:rFonts w:ascii="Times New Roman" w:hAnsi="Times New Roman"/>
        </w:rPr>
        <w:footnoteRef/>
      </w:r>
      <w:r w:rsidRPr="00982BC3">
        <w:rPr>
          <w:rFonts w:ascii="Times New Roman" w:hAnsi="Times New Roman"/>
        </w:rPr>
        <w:t xml:space="preserve"> Technical Background Document for Notice of Proposed Rulemaking: Risk Management Programs Under the Clean Air Act, Section 112(r)(7); Safer Communities by Chemical Accident Prevention (April 19, 2022).</w:t>
      </w:r>
    </w:p>
  </w:footnote>
  <w:footnote w:id="121">
    <w:p w:rsidR="00F41FFB" w:rsidRPr="00DF3936" w:rsidP="00F41FFB" w14:paraId="5A894EB5" w14:textId="77777777">
      <w:pPr>
        <w:pStyle w:val="FootnoteText"/>
        <w:rPr>
          <w:rFonts w:ascii="Times New Roman" w:hAnsi="Times New Roman"/>
        </w:rPr>
      </w:pPr>
      <w:r w:rsidRPr="00DF3936">
        <w:rPr>
          <w:rStyle w:val="FootnoteReference"/>
          <w:rFonts w:ascii="Times New Roman" w:hAnsi="Times New Roman"/>
        </w:rPr>
        <w:footnoteRef/>
      </w:r>
      <w:r w:rsidRPr="00DF3936">
        <w:rPr>
          <w:rFonts w:ascii="Times New Roman" w:hAnsi="Times New Roman"/>
        </w:rPr>
        <w:t xml:space="preserve"> CCPS 2019. Center for Chemical Process Safety, Guidelines for Investigating Process Safety Incidents, 3rd Edition, NY: AIChE.</w:t>
      </w:r>
    </w:p>
  </w:footnote>
  <w:footnote w:id="122">
    <w:p w:rsidR="00581C9B" w:rsidRPr="0076074F" w:rsidP="00581C9B" w14:paraId="2791DEEE" w14:textId="77777777">
      <w:pPr>
        <w:pStyle w:val="FootnoteText"/>
        <w:rPr>
          <w:rFonts w:ascii="Times New Roman" w:hAnsi="Times New Roman"/>
        </w:rPr>
      </w:pPr>
      <w:r w:rsidRPr="0076074F">
        <w:rPr>
          <w:rStyle w:val="FootnoteReference"/>
          <w:rFonts w:ascii="Times New Roman" w:hAnsi="Times New Roman"/>
        </w:rPr>
        <w:footnoteRef/>
      </w:r>
      <w:r w:rsidRPr="0076074F">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123">
    <w:p w:rsidR="007C53A2" w:rsidRPr="003D1BF2" w14:paraId="06B4748F" w14:textId="4D906898">
      <w:pPr>
        <w:pStyle w:val="FootnoteText"/>
        <w:rPr>
          <w:rFonts w:ascii="Times New Roman" w:hAnsi="Times New Roman"/>
        </w:rPr>
      </w:pPr>
      <w:r w:rsidRPr="00CF5DC3">
        <w:rPr>
          <w:rStyle w:val="FootnoteReference"/>
          <w:rFonts w:ascii="Times New Roman" w:hAnsi="Times New Roman"/>
        </w:rPr>
        <w:footnoteRef/>
      </w:r>
      <w:r w:rsidRPr="00CF5DC3">
        <w:rPr>
          <w:rFonts w:ascii="Times New Roman" w:hAnsi="Times New Roman"/>
        </w:rPr>
        <w:t xml:space="preserve"> </w:t>
      </w:r>
      <w:hyperlink r:id="rId26" w:history="1">
        <w:r w:rsidRPr="003D1BF2" w:rsidR="00627BF9">
          <w:rPr>
            <w:rStyle w:val="Hyperlink"/>
            <w:rFonts w:ascii="Times New Roman" w:hAnsi="Times New Roman"/>
          </w:rPr>
          <w:t>https://www.nacd.com/responsible-distribution/about-responsible-distribution/</w:t>
        </w:r>
      </w:hyperlink>
      <w:r w:rsidRPr="003D1BF2" w:rsidR="00627BF9">
        <w:rPr>
          <w:rFonts w:ascii="Times New Roman" w:hAnsi="Times New Roman"/>
        </w:rPr>
        <w:t xml:space="preserve"> </w:t>
      </w:r>
    </w:p>
  </w:footnote>
  <w:footnote w:id="124">
    <w:p w:rsidR="00627BF9" w:rsidRPr="003D1BF2" w14:paraId="51E732F0" w14:textId="5540299D">
      <w:pPr>
        <w:pStyle w:val="FootnoteText"/>
        <w:rPr>
          <w:rFonts w:ascii="Times New Roman" w:hAnsi="Times New Roman"/>
        </w:rPr>
      </w:pPr>
      <w:r w:rsidRPr="003D1BF2">
        <w:rPr>
          <w:rStyle w:val="FootnoteReference"/>
          <w:rFonts w:ascii="Times New Roman" w:hAnsi="Times New Roman"/>
        </w:rPr>
        <w:footnoteRef/>
      </w:r>
      <w:r w:rsidRPr="003D1BF2">
        <w:rPr>
          <w:rFonts w:ascii="Times New Roman" w:hAnsi="Times New Roman"/>
        </w:rPr>
        <w:t xml:space="preserve"> </w:t>
      </w:r>
      <w:hyperlink r:id="rId27" w:history="1">
        <w:r w:rsidRPr="003D1BF2">
          <w:rPr>
            <w:rStyle w:val="Hyperlink"/>
            <w:rFonts w:ascii="Times New Roman" w:hAnsi="Times New Roman"/>
          </w:rPr>
          <w:t>https://www.americanchemistry.com/chemistry-in-america/responsible-care-driving-safety-industry-performance?gclid=EAIaIQobChMIov_h7qbw9QIVj67ICh3g5guDEAAYASAAEgLHCfD_BwE</w:t>
        </w:r>
      </w:hyperlink>
      <w:r w:rsidRPr="003D1BF2">
        <w:rPr>
          <w:rFonts w:ascii="Times New Roman" w:hAnsi="Times New Roman"/>
        </w:rPr>
        <w:t xml:space="preserve"> </w:t>
      </w:r>
    </w:p>
  </w:footnote>
  <w:footnote w:id="125">
    <w:p w:rsidR="00B27DC7" w14:paraId="6167B079" w14:textId="4DFF9484">
      <w:pPr>
        <w:pStyle w:val="FootnoteText"/>
      </w:pPr>
      <w:r w:rsidRPr="003D1BF2">
        <w:rPr>
          <w:rStyle w:val="FootnoteReference"/>
          <w:rFonts w:ascii="Times New Roman" w:hAnsi="Times New Roman"/>
        </w:rPr>
        <w:footnoteRef/>
      </w:r>
      <w:r w:rsidRPr="003D1BF2">
        <w:rPr>
          <w:rFonts w:ascii="Times New Roman" w:hAnsi="Times New Roman"/>
        </w:rPr>
        <w:t xml:space="preserve"> </w:t>
      </w:r>
      <w:hyperlink r:id="rId28" w:history="1">
        <w:r w:rsidRPr="003D1BF2">
          <w:rPr>
            <w:rStyle w:val="Hyperlink"/>
            <w:rFonts w:ascii="Times New Roman" w:hAnsi="Times New Roman"/>
          </w:rPr>
          <w:t>https://www.api.org/products-and-services/site-safety</w:t>
        </w:r>
      </w:hyperlink>
      <w:r>
        <w:t xml:space="preserve"> </w:t>
      </w:r>
    </w:p>
  </w:footnote>
  <w:footnote w:id="126">
    <w:p w:rsidR="00A91AED" w:rsidRPr="00CF5DC3" w14:paraId="28133387" w14:textId="0CE16DB1">
      <w:pPr>
        <w:pStyle w:val="FootnoteText"/>
        <w:rPr>
          <w:rFonts w:ascii="Times New Roman" w:hAnsi="Times New Roman"/>
        </w:rPr>
      </w:pPr>
      <w:r w:rsidRPr="00CF5DC3">
        <w:rPr>
          <w:rStyle w:val="FootnoteReference"/>
          <w:rFonts w:ascii="Times New Roman" w:hAnsi="Times New Roman"/>
        </w:rPr>
        <w:footnoteRef/>
      </w:r>
      <w:r w:rsidRPr="00CF5DC3">
        <w:rPr>
          <w:rFonts w:ascii="Times New Roman" w:hAnsi="Times New Roman"/>
        </w:rPr>
        <w:t xml:space="preserve"> https://www.socma.org/operations-manufacturing/chemstewards/</w:t>
      </w:r>
    </w:p>
  </w:footnote>
  <w:footnote w:id="127">
    <w:p w:rsidR="00F41FFB" w:rsidRPr="00CF5DC3" w:rsidP="00F41FFB" w14:paraId="6CD3176B" w14:textId="04950CA3">
      <w:pPr>
        <w:pStyle w:val="FootnoteText"/>
        <w:rPr>
          <w:rFonts w:ascii="Times New Roman" w:hAnsi="Times New Roman"/>
        </w:rPr>
      </w:pPr>
      <w:r w:rsidRPr="00CF5DC3">
        <w:rPr>
          <w:rStyle w:val="FootnoteReference"/>
          <w:rFonts w:ascii="Times New Roman" w:hAnsi="Times New Roman"/>
        </w:rPr>
        <w:footnoteRef/>
      </w:r>
      <w:r w:rsidRPr="00CF5DC3">
        <w:rPr>
          <w:rFonts w:ascii="Times New Roman" w:hAnsi="Times New Roman"/>
        </w:rPr>
        <w:t xml:space="preserve"> </w:t>
      </w:r>
      <w:r w:rsidRPr="00CF5DC3">
        <w:rPr>
          <w:rFonts w:ascii="Times New Roman" w:hAnsi="Times New Roman"/>
          <w:i/>
        </w:rPr>
        <w:t>See, esp</w:t>
      </w:r>
      <w:r w:rsidRPr="00CF5DC3">
        <w:rPr>
          <w:rFonts w:ascii="Times New Roman" w:hAnsi="Times New Roman"/>
        </w:rPr>
        <w:t xml:space="preserve">.: (1) Short, Jodi L., and Michael W. Toffel, </w:t>
      </w:r>
      <w:r w:rsidRPr="00CF5DC3">
        <w:rPr>
          <w:rFonts w:ascii="Times New Roman" w:hAnsi="Times New Roman"/>
          <w:i/>
        </w:rPr>
        <w:t>The Integrity of Private Third-party Compliance Monitoring</w:t>
      </w:r>
      <w:r w:rsidRPr="00CF5DC3">
        <w:rPr>
          <w:rFonts w:ascii="Times New Roman" w:hAnsi="Times New Roman"/>
        </w:rPr>
        <w:t xml:space="preserve">, Harvard Kennedy School Regulatory Policy Program Working Paper, No. RPP-2015-20, November 2015. (Revised December 2015) </w:t>
      </w:r>
      <w:hyperlink r:id="rId29" w:history="1">
        <w:r w:rsidRPr="003D1BF2" w:rsidR="001E2B27">
          <w:rPr>
            <w:rStyle w:val="Hyperlink"/>
            <w:rFonts w:ascii="Times New Roman" w:hAnsi="Times New Roman"/>
          </w:rPr>
          <w:t>http://www.hbs.edu/faculty/Pages/item.aspx?num=50186</w:t>
        </w:r>
      </w:hyperlink>
      <w:r w:rsidRPr="003D1BF2" w:rsidR="001E2B27">
        <w:rPr>
          <w:rFonts w:ascii="Times New Roman" w:hAnsi="Times New Roman"/>
        </w:rPr>
        <w:t xml:space="preserve"> </w:t>
      </w:r>
      <w:r w:rsidRPr="00CF5DC3">
        <w:rPr>
          <w:rFonts w:ascii="Times New Roman" w:hAnsi="Times New Roman"/>
        </w:rPr>
        <w:t xml:space="preserve">; (2) Lesley K. McAllister, </w:t>
      </w:r>
      <w:r w:rsidRPr="00CF5DC3">
        <w:rPr>
          <w:rFonts w:ascii="Times New Roman" w:hAnsi="Times New Roman"/>
          <w:i/>
        </w:rPr>
        <w:t>Regulation by Third-Party Verification</w:t>
      </w:r>
      <w:r w:rsidRPr="00CF5DC3">
        <w:rPr>
          <w:rFonts w:ascii="Times New Roman" w:hAnsi="Times New Roman"/>
        </w:rPr>
        <w:t>, 53 B.C. L. Rev. 1 (2012).</w:t>
      </w:r>
    </w:p>
    <w:p w:rsidR="00F41FFB" w:rsidP="00F41FFB" w14:paraId="79364AE5" w14:textId="77777777">
      <w:pPr>
        <w:pStyle w:val="FootnoteText"/>
      </w:pPr>
      <w:r w:rsidRPr="00CF5DC3">
        <w:rPr>
          <w:rFonts w:ascii="Times New Roman" w:hAnsi="Times New Roman"/>
        </w:rPr>
        <w:t>http://lawdigitalcommons.bc.edu/cgi/viewcontent.cgi?article=3182&amp;context=bclr; (3) Esther Duflo et al., Truth-Telling by Third-Party Auditors and the Response of Polluting Firms: Experimental Evidence From India, 128 Q.J. Econ. 1499, 1499 (2013) http://qje.oxfordjournals.org/content/128/4/1499.abstract.</w:t>
      </w:r>
    </w:p>
  </w:footnote>
  <w:footnote w:id="128">
    <w:p w:rsidR="0026009B" w:rsidRPr="0026009B" w14:paraId="462C3E94" w14:textId="114A41DF">
      <w:pPr>
        <w:pStyle w:val="FootnoteText"/>
        <w:rPr>
          <w:rFonts w:ascii="Times New Roman" w:hAnsi="Times New Roman"/>
        </w:rPr>
      </w:pPr>
      <w:r w:rsidRPr="0026009B">
        <w:rPr>
          <w:rStyle w:val="FootnoteReference"/>
          <w:rFonts w:ascii="Times New Roman" w:hAnsi="Times New Roman"/>
        </w:rPr>
        <w:footnoteRef/>
      </w:r>
      <w:r w:rsidRPr="0026009B">
        <w:rPr>
          <w:rFonts w:ascii="Times New Roman" w:hAnsi="Times New Roman"/>
        </w:rPr>
        <w:t xml:space="preserve"> EPA notes that under 40 CFR part 68, sources with any Program 2 and/or Program 3 processes are already required to conduct compliance audits every three years. This rule does not change the requirement that RMP facilities regularly conduct RMP compliance audits, but adds that, in specific situations, those audits must be performed by a third-party or a team led by a third-party, pursuant to the requirements and schedule in 40 CFR 68.58 and/or 68.79 of the rule.</w:t>
      </w:r>
    </w:p>
  </w:footnote>
  <w:footnote w:id="129">
    <w:p w:rsidR="00596F3B" w:rsidP="00CF5DC3" w14:paraId="76B3134B" w14:textId="41426642">
      <w:pPr>
        <w:autoSpaceDE w:val="0"/>
        <w:autoSpaceDN w:val="0"/>
        <w:adjustRightInd w:val="0"/>
        <w:spacing w:before="0" w:after="0"/>
      </w:pPr>
      <w:r w:rsidRPr="00CF5DC3">
        <w:rPr>
          <w:rStyle w:val="FootnoteReference"/>
          <w:rFonts w:ascii="Times New Roman" w:hAnsi="Times New Roman"/>
          <w:sz w:val="20"/>
          <w:szCs w:val="20"/>
        </w:rPr>
        <w:footnoteRef/>
      </w:r>
      <w:r w:rsidRPr="00CF5DC3">
        <w:rPr>
          <w:rFonts w:ascii="Times New Roman" w:hAnsi="Times New Roman"/>
          <w:sz w:val="20"/>
          <w:szCs w:val="20"/>
        </w:rPr>
        <w:t xml:space="preserve"> </w:t>
      </w:r>
      <w:r w:rsidRPr="00CF5DC3">
        <w:rPr>
          <w:rFonts w:ascii="Times New Roman" w:hAnsi="Times New Roman" w:eastAsiaTheme="minorHAnsi"/>
          <w:sz w:val="20"/>
          <w:szCs w:val="20"/>
          <w14:ligatures w14:val="standardContextual"/>
        </w:rPr>
        <w:t>Senate Committee on Environment and Public Works, Clean Air Act Amendments of 1989, Senate Report No. 228, 101st Congress, 1st Session 211</w:t>
      </w:r>
      <w:r w:rsidR="00CF5DC3">
        <w:rPr>
          <w:rFonts w:ascii="Times New Roman" w:hAnsi="Times New Roman" w:eastAsiaTheme="minorHAnsi"/>
          <w:sz w:val="20"/>
          <w:szCs w:val="20"/>
          <w14:ligatures w14:val="standardContextual"/>
        </w:rPr>
        <w:t xml:space="preserve"> </w:t>
      </w:r>
      <w:r w:rsidRPr="00CF5DC3">
        <w:rPr>
          <w:rFonts w:ascii="Times New Roman" w:hAnsi="Times New Roman" w:eastAsiaTheme="minorHAnsi"/>
          <w:sz w:val="20"/>
          <w:szCs w:val="20"/>
          <w14:ligatures w14:val="standardContextual"/>
        </w:rPr>
        <w:t>(1989)— ‘‘Senate Report.’’</w:t>
      </w:r>
    </w:p>
  </w:footnote>
  <w:footnote w:id="130">
    <w:p w:rsidR="00CD35EF" w14:paraId="7B36369D" w14:textId="3F780DFD">
      <w:pPr>
        <w:pStyle w:val="FootnoteText"/>
      </w:pPr>
      <w:r>
        <w:rPr>
          <w:rStyle w:val="FootnoteReference"/>
        </w:rPr>
        <w:footnoteRef/>
      </w:r>
      <w:r>
        <w:t xml:space="preserve"> </w:t>
      </w:r>
      <w:hyperlink r:id="rId15" w:history="1">
        <w:r w:rsidRPr="00DF3936">
          <w:rPr>
            <w:rStyle w:val="Hyperlink"/>
            <w:rFonts w:ascii="Times New Roman" w:hAnsi="Times New Roman"/>
          </w:rPr>
          <w:t>https://www.osha.gov/sites/default/files/enforcement/directives/CPL02-02-045_CH-1_20150901.pdf</w:t>
        </w:r>
      </w:hyperlink>
      <w:r>
        <w:rPr>
          <w:i/>
          <w:iCs/>
        </w:rPr>
        <w:t xml:space="preserve"> </w:t>
      </w:r>
    </w:p>
  </w:footnote>
  <w:footnote w:id="131">
    <w:p w:rsidR="0069682B" w:rsidRPr="00A1389A" w:rsidP="00284579" w14:paraId="39FBEE3F" w14:textId="55C5C25F">
      <w:pPr>
        <w:pStyle w:val="FootnoteText"/>
        <w:rPr>
          <w:rFonts w:ascii="Times New Roman" w:hAnsi="Times New Roman"/>
        </w:rPr>
      </w:pPr>
      <w:r w:rsidRPr="00A1389A">
        <w:rPr>
          <w:rStyle w:val="FootnoteReference"/>
          <w:rFonts w:ascii="Times New Roman" w:hAnsi="Times New Roman"/>
        </w:rPr>
        <w:footnoteRef/>
      </w:r>
      <w:r w:rsidRPr="00A1389A">
        <w:rPr>
          <w:rFonts w:ascii="Times New Roman" w:hAnsi="Times New Roman"/>
        </w:rPr>
        <w:t xml:space="preserve"> As de</w:t>
      </w:r>
      <w:r w:rsidRPr="00A1389A" w:rsidR="00284579">
        <w:rPr>
          <w:rFonts w:ascii="Times New Roman" w:hAnsi="Times New Roman"/>
        </w:rPr>
        <w:t xml:space="preserve">termined by Chapter 2 of Final Guidance for EPA Rulewriters: Regulatory Flexibility Act, </w:t>
      </w:r>
      <w:r w:rsidRPr="00A1389A" w:rsidR="00A1389A">
        <w:rPr>
          <w:rFonts w:ascii="Times New Roman" w:hAnsi="Times New Roman"/>
        </w:rPr>
        <w:t>http://www.epa.gov/rfa/documents/Guidance-RegFlexAct.pdf</w:t>
      </w:r>
      <w:r w:rsidRPr="00A1389A" w:rsidR="00432E01">
        <w:rPr>
          <w:rFonts w:ascii="Times New Roman" w:hAnsi="Times New Roman"/>
        </w:rPr>
        <w:t>., http://www.usda.gov/wps/portal/usda/usdahome?contentid=2013/10/0199.xml.</w:t>
      </w:r>
      <w:r w:rsidRPr="00A1389A" w:rsidR="00284579">
        <w:rPr>
          <w:rFonts w:ascii="Times New Roman" w:hAnsi="Times New Roman"/>
        </w:rPr>
        <w:t xml:space="preserve">, SBA definitions of small businesses apply to a firm’s parent company and all affiliates as a single entity. Size standards effective March 17, 2023 https://www.sba.gov/document/support-table-size-standards </w:t>
      </w:r>
      <w:r w:rsidRPr="00A1389A" w:rsidR="004E1C49">
        <w:rPr>
          <w:rFonts w:ascii="Times New Roman" w:hAnsi="Times New Roman"/>
        </w:rPr>
        <w:t>- In</w:t>
      </w:r>
      <w:r w:rsidRPr="00A1389A" w:rsidR="00284579">
        <w:rPr>
          <w:rFonts w:ascii="Times New Roman" w:hAnsi="Times New Roman"/>
        </w:rPr>
        <w:t xml:space="preserve"> some cases, NAICS codes are disaggregated to 5 digits and in others 6 digits. SBA does not include all 6-digit codes in its regulation.</w:t>
      </w:r>
    </w:p>
  </w:footnote>
  <w:footnote w:id="132">
    <w:p w:rsidR="00712679" w:rsidRPr="00897BB1" w14:paraId="1BC6813C" w14:textId="6CD211F6">
      <w:pPr>
        <w:pStyle w:val="FootnoteText"/>
        <w:rPr>
          <w:rFonts w:ascii="Times New Roman" w:hAnsi="Times New Roman"/>
        </w:rPr>
      </w:pPr>
      <w:r>
        <w:rPr>
          <w:rStyle w:val="FootnoteReference"/>
        </w:rPr>
        <w:footnoteRef/>
      </w:r>
      <w:r>
        <w:t xml:space="preserve"> </w:t>
      </w:r>
      <w:r w:rsidRPr="00897BB1">
        <w:rPr>
          <w:rFonts w:ascii="Times New Roman" w:hAnsi="Times New Roman"/>
        </w:rPr>
        <w:t>EPA recognizes that subsequent to the final rule being finalized, accident rates may change.</w:t>
      </w:r>
    </w:p>
  </w:footnote>
  <w:footnote w:id="133">
    <w:p w:rsidR="00897BB1" w14:paraId="6475ACF5" w14:textId="23E85FF9">
      <w:pPr>
        <w:pStyle w:val="FootnoteText"/>
      </w:pPr>
      <w:r w:rsidRPr="00897BB1">
        <w:rPr>
          <w:rStyle w:val="FootnoteReference"/>
          <w:rFonts w:ascii="Times New Roman" w:hAnsi="Times New Roman"/>
        </w:rPr>
        <w:footnoteRef/>
      </w:r>
      <w:r w:rsidRPr="00897BB1">
        <w:rPr>
          <w:rFonts w:ascii="Times New Roman" w:hAnsi="Times New Roman"/>
        </w:rPr>
        <w:t xml:space="preserve"> The number of audits may be overstated because some facilities had multiple accidents in the same three-year period, resulting in only one third-party audit.</w:t>
      </w:r>
    </w:p>
  </w:footnote>
  <w:footnote w:id="134">
    <w:p w:rsidR="00F41FFB" w:rsidRPr="00CF5DC3" w:rsidP="00F41FFB" w14:paraId="32E42A1B" w14:textId="77777777">
      <w:pPr>
        <w:pStyle w:val="FootnoteText"/>
        <w:rPr>
          <w:rFonts w:ascii="Times New Roman" w:hAnsi="Times New Roman"/>
        </w:rPr>
      </w:pPr>
      <w:r w:rsidRPr="00CF5DC3">
        <w:rPr>
          <w:rStyle w:val="FootnoteReference"/>
          <w:rFonts w:ascii="Times New Roman" w:hAnsi="Times New Roman"/>
        </w:rPr>
        <w:footnoteRef/>
      </w:r>
      <w:r w:rsidRPr="00CF5DC3">
        <w:rPr>
          <w:rFonts w:ascii="Times New Roman" w:hAnsi="Times New Roman"/>
        </w:rPr>
        <w:t xml:space="preserve"> “(d) 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p>
  </w:footnote>
  <w:footnote w:id="135">
    <w:p w:rsidR="00F41FFB" w:rsidP="00F41FFB" w14:paraId="76300B79" w14:textId="77777777">
      <w:pPr>
        <w:pStyle w:val="FootnoteText"/>
      </w:pPr>
      <w:r w:rsidRPr="00CF5DC3">
        <w:rPr>
          <w:rStyle w:val="FootnoteReference"/>
          <w:rFonts w:ascii="Times New Roman" w:hAnsi="Times New Roman"/>
        </w:rPr>
        <w:footnoteRef/>
      </w:r>
      <w:r w:rsidRPr="00CF5DC3">
        <w:rPr>
          <w:rFonts w:ascii="Times New Roman" w:hAnsi="Times New Roman"/>
        </w:rPr>
        <w:t xml:space="preserve"> </w:t>
      </w:r>
      <w:r w:rsidRPr="0041200A">
        <w:rPr>
          <w:rFonts w:ascii="Times New Roman" w:hAnsi="Times New Roman"/>
        </w:rPr>
        <w:t>Under Section 3(a)(58) of the Exchange Act as added by Section 205 of the Sarbanes-Oxley Act, the term audit committee is defined as “[a] committee (or equivalent body) established by and amongst the board of directors of an issuer for the purpose of overseeing the accounting and financial reporting processes of the issuer and audits of the financial statements of the issuer” (if no such committee exists with respect to an issuer, the entire board of directors of the issuer). See Securities and Exchange Commission (SEC), 17 CFR 240.10A-3 - Listing standards relating to audit committees (68 FR 18818, Apr. 16, 2003, as amended at 70 FR 1620, Jan. 7, 2005; 73 FR 973, Jan. 4, 2008).</w:t>
      </w:r>
    </w:p>
  </w:footnote>
  <w:footnote w:id="136">
    <w:p w:rsidR="00F41FFB" w:rsidRPr="00886CF4" w:rsidP="00F41FFB" w14:paraId="2C350D9B" w14:textId="77777777">
      <w:pPr>
        <w:pStyle w:val="FootnoteText"/>
      </w:pPr>
      <w:r w:rsidRPr="00886CF4">
        <w:rPr>
          <w:rStyle w:val="FootnoteReference"/>
          <w:rFonts w:eastAsia="MS Mincho"/>
        </w:rPr>
        <w:footnoteRef/>
      </w:r>
      <w:r w:rsidRPr="00886CF4">
        <w:t xml:space="preserve"> </w:t>
      </w:r>
      <w:r w:rsidRPr="004714B1">
        <w:rPr>
          <w:rFonts w:ascii="Times New Roman" w:hAnsi="Times New Roman"/>
        </w:rPr>
        <w:t>84 FR 69834 (69882).</w:t>
      </w:r>
    </w:p>
  </w:footnote>
  <w:footnote w:id="137">
    <w:p w:rsidR="00B27E04" w:rsidRPr="00B27E04" w14:paraId="013AE272" w14:textId="128F434C">
      <w:pPr>
        <w:pStyle w:val="FootnoteText"/>
        <w:rPr>
          <w:rFonts w:ascii="Times New Roman" w:hAnsi="Times New Roman"/>
        </w:rPr>
      </w:pPr>
      <w:r w:rsidRPr="00B27E04">
        <w:rPr>
          <w:rStyle w:val="FootnoteReference"/>
          <w:rFonts w:ascii="Times New Roman" w:hAnsi="Times New Roman"/>
        </w:rPr>
        <w:footnoteRef/>
      </w:r>
      <w:r w:rsidRPr="00B27E04">
        <w:rPr>
          <w:rFonts w:ascii="Times New Roman" w:hAnsi="Times New Roman"/>
        </w:rPr>
        <w:t xml:space="preserve"> See Section 5.3.4 of the RIA for more detail on the analysis. </w:t>
      </w:r>
    </w:p>
  </w:footnote>
  <w:footnote w:id="138">
    <w:p w:rsidR="00F41FFB" w:rsidRPr="005B40C7" w:rsidP="00F41FFB" w14:paraId="0A57B579" w14:textId="430DE4F2">
      <w:pPr>
        <w:pStyle w:val="FootnoteText"/>
        <w:rPr>
          <w:rFonts w:ascii="Times New Roman" w:hAnsi="Times New Roman"/>
        </w:rPr>
      </w:pPr>
      <w:r w:rsidRPr="005B40C7">
        <w:rPr>
          <w:rStyle w:val="FootnoteReference"/>
          <w:rFonts w:ascii="Times New Roman" w:hAnsi="Times New Roman"/>
        </w:rPr>
        <w:footnoteRef/>
      </w:r>
      <w:r w:rsidRPr="005B40C7">
        <w:rPr>
          <w:rFonts w:ascii="Times New Roman" w:hAnsi="Times New Roman"/>
        </w:rPr>
        <w:t xml:space="preserve"> Response to Comments on the 2016 Proposed Rule Amending EPA’s Risk Management Program Regulations; </w:t>
      </w:r>
      <w:hyperlink r:id="rId30" w:history="1">
        <w:r w:rsidRPr="005B40C7" w:rsidR="005B40C7">
          <w:rPr>
            <w:rStyle w:val="Hyperlink"/>
            <w:rFonts w:ascii="Times New Roman" w:hAnsi="Times New Roman"/>
          </w:rPr>
          <w:t>https://www.epa.gov/sites/default/files/2016-12/documents/rmp_rtc_compiled_12-21-16.pdf</w:t>
        </w:r>
      </w:hyperlink>
      <w:r w:rsidRPr="005B40C7">
        <w:rPr>
          <w:rFonts w:ascii="Times New Roman" w:hAnsi="Times New Roman"/>
        </w:rPr>
        <w:t>.</w:t>
      </w:r>
    </w:p>
  </w:footnote>
  <w:footnote w:id="139">
    <w:p w:rsidR="0084563D" w:rsidRPr="007A2CB7" w:rsidP="0084563D" w14:paraId="47869CDD" w14:textId="77777777">
      <w:pPr>
        <w:pStyle w:val="FootnoteText"/>
        <w:rPr>
          <w:rFonts w:ascii="Times New Roman" w:hAnsi="Times New Roman"/>
        </w:rPr>
      </w:pPr>
      <w:r w:rsidRPr="007A2CB7">
        <w:rPr>
          <w:rStyle w:val="FootnoteReference"/>
          <w:rFonts w:ascii="Times New Roman" w:hAnsi="Times New Roman"/>
        </w:rPr>
        <w:footnoteRef/>
      </w:r>
      <w:r w:rsidRPr="007A2CB7">
        <w:rPr>
          <w:rFonts w:ascii="Times New Roman" w:hAnsi="Times New Roman"/>
        </w:rPr>
        <w:t xml:space="preserve"> Technical Background Document for Notice of Proposed Rulemaking: Risk Management Programs Under the Clean Air Act, Section 112(r)(7); Safer Communities by Chemical Accident Prevention (April 19, 2022).</w:t>
      </w:r>
    </w:p>
  </w:footnote>
  <w:footnote w:id="140">
    <w:p w:rsidR="00C52FE2" w:rsidRPr="005B40C7" w:rsidP="00C52FE2" w14:paraId="3C53481A" w14:textId="77777777">
      <w:pPr>
        <w:pStyle w:val="FootnoteText"/>
        <w:rPr>
          <w:rFonts w:ascii="Times New Roman" w:hAnsi="Times New Roman"/>
        </w:rPr>
      </w:pPr>
      <w:r w:rsidRPr="005B40C7">
        <w:rPr>
          <w:rStyle w:val="FootnoteReference"/>
          <w:rFonts w:ascii="Times New Roman" w:hAnsi="Times New Roman"/>
        </w:rPr>
        <w:footnoteRef/>
      </w:r>
      <w:r w:rsidRPr="005B40C7">
        <w:rPr>
          <w:rFonts w:ascii="Times New Roman" w:hAnsi="Times New Roman"/>
        </w:rPr>
        <w:t xml:space="preserve"> 87 FR 53591.</w:t>
      </w:r>
    </w:p>
  </w:footnote>
  <w:footnote w:id="141">
    <w:p w:rsidR="00204819" w14:paraId="11012311" w14:textId="79919236">
      <w:pPr>
        <w:pStyle w:val="FootnoteText"/>
      </w:pPr>
      <w:r>
        <w:rPr>
          <w:rStyle w:val="FootnoteReference"/>
        </w:rPr>
        <w:footnoteRef/>
      </w:r>
      <w:r>
        <w:t xml:space="preserve"> </w:t>
      </w:r>
      <w:hyperlink r:id="rId17" w:history="1">
        <w:r w:rsidRPr="008A2E83" w:rsidR="00FC5F8A">
          <w:rPr>
            <w:rStyle w:val="Hyperlink"/>
            <w:rFonts w:ascii="Times New Roman" w:hAnsi="Times New Roman"/>
          </w:rPr>
          <w:t>https://www.dir.ca.gov/title8/5189_1.html</w:t>
        </w:r>
      </w:hyperlink>
      <w:r w:rsidRPr="008A2E83" w:rsidR="00FC5F8A">
        <w:rPr>
          <w:rFonts w:ascii="Times New Roman" w:hAnsi="Times New Roman"/>
        </w:rPr>
        <w:t xml:space="preserve"> , </w:t>
      </w:r>
      <w:r w:rsidRPr="008A2E83">
        <w:rPr>
          <w:rFonts w:ascii="Times New Roman" w:hAnsi="Times New Roman"/>
        </w:rPr>
        <w:t>CCR Title 8: section 5189.1</w:t>
      </w:r>
      <w:r w:rsidRPr="008A2E83" w:rsidR="00F1694E">
        <w:rPr>
          <w:rFonts w:ascii="Times New Roman" w:hAnsi="Times New Roman"/>
        </w:rPr>
        <w:t>(q)(5)(A)</w:t>
      </w:r>
    </w:p>
  </w:footnote>
  <w:footnote w:id="142">
    <w:p w:rsidR="00C35728" w:rsidRPr="00973271" w14:paraId="556C2610" w14:textId="4B080D2E">
      <w:pPr>
        <w:pStyle w:val="FootnoteText"/>
        <w:rPr>
          <w:rFonts w:ascii="Times New Roman" w:hAnsi="Times New Roman"/>
        </w:rPr>
      </w:pPr>
      <w:r w:rsidRPr="00973271">
        <w:rPr>
          <w:rStyle w:val="FootnoteReference"/>
          <w:rFonts w:ascii="Times New Roman" w:hAnsi="Times New Roman"/>
        </w:rPr>
        <w:footnoteRef/>
      </w:r>
      <w:r w:rsidRPr="00973271">
        <w:rPr>
          <w:rFonts w:ascii="Times New Roman" w:hAnsi="Times New Roman"/>
        </w:rPr>
        <w:t xml:space="preserve"> </w:t>
      </w:r>
      <w:hyperlink r:id="rId31" w:history="1">
        <w:r w:rsidRPr="00973271">
          <w:rPr>
            <w:rStyle w:val="Hyperlink"/>
            <w:rFonts w:ascii="Times New Roman" w:hAnsi="Times New Roman"/>
          </w:rPr>
          <w:t>https://echo.epa.gov/report-environmental-violations</w:t>
        </w:r>
      </w:hyperlink>
      <w:r w:rsidRPr="00973271">
        <w:rPr>
          <w:rFonts w:ascii="Times New Roman" w:hAnsi="Times New Roman"/>
        </w:rPr>
        <w:t xml:space="preserve">. </w:t>
      </w:r>
    </w:p>
  </w:footnote>
  <w:footnote w:id="143">
    <w:p w:rsidR="00C35728" w:rsidRPr="00973271" w14:paraId="39D34557" w14:textId="24D026E9">
      <w:pPr>
        <w:pStyle w:val="FootnoteText"/>
        <w:rPr>
          <w:rFonts w:ascii="Times New Roman" w:hAnsi="Times New Roman"/>
        </w:rPr>
      </w:pPr>
      <w:r w:rsidRPr="00973271">
        <w:rPr>
          <w:rStyle w:val="FootnoteReference"/>
          <w:rFonts w:ascii="Times New Roman" w:hAnsi="Times New Roman"/>
        </w:rPr>
        <w:footnoteRef/>
      </w:r>
      <w:r w:rsidRPr="00973271">
        <w:rPr>
          <w:rFonts w:ascii="Times New Roman" w:hAnsi="Times New Roman"/>
        </w:rPr>
        <w:t xml:space="preserve"> </w:t>
      </w:r>
      <w:hyperlink r:id="rId32" w:anchor="who" w:history="1">
        <w:r w:rsidRPr="00973271" w:rsidR="0077189E">
          <w:rPr>
            <w:rStyle w:val="Hyperlink"/>
            <w:rFonts w:ascii="Times New Roman" w:hAnsi="Times New Roman"/>
          </w:rPr>
          <w:t>https://www.epa.gov/pesticide-incidents/how-report-spills-and-environmental-violations#who</w:t>
        </w:r>
      </w:hyperlink>
      <w:r w:rsidRPr="00973271" w:rsidR="0077189E">
        <w:rPr>
          <w:rFonts w:ascii="Times New Roman" w:hAnsi="Times New Roman"/>
        </w:rPr>
        <w:t xml:space="preserve"> </w:t>
      </w:r>
    </w:p>
  </w:footnote>
  <w:footnote w:id="144">
    <w:p w:rsidR="0077189E" w14:paraId="5AE6DC77" w14:textId="73AEBB25">
      <w:pPr>
        <w:pStyle w:val="FootnoteText"/>
      </w:pPr>
      <w:r w:rsidRPr="00973271">
        <w:rPr>
          <w:rStyle w:val="FootnoteReference"/>
          <w:rFonts w:ascii="Times New Roman" w:hAnsi="Times New Roman"/>
        </w:rPr>
        <w:footnoteRef/>
      </w:r>
      <w:r w:rsidRPr="00973271">
        <w:rPr>
          <w:rFonts w:ascii="Times New Roman" w:hAnsi="Times New Roman"/>
        </w:rPr>
        <w:t xml:space="preserve"> </w:t>
      </w:r>
      <w:hyperlink r:id="rId2" w:history="1">
        <w:r w:rsidRPr="00681258" w:rsidR="00973271">
          <w:rPr>
            <w:rStyle w:val="Hyperlink"/>
            <w:rFonts w:ascii="Times New Roman" w:hAnsi="Times New Roman"/>
          </w:rPr>
          <w:t>https://www.epa.gov/rmp/epa-regional-rmp-contacts</w:t>
        </w:r>
      </w:hyperlink>
      <w:r w:rsidR="00973271">
        <w:rPr>
          <w:rFonts w:ascii="Times New Roman" w:hAnsi="Times New Roman"/>
        </w:rPr>
        <w:t xml:space="preserve"> </w:t>
      </w:r>
    </w:p>
  </w:footnote>
  <w:footnote w:id="145">
    <w:p w:rsidR="00B204A4" w:rsidRPr="00C224B3" w:rsidP="00B204A4" w14:paraId="48B84304" w14:textId="77777777">
      <w:pPr>
        <w:pStyle w:val="FootnoteText"/>
        <w:rPr>
          <w:rFonts w:ascii="Times New Roman" w:hAnsi="Times New Roman"/>
        </w:rPr>
      </w:pPr>
      <w:r w:rsidRPr="00C224B3">
        <w:rPr>
          <w:rStyle w:val="FootnoteReference"/>
          <w:rFonts w:ascii="Times New Roman" w:hAnsi="Times New Roman"/>
        </w:rPr>
        <w:footnoteRef/>
      </w:r>
      <w:r w:rsidRPr="00C224B3">
        <w:rPr>
          <w:rFonts w:ascii="Times New Roman" w:hAnsi="Times New Roman"/>
        </w:rPr>
        <w:t xml:space="preserve"> See 40 CFR 68.50(a)(4), (40 CFR 68.65(d)(1)(viii)), (40 CFR 68.67(c)(3)).</w:t>
      </w:r>
    </w:p>
  </w:footnote>
  <w:footnote w:id="146">
    <w:p w:rsidR="00B204A4" w:rsidRPr="00C224B3" w:rsidP="00B204A4" w14:paraId="5FEFD109" w14:textId="77777777">
      <w:pPr>
        <w:pStyle w:val="FootnoteText"/>
        <w:rPr>
          <w:rFonts w:ascii="Times New Roman" w:hAnsi="Times New Roman"/>
        </w:rPr>
      </w:pPr>
      <w:r w:rsidRPr="00C224B3">
        <w:rPr>
          <w:rStyle w:val="FootnoteReference"/>
          <w:rFonts w:ascii="Times New Roman" w:hAnsi="Times New Roman"/>
        </w:rPr>
        <w:footnoteRef/>
      </w:r>
      <w:r w:rsidRPr="00C224B3">
        <w:rPr>
          <w:rFonts w:ascii="Times New Roman" w:hAnsi="Times New Roman"/>
        </w:rPr>
        <w:t xml:space="preserve"> </w:t>
      </w:r>
      <w:r w:rsidRPr="00C224B3">
        <w:rPr>
          <w:rFonts w:ascii="Times New Roman" w:hAnsi="Times New Roman" w:eastAsiaTheme="minorHAnsi"/>
          <w14:ligatures w14:val="standardContextual"/>
        </w:rPr>
        <w:t xml:space="preserve">IIAR, </w:t>
      </w:r>
      <w:r w:rsidRPr="00C224B3">
        <w:rPr>
          <w:rFonts w:ascii="Times New Roman" w:hAnsi="Times New Roman" w:eastAsiaTheme="minorHAnsi"/>
          <w:i/>
          <w:iCs/>
          <w14:ligatures w14:val="standardContextual"/>
        </w:rPr>
        <w:t xml:space="preserve">ANSI/IIAR Standard 9–2020 </w:t>
      </w:r>
      <w:r w:rsidRPr="00C224B3">
        <w:rPr>
          <w:rFonts w:ascii="Times New Roman" w:hAnsi="Times New Roman" w:eastAsiaTheme="minorHAnsi"/>
          <w14:ligatures w14:val="standardContextual"/>
        </w:rPr>
        <w:t>(2020).</w:t>
      </w:r>
    </w:p>
  </w:footnote>
  <w:footnote w:id="147">
    <w:p w:rsidR="00B204A4" w:rsidP="00B204A4" w14:paraId="0E332548" w14:textId="77777777">
      <w:pPr>
        <w:autoSpaceDE w:val="0"/>
        <w:autoSpaceDN w:val="0"/>
        <w:adjustRightInd w:val="0"/>
        <w:spacing w:before="0" w:after="0"/>
      </w:pPr>
      <w:r w:rsidRPr="00C224B3">
        <w:rPr>
          <w:rStyle w:val="FootnoteReference"/>
          <w:rFonts w:ascii="Times New Roman" w:hAnsi="Times New Roman"/>
          <w:sz w:val="20"/>
          <w:szCs w:val="20"/>
        </w:rPr>
        <w:footnoteRef/>
      </w:r>
      <w:r w:rsidRPr="00C224B3">
        <w:rPr>
          <w:rFonts w:ascii="Times New Roman" w:hAnsi="Times New Roman"/>
          <w:sz w:val="20"/>
          <w:szCs w:val="20"/>
        </w:rPr>
        <w:t xml:space="preserve"> </w:t>
      </w:r>
      <w:r w:rsidRPr="00C224B3">
        <w:rPr>
          <w:rFonts w:ascii="Times New Roman" w:hAnsi="Times New Roman" w:eastAsiaTheme="minorHAnsi"/>
          <w:sz w:val="20"/>
          <w:szCs w:val="20"/>
          <w14:ligatures w14:val="standardContextual"/>
        </w:rPr>
        <w:t xml:space="preserve">The Chlorine Institute, </w:t>
      </w:r>
      <w:r w:rsidRPr="00C224B3">
        <w:rPr>
          <w:rFonts w:ascii="Times New Roman" w:hAnsi="Times New Roman" w:eastAsiaTheme="minorHAnsi"/>
          <w:i/>
          <w:iCs/>
          <w:sz w:val="20"/>
          <w:szCs w:val="20"/>
          <w14:ligatures w14:val="standardContextual"/>
        </w:rPr>
        <w:t xml:space="preserve">Pamphlet 73, Atmospheric Monitoring Equipment for Chlorine </w:t>
      </w:r>
      <w:r w:rsidRPr="00C224B3">
        <w:rPr>
          <w:rFonts w:ascii="Times New Roman" w:hAnsi="Times New Roman" w:eastAsiaTheme="minorHAnsi"/>
          <w:sz w:val="20"/>
          <w:szCs w:val="20"/>
          <w14:ligatures w14:val="standardContextual"/>
        </w:rPr>
        <w:t>(2021),</w:t>
      </w:r>
      <w:r w:rsidRPr="00C224B3">
        <w:rPr>
          <w:rFonts w:ascii="Times New Roman" w:hAnsi="Times New Roman"/>
          <w:sz w:val="20"/>
          <w:szCs w:val="20"/>
        </w:rPr>
        <w:t xml:space="preserve"> </w:t>
      </w:r>
      <w:hyperlink r:id="rId14" w:history="1">
        <w:r w:rsidRPr="00C224B3">
          <w:rPr>
            <w:rStyle w:val="Hyperlink"/>
            <w:rFonts w:ascii="Times New Roman" w:hAnsi="Times New Roman"/>
            <w:sz w:val="20"/>
            <w:szCs w:val="20"/>
          </w:rPr>
          <w:t>https://bookstore.chlorineinstitute.org/pamphlet-73-atmospheric-monitoring-equipment-for-chlorine.html?Session_ID=66da3abed669d2ecb4448e5c1c17ba5e</w:t>
        </w:r>
      </w:hyperlink>
      <w:r>
        <w:rPr>
          <w:rFonts w:ascii="Times New Roman" w:hAnsi="Times New Roman"/>
          <w:sz w:val="20"/>
          <w:szCs w:val="20"/>
        </w:rPr>
        <w:t xml:space="preserve"> </w:t>
      </w:r>
    </w:p>
  </w:footnote>
  <w:footnote w:id="148">
    <w:p w:rsidR="00A07823" w:rsidP="00A07823" w14:paraId="0A9F11A6" w14:textId="77777777">
      <w:pPr>
        <w:pStyle w:val="FootnoteText"/>
        <w:rPr>
          <w:rFonts w:eastAsia="Times New Roman"/>
        </w:rPr>
      </w:pPr>
      <w:r>
        <w:rPr>
          <w:rStyle w:val="FootnoteReference"/>
          <w:rFonts w:cstheme="minorHAnsi"/>
        </w:rPr>
        <w:footnoteRef/>
      </w:r>
      <w:r>
        <w:t xml:space="preserve"> </w:t>
      </w:r>
      <w:hyperlink r:id="rId33" w:history="1">
        <w:r w:rsidRPr="00102AA2">
          <w:rPr>
            <w:rStyle w:val="Hyperlink"/>
            <w:rFonts w:ascii="Times New Roman" w:hAnsi="Times New Roman"/>
          </w:rPr>
          <w:t>https://www.epa.gov/rmp/rmpesubmit</w:t>
        </w:r>
      </w:hyperlink>
      <w:r w:rsidRPr="00102AA2">
        <w:rPr>
          <w:rFonts w:ascii="Times New Roman" w:hAnsi="Times New Roman"/>
        </w:rPr>
        <w:t>.</w:t>
      </w:r>
    </w:p>
  </w:footnote>
  <w:footnote w:id="149">
    <w:p w:rsidR="004B186B" w:rsidP="004B186B" w14:paraId="54532545" w14:textId="77777777">
      <w:pPr>
        <w:autoSpaceDE w:val="0"/>
        <w:autoSpaceDN w:val="0"/>
        <w:adjustRightInd w:val="0"/>
        <w:spacing w:before="0" w:after="0"/>
      </w:pPr>
      <w:r>
        <w:rPr>
          <w:rStyle w:val="FootnoteReference"/>
        </w:rPr>
        <w:footnoteRef/>
      </w:r>
      <w:r>
        <w:t xml:space="preserve"> </w:t>
      </w:r>
      <w:r w:rsidRPr="006242DD">
        <w:rPr>
          <w:rFonts w:ascii="Times New Roman" w:hAnsi="Times New Roman" w:eastAsiaTheme="minorHAnsi"/>
          <w:sz w:val="20"/>
          <w:szCs w:val="20"/>
          <w14:ligatures w14:val="standardContextual"/>
        </w:rPr>
        <w:t xml:space="preserve">FEMA, ‘‘Integrated Public Alert &amp; Warning System,’’ accessed October 25, 2023, </w:t>
      </w:r>
      <w:hyperlink r:id="rId34" w:history="1">
        <w:r w:rsidRPr="002D56C9">
          <w:rPr>
            <w:rStyle w:val="Hyperlink"/>
            <w:rFonts w:ascii="Times New Roman" w:hAnsi="Times New Roman" w:eastAsiaTheme="minorHAnsi"/>
            <w:sz w:val="20"/>
            <w:szCs w:val="20"/>
            <w14:ligatures w14:val="standardContextual"/>
          </w:rPr>
          <w:t>https://www.fema.gov/emergency-managers/practitioners/integrated-public-alert-warning-system</w:t>
        </w:r>
      </w:hyperlink>
      <w:r>
        <w:rPr>
          <w:rStyle w:val="Hyperlink"/>
          <w:rFonts w:ascii="Times New Roman" w:hAnsi="Times New Roman" w:eastAsiaTheme="minorHAnsi"/>
          <w:sz w:val="20"/>
          <w:szCs w:val="20"/>
          <w14:ligatures w14:val="standardContextual"/>
        </w:rPr>
        <w:t>.</w:t>
      </w:r>
      <w:r w:rsidRPr="002D56C9">
        <w:rPr>
          <w:rFonts w:ascii="Times New Roman" w:hAnsi="Times New Roman" w:eastAsiaTheme="minorHAnsi"/>
          <w:sz w:val="20"/>
          <w:szCs w:val="20"/>
          <w14:ligatures w14:val="standardContextual"/>
        </w:rPr>
        <w:t xml:space="preserve"> </w:t>
      </w:r>
    </w:p>
  </w:footnote>
  <w:footnote w:id="150">
    <w:p w:rsidR="004B186B" w:rsidP="004B186B" w14:paraId="14C9BDB5" w14:textId="77777777">
      <w:pPr>
        <w:autoSpaceDE w:val="0"/>
        <w:autoSpaceDN w:val="0"/>
        <w:adjustRightInd w:val="0"/>
        <w:spacing w:before="0" w:after="0"/>
      </w:pPr>
      <w:r>
        <w:rPr>
          <w:rStyle w:val="FootnoteReference"/>
        </w:rPr>
        <w:footnoteRef/>
      </w:r>
      <w:r>
        <w:t xml:space="preserve"> </w:t>
      </w:r>
      <w:r w:rsidRPr="00172F82">
        <w:rPr>
          <w:rFonts w:ascii="Times New Roman" w:hAnsi="Times New Roman" w:eastAsiaTheme="minorHAnsi"/>
          <w:sz w:val="20"/>
          <w:szCs w:val="20"/>
          <w14:ligatures w14:val="standardContextual"/>
        </w:rPr>
        <w:t xml:space="preserve">FEMA, ‘‘Alerting People with Disabilities and Access and Functional Needs,’’ accessed October 25, 2023, </w:t>
      </w:r>
      <w:hyperlink r:id="rId35" w:history="1">
        <w:r w:rsidRPr="002D56C9">
          <w:rPr>
            <w:rStyle w:val="Hyperlink"/>
            <w:rFonts w:ascii="Times New Roman" w:hAnsi="Times New Roman" w:eastAsiaTheme="minorHAnsi"/>
            <w:sz w:val="20"/>
            <w:szCs w:val="20"/>
            <w14:ligatures w14:val="standardContextual"/>
          </w:rPr>
          <w:t>https://www.fema.gov/es/emergency-managers/practitioners/integrated-public-alert-warning-system/public/alerting-people-disabilities</w:t>
        </w:r>
      </w:hyperlink>
      <w:r>
        <w:rPr>
          <w:rStyle w:val="Hyperlink"/>
          <w:rFonts w:ascii="Times New Roman" w:hAnsi="Times New Roman" w:eastAsiaTheme="minorHAnsi"/>
          <w:sz w:val="20"/>
          <w:szCs w:val="20"/>
          <w14:ligatures w14:val="standardContextual"/>
        </w:rPr>
        <w:t>.</w:t>
      </w:r>
      <w:r>
        <w:rPr>
          <w:rFonts w:ascii="Melior-Italic" w:hAnsi="Melior-Italic" w:eastAsiaTheme="minorHAnsi" w:cs="Melior-Italic"/>
          <w:i/>
          <w:iCs/>
          <w:sz w:val="14"/>
          <w:szCs w:val="14"/>
          <w14:ligatures w14:val="standardContextual"/>
        </w:rPr>
        <w:t xml:space="preserve">   </w:t>
      </w:r>
    </w:p>
  </w:footnote>
  <w:footnote w:id="151">
    <w:p w:rsidR="00C52FE2" w:rsidRPr="00886CF4" w:rsidP="00C52FE2" w14:paraId="7C973E42" w14:textId="77777777">
      <w:pPr>
        <w:pStyle w:val="FootnoteText"/>
        <w:rPr>
          <w:iCs/>
        </w:rPr>
      </w:pPr>
      <w:r w:rsidRPr="00886CF4">
        <w:rPr>
          <w:rStyle w:val="FootnoteReference"/>
          <w:rFonts w:eastAsia="MS Mincho"/>
        </w:rPr>
        <w:footnoteRef/>
      </w:r>
      <w:r w:rsidRPr="005B20D0">
        <w:rPr>
          <w:rFonts w:ascii="Times New Roman" w:hAnsi="Times New Roman"/>
        </w:rPr>
        <w:t xml:space="preserve">A jurisdiction with the designated authority to alert and warn the public when there is an impending natural or human-made disaster, threat, or dangerous or missing person; </w:t>
      </w:r>
      <w:hyperlink r:id="rId36" w:history="1">
        <w:r w:rsidRPr="005B20D0">
          <w:rPr>
            <w:rStyle w:val="Hyperlink"/>
            <w:rFonts w:ascii="Times New Roman" w:hAnsi="Times New Roman"/>
          </w:rPr>
          <w:t>https://www.fema.gov/emergency-managers/practitioners/integrated-public-alert-warning-system/public-safety-officials/sign-up</w:t>
        </w:r>
      </w:hyperlink>
      <w:r w:rsidRPr="005B20D0">
        <w:rPr>
          <w:rStyle w:val="Hyperlink"/>
          <w:rFonts w:ascii="Times New Roman" w:hAnsi="Times New Roman"/>
        </w:rPr>
        <w:t>.</w:t>
      </w:r>
      <w:r>
        <w:t xml:space="preserve"> </w:t>
      </w:r>
    </w:p>
  </w:footnote>
  <w:footnote w:id="152">
    <w:p w:rsidR="00662E9A" w:rsidP="006242DD" w14:paraId="7AA57712" w14:textId="3CF7A9CC">
      <w:pPr>
        <w:autoSpaceDE w:val="0"/>
        <w:autoSpaceDN w:val="0"/>
        <w:adjustRightInd w:val="0"/>
        <w:spacing w:before="0" w:after="0"/>
      </w:pPr>
      <w:r>
        <w:rPr>
          <w:rStyle w:val="FootnoteReference"/>
        </w:rPr>
        <w:footnoteRef/>
      </w:r>
      <w:r>
        <w:t xml:space="preserve"> </w:t>
      </w:r>
      <w:r w:rsidRPr="006242DD">
        <w:rPr>
          <w:rFonts w:ascii="Times New Roman" w:hAnsi="Times New Roman" w:eastAsiaTheme="minorHAnsi"/>
          <w:sz w:val="20"/>
          <w:szCs w:val="20"/>
          <w14:ligatures w14:val="standardContextual"/>
        </w:rPr>
        <w:t xml:space="preserve">FEMA, ‘‘Integrated Public Alert &amp; Warning System,’’ </w:t>
      </w:r>
      <w:r w:rsidRPr="006242DD" w:rsidR="001048B2">
        <w:rPr>
          <w:rFonts w:ascii="Times New Roman" w:hAnsi="Times New Roman" w:eastAsiaTheme="minorHAnsi"/>
          <w:sz w:val="20"/>
          <w:szCs w:val="20"/>
          <w14:ligatures w14:val="standardContextual"/>
        </w:rPr>
        <w:t>accessed October 25, 2023</w:t>
      </w:r>
      <w:r w:rsidRPr="006242DD">
        <w:rPr>
          <w:rFonts w:ascii="Times New Roman" w:hAnsi="Times New Roman" w:eastAsiaTheme="minorHAnsi"/>
          <w:sz w:val="20"/>
          <w:szCs w:val="20"/>
          <w14:ligatures w14:val="standardContextual"/>
        </w:rPr>
        <w:t xml:space="preserve">, </w:t>
      </w:r>
      <w:hyperlink r:id="rId34" w:history="1">
        <w:r w:rsidRPr="002D56C9" w:rsidR="006242DD">
          <w:rPr>
            <w:rStyle w:val="Hyperlink"/>
            <w:rFonts w:ascii="Times New Roman" w:hAnsi="Times New Roman" w:eastAsiaTheme="minorHAnsi"/>
            <w:sz w:val="20"/>
            <w:szCs w:val="20"/>
            <w14:ligatures w14:val="standardContextual"/>
          </w:rPr>
          <w:t>https://www.fema.gov/emergency-managers/practitioners/integrated-public-alert-warning-system</w:t>
        </w:r>
      </w:hyperlink>
      <w:r w:rsidR="009B78BA">
        <w:rPr>
          <w:rStyle w:val="Hyperlink"/>
          <w:rFonts w:ascii="Times New Roman" w:hAnsi="Times New Roman" w:eastAsiaTheme="minorHAnsi"/>
          <w:sz w:val="20"/>
          <w:szCs w:val="20"/>
          <w14:ligatures w14:val="standardContextual"/>
        </w:rPr>
        <w:t>.</w:t>
      </w:r>
      <w:r w:rsidRPr="002D56C9" w:rsidR="006242DD">
        <w:rPr>
          <w:rFonts w:ascii="Times New Roman" w:hAnsi="Times New Roman" w:eastAsiaTheme="minorHAnsi"/>
          <w:sz w:val="20"/>
          <w:szCs w:val="20"/>
          <w14:ligatures w14:val="standardContextual"/>
        </w:rPr>
        <w:t xml:space="preserve"> </w:t>
      </w:r>
    </w:p>
  </w:footnote>
  <w:footnote w:id="153">
    <w:p w:rsidR="00AE0023" w:rsidP="00172F82" w14:paraId="45DE0B22" w14:textId="1B4AF78A">
      <w:pPr>
        <w:autoSpaceDE w:val="0"/>
        <w:autoSpaceDN w:val="0"/>
        <w:adjustRightInd w:val="0"/>
        <w:spacing w:before="0" w:after="0"/>
      </w:pPr>
      <w:r>
        <w:rPr>
          <w:rStyle w:val="FootnoteReference"/>
        </w:rPr>
        <w:footnoteRef/>
      </w:r>
      <w:r>
        <w:t xml:space="preserve"> </w:t>
      </w:r>
      <w:r w:rsidRPr="00172F82">
        <w:rPr>
          <w:rFonts w:ascii="Times New Roman" w:hAnsi="Times New Roman" w:eastAsiaTheme="minorHAnsi"/>
          <w:sz w:val="20"/>
          <w:szCs w:val="20"/>
          <w14:ligatures w14:val="standardContextual"/>
        </w:rPr>
        <w:t xml:space="preserve">FEMA, ‘‘Alerting People with Disabilities and Access and Functional Needs,’’ accessed </w:t>
      </w:r>
      <w:r w:rsidRPr="00172F82" w:rsidR="00172F82">
        <w:rPr>
          <w:rFonts w:ascii="Times New Roman" w:hAnsi="Times New Roman" w:eastAsiaTheme="minorHAnsi"/>
          <w:sz w:val="20"/>
          <w:szCs w:val="20"/>
          <w14:ligatures w14:val="standardContextual"/>
        </w:rPr>
        <w:t>October 25, 2023</w:t>
      </w:r>
      <w:r w:rsidRPr="00172F82">
        <w:rPr>
          <w:rFonts w:ascii="Times New Roman" w:hAnsi="Times New Roman" w:eastAsiaTheme="minorHAnsi"/>
          <w:sz w:val="20"/>
          <w:szCs w:val="20"/>
          <w14:ligatures w14:val="standardContextual"/>
        </w:rPr>
        <w:t xml:space="preserve">, </w:t>
      </w:r>
      <w:hyperlink r:id="rId35" w:history="1">
        <w:r w:rsidRPr="002D56C9" w:rsidR="00172F82">
          <w:rPr>
            <w:rStyle w:val="Hyperlink"/>
            <w:rFonts w:ascii="Times New Roman" w:hAnsi="Times New Roman" w:eastAsiaTheme="minorHAnsi"/>
            <w:sz w:val="20"/>
            <w:szCs w:val="20"/>
            <w14:ligatures w14:val="standardContextual"/>
          </w:rPr>
          <w:t>https://www.fema.gov/es/emergency-managers/practitioners/integrated-public-alert-warning-system/public/alerting-people-disabilities</w:t>
        </w:r>
      </w:hyperlink>
      <w:r w:rsidR="009B78BA">
        <w:rPr>
          <w:rStyle w:val="Hyperlink"/>
          <w:rFonts w:ascii="Times New Roman" w:hAnsi="Times New Roman" w:eastAsiaTheme="minorHAnsi"/>
          <w:sz w:val="20"/>
          <w:szCs w:val="20"/>
          <w14:ligatures w14:val="standardContextual"/>
        </w:rPr>
        <w:t>.</w:t>
      </w:r>
      <w:r w:rsidR="00172F82">
        <w:rPr>
          <w:rFonts w:ascii="Melior-Italic" w:hAnsi="Melior-Italic" w:eastAsiaTheme="minorHAnsi" w:cs="Melior-Italic"/>
          <w:i/>
          <w:iCs/>
          <w:sz w:val="14"/>
          <w:szCs w:val="14"/>
          <w14:ligatures w14:val="standardContextual"/>
        </w:rPr>
        <w:t xml:space="preserve"> </w:t>
      </w:r>
      <w:r>
        <w:rPr>
          <w:rFonts w:ascii="Melior-Italic" w:hAnsi="Melior-Italic" w:eastAsiaTheme="minorHAnsi" w:cs="Melior-Italic"/>
          <w:i/>
          <w:iCs/>
          <w:sz w:val="14"/>
          <w:szCs w:val="14"/>
          <w14:ligatures w14:val="standardContextual"/>
        </w:rPr>
        <w:t xml:space="preserve"> </w:t>
      </w:r>
      <w:r w:rsidR="00172F82">
        <w:rPr>
          <w:rFonts w:ascii="Melior-Italic" w:hAnsi="Melior-Italic" w:eastAsiaTheme="minorHAnsi" w:cs="Melior-Italic"/>
          <w:i/>
          <w:iCs/>
          <w:sz w:val="14"/>
          <w:szCs w:val="14"/>
          <w14:ligatures w14:val="standardContextual"/>
        </w:rPr>
        <w:t xml:space="preserve"> </w:t>
      </w:r>
    </w:p>
  </w:footnote>
  <w:footnote w:id="154">
    <w:p w:rsidR="00024ECF" w:rsidP="00024ECF" w14:paraId="3BB26856" w14:textId="77777777">
      <w:pPr>
        <w:pStyle w:val="FootnoteText"/>
      </w:pPr>
      <w:r>
        <w:rPr>
          <w:rStyle w:val="FootnoteReference"/>
          <w:rFonts w:cstheme="minorHAnsi"/>
        </w:rPr>
        <w:footnoteRef/>
      </w:r>
      <w:r>
        <w:t xml:space="preserve"> </w:t>
      </w:r>
      <w:hyperlink r:id="rId37" w:history="1">
        <w:r w:rsidRPr="00B0799C">
          <w:rPr>
            <w:rStyle w:val="Hyperlink"/>
            <w:rFonts w:ascii="Times New Roman" w:hAnsi="Times New Roman"/>
          </w:rPr>
          <w:t>https://www.epa.gov/rmp/federal-reading-rooms-risk-management-plans-rmp</w:t>
        </w:r>
      </w:hyperlink>
      <w:r w:rsidRPr="00B0799C">
        <w:rPr>
          <w:rFonts w:ascii="Times New Roman" w:hAnsi="Times New Roman"/>
        </w:rPr>
        <w:t>.</w:t>
      </w:r>
    </w:p>
  </w:footnote>
  <w:footnote w:id="155">
    <w:p w:rsidR="00524ECC" w14:paraId="6D6DBF7B" w14:textId="616A3D85">
      <w:pPr>
        <w:pStyle w:val="FootnoteText"/>
      </w:pPr>
      <w:r>
        <w:rPr>
          <w:rStyle w:val="FootnoteReference"/>
        </w:rPr>
        <w:footnoteRef/>
      </w:r>
      <w:r>
        <w:t xml:space="preserve"> </w:t>
      </w:r>
      <w:hyperlink r:id="rId38" w:history="1">
        <w:r w:rsidRPr="00524ECC">
          <w:rPr>
            <w:rStyle w:val="Hyperlink"/>
            <w:rFonts w:ascii="Times New Roman" w:hAnsi="Times New Roman"/>
          </w:rPr>
          <w:t>https://www.epa.gov/system/files/documents/2023-04/National%20Survey%20of%20the%20State%20Emergency%20Response%20Commissions.pdf</w:t>
        </w:r>
      </w:hyperlink>
      <w:r>
        <w:t xml:space="preserve"> </w:t>
      </w:r>
    </w:p>
  </w:footnote>
  <w:footnote w:id="156">
    <w:p w:rsidR="00216D5D" w:rsidP="00216D5D" w14:paraId="4FA435F2" w14:textId="77777777">
      <w:pPr>
        <w:pStyle w:val="FootnoteText"/>
      </w:pPr>
      <w:r>
        <w:rPr>
          <w:rStyle w:val="FootnoteReference"/>
        </w:rPr>
        <w:footnoteRef/>
      </w:r>
      <w:r>
        <w:t xml:space="preserve"> </w:t>
      </w:r>
      <w:hyperlink r:id="rId39" w:history="1">
        <w:r w:rsidRPr="008B721B">
          <w:rPr>
            <w:rStyle w:val="Hyperlink"/>
            <w:rFonts w:ascii="Times New Roman" w:hAnsi="Times New Roman"/>
          </w:rPr>
          <w:t>https://www.epa.gov/rmp/forms/vulnerable-zone-indicator-system</w:t>
        </w:r>
      </w:hyperlink>
      <w:r>
        <w:t xml:space="preserve"> </w:t>
      </w:r>
    </w:p>
  </w:footnote>
  <w:footnote w:id="157">
    <w:p w:rsidR="00192C64" w:rsidRPr="007033E0" w:rsidP="00192C64" w14:paraId="59B7731D" w14:textId="77777777">
      <w:pPr>
        <w:pStyle w:val="FootnoteText"/>
        <w:rPr>
          <w:rFonts w:ascii="Times New Roman" w:hAnsi="Times New Roman"/>
        </w:rPr>
      </w:pPr>
      <w:r w:rsidRPr="007033E0">
        <w:rPr>
          <w:rStyle w:val="FootnoteReference"/>
          <w:rFonts w:ascii="Times New Roman" w:hAnsi="Times New Roman"/>
        </w:rPr>
        <w:footnoteRef/>
      </w:r>
      <w:r w:rsidRPr="007033E0">
        <w:rPr>
          <w:rFonts w:ascii="Times New Roman" w:hAnsi="Times New Roman"/>
        </w:rPr>
        <w:t xml:space="preserve"> </w:t>
      </w:r>
      <w:hyperlink r:id="rId40" w:history="1">
        <w:r w:rsidRPr="007033E0">
          <w:rPr>
            <w:rStyle w:val="Hyperlink"/>
            <w:rFonts w:ascii="Times New Roman" w:hAnsi="Times New Roman"/>
          </w:rPr>
          <w:t>https://data.census.gov/table?t=Language+Spoken+at+Home</w:t>
        </w:r>
      </w:hyperlink>
      <w:r w:rsidRPr="007033E0">
        <w:rPr>
          <w:rFonts w:ascii="Times New Roman" w:hAnsi="Times New Roman"/>
        </w:rPr>
        <w:t xml:space="preserve"> </w:t>
      </w:r>
    </w:p>
  </w:footnote>
  <w:footnote w:id="158">
    <w:p w:rsidR="000802BB" w:rsidRPr="00301FAC" w14:paraId="68D955AF" w14:textId="7992A5D1">
      <w:pPr>
        <w:pStyle w:val="FootnoteText"/>
        <w:rPr>
          <w:rFonts w:ascii="Times New Roman" w:hAnsi="Times New Roman"/>
        </w:rPr>
      </w:pPr>
      <w:r w:rsidRPr="00301FAC">
        <w:rPr>
          <w:rStyle w:val="FootnoteReference"/>
          <w:rFonts w:ascii="Times New Roman" w:hAnsi="Times New Roman"/>
        </w:rPr>
        <w:footnoteRef/>
      </w:r>
      <w:r w:rsidRPr="00301FAC">
        <w:rPr>
          <w:rFonts w:ascii="Times New Roman" w:hAnsi="Times New Roman"/>
        </w:rPr>
        <w:t xml:space="preserve"> </w:t>
      </w:r>
      <w:hyperlink r:id="rId41" w:history="1">
        <w:r w:rsidRPr="00301FAC" w:rsidR="002B34D1">
          <w:rPr>
            <w:rStyle w:val="Hyperlink"/>
            <w:rFonts w:ascii="Times New Roman" w:hAnsi="Times New Roman"/>
            <w:i/>
            <w:iCs/>
          </w:rPr>
          <w:t>https://www.lep.gov/language-access-planning</w:t>
        </w:r>
      </w:hyperlink>
    </w:p>
  </w:footnote>
  <w:footnote w:id="159">
    <w:p w:rsidR="00402C71" w:rsidRPr="00FE1E3B" w:rsidP="00402C71" w14:paraId="450F2CA9" w14:textId="77777777">
      <w:pPr>
        <w:pStyle w:val="FootnoteText"/>
        <w:rPr>
          <w:rFonts w:ascii="Times New Roman" w:hAnsi="Times New Roman"/>
        </w:rPr>
      </w:pPr>
      <w:r w:rsidRPr="007033E0">
        <w:rPr>
          <w:rStyle w:val="FootnoteReference"/>
          <w:rFonts w:ascii="Times New Roman" w:hAnsi="Times New Roman"/>
        </w:rPr>
        <w:footnoteRef/>
      </w:r>
      <w:r w:rsidRPr="007033E0">
        <w:rPr>
          <w:rFonts w:ascii="Times New Roman" w:hAnsi="Times New Roman"/>
        </w:rPr>
        <w:t xml:space="preserve"> </w:t>
      </w:r>
      <w:hyperlink r:id="rId40" w:history="1">
        <w:r w:rsidRPr="00FE1E3B">
          <w:rPr>
            <w:rStyle w:val="Hyperlink"/>
            <w:rFonts w:ascii="Times New Roman" w:hAnsi="Times New Roman"/>
          </w:rPr>
          <w:t>https://data.census.gov/table?t=Language+Spoken+at+Home</w:t>
        </w:r>
      </w:hyperlink>
      <w:r w:rsidRPr="00FE1E3B">
        <w:rPr>
          <w:rFonts w:ascii="Times New Roman" w:hAnsi="Times New Roman"/>
        </w:rPr>
        <w:t xml:space="preserve"> </w:t>
      </w:r>
    </w:p>
  </w:footnote>
  <w:footnote w:id="160">
    <w:p w:rsidR="00AA43D9" w:rsidRPr="00FE1E3B" w14:paraId="5421BD6A" w14:textId="677269D0">
      <w:pPr>
        <w:pStyle w:val="FootnoteText"/>
        <w:rPr>
          <w:rFonts w:ascii="Times New Roman" w:hAnsi="Times New Roman"/>
        </w:rPr>
      </w:pPr>
      <w:r w:rsidRPr="00FE1E3B">
        <w:rPr>
          <w:rStyle w:val="FootnoteReference"/>
          <w:rFonts w:ascii="Times New Roman" w:hAnsi="Times New Roman"/>
        </w:rPr>
        <w:footnoteRef/>
      </w:r>
      <w:r w:rsidRPr="00FE1E3B">
        <w:rPr>
          <w:rFonts w:ascii="Times New Roman" w:hAnsi="Times New Roman"/>
        </w:rPr>
        <w:t xml:space="preserve"> </w:t>
      </w:r>
      <w:hyperlink r:id="rId41" w:history="1">
        <w:r w:rsidRPr="00FE1E3B">
          <w:rPr>
            <w:rStyle w:val="Hyperlink"/>
            <w:rFonts w:ascii="Times New Roman" w:hAnsi="Times New Roman"/>
            <w:i/>
            <w:iCs/>
          </w:rPr>
          <w:t>https://www.lep.gov/language-access-planning</w:t>
        </w:r>
      </w:hyperlink>
    </w:p>
  </w:footnote>
  <w:footnote w:id="161">
    <w:p w:rsidR="00067698" w:rsidRPr="0032329B" w14:paraId="50DB2D14" w14:textId="3E1D1B96">
      <w:pPr>
        <w:pStyle w:val="FootnoteText"/>
        <w:rPr>
          <w:rFonts w:ascii="Times New Roman" w:hAnsi="Times New Roman"/>
        </w:rPr>
      </w:pPr>
      <w:r w:rsidRPr="00FE1E3B">
        <w:rPr>
          <w:rStyle w:val="FootnoteReference"/>
          <w:rFonts w:ascii="Times New Roman" w:hAnsi="Times New Roman"/>
        </w:rPr>
        <w:footnoteRef/>
      </w:r>
      <w:r w:rsidRPr="00FE1E3B">
        <w:rPr>
          <w:rFonts w:ascii="Times New Roman" w:hAnsi="Times New Roman"/>
        </w:rPr>
        <w:t xml:space="preserve"> </w:t>
      </w:r>
      <w:r w:rsidRPr="00FE1E3B" w:rsidR="00AB2B60">
        <w:rPr>
          <w:rFonts w:ascii="Times New Roman" w:hAnsi="Times New Roman"/>
        </w:rPr>
        <w:t>While not the basis of this provision, these language translation requirements advance the policies in Executive Orders 13166 and 14096: https://www.federalregister.gov/documents/2023/04/26/2023-08955/revitalizing-our-nations-commitment-to-environmental-justice-for-all; https://www.federalregister.gov/documents/2000/08/16/00-20938/improving-access-to-services-for-persons-with-limited-english-proficiency</w:t>
      </w:r>
    </w:p>
  </w:footnote>
  <w:footnote w:id="162">
    <w:p w:rsidR="0019160D" w:rsidP="0019160D" w14:paraId="4FEFC864" w14:textId="77777777">
      <w:pPr>
        <w:pStyle w:val="FootnoteText"/>
      </w:pPr>
      <w:r>
        <w:rPr>
          <w:rStyle w:val="FootnoteReference"/>
        </w:rPr>
        <w:footnoteRef/>
      </w:r>
      <w:r>
        <w:t xml:space="preserve"> </w:t>
      </w:r>
      <w:hyperlink r:id="rId39" w:history="1">
        <w:r w:rsidRPr="008B721B">
          <w:rPr>
            <w:rStyle w:val="Hyperlink"/>
            <w:rFonts w:ascii="Times New Roman" w:hAnsi="Times New Roman"/>
          </w:rPr>
          <w:t>https://www.epa.gov/rmp/forms/vulnerable-zone-indicator-system</w:t>
        </w:r>
      </w:hyperlink>
      <w:r>
        <w:t xml:space="preserve"> </w:t>
      </w:r>
    </w:p>
  </w:footnote>
  <w:footnote w:id="163">
    <w:p w:rsidR="00E74F7A" w14:paraId="7B96BDE4" w14:textId="66795F39">
      <w:pPr>
        <w:pStyle w:val="FootnoteText"/>
      </w:pPr>
      <w:r>
        <w:rPr>
          <w:rStyle w:val="FootnoteReference"/>
        </w:rPr>
        <w:footnoteRef/>
      </w:r>
      <w:r>
        <w:t xml:space="preserve"> </w:t>
      </w:r>
      <w:hyperlink r:id="rId42" w:anchor=":~:text=CAMEO%20Chemicals%20is%20the%20hazardous,if%20chemicals%20are%20mixed%20together" w:history="1">
        <w:r w:rsidRPr="00E74F7A">
          <w:rPr>
            <w:rStyle w:val="Hyperlink"/>
            <w:rFonts w:ascii="Times New Roman" w:hAnsi="Times New Roman"/>
          </w:rPr>
          <w:t>https://www.epa.gov/cameo/cameo-chemicals-software#:~:text=CAMEO%20Chemicals%20is%20the%20hazardous,if%20chemicals%20are%20mixed%20together</w:t>
        </w:r>
      </w:hyperlink>
      <w:r w:rsidRPr="00E74F7A">
        <w:rPr>
          <w:rFonts w:ascii="Times New Roman" w:hAnsi="Times New Roman"/>
        </w:rPr>
        <w:t>.</w:t>
      </w:r>
      <w:r>
        <w:t xml:space="preserve"> </w:t>
      </w:r>
    </w:p>
  </w:footnote>
  <w:footnote w:id="164">
    <w:p w:rsidR="0098018E" w14:paraId="48AFF067" w14:textId="76F6A255">
      <w:pPr>
        <w:pStyle w:val="FootnoteText"/>
      </w:pPr>
      <w:r>
        <w:rPr>
          <w:rStyle w:val="FootnoteReference"/>
        </w:rPr>
        <w:footnoteRef/>
      </w:r>
      <w:r>
        <w:t xml:space="preserve"> </w:t>
      </w:r>
      <w:r w:rsidRPr="00817238" w:rsidR="00817238">
        <w:rPr>
          <w:rStyle w:val="normaltextrun"/>
          <w:rFonts w:ascii="Times New Roman" w:hAnsi="Times New Roman"/>
          <w:color w:val="000000"/>
          <w:shd w:val="clear" w:color="auto" w:fill="FFFFFF"/>
        </w:rPr>
        <w:t>Including but not limited to meetings on various dates in Appendix B to this document.</w:t>
      </w:r>
    </w:p>
  </w:footnote>
  <w:footnote w:id="165">
    <w:p w:rsidR="00DC2FD1" w:rsidRPr="007923E4" w14:paraId="7EE827CD" w14:textId="4CF10D15">
      <w:pPr>
        <w:pStyle w:val="FootnoteText"/>
        <w:rPr>
          <w:rFonts w:ascii="Times New Roman" w:hAnsi="Times New Roman"/>
        </w:rPr>
      </w:pPr>
      <w:r w:rsidRPr="007923E4">
        <w:rPr>
          <w:rStyle w:val="FootnoteReference"/>
          <w:rFonts w:ascii="Times New Roman" w:hAnsi="Times New Roman"/>
        </w:rPr>
        <w:footnoteRef/>
      </w:r>
      <w:r w:rsidRPr="007923E4" w:rsidR="005616FA">
        <w:rPr>
          <w:rFonts w:ascii="Times New Roman" w:hAnsi="Times New Roman"/>
        </w:rPr>
        <w:t>https://www.epa.gov/system/files/documents/2022-11/RMP%20eSubmit%20User%20Manual%20%28October%202022%29.pdf</w:t>
      </w:r>
    </w:p>
  </w:footnote>
  <w:footnote w:id="166">
    <w:p w:rsidR="0020145E" w:rsidRPr="00CA1A7B" w14:paraId="2E90DBFF" w14:textId="26042954">
      <w:pPr>
        <w:pStyle w:val="FootnoteText"/>
        <w:rPr>
          <w:rFonts w:ascii="Times New Roman" w:hAnsi="Times New Roman"/>
        </w:rPr>
      </w:pPr>
      <w:r w:rsidRPr="00CA1A7B">
        <w:rPr>
          <w:rStyle w:val="FootnoteReference"/>
          <w:rFonts w:ascii="Times New Roman" w:hAnsi="Times New Roman"/>
        </w:rPr>
        <w:footnoteRef/>
      </w:r>
      <w:r w:rsidRPr="00CA1A7B">
        <w:rPr>
          <w:rFonts w:ascii="Times New Roman" w:hAnsi="Times New Roman"/>
        </w:rPr>
        <w:t xml:space="preserve"> </w:t>
      </w:r>
      <w:r w:rsidRPr="00CA1A7B" w:rsidR="00CA1A7B">
        <w:rPr>
          <w:rFonts w:ascii="Times New Roman" w:hAnsi="Times New Roman"/>
        </w:rPr>
        <w:t xml:space="preserve">  Including but not limited to meetings on various dates in Appendix B to this document.</w:t>
      </w:r>
    </w:p>
  </w:footnote>
  <w:footnote w:id="167">
    <w:p w:rsidR="00297AF5" w14:paraId="59D57C8D" w14:textId="41FE37B7">
      <w:pPr>
        <w:pStyle w:val="FootnoteText"/>
      </w:pPr>
      <w:r>
        <w:rPr>
          <w:rStyle w:val="FootnoteReference"/>
        </w:rPr>
        <w:footnoteRef/>
      </w:r>
      <w:r>
        <w:t xml:space="preserve"> </w:t>
      </w:r>
      <w:r w:rsidRPr="00817238" w:rsidR="00305491">
        <w:rPr>
          <w:rStyle w:val="normaltextrun"/>
          <w:rFonts w:ascii="Times New Roman" w:hAnsi="Times New Roman"/>
          <w:color w:val="000000"/>
          <w:shd w:val="clear" w:color="auto" w:fill="FFFFFF"/>
        </w:rPr>
        <w:t>Including but not limited to meetings on various dates in Appendix B to this document.</w:t>
      </w:r>
    </w:p>
  </w:footnote>
  <w:footnote w:id="168">
    <w:p w:rsidR="00021D11" w:rsidRPr="001D56A6" w:rsidP="00021D11" w14:paraId="45E51257" w14:textId="77777777">
      <w:pPr>
        <w:pStyle w:val="FootnoteText"/>
        <w:rPr>
          <w:rFonts w:ascii="Times New Roman" w:hAnsi="Times New Roman"/>
        </w:rPr>
      </w:pPr>
      <w:r w:rsidRPr="001D56A6">
        <w:rPr>
          <w:rStyle w:val="FootnoteReference"/>
          <w:rFonts w:ascii="Times New Roman" w:hAnsi="Times New Roman"/>
        </w:rPr>
        <w:footnoteRef/>
      </w:r>
      <w:r w:rsidRPr="001D56A6">
        <w:rPr>
          <w:rFonts w:ascii="Times New Roman" w:hAnsi="Times New Roman"/>
        </w:rPr>
        <w:t xml:space="preserve"> Valeria Casson Moreno et al., “Analysis of Physical and Cyber Security–Related Events in the Chemical and Process Industry,” </w:t>
      </w:r>
      <w:r w:rsidRPr="001D56A6">
        <w:rPr>
          <w:rFonts w:ascii="Times New Roman" w:hAnsi="Times New Roman"/>
          <w:i/>
        </w:rPr>
        <w:t>Process Safety and Environmental Protection</w:t>
      </w:r>
      <w:r w:rsidRPr="001D56A6">
        <w:rPr>
          <w:rFonts w:ascii="Times New Roman" w:hAnsi="Times New Roman"/>
        </w:rPr>
        <w:t xml:space="preserve"> 116 (2018), 621–31, doi:10.1016/j.psep.2018.03.026.</w:t>
      </w:r>
    </w:p>
  </w:footnote>
  <w:footnote w:id="169">
    <w:p w:rsidR="00021D11" w:rsidRPr="001D56A6" w:rsidP="00021D11" w14:paraId="7FFD693F" w14:textId="77777777">
      <w:pPr>
        <w:pStyle w:val="FootnoteText"/>
        <w:rPr>
          <w:rFonts w:ascii="Times New Roman" w:hAnsi="Times New Roman"/>
        </w:rPr>
      </w:pPr>
      <w:r w:rsidRPr="001D56A6">
        <w:rPr>
          <w:rStyle w:val="FootnoteReference"/>
          <w:rFonts w:ascii="Times New Roman" w:hAnsi="Times New Roman"/>
        </w:rPr>
        <w:footnoteRef/>
      </w:r>
      <w:r w:rsidRPr="001D56A6">
        <w:rPr>
          <w:rFonts w:ascii="Times New Roman" w:hAnsi="Times New Roman"/>
        </w:rPr>
        <w:t xml:space="preserve"> Matteo Iaiani et al., “Analysis of Events Involving the Intentional Release of Hazardous Substances from Industrial Facilities,” </w:t>
      </w:r>
      <w:r w:rsidRPr="001D56A6">
        <w:rPr>
          <w:rFonts w:ascii="Times New Roman" w:hAnsi="Times New Roman"/>
          <w:i/>
        </w:rPr>
        <w:t>Reliability Engineering &amp; System Safety</w:t>
      </w:r>
      <w:r w:rsidRPr="001D56A6">
        <w:rPr>
          <w:rFonts w:ascii="Times New Roman" w:hAnsi="Times New Roman"/>
        </w:rPr>
        <w:t xml:space="preserve"> 212 (2021), 107593, doi:10.1016/j.ress.2021.107593.</w:t>
      </w:r>
    </w:p>
  </w:footnote>
  <w:footnote w:id="170">
    <w:p w:rsidR="00021D11" w:rsidRPr="00886CF4" w:rsidP="00021D11" w14:paraId="37BB8754" w14:textId="77777777">
      <w:pPr>
        <w:pStyle w:val="FootnoteText"/>
      </w:pPr>
      <w:r w:rsidRPr="001D56A6">
        <w:rPr>
          <w:rStyle w:val="FootnoteReference"/>
          <w:rFonts w:ascii="Times New Roman" w:hAnsi="Times New Roman"/>
        </w:rPr>
        <w:footnoteRef/>
      </w:r>
      <w:r w:rsidRPr="001D56A6">
        <w:rPr>
          <w:rFonts w:ascii="Times New Roman" w:hAnsi="Times New Roman"/>
        </w:rPr>
        <w:t xml:space="preserve"> This is not a complete dataset, because it was developed based on publicly available information. Available in the supplemental material of Matteo Iaiani et al., “Analysis of Events Involving the Intentional Release of Hazardous Substances from Industrial Facilities,” </w:t>
      </w:r>
      <w:r w:rsidRPr="001D56A6">
        <w:rPr>
          <w:rFonts w:ascii="Times New Roman" w:hAnsi="Times New Roman"/>
          <w:i/>
        </w:rPr>
        <w:t>Reliability Engineering &amp; System Safety</w:t>
      </w:r>
      <w:r w:rsidRPr="001D56A6">
        <w:rPr>
          <w:rFonts w:ascii="Times New Roman" w:hAnsi="Times New Roman"/>
        </w:rPr>
        <w:t xml:space="preserve"> 212 (2021), 107593, doi:10.1016/j.ress.2021.107593.</w:t>
      </w:r>
    </w:p>
  </w:footnote>
  <w:footnote w:id="171">
    <w:p w:rsidR="00021D11" w:rsidRPr="002077A5" w:rsidP="00021D11" w14:paraId="30437BA8" w14:textId="77777777">
      <w:pPr>
        <w:pStyle w:val="FootnoteText"/>
        <w:rPr>
          <w:rFonts w:ascii="Times New Roman" w:hAnsi="Times New Roman"/>
        </w:rPr>
      </w:pPr>
      <w:r w:rsidRPr="002077A5">
        <w:rPr>
          <w:rStyle w:val="FootnoteReference"/>
          <w:rFonts w:ascii="Times New Roman" w:hAnsi="Times New Roman"/>
        </w:rPr>
        <w:footnoteRef/>
      </w:r>
      <w:r w:rsidRPr="002077A5">
        <w:rPr>
          <w:rFonts w:ascii="Times New Roman" w:hAnsi="Times New Roman"/>
        </w:rPr>
        <w:t xml:space="preserve"> Holly Carter, John Drury, and Richard Amlôt, “Recommendations for Improving Public Engagement with Pre-incident Information Materials for Initial Response to a Chemical, Biological, Radiological or Nuclear (CBRN) Incident: A Systematic Review,” </w:t>
      </w:r>
      <w:r w:rsidRPr="002077A5">
        <w:rPr>
          <w:rFonts w:ascii="Times New Roman" w:hAnsi="Times New Roman"/>
          <w:i/>
        </w:rPr>
        <w:t>International Journal of Disaster Risk Reduction</w:t>
      </w:r>
      <w:r w:rsidRPr="002077A5">
        <w:rPr>
          <w:rFonts w:ascii="Times New Roman" w:hAnsi="Times New Roman"/>
        </w:rPr>
        <w:t xml:space="preserve"> 51 (2020), 101796, doi:10.1016/j.ijdrr.2020.101796.</w:t>
      </w:r>
    </w:p>
  </w:footnote>
  <w:footnote w:id="172">
    <w:p w:rsidR="00021D11" w:rsidRPr="002077A5" w:rsidP="00021D11" w14:paraId="27EBA337" w14:textId="77777777">
      <w:pPr>
        <w:pStyle w:val="FootnoteText"/>
        <w:rPr>
          <w:rFonts w:ascii="Times New Roman" w:hAnsi="Times New Roman"/>
        </w:rPr>
      </w:pPr>
      <w:r w:rsidRPr="002077A5">
        <w:rPr>
          <w:rStyle w:val="FootnoteReference"/>
          <w:rFonts w:ascii="Times New Roman" w:hAnsi="Times New Roman"/>
        </w:rPr>
        <w:footnoteRef/>
      </w:r>
      <w:r w:rsidRPr="002077A5">
        <w:rPr>
          <w:rFonts w:ascii="Times New Roman" w:hAnsi="Times New Roman"/>
        </w:rPr>
        <w:t xml:space="preserve"> DOJ, Assessment of the Increased Risk of Terrorist or Other Criminal Activity Associated with Posting Off-Site Consequence Analysis Information on the Internet (2000), </w:t>
      </w:r>
      <w:hyperlink r:id="rId43" w:history="1">
        <w:r w:rsidRPr="002077A5">
          <w:rPr>
            <w:rStyle w:val="Hyperlink"/>
            <w:rFonts w:ascii="Times New Roman" w:hAnsi="Times New Roman"/>
          </w:rPr>
          <w:t>https://www.regulations.gov/document/EPA-HQ-OEM-2015-0725-2003</w:t>
        </w:r>
      </w:hyperlink>
      <w:r w:rsidRPr="002077A5">
        <w:rPr>
          <w:rFonts w:ascii="Times New Roman" w:hAnsi="Times New Roman"/>
        </w:rPr>
        <w:t>, EPA-HQ-OEM-2015-0725-2003.</w:t>
      </w:r>
    </w:p>
  </w:footnote>
  <w:footnote w:id="173">
    <w:p w:rsidR="001B3936" w:rsidRPr="001B3936" w14:paraId="02850060" w14:textId="04D1348F">
      <w:pPr>
        <w:pStyle w:val="FootnoteText"/>
        <w:rPr>
          <w:rFonts w:ascii="Times New Roman" w:hAnsi="Times New Roman"/>
        </w:rPr>
      </w:pPr>
      <w:r w:rsidRPr="001B3936">
        <w:rPr>
          <w:rStyle w:val="FootnoteReference"/>
          <w:rFonts w:ascii="Times New Roman" w:hAnsi="Times New Roman"/>
        </w:rPr>
        <w:footnoteRef/>
      </w:r>
      <w:r w:rsidRPr="001B3936">
        <w:rPr>
          <w:rFonts w:ascii="Times New Roman" w:hAnsi="Times New Roman"/>
        </w:rPr>
        <w:t xml:space="preserve">   Including but not limited to meetings on various dates in Appendix B to this document.</w:t>
      </w:r>
    </w:p>
  </w:footnote>
  <w:footnote w:id="174">
    <w:p w:rsidR="003C36A2" w14:paraId="76BA89C1" w14:textId="5995A13C">
      <w:pPr>
        <w:pStyle w:val="FootnoteText"/>
      </w:pPr>
      <w:r>
        <w:rPr>
          <w:rStyle w:val="FootnoteReference"/>
        </w:rPr>
        <w:footnoteRef/>
      </w:r>
      <w:r>
        <w:t xml:space="preserve"> </w:t>
      </w:r>
      <w:r w:rsidRPr="00817238" w:rsidR="00B31FB0">
        <w:rPr>
          <w:rStyle w:val="normaltextrun"/>
          <w:rFonts w:ascii="Times New Roman" w:hAnsi="Times New Roman"/>
          <w:color w:val="000000"/>
          <w:shd w:val="clear" w:color="auto" w:fill="FFFFFF"/>
        </w:rPr>
        <w:t>Including but not limited to meetings on various dates in Appendix B to this document.</w:t>
      </w:r>
    </w:p>
  </w:footnote>
  <w:footnote w:id="175">
    <w:p w:rsidR="00021D11" w:rsidRPr="00E467D7" w:rsidP="00021D11" w14:paraId="15E13DE3" w14:textId="77777777">
      <w:pPr>
        <w:pStyle w:val="FootnoteText"/>
        <w:rPr>
          <w:rFonts w:ascii="Times New Roman" w:hAnsi="Times New Roman"/>
        </w:rPr>
      </w:pPr>
      <w:r w:rsidRPr="00886CF4">
        <w:rPr>
          <w:rStyle w:val="FootnoteReference"/>
        </w:rPr>
        <w:footnoteRef/>
      </w:r>
      <w:r w:rsidRPr="00886CF4">
        <w:t xml:space="preserve"> </w:t>
      </w:r>
      <w:r w:rsidRPr="00E467D7">
        <w:rPr>
          <w:rFonts w:ascii="Times New Roman" w:hAnsi="Times New Roman"/>
        </w:rPr>
        <w:t xml:space="preserve">Valeria Casson Moreno et al., “Analysis of Physical and Cyber Security–Related Events in the Chemical and Process Industry,” </w:t>
      </w:r>
      <w:r w:rsidRPr="00E467D7">
        <w:rPr>
          <w:rFonts w:ascii="Times New Roman" w:hAnsi="Times New Roman"/>
          <w:i/>
        </w:rPr>
        <w:t>Process Safety and Environmental Protection</w:t>
      </w:r>
      <w:r w:rsidRPr="00E467D7">
        <w:rPr>
          <w:rFonts w:ascii="Times New Roman" w:hAnsi="Times New Roman"/>
        </w:rPr>
        <w:t xml:space="preserve"> 116 (2018), 621–31, doi:10.1016/j.psep.2018.03.026.</w:t>
      </w:r>
    </w:p>
  </w:footnote>
  <w:footnote w:id="176">
    <w:p w:rsidR="00021D11" w:rsidRPr="00E467D7" w:rsidP="00021D11" w14:paraId="7D0FFD2F" w14:textId="77777777">
      <w:pPr>
        <w:pStyle w:val="FootnoteText"/>
        <w:rPr>
          <w:rFonts w:ascii="Times New Roman" w:hAnsi="Times New Roman"/>
        </w:rPr>
      </w:pPr>
      <w:r w:rsidRPr="00E467D7">
        <w:rPr>
          <w:rStyle w:val="FootnoteReference"/>
          <w:rFonts w:ascii="Times New Roman" w:hAnsi="Times New Roman"/>
        </w:rPr>
        <w:footnoteRef/>
      </w:r>
      <w:r w:rsidRPr="00E467D7">
        <w:rPr>
          <w:rFonts w:ascii="Times New Roman" w:hAnsi="Times New Roman"/>
        </w:rPr>
        <w:t xml:space="preserve"> Matteo Iaiani et al., “Analysis of Events Involving the Intentional Release of Hazardous Substances from Industrial Facilities,” </w:t>
      </w:r>
      <w:r w:rsidRPr="00E467D7">
        <w:rPr>
          <w:rFonts w:ascii="Times New Roman" w:hAnsi="Times New Roman"/>
          <w:i/>
        </w:rPr>
        <w:t>Reliability Engineering &amp; System Safety</w:t>
      </w:r>
      <w:r w:rsidRPr="00E467D7">
        <w:rPr>
          <w:rFonts w:ascii="Times New Roman" w:hAnsi="Times New Roman"/>
        </w:rPr>
        <w:t xml:space="preserve"> 212 (2021), 107593, doi:10.1016/j.ress.2021.107593.</w:t>
      </w:r>
    </w:p>
  </w:footnote>
  <w:footnote w:id="177">
    <w:p w:rsidR="00021D11" w:rsidRPr="00E467D7" w:rsidP="00021D11" w14:paraId="6970FE77" w14:textId="77777777">
      <w:pPr>
        <w:pStyle w:val="FootnoteText"/>
        <w:rPr>
          <w:rFonts w:ascii="Times New Roman" w:hAnsi="Times New Roman"/>
        </w:rPr>
      </w:pPr>
      <w:r w:rsidRPr="00E467D7">
        <w:rPr>
          <w:rStyle w:val="FootnoteReference"/>
          <w:rFonts w:ascii="Times New Roman" w:hAnsi="Times New Roman"/>
        </w:rPr>
        <w:footnoteRef/>
      </w:r>
      <w:r w:rsidRPr="00E467D7">
        <w:rPr>
          <w:rFonts w:ascii="Times New Roman" w:hAnsi="Times New Roman"/>
        </w:rPr>
        <w:t xml:space="preserve"> This is not a complete dataset, because it was developed based on publicly available information. Available in the supplemental material of Matteo Iaiani et al., “Analysis of Events Involving the Intentional Release of Hazardous Substances from Industrial Facilities,” </w:t>
      </w:r>
      <w:r w:rsidRPr="00E467D7">
        <w:rPr>
          <w:rFonts w:ascii="Times New Roman" w:hAnsi="Times New Roman"/>
          <w:i/>
        </w:rPr>
        <w:t>Reliability Engineering &amp; System Safety</w:t>
      </w:r>
      <w:r w:rsidRPr="00E467D7">
        <w:rPr>
          <w:rFonts w:ascii="Times New Roman" w:hAnsi="Times New Roman"/>
        </w:rPr>
        <w:t xml:space="preserve"> 212 (2021), 107593, doi:10.1016/j.ress.2021.107593.</w:t>
      </w:r>
    </w:p>
  </w:footnote>
  <w:footnote w:id="178">
    <w:p w:rsidR="00021D11" w:rsidRPr="00E467D7" w:rsidP="00021D11" w14:paraId="2EDF07F4" w14:textId="77777777">
      <w:pPr>
        <w:pStyle w:val="FootnoteText"/>
        <w:rPr>
          <w:rFonts w:ascii="Times New Roman" w:hAnsi="Times New Roman"/>
        </w:rPr>
      </w:pPr>
      <w:r w:rsidRPr="00E467D7">
        <w:rPr>
          <w:rStyle w:val="FootnoteReference"/>
          <w:rFonts w:ascii="Times New Roman" w:hAnsi="Times New Roman"/>
        </w:rPr>
        <w:footnoteRef/>
      </w:r>
      <w:r w:rsidRPr="00E467D7">
        <w:rPr>
          <w:rFonts w:ascii="Times New Roman" w:hAnsi="Times New Roman"/>
        </w:rPr>
        <w:t xml:space="preserve"> Holly Carter, John Drury, and Richard Amlôt, “Recommendations for Improving Public Engagement with Pre-incident Information Materials for Initial Response to a Chemical, Biological, Radiological or Nuclear (CBRN) Incident: A Systematic Review,” </w:t>
      </w:r>
      <w:r w:rsidRPr="00E467D7">
        <w:rPr>
          <w:rFonts w:ascii="Times New Roman" w:hAnsi="Times New Roman"/>
          <w:i/>
        </w:rPr>
        <w:t>International Journal of Disaster Risk Reduction</w:t>
      </w:r>
      <w:r w:rsidRPr="00E467D7">
        <w:rPr>
          <w:rFonts w:ascii="Times New Roman" w:hAnsi="Times New Roman"/>
        </w:rPr>
        <w:t xml:space="preserve"> 51 (2020), 101796, doi:10.1016/j.ijdrr.2020.101796.</w:t>
      </w:r>
    </w:p>
  </w:footnote>
  <w:footnote w:id="179">
    <w:p w:rsidR="00021D11" w:rsidRPr="00886CF4" w:rsidP="00021D11" w14:paraId="3D40E49F" w14:textId="77777777">
      <w:pPr>
        <w:pStyle w:val="FootnoteText"/>
      </w:pPr>
      <w:r w:rsidRPr="00E467D7">
        <w:rPr>
          <w:rStyle w:val="FootnoteReference"/>
          <w:rFonts w:ascii="Times New Roman" w:hAnsi="Times New Roman"/>
        </w:rPr>
        <w:footnoteRef/>
      </w:r>
      <w:r w:rsidRPr="00E467D7">
        <w:rPr>
          <w:rFonts w:ascii="Times New Roman" w:hAnsi="Times New Roman"/>
        </w:rPr>
        <w:t xml:space="preserve"> DOJ, Assessment of the Increased Risk of Terrorist or Other Criminal Activity Associated with Posting Off-Site Consequence Analysis Information on the Internet (2000), </w:t>
      </w:r>
      <w:hyperlink r:id="rId43" w:history="1">
        <w:r w:rsidRPr="00E467D7">
          <w:rPr>
            <w:rStyle w:val="Hyperlink"/>
            <w:rFonts w:ascii="Times New Roman" w:hAnsi="Times New Roman"/>
          </w:rPr>
          <w:t>https://www.regulations.gov/document/EPA-HQ-OEM-2015-0725-2003</w:t>
        </w:r>
      </w:hyperlink>
      <w:r w:rsidRPr="00E467D7">
        <w:rPr>
          <w:rFonts w:ascii="Times New Roman" w:hAnsi="Times New Roman"/>
        </w:rPr>
        <w:t>, EPA-HQ-OEM-2015-0725-2003.</w:t>
      </w:r>
    </w:p>
  </w:footnote>
  <w:footnote w:id="180">
    <w:p w:rsidR="00E90B32" w:rsidRPr="00DF3936" w:rsidP="00E90B32" w14:paraId="6AA356B6" w14:textId="77777777">
      <w:pPr>
        <w:pStyle w:val="FootnoteText"/>
        <w:rPr>
          <w:rFonts w:ascii="Times New Roman" w:eastAsia="Times New Roman" w:hAnsi="Times New Roman"/>
        </w:rPr>
      </w:pPr>
      <w:r w:rsidRPr="00DF3936">
        <w:rPr>
          <w:rStyle w:val="FootnoteReference"/>
          <w:rFonts w:ascii="Times New Roman" w:hAnsi="Times New Roman"/>
        </w:rPr>
        <w:footnoteRef/>
      </w:r>
      <w:r w:rsidRPr="00DF3936">
        <w:rPr>
          <w:rFonts w:ascii="Times New Roman" w:hAnsi="Times New Roman"/>
        </w:rPr>
        <w:t xml:space="preserve"> Valeria Casson Moreno et al., “Analysis of Physical and Cyber Security–Related Events in the Chemical and Process Industry,” </w:t>
      </w:r>
      <w:r w:rsidRPr="00DF3936">
        <w:rPr>
          <w:rFonts w:ascii="Times New Roman" w:hAnsi="Times New Roman"/>
          <w:i/>
        </w:rPr>
        <w:t>Process Safety and Environmental Protection</w:t>
      </w:r>
      <w:r w:rsidRPr="00DF3936">
        <w:rPr>
          <w:rFonts w:ascii="Times New Roman" w:hAnsi="Times New Roman"/>
        </w:rPr>
        <w:t xml:space="preserve"> 116 (2018), 621–31, doi:10.1016/j.psep.2018.03.026.</w:t>
      </w:r>
    </w:p>
  </w:footnote>
  <w:footnote w:id="181">
    <w:p w:rsidR="00E90B32" w:rsidRPr="00DF3936" w:rsidP="00E90B32" w14:paraId="17426BE5" w14:textId="77777777">
      <w:pPr>
        <w:pStyle w:val="FootnoteText"/>
        <w:rPr>
          <w:rFonts w:ascii="Times New Roman" w:hAnsi="Times New Roman"/>
        </w:rPr>
      </w:pPr>
      <w:r w:rsidRPr="00DF3936">
        <w:rPr>
          <w:rStyle w:val="FootnoteReference"/>
          <w:rFonts w:ascii="Times New Roman" w:hAnsi="Times New Roman"/>
        </w:rPr>
        <w:footnoteRef/>
      </w:r>
      <w:r w:rsidRPr="00DF3936">
        <w:rPr>
          <w:rFonts w:ascii="Times New Roman" w:hAnsi="Times New Roman"/>
        </w:rPr>
        <w:t xml:space="preserve"> Matteo Iaiani et al., “Analysis of Events Involving the Intentional Release of Hazardous Substances from Industrial Facilities,” </w:t>
      </w:r>
      <w:r w:rsidRPr="00DF3936">
        <w:rPr>
          <w:rFonts w:ascii="Times New Roman" w:hAnsi="Times New Roman"/>
          <w:i/>
        </w:rPr>
        <w:t>Reliability Engineering &amp; System Safety</w:t>
      </w:r>
      <w:r w:rsidRPr="00DF3936">
        <w:rPr>
          <w:rFonts w:ascii="Times New Roman" w:hAnsi="Times New Roman"/>
        </w:rPr>
        <w:t xml:space="preserve"> 212 (2021), 107593, doi:10.1016/j.ress.2021.107593.</w:t>
      </w:r>
    </w:p>
  </w:footnote>
  <w:footnote w:id="182">
    <w:p w:rsidR="00E90B32" w:rsidRPr="00DF3936" w:rsidP="00E90B32" w14:paraId="6A31F99E" w14:textId="77777777">
      <w:pPr>
        <w:pStyle w:val="FootnoteText"/>
        <w:rPr>
          <w:rFonts w:ascii="Times New Roman" w:hAnsi="Times New Roman"/>
        </w:rPr>
      </w:pPr>
      <w:r w:rsidRPr="00DF3936">
        <w:rPr>
          <w:rStyle w:val="FootnoteReference"/>
          <w:rFonts w:ascii="Times New Roman" w:hAnsi="Times New Roman"/>
        </w:rPr>
        <w:footnoteRef/>
      </w:r>
      <w:r w:rsidRPr="00DF3936">
        <w:rPr>
          <w:rFonts w:ascii="Times New Roman" w:hAnsi="Times New Roman"/>
        </w:rPr>
        <w:t xml:space="preserve"> This is not a complete dataset, because it was developed based on publicly available information. Available in the supplemental material of Matteo Iaiani et al., “Analysis of Events Involving the Intentional Release of Hazardous Substances from Industrial Facilities,” </w:t>
      </w:r>
      <w:r w:rsidRPr="00DF3936">
        <w:rPr>
          <w:rFonts w:ascii="Times New Roman" w:hAnsi="Times New Roman"/>
          <w:i/>
        </w:rPr>
        <w:t>Reliability Engineering &amp; System Safety</w:t>
      </w:r>
      <w:r w:rsidRPr="00DF3936">
        <w:rPr>
          <w:rFonts w:ascii="Times New Roman" w:hAnsi="Times New Roman"/>
        </w:rPr>
        <w:t xml:space="preserve"> 212 (2021), 107593, doi:10.1016/j.ress.2021.107593.</w:t>
      </w:r>
    </w:p>
  </w:footnote>
  <w:footnote w:id="183">
    <w:p w:rsidR="00E90B32" w:rsidRPr="00DF3936" w:rsidP="00E90B32" w14:paraId="1A4222E7" w14:textId="77777777">
      <w:pPr>
        <w:pStyle w:val="FootnoteText"/>
        <w:rPr>
          <w:rFonts w:ascii="Times New Roman" w:hAnsi="Times New Roman"/>
        </w:rPr>
      </w:pPr>
      <w:r w:rsidRPr="00DF3936">
        <w:rPr>
          <w:rStyle w:val="FootnoteReference"/>
          <w:rFonts w:ascii="Times New Roman" w:hAnsi="Times New Roman"/>
        </w:rPr>
        <w:footnoteRef/>
      </w:r>
      <w:r w:rsidRPr="00DF3936">
        <w:rPr>
          <w:rFonts w:ascii="Times New Roman" w:hAnsi="Times New Roman"/>
        </w:rPr>
        <w:t xml:space="preserve"> Holly Carter, John Drury, and Richard Amlôt, “Recommendations for Improving Public Engagement with Pre-incident Information Materials for Initial Response to a Chemical, Biological, Radiological or Nuclear (CBRN) Incident: A Systematic Review,” </w:t>
      </w:r>
      <w:r w:rsidRPr="00DF3936">
        <w:rPr>
          <w:rFonts w:ascii="Times New Roman" w:hAnsi="Times New Roman"/>
          <w:i/>
        </w:rPr>
        <w:t>International Journal of Disaster Risk Reduction</w:t>
      </w:r>
      <w:r w:rsidRPr="00DF3936">
        <w:rPr>
          <w:rFonts w:ascii="Times New Roman" w:hAnsi="Times New Roman"/>
        </w:rPr>
        <w:t xml:space="preserve"> 51 (2020), 101796, doi:10.1016/j.ijdrr.2020.101796.</w:t>
      </w:r>
    </w:p>
  </w:footnote>
  <w:footnote w:id="184">
    <w:p w:rsidR="00E90B32" w:rsidRPr="00DF3936" w:rsidP="00E90B32" w14:paraId="7641BF19" w14:textId="77777777">
      <w:pPr>
        <w:pStyle w:val="FootnoteText"/>
        <w:rPr>
          <w:rFonts w:ascii="Times New Roman" w:hAnsi="Times New Roman"/>
        </w:rPr>
      </w:pPr>
      <w:r w:rsidRPr="00DF3936">
        <w:rPr>
          <w:rStyle w:val="FootnoteReference"/>
          <w:rFonts w:ascii="Times New Roman" w:hAnsi="Times New Roman"/>
        </w:rPr>
        <w:footnoteRef/>
      </w:r>
      <w:r w:rsidRPr="00DF3936">
        <w:rPr>
          <w:rFonts w:ascii="Times New Roman" w:hAnsi="Times New Roman"/>
        </w:rPr>
        <w:t xml:space="preserve"> DOJ, Assessment of the Increased Risk of Terrorist or Other Criminal Activity Associated with Posting Off-Site Consequence Analysis Information on the Internet (2000), </w:t>
      </w:r>
      <w:hyperlink r:id="rId43" w:history="1">
        <w:r w:rsidRPr="00DF3936">
          <w:rPr>
            <w:rStyle w:val="Hyperlink"/>
            <w:rFonts w:ascii="Times New Roman" w:hAnsi="Times New Roman"/>
          </w:rPr>
          <w:t>https://www.regulations.gov/document/EPA-HQ-OEM-2015-0725-2003</w:t>
        </w:r>
      </w:hyperlink>
      <w:r w:rsidRPr="00DF3936">
        <w:rPr>
          <w:rFonts w:ascii="Times New Roman" w:hAnsi="Times New Roman"/>
        </w:rPr>
        <w:t>, EPA-HQ-OEM-2015-0725-2003.</w:t>
      </w:r>
    </w:p>
  </w:footnote>
  <w:footnote w:id="185">
    <w:p w:rsidR="004E7B95" w:rsidRPr="00235C72" w:rsidP="004E7B95" w14:paraId="6B64AB5B" w14:textId="77777777">
      <w:pPr>
        <w:pStyle w:val="FootnoteText"/>
        <w:rPr>
          <w:rFonts w:ascii="Times New Roman" w:hAnsi="Times New Roman"/>
        </w:rPr>
      </w:pPr>
      <w:r w:rsidRPr="00235C72">
        <w:rPr>
          <w:rStyle w:val="FootnoteReference"/>
          <w:rFonts w:ascii="Times New Roman" w:hAnsi="Times New Roman"/>
        </w:rPr>
        <w:footnoteRef/>
      </w:r>
      <w:r w:rsidRPr="00235C72">
        <w:rPr>
          <w:rFonts w:ascii="Times New Roman" w:hAnsi="Times New Roman"/>
        </w:rPr>
        <w:t xml:space="preserve"> Of the information listed in the comment, audit reports and sensitive facility information are not available through the existing resources listed. Audit reports and sensitive facility information will also not be required to be released upon request by these final rule provisions. </w:t>
      </w:r>
    </w:p>
  </w:footnote>
  <w:footnote w:id="186">
    <w:p w:rsidR="00021D11" w:rsidRPr="00886CF4" w:rsidP="00021D11" w14:paraId="7D8F7E73" w14:textId="77777777">
      <w:pPr>
        <w:pStyle w:val="FootnoteText"/>
      </w:pPr>
      <w:r w:rsidRPr="00886CF4">
        <w:rPr>
          <w:rStyle w:val="FootnoteReference"/>
        </w:rPr>
        <w:footnoteRef/>
      </w:r>
      <w:r w:rsidRPr="00886CF4">
        <w:t xml:space="preserve"> </w:t>
      </w:r>
      <w:hyperlink r:id="rId37" w:history="1">
        <w:r w:rsidRPr="002077A5">
          <w:rPr>
            <w:rStyle w:val="Hyperlink"/>
            <w:rFonts w:ascii="Times New Roman" w:hAnsi="Times New Roman"/>
          </w:rPr>
          <w:t>https://www.epa.gov/rmp/federal-reading-rooms-risk-management-plans-rmp</w:t>
        </w:r>
      </w:hyperlink>
      <w:r w:rsidRPr="002077A5">
        <w:rPr>
          <w:rFonts w:ascii="Times New Roman" w:hAnsi="Times New Roman"/>
        </w:rPr>
        <w:t>.</w:t>
      </w:r>
    </w:p>
  </w:footnote>
  <w:footnote w:id="187">
    <w:p w:rsidR="00021D11" w:rsidRPr="00886CF4" w:rsidP="00021D11" w14:paraId="04F3080E" w14:textId="77777777">
      <w:pPr>
        <w:pStyle w:val="FootnoteText"/>
      </w:pPr>
      <w:r w:rsidRPr="00886CF4">
        <w:rPr>
          <w:rStyle w:val="FootnoteReference"/>
          <w:rFonts w:eastAsia="MS Mincho"/>
        </w:rPr>
        <w:footnoteRef/>
      </w:r>
      <w:r w:rsidRPr="00886CF4">
        <w:t xml:space="preserve"> </w:t>
      </w:r>
      <w:hyperlink r:id="rId44" w:history="1">
        <w:r w:rsidRPr="001B1E6D">
          <w:rPr>
            <w:rStyle w:val="Hyperlink"/>
            <w:rFonts w:ascii="Times New Roman" w:hAnsi="Times New Roman"/>
          </w:rPr>
          <w:t>https://www.govinfo.gov/content/pkg/FR-1998-01-06/pdf/98-267.pdf</w:t>
        </w:r>
      </w:hyperlink>
      <w:r w:rsidRPr="001B1E6D">
        <w:rPr>
          <w:rFonts w:ascii="Times New Roman" w:hAnsi="Times New Roman"/>
        </w:rPr>
        <w:t>.</w:t>
      </w:r>
    </w:p>
  </w:footnote>
  <w:footnote w:id="188">
    <w:p w:rsidR="00021D11" w:rsidRPr="00D74EDF" w:rsidP="00021D11" w14:paraId="7A88A160" w14:textId="77777777">
      <w:pPr>
        <w:pStyle w:val="FootnoteText"/>
        <w:rPr>
          <w:rFonts w:ascii="Times New Roman" w:hAnsi="Times New Roman"/>
        </w:rPr>
      </w:pPr>
      <w:r w:rsidRPr="00D74EDF">
        <w:rPr>
          <w:rStyle w:val="FootnoteReference"/>
          <w:rFonts w:ascii="Times New Roman" w:eastAsia="MS Mincho" w:hAnsi="Times New Roman"/>
        </w:rPr>
        <w:footnoteRef/>
      </w:r>
      <w:r w:rsidRPr="00D74EDF">
        <w:rPr>
          <w:rFonts w:ascii="Times New Roman" w:hAnsi="Times New Roman"/>
        </w:rPr>
        <w:t xml:space="preserve"> </w:t>
      </w:r>
      <w:hyperlink r:id="rId1" w:history="1">
        <w:r w:rsidRPr="00D74EDF">
          <w:rPr>
            <w:rStyle w:val="Hyperlink"/>
            <w:rFonts w:ascii="Times New Roman" w:hAnsi="Times New Roman"/>
          </w:rPr>
          <w:t>https://www.epa.gov/sites/default/files/2013-10/documents/chap-01-final.pdf</w:t>
        </w:r>
      </w:hyperlink>
      <w:r w:rsidRPr="00D74EDF">
        <w:rPr>
          <w:rFonts w:ascii="Times New Roman" w:hAnsi="Times New Roman"/>
        </w:rPr>
        <w:t xml:space="preserve"> (page 1-5).</w:t>
      </w:r>
    </w:p>
  </w:footnote>
  <w:footnote w:id="189">
    <w:p w:rsidR="00021D11" w:rsidRPr="003F1F95" w:rsidP="00021D11" w14:paraId="66A3EB17" w14:textId="77777777">
      <w:pPr>
        <w:pStyle w:val="FootnoteText"/>
        <w:rPr>
          <w:rFonts w:ascii="Times New Roman" w:hAnsi="Times New Roman"/>
        </w:rPr>
      </w:pPr>
      <w:r w:rsidRPr="003F1F95">
        <w:rPr>
          <w:rStyle w:val="FootnoteReference"/>
          <w:rFonts w:ascii="Times New Roman" w:hAnsi="Times New Roman"/>
        </w:rPr>
        <w:footnoteRef/>
      </w:r>
      <w:r w:rsidRPr="003F1F95">
        <w:rPr>
          <w:rFonts w:ascii="Times New Roman" w:hAnsi="Times New Roman"/>
        </w:rPr>
        <w:t xml:space="preserve"> </w:t>
      </w:r>
      <w:r w:rsidRPr="003F1F95">
        <w:rPr>
          <w:rFonts w:ascii="Times New Roman" w:hAnsi="Times New Roman"/>
          <w:i/>
        </w:rPr>
        <w:t>United States v. Multistar Indus. Inc.,</w:t>
      </w:r>
      <w:r w:rsidRPr="003F1F95">
        <w:rPr>
          <w:rFonts w:ascii="Times New Roman" w:hAnsi="Times New Roman"/>
        </w:rPr>
        <w:t xml:space="preserve"> No. 2:21-cv-00262-TOR, 2023 WL 1802387 (E.D. Wash. Feb. 7, 2023).</w:t>
      </w:r>
    </w:p>
  </w:footnote>
  <w:footnote w:id="190">
    <w:p w:rsidR="00021D11" w:rsidRPr="00886CF4" w:rsidP="00021D11" w14:paraId="397EBE14" w14:textId="77777777">
      <w:pPr>
        <w:pStyle w:val="FootnoteText"/>
      </w:pPr>
      <w:r w:rsidRPr="003F1F95">
        <w:rPr>
          <w:rStyle w:val="FootnoteReference"/>
          <w:rFonts w:ascii="Times New Roman" w:hAnsi="Times New Roman"/>
        </w:rPr>
        <w:footnoteRef/>
      </w:r>
      <w:r w:rsidRPr="003F1F95">
        <w:rPr>
          <w:rFonts w:ascii="Times New Roman" w:hAnsi="Times New Roman"/>
        </w:rPr>
        <w:t xml:space="preserve"> </w:t>
      </w:r>
      <w:r w:rsidRPr="003F1F95">
        <w:rPr>
          <w:rFonts w:ascii="Times New Roman" w:hAnsi="Times New Roman"/>
          <w:i/>
        </w:rPr>
        <w:t>Aberdeen Carolina &amp; Western Railway v. NC Dept of Air Quality, Final Decision on Summary Judgment</w:t>
      </w:r>
      <w:r w:rsidRPr="003F1F95">
        <w:rPr>
          <w:rFonts w:ascii="Times New Roman" w:hAnsi="Times New Roman"/>
        </w:rPr>
        <w:t>, State of North Carolina, County of Montgomery, 16 EHR 07190, May 22, 2017.</w:t>
      </w:r>
    </w:p>
  </w:footnote>
  <w:footnote w:id="191">
    <w:p w:rsidR="00203A2A" w:rsidRPr="000E12B4" w:rsidP="00203A2A" w14:paraId="6D158FE0" w14:textId="100C1773">
      <w:pPr>
        <w:pStyle w:val="FootnoteText"/>
        <w:rPr>
          <w:rFonts w:ascii="Times New Roman" w:eastAsia="Times New Roman" w:hAnsi="Times New Roman"/>
        </w:rPr>
      </w:pPr>
      <w:r w:rsidRPr="000E12B4">
        <w:rPr>
          <w:rStyle w:val="FootnoteReference"/>
          <w:rFonts w:ascii="Times New Roman" w:eastAsia="MS Mincho" w:hAnsi="Times New Roman"/>
        </w:rPr>
        <w:footnoteRef/>
      </w:r>
      <w:r w:rsidRPr="000E12B4">
        <w:rPr>
          <w:rFonts w:ascii="Times New Roman" w:hAnsi="Times New Roman"/>
        </w:rPr>
        <w:t xml:space="preserve"> </w:t>
      </w:r>
      <w:hyperlink r:id="rId45" w:history="1">
        <w:r w:rsidRPr="000E12B4">
          <w:rPr>
            <w:rStyle w:val="Hyperlink"/>
            <w:rFonts w:ascii="Times New Roman" w:hAnsi="Times New Roman"/>
          </w:rPr>
          <w:t>https://www.epa.gov/rmp/complying-process-safety-information-psi-resulting-new-and-updated-recognized-and-generally</w:t>
        </w:r>
      </w:hyperlink>
      <w:r w:rsidRPr="000E12B4">
        <w:rPr>
          <w:rFonts w:ascii="Times New Roman" w:hAnsi="Times New Roman"/>
        </w:rPr>
        <w:t>.</w:t>
      </w:r>
    </w:p>
  </w:footnote>
  <w:footnote w:id="192">
    <w:p w:rsidR="00206FBA" w:rsidRPr="00B75D7A" w:rsidP="00206FBA" w14:paraId="0F583208" w14:textId="40D66A1D">
      <w:pPr>
        <w:pStyle w:val="FootnoteText"/>
        <w:rPr>
          <w:rFonts w:ascii="Times New Roman" w:hAnsi="Times New Roman"/>
        </w:rPr>
      </w:pPr>
      <w:r w:rsidRPr="00B75D7A">
        <w:rPr>
          <w:rStyle w:val="FootnoteReference"/>
          <w:rFonts w:ascii="Times New Roman" w:eastAsia="MS Mincho" w:hAnsi="Times New Roman"/>
        </w:rPr>
        <w:footnoteRef/>
      </w:r>
      <w:r w:rsidRPr="00B75D7A">
        <w:rPr>
          <w:rFonts w:ascii="Times New Roman" w:hAnsi="Times New Roman"/>
        </w:rPr>
        <w:t> </w:t>
      </w:r>
      <w:hyperlink r:id="rId46" w:history="1">
        <w:r w:rsidRPr="00B75D7A" w:rsidR="00A2045D">
          <w:rPr>
            <w:rStyle w:val="Hyperlink"/>
            <w:rFonts w:ascii="Times New Roman" w:hAnsi="Times New Roman"/>
          </w:rPr>
          <w:t>https://yosemite.epa.gov/oa/rhc/epaadmin.nsf/Filings/F8CDEF8A6F344043852588A90070FA45/$File/Par%20Hawaii%20Refining%20(CAA112R-09-2022-0008)%20-%20Served.pdf</w:t>
        </w:r>
      </w:hyperlink>
      <w:r w:rsidRPr="00B75D7A">
        <w:rPr>
          <w:rFonts w:ascii="Times New Roman" w:hAnsi="Times New Roman"/>
        </w:rPr>
        <w:t>.</w:t>
      </w:r>
    </w:p>
  </w:footnote>
  <w:footnote w:id="193">
    <w:p w:rsidR="00206FBA" w:rsidP="00206FBA" w14:paraId="4584157A" w14:textId="027E08D5">
      <w:pPr>
        <w:pStyle w:val="FootnoteText"/>
      </w:pPr>
      <w:r w:rsidRPr="00B75D7A">
        <w:rPr>
          <w:rStyle w:val="FootnoteReference"/>
          <w:rFonts w:ascii="Times New Roman" w:eastAsia="MS Mincho" w:hAnsi="Times New Roman"/>
        </w:rPr>
        <w:footnoteRef/>
      </w:r>
      <w:r w:rsidRPr="00B75D7A">
        <w:rPr>
          <w:rFonts w:ascii="Times New Roman" w:hAnsi="Times New Roman"/>
        </w:rPr>
        <w:t xml:space="preserve"> </w:t>
      </w:r>
      <w:hyperlink r:id="rId47" w:history="1">
        <w:r w:rsidRPr="00B75D7A" w:rsidR="00A2045D">
          <w:rPr>
            <w:rStyle w:val="Hyperlink"/>
            <w:rFonts w:ascii="Times New Roman" w:hAnsi="Times New Roman"/>
          </w:rPr>
          <w:t>https://yosemite.epa.gov/oa/rhc/epaadmin.nsf/Filings/0D26DA8B081A54008525867F00634AB2/$File/EPCRA-01-2021-0037%20and%20CAA%20-01-2021-0038%20ORPEL%20CAFO%20Respondent%20Signed-RJO-Signed02-17-21%20(002).pdf</w:t>
        </w:r>
      </w:hyperlink>
      <w:r w:rsidRPr="00B75D7A">
        <w:rPr>
          <w:rFonts w:ascii="Times New Roman" w:hAnsi="Times New Roman"/>
        </w:rPr>
        <w:t>.</w:t>
      </w:r>
    </w:p>
  </w:footnote>
  <w:footnote w:id="194">
    <w:p w:rsidR="00021D11" w:rsidRPr="003C0255" w:rsidP="00021D11" w14:paraId="4E4ECE3F" w14:textId="77777777">
      <w:pPr>
        <w:pStyle w:val="FootnoteText"/>
        <w:rPr>
          <w:rFonts w:ascii="Times New Roman" w:hAnsi="Times New Roman"/>
        </w:rPr>
      </w:pPr>
      <w:r w:rsidRPr="003C0255">
        <w:rPr>
          <w:rFonts w:ascii="Times New Roman" w:hAnsi="Times New Roman"/>
          <w:vertAlign w:val="superscript"/>
        </w:rPr>
        <w:footnoteRef/>
      </w:r>
      <w:r w:rsidRPr="003C0255">
        <w:rPr>
          <w:rFonts w:ascii="Times New Roman" w:hAnsi="Times New Roman"/>
        </w:rPr>
        <w:t xml:space="preserve"> S. Rep. 101-228 at 209, 1990 U.S.C.C.A.N. 3385, 3595 (1989).</w:t>
      </w:r>
    </w:p>
  </w:footnote>
  <w:footnote w:id="195">
    <w:p w:rsidR="00021D11" w:rsidRPr="00CC4CB0" w:rsidP="00021D11" w14:paraId="404B1D94" w14:textId="77777777">
      <w:pPr>
        <w:pStyle w:val="FootnoteText"/>
        <w:rPr>
          <w:rFonts w:ascii="Times New Roman" w:hAnsi="Times New Roman"/>
        </w:rPr>
      </w:pPr>
      <w:r w:rsidRPr="00886CF4">
        <w:rPr>
          <w:rStyle w:val="FootnoteReference"/>
          <w:rFonts w:eastAsia="MS Mincho"/>
        </w:rPr>
        <w:footnoteRef/>
      </w:r>
      <w:r w:rsidRPr="00886CF4">
        <w:t xml:space="preserve"> </w:t>
      </w:r>
      <w:hyperlink r:id="rId45" w:history="1">
        <w:r w:rsidRPr="00CC4CB0">
          <w:rPr>
            <w:rStyle w:val="Hyperlink"/>
            <w:rFonts w:ascii="Times New Roman" w:hAnsi="Times New Roman"/>
          </w:rPr>
          <w:t>https://www.epa.gov/rmp/complying-process-safety-information-psi-resulting-new-and-updated-recognized-and-generally</w:t>
        </w:r>
      </w:hyperlink>
      <w:r w:rsidRPr="00CC4CB0">
        <w:rPr>
          <w:rFonts w:ascii="Times New Roman" w:hAnsi="Times New Roman"/>
        </w:rPr>
        <w:t>.</w:t>
      </w:r>
    </w:p>
  </w:footnote>
  <w:footnote w:id="196">
    <w:p w:rsidR="00021D11" w:rsidRPr="00CC4CB0" w:rsidP="00021D11" w14:paraId="1CBA96AD" w14:textId="75A8AF90">
      <w:pPr>
        <w:pStyle w:val="FootnoteText"/>
        <w:rPr>
          <w:rFonts w:ascii="Times New Roman" w:hAnsi="Times New Roman"/>
        </w:rPr>
      </w:pPr>
      <w:r w:rsidRPr="00CC4CB0">
        <w:rPr>
          <w:rStyle w:val="FootnoteReference"/>
          <w:rFonts w:ascii="Times New Roman" w:eastAsia="MS Mincho" w:hAnsi="Times New Roman"/>
        </w:rPr>
        <w:footnoteRef/>
      </w:r>
      <w:r w:rsidRPr="00CC4CB0">
        <w:rPr>
          <w:rFonts w:ascii="Times New Roman" w:hAnsi="Times New Roman"/>
        </w:rPr>
        <w:t> </w:t>
      </w:r>
      <w:hyperlink r:id="rId46" w:history="1">
        <w:r w:rsidRPr="00CC4CB0" w:rsidR="00A2045D">
          <w:rPr>
            <w:rStyle w:val="Hyperlink"/>
            <w:rFonts w:ascii="Times New Roman" w:hAnsi="Times New Roman"/>
          </w:rPr>
          <w:t>https://yosemite.epa.gov/oa/rhc/epaadmin.nsf/Filings/F8CDEF8A6F344043852588A90070FA45/$File/Par%20Hawaii%20Refining%20(CAA112R-09-2022-0008)%20-%20Served.pdf</w:t>
        </w:r>
      </w:hyperlink>
      <w:r w:rsidRPr="00CC4CB0">
        <w:rPr>
          <w:rFonts w:ascii="Times New Roman" w:hAnsi="Times New Roman"/>
        </w:rPr>
        <w:t>.</w:t>
      </w:r>
      <w:r w:rsidRPr="00CC4CB0" w:rsidR="00A2045D">
        <w:rPr>
          <w:rFonts w:ascii="Times New Roman" w:hAnsi="Times New Roman"/>
        </w:rPr>
        <w:t xml:space="preserve"> </w:t>
      </w:r>
    </w:p>
  </w:footnote>
  <w:footnote w:id="197">
    <w:p w:rsidR="00021D11" w:rsidRPr="00886CF4" w:rsidP="00021D11" w14:paraId="3D333181" w14:textId="5DD2911E">
      <w:pPr>
        <w:pStyle w:val="FootnoteText"/>
      </w:pPr>
      <w:r w:rsidRPr="00CC4CB0">
        <w:rPr>
          <w:rStyle w:val="FootnoteReference"/>
          <w:rFonts w:ascii="Times New Roman" w:eastAsia="MS Mincho" w:hAnsi="Times New Roman"/>
        </w:rPr>
        <w:footnoteRef/>
      </w:r>
      <w:r w:rsidRPr="00CC4CB0">
        <w:rPr>
          <w:rFonts w:ascii="Times New Roman" w:hAnsi="Times New Roman"/>
        </w:rPr>
        <w:t xml:space="preserve"> </w:t>
      </w:r>
      <w:hyperlink r:id="rId47" w:history="1">
        <w:r w:rsidRPr="00CC4CB0" w:rsidR="00A2045D">
          <w:rPr>
            <w:rStyle w:val="Hyperlink"/>
            <w:rFonts w:ascii="Times New Roman" w:hAnsi="Times New Roman"/>
          </w:rPr>
          <w:t>https://yosemite.epa.gov/oa/rhc/epaadmin.nsf/Filings/0D26DA8B081A54008525867F00634AB2/$File/EPCRA-01-2021-0037%20and%20CAA%20-01-2021-0038%20ORPEL%20CAFO%20Respondent%20Signed-RJO-Signed02-17-21%20(002).pdf</w:t>
        </w:r>
      </w:hyperlink>
      <w:r w:rsidRPr="00CC4CB0">
        <w:rPr>
          <w:rFonts w:ascii="Times New Roman" w:hAnsi="Times New Roman"/>
        </w:rPr>
        <w:t>.</w:t>
      </w:r>
    </w:p>
  </w:footnote>
  <w:footnote w:id="198">
    <w:p w:rsidR="0019048D" w:rsidRPr="00224F4F" w14:paraId="2D6D1054" w14:textId="14D6E0B6">
      <w:pPr>
        <w:pStyle w:val="FootnoteText"/>
        <w:rPr>
          <w:rFonts w:ascii="Times New Roman" w:hAnsi="Times New Roman"/>
        </w:rPr>
      </w:pPr>
      <w:r w:rsidRPr="00224F4F">
        <w:rPr>
          <w:rStyle w:val="FootnoteReference"/>
          <w:rFonts w:ascii="Times New Roman" w:hAnsi="Times New Roman"/>
        </w:rPr>
        <w:footnoteRef/>
      </w:r>
      <w:r w:rsidRPr="00224F4F">
        <w:rPr>
          <w:rFonts w:ascii="Times New Roman" w:hAnsi="Times New Roman"/>
        </w:rPr>
        <w:t xml:space="preserve"> </w:t>
      </w:r>
      <w:hyperlink r:id="rId45" w:history="1">
        <w:r w:rsidRPr="00224F4F" w:rsidR="00224F4F">
          <w:rPr>
            <w:rStyle w:val="Hyperlink"/>
            <w:rFonts w:ascii="Times New Roman" w:hAnsi="Times New Roman"/>
          </w:rPr>
          <w:t>https://www.epa.gov/rmp/complying-process-safety-information-psi-resulting-new-and-updated-recognized-and-generally</w:t>
        </w:r>
      </w:hyperlink>
      <w:r w:rsidRPr="00224F4F" w:rsidR="00224F4F">
        <w:rPr>
          <w:rFonts w:ascii="Times New Roman" w:hAnsi="Times New Roman"/>
        </w:rPr>
        <w:t xml:space="preserve"> </w:t>
      </w:r>
    </w:p>
  </w:footnote>
  <w:footnote w:id="199">
    <w:p w:rsidR="0030691F" w:rsidP="0030691F" w14:paraId="75B98F81" w14:textId="77777777">
      <w:pPr>
        <w:pStyle w:val="FootnoteText"/>
      </w:pPr>
      <w:r w:rsidRPr="00BD130A">
        <w:rPr>
          <w:rStyle w:val="FootnoteReference"/>
          <w:rFonts w:ascii="Times New Roman" w:hAnsi="Times New Roman"/>
        </w:rPr>
        <w:footnoteRef/>
      </w:r>
      <w:r w:rsidRPr="00BD130A">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200">
    <w:p w:rsidR="00EF7F2C" w:rsidRPr="005E4AD8" w:rsidP="00EF7F2C" w14:paraId="2DB14099" w14:textId="3AB407E6">
      <w:pPr>
        <w:pStyle w:val="FootnoteText"/>
        <w:rPr>
          <w:rFonts w:ascii="Times New Roman" w:hAnsi="Times New Roman"/>
        </w:rPr>
      </w:pPr>
      <w:r w:rsidRPr="005E4AD8">
        <w:rPr>
          <w:rStyle w:val="FootnoteReference"/>
          <w:rFonts w:ascii="Times New Roman" w:hAnsi="Times New Roman"/>
        </w:rPr>
        <w:footnoteRef/>
      </w:r>
      <w:r w:rsidRPr="005E4AD8">
        <w:rPr>
          <w:rFonts w:ascii="Times New Roman" w:hAnsi="Times New Roman"/>
        </w:rPr>
        <w:t xml:space="preserve"> </w:t>
      </w:r>
      <w:bookmarkStart w:id="180" w:name="_Hlk144303460"/>
      <w:r w:rsidRPr="005E4AD8">
        <w:rPr>
          <w:rFonts w:ascii="Times New Roman" w:hAnsi="Times New Roman"/>
        </w:rPr>
        <w:t>Senate Report at 135; House Report at 155; Representative Richardson, 136 Congressional Record 35082 (1990) (statement of Representative Richardson); 136 Congressional Record 36057 (1990) (</w:t>
      </w:r>
      <w:r w:rsidR="00A2045D">
        <w:rPr>
          <w:rFonts w:ascii="Times New Roman" w:hAnsi="Times New Roman"/>
        </w:rPr>
        <w:t>S</w:t>
      </w:r>
      <w:r w:rsidRPr="005E4AD8">
        <w:rPr>
          <w:rFonts w:ascii="Times New Roman" w:hAnsi="Times New Roman"/>
        </w:rPr>
        <w:t>tatement of Senator Durenberger).</w:t>
      </w:r>
      <w:bookmarkEnd w:id="180"/>
    </w:p>
  </w:footnote>
  <w:footnote w:id="201">
    <w:p w:rsidR="00BB2EC7" w:rsidP="00BB2EC7" w14:paraId="24A13A6E" w14:textId="77777777">
      <w:pPr>
        <w:pStyle w:val="FootnoteText"/>
      </w:pPr>
      <w:r w:rsidRPr="00BD130A">
        <w:rPr>
          <w:rStyle w:val="FootnoteReference"/>
          <w:rFonts w:ascii="Times New Roman" w:hAnsi="Times New Roman"/>
        </w:rPr>
        <w:footnoteRef/>
      </w:r>
      <w:r w:rsidRPr="00BD130A">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202">
    <w:p w:rsidR="00877E19" w:rsidRPr="00877E19" w:rsidP="00877E19" w14:paraId="5B2FAB0D" w14:textId="77777777">
      <w:pPr>
        <w:pStyle w:val="FootnoteText"/>
        <w:rPr>
          <w:rFonts w:ascii="Times New Roman" w:hAnsi="Times New Roman"/>
        </w:rPr>
      </w:pPr>
      <w:r w:rsidRPr="00877E19">
        <w:rPr>
          <w:rStyle w:val="FootnoteReference"/>
          <w:rFonts w:ascii="Times New Roman" w:hAnsi="Times New Roman"/>
        </w:rPr>
        <w:footnoteRef/>
      </w:r>
      <w:r w:rsidRPr="00877E19">
        <w:rPr>
          <w:rFonts w:ascii="Times New Roman" w:hAnsi="Times New Roman"/>
        </w:rPr>
        <w:t xml:space="preserve"> </w:t>
      </w:r>
      <w:r w:rsidRPr="00877E19">
        <w:rPr>
          <w:rFonts w:ascii="Times New Roman" w:hAnsi="Times New Roman"/>
          <w:bCs/>
        </w:rPr>
        <w:t>In the SCCAP proposal, EPA acknowledged the likelihood of late-reported accidents affecting the last few years of data. Based on its prior experience, EPA judged that there would be a slight increase in the number of accidents in the last few years of data.</w:t>
      </w:r>
    </w:p>
  </w:footnote>
  <w:footnote w:id="203">
    <w:p w:rsidR="004D02DE" w:rsidRPr="002124E5" w:rsidP="004D02DE" w14:paraId="621CE0F8" w14:textId="77777777">
      <w:pPr>
        <w:pStyle w:val="FootnoteText"/>
        <w:rPr>
          <w:rFonts w:ascii="Times New Roman" w:hAnsi="Times New Roman"/>
        </w:rPr>
      </w:pPr>
      <w:r w:rsidRPr="002124E5">
        <w:rPr>
          <w:rStyle w:val="FootnoteReference"/>
          <w:rFonts w:ascii="Times New Roman" w:hAnsi="Times New Roman"/>
        </w:rPr>
        <w:footnoteRef/>
      </w:r>
      <w:r w:rsidRPr="002124E5">
        <w:rPr>
          <w:rFonts w:ascii="Times New Roman" w:hAnsi="Times New Roman"/>
        </w:rPr>
        <w:t xml:space="preserve"> EPA estimated monetized damages from RMP facility accidents of $540.23 million per year.</w:t>
      </w:r>
    </w:p>
  </w:footnote>
  <w:footnote w:id="204">
    <w:p w:rsidR="00A101A7" w:rsidP="00A101A7" w14:paraId="3E37A97F" w14:textId="77777777">
      <w:pPr>
        <w:pStyle w:val="FootnoteText"/>
      </w:pPr>
      <w:r w:rsidRPr="002124E5">
        <w:rPr>
          <w:rStyle w:val="FootnoteReference"/>
          <w:rFonts w:ascii="Times New Roman" w:hAnsi="Times New Roman"/>
        </w:rPr>
        <w:footnoteRef/>
      </w:r>
      <w:r w:rsidRPr="002124E5">
        <w:rPr>
          <w:rFonts w:ascii="Times New Roman" w:hAnsi="Times New Roman"/>
        </w:rPr>
        <w:t xml:space="preserve"> </w:t>
      </w:r>
      <w:r w:rsidRPr="002124E5">
        <w:rPr>
          <w:rFonts w:ascii="Times New Roman" w:hAnsi="Times New Roman" w:eastAsiaTheme="minorHAnsi"/>
        </w:rPr>
        <w:t>Marsh JLT Specialty, "100 Largest Losses in the Hydrocarbon Industry,” 27</w:t>
      </w:r>
      <w:r w:rsidRPr="002124E5">
        <w:rPr>
          <w:rFonts w:ascii="Times New Roman" w:hAnsi="Times New Roman" w:eastAsiaTheme="minorHAnsi"/>
          <w:vertAlign w:val="superscript"/>
        </w:rPr>
        <w:t>th</w:t>
      </w:r>
      <w:r w:rsidRPr="002124E5">
        <w:rPr>
          <w:rFonts w:ascii="Times New Roman" w:hAnsi="Times New Roman" w:eastAsiaTheme="minorHAnsi"/>
        </w:rPr>
        <w:t xml:space="preserve"> Edition, March 2022. Accessed from </w:t>
      </w:r>
      <w:hyperlink r:id="rId13" w:history="1">
        <w:r w:rsidRPr="002124E5">
          <w:rPr>
            <w:rFonts w:ascii="Times New Roman" w:hAnsi="Times New Roman" w:eastAsiaTheme="minorHAnsi"/>
            <w:color w:val="0563C1" w:themeColor="hyperlink"/>
            <w:u w:val="single"/>
          </w:rPr>
          <w:t>https://www.marsh.com/uk/industries/energy-and-power/insights/100-largest-losses.html</w:t>
        </w:r>
      </w:hyperlink>
      <w:r w:rsidRPr="002124E5">
        <w:rPr>
          <w:rFonts w:ascii="Times New Roman" w:hAnsi="Times New Roman" w:eastAsiaTheme="minorHAnsi"/>
        </w:rPr>
        <w:t>. Marsh provides estimates of large property damage losses in the hydrocarbon industry from 1974 to 2021 in current and 2021 dollars and in a few cases, business loss costs.</w:t>
      </w:r>
    </w:p>
  </w:footnote>
  <w:footnote w:id="205">
    <w:p w:rsidR="00D50B43" w:rsidRPr="00AC1086" w:rsidP="00D50B43" w14:paraId="3208AAB0" w14:textId="77777777">
      <w:pPr>
        <w:pStyle w:val="FootnoteText"/>
        <w:rPr>
          <w:rFonts w:ascii="Times New Roman" w:hAnsi="Times New Roman"/>
        </w:rPr>
      </w:pPr>
      <w:r w:rsidRPr="00AC1086">
        <w:rPr>
          <w:rStyle w:val="FootnoteReference"/>
          <w:rFonts w:ascii="Times New Roman" w:hAnsi="Times New Roman"/>
        </w:rPr>
        <w:footnoteRef/>
      </w:r>
      <w:r w:rsidRPr="00AC1086">
        <w:rPr>
          <w:rFonts w:ascii="Times New Roman" w:hAnsi="Times New Roman"/>
        </w:rPr>
        <w:t xml:space="preserve"> EPA estimated monetized damages from RMP facility accidents of $540.23 million per year.</w:t>
      </w:r>
    </w:p>
  </w:footnote>
  <w:footnote w:id="206">
    <w:p w:rsidR="00D50B43" w:rsidP="00D50B43" w14:paraId="1188F69C" w14:textId="77777777">
      <w:pPr>
        <w:pStyle w:val="FootnoteText"/>
      </w:pPr>
      <w:r w:rsidRPr="00AC1086">
        <w:rPr>
          <w:rStyle w:val="FootnoteReference"/>
          <w:rFonts w:ascii="Times New Roman" w:hAnsi="Times New Roman"/>
        </w:rPr>
        <w:footnoteRef/>
      </w:r>
      <w:r w:rsidRPr="00AC1086">
        <w:rPr>
          <w:rFonts w:ascii="Times New Roman" w:hAnsi="Times New Roman"/>
        </w:rPr>
        <w:t xml:space="preserve"> </w:t>
      </w:r>
      <w:r w:rsidRPr="00AC1086">
        <w:rPr>
          <w:rFonts w:ascii="Times New Roman" w:hAnsi="Times New Roman" w:eastAsiaTheme="minorHAnsi"/>
        </w:rPr>
        <w:t>Marsh JLT Specialty, "100 Largest Losses in the Hydrocarbon Industry,” 27</w:t>
      </w:r>
      <w:r w:rsidRPr="00AC1086">
        <w:rPr>
          <w:rFonts w:ascii="Times New Roman" w:hAnsi="Times New Roman" w:eastAsiaTheme="minorHAnsi"/>
          <w:vertAlign w:val="superscript"/>
        </w:rPr>
        <w:t>th</w:t>
      </w:r>
      <w:r w:rsidRPr="00AC1086">
        <w:rPr>
          <w:rFonts w:ascii="Times New Roman" w:hAnsi="Times New Roman" w:eastAsiaTheme="minorHAnsi"/>
        </w:rPr>
        <w:t xml:space="preserve"> Edition, March 2022. Accessed from </w:t>
      </w:r>
      <w:hyperlink r:id="rId13" w:history="1">
        <w:r w:rsidRPr="00AC1086">
          <w:rPr>
            <w:rFonts w:ascii="Times New Roman" w:hAnsi="Times New Roman" w:eastAsiaTheme="minorHAnsi"/>
            <w:color w:val="0563C1" w:themeColor="hyperlink"/>
            <w:u w:val="single"/>
          </w:rPr>
          <w:t>https://www.marsh.com/uk/industries/energy-and-power/insights/100-largest-losses.html</w:t>
        </w:r>
      </w:hyperlink>
      <w:r w:rsidRPr="00AC1086">
        <w:rPr>
          <w:rFonts w:ascii="Times New Roman" w:hAnsi="Times New Roman" w:eastAsiaTheme="minorHAnsi"/>
        </w:rPr>
        <w:t>. Marsh provides estimates of large property damage losses in the hydrocarbon industry from 1974 to 2021 in current and 2021 dollars and in a few cases, business loss costs.</w:t>
      </w:r>
    </w:p>
  </w:footnote>
  <w:footnote w:id="207">
    <w:p w:rsidR="007A2B01" w:rsidRPr="0076074F" w:rsidP="007A2B01" w14:paraId="680C3DD0" w14:textId="77777777">
      <w:pPr>
        <w:pStyle w:val="FootnoteText"/>
        <w:rPr>
          <w:rFonts w:ascii="Times New Roman" w:hAnsi="Times New Roman"/>
        </w:rPr>
      </w:pPr>
      <w:r w:rsidRPr="0076074F">
        <w:rPr>
          <w:rStyle w:val="FootnoteReference"/>
          <w:rFonts w:ascii="Times New Roman" w:hAnsi="Times New Roman"/>
        </w:rPr>
        <w:footnoteRef/>
      </w:r>
      <w:r w:rsidRPr="0076074F">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208">
    <w:p w:rsidR="00413740" w:rsidRPr="0076074F" w:rsidP="00413740" w14:paraId="3A520FCE" w14:textId="77777777">
      <w:pPr>
        <w:pStyle w:val="FootnoteText"/>
        <w:rPr>
          <w:rFonts w:ascii="Times New Roman" w:hAnsi="Times New Roman"/>
        </w:rPr>
      </w:pPr>
      <w:r w:rsidRPr="0076074F">
        <w:rPr>
          <w:rStyle w:val="FootnoteReference"/>
          <w:rFonts w:ascii="Times New Roman" w:hAnsi="Times New Roman"/>
        </w:rPr>
        <w:footnoteRef/>
      </w:r>
      <w:r w:rsidRPr="0076074F">
        <w:rPr>
          <w:rFonts w:ascii="Times New Roman" w:hAnsi="Times New Roman"/>
        </w:rPr>
        <w:t xml:space="preserve"> Due to a lack of alternative data describing RMP accident impacts more comprehensively, EPA chose this five-year dataset to reflect the most recent trends regarding RMP accidents. EPA used the August 1, 2021, version of the RMP database to complete its analysis because under 40 CFR 68.195(a), facilities are required to report RMP accidents and specific associated information within six months to the RMP database. Therefore, the RMP database as of August 1, 2021, is expected to include RMP accidents and their specific associated information as of December 31, 2020. However, because accident data are reported to the RMP database by facility owners and operators, EPA acknowledges the likelihood of late-reported accidents affecting these last few years of data because some facilities may have not reported their RMP accidents as they are required to do. While some commenters have suggested that late reporting may impact the count of total accidents in recent years, neither the commenters nor EPA have identified any impacts of late reporting on the distribution of accidents by sector. See sections 3.2 and 3.3 of the RIA for more on this and other limitations on the number and costs of baseline accidents.</w:t>
      </w:r>
    </w:p>
  </w:footnote>
  <w:footnote w:id="209">
    <w:p w:rsidR="00F77C41" w:rsidRPr="00744AF7" w14:paraId="51023310" w14:textId="70FF4F74">
      <w:pPr>
        <w:pStyle w:val="FootnoteText"/>
        <w:rPr>
          <w:rFonts w:ascii="Times New Roman" w:hAnsi="Times New Roman"/>
        </w:rPr>
      </w:pPr>
      <w:r w:rsidRPr="00744AF7">
        <w:rPr>
          <w:rStyle w:val="FootnoteReference"/>
          <w:rFonts w:ascii="Times New Roman" w:hAnsi="Times New Roman"/>
        </w:rPr>
        <w:footnoteRef/>
      </w:r>
      <w:r w:rsidRPr="00744AF7">
        <w:rPr>
          <w:rFonts w:ascii="Times New Roman" w:hAnsi="Times New Roman"/>
        </w:rPr>
        <w:t xml:space="preserve"> </w:t>
      </w:r>
      <w:r w:rsidRPr="00744AF7">
        <w:rPr>
          <w:rFonts w:ascii="Times New Roman" w:hAnsi="Times New Roman" w:eastAsiaTheme="minorHAnsi"/>
        </w:rPr>
        <w:t>Marsh JLT Specialty, "100 Largest Losses in the Hydrocarbon Industry,” 27</w:t>
      </w:r>
      <w:r w:rsidRPr="00744AF7">
        <w:rPr>
          <w:rFonts w:ascii="Times New Roman" w:hAnsi="Times New Roman" w:eastAsiaTheme="minorHAnsi"/>
          <w:vertAlign w:val="superscript"/>
        </w:rPr>
        <w:t>th</w:t>
      </w:r>
      <w:r w:rsidRPr="00744AF7">
        <w:rPr>
          <w:rFonts w:ascii="Times New Roman" w:hAnsi="Times New Roman" w:eastAsiaTheme="minorHAnsi"/>
        </w:rPr>
        <w:t xml:space="preserve"> Edition, March 2022. Accessed from </w:t>
      </w:r>
      <w:hyperlink r:id="rId13" w:history="1">
        <w:r w:rsidRPr="00744AF7">
          <w:rPr>
            <w:rFonts w:ascii="Times New Roman" w:hAnsi="Times New Roman" w:eastAsiaTheme="minorHAnsi"/>
            <w:color w:val="0563C1" w:themeColor="hyperlink"/>
            <w:u w:val="single"/>
          </w:rPr>
          <w:t>https://www.marsh.com/uk/industries/energy-and-power/insights/100-largest-losses.html</w:t>
        </w:r>
      </w:hyperlink>
      <w:r w:rsidRPr="00744AF7">
        <w:rPr>
          <w:rFonts w:ascii="Times New Roman" w:hAnsi="Times New Roman" w:eastAsiaTheme="minorHAnsi"/>
        </w:rPr>
        <w:t>. Marsh provides estimates of large property damage losses in the hydrocarbon industry from 1974 to 2021 in current and 2021 dollars and in a few cases, business loss costs.</w:t>
      </w:r>
    </w:p>
  </w:footnote>
  <w:footnote w:id="210">
    <w:p w:rsidR="00F77C41" w:rsidRPr="00CE7EAC" w14:paraId="128FBE93" w14:textId="19A36C49">
      <w:pPr>
        <w:pStyle w:val="FootnoteText"/>
        <w:rPr>
          <w:rFonts w:ascii="Times New Roman" w:hAnsi="Times New Roman"/>
        </w:rPr>
      </w:pPr>
      <w:r w:rsidRPr="00CE7EAC">
        <w:rPr>
          <w:rStyle w:val="FootnoteReference"/>
          <w:rFonts w:ascii="Times New Roman" w:hAnsi="Times New Roman"/>
        </w:rPr>
        <w:footnoteRef/>
      </w:r>
      <w:r w:rsidRPr="00CE7EAC">
        <w:rPr>
          <w:rFonts w:ascii="Times New Roman" w:hAnsi="Times New Roman"/>
        </w:rPr>
        <w:t xml:space="preserve"> </w:t>
      </w:r>
      <w:r w:rsidRPr="00CE7EAC" w:rsidR="00F46580">
        <w:rPr>
          <w:rFonts w:ascii="Times New Roman" w:hAnsi="Times New Roman" w:eastAsiaTheme="minorHAnsi"/>
        </w:rPr>
        <w:t>Marsh JLT Specialty, "100 Largest Losses in the Hydrocarbon Industry,” 27</w:t>
      </w:r>
      <w:r w:rsidRPr="00CE7EAC" w:rsidR="00F46580">
        <w:rPr>
          <w:rFonts w:ascii="Times New Roman" w:hAnsi="Times New Roman" w:eastAsiaTheme="minorHAnsi"/>
          <w:vertAlign w:val="superscript"/>
        </w:rPr>
        <w:t>th</w:t>
      </w:r>
      <w:r w:rsidRPr="00CE7EAC" w:rsidR="00F46580">
        <w:rPr>
          <w:rFonts w:ascii="Times New Roman" w:hAnsi="Times New Roman" w:eastAsiaTheme="minorHAnsi"/>
        </w:rPr>
        <w:t xml:space="preserve"> Edition, March 2022. Accessed from </w:t>
      </w:r>
      <w:hyperlink r:id="rId13" w:history="1">
        <w:r w:rsidRPr="00CE7EAC" w:rsidR="00F46580">
          <w:rPr>
            <w:rFonts w:ascii="Times New Roman" w:hAnsi="Times New Roman" w:eastAsiaTheme="minorHAnsi"/>
            <w:color w:val="0563C1" w:themeColor="hyperlink"/>
            <w:u w:val="single"/>
          </w:rPr>
          <w:t>https://www.marsh.com/uk/industries/energy-and-power/insights/100-largest-losses.html</w:t>
        </w:r>
      </w:hyperlink>
      <w:r w:rsidRPr="00CE7EAC" w:rsidR="00F46580">
        <w:rPr>
          <w:rFonts w:ascii="Times New Roman" w:hAnsi="Times New Roman" w:eastAsiaTheme="minorHAnsi"/>
        </w:rPr>
        <w:t>. Marsh provides estimates of large property damage losses in the hydrocarbon industry from 1974 to 2021 in current and 2021 dollars and in a few cases, business loss costs.</w:t>
      </w:r>
    </w:p>
  </w:footnote>
  <w:footnote w:id="211">
    <w:p w:rsidR="00A8349D" w:rsidRPr="000325A3" w:rsidP="00A8349D" w14:paraId="53931F8F" w14:textId="77777777">
      <w:pPr>
        <w:pStyle w:val="FootnoteText"/>
        <w:rPr>
          <w:rFonts w:ascii="Times New Roman" w:hAnsi="Times New Roman"/>
        </w:rPr>
      </w:pPr>
      <w:r w:rsidRPr="000325A3">
        <w:rPr>
          <w:rStyle w:val="FootnoteReference"/>
          <w:rFonts w:ascii="Times New Roman" w:eastAsia="MS Mincho" w:hAnsi="Times New Roman"/>
        </w:rPr>
        <w:footnoteRef/>
      </w:r>
      <w:r w:rsidRPr="000325A3">
        <w:rPr>
          <w:rFonts w:ascii="Times New Roman" w:hAnsi="Times New Roman"/>
        </w:rPr>
        <w:t xml:space="preserve">A jurisdiction with the designated authority to alert and warn the public when there is an impending natural or human-made disaster, threat, or dangerous or missing person; </w:t>
      </w:r>
      <w:hyperlink r:id="rId36" w:history="1">
        <w:r w:rsidRPr="000325A3">
          <w:rPr>
            <w:rStyle w:val="Hyperlink"/>
            <w:rFonts w:ascii="Times New Roman" w:hAnsi="Times New Roman"/>
          </w:rPr>
          <w:t>https://www.fema.gov/emergency-managers/practitioners/integrated-public-alert-warning-system/public-safety-officials/sign-up</w:t>
        </w:r>
      </w:hyperlink>
      <w:r w:rsidRPr="000325A3">
        <w:rPr>
          <w:rStyle w:val="Hyperlink"/>
          <w:rFonts w:ascii="Times New Roman" w:hAnsi="Times New Roman"/>
        </w:rPr>
        <w:t>.</w:t>
      </w:r>
      <w:r w:rsidRPr="000325A3">
        <w:rPr>
          <w:rFonts w:ascii="Times New Roman" w:hAnsi="Times New Roman"/>
        </w:rPr>
        <w:t xml:space="preserve"> </w:t>
      </w:r>
    </w:p>
  </w:footnote>
  <w:footnote w:id="212">
    <w:p w:rsidR="00D05648" w:rsidRPr="00BA2ED3" w:rsidP="00D05648" w14:paraId="63575CBA" w14:textId="77777777">
      <w:pPr>
        <w:pStyle w:val="FootnoteText"/>
        <w:rPr>
          <w:rFonts w:ascii="Times New Roman" w:hAnsi="Times New Roman"/>
        </w:rPr>
      </w:pPr>
      <w:r w:rsidRPr="00BA2ED3">
        <w:rPr>
          <w:rStyle w:val="FootnoteReference"/>
          <w:rFonts w:ascii="Times New Roman" w:hAnsi="Times New Roman"/>
        </w:rPr>
        <w:footnoteRef/>
      </w:r>
      <w:r w:rsidRPr="00BA2ED3">
        <w:rPr>
          <w:rFonts w:ascii="Times New Roman" w:hAnsi="Times New Roman"/>
        </w:rPr>
        <w:t xml:space="preserve"> EPA estimated monetized damages from RMP facility accidents of $540.23 million per year.</w:t>
      </w:r>
    </w:p>
  </w:footnote>
  <w:footnote w:id="213">
    <w:p w:rsidR="00D05648" w:rsidP="00D05648" w14:paraId="298D37B2" w14:textId="77777777">
      <w:pPr>
        <w:pStyle w:val="FootnoteText"/>
      </w:pPr>
      <w:r w:rsidRPr="00BA2ED3">
        <w:rPr>
          <w:rStyle w:val="FootnoteReference"/>
          <w:rFonts w:ascii="Times New Roman" w:hAnsi="Times New Roman"/>
        </w:rPr>
        <w:footnoteRef/>
      </w:r>
      <w:r w:rsidRPr="00BA2ED3">
        <w:rPr>
          <w:rFonts w:ascii="Times New Roman" w:hAnsi="Times New Roman"/>
        </w:rPr>
        <w:t xml:space="preserve"> </w:t>
      </w:r>
      <w:r w:rsidRPr="00BA2ED3">
        <w:rPr>
          <w:rFonts w:ascii="Times New Roman" w:hAnsi="Times New Roman" w:eastAsiaTheme="minorHAnsi"/>
        </w:rPr>
        <w:t>Marsh JLT Specialty, "100 Largest Losses in the Hydrocarbon Industry,” 27</w:t>
      </w:r>
      <w:r w:rsidRPr="00BA2ED3">
        <w:rPr>
          <w:rFonts w:ascii="Times New Roman" w:hAnsi="Times New Roman" w:eastAsiaTheme="minorHAnsi"/>
          <w:vertAlign w:val="superscript"/>
        </w:rPr>
        <w:t>th</w:t>
      </w:r>
      <w:r w:rsidRPr="00BA2ED3">
        <w:rPr>
          <w:rFonts w:ascii="Times New Roman" w:hAnsi="Times New Roman" w:eastAsiaTheme="minorHAnsi"/>
        </w:rPr>
        <w:t xml:space="preserve"> Edition, March 2022. Accessed from </w:t>
      </w:r>
      <w:hyperlink r:id="rId13" w:history="1">
        <w:r w:rsidRPr="00BA2ED3">
          <w:rPr>
            <w:rFonts w:ascii="Times New Roman" w:hAnsi="Times New Roman" w:eastAsiaTheme="minorHAnsi"/>
            <w:color w:val="0563C1" w:themeColor="hyperlink"/>
            <w:u w:val="single"/>
          </w:rPr>
          <w:t>https://www.marsh.com/uk/industries/energy-and-power/insights/100-largest-losses.html</w:t>
        </w:r>
      </w:hyperlink>
      <w:r w:rsidRPr="00BA2ED3">
        <w:rPr>
          <w:rFonts w:ascii="Times New Roman" w:hAnsi="Times New Roman" w:eastAsiaTheme="minorHAnsi"/>
        </w:rPr>
        <w:t>. Marsh provides estimates of large property damage losses in the hydrocarbon industry from 1974 to 2021 in current and 2021 dollars and in a few cases, business loss costs.</w:t>
      </w:r>
    </w:p>
  </w:footnote>
  <w:footnote w:id="214">
    <w:p w:rsidR="005F5FDA" w14:paraId="254C96B0" w14:textId="4D456606">
      <w:pPr>
        <w:pStyle w:val="FootnoteText"/>
      </w:pPr>
      <w:r>
        <w:rPr>
          <w:rStyle w:val="FootnoteReference"/>
        </w:rPr>
        <w:footnoteRef/>
      </w:r>
      <w:r>
        <w:t xml:space="preserve"> </w:t>
      </w:r>
      <w:hyperlink r:id="rId48" w:history="1">
        <w:r w:rsidRPr="009A0545">
          <w:rPr>
            <w:rStyle w:val="Hyperlink"/>
            <w:rFonts w:ascii="Times New Roman" w:hAnsi="Times New Roman"/>
          </w:rPr>
          <w:t>https://www.epa.gov/system/files/documents/2022-09/OLEM-EJ-Action-Plan_9.2022_FINAL-508.pdf</w:t>
        </w:r>
      </w:hyperlink>
      <w:r>
        <w:t xml:space="preserve"> </w:t>
      </w:r>
    </w:p>
  </w:footnote>
  <w:footnote w:id="215">
    <w:p w:rsidR="005A14C3" w:rsidP="005A14C3" w14:paraId="2C669A27" w14:textId="77777777">
      <w:pPr>
        <w:pStyle w:val="FootnoteText"/>
        <w:tabs>
          <w:tab w:val="left" w:pos="0"/>
        </w:tabs>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EPA (2016). Technical Guidance for Assessing Environmental Justice in Regulatory Analysis. </w:t>
      </w:r>
      <w:hyperlink r:id="rId49" w:history="1">
        <w:r w:rsidRPr="00AA2D9C">
          <w:rPr>
            <w:rStyle w:val="Hyperlink"/>
            <w:rFonts w:ascii="Times New Roman" w:hAnsi="Times New Roman"/>
            <w:sz w:val="18"/>
            <w:szCs w:val="18"/>
          </w:rPr>
          <w:t>https://www.epa.gov/sites/production/files/2016-06/documents/ejtg_5_6_16_v5.1.pdf</w:t>
        </w:r>
      </w:hyperlink>
      <w:r>
        <w:rPr>
          <w:rFonts w:ascii="Times New Roman" w:hAnsi="Times New Roman"/>
          <w:sz w:val="18"/>
          <w:szCs w:val="18"/>
        </w:rPr>
        <w:t>.</w:t>
      </w:r>
    </w:p>
  </w:footnote>
  <w:footnote w:id="216">
    <w:p w:rsidR="005A14C3" w:rsidP="005A14C3" w14:paraId="7734A427" w14:textId="77777777">
      <w:pPr>
        <w:pStyle w:val="FootnoteText"/>
        <w:tabs>
          <w:tab w:val="left" w:pos="0"/>
        </w:tabs>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EPA (2018). Guidance on Considering Environmental Justice During the Development of Regulatory Actions</w:t>
      </w:r>
      <w:hyperlink r:id="rId50" w:history="1">
        <w:r w:rsidRPr="00AA2D9C">
          <w:rPr>
            <w:rStyle w:val="Hyperlink"/>
            <w:rFonts w:ascii="Times New Roman" w:hAnsi="Times New Roman"/>
            <w:sz w:val="18"/>
            <w:szCs w:val="18"/>
          </w:rPr>
          <w:t>. https://www.epa.gov/sites/default/files/2015-06/documents/considering-ej-in-rulemaking-guide-final.pdf</w:t>
        </w:r>
      </w:hyperlink>
      <w:r w:rsidRPr="00AA2D9C">
        <w:rPr>
          <w:rStyle w:val="Hyperlink"/>
          <w:rFonts w:ascii="Times New Roman" w:hAnsi="Times New Roman"/>
          <w:sz w:val="18"/>
          <w:szCs w:val="18"/>
        </w:rPr>
        <w:t>.</w:t>
      </w:r>
    </w:p>
  </w:footnote>
  <w:footnote w:id="217">
    <w:p w:rsidR="005A14C3" w:rsidP="005A14C3" w14:paraId="398A7224" w14:textId="77777777">
      <w:pPr>
        <w:pStyle w:val="FootnoteText"/>
        <w:tabs>
          <w:tab w:val="left" w:pos="0"/>
        </w:tabs>
        <w:rPr>
          <w:rFonts w:ascii="Times New Roman" w:hAnsi="Times New Roman"/>
          <w:sz w:val="18"/>
          <w:szCs w:val="18"/>
        </w:rPr>
      </w:pPr>
      <w:hyperlink r:id="rId51" w:history="1">
        <w:r w:rsidRPr="00AA2D9C">
          <w:rPr>
            <w:rStyle w:val="Hyperlink"/>
            <w:rFonts w:ascii="Times New Roman" w:hAnsi="Times New Roman"/>
            <w:sz w:val="18"/>
            <w:szCs w:val="18"/>
          </w:rPr>
          <w:footnoteRef/>
        </w:r>
        <w:r w:rsidRPr="00AA2D9C">
          <w:rPr>
            <w:rStyle w:val="Hyperlink"/>
            <w:rFonts w:ascii="Times New Roman" w:hAnsi="Times New Roman"/>
            <w:sz w:val="18"/>
            <w:szCs w:val="18"/>
            <w:vertAlign w:val="superscript"/>
          </w:rPr>
          <w:t xml:space="preserve"> </w:t>
        </w:r>
        <w:r w:rsidRPr="00AA2D9C">
          <w:rPr>
            <w:rStyle w:val="Hyperlink"/>
            <w:rFonts w:ascii="Times New Roman" w:hAnsi="Times New Roman"/>
            <w:sz w:val="18"/>
            <w:szCs w:val="18"/>
          </w:rPr>
          <w:t>EPA (2016). Technical Guidance for Assessing Environmental Justice in Regulatory Analysis. https://www.epa.gov/sites/production/files/2016-06/documents/ejtg_5_6_16_v5.1.pdf</w:t>
        </w:r>
      </w:hyperlink>
      <w:r>
        <w:rPr>
          <w:rFonts w:ascii="Times New Roman" w:hAnsi="Times New Roman"/>
          <w:sz w:val="18"/>
          <w:szCs w:val="18"/>
        </w:rPr>
        <w:t>.</w:t>
      </w:r>
    </w:p>
  </w:footnote>
  <w:footnote w:id="218">
    <w:p w:rsidR="0086771A" w:rsidRPr="006F3872" w14:paraId="3FAD2429" w14:textId="2E244B20">
      <w:pPr>
        <w:pStyle w:val="FootnoteText"/>
        <w:rPr>
          <w:rFonts w:ascii="Times New Roman" w:hAnsi="Times New Roman"/>
        </w:rPr>
      </w:pPr>
      <w:r w:rsidRPr="006F3872">
        <w:rPr>
          <w:rStyle w:val="FootnoteReference"/>
          <w:rFonts w:ascii="Times New Roman" w:hAnsi="Times New Roman"/>
        </w:rPr>
        <w:footnoteRef/>
      </w:r>
      <w:r w:rsidRPr="006F3872">
        <w:rPr>
          <w:rFonts w:ascii="Times New Roman" w:hAnsi="Times New Roman"/>
        </w:rPr>
        <w:t xml:space="preserve"> </w:t>
      </w:r>
      <w:r w:rsidRPr="006F3872" w:rsidR="00E91B80">
        <w:rPr>
          <w:rFonts w:ascii="Times New Roman" w:hAnsi="Times New Roman"/>
          <w:sz w:val="18"/>
          <w:szCs w:val="18"/>
        </w:rPr>
        <w:t>Union Carbide release of approximately 40 tons of methyl isocyanate into the air killed over 3,700 people. Most of the deaths and injuries occurred in a residential area near the plant.; Lees, Frank P. Loss Prevention in the Process Industries, Volume 3, 2nd ed. Appendix 5, Bhopal (Oxford: Butterworth-Heinemann, 1996).</w:t>
      </w:r>
    </w:p>
  </w:footnote>
  <w:footnote w:id="219">
    <w:p w:rsidR="00AB1890" w:rsidRPr="006F3872" w14:paraId="56EEF9B0" w14:textId="7B43409B">
      <w:pPr>
        <w:pStyle w:val="FootnoteText"/>
        <w:rPr>
          <w:rFonts w:ascii="Times New Roman" w:hAnsi="Times New Roman"/>
          <w:sz w:val="18"/>
          <w:szCs w:val="18"/>
        </w:rPr>
      </w:pPr>
      <w:r w:rsidRPr="006F3872">
        <w:rPr>
          <w:rStyle w:val="FootnoteReference"/>
          <w:rFonts w:ascii="Times New Roman" w:hAnsi="Times New Roman"/>
          <w:sz w:val="18"/>
          <w:szCs w:val="18"/>
        </w:rPr>
        <w:footnoteRef/>
      </w:r>
      <w:r w:rsidRPr="006F3872">
        <w:rPr>
          <w:rFonts w:ascii="Times New Roman" w:hAnsi="Times New Roman"/>
          <w:sz w:val="18"/>
          <w:szCs w:val="18"/>
        </w:rPr>
        <w:t xml:space="preserve"> </w:t>
      </w:r>
      <w:bookmarkStart w:id="234" w:name="_Hlk153865353"/>
      <w:r w:rsidRPr="006F3872" w:rsidR="006F4681">
        <w:rPr>
          <w:rFonts w:ascii="Times New Roman" w:hAnsi="Times New Roman"/>
          <w:sz w:val="18"/>
          <w:szCs w:val="18"/>
        </w:rPr>
        <w:t>As compared to consequences resulting from RMP accidents 2004-2020 listed in Appendix A of the Technical Background Document for Notice of Proposed Rulemaking: Risk Management Programs Under the Clean Air Act, Section 112(r)(7); Safer Communities by Chemical Accident Prevention (April 19, 2022).</w:t>
      </w:r>
      <w:bookmarkEnd w:id="234"/>
    </w:p>
  </w:footnote>
  <w:footnote w:id="220">
    <w:p w:rsidR="00260F3D" w:rsidRPr="006F3872" w14:paraId="61B85D6F" w14:textId="027C7B3B">
      <w:pPr>
        <w:pStyle w:val="FootnoteText"/>
        <w:rPr>
          <w:rFonts w:ascii="Times New Roman" w:hAnsi="Times New Roman"/>
        </w:rPr>
      </w:pPr>
      <w:r w:rsidRPr="006F3872">
        <w:rPr>
          <w:rStyle w:val="FootnoteReference"/>
          <w:rFonts w:ascii="Times New Roman" w:hAnsi="Times New Roman"/>
          <w:sz w:val="18"/>
          <w:szCs w:val="18"/>
        </w:rPr>
        <w:footnoteRef/>
      </w:r>
      <w:r w:rsidRPr="006F3872">
        <w:rPr>
          <w:rFonts w:ascii="Times New Roman" w:hAnsi="Times New Roman"/>
          <w:sz w:val="18"/>
          <w:szCs w:val="18"/>
        </w:rPr>
        <w:t xml:space="preserve"> </w:t>
      </w:r>
      <w:r w:rsidRPr="006F3872" w:rsidR="00847760">
        <w:rPr>
          <w:rFonts w:ascii="Times New Roman" w:hAnsi="Times New Roman"/>
          <w:sz w:val="18"/>
          <w:szCs w:val="18"/>
        </w:rPr>
        <w:t xml:space="preserve">EPA estimated the values of injuries and deaths that occurred in Pasadena using the same values applied to injuries and deaths at RMP facility-reported accidents. See Exhibit 3-15 in the accompanying RIA for specific values and Section 3.2.5.1 “Fatalities and Injuries” in the RIA for detailed explanations of how those values were estimated. The $1.8 billion in property damage was estimated by Marsh JLT Specialty, "100 Largest Losses in the Hydrocarbon Industry," 27th ed., March 2022. </w:t>
      </w:r>
      <w:hyperlink r:id="rId52" w:history="1">
        <w:r w:rsidRPr="004A2D12" w:rsidR="00847760">
          <w:rPr>
            <w:rStyle w:val="Hyperlink"/>
            <w:rFonts w:ascii="Times New Roman" w:hAnsi="Times New Roman"/>
            <w:i/>
            <w:iCs/>
            <w:sz w:val="18"/>
            <w:szCs w:val="18"/>
          </w:rPr>
          <w:t>https://www.marsh.com/us/industries/energy-and-power/insights/100-largest-losses/100-largest-losses-report-download.html</w:t>
        </w:r>
      </w:hyperlink>
      <w:r w:rsidRPr="006F3872" w:rsidR="00847760">
        <w:rPr>
          <w:rFonts w:ascii="Times New Roman" w:hAnsi="Times New Roman"/>
          <w:sz w:val="18"/>
          <w:szCs w:val="18"/>
        </w:rPr>
        <w:t>.</w:t>
      </w:r>
      <w:r w:rsidRPr="006F3872" w:rsidR="00847760">
        <w:rPr>
          <w:rFonts w:ascii="Times New Roman" w:hAnsi="Times New Roman"/>
        </w:rPr>
        <w:t xml:space="preserve">    </w:t>
      </w:r>
    </w:p>
  </w:footnote>
  <w:footnote w:id="221">
    <w:p w:rsidR="002A1ACB" w:rsidRPr="00C961EA" w:rsidP="002A1ACB" w14:paraId="06F0C04C" w14:textId="77777777">
      <w:pPr>
        <w:pStyle w:val="FootnoteText"/>
        <w:rPr>
          <w:rFonts w:ascii="Times New Roman" w:hAnsi="Times New Roman"/>
          <w:sz w:val="18"/>
          <w:szCs w:val="18"/>
        </w:rPr>
      </w:pPr>
      <w:r w:rsidRPr="00C961EA">
        <w:rPr>
          <w:rStyle w:val="FootnoteReference"/>
          <w:rFonts w:ascii="Times New Roman" w:hAnsi="Times New Roman"/>
          <w:sz w:val="18"/>
          <w:szCs w:val="18"/>
        </w:rPr>
        <w:footnoteRef/>
      </w:r>
      <w:r w:rsidRPr="00C961EA">
        <w:rPr>
          <w:rFonts w:ascii="Times New Roman" w:hAnsi="Times New Roman"/>
          <w:sz w:val="18"/>
          <w:szCs w:val="18"/>
        </w:rPr>
        <w:t xml:space="preserve"> For example, the Philadelphia Energy Solutions Refining and Marketing LLC facility in Philadelphia, PA, had a fire and explosions in the PES Girard Point refinery HF alkylation unit on June 21, 2019, which resulted in the release of HF. This facility deregistered the affected process before the deadline for their subsequent RMP report. For a description of damages from this accident see Section 3.2.1 of the RIA and the CSB Report, Fire and Explosions at Philadelphia Energy Solutions Refinery Hydrofluoric Acid Alkylation Unit, Factual Update, October 16, 2019, </w:t>
      </w:r>
      <w:hyperlink r:id="rId53" w:history="1">
        <w:r w:rsidRPr="00C961EA">
          <w:rPr>
            <w:rStyle w:val="Hyperlink"/>
            <w:rFonts w:ascii="Times New Roman" w:hAnsi="Times New Roman"/>
            <w:i/>
            <w:iCs/>
            <w:sz w:val="18"/>
            <w:szCs w:val="18"/>
          </w:rPr>
          <w:t>https://www.phila.gov/media/20191204161826/US-CSB-PES-Factual-Update.pdf</w:t>
        </w:r>
      </w:hyperlink>
      <w:r w:rsidRPr="00C961EA">
        <w:rPr>
          <w:rFonts w:ascii="Times New Roman" w:hAnsi="Times New Roman"/>
          <w:sz w:val="18"/>
          <w:szCs w:val="18"/>
        </w:rPr>
        <w:t xml:space="preserve"> .</w:t>
      </w:r>
    </w:p>
  </w:footnote>
  <w:footnote w:id="222">
    <w:p w:rsidR="002A1ACB" w:rsidP="002A1ACB" w14:paraId="5D0DDAE8" w14:textId="77777777">
      <w:pPr>
        <w:pStyle w:val="FootnoteText"/>
      </w:pPr>
      <w:r w:rsidRPr="00C961EA">
        <w:rPr>
          <w:rStyle w:val="FootnoteReference"/>
          <w:rFonts w:ascii="Times New Roman" w:hAnsi="Times New Roman"/>
          <w:sz w:val="18"/>
          <w:szCs w:val="18"/>
        </w:rPr>
        <w:footnoteRef/>
      </w:r>
      <w:r w:rsidRPr="00C961EA">
        <w:rPr>
          <w:rFonts w:ascii="Times New Roman" w:hAnsi="Times New Roman"/>
          <w:sz w:val="18"/>
          <w:szCs w:val="18"/>
        </w:rPr>
        <w:t xml:space="preserve"> For descriptions on why EPA was unable to monetize each of these impacts, see Regulatory Impact Analysis: Safer Communities by Chemical Accident Prevention: Final Rule. This document is available in the docket for this rulemaking (EPA-HQ-OLEM-2022-0174). Chapter 6, Section 6.2.</w:t>
      </w:r>
    </w:p>
  </w:footnote>
  <w:footnote w:id="223">
    <w:p w:rsidR="002A1ACB" w:rsidRPr="00C961EA" w:rsidP="002A1ACB" w14:paraId="7793D211" w14:textId="77777777">
      <w:pPr>
        <w:pStyle w:val="FootnoteText"/>
        <w:rPr>
          <w:rFonts w:ascii="Times New Roman" w:hAnsi="Times New Roman"/>
          <w:sz w:val="18"/>
          <w:szCs w:val="18"/>
        </w:rPr>
      </w:pPr>
      <w:r w:rsidRPr="00C961EA">
        <w:rPr>
          <w:rStyle w:val="FootnoteReference"/>
          <w:rFonts w:ascii="Times New Roman" w:hAnsi="Times New Roman"/>
          <w:sz w:val="18"/>
          <w:szCs w:val="18"/>
        </w:rPr>
        <w:footnoteRef/>
      </w:r>
      <w:r w:rsidRPr="00C961EA">
        <w:rPr>
          <w:rFonts w:ascii="Times New Roman" w:hAnsi="Times New Roman"/>
          <w:sz w:val="18"/>
          <w:szCs w:val="18"/>
        </w:rPr>
        <w:t xml:space="preserve"> Regulatory Impact Analysis: Safer Communities by Chemical Accident Prevention: Final Rule. This document is available in the docket for this rulemaking (EPA-HQ-OLEM-2022-0174).</w:t>
      </w:r>
    </w:p>
  </w:footnote>
  <w:footnote w:id="224">
    <w:p w:rsidR="00AB575E" w:rsidRPr="00B474A3" w14:paraId="492291FC" w14:textId="2D812168">
      <w:pPr>
        <w:pStyle w:val="FootnoteText"/>
        <w:rPr>
          <w:rFonts w:ascii="Times New Roman" w:hAnsi="Times New Roman"/>
        </w:rPr>
      </w:pPr>
      <w:r w:rsidRPr="00B474A3">
        <w:rPr>
          <w:rStyle w:val="FootnoteReference"/>
          <w:rFonts w:ascii="Times New Roman" w:hAnsi="Times New Roman"/>
        </w:rPr>
        <w:footnoteRef/>
      </w:r>
      <w:r w:rsidRPr="00B474A3">
        <w:rPr>
          <w:rFonts w:ascii="Times New Roman" w:hAnsi="Times New Roman"/>
        </w:rPr>
        <w:t xml:space="preserve"> </w:t>
      </w:r>
      <w:hyperlink r:id="rId54" w:anchor=":~:text=The%20working%20group%2C%20which%20includes,chemicals%20to%20workers%20and%20communities" w:history="1">
        <w:r w:rsidRPr="00E2142D" w:rsidR="008546FE">
          <w:rPr>
            <w:rStyle w:val="Hyperlink"/>
            <w:rFonts w:ascii="Times New Roman" w:hAnsi="Times New Roman"/>
          </w:rPr>
          <w:t>https://www.osha.gov/chemical-executive-order#:~:text=The%20working%20group%2C%20which%20includes,chemicals%20to%20workers%20and%20communities</w:t>
        </w:r>
      </w:hyperlink>
      <w:r w:rsidR="008546FE">
        <w:rPr>
          <w:rFonts w:ascii="Times New Roman" w:hAnsi="Times New Roman"/>
        </w:rPr>
        <w:t xml:space="preserve"> </w:t>
      </w:r>
      <w:r w:rsidRPr="00B474A3">
        <w:rPr>
          <w:rFonts w:ascii="Times New Roman" w:hAnsi="Times New Roman"/>
        </w:rPr>
        <w:t>.</w:t>
      </w:r>
    </w:p>
  </w:footnote>
  <w:footnote w:id="225">
    <w:p w:rsidR="00F7092F" w14:paraId="4FE20AEF" w14:textId="759F490B">
      <w:pPr>
        <w:pStyle w:val="FootnoteText"/>
      </w:pPr>
      <w:r w:rsidRPr="00B474A3">
        <w:rPr>
          <w:rStyle w:val="FootnoteReference"/>
          <w:rFonts w:ascii="Times New Roman" w:hAnsi="Times New Roman"/>
        </w:rPr>
        <w:footnoteRef/>
      </w:r>
      <w:r w:rsidRPr="00B474A3">
        <w:rPr>
          <w:rFonts w:ascii="Times New Roman" w:hAnsi="Times New Roman"/>
        </w:rPr>
        <w:t xml:space="preserve"> </w:t>
      </w:r>
      <w:r w:rsidRPr="00B474A3" w:rsidR="00ED559F">
        <w:rPr>
          <w:rFonts w:ascii="Times New Roman" w:hAnsi="Times New Roman"/>
        </w:rPr>
        <w:t xml:space="preserve">DHS also participated in the meeting on </w:t>
      </w:r>
      <w:r w:rsidRPr="00B474A3" w:rsidR="00B474A3">
        <w:rPr>
          <w:rFonts w:ascii="Times New Roman" w:hAnsi="Times New Roman"/>
        </w:rPr>
        <w:t>9/6/2023.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B64578"/>
    <w:multiLevelType w:val="hybridMultilevel"/>
    <w:tmpl w:val="FD52E0F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91C3103"/>
    <w:multiLevelType w:val="hybridMultilevel"/>
    <w:tmpl w:val="1F08E2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092323FC"/>
    <w:multiLevelType w:val="hybridMultilevel"/>
    <w:tmpl w:val="57EA1F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64142B"/>
    <w:multiLevelType w:val="hybridMultilevel"/>
    <w:tmpl w:val="C9988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066576"/>
    <w:multiLevelType w:val="hybridMultilevel"/>
    <w:tmpl w:val="69D23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9F4A28"/>
    <w:multiLevelType w:val="hybridMultilevel"/>
    <w:tmpl w:val="2D269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094EE8"/>
    <w:multiLevelType w:val="hybridMultilevel"/>
    <w:tmpl w:val="A9E671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275F26E6"/>
    <w:multiLevelType w:val="hybridMultilevel"/>
    <w:tmpl w:val="171037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8F7373C"/>
    <w:multiLevelType w:val="hybridMultilevel"/>
    <w:tmpl w:val="C5ACD69C"/>
    <w:lvl w:ilvl="0">
      <w:start w:val="1"/>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C114779"/>
    <w:multiLevelType w:val="hybridMultilevel"/>
    <w:tmpl w:val="7FC65AE4"/>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F616298"/>
    <w:multiLevelType w:val="hybridMultilevel"/>
    <w:tmpl w:val="5DAA9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91F537"/>
    <w:multiLevelType w:val="hybridMultilevel"/>
    <w:tmpl w:val="ECCCDD2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FC225E5"/>
    <w:multiLevelType w:val="hybridMultilevel"/>
    <w:tmpl w:val="DDE8A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D74C1E"/>
    <w:multiLevelType w:val="hybridMultilevel"/>
    <w:tmpl w:val="B3BCE8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72A65DB"/>
    <w:multiLevelType w:val="hybridMultilevel"/>
    <w:tmpl w:val="8AE86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9E2147"/>
    <w:multiLevelType w:val="hybridMultilevel"/>
    <w:tmpl w:val="9ADED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AE15BC"/>
    <w:multiLevelType w:val="hybridMultilevel"/>
    <w:tmpl w:val="870C6864"/>
    <w:lvl w:ilvl="0">
      <w:start w:val="1"/>
      <w:numFmt w:val="bullet"/>
      <w:pStyle w:val="TOCHeading"/>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F7E361E"/>
    <w:multiLevelType w:val="hybridMultilevel"/>
    <w:tmpl w:val="735E78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3690DBC"/>
    <w:multiLevelType w:val="hybridMultilevel"/>
    <w:tmpl w:val="4A9A8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AA4018"/>
    <w:multiLevelType w:val="hybridMultilevel"/>
    <w:tmpl w:val="54AA9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2111C8"/>
    <w:multiLevelType w:val="hybridMultilevel"/>
    <w:tmpl w:val="AE92B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B30EAD"/>
    <w:multiLevelType w:val="hybridMultilevel"/>
    <w:tmpl w:val="2F286014"/>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1B52A7"/>
    <w:multiLevelType w:val="hybridMultilevel"/>
    <w:tmpl w:val="2D825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FE3DFF"/>
    <w:multiLevelType w:val="hybridMultilevel"/>
    <w:tmpl w:val="3C7CE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8A62BA"/>
    <w:multiLevelType w:val="hybridMultilevel"/>
    <w:tmpl w:val="2AC04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9966E5"/>
    <w:multiLevelType w:val="hybridMultilevel"/>
    <w:tmpl w:val="5968501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6">
    <w:nsid w:val="7D6976E7"/>
    <w:multiLevelType w:val="multilevel"/>
    <w:tmpl w:val="527A65DA"/>
    <w:lvl w:ilvl="0">
      <w:start w:val="1"/>
      <w:numFmt w:val="decimal"/>
      <w:pStyle w:val="Heading1"/>
      <w:lvlText w:val="%1"/>
      <w:lvlJc w:val="left"/>
      <w:pPr>
        <w:ind w:left="408" w:hanging="408"/>
      </w:pPr>
      <w:rPr>
        <w:rFonts w:hint="default"/>
      </w:rPr>
    </w:lvl>
    <w:lvl w:ilvl="1">
      <w:start w:val="1"/>
      <w:numFmt w:val="decimal"/>
      <w:pStyle w:val="Heading2"/>
      <w:lvlText w:val="%1.%2"/>
      <w:lvlJc w:val="left"/>
      <w:pPr>
        <w:ind w:left="408" w:hanging="408"/>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74289286">
    <w:abstractNumId w:val="26"/>
  </w:num>
  <w:num w:numId="2" w16cid:durableId="758409142">
    <w:abstractNumId w:val="9"/>
  </w:num>
  <w:num w:numId="3" w16cid:durableId="1736900827">
    <w:abstractNumId w:val="12"/>
  </w:num>
  <w:num w:numId="4" w16cid:durableId="2114788686">
    <w:abstractNumId w:val="26"/>
  </w:num>
  <w:num w:numId="5" w16cid:durableId="589125643">
    <w:abstractNumId w:val="16"/>
  </w:num>
  <w:num w:numId="6" w16cid:durableId="336620471">
    <w:abstractNumId w:val="11"/>
  </w:num>
  <w:num w:numId="7" w16cid:durableId="2028946384">
    <w:abstractNumId w:val="5"/>
  </w:num>
  <w:num w:numId="8" w16cid:durableId="283929614">
    <w:abstractNumId w:val="25"/>
  </w:num>
  <w:num w:numId="9" w16cid:durableId="1709334409">
    <w:abstractNumId w:val="10"/>
  </w:num>
  <w:num w:numId="10" w16cid:durableId="874465547">
    <w:abstractNumId w:val="26"/>
    <w:lvlOverride w:ilvl="0">
      <w:startOverride w:val="13"/>
    </w:lvlOverride>
  </w:num>
  <w:num w:numId="11" w16cid:durableId="1470171934">
    <w:abstractNumId w:val="19"/>
  </w:num>
  <w:num w:numId="12" w16cid:durableId="269557450">
    <w:abstractNumId w:val="20"/>
  </w:num>
  <w:num w:numId="13" w16cid:durableId="1888948140">
    <w:abstractNumId w:val="15"/>
  </w:num>
  <w:num w:numId="14" w16cid:durableId="259069377">
    <w:abstractNumId w:val="23"/>
  </w:num>
  <w:num w:numId="15" w16cid:durableId="937835282">
    <w:abstractNumId w:val="22"/>
  </w:num>
  <w:num w:numId="16" w16cid:durableId="1731002706">
    <w:abstractNumId w:val="14"/>
  </w:num>
  <w:num w:numId="17" w16cid:durableId="1549604883">
    <w:abstractNumId w:val="18"/>
  </w:num>
  <w:num w:numId="18" w16cid:durableId="397871902">
    <w:abstractNumId w:val="26"/>
    <w:lvlOverride w:ilvl="0">
      <w:startOverride w:val="8"/>
    </w:lvlOverride>
  </w:num>
  <w:num w:numId="19" w16cid:durableId="799305187">
    <w:abstractNumId w:val="17"/>
  </w:num>
  <w:num w:numId="20" w16cid:durableId="762192794">
    <w:abstractNumId w:val="2"/>
  </w:num>
  <w:num w:numId="21" w16cid:durableId="559751013">
    <w:abstractNumId w:val="13"/>
  </w:num>
  <w:num w:numId="22" w16cid:durableId="1999308500">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4211827">
    <w:abstractNumId w:val="3"/>
  </w:num>
  <w:num w:numId="24" w16cid:durableId="122114109">
    <w:abstractNumId w:val="8"/>
  </w:num>
  <w:num w:numId="25" w16cid:durableId="596211739">
    <w:abstractNumId w:val="26"/>
  </w:num>
  <w:num w:numId="26" w16cid:durableId="8455695">
    <w:abstractNumId w:val="0"/>
  </w:num>
  <w:num w:numId="27" w16cid:durableId="773285149">
    <w:abstractNumId w:val="21"/>
  </w:num>
  <w:num w:numId="28" w16cid:durableId="523518775">
    <w:abstractNumId w:val="1"/>
  </w:num>
  <w:num w:numId="29" w16cid:durableId="1432429416">
    <w:abstractNumId w:val="9"/>
  </w:num>
  <w:num w:numId="30" w16cid:durableId="142048261">
    <w:abstractNumId w:val="6"/>
  </w:num>
  <w:num w:numId="31" w16cid:durableId="1445732124">
    <w:abstractNumId w:val="7"/>
  </w:num>
  <w:num w:numId="32" w16cid:durableId="607926334">
    <w:abstractNumId w:val="7"/>
  </w:num>
  <w:num w:numId="33" w16cid:durableId="542711271">
    <w:abstractNumId w:val="26"/>
    <w:lvlOverride w:ilvl="0">
      <w:startOverride w:val="2"/>
    </w:lvlOverride>
    <w:lvlOverride w:ilvl="1">
      <w:startOverride w:val="5"/>
    </w:lvlOverride>
  </w:num>
  <w:num w:numId="34" w16cid:durableId="2006779261">
    <w:abstractNumId w:val="24"/>
  </w:num>
  <w:num w:numId="35" w16cid:durableId="506023614">
    <w:abstractNumId w:val="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PA-R3">
    <w15:presenceInfo w15:providerId="None" w15:userId="EPA-R3"/>
  </w15:person>
  <w15:person w15:author="R3 Comment">
    <w15:presenceInfo w15:providerId="None" w15:userId="R3 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revisionView w:comments="1" w:formatting="1" w:inkAnnotations="1" w:insDel="1" w:markup="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34"/>
    <w:rsid w:val="00000450"/>
    <w:rsid w:val="00000705"/>
    <w:rsid w:val="000007A3"/>
    <w:rsid w:val="000007B5"/>
    <w:rsid w:val="00000B55"/>
    <w:rsid w:val="00000E58"/>
    <w:rsid w:val="00000FA7"/>
    <w:rsid w:val="00001105"/>
    <w:rsid w:val="000014AF"/>
    <w:rsid w:val="00001766"/>
    <w:rsid w:val="00001B9B"/>
    <w:rsid w:val="00001BBD"/>
    <w:rsid w:val="00001DA1"/>
    <w:rsid w:val="00001F93"/>
    <w:rsid w:val="00002430"/>
    <w:rsid w:val="000024F5"/>
    <w:rsid w:val="00002531"/>
    <w:rsid w:val="000028BB"/>
    <w:rsid w:val="00002943"/>
    <w:rsid w:val="00002D3D"/>
    <w:rsid w:val="00002ECE"/>
    <w:rsid w:val="000030A3"/>
    <w:rsid w:val="0000372E"/>
    <w:rsid w:val="00003AE4"/>
    <w:rsid w:val="00003B7C"/>
    <w:rsid w:val="00003BA9"/>
    <w:rsid w:val="000048E9"/>
    <w:rsid w:val="00004CCF"/>
    <w:rsid w:val="00004F68"/>
    <w:rsid w:val="00005B70"/>
    <w:rsid w:val="00006017"/>
    <w:rsid w:val="0000608E"/>
    <w:rsid w:val="00006927"/>
    <w:rsid w:val="00006975"/>
    <w:rsid w:val="00006AE2"/>
    <w:rsid w:val="00006B34"/>
    <w:rsid w:val="00006E33"/>
    <w:rsid w:val="0000760B"/>
    <w:rsid w:val="000076BF"/>
    <w:rsid w:val="00007F80"/>
    <w:rsid w:val="00010284"/>
    <w:rsid w:val="00010C6A"/>
    <w:rsid w:val="00010EC1"/>
    <w:rsid w:val="00011376"/>
    <w:rsid w:val="000115A8"/>
    <w:rsid w:val="0001219B"/>
    <w:rsid w:val="00012289"/>
    <w:rsid w:val="0001259D"/>
    <w:rsid w:val="00012E27"/>
    <w:rsid w:val="00012E76"/>
    <w:rsid w:val="00013167"/>
    <w:rsid w:val="00013193"/>
    <w:rsid w:val="000134F0"/>
    <w:rsid w:val="00013853"/>
    <w:rsid w:val="00014193"/>
    <w:rsid w:val="000149F4"/>
    <w:rsid w:val="00014D03"/>
    <w:rsid w:val="000150A1"/>
    <w:rsid w:val="00015613"/>
    <w:rsid w:val="00015904"/>
    <w:rsid w:val="00015A71"/>
    <w:rsid w:val="00015B14"/>
    <w:rsid w:val="00015D04"/>
    <w:rsid w:val="000163E4"/>
    <w:rsid w:val="0001643D"/>
    <w:rsid w:val="00016541"/>
    <w:rsid w:val="000167CF"/>
    <w:rsid w:val="000168BB"/>
    <w:rsid w:val="00016951"/>
    <w:rsid w:val="00016C0C"/>
    <w:rsid w:val="000173C2"/>
    <w:rsid w:val="00017544"/>
    <w:rsid w:val="0001768B"/>
    <w:rsid w:val="000200D9"/>
    <w:rsid w:val="00020192"/>
    <w:rsid w:val="000203BF"/>
    <w:rsid w:val="00020451"/>
    <w:rsid w:val="00020583"/>
    <w:rsid w:val="000207C5"/>
    <w:rsid w:val="000207D9"/>
    <w:rsid w:val="00020EEF"/>
    <w:rsid w:val="00020F5F"/>
    <w:rsid w:val="00021B2A"/>
    <w:rsid w:val="00021D11"/>
    <w:rsid w:val="000225BC"/>
    <w:rsid w:val="00022B00"/>
    <w:rsid w:val="00022DFE"/>
    <w:rsid w:val="00022F26"/>
    <w:rsid w:val="0002312D"/>
    <w:rsid w:val="000235CF"/>
    <w:rsid w:val="00023C86"/>
    <w:rsid w:val="00023E4A"/>
    <w:rsid w:val="00023E50"/>
    <w:rsid w:val="00024185"/>
    <w:rsid w:val="00024358"/>
    <w:rsid w:val="000243EC"/>
    <w:rsid w:val="0002487D"/>
    <w:rsid w:val="0002495A"/>
    <w:rsid w:val="00024A29"/>
    <w:rsid w:val="00024BE6"/>
    <w:rsid w:val="00024C6A"/>
    <w:rsid w:val="00024ECF"/>
    <w:rsid w:val="00025134"/>
    <w:rsid w:val="00025714"/>
    <w:rsid w:val="00025948"/>
    <w:rsid w:val="00025A3E"/>
    <w:rsid w:val="00025A4D"/>
    <w:rsid w:val="000260B5"/>
    <w:rsid w:val="0002680F"/>
    <w:rsid w:val="000269A6"/>
    <w:rsid w:val="00026DBB"/>
    <w:rsid w:val="00027103"/>
    <w:rsid w:val="00027127"/>
    <w:rsid w:val="0002716F"/>
    <w:rsid w:val="0002736F"/>
    <w:rsid w:val="00027395"/>
    <w:rsid w:val="00027C70"/>
    <w:rsid w:val="0003016D"/>
    <w:rsid w:val="00030828"/>
    <w:rsid w:val="00030F75"/>
    <w:rsid w:val="00031076"/>
    <w:rsid w:val="000312B5"/>
    <w:rsid w:val="00031649"/>
    <w:rsid w:val="00031C7D"/>
    <w:rsid w:val="000325A3"/>
    <w:rsid w:val="0003269F"/>
    <w:rsid w:val="00032845"/>
    <w:rsid w:val="0003292A"/>
    <w:rsid w:val="00032A39"/>
    <w:rsid w:val="00032B29"/>
    <w:rsid w:val="00032D1F"/>
    <w:rsid w:val="00032EB2"/>
    <w:rsid w:val="000332D9"/>
    <w:rsid w:val="000334D5"/>
    <w:rsid w:val="000337EC"/>
    <w:rsid w:val="0003398C"/>
    <w:rsid w:val="00033F73"/>
    <w:rsid w:val="000340A0"/>
    <w:rsid w:val="000340F4"/>
    <w:rsid w:val="0003423E"/>
    <w:rsid w:val="0003427C"/>
    <w:rsid w:val="000343A4"/>
    <w:rsid w:val="000345A8"/>
    <w:rsid w:val="000348FC"/>
    <w:rsid w:val="00034CEB"/>
    <w:rsid w:val="00034D30"/>
    <w:rsid w:val="00035715"/>
    <w:rsid w:val="00035821"/>
    <w:rsid w:val="000359AE"/>
    <w:rsid w:val="00035D21"/>
    <w:rsid w:val="00036051"/>
    <w:rsid w:val="000363A5"/>
    <w:rsid w:val="00036E18"/>
    <w:rsid w:val="00036E85"/>
    <w:rsid w:val="00036F5F"/>
    <w:rsid w:val="0003715C"/>
    <w:rsid w:val="00037248"/>
    <w:rsid w:val="00037347"/>
    <w:rsid w:val="000375B7"/>
    <w:rsid w:val="00037BBB"/>
    <w:rsid w:val="00037E28"/>
    <w:rsid w:val="000406EE"/>
    <w:rsid w:val="00040710"/>
    <w:rsid w:val="00040E5C"/>
    <w:rsid w:val="00040E8E"/>
    <w:rsid w:val="0004126B"/>
    <w:rsid w:val="00041611"/>
    <w:rsid w:val="000417E9"/>
    <w:rsid w:val="00041EDA"/>
    <w:rsid w:val="00042658"/>
    <w:rsid w:val="000427FE"/>
    <w:rsid w:val="0004292D"/>
    <w:rsid w:val="00043032"/>
    <w:rsid w:val="00043869"/>
    <w:rsid w:val="00043A44"/>
    <w:rsid w:val="00043A8E"/>
    <w:rsid w:val="00044149"/>
    <w:rsid w:val="00044221"/>
    <w:rsid w:val="000447A5"/>
    <w:rsid w:val="00044859"/>
    <w:rsid w:val="000449EE"/>
    <w:rsid w:val="00044AF9"/>
    <w:rsid w:val="00044BC3"/>
    <w:rsid w:val="00044C14"/>
    <w:rsid w:val="00044D38"/>
    <w:rsid w:val="00044DE2"/>
    <w:rsid w:val="00045257"/>
    <w:rsid w:val="000457CC"/>
    <w:rsid w:val="000458CC"/>
    <w:rsid w:val="00045968"/>
    <w:rsid w:val="00045AE0"/>
    <w:rsid w:val="000463AE"/>
    <w:rsid w:val="000463ED"/>
    <w:rsid w:val="000464F9"/>
    <w:rsid w:val="00046877"/>
    <w:rsid w:val="00046AB2"/>
    <w:rsid w:val="00046B34"/>
    <w:rsid w:val="0004701C"/>
    <w:rsid w:val="00047092"/>
    <w:rsid w:val="0004733A"/>
    <w:rsid w:val="00047510"/>
    <w:rsid w:val="00047595"/>
    <w:rsid w:val="000479A0"/>
    <w:rsid w:val="00047B2A"/>
    <w:rsid w:val="00047F8A"/>
    <w:rsid w:val="0005077F"/>
    <w:rsid w:val="00050A4B"/>
    <w:rsid w:val="00050A74"/>
    <w:rsid w:val="00050B3E"/>
    <w:rsid w:val="00051767"/>
    <w:rsid w:val="00051802"/>
    <w:rsid w:val="00051DF3"/>
    <w:rsid w:val="00051EAD"/>
    <w:rsid w:val="00051EC3"/>
    <w:rsid w:val="000520C7"/>
    <w:rsid w:val="00052274"/>
    <w:rsid w:val="0005232B"/>
    <w:rsid w:val="0005243D"/>
    <w:rsid w:val="00052BC3"/>
    <w:rsid w:val="000535CD"/>
    <w:rsid w:val="000537AC"/>
    <w:rsid w:val="0005393C"/>
    <w:rsid w:val="000540DA"/>
    <w:rsid w:val="000541E4"/>
    <w:rsid w:val="000543B0"/>
    <w:rsid w:val="00054418"/>
    <w:rsid w:val="00054430"/>
    <w:rsid w:val="0005459A"/>
    <w:rsid w:val="00054AEA"/>
    <w:rsid w:val="00054D64"/>
    <w:rsid w:val="00054E57"/>
    <w:rsid w:val="0005509D"/>
    <w:rsid w:val="000556B7"/>
    <w:rsid w:val="00055ABB"/>
    <w:rsid w:val="00055C37"/>
    <w:rsid w:val="00055D53"/>
    <w:rsid w:val="0005613C"/>
    <w:rsid w:val="00056411"/>
    <w:rsid w:val="000569E0"/>
    <w:rsid w:val="00056DC3"/>
    <w:rsid w:val="00056EAC"/>
    <w:rsid w:val="00056EC6"/>
    <w:rsid w:val="00056F2F"/>
    <w:rsid w:val="000571A7"/>
    <w:rsid w:val="000572C0"/>
    <w:rsid w:val="00057939"/>
    <w:rsid w:val="000579F3"/>
    <w:rsid w:val="00060766"/>
    <w:rsid w:val="000610BF"/>
    <w:rsid w:val="00061320"/>
    <w:rsid w:val="000619D3"/>
    <w:rsid w:val="00061FA3"/>
    <w:rsid w:val="00062092"/>
    <w:rsid w:val="0006229D"/>
    <w:rsid w:val="00062521"/>
    <w:rsid w:val="00062C38"/>
    <w:rsid w:val="00062EBC"/>
    <w:rsid w:val="00062FB3"/>
    <w:rsid w:val="00063301"/>
    <w:rsid w:val="0006340A"/>
    <w:rsid w:val="000638AE"/>
    <w:rsid w:val="00063E54"/>
    <w:rsid w:val="00063F5D"/>
    <w:rsid w:val="00063FC6"/>
    <w:rsid w:val="000644A6"/>
    <w:rsid w:val="000648CC"/>
    <w:rsid w:val="000650D3"/>
    <w:rsid w:val="000653F2"/>
    <w:rsid w:val="000654F9"/>
    <w:rsid w:val="000655F3"/>
    <w:rsid w:val="0006568F"/>
    <w:rsid w:val="00065BF7"/>
    <w:rsid w:val="0006653F"/>
    <w:rsid w:val="00066F9F"/>
    <w:rsid w:val="00067698"/>
    <w:rsid w:val="0006781C"/>
    <w:rsid w:val="0007006C"/>
    <w:rsid w:val="00070263"/>
    <w:rsid w:val="000702E4"/>
    <w:rsid w:val="000707B5"/>
    <w:rsid w:val="00070A3A"/>
    <w:rsid w:val="00070DEB"/>
    <w:rsid w:val="00070FD0"/>
    <w:rsid w:val="0007117F"/>
    <w:rsid w:val="000714A7"/>
    <w:rsid w:val="00071742"/>
    <w:rsid w:val="000717D3"/>
    <w:rsid w:val="000717E1"/>
    <w:rsid w:val="000718F8"/>
    <w:rsid w:val="00071A6F"/>
    <w:rsid w:val="00071F15"/>
    <w:rsid w:val="0007208B"/>
    <w:rsid w:val="00072666"/>
    <w:rsid w:val="000729FD"/>
    <w:rsid w:val="00072A40"/>
    <w:rsid w:val="00072ADF"/>
    <w:rsid w:val="00072FD7"/>
    <w:rsid w:val="00072FDA"/>
    <w:rsid w:val="00073131"/>
    <w:rsid w:val="000732AE"/>
    <w:rsid w:val="000732CC"/>
    <w:rsid w:val="000733D6"/>
    <w:rsid w:val="000734BE"/>
    <w:rsid w:val="0007364E"/>
    <w:rsid w:val="000737B3"/>
    <w:rsid w:val="00073A16"/>
    <w:rsid w:val="00073C3C"/>
    <w:rsid w:val="00073D1D"/>
    <w:rsid w:val="0007429C"/>
    <w:rsid w:val="00074694"/>
    <w:rsid w:val="00074940"/>
    <w:rsid w:val="00074B10"/>
    <w:rsid w:val="0007503A"/>
    <w:rsid w:val="00075073"/>
    <w:rsid w:val="000755BF"/>
    <w:rsid w:val="00075F25"/>
    <w:rsid w:val="0007641F"/>
    <w:rsid w:val="00076B4F"/>
    <w:rsid w:val="00077274"/>
    <w:rsid w:val="00077328"/>
    <w:rsid w:val="000773C8"/>
    <w:rsid w:val="00077A99"/>
    <w:rsid w:val="00077CB5"/>
    <w:rsid w:val="00077E2F"/>
    <w:rsid w:val="000802BB"/>
    <w:rsid w:val="000802C4"/>
    <w:rsid w:val="000803B8"/>
    <w:rsid w:val="0008084B"/>
    <w:rsid w:val="000808F9"/>
    <w:rsid w:val="00080D78"/>
    <w:rsid w:val="000811A8"/>
    <w:rsid w:val="000817BC"/>
    <w:rsid w:val="00081D5D"/>
    <w:rsid w:val="00081EB8"/>
    <w:rsid w:val="0008228F"/>
    <w:rsid w:val="00082323"/>
    <w:rsid w:val="000825A0"/>
    <w:rsid w:val="00082BFF"/>
    <w:rsid w:val="00082FA0"/>
    <w:rsid w:val="00083014"/>
    <w:rsid w:val="0008305F"/>
    <w:rsid w:val="000835DD"/>
    <w:rsid w:val="0008374D"/>
    <w:rsid w:val="000839EA"/>
    <w:rsid w:val="00083AB9"/>
    <w:rsid w:val="00083C79"/>
    <w:rsid w:val="000843B9"/>
    <w:rsid w:val="00084D98"/>
    <w:rsid w:val="00084E48"/>
    <w:rsid w:val="00085296"/>
    <w:rsid w:val="000859CC"/>
    <w:rsid w:val="00085A48"/>
    <w:rsid w:val="00086282"/>
    <w:rsid w:val="0008634D"/>
    <w:rsid w:val="00086639"/>
    <w:rsid w:val="00086762"/>
    <w:rsid w:val="00086867"/>
    <w:rsid w:val="000869E9"/>
    <w:rsid w:val="00086ADE"/>
    <w:rsid w:val="000878D6"/>
    <w:rsid w:val="00087900"/>
    <w:rsid w:val="00087CBB"/>
    <w:rsid w:val="000901A2"/>
    <w:rsid w:val="0009037F"/>
    <w:rsid w:val="00090834"/>
    <w:rsid w:val="00090B97"/>
    <w:rsid w:val="00090DC9"/>
    <w:rsid w:val="00091356"/>
    <w:rsid w:val="00091597"/>
    <w:rsid w:val="0009177D"/>
    <w:rsid w:val="000917C6"/>
    <w:rsid w:val="00091AD4"/>
    <w:rsid w:val="00091B75"/>
    <w:rsid w:val="00091ED3"/>
    <w:rsid w:val="000920EC"/>
    <w:rsid w:val="000920FF"/>
    <w:rsid w:val="00093069"/>
    <w:rsid w:val="0009327F"/>
    <w:rsid w:val="000936CF"/>
    <w:rsid w:val="0009394B"/>
    <w:rsid w:val="00093C86"/>
    <w:rsid w:val="00093E53"/>
    <w:rsid w:val="00094040"/>
    <w:rsid w:val="000942B2"/>
    <w:rsid w:val="00094657"/>
    <w:rsid w:val="000948C9"/>
    <w:rsid w:val="00094AC9"/>
    <w:rsid w:val="00094ADD"/>
    <w:rsid w:val="00094E42"/>
    <w:rsid w:val="00095479"/>
    <w:rsid w:val="000954A6"/>
    <w:rsid w:val="000954F7"/>
    <w:rsid w:val="000965F0"/>
    <w:rsid w:val="00096D0A"/>
    <w:rsid w:val="00097228"/>
    <w:rsid w:val="0009770D"/>
    <w:rsid w:val="00097B36"/>
    <w:rsid w:val="000A0484"/>
    <w:rsid w:val="000A08DE"/>
    <w:rsid w:val="000A0CC2"/>
    <w:rsid w:val="000A0DED"/>
    <w:rsid w:val="000A0ECB"/>
    <w:rsid w:val="000A0F6B"/>
    <w:rsid w:val="000A11A0"/>
    <w:rsid w:val="000A1528"/>
    <w:rsid w:val="000A1672"/>
    <w:rsid w:val="000A185F"/>
    <w:rsid w:val="000A1883"/>
    <w:rsid w:val="000A1E49"/>
    <w:rsid w:val="000A2001"/>
    <w:rsid w:val="000A23BA"/>
    <w:rsid w:val="000A2424"/>
    <w:rsid w:val="000A254D"/>
    <w:rsid w:val="000A25F0"/>
    <w:rsid w:val="000A281D"/>
    <w:rsid w:val="000A31AA"/>
    <w:rsid w:val="000A3C36"/>
    <w:rsid w:val="000A3FE5"/>
    <w:rsid w:val="000A4559"/>
    <w:rsid w:val="000A499C"/>
    <w:rsid w:val="000A4C3E"/>
    <w:rsid w:val="000A506D"/>
    <w:rsid w:val="000A5288"/>
    <w:rsid w:val="000A5694"/>
    <w:rsid w:val="000A5A25"/>
    <w:rsid w:val="000A5A8B"/>
    <w:rsid w:val="000A5AA9"/>
    <w:rsid w:val="000A5FBA"/>
    <w:rsid w:val="000A6681"/>
    <w:rsid w:val="000A677E"/>
    <w:rsid w:val="000A689C"/>
    <w:rsid w:val="000A68A2"/>
    <w:rsid w:val="000A7599"/>
    <w:rsid w:val="000A76F4"/>
    <w:rsid w:val="000A7D09"/>
    <w:rsid w:val="000A7ED0"/>
    <w:rsid w:val="000B06E3"/>
    <w:rsid w:val="000B1965"/>
    <w:rsid w:val="000B1A2A"/>
    <w:rsid w:val="000B2234"/>
    <w:rsid w:val="000B2357"/>
    <w:rsid w:val="000B2361"/>
    <w:rsid w:val="000B2489"/>
    <w:rsid w:val="000B24EB"/>
    <w:rsid w:val="000B24F6"/>
    <w:rsid w:val="000B25D6"/>
    <w:rsid w:val="000B273E"/>
    <w:rsid w:val="000B2B13"/>
    <w:rsid w:val="000B3644"/>
    <w:rsid w:val="000B3978"/>
    <w:rsid w:val="000B3E50"/>
    <w:rsid w:val="000B452A"/>
    <w:rsid w:val="000B476F"/>
    <w:rsid w:val="000B483E"/>
    <w:rsid w:val="000B4DDA"/>
    <w:rsid w:val="000B4EBF"/>
    <w:rsid w:val="000B4ED8"/>
    <w:rsid w:val="000B4FBE"/>
    <w:rsid w:val="000B51B5"/>
    <w:rsid w:val="000B5633"/>
    <w:rsid w:val="000B563D"/>
    <w:rsid w:val="000B57F6"/>
    <w:rsid w:val="000B591B"/>
    <w:rsid w:val="000B6749"/>
    <w:rsid w:val="000B6D37"/>
    <w:rsid w:val="000B6DC1"/>
    <w:rsid w:val="000B6E68"/>
    <w:rsid w:val="000B7026"/>
    <w:rsid w:val="000B7497"/>
    <w:rsid w:val="000B75EF"/>
    <w:rsid w:val="000B7BE7"/>
    <w:rsid w:val="000B7F19"/>
    <w:rsid w:val="000C0176"/>
    <w:rsid w:val="000C0237"/>
    <w:rsid w:val="000C0424"/>
    <w:rsid w:val="000C0CFE"/>
    <w:rsid w:val="000C0E8A"/>
    <w:rsid w:val="000C1329"/>
    <w:rsid w:val="000C14DE"/>
    <w:rsid w:val="000C1973"/>
    <w:rsid w:val="000C1992"/>
    <w:rsid w:val="000C1C1A"/>
    <w:rsid w:val="000C20A4"/>
    <w:rsid w:val="000C2ACF"/>
    <w:rsid w:val="000C3545"/>
    <w:rsid w:val="000C39D8"/>
    <w:rsid w:val="000C4033"/>
    <w:rsid w:val="000C412E"/>
    <w:rsid w:val="000C4226"/>
    <w:rsid w:val="000C45B1"/>
    <w:rsid w:val="000C4D1A"/>
    <w:rsid w:val="000C50B1"/>
    <w:rsid w:val="000C5218"/>
    <w:rsid w:val="000C523C"/>
    <w:rsid w:val="000C5630"/>
    <w:rsid w:val="000C569E"/>
    <w:rsid w:val="000C63C5"/>
    <w:rsid w:val="000C6907"/>
    <w:rsid w:val="000C6AB2"/>
    <w:rsid w:val="000C7037"/>
    <w:rsid w:val="000C7646"/>
    <w:rsid w:val="000C7748"/>
    <w:rsid w:val="000D015C"/>
    <w:rsid w:val="000D0199"/>
    <w:rsid w:val="000D06EC"/>
    <w:rsid w:val="000D089F"/>
    <w:rsid w:val="000D0CB6"/>
    <w:rsid w:val="000D139E"/>
    <w:rsid w:val="000D276A"/>
    <w:rsid w:val="000D287B"/>
    <w:rsid w:val="000D2B17"/>
    <w:rsid w:val="000D2EE0"/>
    <w:rsid w:val="000D30C4"/>
    <w:rsid w:val="000D321D"/>
    <w:rsid w:val="000D38AA"/>
    <w:rsid w:val="000D3C6C"/>
    <w:rsid w:val="000D3E74"/>
    <w:rsid w:val="000D4278"/>
    <w:rsid w:val="000D4791"/>
    <w:rsid w:val="000D4E2A"/>
    <w:rsid w:val="000D5429"/>
    <w:rsid w:val="000D5BF0"/>
    <w:rsid w:val="000D5DEB"/>
    <w:rsid w:val="000D6880"/>
    <w:rsid w:val="000D6BA2"/>
    <w:rsid w:val="000D6C4C"/>
    <w:rsid w:val="000D6DFA"/>
    <w:rsid w:val="000D6E09"/>
    <w:rsid w:val="000D6E79"/>
    <w:rsid w:val="000D6E9C"/>
    <w:rsid w:val="000D6EAF"/>
    <w:rsid w:val="000D6FAF"/>
    <w:rsid w:val="000D7B0D"/>
    <w:rsid w:val="000D7DD4"/>
    <w:rsid w:val="000D7F5F"/>
    <w:rsid w:val="000D7FCE"/>
    <w:rsid w:val="000E0A31"/>
    <w:rsid w:val="000E121C"/>
    <w:rsid w:val="000E12B4"/>
    <w:rsid w:val="000E1324"/>
    <w:rsid w:val="000E1329"/>
    <w:rsid w:val="000E138F"/>
    <w:rsid w:val="000E183D"/>
    <w:rsid w:val="000E1869"/>
    <w:rsid w:val="000E1C22"/>
    <w:rsid w:val="000E1CD0"/>
    <w:rsid w:val="000E1DF1"/>
    <w:rsid w:val="000E1E09"/>
    <w:rsid w:val="000E1F51"/>
    <w:rsid w:val="000E2379"/>
    <w:rsid w:val="000E25CB"/>
    <w:rsid w:val="000E2AD3"/>
    <w:rsid w:val="000E2B61"/>
    <w:rsid w:val="000E2F0D"/>
    <w:rsid w:val="000E3152"/>
    <w:rsid w:val="000E3215"/>
    <w:rsid w:val="000E37CD"/>
    <w:rsid w:val="000E37E3"/>
    <w:rsid w:val="000E4500"/>
    <w:rsid w:val="000E45D0"/>
    <w:rsid w:val="000E4B25"/>
    <w:rsid w:val="000E5047"/>
    <w:rsid w:val="000E5153"/>
    <w:rsid w:val="000E51EB"/>
    <w:rsid w:val="000E55B2"/>
    <w:rsid w:val="000E5638"/>
    <w:rsid w:val="000E5828"/>
    <w:rsid w:val="000E5D07"/>
    <w:rsid w:val="000E63CA"/>
    <w:rsid w:val="000E65DB"/>
    <w:rsid w:val="000E6B64"/>
    <w:rsid w:val="000E7169"/>
    <w:rsid w:val="000E7365"/>
    <w:rsid w:val="000E7E19"/>
    <w:rsid w:val="000F0398"/>
    <w:rsid w:val="000F03CC"/>
    <w:rsid w:val="000F06D6"/>
    <w:rsid w:val="000F06E4"/>
    <w:rsid w:val="000F07C5"/>
    <w:rsid w:val="000F08E0"/>
    <w:rsid w:val="000F0F34"/>
    <w:rsid w:val="000F103A"/>
    <w:rsid w:val="000F149F"/>
    <w:rsid w:val="000F159A"/>
    <w:rsid w:val="000F15FC"/>
    <w:rsid w:val="000F1D8A"/>
    <w:rsid w:val="000F226E"/>
    <w:rsid w:val="000F2303"/>
    <w:rsid w:val="000F2417"/>
    <w:rsid w:val="000F289E"/>
    <w:rsid w:val="000F2B5B"/>
    <w:rsid w:val="000F357D"/>
    <w:rsid w:val="000F3891"/>
    <w:rsid w:val="000F3899"/>
    <w:rsid w:val="000F3F57"/>
    <w:rsid w:val="000F3FD4"/>
    <w:rsid w:val="000F4363"/>
    <w:rsid w:val="000F465A"/>
    <w:rsid w:val="000F4A00"/>
    <w:rsid w:val="000F4EDE"/>
    <w:rsid w:val="000F4F93"/>
    <w:rsid w:val="000F52D3"/>
    <w:rsid w:val="000F5346"/>
    <w:rsid w:val="000F53FA"/>
    <w:rsid w:val="000F577C"/>
    <w:rsid w:val="000F5818"/>
    <w:rsid w:val="000F5EC4"/>
    <w:rsid w:val="000F6485"/>
    <w:rsid w:val="000F64D7"/>
    <w:rsid w:val="000F6735"/>
    <w:rsid w:val="000F6AE3"/>
    <w:rsid w:val="000F6AEE"/>
    <w:rsid w:val="000F6ED2"/>
    <w:rsid w:val="000F6EF1"/>
    <w:rsid w:val="000F6FCA"/>
    <w:rsid w:val="000F7298"/>
    <w:rsid w:val="000F778E"/>
    <w:rsid w:val="000F78B9"/>
    <w:rsid w:val="0010027B"/>
    <w:rsid w:val="001005DE"/>
    <w:rsid w:val="001007ED"/>
    <w:rsid w:val="00100D3A"/>
    <w:rsid w:val="00100E95"/>
    <w:rsid w:val="00100EB7"/>
    <w:rsid w:val="00100EC1"/>
    <w:rsid w:val="001010F0"/>
    <w:rsid w:val="00101961"/>
    <w:rsid w:val="00101BE2"/>
    <w:rsid w:val="00101E3D"/>
    <w:rsid w:val="00102513"/>
    <w:rsid w:val="0010258E"/>
    <w:rsid w:val="001025B5"/>
    <w:rsid w:val="00102AA2"/>
    <w:rsid w:val="001033FF"/>
    <w:rsid w:val="00103610"/>
    <w:rsid w:val="00103840"/>
    <w:rsid w:val="001038AF"/>
    <w:rsid w:val="00103C31"/>
    <w:rsid w:val="00103D8A"/>
    <w:rsid w:val="00103ED2"/>
    <w:rsid w:val="00104399"/>
    <w:rsid w:val="0010439D"/>
    <w:rsid w:val="001048B2"/>
    <w:rsid w:val="00105358"/>
    <w:rsid w:val="00105604"/>
    <w:rsid w:val="00105D0A"/>
    <w:rsid w:val="00106072"/>
    <w:rsid w:val="001063F5"/>
    <w:rsid w:val="00106530"/>
    <w:rsid w:val="00106835"/>
    <w:rsid w:val="00106E3E"/>
    <w:rsid w:val="00106E52"/>
    <w:rsid w:val="00106EE9"/>
    <w:rsid w:val="00107164"/>
    <w:rsid w:val="00107351"/>
    <w:rsid w:val="00107520"/>
    <w:rsid w:val="00107EAC"/>
    <w:rsid w:val="00107F33"/>
    <w:rsid w:val="00107F64"/>
    <w:rsid w:val="00110670"/>
    <w:rsid w:val="0011071F"/>
    <w:rsid w:val="0011093C"/>
    <w:rsid w:val="00110A8C"/>
    <w:rsid w:val="00110F8E"/>
    <w:rsid w:val="00111229"/>
    <w:rsid w:val="00111757"/>
    <w:rsid w:val="0011188F"/>
    <w:rsid w:val="001118B8"/>
    <w:rsid w:val="0011190A"/>
    <w:rsid w:val="001119E8"/>
    <w:rsid w:val="00111B09"/>
    <w:rsid w:val="0011260B"/>
    <w:rsid w:val="0011271D"/>
    <w:rsid w:val="00112A25"/>
    <w:rsid w:val="00112B0F"/>
    <w:rsid w:val="00113495"/>
    <w:rsid w:val="0011360E"/>
    <w:rsid w:val="001139F2"/>
    <w:rsid w:val="00114156"/>
    <w:rsid w:val="0011454E"/>
    <w:rsid w:val="00115424"/>
    <w:rsid w:val="00115813"/>
    <w:rsid w:val="00115CE3"/>
    <w:rsid w:val="00115F8A"/>
    <w:rsid w:val="0011604C"/>
    <w:rsid w:val="0011627E"/>
    <w:rsid w:val="001165A7"/>
    <w:rsid w:val="00116C46"/>
    <w:rsid w:val="00117021"/>
    <w:rsid w:val="00117179"/>
    <w:rsid w:val="00117999"/>
    <w:rsid w:val="00117B91"/>
    <w:rsid w:val="00117E0C"/>
    <w:rsid w:val="00120258"/>
    <w:rsid w:val="001204A2"/>
    <w:rsid w:val="00120658"/>
    <w:rsid w:val="0012089C"/>
    <w:rsid w:val="00120936"/>
    <w:rsid w:val="00120B1E"/>
    <w:rsid w:val="00120BEB"/>
    <w:rsid w:val="001215D3"/>
    <w:rsid w:val="001217A6"/>
    <w:rsid w:val="00121875"/>
    <w:rsid w:val="0012195A"/>
    <w:rsid w:val="00121B4E"/>
    <w:rsid w:val="0012215E"/>
    <w:rsid w:val="00122201"/>
    <w:rsid w:val="001222BA"/>
    <w:rsid w:val="00122894"/>
    <w:rsid w:val="00122ACB"/>
    <w:rsid w:val="00122B3F"/>
    <w:rsid w:val="00122F3E"/>
    <w:rsid w:val="001232D7"/>
    <w:rsid w:val="00123417"/>
    <w:rsid w:val="00123578"/>
    <w:rsid w:val="00123D27"/>
    <w:rsid w:val="00123E40"/>
    <w:rsid w:val="00123E50"/>
    <w:rsid w:val="0012414E"/>
    <w:rsid w:val="00124CFF"/>
    <w:rsid w:val="00125321"/>
    <w:rsid w:val="0012565E"/>
    <w:rsid w:val="00125B2C"/>
    <w:rsid w:val="00125C2F"/>
    <w:rsid w:val="00125E64"/>
    <w:rsid w:val="00125FD8"/>
    <w:rsid w:val="00126300"/>
    <w:rsid w:val="0012635C"/>
    <w:rsid w:val="0012672C"/>
    <w:rsid w:val="00126D84"/>
    <w:rsid w:val="0012706C"/>
    <w:rsid w:val="001272CC"/>
    <w:rsid w:val="00127320"/>
    <w:rsid w:val="001275FC"/>
    <w:rsid w:val="00127758"/>
    <w:rsid w:val="00127924"/>
    <w:rsid w:val="00127BF2"/>
    <w:rsid w:val="001300D9"/>
    <w:rsid w:val="001303F1"/>
    <w:rsid w:val="00130435"/>
    <w:rsid w:val="0013064E"/>
    <w:rsid w:val="0013070E"/>
    <w:rsid w:val="001307FB"/>
    <w:rsid w:val="001308E7"/>
    <w:rsid w:val="0013090E"/>
    <w:rsid w:val="00130A4F"/>
    <w:rsid w:val="00130A87"/>
    <w:rsid w:val="0013105A"/>
    <w:rsid w:val="0013108F"/>
    <w:rsid w:val="00131298"/>
    <w:rsid w:val="001313D6"/>
    <w:rsid w:val="00131526"/>
    <w:rsid w:val="0013230E"/>
    <w:rsid w:val="00132510"/>
    <w:rsid w:val="001326D0"/>
    <w:rsid w:val="0013344F"/>
    <w:rsid w:val="0013386E"/>
    <w:rsid w:val="00133892"/>
    <w:rsid w:val="001339ED"/>
    <w:rsid w:val="001341F6"/>
    <w:rsid w:val="00134800"/>
    <w:rsid w:val="001353F1"/>
    <w:rsid w:val="00135575"/>
    <w:rsid w:val="001356E7"/>
    <w:rsid w:val="00135AA5"/>
    <w:rsid w:val="00135B6E"/>
    <w:rsid w:val="00135BF8"/>
    <w:rsid w:val="00136018"/>
    <w:rsid w:val="001360F6"/>
    <w:rsid w:val="001361BE"/>
    <w:rsid w:val="0013655E"/>
    <w:rsid w:val="00136A85"/>
    <w:rsid w:val="00136C01"/>
    <w:rsid w:val="00136F2A"/>
    <w:rsid w:val="00137E37"/>
    <w:rsid w:val="0014016C"/>
    <w:rsid w:val="001403D2"/>
    <w:rsid w:val="00140476"/>
    <w:rsid w:val="001404D6"/>
    <w:rsid w:val="0014061D"/>
    <w:rsid w:val="00140BE1"/>
    <w:rsid w:val="0014104E"/>
    <w:rsid w:val="00141076"/>
    <w:rsid w:val="001413F9"/>
    <w:rsid w:val="0014152D"/>
    <w:rsid w:val="00141656"/>
    <w:rsid w:val="00141824"/>
    <w:rsid w:val="00141A97"/>
    <w:rsid w:val="00141ABF"/>
    <w:rsid w:val="00141BE6"/>
    <w:rsid w:val="00141C85"/>
    <w:rsid w:val="00141CA9"/>
    <w:rsid w:val="0014257A"/>
    <w:rsid w:val="001427BE"/>
    <w:rsid w:val="001431C2"/>
    <w:rsid w:val="00143217"/>
    <w:rsid w:val="00143B11"/>
    <w:rsid w:val="00143DA9"/>
    <w:rsid w:val="00143DAF"/>
    <w:rsid w:val="00144498"/>
    <w:rsid w:val="001447A7"/>
    <w:rsid w:val="00144A61"/>
    <w:rsid w:val="00144AFC"/>
    <w:rsid w:val="00144B1E"/>
    <w:rsid w:val="00144C96"/>
    <w:rsid w:val="001450A5"/>
    <w:rsid w:val="00145A53"/>
    <w:rsid w:val="00145B21"/>
    <w:rsid w:val="00145BC9"/>
    <w:rsid w:val="00145FE9"/>
    <w:rsid w:val="001463CC"/>
    <w:rsid w:val="001465D1"/>
    <w:rsid w:val="00146660"/>
    <w:rsid w:val="00146C23"/>
    <w:rsid w:val="00146F8D"/>
    <w:rsid w:val="001478BB"/>
    <w:rsid w:val="001479FE"/>
    <w:rsid w:val="00147A85"/>
    <w:rsid w:val="00150F57"/>
    <w:rsid w:val="00150F7C"/>
    <w:rsid w:val="001514BF"/>
    <w:rsid w:val="00151548"/>
    <w:rsid w:val="001515E1"/>
    <w:rsid w:val="0015167F"/>
    <w:rsid w:val="001516A6"/>
    <w:rsid w:val="00151719"/>
    <w:rsid w:val="001517DA"/>
    <w:rsid w:val="00151D13"/>
    <w:rsid w:val="00152295"/>
    <w:rsid w:val="00152775"/>
    <w:rsid w:val="00152ACC"/>
    <w:rsid w:val="00152B54"/>
    <w:rsid w:val="001531FA"/>
    <w:rsid w:val="001533A2"/>
    <w:rsid w:val="00153458"/>
    <w:rsid w:val="001535E4"/>
    <w:rsid w:val="00153ACE"/>
    <w:rsid w:val="00153E8C"/>
    <w:rsid w:val="00154233"/>
    <w:rsid w:val="001544A5"/>
    <w:rsid w:val="00154A47"/>
    <w:rsid w:val="00155140"/>
    <w:rsid w:val="0015536F"/>
    <w:rsid w:val="00155612"/>
    <w:rsid w:val="00155958"/>
    <w:rsid w:val="00155CE5"/>
    <w:rsid w:val="00156332"/>
    <w:rsid w:val="0015635A"/>
    <w:rsid w:val="001565E3"/>
    <w:rsid w:val="0015693E"/>
    <w:rsid w:val="00156AAE"/>
    <w:rsid w:val="0015747E"/>
    <w:rsid w:val="0015756C"/>
    <w:rsid w:val="00157995"/>
    <w:rsid w:val="00157A80"/>
    <w:rsid w:val="00157BCB"/>
    <w:rsid w:val="00157F8C"/>
    <w:rsid w:val="0016005F"/>
    <w:rsid w:val="001601C6"/>
    <w:rsid w:val="00160273"/>
    <w:rsid w:val="001603B5"/>
    <w:rsid w:val="001605F2"/>
    <w:rsid w:val="001609B5"/>
    <w:rsid w:val="00160B60"/>
    <w:rsid w:val="00160BFA"/>
    <w:rsid w:val="00160C0B"/>
    <w:rsid w:val="00160DE9"/>
    <w:rsid w:val="001617C9"/>
    <w:rsid w:val="00161820"/>
    <w:rsid w:val="00161850"/>
    <w:rsid w:val="00161876"/>
    <w:rsid w:val="00161DF0"/>
    <w:rsid w:val="0016238B"/>
    <w:rsid w:val="00162405"/>
    <w:rsid w:val="00162486"/>
    <w:rsid w:val="00162A46"/>
    <w:rsid w:val="00162BB9"/>
    <w:rsid w:val="00162F74"/>
    <w:rsid w:val="00163A20"/>
    <w:rsid w:val="00163D05"/>
    <w:rsid w:val="0016417D"/>
    <w:rsid w:val="0016467E"/>
    <w:rsid w:val="001650E7"/>
    <w:rsid w:val="001650E8"/>
    <w:rsid w:val="001652B0"/>
    <w:rsid w:val="00165560"/>
    <w:rsid w:val="00165A47"/>
    <w:rsid w:val="00166106"/>
    <w:rsid w:val="001664C9"/>
    <w:rsid w:val="00166575"/>
    <w:rsid w:val="001667BA"/>
    <w:rsid w:val="0016686F"/>
    <w:rsid w:val="00166968"/>
    <w:rsid w:val="001669A5"/>
    <w:rsid w:val="00166AF8"/>
    <w:rsid w:val="00166C70"/>
    <w:rsid w:val="00167013"/>
    <w:rsid w:val="001672D1"/>
    <w:rsid w:val="001674A5"/>
    <w:rsid w:val="00167547"/>
    <w:rsid w:val="001678D6"/>
    <w:rsid w:val="001679F5"/>
    <w:rsid w:val="00167B9A"/>
    <w:rsid w:val="00170256"/>
    <w:rsid w:val="001702C6"/>
    <w:rsid w:val="00170808"/>
    <w:rsid w:val="00170D49"/>
    <w:rsid w:val="00170E19"/>
    <w:rsid w:val="00171366"/>
    <w:rsid w:val="00171864"/>
    <w:rsid w:val="00171D3D"/>
    <w:rsid w:val="001726E6"/>
    <w:rsid w:val="00172AC4"/>
    <w:rsid w:val="00172E10"/>
    <w:rsid w:val="00172E30"/>
    <w:rsid w:val="00172F82"/>
    <w:rsid w:val="00173120"/>
    <w:rsid w:val="00173366"/>
    <w:rsid w:val="001734A2"/>
    <w:rsid w:val="00173684"/>
    <w:rsid w:val="001736FB"/>
    <w:rsid w:val="00173906"/>
    <w:rsid w:val="001739D5"/>
    <w:rsid w:val="00173D64"/>
    <w:rsid w:val="00173F5E"/>
    <w:rsid w:val="0017413F"/>
    <w:rsid w:val="001742FC"/>
    <w:rsid w:val="0017456A"/>
    <w:rsid w:val="00174741"/>
    <w:rsid w:val="001747DB"/>
    <w:rsid w:val="00174C8A"/>
    <w:rsid w:val="00174CDF"/>
    <w:rsid w:val="00174CFD"/>
    <w:rsid w:val="00174D14"/>
    <w:rsid w:val="00174E35"/>
    <w:rsid w:val="001758F1"/>
    <w:rsid w:val="00176251"/>
    <w:rsid w:val="00176491"/>
    <w:rsid w:val="00176CA7"/>
    <w:rsid w:val="00176F74"/>
    <w:rsid w:val="00177755"/>
    <w:rsid w:val="00177B1C"/>
    <w:rsid w:val="00177C08"/>
    <w:rsid w:val="00177C23"/>
    <w:rsid w:val="00177F0A"/>
    <w:rsid w:val="00177F8A"/>
    <w:rsid w:val="0018002E"/>
    <w:rsid w:val="0018040D"/>
    <w:rsid w:val="00180563"/>
    <w:rsid w:val="00180B40"/>
    <w:rsid w:val="00180BFC"/>
    <w:rsid w:val="001813E9"/>
    <w:rsid w:val="00181400"/>
    <w:rsid w:val="00181477"/>
    <w:rsid w:val="0018159F"/>
    <w:rsid w:val="00181A80"/>
    <w:rsid w:val="00181A93"/>
    <w:rsid w:val="0018298F"/>
    <w:rsid w:val="00182B8C"/>
    <w:rsid w:val="00182F5B"/>
    <w:rsid w:val="0018353B"/>
    <w:rsid w:val="001835AB"/>
    <w:rsid w:val="00183893"/>
    <w:rsid w:val="001839AF"/>
    <w:rsid w:val="00183A55"/>
    <w:rsid w:val="00183FB8"/>
    <w:rsid w:val="0018444A"/>
    <w:rsid w:val="0018479D"/>
    <w:rsid w:val="001848B0"/>
    <w:rsid w:val="00184C3F"/>
    <w:rsid w:val="00184CFF"/>
    <w:rsid w:val="00184F6F"/>
    <w:rsid w:val="001851DA"/>
    <w:rsid w:val="0018562D"/>
    <w:rsid w:val="00185D4F"/>
    <w:rsid w:val="00185E31"/>
    <w:rsid w:val="001860D7"/>
    <w:rsid w:val="0018613A"/>
    <w:rsid w:val="001864B2"/>
    <w:rsid w:val="00186990"/>
    <w:rsid w:val="00187115"/>
    <w:rsid w:val="0018713C"/>
    <w:rsid w:val="00187424"/>
    <w:rsid w:val="00187518"/>
    <w:rsid w:val="00187524"/>
    <w:rsid w:val="00187912"/>
    <w:rsid w:val="00187AF1"/>
    <w:rsid w:val="00187B3F"/>
    <w:rsid w:val="00187CE9"/>
    <w:rsid w:val="00187E62"/>
    <w:rsid w:val="00187F3F"/>
    <w:rsid w:val="00187F73"/>
    <w:rsid w:val="0018EA1D"/>
    <w:rsid w:val="001902D9"/>
    <w:rsid w:val="001902DF"/>
    <w:rsid w:val="0019048D"/>
    <w:rsid w:val="00190568"/>
    <w:rsid w:val="00191582"/>
    <w:rsid w:val="001915BA"/>
    <w:rsid w:val="0019160D"/>
    <w:rsid w:val="00191B66"/>
    <w:rsid w:val="0019249D"/>
    <w:rsid w:val="00192527"/>
    <w:rsid w:val="00192597"/>
    <w:rsid w:val="00192C58"/>
    <w:rsid w:val="00192C64"/>
    <w:rsid w:val="00192D17"/>
    <w:rsid w:val="00192E42"/>
    <w:rsid w:val="00192E86"/>
    <w:rsid w:val="001931C9"/>
    <w:rsid w:val="0019329C"/>
    <w:rsid w:val="0019329D"/>
    <w:rsid w:val="00193441"/>
    <w:rsid w:val="001936A3"/>
    <w:rsid w:val="00193734"/>
    <w:rsid w:val="00193927"/>
    <w:rsid w:val="00193D24"/>
    <w:rsid w:val="00193D45"/>
    <w:rsid w:val="00193F94"/>
    <w:rsid w:val="0019467B"/>
    <w:rsid w:val="00194705"/>
    <w:rsid w:val="00194AF2"/>
    <w:rsid w:val="00194DAA"/>
    <w:rsid w:val="00194EA2"/>
    <w:rsid w:val="001952BD"/>
    <w:rsid w:val="00195347"/>
    <w:rsid w:val="001954D4"/>
    <w:rsid w:val="00195E21"/>
    <w:rsid w:val="0019628C"/>
    <w:rsid w:val="001964DF"/>
    <w:rsid w:val="00196A0D"/>
    <w:rsid w:val="00196F77"/>
    <w:rsid w:val="00197156"/>
    <w:rsid w:val="001974C8"/>
    <w:rsid w:val="0019767B"/>
    <w:rsid w:val="001978CF"/>
    <w:rsid w:val="00197AA2"/>
    <w:rsid w:val="00197CFE"/>
    <w:rsid w:val="00197F65"/>
    <w:rsid w:val="001A034F"/>
    <w:rsid w:val="001A0A70"/>
    <w:rsid w:val="001A0C68"/>
    <w:rsid w:val="001A0EF6"/>
    <w:rsid w:val="001A1868"/>
    <w:rsid w:val="001A1E8E"/>
    <w:rsid w:val="001A210F"/>
    <w:rsid w:val="001A2896"/>
    <w:rsid w:val="001A2CED"/>
    <w:rsid w:val="001A2EDF"/>
    <w:rsid w:val="001A35A1"/>
    <w:rsid w:val="001A35FB"/>
    <w:rsid w:val="001A360C"/>
    <w:rsid w:val="001A3C1C"/>
    <w:rsid w:val="001A3CBA"/>
    <w:rsid w:val="001A3DD8"/>
    <w:rsid w:val="001A4740"/>
    <w:rsid w:val="001A4BB4"/>
    <w:rsid w:val="001A4E2F"/>
    <w:rsid w:val="001A52FC"/>
    <w:rsid w:val="001A57CC"/>
    <w:rsid w:val="001A5DC0"/>
    <w:rsid w:val="001A5E40"/>
    <w:rsid w:val="001A5F69"/>
    <w:rsid w:val="001A5FBF"/>
    <w:rsid w:val="001A61BE"/>
    <w:rsid w:val="001A66AB"/>
    <w:rsid w:val="001A6D3E"/>
    <w:rsid w:val="001A71F2"/>
    <w:rsid w:val="001A7321"/>
    <w:rsid w:val="001A73F9"/>
    <w:rsid w:val="001A7428"/>
    <w:rsid w:val="001A790F"/>
    <w:rsid w:val="001A79CD"/>
    <w:rsid w:val="001B0583"/>
    <w:rsid w:val="001B08E2"/>
    <w:rsid w:val="001B0A52"/>
    <w:rsid w:val="001B0C58"/>
    <w:rsid w:val="001B1185"/>
    <w:rsid w:val="001B11AD"/>
    <w:rsid w:val="001B121B"/>
    <w:rsid w:val="001B1562"/>
    <w:rsid w:val="001B16F2"/>
    <w:rsid w:val="001B179D"/>
    <w:rsid w:val="001B1A19"/>
    <w:rsid w:val="001B1A40"/>
    <w:rsid w:val="001B1B59"/>
    <w:rsid w:val="001B1D01"/>
    <w:rsid w:val="001B1E6D"/>
    <w:rsid w:val="001B1F21"/>
    <w:rsid w:val="001B1FCE"/>
    <w:rsid w:val="001B21B9"/>
    <w:rsid w:val="001B267D"/>
    <w:rsid w:val="001B28A7"/>
    <w:rsid w:val="001B2CD3"/>
    <w:rsid w:val="001B2D72"/>
    <w:rsid w:val="001B30A7"/>
    <w:rsid w:val="001B3209"/>
    <w:rsid w:val="001B3936"/>
    <w:rsid w:val="001B3DB2"/>
    <w:rsid w:val="001B4B1B"/>
    <w:rsid w:val="001B5E1E"/>
    <w:rsid w:val="001B5F0F"/>
    <w:rsid w:val="001B5F57"/>
    <w:rsid w:val="001B6814"/>
    <w:rsid w:val="001B6890"/>
    <w:rsid w:val="001B6B13"/>
    <w:rsid w:val="001B6BF3"/>
    <w:rsid w:val="001B7AF4"/>
    <w:rsid w:val="001C0828"/>
    <w:rsid w:val="001C0B82"/>
    <w:rsid w:val="001C0CB2"/>
    <w:rsid w:val="001C0D58"/>
    <w:rsid w:val="001C0EF6"/>
    <w:rsid w:val="001C11DF"/>
    <w:rsid w:val="001C14AF"/>
    <w:rsid w:val="001C1569"/>
    <w:rsid w:val="001C196E"/>
    <w:rsid w:val="001C1CF7"/>
    <w:rsid w:val="001C1D6F"/>
    <w:rsid w:val="001C1E78"/>
    <w:rsid w:val="001C2171"/>
    <w:rsid w:val="001C222C"/>
    <w:rsid w:val="001C2696"/>
    <w:rsid w:val="001C288A"/>
    <w:rsid w:val="001C2962"/>
    <w:rsid w:val="001C2B48"/>
    <w:rsid w:val="001C31F8"/>
    <w:rsid w:val="001C3201"/>
    <w:rsid w:val="001C3262"/>
    <w:rsid w:val="001C35C2"/>
    <w:rsid w:val="001C3A22"/>
    <w:rsid w:val="001C3A7B"/>
    <w:rsid w:val="001C3FE3"/>
    <w:rsid w:val="001C41E0"/>
    <w:rsid w:val="001C453A"/>
    <w:rsid w:val="001C46E0"/>
    <w:rsid w:val="001C4852"/>
    <w:rsid w:val="001C4C08"/>
    <w:rsid w:val="001C5211"/>
    <w:rsid w:val="001C5489"/>
    <w:rsid w:val="001C5624"/>
    <w:rsid w:val="001C58FA"/>
    <w:rsid w:val="001C5B80"/>
    <w:rsid w:val="001C5BAC"/>
    <w:rsid w:val="001C5F9D"/>
    <w:rsid w:val="001C603D"/>
    <w:rsid w:val="001C6361"/>
    <w:rsid w:val="001C63C8"/>
    <w:rsid w:val="001C6B81"/>
    <w:rsid w:val="001C797A"/>
    <w:rsid w:val="001C7BB8"/>
    <w:rsid w:val="001D0939"/>
    <w:rsid w:val="001D09D7"/>
    <w:rsid w:val="001D1550"/>
    <w:rsid w:val="001D157A"/>
    <w:rsid w:val="001D1B5D"/>
    <w:rsid w:val="001D1D16"/>
    <w:rsid w:val="001D26FB"/>
    <w:rsid w:val="001D27B1"/>
    <w:rsid w:val="001D323F"/>
    <w:rsid w:val="001D3309"/>
    <w:rsid w:val="001D396F"/>
    <w:rsid w:val="001D3BE3"/>
    <w:rsid w:val="001D3E0C"/>
    <w:rsid w:val="001D3FE8"/>
    <w:rsid w:val="001D4147"/>
    <w:rsid w:val="001D44C8"/>
    <w:rsid w:val="001D4528"/>
    <w:rsid w:val="001D47E8"/>
    <w:rsid w:val="001D5019"/>
    <w:rsid w:val="001D5560"/>
    <w:rsid w:val="001D56A6"/>
    <w:rsid w:val="001D5839"/>
    <w:rsid w:val="001D5AD9"/>
    <w:rsid w:val="001D5B65"/>
    <w:rsid w:val="001D5D22"/>
    <w:rsid w:val="001D5F05"/>
    <w:rsid w:val="001D61E1"/>
    <w:rsid w:val="001D63ED"/>
    <w:rsid w:val="001D66DC"/>
    <w:rsid w:val="001D6964"/>
    <w:rsid w:val="001D6BC5"/>
    <w:rsid w:val="001D7D52"/>
    <w:rsid w:val="001D7FAA"/>
    <w:rsid w:val="001E0A78"/>
    <w:rsid w:val="001E0B2F"/>
    <w:rsid w:val="001E0F55"/>
    <w:rsid w:val="001E11BF"/>
    <w:rsid w:val="001E150E"/>
    <w:rsid w:val="001E1C80"/>
    <w:rsid w:val="001E1CF5"/>
    <w:rsid w:val="001E2019"/>
    <w:rsid w:val="001E217F"/>
    <w:rsid w:val="001E2221"/>
    <w:rsid w:val="001E23E0"/>
    <w:rsid w:val="001E2655"/>
    <w:rsid w:val="001E2947"/>
    <w:rsid w:val="001E2A9A"/>
    <w:rsid w:val="001E2AA0"/>
    <w:rsid w:val="001E2B27"/>
    <w:rsid w:val="001E2CAF"/>
    <w:rsid w:val="001E38AF"/>
    <w:rsid w:val="001E3D24"/>
    <w:rsid w:val="001E3D25"/>
    <w:rsid w:val="001E3D68"/>
    <w:rsid w:val="001E447D"/>
    <w:rsid w:val="001E47E9"/>
    <w:rsid w:val="001E4A14"/>
    <w:rsid w:val="001E4A86"/>
    <w:rsid w:val="001E4D4C"/>
    <w:rsid w:val="001E5407"/>
    <w:rsid w:val="001E55FC"/>
    <w:rsid w:val="001E5686"/>
    <w:rsid w:val="001E5993"/>
    <w:rsid w:val="001E5C01"/>
    <w:rsid w:val="001E6229"/>
    <w:rsid w:val="001E6E05"/>
    <w:rsid w:val="001E7187"/>
    <w:rsid w:val="001E72F9"/>
    <w:rsid w:val="001E731B"/>
    <w:rsid w:val="001E747A"/>
    <w:rsid w:val="001E77B7"/>
    <w:rsid w:val="001E77DD"/>
    <w:rsid w:val="001E7B50"/>
    <w:rsid w:val="001F07DB"/>
    <w:rsid w:val="001F0B63"/>
    <w:rsid w:val="001F0B9C"/>
    <w:rsid w:val="001F0F8F"/>
    <w:rsid w:val="001F1164"/>
    <w:rsid w:val="001F11AB"/>
    <w:rsid w:val="001F1544"/>
    <w:rsid w:val="001F16AB"/>
    <w:rsid w:val="001F19D4"/>
    <w:rsid w:val="001F1A57"/>
    <w:rsid w:val="001F1A86"/>
    <w:rsid w:val="001F1E22"/>
    <w:rsid w:val="001F1E59"/>
    <w:rsid w:val="001F2134"/>
    <w:rsid w:val="001F2156"/>
    <w:rsid w:val="001F2392"/>
    <w:rsid w:val="001F255B"/>
    <w:rsid w:val="001F25F2"/>
    <w:rsid w:val="001F2623"/>
    <w:rsid w:val="001F2852"/>
    <w:rsid w:val="001F28DC"/>
    <w:rsid w:val="001F2971"/>
    <w:rsid w:val="001F29CF"/>
    <w:rsid w:val="001F29D3"/>
    <w:rsid w:val="001F2B29"/>
    <w:rsid w:val="001F2B3A"/>
    <w:rsid w:val="001F2B87"/>
    <w:rsid w:val="001F2C93"/>
    <w:rsid w:val="001F2D5D"/>
    <w:rsid w:val="001F2DF8"/>
    <w:rsid w:val="001F331A"/>
    <w:rsid w:val="001F3375"/>
    <w:rsid w:val="001F3510"/>
    <w:rsid w:val="001F386C"/>
    <w:rsid w:val="001F3BC8"/>
    <w:rsid w:val="001F3CCB"/>
    <w:rsid w:val="001F4018"/>
    <w:rsid w:val="001F401D"/>
    <w:rsid w:val="001F4106"/>
    <w:rsid w:val="001F4154"/>
    <w:rsid w:val="001F47C9"/>
    <w:rsid w:val="001F48CF"/>
    <w:rsid w:val="001F4966"/>
    <w:rsid w:val="001F4977"/>
    <w:rsid w:val="001F4E1A"/>
    <w:rsid w:val="001F55E1"/>
    <w:rsid w:val="001F5718"/>
    <w:rsid w:val="001F5C87"/>
    <w:rsid w:val="001F5CD8"/>
    <w:rsid w:val="001F5DCA"/>
    <w:rsid w:val="001F5FEA"/>
    <w:rsid w:val="001F6221"/>
    <w:rsid w:val="001F6685"/>
    <w:rsid w:val="001F6910"/>
    <w:rsid w:val="001F6ACD"/>
    <w:rsid w:val="001F6CEF"/>
    <w:rsid w:val="001F6ECF"/>
    <w:rsid w:val="001F7047"/>
    <w:rsid w:val="001F70FF"/>
    <w:rsid w:val="001F736B"/>
    <w:rsid w:val="001F7809"/>
    <w:rsid w:val="001F7C6F"/>
    <w:rsid w:val="001F7C8B"/>
    <w:rsid w:val="001F7EA7"/>
    <w:rsid w:val="001F7F36"/>
    <w:rsid w:val="00201126"/>
    <w:rsid w:val="002011E5"/>
    <w:rsid w:val="00201349"/>
    <w:rsid w:val="0020145E"/>
    <w:rsid w:val="00201DDF"/>
    <w:rsid w:val="00201F1D"/>
    <w:rsid w:val="002020E9"/>
    <w:rsid w:val="002024A2"/>
    <w:rsid w:val="002024C2"/>
    <w:rsid w:val="00202B63"/>
    <w:rsid w:val="00202C1D"/>
    <w:rsid w:val="00203083"/>
    <w:rsid w:val="002035C6"/>
    <w:rsid w:val="00203A2A"/>
    <w:rsid w:val="00203B93"/>
    <w:rsid w:val="00203ECC"/>
    <w:rsid w:val="002041A5"/>
    <w:rsid w:val="0020442A"/>
    <w:rsid w:val="00204819"/>
    <w:rsid w:val="002049AD"/>
    <w:rsid w:val="00204C0B"/>
    <w:rsid w:val="00205219"/>
    <w:rsid w:val="0020524E"/>
    <w:rsid w:val="0020559D"/>
    <w:rsid w:val="0020579A"/>
    <w:rsid w:val="00205A1B"/>
    <w:rsid w:val="00205A88"/>
    <w:rsid w:val="00205C72"/>
    <w:rsid w:val="00205C74"/>
    <w:rsid w:val="00206348"/>
    <w:rsid w:val="002063F5"/>
    <w:rsid w:val="00206CC5"/>
    <w:rsid w:val="00206FBA"/>
    <w:rsid w:val="0020707B"/>
    <w:rsid w:val="0020726B"/>
    <w:rsid w:val="00207421"/>
    <w:rsid w:val="002077A5"/>
    <w:rsid w:val="00207D2F"/>
    <w:rsid w:val="00207F67"/>
    <w:rsid w:val="00210020"/>
    <w:rsid w:val="0021018D"/>
    <w:rsid w:val="002106F0"/>
    <w:rsid w:val="00210B11"/>
    <w:rsid w:val="00210BD0"/>
    <w:rsid w:val="00210D72"/>
    <w:rsid w:val="00210EB4"/>
    <w:rsid w:val="00210F82"/>
    <w:rsid w:val="00211043"/>
    <w:rsid w:val="002110B3"/>
    <w:rsid w:val="00211511"/>
    <w:rsid w:val="0021175B"/>
    <w:rsid w:val="0021199C"/>
    <w:rsid w:val="00211B88"/>
    <w:rsid w:val="00212427"/>
    <w:rsid w:val="00212486"/>
    <w:rsid w:val="002124E5"/>
    <w:rsid w:val="00212502"/>
    <w:rsid w:val="00213085"/>
    <w:rsid w:val="00213141"/>
    <w:rsid w:val="002135CA"/>
    <w:rsid w:val="00213626"/>
    <w:rsid w:val="0021383E"/>
    <w:rsid w:val="00213B53"/>
    <w:rsid w:val="00213D35"/>
    <w:rsid w:val="00213F31"/>
    <w:rsid w:val="0021404B"/>
    <w:rsid w:val="00214860"/>
    <w:rsid w:val="002149B4"/>
    <w:rsid w:val="00214D59"/>
    <w:rsid w:val="002152D2"/>
    <w:rsid w:val="00215719"/>
    <w:rsid w:val="00215746"/>
    <w:rsid w:val="0021575A"/>
    <w:rsid w:val="00215834"/>
    <w:rsid w:val="00215984"/>
    <w:rsid w:val="002159F9"/>
    <w:rsid w:val="00215BBC"/>
    <w:rsid w:val="00215E24"/>
    <w:rsid w:val="002161D4"/>
    <w:rsid w:val="0021639F"/>
    <w:rsid w:val="002163C2"/>
    <w:rsid w:val="002163FE"/>
    <w:rsid w:val="002164EA"/>
    <w:rsid w:val="0021678A"/>
    <w:rsid w:val="002168B1"/>
    <w:rsid w:val="00216AE3"/>
    <w:rsid w:val="00216D5D"/>
    <w:rsid w:val="00217237"/>
    <w:rsid w:val="00217673"/>
    <w:rsid w:val="00217E05"/>
    <w:rsid w:val="00220130"/>
    <w:rsid w:val="00221630"/>
    <w:rsid w:val="00221B5F"/>
    <w:rsid w:val="00221BE5"/>
    <w:rsid w:val="00221C78"/>
    <w:rsid w:val="00222346"/>
    <w:rsid w:val="00222591"/>
    <w:rsid w:val="00222EEC"/>
    <w:rsid w:val="0022348C"/>
    <w:rsid w:val="00223625"/>
    <w:rsid w:val="00223676"/>
    <w:rsid w:val="0022375B"/>
    <w:rsid w:val="0022378A"/>
    <w:rsid w:val="002238C3"/>
    <w:rsid w:val="0022398A"/>
    <w:rsid w:val="00223B92"/>
    <w:rsid w:val="00223C2A"/>
    <w:rsid w:val="00223EAF"/>
    <w:rsid w:val="002242D8"/>
    <w:rsid w:val="002242EB"/>
    <w:rsid w:val="00224302"/>
    <w:rsid w:val="002245AF"/>
    <w:rsid w:val="0022467A"/>
    <w:rsid w:val="002246AF"/>
    <w:rsid w:val="00224A37"/>
    <w:rsid w:val="00224ADA"/>
    <w:rsid w:val="00224B5F"/>
    <w:rsid w:val="00224F4F"/>
    <w:rsid w:val="00225007"/>
    <w:rsid w:val="00225195"/>
    <w:rsid w:val="002253FF"/>
    <w:rsid w:val="0022541A"/>
    <w:rsid w:val="00225837"/>
    <w:rsid w:val="00225FED"/>
    <w:rsid w:val="00226214"/>
    <w:rsid w:val="00226340"/>
    <w:rsid w:val="00227524"/>
    <w:rsid w:val="002277BA"/>
    <w:rsid w:val="002277DD"/>
    <w:rsid w:val="002278E2"/>
    <w:rsid w:val="00227B39"/>
    <w:rsid w:val="00227CD5"/>
    <w:rsid w:val="00227CE1"/>
    <w:rsid w:val="00227F91"/>
    <w:rsid w:val="00230075"/>
    <w:rsid w:val="002301CA"/>
    <w:rsid w:val="0023089D"/>
    <w:rsid w:val="00230A28"/>
    <w:rsid w:val="00230B1F"/>
    <w:rsid w:val="00230ED0"/>
    <w:rsid w:val="002310F6"/>
    <w:rsid w:val="00231190"/>
    <w:rsid w:val="00231477"/>
    <w:rsid w:val="00231845"/>
    <w:rsid w:val="00231E55"/>
    <w:rsid w:val="0023232A"/>
    <w:rsid w:val="00232707"/>
    <w:rsid w:val="0023284B"/>
    <w:rsid w:val="00232A07"/>
    <w:rsid w:val="00232BB6"/>
    <w:rsid w:val="00232FD0"/>
    <w:rsid w:val="00233505"/>
    <w:rsid w:val="00233668"/>
    <w:rsid w:val="00233807"/>
    <w:rsid w:val="0023393B"/>
    <w:rsid w:val="00233C65"/>
    <w:rsid w:val="00233CD9"/>
    <w:rsid w:val="00234EAD"/>
    <w:rsid w:val="00234F6D"/>
    <w:rsid w:val="002351D5"/>
    <w:rsid w:val="00235569"/>
    <w:rsid w:val="00235853"/>
    <w:rsid w:val="00235872"/>
    <w:rsid w:val="002358ED"/>
    <w:rsid w:val="00235B5D"/>
    <w:rsid w:val="00235C72"/>
    <w:rsid w:val="00235DE9"/>
    <w:rsid w:val="002365DE"/>
    <w:rsid w:val="00236986"/>
    <w:rsid w:val="002369D8"/>
    <w:rsid w:val="00236A56"/>
    <w:rsid w:val="00236B28"/>
    <w:rsid w:val="00236BE5"/>
    <w:rsid w:val="00236FA4"/>
    <w:rsid w:val="00237394"/>
    <w:rsid w:val="00237A5D"/>
    <w:rsid w:val="00237A67"/>
    <w:rsid w:val="00237BDF"/>
    <w:rsid w:val="00237E8C"/>
    <w:rsid w:val="00237F6B"/>
    <w:rsid w:val="002405A8"/>
    <w:rsid w:val="00240980"/>
    <w:rsid w:val="00240998"/>
    <w:rsid w:val="002414CF"/>
    <w:rsid w:val="00241944"/>
    <w:rsid w:val="00241B5E"/>
    <w:rsid w:val="00241BA1"/>
    <w:rsid w:val="00241BF4"/>
    <w:rsid w:val="00241C0F"/>
    <w:rsid w:val="00241D10"/>
    <w:rsid w:val="00241D6E"/>
    <w:rsid w:val="00241EAC"/>
    <w:rsid w:val="002420B2"/>
    <w:rsid w:val="0024235C"/>
    <w:rsid w:val="00242505"/>
    <w:rsid w:val="00242756"/>
    <w:rsid w:val="002428BF"/>
    <w:rsid w:val="00242A40"/>
    <w:rsid w:val="002432F3"/>
    <w:rsid w:val="0024346D"/>
    <w:rsid w:val="0024348B"/>
    <w:rsid w:val="00243797"/>
    <w:rsid w:val="00243AC4"/>
    <w:rsid w:val="00243AD9"/>
    <w:rsid w:val="0024414C"/>
    <w:rsid w:val="00244185"/>
    <w:rsid w:val="00244369"/>
    <w:rsid w:val="00244582"/>
    <w:rsid w:val="002445E3"/>
    <w:rsid w:val="00244677"/>
    <w:rsid w:val="0024479A"/>
    <w:rsid w:val="0024495E"/>
    <w:rsid w:val="00245086"/>
    <w:rsid w:val="00245AD5"/>
    <w:rsid w:val="00245E92"/>
    <w:rsid w:val="0024612F"/>
    <w:rsid w:val="002464A2"/>
    <w:rsid w:val="002467E3"/>
    <w:rsid w:val="002468EB"/>
    <w:rsid w:val="00246B37"/>
    <w:rsid w:val="00247899"/>
    <w:rsid w:val="00250612"/>
    <w:rsid w:val="0025089B"/>
    <w:rsid w:val="00250943"/>
    <w:rsid w:val="00250E95"/>
    <w:rsid w:val="0025111F"/>
    <w:rsid w:val="00251434"/>
    <w:rsid w:val="002519A5"/>
    <w:rsid w:val="00251D0E"/>
    <w:rsid w:val="00251FC4"/>
    <w:rsid w:val="0025209B"/>
    <w:rsid w:val="002524D7"/>
    <w:rsid w:val="0025275A"/>
    <w:rsid w:val="00252788"/>
    <w:rsid w:val="00252934"/>
    <w:rsid w:val="00252CA5"/>
    <w:rsid w:val="00252FCB"/>
    <w:rsid w:val="0025319D"/>
    <w:rsid w:val="0025382B"/>
    <w:rsid w:val="00253880"/>
    <w:rsid w:val="00253BB4"/>
    <w:rsid w:val="00253C3B"/>
    <w:rsid w:val="00253D94"/>
    <w:rsid w:val="0025431D"/>
    <w:rsid w:val="00254624"/>
    <w:rsid w:val="00254E8E"/>
    <w:rsid w:val="002553E3"/>
    <w:rsid w:val="00255B03"/>
    <w:rsid w:val="00255FAE"/>
    <w:rsid w:val="0025618F"/>
    <w:rsid w:val="0025624C"/>
    <w:rsid w:val="00256E87"/>
    <w:rsid w:val="00256EE6"/>
    <w:rsid w:val="00256FCD"/>
    <w:rsid w:val="00257164"/>
    <w:rsid w:val="00257708"/>
    <w:rsid w:val="0026009B"/>
    <w:rsid w:val="0026023B"/>
    <w:rsid w:val="002602EB"/>
    <w:rsid w:val="002602FF"/>
    <w:rsid w:val="00260501"/>
    <w:rsid w:val="00260899"/>
    <w:rsid w:val="002609B0"/>
    <w:rsid w:val="002609DB"/>
    <w:rsid w:val="00260C3A"/>
    <w:rsid w:val="00260F3D"/>
    <w:rsid w:val="0026155D"/>
    <w:rsid w:val="0026177D"/>
    <w:rsid w:val="00261ECF"/>
    <w:rsid w:val="00261FF3"/>
    <w:rsid w:val="002620FD"/>
    <w:rsid w:val="00262147"/>
    <w:rsid w:val="00262A98"/>
    <w:rsid w:val="00262DD4"/>
    <w:rsid w:val="00263308"/>
    <w:rsid w:val="00263671"/>
    <w:rsid w:val="00263A2B"/>
    <w:rsid w:val="0026421A"/>
    <w:rsid w:val="00264667"/>
    <w:rsid w:val="0026470E"/>
    <w:rsid w:val="002649F3"/>
    <w:rsid w:val="00264DCA"/>
    <w:rsid w:val="00265017"/>
    <w:rsid w:val="002653A3"/>
    <w:rsid w:val="0026552F"/>
    <w:rsid w:val="002657EF"/>
    <w:rsid w:val="00265A29"/>
    <w:rsid w:val="00265D71"/>
    <w:rsid w:val="0026613E"/>
    <w:rsid w:val="00266BD9"/>
    <w:rsid w:val="00266DE6"/>
    <w:rsid w:val="002672AC"/>
    <w:rsid w:val="0026775D"/>
    <w:rsid w:val="0027041A"/>
    <w:rsid w:val="0027046E"/>
    <w:rsid w:val="002705F5"/>
    <w:rsid w:val="0027078E"/>
    <w:rsid w:val="00270969"/>
    <w:rsid w:val="00270A23"/>
    <w:rsid w:val="00270C1E"/>
    <w:rsid w:val="00271179"/>
    <w:rsid w:val="00271482"/>
    <w:rsid w:val="002719B3"/>
    <w:rsid w:val="00271B87"/>
    <w:rsid w:val="0027206C"/>
    <w:rsid w:val="00272090"/>
    <w:rsid w:val="002721BF"/>
    <w:rsid w:val="0027260F"/>
    <w:rsid w:val="0027262C"/>
    <w:rsid w:val="00272BF7"/>
    <w:rsid w:val="002736A5"/>
    <w:rsid w:val="00273ACA"/>
    <w:rsid w:val="00273DD7"/>
    <w:rsid w:val="00273F6F"/>
    <w:rsid w:val="00274552"/>
    <w:rsid w:val="00274880"/>
    <w:rsid w:val="00274D6F"/>
    <w:rsid w:val="00274F5B"/>
    <w:rsid w:val="00275025"/>
    <w:rsid w:val="00275428"/>
    <w:rsid w:val="00275841"/>
    <w:rsid w:val="00275B4F"/>
    <w:rsid w:val="00275BCA"/>
    <w:rsid w:val="00275D43"/>
    <w:rsid w:val="00275DC7"/>
    <w:rsid w:val="00276327"/>
    <w:rsid w:val="00276410"/>
    <w:rsid w:val="002764F0"/>
    <w:rsid w:val="00276855"/>
    <w:rsid w:val="00276B6C"/>
    <w:rsid w:val="00276BCA"/>
    <w:rsid w:val="00276CC0"/>
    <w:rsid w:val="00276E1C"/>
    <w:rsid w:val="00276EE4"/>
    <w:rsid w:val="00277260"/>
    <w:rsid w:val="002776C8"/>
    <w:rsid w:val="00277720"/>
    <w:rsid w:val="00277770"/>
    <w:rsid w:val="00277818"/>
    <w:rsid w:val="00277A51"/>
    <w:rsid w:val="00280150"/>
    <w:rsid w:val="00280FE5"/>
    <w:rsid w:val="00281762"/>
    <w:rsid w:val="00281A36"/>
    <w:rsid w:val="00282353"/>
    <w:rsid w:val="002823A2"/>
    <w:rsid w:val="002823F0"/>
    <w:rsid w:val="00282898"/>
    <w:rsid w:val="00282A85"/>
    <w:rsid w:val="00282DCC"/>
    <w:rsid w:val="0028302C"/>
    <w:rsid w:val="00283121"/>
    <w:rsid w:val="0028355B"/>
    <w:rsid w:val="002835CF"/>
    <w:rsid w:val="00283B72"/>
    <w:rsid w:val="00283CF9"/>
    <w:rsid w:val="00283D19"/>
    <w:rsid w:val="0028413C"/>
    <w:rsid w:val="00284579"/>
    <w:rsid w:val="002847B3"/>
    <w:rsid w:val="00284C4B"/>
    <w:rsid w:val="00284CF6"/>
    <w:rsid w:val="00285371"/>
    <w:rsid w:val="002855AA"/>
    <w:rsid w:val="00285767"/>
    <w:rsid w:val="00285C10"/>
    <w:rsid w:val="00285D88"/>
    <w:rsid w:val="00285DC7"/>
    <w:rsid w:val="00285FF2"/>
    <w:rsid w:val="0028628C"/>
    <w:rsid w:val="0028634D"/>
    <w:rsid w:val="00286451"/>
    <w:rsid w:val="002867BD"/>
    <w:rsid w:val="002868BF"/>
    <w:rsid w:val="00286C98"/>
    <w:rsid w:val="00286DEE"/>
    <w:rsid w:val="002871EB"/>
    <w:rsid w:val="002871F8"/>
    <w:rsid w:val="00287392"/>
    <w:rsid w:val="00287853"/>
    <w:rsid w:val="00287D90"/>
    <w:rsid w:val="00290BAB"/>
    <w:rsid w:val="00290EAC"/>
    <w:rsid w:val="0029151A"/>
    <w:rsid w:val="00291A85"/>
    <w:rsid w:val="00291F90"/>
    <w:rsid w:val="00292227"/>
    <w:rsid w:val="002923F1"/>
    <w:rsid w:val="00292ACD"/>
    <w:rsid w:val="00292C18"/>
    <w:rsid w:val="00292EDB"/>
    <w:rsid w:val="002930DD"/>
    <w:rsid w:val="00293183"/>
    <w:rsid w:val="002936B6"/>
    <w:rsid w:val="00293985"/>
    <w:rsid w:val="00293CE1"/>
    <w:rsid w:val="0029432A"/>
    <w:rsid w:val="002947FA"/>
    <w:rsid w:val="00294A97"/>
    <w:rsid w:val="00294E76"/>
    <w:rsid w:val="00294EDD"/>
    <w:rsid w:val="0029538B"/>
    <w:rsid w:val="0029542F"/>
    <w:rsid w:val="002955C6"/>
    <w:rsid w:val="00295A06"/>
    <w:rsid w:val="00295AB5"/>
    <w:rsid w:val="00295F4A"/>
    <w:rsid w:val="002961FC"/>
    <w:rsid w:val="00296B7A"/>
    <w:rsid w:val="00296FE5"/>
    <w:rsid w:val="0029719B"/>
    <w:rsid w:val="00297516"/>
    <w:rsid w:val="00297695"/>
    <w:rsid w:val="00297751"/>
    <w:rsid w:val="00297AF5"/>
    <w:rsid w:val="00297F91"/>
    <w:rsid w:val="002A0B93"/>
    <w:rsid w:val="002A0CE6"/>
    <w:rsid w:val="002A11CD"/>
    <w:rsid w:val="002A1365"/>
    <w:rsid w:val="002A1806"/>
    <w:rsid w:val="002A188E"/>
    <w:rsid w:val="002A19CE"/>
    <w:rsid w:val="002A1ACB"/>
    <w:rsid w:val="002A25DE"/>
    <w:rsid w:val="002A2616"/>
    <w:rsid w:val="002A2720"/>
    <w:rsid w:val="002A296F"/>
    <w:rsid w:val="002A3049"/>
    <w:rsid w:val="002A313D"/>
    <w:rsid w:val="002A324C"/>
    <w:rsid w:val="002A390E"/>
    <w:rsid w:val="002A3C6A"/>
    <w:rsid w:val="002A3F9E"/>
    <w:rsid w:val="002A3FBA"/>
    <w:rsid w:val="002A4131"/>
    <w:rsid w:val="002A42DF"/>
    <w:rsid w:val="002A4547"/>
    <w:rsid w:val="002A47AB"/>
    <w:rsid w:val="002A5953"/>
    <w:rsid w:val="002A5D95"/>
    <w:rsid w:val="002A60BA"/>
    <w:rsid w:val="002A6199"/>
    <w:rsid w:val="002A6466"/>
    <w:rsid w:val="002A6708"/>
    <w:rsid w:val="002A685A"/>
    <w:rsid w:val="002A70E8"/>
    <w:rsid w:val="002A7898"/>
    <w:rsid w:val="002A79F6"/>
    <w:rsid w:val="002A7F73"/>
    <w:rsid w:val="002B0384"/>
    <w:rsid w:val="002B0468"/>
    <w:rsid w:val="002B0B8F"/>
    <w:rsid w:val="002B1229"/>
    <w:rsid w:val="002B12ED"/>
    <w:rsid w:val="002B199C"/>
    <w:rsid w:val="002B1B52"/>
    <w:rsid w:val="002B217C"/>
    <w:rsid w:val="002B2461"/>
    <w:rsid w:val="002B2C54"/>
    <w:rsid w:val="002B2CF4"/>
    <w:rsid w:val="002B2D2D"/>
    <w:rsid w:val="002B2E99"/>
    <w:rsid w:val="002B317B"/>
    <w:rsid w:val="002B34D1"/>
    <w:rsid w:val="002B35CD"/>
    <w:rsid w:val="002B3B12"/>
    <w:rsid w:val="002B41AC"/>
    <w:rsid w:val="002B4766"/>
    <w:rsid w:val="002B480C"/>
    <w:rsid w:val="002B4A25"/>
    <w:rsid w:val="002B505F"/>
    <w:rsid w:val="002B50E5"/>
    <w:rsid w:val="002B577F"/>
    <w:rsid w:val="002B589F"/>
    <w:rsid w:val="002B58E6"/>
    <w:rsid w:val="002B5BDA"/>
    <w:rsid w:val="002B5D64"/>
    <w:rsid w:val="002B603B"/>
    <w:rsid w:val="002B62DB"/>
    <w:rsid w:val="002B630A"/>
    <w:rsid w:val="002B659D"/>
    <w:rsid w:val="002B6B0E"/>
    <w:rsid w:val="002B6B13"/>
    <w:rsid w:val="002B7241"/>
    <w:rsid w:val="002B73E9"/>
    <w:rsid w:val="002B7665"/>
    <w:rsid w:val="002C01A9"/>
    <w:rsid w:val="002C036F"/>
    <w:rsid w:val="002C09F5"/>
    <w:rsid w:val="002C0B67"/>
    <w:rsid w:val="002C0F1D"/>
    <w:rsid w:val="002C172A"/>
    <w:rsid w:val="002C1CAA"/>
    <w:rsid w:val="002C1CD1"/>
    <w:rsid w:val="002C2033"/>
    <w:rsid w:val="002C208B"/>
    <w:rsid w:val="002C2110"/>
    <w:rsid w:val="002C2388"/>
    <w:rsid w:val="002C2392"/>
    <w:rsid w:val="002C2598"/>
    <w:rsid w:val="002C3072"/>
    <w:rsid w:val="002C327D"/>
    <w:rsid w:val="002C32E4"/>
    <w:rsid w:val="002C3600"/>
    <w:rsid w:val="002C3BF6"/>
    <w:rsid w:val="002C3C13"/>
    <w:rsid w:val="002C3D2D"/>
    <w:rsid w:val="002C3D3E"/>
    <w:rsid w:val="002C417D"/>
    <w:rsid w:val="002C4686"/>
    <w:rsid w:val="002C492B"/>
    <w:rsid w:val="002C5065"/>
    <w:rsid w:val="002C516C"/>
    <w:rsid w:val="002C5209"/>
    <w:rsid w:val="002C5233"/>
    <w:rsid w:val="002C5279"/>
    <w:rsid w:val="002C539C"/>
    <w:rsid w:val="002C5465"/>
    <w:rsid w:val="002C5FC9"/>
    <w:rsid w:val="002C6180"/>
    <w:rsid w:val="002C628F"/>
    <w:rsid w:val="002C68B6"/>
    <w:rsid w:val="002C73CE"/>
    <w:rsid w:val="002C767F"/>
    <w:rsid w:val="002C78AA"/>
    <w:rsid w:val="002C7AD9"/>
    <w:rsid w:val="002C7F00"/>
    <w:rsid w:val="002D001A"/>
    <w:rsid w:val="002D05A0"/>
    <w:rsid w:val="002D05BA"/>
    <w:rsid w:val="002D081E"/>
    <w:rsid w:val="002D0D14"/>
    <w:rsid w:val="002D0DBC"/>
    <w:rsid w:val="002D0F50"/>
    <w:rsid w:val="002D0FAA"/>
    <w:rsid w:val="002D115A"/>
    <w:rsid w:val="002D1790"/>
    <w:rsid w:val="002D17BE"/>
    <w:rsid w:val="002D193A"/>
    <w:rsid w:val="002D19DB"/>
    <w:rsid w:val="002D1AE2"/>
    <w:rsid w:val="002D22C9"/>
    <w:rsid w:val="002D2647"/>
    <w:rsid w:val="002D2929"/>
    <w:rsid w:val="002D2966"/>
    <w:rsid w:val="002D348A"/>
    <w:rsid w:val="002D3608"/>
    <w:rsid w:val="002D3F88"/>
    <w:rsid w:val="002D427B"/>
    <w:rsid w:val="002D454B"/>
    <w:rsid w:val="002D48A2"/>
    <w:rsid w:val="002D4DBE"/>
    <w:rsid w:val="002D4E9C"/>
    <w:rsid w:val="002D5245"/>
    <w:rsid w:val="002D5297"/>
    <w:rsid w:val="002D55E8"/>
    <w:rsid w:val="002D56C9"/>
    <w:rsid w:val="002D5A5D"/>
    <w:rsid w:val="002D5A86"/>
    <w:rsid w:val="002D5F0B"/>
    <w:rsid w:val="002D60F8"/>
    <w:rsid w:val="002D63B5"/>
    <w:rsid w:val="002D6600"/>
    <w:rsid w:val="002D669C"/>
    <w:rsid w:val="002D6A73"/>
    <w:rsid w:val="002D7923"/>
    <w:rsid w:val="002D79FC"/>
    <w:rsid w:val="002D7BA6"/>
    <w:rsid w:val="002D7D98"/>
    <w:rsid w:val="002D7DFB"/>
    <w:rsid w:val="002E00F8"/>
    <w:rsid w:val="002E010B"/>
    <w:rsid w:val="002E0186"/>
    <w:rsid w:val="002E045E"/>
    <w:rsid w:val="002E0915"/>
    <w:rsid w:val="002E0F66"/>
    <w:rsid w:val="002E13B4"/>
    <w:rsid w:val="002E1513"/>
    <w:rsid w:val="002E1A92"/>
    <w:rsid w:val="002E1DB9"/>
    <w:rsid w:val="002E2899"/>
    <w:rsid w:val="002E28AA"/>
    <w:rsid w:val="002E28B8"/>
    <w:rsid w:val="002E297F"/>
    <w:rsid w:val="002E305D"/>
    <w:rsid w:val="002E31D6"/>
    <w:rsid w:val="002E3337"/>
    <w:rsid w:val="002E3780"/>
    <w:rsid w:val="002E3933"/>
    <w:rsid w:val="002E3B73"/>
    <w:rsid w:val="002E3FC4"/>
    <w:rsid w:val="002E405A"/>
    <w:rsid w:val="002E454E"/>
    <w:rsid w:val="002E4E99"/>
    <w:rsid w:val="002E50F1"/>
    <w:rsid w:val="002E5401"/>
    <w:rsid w:val="002E5C1C"/>
    <w:rsid w:val="002E612B"/>
    <w:rsid w:val="002E6BAF"/>
    <w:rsid w:val="002E6D06"/>
    <w:rsid w:val="002E6F86"/>
    <w:rsid w:val="002E7222"/>
    <w:rsid w:val="002E75B5"/>
    <w:rsid w:val="002E79C3"/>
    <w:rsid w:val="002F004B"/>
    <w:rsid w:val="002F0A0E"/>
    <w:rsid w:val="002F0DDB"/>
    <w:rsid w:val="002F0E6B"/>
    <w:rsid w:val="002F1141"/>
    <w:rsid w:val="002F11E8"/>
    <w:rsid w:val="002F1853"/>
    <w:rsid w:val="002F187A"/>
    <w:rsid w:val="002F2101"/>
    <w:rsid w:val="002F23D6"/>
    <w:rsid w:val="002F25A2"/>
    <w:rsid w:val="002F26C7"/>
    <w:rsid w:val="002F27E1"/>
    <w:rsid w:val="002F2E07"/>
    <w:rsid w:val="002F2E2D"/>
    <w:rsid w:val="002F3A9D"/>
    <w:rsid w:val="002F3AD3"/>
    <w:rsid w:val="002F41A7"/>
    <w:rsid w:val="002F4587"/>
    <w:rsid w:val="002F4C04"/>
    <w:rsid w:val="002F5D93"/>
    <w:rsid w:val="002F5F6D"/>
    <w:rsid w:val="002F5F82"/>
    <w:rsid w:val="002F6009"/>
    <w:rsid w:val="002F610A"/>
    <w:rsid w:val="002F6213"/>
    <w:rsid w:val="002F6304"/>
    <w:rsid w:val="002F63CD"/>
    <w:rsid w:val="002F63E4"/>
    <w:rsid w:val="002F6450"/>
    <w:rsid w:val="002F6D9F"/>
    <w:rsid w:val="003001B5"/>
    <w:rsid w:val="00300535"/>
    <w:rsid w:val="00300556"/>
    <w:rsid w:val="0030055F"/>
    <w:rsid w:val="003009E1"/>
    <w:rsid w:val="00300BFA"/>
    <w:rsid w:val="00300C56"/>
    <w:rsid w:val="00300DF4"/>
    <w:rsid w:val="003010C2"/>
    <w:rsid w:val="00301604"/>
    <w:rsid w:val="0030186E"/>
    <w:rsid w:val="003019C9"/>
    <w:rsid w:val="00301A73"/>
    <w:rsid w:val="00301D73"/>
    <w:rsid w:val="00301FAC"/>
    <w:rsid w:val="00302235"/>
    <w:rsid w:val="00302357"/>
    <w:rsid w:val="0030296D"/>
    <w:rsid w:val="00302C55"/>
    <w:rsid w:val="00302C6B"/>
    <w:rsid w:val="00303235"/>
    <w:rsid w:val="00303286"/>
    <w:rsid w:val="003037A5"/>
    <w:rsid w:val="00303936"/>
    <w:rsid w:val="003039D6"/>
    <w:rsid w:val="00303FA9"/>
    <w:rsid w:val="00304591"/>
    <w:rsid w:val="00304669"/>
    <w:rsid w:val="00304679"/>
    <w:rsid w:val="00305491"/>
    <w:rsid w:val="003060B8"/>
    <w:rsid w:val="0030642C"/>
    <w:rsid w:val="00306495"/>
    <w:rsid w:val="003064CF"/>
    <w:rsid w:val="003067E0"/>
    <w:rsid w:val="0030691F"/>
    <w:rsid w:val="00306A11"/>
    <w:rsid w:val="00307B05"/>
    <w:rsid w:val="00307B75"/>
    <w:rsid w:val="00307D66"/>
    <w:rsid w:val="0031018F"/>
    <w:rsid w:val="00310385"/>
    <w:rsid w:val="0031064E"/>
    <w:rsid w:val="003108C8"/>
    <w:rsid w:val="00310C62"/>
    <w:rsid w:val="00310EC0"/>
    <w:rsid w:val="003110FD"/>
    <w:rsid w:val="00311180"/>
    <w:rsid w:val="00311212"/>
    <w:rsid w:val="003114C5"/>
    <w:rsid w:val="003115F0"/>
    <w:rsid w:val="003116D4"/>
    <w:rsid w:val="00311905"/>
    <w:rsid w:val="0031198F"/>
    <w:rsid w:val="00311A6A"/>
    <w:rsid w:val="00311F09"/>
    <w:rsid w:val="003120D0"/>
    <w:rsid w:val="00313158"/>
    <w:rsid w:val="00313500"/>
    <w:rsid w:val="003138AF"/>
    <w:rsid w:val="003139B0"/>
    <w:rsid w:val="00313B70"/>
    <w:rsid w:val="00313D30"/>
    <w:rsid w:val="003141BD"/>
    <w:rsid w:val="003150C8"/>
    <w:rsid w:val="00315646"/>
    <w:rsid w:val="00315B56"/>
    <w:rsid w:val="00315DE3"/>
    <w:rsid w:val="00316076"/>
    <w:rsid w:val="0031614A"/>
    <w:rsid w:val="00316662"/>
    <w:rsid w:val="003168B3"/>
    <w:rsid w:val="00316969"/>
    <w:rsid w:val="00316A03"/>
    <w:rsid w:val="00316DF9"/>
    <w:rsid w:val="00317116"/>
    <w:rsid w:val="003171BC"/>
    <w:rsid w:val="00317254"/>
    <w:rsid w:val="003175E5"/>
    <w:rsid w:val="00317FB4"/>
    <w:rsid w:val="0032009F"/>
    <w:rsid w:val="00320DE4"/>
    <w:rsid w:val="00320FBB"/>
    <w:rsid w:val="003211D8"/>
    <w:rsid w:val="003214B8"/>
    <w:rsid w:val="00321698"/>
    <w:rsid w:val="00321B78"/>
    <w:rsid w:val="00321FCB"/>
    <w:rsid w:val="003221CF"/>
    <w:rsid w:val="00322435"/>
    <w:rsid w:val="0032272E"/>
    <w:rsid w:val="00322E39"/>
    <w:rsid w:val="00322F1F"/>
    <w:rsid w:val="00323029"/>
    <w:rsid w:val="0032329B"/>
    <w:rsid w:val="003232CC"/>
    <w:rsid w:val="00323348"/>
    <w:rsid w:val="00323C05"/>
    <w:rsid w:val="00323F1A"/>
    <w:rsid w:val="003240B0"/>
    <w:rsid w:val="003240ED"/>
    <w:rsid w:val="00324243"/>
    <w:rsid w:val="00324807"/>
    <w:rsid w:val="00325290"/>
    <w:rsid w:val="0032536A"/>
    <w:rsid w:val="00325815"/>
    <w:rsid w:val="00325B84"/>
    <w:rsid w:val="003261A3"/>
    <w:rsid w:val="00326248"/>
    <w:rsid w:val="00326378"/>
    <w:rsid w:val="0032639C"/>
    <w:rsid w:val="003264AC"/>
    <w:rsid w:val="003265D2"/>
    <w:rsid w:val="00326652"/>
    <w:rsid w:val="003266A2"/>
    <w:rsid w:val="00326891"/>
    <w:rsid w:val="00326B0D"/>
    <w:rsid w:val="003275C5"/>
    <w:rsid w:val="00327B56"/>
    <w:rsid w:val="00327CF7"/>
    <w:rsid w:val="00327DB3"/>
    <w:rsid w:val="00330186"/>
    <w:rsid w:val="003302AB"/>
    <w:rsid w:val="003304AC"/>
    <w:rsid w:val="0033058F"/>
    <w:rsid w:val="00330A60"/>
    <w:rsid w:val="00330F71"/>
    <w:rsid w:val="0033100C"/>
    <w:rsid w:val="003312C0"/>
    <w:rsid w:val="0033132F"/>
    <w:rsid w:val="00331A75"/>
    <w:rsid w:val="00331C13"/>
    <w:rsid w:val="00331C81"/>
    <w:rsid w:val="00331E08"/>
    <w:rsid w:val="00332014"/>
    <w:rsid w:val="00332358"/>
    <w:rsid w:val="00332467"/>
    <w:rsid w:val="003324F3"/>
    <w:rsid w:val="00332826"/>
    <w:rsid w:val="003329D6"/>
    <w:rsid w:val="00332DA2"/>
    <w:rsid w:val="0033364A"/>
    <w:rsid w:val="00333AD4"/>
    <w:rsid w:val="0033489E"/>
    <w:rsid w:val="00334C34"/>
    <w:rsid w:val="00334E97"/>
    <w:rsid w:val="0033550C"/>
    <w:rsid w:val="0033581D"/>
    <w:rsid w:val="00335B54"/>
    <w:rsid w:val="00335CA1"/>
    <w:rsid w:val="003360CE"/>
    <w:rsid w:val="00336355"/>
    <w:rsid w:val="003367B4"/>
    <w:rsid w:val="00336FA8"/>
    <w:rsid w:val="0033708E"/>
    <w:rsid w:val="00337113"/>
    <w:rsid w:val="003372F6"/>
    <w:rsid w:val="00337AA3"/>
    <w:rsid w:val="0034031D"/>
    <w:rsid w:val="003404FE"/>
    <w:rsid w:val="00340CC2"/>
    <w:rsid w:val="0034120B"/>
    <w:rsid w:val="00341840"/>
    <w:rsid w:val="003418B1"/>
    <w:rsid w:val="003418D1"/>
    <w:rsid w:val="00341BC2"/>
    <w:rsid w:val="0034270C"/>
    <w:rsid w:val="003428F8"/>
    <w:rsid w:val="00342E25"/>
    <w:rsid w:val="00342F15"/>
    <w:rsid w:val="00342F52"/>
    <w:rsid w:val="00343062"/>
    <w:rsid w:val="00343168"/>
    <w:rsid w:val="0034317C"/>
    <w:rsid w:val="00343515"/>
    <w:rsid w:val="003435FB"/>
    <w:rsid w:val="00343B28"/>
    <w:rsid w:val="0034428A"/>
    <w:rsid w:val="003448FB"/>
    <w:rsid w:val="00345102"/>
    <w:rsid w:val="003451F3"/>
    <w:rsid w:val="00345265"/>
    <w:rsid w:val="0034533D"/>
    <w:rsid w:val="003454DA"/>
    <w:rsid w:val="00345702"/>
    <w:rsid w:val="00345D06"/>
    <w:rsid w:val="00345DE1"/>
    <w:rsid w:val="00345DF4"/>
    <w:rsid w:val="00345F46"/>
    <w:rsid w:val="00346254"/>
    <w:rsid w:val="003463F1"/>
    <w:rsid w:val="00346497"/>
    <w:rsid w:val="0034682A"/>
    <w:rsid w:val="00346ABA"/>
    <w:rsid w:val="00346B09"/>
    <w:rsid w:val="00346B23"/>
    <w:rsid w:val="00346DCC"/>
    <w:rsid w:val="003470EA"/>
    <w:rsid w:val="00347701"/>
    <w:rsid w:val="00347A24"/>
    <w:rsid w:val="00347BEE"/>
    <w:rsid w:val="00347D63"/>
    <w:rsid w:val="00347DB4"/>
    <w:rsid w:val="00350943"/>
    <w:rsid w:val="00350957"/>
    <w:rsid w:val="00351042"/>
    <w:rsid w:val="00351069"/>
    <w:rsid w:val="003511EF"/>
    <w:rsid w:val="0035186E"/>
    <w:rsid w:val="00351E3C"/>
    <w:rsid w:val="00352015"/>
    <w:rsid w:val="003521C2"/>
    <w:rsid w:val="003524FA"/>
    <w:rsid w:val="0035267C"/>
    <w:rsid w:val="0035268A"/>
    <w:rsid w:val="00352758"/>
    <w:rsid w:val="00352D08"/>
    <w:rsid w:val="0035418E"/>
    <w:rsid w:val="003542CA"/>
    <w:rsid w:val="00354347"/>
    <w:rsid w:val="003545FB"/>
    <w:rsid w:val="0035478C"/>
    <w:rsid w:val="00354DD1"/>
    <w:rsid w:val="00354F7C"/>
    <w:rsid w:val="00355121"/>
    <w:rsid w:val="003554FF"/>
    <w:rsid w:val="003555E5"/>
    <w:rsid w:val="003557BC"/>
    <w:rsid w:val="00355A58"/>
    <w:rsid w:val="00355C06"/>
    <w:rsid w:val="00355F60"/>
    <w:rsid w:val="003560FB"/>
    <w:rsid w:val="003561FA"/>
    <w:rsid w:val="003567EB"/>
    <w:rsid w:val="00356838"/>
    <w:rsid w:val="00356860"/>
    <w:rsid w:val="0035692F"/>
    <w:rsid w:val="00356B59"/>
    <w:rsid w:val="00356B6F"/>
    <w:rsid w:val="00356D50"/>
    <w:rsid w:val="003570B4"/>
    <w:rsid w:val="0035759C"/>
    <w:rsid w:val="003603AF"/>
    <w:rsid w:val="00360690"/>
    <w:rsid w:val="00361375"/>
    <w:rsid w:val="0036147C"/>
    <w:rsid w:val="00361F95"/>
    <w:rsid w:val="00362146"/>
    <w:rsid w:val="0036251E"/>
    <w:rsid w:val="00362707"/>
    <w:rsid w:val="00362806"/>
    <w:rsid w:val="00362910"/>
    <w:rsid w:val="003629A3"/>
    <w:rsid w:val="003629B3"/>
    <w:rsid w:val="00362F91"/>
    <w:rsid w:val="00363101"/>
    <w:rsid w:val="003633B5"/>
    <w:rsid w:val="00363989"/>
    <w:rsid w:val="003639E0"/>
    <w:rsid w:val="00363C19"/>
    <w:rsid w:val="00363CC5"/>
    <w:rsid w:val="0036424A"/>
    <w:rsid w:val="0036428E"/>
    <w:rsid w:val="00364704"/>
    <w:rsid w:val="00364AA9"/>
    <w:rsid w:val="00365167"/>
    <w:rsid w:val="0036581C"/>
    <w:rsid w:val="00365ADF"/>
    <w:rsid w:val="00365C51"/>
    <w:rsid w:val="00365DBE"/>
    <w:rsid w:val="003671A9"/>
    <w:rsid w:val="00367384"/>
    <w:rsid w:val="00367465"/>
    <w:rsid w:val="0036789C"/>
    <w:rsid w:val="00367B68"/>
    <w:rsid w:val="00367BE3"/>
    <w:rsid w:val="00367F13"/>
    <w:rsid w:val="00370198"/>
    <w:rsid w:val="00370395"/>
    <w:rsid w:val="00370980"/>
    <w:rsid w:val="00370C00"/>
    <w:rsid w:val="00370D7C"/>
    <w:rsid w:val="0037114C"/>
    <w:rsid w:val="003711FF"/>
    <w:rsid w:val="00371675"/>
    <w:rsid w:val="003719BB"/>
    <w:rsid w:val="00371C83"/>
    <w:rsid w:val="0037211E"/>
    <w:rsid w:val="003736ED"/>
    <w:rsid w:val="003739B8"/>
    <w:rsid w:val="00373ABC"/>
    <w:rsid w:val="00373E6D"/>
    <w:rsid w:val="00373F6F"/>
    <w:rsid w:val="0037404D"/>
    <w:rsid w:val="0037416C"/>
    <w:rsid w:val="003744C3"/>
    <w:rsid w:val="0037477F"/>
    <w:rsid w:val="00374C6E"/>
    <w:rsid w:val="00374D98"/>
    <w:rsid w:val="00374EE4"/>
    <w:rsid w:val="00375154"/>
    <w:rsid w:val="003752D8"/>
    <w:rsid w:val="0037543C"/>
    <w:rsid w:val="003754EB"/>
    <w:rsid w:val="0037552E"/>
    <w:rsid w:val="00375865"/>
    <w:rsid w:val="00375B6E"/>
    <w:rsid w:val="00375EA8"/>
    <w:rsid w:val="003760A9"/>
    <w:rsid w:val="00376148"/>
    <w:rsid w:val="00376C81"/>
    <w:rsid w:val="00376EA2"/>
    <w:rsid w:val="00377026"/>
    <w:rsid w:val="00377391"/>
    <w:rsid w:val="003774D3"/>
    <w:rsid w:val="0037788C"/>
    <w:rsid w:val="003800D1"/>
    <w:rsid w:val="0038015D"/>
    <w:rsid w:val="003801BC"/>
    <w:rsid w:val="003802AD"/>
    <w:rsid w:val="00380AF0"/>
    <w:rsid w:val="00380CD9"/>
    <w:rsid w:val="00381241"/>
    <w:rsid w:val="003813E1"/>
    <w:rsid w:val="003820AC"/>
    <w:rsid w:val="003821F4"/>
    <w:rsid w:val="0038229A"/>
    <w:rsid w:val="00382D63"/>
    <w:rsid w:val="0038304F"/>
    <w:rsid w:val="00383141"/>
    <w:rsid w:val="003836C8"/>
    <w:rsid w:val="00383E70"/>
    <w:rsid w:val="00383EB0"/>
    <w:rsid w:val="00383EC2"/>
    <w:rsid w:val="00384027"/>
    <w:rsid w:val="00384372"/>
    <w:rsid w:val="00384598"/>
    <w:rsid w:val="0038482B"/>
    <w:rsid w:val="00384A2B"/>
    <w:rsid w:val="00384C4D"/>
    <w:rsid w:val="00384D20"/>
    <w:rsid w:val="00385203"/>
    <w:rsid w:val="003854FB"/>
    <w:rsid w:val="00385522"/>
    <w:rsid w:val="00385875"/>
    <w:rsid w:val="003858D6"/>
    <w:rsid w:val="00385F00"/>
    <w:rsid w:val="0038614E"/>
    <w:rsid w:val="0038617D"/>
    <w:rsid w:val="00386590"/>
    <w:rsid w:val="0038674B"/>
    <w:rsid w:val="00386A1C"/>
    <w:rsid w:val="00386AE8"/>
    <w:rsid w:val="00386F17"/>
    <w:rsid w:val="00386F41"/>
    <w:rsid w:val="00387050"/>
    <w:rsid w:val="003874A2"/>
    <w:rsid w:val="00387814"/>
    <w:rsid w:val="00387953"/>
    <w:rsid w:val="00387C44"/>
    <w:rsid w:val="00387F63"/>
    <w:rsid w:val="003906D6"/>
    <w:rsid w:val="00390792"/>
    <w:rsid w:val="00390C0E"/>
    <w:rsid w:val="00390D1B"/>
    <w:rsid w:val="00391043"/>
    <w:rsid w:val="003910B9"/>
    <w:rsid w:val="00391140"/>
    <w:rsid w:val="00391896"/>
    <w:rsid w:val="00391BD0"/>
    <w:rsid w:val="003925A7"/>
    <w:rsid w:val="00392963"/>
    <w:rsid w:val="00392D70"/>
    <w:rsid w:val="00393244"/>
    <w:rsid w:val="003934C3"/>
    <w:rsid w:val="0039361D"/>
    <w:rsid w:val="003936DD"/>
    <w:rsid w:val="00393927"/>
    <w:rsid w:val="00393E41"/>
    <w:rsid w:val="003940B5"/>
    <w:rsid w:val="00394E03"/>
    <w:rsid w:val="00394EBA"/>
    <w:rsid w:val="003952FF"/>
    <w:rsid w:val="00395405"/>
    <w:rsid w:val="0039543A"/>
    <w:rsid w:val="003956EA"/>
    <w:rsid w:val="00395EF6"/>
    <w:rsid w:val="00395FC0"/>
    <w:rsid w:val="00396067"/>
    <w:rsid w:val="0039637C"/>
    <w:rsid w:val="0039638F"/>
    <w:rsid w:val="003963B8"/>
    <w:rsid w:val="003965C6"/>
    <w:rsid w:val="00396672"/>
    <w:rsid w:val="0039696C"/>
    <w:rsid w:val="00396DFC"/>
    <w:rsid w:val="00396F56"/>
    <w:rsid w:val="00396F84"/>
    <w:rsid w:val="00397132"/>
    <w:rsid w:val="00397154"/>
    <w:rsid w:val="0039794E"/>
    <w:rsid w:val="003A00F7"/>
    <w:rsid w:val="003A01B6"/>
    <w:rsid w:val="003A0506"/>
    <w:rsid w:val="003A0851"/>
    <w:rsid w:val="003A0DBD"/>
    <w:rsid w:val="003A0E55"/>
    <w:rsid w:val="003A100D"/>
    <w:rsid w:val="003A1095"/>
    <w:rsid w:val="003A1373"/>
    <w:rsid w:val="003A156C"/>
    <w:rsid w:val="003A18A8"/>
    <w:rsid w:val="003A2284"/>
    <w:rsid w:val="003A238F"/>
    <w:rsid w:val="003A23AE"/>
    <w:rsid w:val="003A24BA"/>
    <w:rsid w:val="003A26DB"/>
    <w:rsid w:val="003A2B20"/>
    <w:rsid w:val="003A3116"/>
    <w:rsid w:val="003A3147"/>
    <w:rsid w:val="003A331C"/>
    <w:rsid w:val="003A3556"/>
    <w:rsid w:val="003A35FF"/>
    <w:rsid w:val="003A3887"/>
    <w:rsid w:val="003A3AEC"/>
    <w:rsid w:val="003A3C13"/>
    <w:rsid w:val="003A424D"/>
    <w:rsid w:val="003A48FB"/>
    <w:rsid w:val="003A4D2E"/>
    <w:rsid w:val="003A51AD"/>
    <w:rsid w:val="003A51D6"/>
    <w:rsid w:val="003A6368"/>
    <w:rsid w:val="003A6555"/>
    <w:rsid w:val="003A67BA"/>
    <w:rsid w:val="003A6A68"/>
    <w:rsid w:val="003A6BEB"/>
    <w:rsid w:val="003A6C38"/>
    <w:rsid w:val="003A72ED"/>
    <w:rsid w:val="003A7520"/>
    <w:rsid w:val="003A7608"/>
    <w:rsid w:val="003A789B"/>
    <w:rsid w:val="003A7EF2"/>
    <w:rsid w:val="003A7FBD"/>
    <w:rsid w:val="003B00CB"/>
    <w:rsid w:val="003B03B3"/>
    <w:rsid w:val="003B0A63"/>
    <w:rsid w:val="003B11ED"/>
    <w:rsid w:val="003B12AF"/>
    <w:rsid w:val="003B137D"/>
    <w:rsid w:val="003B1417"/>
    <w:rsid w:val="003B1EC5"/>
    <w:rsid w:val="003B1F79"/>
    <w:rsid w:val="003B2670"/>
    <w:rsid w:val="003B2A6C"/>
    <w:rsid w:val="003B2D02"/>
    <w:rsid w:val="003B2EEA"/>
    <w:rsid w:val="003B2EEF"/>
    <w:rsid w:val="003B3047"/>
    <w:rsid w:val="003B30B6"/>
    <w:rsid w:val="003B30E2"/>
    <w:rsid w:val="003B3502"/>
    <w:rsid w:val="003B365C"/>
    <w:rsid w:val="003B3D5B"/>
    <w:rsid w:val="003B3D99"/>
    <w:rsid w:val="003B41D1"/>
    <w:rsid w:val="003B43F6"/>
    <w:rsid w:val="003B4942"/>
    <w:rsid w:val="003B4C86"/>
    <w:rsid w:val="003B5232"/>
    <w:rsid w:val="003B526F"/>
    <w:rsid w:val="003B5876"/>
    <w:rsid w:val="003B58FE"/>
    <w:rsid w:val="003B59A5"/>
    <w:rsid w:val="003B5B5B"/>
    <w:rsid w:val="003B5DDE"/>
    <w:rsid w:val="003B609D"/>
    <w:rsid w:val="003B6B83"/>
    <w:rsid w:val="003B7470"/>
    <w:rsid w:val="003B772D"/>
    <w:rsid w:val="003B7F7F"/>
    <w:rsid w:val="003C0255"/>
    <w:rsid w:val="003C0266"/>
    <w:rsid w:val="003C0741"/>
    <w:rsid w:val="003C0D4F"/>
    <w:rsid w:val="003C0E93"/>
    <w:rsid w:val="003C1EB2"/>
    <w:rsid w:val="003C22AE"/>
    <w:rsid w:val="003C27E7"/>
    <w:rsid w:val="003C2857"/>
    <w:rsid w:val="003C2B3D"/>
    <w:rsid w:val="003C30D5"/>
    <w:rsid w:val="003C3306"/>
    <w:rsid w:val="003C36A2"/>
    <w:rsid w:val="003C3799"/>
    <w:rsid w:val="003C38E7"/>
    <w:rsid w:val="003C41EB"/>
    <w:rsid w:val="003C42DA"/>
    <w:rsid w:val="003C42F0"/>
    <w:rsid w:val="003C4329"/>
    <w:rsid w:val="003C450E"/>
    <w:rsid w:val="003C49D7"/>
    <w:rsid w:val="003C4A9E"/>
    <w:rsid w:val="003C4DB1"/>
    <w:rsid w:val="003C5762"/>
    <w:rsid w:val="003C5824"/>
    <w:rsid w:val="003C582B"/>
    <w:rsid w:val="003C5A69"/>
    <w:rsid w:val="003C5BF4"/>
    <w:rsid w:val="003C5EA3"/>
    <w:rsid w:val="003C5F19"/>
    <w:rsid w:val="003C632B"/>
    <w:rsid w:val="003C70AD"/>
    <w:rsid w:val="003C70FE"/>
    <w:rsid w:val="003C76E6"/>
    <w:rsid w:val="003C79F1"/>
    <w:rsid w:val="003C7B8A"/>
    <w:rsid w:val="003D0203"/>
    <w:rsid w:val="003D0337"/>
    <w:rsid w:val="003D0649"/>
    <w:rsid w:val="003D06CF"/>
    <w:rsid w:val="003D0876"/>
    <w:rsid w:val="003D0ACE"/>
    <w:rsid w:val="003D114A"/>
    <w:rsid w:val="003D119C"/>
    <w:rsid w:val="003D134E"/>
    <w:rsid w:val="003D141A"/>
    <w:rsid w:val="003D15F9"/>
    <w:rsid w:val="003D16B6"/>
    <w:rsid w:val="003D1BF2"/>
    <w:rsid w:val="003D20AF"/>
    <w:rsid w:val="003D20EA"/>
    <w:rsid w:val="003D2107"/>
    <w:rsid w:val="003D25AB"/>
    <w:rsid w:val="003D28BD"/>
    <w:rsid w:val="003D2CA6"/>
    <w:rsid w:val="003D2DBC"/>
    <w:rsid w:val="003D3854"/>
    <w:rsid w:val="003D3A10"/>
    <w:rsid w:val="003D3ACE"/>
    <w:rsid w:val="003D3ADB"/>
    <w:rsid w:val="003D444E"/>
    <w:rsid w:val="003D4616"/>
    <w:rsid w:val="003D4C27"/>
    <w:rsid w:val="003D4C9A"/>
    <w:rsid w:val="003D4D8D"/>
    <w:rsid w:val="003D5599"/>
    <w:rsid w:val="003D55F7"/>
    <w:rsid w:val="003D5795"/>
    <w:rsid w:val="003D594F"/>
    <w:rsid w:val="003D59D9"/>
    <w:rsid w:val="003D5A7F"/>
    <w:rsid w:val="003D6544"/>
    <w:rsid w:val="003D66DA"/>
    <w:rsid w:val="003D6738"/>
    <w:rsid w:val="003D67CB"/>
    <w:rsid w:val="003D6A99"/>
    <w:rsid w:val="003D6BA8"/>
    <w:rsid w:val="003D6C0F"/>
    <w:rsid w:val="003D6E72"/>
    <w:rsid w:val="003D738E"/>
    <w:rsid w:val="003D75FE"/>
    <w:rsid w:val="003D7749"/>
    <w:rsid w:val="003D7920"/>
    <w:rsid w:val="003D7B14"/>
    <w:rsid w:val="003D7C63"/>
    <w:rsid w:val="003D7D33"/>
    <w:rsid w:val="003E0363"/>
    <w:rsid w:val="003E0397"/>
    <w:rsid w:val="003E0740"/>
    <w:rsid w:val="003E0C4B"/>
    <w:rsid w:val="003E10E8"/>
    <w:rsid w:val="003E1281"/>
    <w:rsid w:val="003E1362"/>
    <w:rsid w:val="003E13F1"/>
    <w:rsid w:val="003E1549"/>
    <w:rsid w:val="003E175F"/>
    <w:rsid w:val="003E198E"/>
    <w:rsid w:val="003E19BE"/>
    <w:rsid w:val="003E2253"/>
    <w:rsid w:val="003E25B6"/>
    <w:rsid w:val="003E2A75"/>
    <w:rsid w:val="003E2B2F"/>
    <w:rsid w:val="003E2C56"/>
    <w:rsid w:val="003E2CE0"/>
    <w:rsid w:val="003E3054"/>
    <w:rsid w:val="003E3471"/>
    <w:rsid w:val="003E367E"/>
    <w:rsid w:val="003E3856"/>
    <w:rsid w:val="003E3893"/>
    <w:rsid w:val="003E3989"/>
    <w:rsid w:val="003E3A99"/>
    <w:rsid w:val="003E3BD8"/>
    <w:rsid w:val="003E476A"/>
    <w:rsid w:val="003E4B85"/>
    <w:rsid w:val="003E6248"/>
    <w:rsid w:val="003E663A"/>
    <w:rsid w:val="003E663B"/>
    <w:rsid w:val="003E7198"/>
    <w:rsid w:val="003E7727"/>
    <w:rsid w:val="003E7AB3"/>
    <w:rsid w:val="003F001D"/>
    <w:rsid w:val="003F00E4"/>
    <w:rsid w:val="003F0273"/>
    <w:rsid w:val="003F0283"/>
    <w:rsid w:val="003F057A"/>
    <w:rsid w:val="003F057C"/>
    <w:rsid w:val="003F09AC"/>
    <w:rsid w:val="003F0B5E"/>
    <w:rsid w:val="003F0B94"/>
    <w:rsid w:val="003F0F62"/>
    <w:rsid w:val="003F0FAF"/>
    <w:rsid w:val="003F0FB2"/>
    <w:rsid w:val="003F12C3"/>
    <w:rsid w:val="003F1305"/>
    <w:rsid w:val="003F1F95"/>
    <w:rsid w:val="003F2158"/>
    <w:rsid w:val="003F21F8"/>
    <w:rsid w:val="003F26CB"/>
    <w:rsid w:val="003F2707"/>
    <w:rsid w:val="003F29F7"/>
    <w:rsid w:val="003F2A4B"/>
    <w:rsid w:val="003F2AFF"/>
    <w:rsid w:val="003F3140"/>
    <w:rsid w:val="003F319C"/>
    <w:rsid w:val="003F3335"/>
    <w:rsid w:val="003F3657"/>
    <w:rsid w:val="003F3B74"/>
    <w:rsid w:val="003F3B98"/>
    <w:rsid w:val="003F4644"/>
    <w:rsid w:val="003F46E3"/>
    <w:rsid w:val="003F4833"/>
    <w:rsid w:val="003F4B27"/>
    <w:rsid w:val="003F598C"/>
    <w:rsid w:val="003F5AAC"/>
    <w:rsid w:val="003F5D08"/>
    <w:rsid w:val="003F5EDD"/>
    <w:rsid w:val="003F5FA9"/>
    <w:rsid w:val="003F6401"/>
    <w:rsid w:val="003F66A8"/>
    <w:rsid w:val="003F6FE3"/>
    <w:rsid w:val="003F711D"/>
    <w:rsid w:val="003F7912"/>
    <w:rsid w:val="003F7C4B"/>
    <w:rsid w:val="003F7DEC"/>
    <w:rsid w:val="00400515"/>
    <w:rsid w:val="0040124D"/>
    <w:rsid w:val="004013E9"/>
    <w:rsid w:val="004014BB"/>
    <w:rsid w:val="00401742"/>
    <w:rsid w:val="00401D34"/>
    <w:rsid w:val="00401F61"/>
    <w:rsid w:val="00401F9A"/>
    <w:rsid w:val="00402097"/>
    <w:rsid w:val="00402293"/>
    <w:rsid w:val="004022E7"/>
    <w:rsid w:val="004028D2"/>
    <w:rsid w:val="00402931"/>
    <w:rsid w:val="00402989"/>
    <w:rsid w:val="00402BA3"/>
    <w:rsid w:val="00402C71"/>
    <w:rsid w:val="00403056"/>
    <w:rsid w:val="00403539"/>
    <w:rsid w:val="00403918"/>
    <w:rsid w:val="004039FE"/>
    <w:rsid w:val="00403A3F"/>
    <w:rsid w:val="00403AC3"/>
    <w:rsid w:val="00403BA6"/>
    <w:rsid w:val="00403C62"/>
    <w:rsid w:val="00403C95"/>
    <w:rsid w:val="00403CA5"/>
    <w:rsid w:val="0040401C"/>
    <w:rsid w:val="0040424E"/>
    <w:rsid w:val="004046B5"/>
    <w:rsid w:val="00404AA8"/>
    <w:rsid w:val="00404B3C"/>
    <w:rsid w:val="00404C32"/>
    <w:rsid w:val="00404C64"/>
    <w:rsid w:val="00404E54"/>
    <w:rsid w:val="00405841"/>
    <w:rsid w:val="00405871"/>
    <w:rsid w:val="00405B03"/>
    <w:rsid w:val="00406184"/>
    <w:rsid w:val="00406779"/>
    <w:rsid w:val="00406B56"/>
    <w:rsid w:val="00406BD5"/>
    <w:rsid w:val="00407092"/>
    <w:rsid w:val="004072A0"/>
    <w:rsid w:val="00407F43"/>
    <w:rsid w:val="004102D6"/>
    <w:rsid w:val="00410403"/>
    <w:rsid w:val="00410626"/>
    <w:rsid w:val="00410843"/>
    <w:rsid w:val="00410BD6"/>
    <w:rsid w:val="00410F88"/>
    <w:rsid w:val="00411437"/>
    <w:rsid w:val="00411830"/>
    <w:rsid w:val="0041184E"/>
    <w:rsid w:val="00411C77"/>
    <w:rsid w:val="00411EA7"/>
    <w:rsid w:val="00411EB0"/>
    <w:rsid w:val="0041200A"/>
    <w:rsid w:val="0041259C"/>
    <w:rsid w:val="00412934"/>
    <w:rsid w:val="00412DA6"/>
    <w:rsid w:val="0041342F"/>
    <w:rsid w:val="00413464"/>
    <w:rsid w:val="00413740"/>
    <w:rsid w:val="00414098"/>
    <w:rsid w:val="00414635"/>
    <w:rsid w:val="00414A47"/>
    <w:rsid w:val="00414BF2"/>
    <w:rsid w:val="0041525C"/>
    <w:rsid w:val="004153C9"/>
    <w:rsid w:val="004157C1"/>
    <w:rsid w:val="00415FA5"/>
    <w:rsid w:val="00416006"/>
    <w:rsid w:val="004161BE"/>
    <w:rsid w:val="0041626E"/>
    <w:rsid w:val="00416451"/>
    <w:rsid w:val="00416680"/>
    <w:rsid w:val="00416DE7"/>
    <w:rsid w:val="00416EE9"/>
    <w:rsid w:val="00417378"/>
    <w:rsid w:val="00420F7A"/>
    <w:rsid w:val="00421201"/>
    <w:rsid w:val="004214D4"/>
    <w:rsid w:val="00421CB8"/>
    <w:rsid w:val="00421D87"/>
    <w:rsid w:val="00422120"/>
    <w:rsid w:val="0042267A"/>
    <w:rsid w:val="00422799"/>
    <w:rsid w:val="004228C8"/>
    <w:rsid w:val="00422A08"/>
    <w:rsid w:val="00422C8F"/>
    <w:rsid w:val="00422D02"/>
    <w:rsid w:val="00424315"/>
    <w:rsid w:val="00424BD2"/>
    <w:rsid w:val="00424D91"/>
    <w:rsid w:val="00424E08"/>
    <w:rsid w:val="00424E22"/>
    <w:rsid w:val="004250A6"/>
    <w:rsid w:val="00425229"/>
    <w:rsid w:val="00425E77"/>
    <w:rsid w:val="0042660D"/>
    <w:rsid w:val="00426B07"/>
    <w:rsid w:val="00426BEF"/>
    <w:rsid w:val="0042731A"/>
    <w:rsid w:val="00427D4D"/>
    <w:rsid w:val="00427D90"/>
    <w:rsid w:val="00430492"/>
    <w:rsid w:val="004308BA"/>
    <w:rsid w:val="004309E3"/>
    <w:rsid w:val="00430DCE"/>
    <w:rsid w:val="00431055"/>
    <w:rsid w:val="0043108E"/>
    <w:rsid w:val="00431103"/>
    <w:rsid w:val="004312D4"/>
    <w:rsid w:val="00431362"/>
    <w:rsid w:val="00431456"/>
    <w:rsid w:val="00431582"/>
    <w:rsid w:val="00431753"/>
    <w:rsid w:val="00431990"/>
    <w:rsid w:val="00431CC4"/>
    <w:rsid w:val="00431E34"/>
    <w:rsid w:val="004324F6"/>
    <w:rsid w:val="004326CE"/>
    <w:rsid w:val="00432AAA"/>
    <w:rsid w:val="00432E01"/>
    <w:rsid w:val="00433795"/>
    <w:rsid w:val="00433C4A"/>
    <w:rsid w:val="00434159"/>
    <w:rsid w:val="004348A0"/>
    <w:rsid w:val="00434944"/>
    <w:rsid w:val="004349C9"/>
    <w:rsid w:val="00434B09"/>
    <w:rsid w:val="00434BEA"/>
    <w:rsid w:val="00434C19"/>
    <w:rsid w:val="00434D79"/>
    <w:rsid w:val="00434F44"/>
    <w:rsid w:val="0043512A"/>
    <w:rsid w:val="0043523B"/>
    <w:rsid w:val="0043549F"/>
    <w:rsid w:val="0043570E"/>
    <w:rsid w:val="00435A6C"/>
    <w:rsid w:val="00435D4D"/>
    <w:rsid w:val="00436770"/>
    <w:rsid w:val="004367C2"/>
    <w:rsid w:val="00436DEF"/>
    <w:rsid w:val="00436E6D"/>
    <w:rsid w:val="00436E70"/>
    <w:rsid w:val="00436FAF"/>
    <w:rsid w:val="00437189"/>
    <w:rsid w:val="004372CF"/>
    <w:rsid w:val="00437389"/>
    <w:rsid w:val="00437801"/>
    <w:rsid w:val="00437C1C"/>
    <w:rsid w:val="00437CB1"/>
    <w:rsid w:val="0043C47A"/>
    <w:rsid w:val="00440229"/>
    <w:rsid w:val="004404F5"/>
    <w:rsid w:val="004405C3"/>
    <w:rsid w:val="004406AB"/>
    <w:rsid w:val="004407C6"/>
    <w:rsid w:val="00440A13"/>
    <w:rsid w:val="00440E16"/>
    <w:rsid w:val="0044138C"/>
    <w:rsid w:val="00441586"/>
    <w:rsid w:val="00441671"/>
    <w:rsid w:val="00441B1F"/>
    <w:rsid w:val="00441FFD"/>
    <w:rsid w:val="004421B5"/>
    <w:rsid w:val="0044230D"/>
    <w:rsid w:val="0044260B"/>
    <w:rsid w:val="00442708"/>
    <w:rsid w:val="00443035"/>
    <w:rsid w:val="00443060"/>
    <w:rsid w:val="0044372D"/>
    <w:rsid w:val="0044390C"/>
    <w:rsid w:val="00443BC1"/>
    <w:rsid w:val="00443C4E"/>
    <w:rsid w:val="004441BF"/>
    <w:rsid w:val="00444A9D"/>
    <w:rsid w:val="00444AB0"/>
    <w:rsid w:val="00444BDE"/>
    <w:rsid w:val="00444D97"/>
    <w:rsid w:val="00444EEB"/>
    <w:rsid w:val="004455AA"/>
    <w:rsid w:val="0044580D"/>
    <w:rsid w:val="00445AE2"/>
    <w:rsid w:val="00445F18"/>
    <w:rsid w:val="004460B2"/>
    <w:rsid w:val="004462D5"/>
    <w:rsid w:val="004462F1"/>
    <w:rsid w:val="00446539"/>
    <w:rsid w:val="004465A1"/>
    <w:rsid w:val="004468B6"/>
    <w:rsid w:val="00446C29"/>
    <w:rsid w:val="00446F9C"/>
    <w:rsid w:val="00446FA2"/>
    <w:rsid w:val="004470E6"/>
    <w:rsid w:val="00447715"/>
    <w:rsid w:val="0044789C"/>
    <w:rsid w:val="00447A97"/>
    <w:rsid w:val="00447C86"/>
    <w:rsid w:val="004501C4"/>
    <w:rsid w:val="0045025F"/>
    <w:rsid w:val="00450337"/>
    <w:rsid w:val="00450619"/>
    <w:rsid w:val="00450877"/>
    <w:rsid w:val="00450898"/>
    <w:rsid w:val="00450A6A"/>
    <w:rsid w:val="00450A7D"/>
    <w:rsid w:val="00450B39"/>
    <w:rsid w:val="0045105F"/>
    <w:rsid w:val="004516F0"/>
    <w:rsid w:val="004518BA"/>
    <w:rsid w:val="00451971"/>
    <w:rsid w:val="004525A9"/>
    <w:rsid w:val="0045260E"/>
    <w:rsid w:val="00452811"/>
    <w:rsid w:val="00452820"/>
    <w:rsid w:val="0045298F"/>
    <w:rsid w:val="00452A18"/>
    <w:rsid w:val="00452FAE"/>
    <w:rsid w:val="004531B6"/>
    <w:rsid w:val="00453493"/>
    <w:rsid w:val="0045361E"/>
    <w:rsid w:val="00453726"/>
    <w:rsid w:val="004540EB"/>
    <w:rsid w:val="00454425"/>
    <w:rsid w:val="0045477A"/>
    <w:rsid w:val="004547DF"/>
    <w:rsid w:val="0045492E"/>
    <w:rsid w:val="00455B6F"/>
    <w:rsid w:val="00455D29"/>
    <w:rsid w:val="00456301"/>
    <w:rsid w:val="00456B84"/>
    <w:rsid w:val="00456BE1"/>
    <w:rsid w:val="00456E1E"/>
    <w:rsid w:val="00456E24"/>
    <w:rsid w:val="00457101"/>
    <w:rsid w:val="004572FA"/>
    <w:rsid w:val="004579E2"/>
    <w:rsid w:val="00457C8F"/>
    <w:rsid w:val="00457CF9"/>
    <w:rsid w:val="004604A6"/>
    <w:rsid w:val="004608F7"/>
    <w:rsid w:val="00460958"/>
    <w:rsid w:val="00460F15"/>
    <w:rsid w:val="004611CC"/>
    <w:rsid w:val="004616B0"/>
    <w:rsid w:val="004619A4"/>
    <w:rsid w:val="00461C65"/>
    <w:rsid w:val="00461D1F"/>
    <w:rsid w:val="004622C7"/>
    <w:rsid w:val="004625A6"/>
    <w:rsid w:val="004627EE"/>
    <w:rsid w:val="004628B3"/>
    <w:rsid w:val="00462F30"/>
    <w:rsid w:val="0046311F"/>
    <w:rsid w:val="00463885"/>
    <w:rsid w:val="0046390C"/>
    <w:rsid w:val="00463D83"/>
    <w:rsid w:val="004640A2"/>
    <w:rsid w:val="0046449A"/>
    <w:rsid w:val="00464BFD"/>
    <w:rsid w:val="00464CBC"/>
    <w:rsid w:val="00465497"/>
    <w:rsid w:val="004656E1"/>
    <w:rsid w:val="0046586A"/>
    <w:rsid w:val="00465F0A"/>
    <w:rsid w:val="00465F79"/>
    <w:rsid w:val="00466042"/>
    <w:rsid w:val="004661AC"/>
    <w:rsid w:val="004669CF"/>
    <w:rsid w:val="00466EBC"/>
    <w:rsid w:val="00466FDA"/>
    <w:rsid w:val="00467047"/>
    <w:rsid w:val="0047000C"/>
    <w:rsid w:val="004707CE"/>
    <w:rsid w:val="00470E31"/>
    <w:rsid w:val="0047127C"/>
    <w:rsid w:val="004712C5"/>
    <w:rsid w:val="00471313"/>
    <w:rsid w:val="004714B1"/>
    <w:rsid w:val="004714E9"/>
    <w:rsid w:val="004714FA"/>
    <w:rsid w:val="00471BA2"/>
    <w:rsid w:val="00471BEC"/>
    <w:rsid w:val="00471E9E"/>
    <w:rsid w:val="00471ECE"/>
    <w:rsid w:val="00471FE5"/>
    <w:rsid w:val="00472142"/>
    <w:rsid w:val="00472679"/>
    <w:rsid w:val="004727AA"/>
    <w:rsid w:val="004727B6"/>
    <w:rsid w:val="004729E9"/>
    <w:rsid w:val="00472D4C"/>
    <w:rsid w:val="00472DB0"/>
    <w:rsid w:val="00472FC3"/>
    <w:rsid w:val="004733BC"/>
    <w:rsid w:val="00473A19"/>
    <w:rsid w:val="00473A96"/>
    <w:rsid w:val="00474683"/>
    <w:rsid w:val="00474979"/>
    <w:rsid w:val="00475027"/>
    <w:rsid w:val="00475081"/>
    <w:rsid w:val="00475BAE"/>
    <w:rsid w:val="00475DAE"/>
    <w:rsid w:val="00476008"/>
    <w:rsid w:val="00476053"/>
    <w:rsid w:val="0047613F"/>
    <w:rsid w:val="004762EC"/>
    <w:rsid w:val="00476444"/>
    <w:rsid w:val="00476A96"/>
    <w:rsid w:val="00477204"/>
    <w:rsid w:val="0047786D"/>
    <w:rsid w:val="00477A76"/>
    <w:rsid w:val="00477D24"/>
    <w:rsid w:val="00480176"/>
    <w:rsid w:val="004802FF"/>
    <w:rsid w:val="00480462"/>
    <w:rsid w:val="00480AF2"/>
    <w:rsid w:val="00480DA6"/>
    <w:rsid w:val="00481043"/>
    <w:rsid w:val="00481722"/>
    <w:rsid w:val="004817AC"/>
    <w:rsid w:val="00481A73"/>
    <w:rsid w:val="00481A9B"/>
    <w:rsid w:val="004821EF"/>
    <w:rsid w:val="004825F8"/>
    <w:rsid w:val="00482677"/>
    <w:rsid w:val="004829DF"/>
    <w:rsid w:val="00483B4B"/>
    <w:rsid w:val="00483C25"/>
    <w:rsid w:val="00484077"/>
    <w:rsid w:val="004843C0"/>
    <w:rsid w:val="00484A40"/>
    <w:rsid w:val="00485000"/>
    <w:rsid w:val="0048515D"/>
    <w:rsid w:val="004855A8"/>
    <w:rsid w:val="004856A5"/>
    <w:rsid w:val="0048582A"/>
    <w:rsid w:val="0048584B"/>
    <w:rsid w:val="00485895"/>
    <w:rsid w:val="00485896"/>
    <w:rsid w:val="004858BB"/>
    <w:rsid w:val="00485B60"/>
    <w:rsid w:val="00485D9A"/>
    <w:rsid w:val="00485F3F"/>
    <w:rsid w:val="00485F52"/>
    <w:rsid w:val="00485F7D"/>
    <w:rsid w:val="00485FCB"/>
    <w:rsid w:val="004860BD"/>
    <w:rsid w:val="00486862"/>
    <w:rsid w:val="004868CB"/>
    <w:rsid w:val="00486F1D"/>
    <w:rsid w:val="00487008"/>
    <w:rsid w:val="00487480"/>
    <w:rsid w:val="004879BE"/>
    <w:rsid w:val="00487DB1"/>
    <w:rsid w:val="00487DBB"/>
    <w:rsid w:val="00490049"/>
    <w:rsid w:val="004907DD"/>
    <w:rsid w:val="00490B45"/>
    <w:rsid w:val="0049112C"/>
    <w:rsid w:val="004911A3"/>
    <w:rsid w:val="00491228"/>
    <w:rsid w:val="00491429"/>
    <w:rsid w:val="0049154E"/>
    <w:rsid w:val="004919F5"/>
    <w:rsid w:val="00491E22"/>
    <w:rsid w:val="004922BC"/>
    <w:rsid w:val="00492829"/>
    <w:rsid w:val="00492937"/>
    <w:rsid w:val="00493F98"/>
    <w:rsid w:val="004940BE"/>
    <w:rsid w:val="004945AD"/>
    <w:rsid w:val="004946AF"/>
    <w:rsid w:val="004947A0"/>
    <w:rsid w:val="00494941"/>
    <w:rsid w:val="00494B69"/>
    <w:rsid w:val="00494B73"/>
    <w:rsid w:val="00495385"/>
    <w:rsid w:val="00495C84"/>
    <w:rsid w:val="00495DD1"/>
    <w:rsid w:val="0049688E"/>
    <w:rsid w:val="00496C79"/>
    <w:rsid w:val="00496CE8"/>
    <w:rsid w:val="00497234"/>
    <w:rsid w:val="004972C5"/>
    <w:rsid w:val="004976ED"/>
    <w:rsid w:val="00497A4A"/>
    <w:rsid w:val="0049A9C9"/>
    <w:rsid w:val="004A013E"/>
    <w:rsid w:val="004A0361"/>
    <w:rsid w:val="004A03A6"/>
    <w:rsid w:val="004A04BD"/>
    <w:rsid w:val="004A1291"/>
    <w:rsid w:val="004A14E6"/>
    <w:rsid w:val="004A1AC5"/>
    <w:rsid w:val="004A1D59"/>
    <w:rsid w:val="004A1FCF"/>
    <w:rsid w:val="004A20D4"/>
    <w:rsid w:val="004A21F9"/>
    <w:rsid w:val="004A2C18"/>
    <w:rsid w:val="004A2D12"/>
    <w:rsid w:val="004A315D"/>
    <w:rsid w:val="004A35D5"/>
    <w:rsid w:val="004A380D"/>
    <w:rsid w:val="004A3C03"/>
    <w:rsid w:val="004A413D"/>
    <w:rsid w:val="004A4448"/>
    <w:rsid w:val="004A4477"/>
    <w:rsid w:val="004A45CB"/>
    <w:rsid w:val="004A4616"/>
    <w:rsid w:val="004A4AB9"/>
    <w:rsid w:val="004A4C50"/>
    <w:rsid w:val="004A4DE6"/>
    <w:rsid w:val="004A4E76"/>
    <w:rsid w:val="004A51C2"/>
    <w:rsid w:val="004A51CE"/>
    <w:rsid w:val="004A54D7"/>
    <w:rsid w:val="004A555E"/>
    <w:rsid w:val="004A592A"/>
    <w:rsid w:val="004A6393"/>
    <w:rsid w:val="004A6C2E"/>
    <w:rsid w:val="004A6DAB"/>
    <w:rsid w:val="004A7157"/>
    <w:rsid w:val="004A7C72"/>
    <w:rsid w:val="004B0621"/>
    <w:rsid w:val="004B06C8"/>
    <w:rsid w:val="004B0A84"/>
    <w:rsid w:val="004B0DA5"/>
    <w:rsid w:val="004B12A6"/>
    <w:rsid w:val="004B1452"/>
    <w:rsid w:val="004B151F"/>
    <w:rsid w:val="004B167B"/>
    <w:rsid w:val="004B186B"/>
    <w:rsid w:val="004B19FF"/>
    <w:rsid w:val="004B1C62"/>
    <w:rsid w:val="004B1E5B"/>
    <w:rsid w:val="004B1E91"/>
    <w:rsid w:val="004B2D72"/>
    <w:rsid w:val="004B2DAF"/>
    <w:rsid w:val="004B320F"/>
    <w:rsid w:val="004B32F8"/>
    <w:rsid w:val="004B38B4"/>
    <w:rsid w:val="004B38EB"/>
    <w:rsid w:val="004B3C62"/>
    <w:rsid w:val="004B3D67"/>
    <w:rsid w:val="004B400B"/>
    <w:rsid w:val="004B41C6"/>
    <w:rsid w:val="004B42D4"/>
    <w:rsid w:val="004B46EF"/>
    <w:rsid w:val="004B4741"/>
    <w:rsid w:val="004B489C"/>
    <w:rsid w:val="004B49B0"/>
    <w:rsid w:val="004B4C2E"/>
    <w:rsid w:val="004B501F"/>
    <w:rsid w:val="004B5219"/>
    <w:rsid w:val="004B52BC"/>
    <w:rsid w:val="004B57C9"/>
    <w:rsid w:val="004B5C5F"/>
    <w:rsid w:val="004B5F97"/>
    <w:rsid w:val="004B67E5"/>
    <w:rsid w:val="004B6D7D"/>
    <w:rsid w:val="004B6DB2"/>
    <w:rsid w:val="004B6E82"/>
    <w:rsid w:val="004B7325"/>
    <w:rsid w:val="004B7334"/>
    <w:rsid w:val="004B7BDD"/>
    <w:rsid w:val="004B7BFE"/>
    <w:rsid w:val="004C061C"/>
    <w:rsid w:val="004C162F"/>
    <w:rsid w:val="004C185A"/>
    <w:rsid w:val="004C18FB"/>
    <w:rsid w:val="004C1ACF"/>
    <w:rsid w:val="004C1B77"/>
    <w:rsid w:val="004C2504"/>
    <w:rsid w:val="004C2619"/>
    <w:rsid w:val="004C26DF"/>
    <w:rsid w:val="004C3299"/>
    <w:rsid w:val="004C32FF"/>
    <w:rsid w:val="004C3527"/>
    <w:rsid w:val="004C3998"/>
    <w:rsid w:val="004C3B81"/>
    <w:rsid w:val="004C3CC1"/>
    <w:rsid w:val="004C3D91"/>
    <w:rsid w:val="004C4B2E"/>
    <w:rsid w:val="004C4C15"/>
    <w:rsid w:val="004C4F78"/>
    <w:rsid w:val="004C5546"/>
    <w:rsid w:val="004C571B"/>
    <w:rsid w:val="004C5851"/>
    <w:rsid w:val="004C5A43"/>
    <w:rsid w:val="004C5D9A"/>
    <w:rsid w:val="004C68C2"/>
    <w:rsid w:val="004C6A1E"/>
    <w:rsid w:val="004C6D16"/>
    <w:rsid w:val="004C75E0"/>
    <w:rsid w:val="004C7619"/>
    <w:rsid w:val="004C769B"/>
    <w:rsid w:val="004C7ACF"/>
    <w:rsid w:val="004C7B2B"/>
    <w:rsid w:val="004C7B2D"/>
    <w:rsid w:val="004C7E26"/>
    <w:rsid w:val="004D02DE"/>
    <w:rsid w:val="004D0375"/>
    <w:rsid w:val="004D0454"/>
    <w:rsid w:val="004D04FE"/>
    <w:rsid w:val="004D0696"/>
    <w:rsid w:val="004D095D"/>
    <w:rsid w:val="004D0EC2"/>
    <w:rsid w:val="004D0EF4"/>
    <w:rsid w:val="004D1387"/>
    <w:rsid w:val="004D1441"/>
    <w:rsid w:val="004D15BE"/>
    <w:rsid w:val="004D1988"/>
    <w:rsid w:val="004D2154"/>
    <w:rsid w:val="004D2657"/>
    <w:rsid w:val="004D26A8"/>
    <w:rsid w:val="004D2AC9"/>
    <w:rsid w:val="004D31AB"/>
    <w:rsid w:val="004D3720"/>
    <w:rsid w:val="004D3869"/>
    <w:rsid w:val="004D3908"/>
    <w:rsid w:val="004D3CC1"/>
    <w:rsid w:val="004D3F62"/>
    <w:rsid w:val="004D4024"/>
    <w:rsid w:val="004D40AF"/>
    <w:rsid w:val="004D41FC"/>
    <w:rsid w:val="004D42A0"/>
    <w:rsid w:val="004D4DFC"/>
    <w:rsid w:val="004D5103"/>
    <w:rsid w:val="004D5176"/>
    <w:rsid w:val="004D5427"/>
    <w:rsid w:val="004D56DE"/>
    <w:rsid w:val="004D597B"/>
    <w:rsid w:val="004D59A4"/>
    <w:rsid w:val="004D5C79"/>
    <w:rsid w:val="004D62D3"/>
    <w:rsid w:val="004D63A6"/>
    <w:rsid w:val="004D6528"/>
    <w:rsid w:val="004D658B"/>
    <w:rsid w:val="004D6889"/>
    <w:rsid w:val="004D6BC8"/>
    <w:rsid w:val="004D6C46"/>
    <w:rsid w:val="004D739A"/>
    <w:rsid w:val="004D7562"/>
    <w:rsid w:val="004D7A7B"/>
    <w:rsid w:val="004D7AC7"/>
    <w:rsid w:val="004E00BB"/>
    <w:rsid w:val="004E0181"/>
    <w:rsid w:val="004E02D4"/>
    <w:rsid w:val="004E035A"/>
    <w:rsid w:val="004E03E9"/>
    <w:rsid w:val="004E0445"/>
    <w:rsid w:val="004E0535"/>
    <w:rsid w:val="004E066A"/>
    <w:rsid w:val="004E06A9"/>
    <w:rsid w:val="004E0707"/>
    <w:rsid w:val="004E08AB"/>
    <w:rsid w:val="004E154F"/>
    <w:rsid w:val="004E19E9"/>
    <w:rsid w:val="004E1B00"/>
    <w:rsid w:val="004E1C49"/>
    <w:rsid w:val="004E1FE0"/>
    <w:rsid w:val="004E2110"/>
    <w:rsid w:val="004E215A"/>
    <w:rsid w:val="004E24DB"/>
    <w:rsid w:val="004E29D8"/>
    <w:rsid w:val="004E2D0A"/>
    <w:rsid w:val="004E2F98"/>
    <w:rsid w:val="004E31DA"/>
    <w:rsid w:val="004E329C"/>
    <w:rsid w:val="004E3508"/>
    <w:rsid w:val="004E390B"/>
    <w:rsid w:val="004E3BA8"/>
    <w:rsid w:val="004E3DCF"/>
    <w:rsid w:val="004E42CA"/>
    <w:rsid w:val="004E4BD1"/>
    <w:rsid w:val="004E5233"/>
    <w:rsid w:val="004E5B8E"/>
    <w:rsid w:val="004E5BD4"/>
    <w:rsid w:val="004E5DBB"/>
    <w:rsid w:val="004E6C28"/>
    <w:rsid w:val="004E6EE0"/>
    <w:rsid w:val="004E7143"/>
    <w:rsid w:val="004E7322"/>
    <w:rsid w:val="004E7337"/>
    <w:rsid w:val="004E762E"/>
    <w:rsid w:val="004E7B95"/>
    <w:rsid w:val="004E7D99"/>
    <w:rsid w:val="004E7F6F"/>
    <w:rsid w:val="004F01B5"/>
    <w:rsid w:val="004F01F6"/>
    <w:rsid w:val="004F0425"/>
    <w:rsid w:val="004F06A3"/>
    <w:rsid w:val="004F06AF"/>
    <w:rsid w:val="004F08BD"/>
    <w:rsid w:val="004F11AD"/>
    <w:rsid w:val="004F1590"/>
    <w:rsid w:val="004F21E2"/>
    <w:rsid w:val="004F2445"/>
    <w:rsid w:val="004F2A96"/>
    <w:rsid w:val="004F2AAD"/>
    <w:rsid w:val="004F2DEA"/>
    <w:rsid w:val="004F3097"/>
    <w:rsid w:val="004F329A"/>
    <w:rsid w:val="004F3F32"/>
    <w:rsid w:val="004F3F67"/>
    <w:rsid w:val="004F40A3"/>
    <w:rsid w:val="004F47EC"/>
    <w:rsid w:val="004F4C75"/>
    <w:rsid w:val="004F4DC7"/>
    <w:rsid w:val="004F4ED6"/>
    <w:rsid w:val="004F4F8C"/>
    <w:rsid w:val="004F511F"/>
    <w:rsid w:val="004F537D"/>
    <w:rsid w:val="004F541F"/>
    <w:rsid w:val="004F5728"/>
    <w:rsid w:val="004F57EB"/>
    <w:rsid w:val="004F5880"/>
    <w:rsid w:val="004F5B26"/>
    <w:rsid w:val="004F5B53"/>
    <w:rsid w:val="004F5D4A"/>
    <w:rsid w:val="004F61A9"/>
    <w:rsid w:val="004F657B"/>
    <w:rsid w:val="004F65B3"/>
    <w:rsid w:val="004F6A12"/>
    <w:rsid w:val="004F71FC"/>
    <w:rsid w:val="004F764C"/>
    <w:rsid w:val="004F77B4"/>
    <w:rsid w:val="004F790E"/>
    <w:rsid w:val="004F7B36"/>
    <w:rsid w:val="004F7B7E"/>
    <w:rsid w:val="004F7BC3"/>
    <w:rsid w:val="004F7D0D"/>
    <w:rsid w:val="00500771"/>
    <w:rsid w:val="00500A7C"/>
    <w:rsid w:val="00500AD2"/>
    <w:rsid w:val="00500C56"/>
    <w:rsid w:val="00500CE1"/>
    <w:rsid w:val="00500D26"/>
    <w:rsid w:val="00500D29"/>
    <w:rsid w:val="00500D6C"/>
    <w:rsid w:val="00501573"/>
    <w:rsid w:val="00501844"/>
    <w:rsid w:val="00501B3C"/>
    <w:rsid w:val="00501B74"/>
    <w:rsid w:val="0050224D"/>
    <w:rsid w:val="00502809"/>
    <w:rsid w:val="00502C3D"/>
    <w:rsid w:val="00502D8B"/>
    <w:rsid w:val="00502FA8"/>
    <w:rsid w:val="00503303"/>
    <w:rsid w:val="005033DC"/>
    <w:rsid w:val="00503569"/>
    <w:rsid w:val="00503FD7"/>
    <w:rsid w:val="005041E8"/>
    <w:rsid w:val="005047E5"/>
    <w:rsid w:val="00504A09"/>
    <w:rsid w:val="00504B2E"/>
    <w:rsid w:val="00504FD4"/>
    <w:rsid w:val="00505096"/>
    <w:rsid w:val="005058B4"/>
    <w:rsid w:val="00505B25"/>
    <w:rsid w:val="00505F7C"/>
    <w:rsid w:val="0050600C"/>
    <w:rsid w:val="0050638F"/>
    <w:rsid w:val="00506477"/>
    <w:rsid w:val="005066DD"/>
    <w:rsid w:val="00506A50"/>
    <w:rsid w:val="00506E07"/>
    <w:rsid w:val="00506E41"/>
    <w:rsid w:val="00506EF1"/>
    <w:rsid w:val="00507590"/>
    <w:rsid w:val="005079F3"/>
    <w:rsid w:val="00507B2C"/>
    <w:rsid w:val="00507E57"/>
    <w:rsid w:val="00507F89"/>
    <w:rsid w:val="0051028B"/>
    <w:rsid w:val="005105A2"/>
    <w:rsid w:val="00510836"/>
    <w:rsid w:val="0051089E"/>
    <w:rsid w:val="00510A1C"/>
    <w:rsid w:val="00510AB6"/>
    <w:rsid w:val="00510C51"/>
    <w:rsid w:val="00510E07"/>
    <w:rsid w:val="00511347"/>
    <w:rsid w:val="0051141E"/>
    <w:rsid w:val="005114AD"/>
    <w:rsid w:val="005114EA"/>
    <w:rsid w:val="005119AB"/>
    <w:rsid w:val="00511B20"/>
    <w:rsid w:val="00511B51"/>
    <w:rsid w:val="005129C2"/>
    <w:rsid w:val="00512A5B"/>
    <w:rsid w:val="00513097"/>
    <w:rsid w:val="00513165"/>
    <w:rsid w:val="00513426"/>
    <w:rsid w:val="0051364E"/>
    <w:rsid w:val="00513A6A"/>
    <w:rsid w:val="00513D7E"/>
    <w:rsid w:val="00514049"/>
    <w:rsid w:val="00514480"/>
    <w:rsid w:val="00514AD7"/>
    <w:rsid w:val="00514B2B"/>
    <w:rsid w:val="00514C21"/>
    <w:rsid w:val="00514EB8"/>
    <w:rsid w:val="00514F0B"/>
    <w:rsid w:val="00515379"/>
    <w:rsid w:val="005153C9"/>
    <w:rsid w:val="005155A6"/>
    <w:rsid w:val="00515719"/>
    <w:rsid w:val="00515772"/>
    <w:rsid w:val="0051577A"/>
    <w:rsid w:val="0051589D"/>
    <w:rsid w:val="00515A71"/>
    <w:rsid w:val="00515F9A"/>
    <w:rsid w:val="0051627D"/>
    <w:rsid w:val="0051631C"/>
    <w:rsid w:val="00516872"/>
    <w:rsid w:val="0051692E"/>
    <w:rsid w:val="00516B86"/>
    <w:rsid w:val="00516C3F"/>
    <w:rsid w:val="00516C47"/>
    <w:rsid w:val="00516D4A"/>
    <w:rsid w:val="00516F99"/>
    <w:rsid w:val="00517032"/>
    <w:rsid w:val="00517726"/>
    <w:rsid w:val="00517E44"/>
    <w:rsid w:val="00517F15"/>
    <w:rsid w:val="00520221"/>
    <w:rsid w:val="005203F8"/>
    <w:rsid w:val="00520853"/>
    <w:rsid w:val="00520F14"/>
    <w:rsid w:val="00520FBB"/>
    <w:rsid w:val="005217A3"/>
    <w:rsid w:val="0052193B"/>
    <w:rsid w:val="00521B30"/>
    <w:rsid w:val="00521BB8"/>
    <w:rsid w:val="00521C6B"/>
    <w:rsid w:val="00521E8A"/>
    <w:rsid w:val="00522088"/>
    <w:rsid w:val="005221B2"/>
    <w:rsid w:val="00522820"/>
    <w:rsid w:val="00522A9D"/>
    <w:rsid w:val="00522B80"/>
    <w:rsid w:val="00522B94"/>
    <w:rsid w:val="00522F78"/>
    <w:rsid w:val="00522FE6"/>
    <w:rsid w:val="00523104"/>
    <w:rsid w:val="005237DF"/>
    <w:rsid w:val="00523A11"/>
    <w:rsid w:val="00523A46"/>
    <w:rsid w:val="00523C37"/>
    <w:rsid w:val="00524222"/>
    <w:rsid w:val="005242DD"/>
    <w:rsid w:val="005246DF"/>
    <w:rsid w:val="00524909"/>
    <w:rsid w:val="005249B0"/>
    <w:rsid w:val="00524EB9"/>
    <w:rsid w:val="00524ECC"/>
    <w:rsid w:val="00525263"/>
    <w:rsid w:val="00525334"/>
    <w:rsid w:val="00525711"/>
    <w:rsid w:val="00525FFD"/>
    <w:rsid w:val="00526097"/>
    <w:rsid w:val="005262EE"/>
    <w:rsid w:val="005263F6"/>
    <w:rsid w:val="005268E3"/>
    <w:rsid w:val="00526B84"/>
    <w:rsid w:val="00526D7E"/>
    <w:rsid w:val="00527567"/>
    <w:rsid w:val="00527A9E"/>
    <w:rsid w:val="00527D3E"/>
    <w:rsid w:val="0053037E"/>
    <w:rsid w:val="005304E3"/>
    <w:rsid w:val="005304E7"/>
    <w:rsid w:val="00530DDC"/>
    <w:rsid w:val="0053101F"/>
    <w:rsid w:val="005311EB"/>
    <w:rsid w:val="0053139B"/>
    <w:rsid w:val="005313E7"/>
    <w:rsid w:val="00531FDE"/>
    <w:rsid w:val="005321E9"/>
    <w:rsid w:val="005322D2"/>
    <w:rsid w:val="005323BF"/>
    <w:rsid w:val="005323FE"/>
    <w:rsid w:val="0053290D"/>
    <w:rsid w:val="005329DB"/>
    <w:rsid w:val="0053341F"/>
    <w:rsid w:val="00533744"/>
    <w:rsid w:val="00533761"/>
    <w:rsid w:val="0053395A"/>
    <w:rsid w:val="00533E9E"/>
    <w:rsid w:val="00534143"/>
    <w:rsid w:val="00534791"/>
    <w:rsid w:val="00534A74"/>
    <w:rsid w:val="00534C6C"/>
    <w:rsid w:val="0053521E"/>
    <w:rsid w:val="0053567A"/>
    <w:rsid w:val="00535AF2"/>
    <w:rsid w:val="00535E0F"/>
    <w:rsid w:val="00536591"/>
    <w:rsid w:val="00536725"/>
    <w:rsid w:val="005368BE"/>
    <w:rsid w:val="0053693C"/>
    <w:rsid w:val="00536AC5"/>
    <w:rsid w:val="00537135"/>
    <w:rsid w:val="0053748C"/>
    <w:rsid w:val="00537519"/>
    <w:rsid w:val="00537528"/>
    <w:rsid w:val="00537714"/>
    <w:rsid w:val="00537901"/>
    <w:rsid w:val="005379E0"/>
    <w:rsid w:val="00537EE4"/>
    <w:rsid w:val="00540155"/>
    <w:rsid w:val="0054055A"/>
    <w:rsid w:val="005409D6"/>
    <w:rsid w:val="005409D8"/>
    <w:rsid w:val="005417D5"/>
    <w:rsid w:val="00541C64"/>
    <w:rsid w:val="00541E58"/>
    <w:rsid w:val="00541EEC"/>
    <w:rsid w:val="00541F16"/>
    <w:rsid w:val="00541FCA"/>
    <w:rsid w:val="0054206F"/>
    <w:rsid w:val="005422AB"/>
    <w:rsid w:val="0054231B"/>
    <w:rsid w:val="005423E9"/>
    <w:rsid w:val="00542E00"/>
    <w:rsid w:val="00542F7A"/>
    <w:rsid w:val="0054349F"/>
    <w:rsid w:val="005435FF"/>
    <w:rsid w:val="0054360A"/>
    <w:rsid w:val="005437B8"/>
    <w:rsid w:val="00543CA7"/>
    <w:rsid w:val="00543D4F"/>
    <w:rsid w:val="00544127"/>
    <w:rsid w:val="00544406"/>
    <w:rsid w:val="0054476D"/>
    <w:rsid w:val="00544B5B"/>
    <w:rsid w:val="00544BB3"/>
    <w:rsid w:val="00544C33"/>
    <w:rsid w:val="005453AE"/>
    <w:rsid w:val="005453F7"/>
    <w:rsid w:val="0054547E"/>
    <w:rsid w:val="00545BC0"/>
    <w:rsid w:val="00545D61"/>
    <w:rsid w:val="00545DB0"/>
    <w:rsid w:val="00546025"/>
    <w:rsid w:val="005463DD"/>
    <w:rsid w:val="0054642C"/>
    <w:rsid w:val="00546463"/>
    <w:rsid w:val="00546646"/>
    <w:rsid w:val="00546959"/>
    <w:rsid w:val="0054698D"/>
    <w:rsid w:val="00546E20"/>
    <w:rsid w:val="00546E89"/>
    <w:rsid w:val="00546F55"/>
    <w:rsid w:val="005472E4"/>
    <w:rsid w:val="00547354"/>
    <w:rsid w:val="00547945"/>
    <w:rsid w:val="00547955"/>
    <w:rsid w:val="00547F02"/>
    <w:rsid w:val="0055012A"/>
    <w:rsid w:val="005505A3"/>
    <w:rsid w:val="0055063F"/>
    <w:rsid w:val="0055065E"/>
    <w:rsid w:val="00550BDD"/>
    <w:rsid w:val="00550C74"/>
    <w:rsid w:val="00550D2B"/>
    <w:rsid w:val="0055125F"/>
    <w:rsid w:val="0055193A"/>
    <w:rsid w:val="005519B8"/>
    <w:rsid w:val="00551A7A"/>
    <w:rsid w:val="0055254A"/>
    <w:rsid w:val="00552675"/>
    <w:rsid w:val="005527AE"/>
    <w:rsid w:val="0055286A"/>
    <w:rsid w:val="00552AE4"/>
    <w:rsid w:val="00552AE5"/>
    <w:rsid w:val="00552C79"/>
    <w:rsid w:val="00552D2E"/>
    <w:rsid w:val="0055320A"/>
    <w:rsid w:val="005532AC"/>
    <w:rsid w:val="00553AE0"/>
    <w:rsid w:val="00553AE9"/>
    <w:rsid w:val="00553BE6"/>
    <w:rsid w:val="00554076"/>
    <w:rsid w:val="0055412E"/>
    <w:rsid w:val="00554829"/>
    <w:rsid w:val="00554A2A"/>
    <w:rsid w:val="00555003"/>
    <w:rsid w:val="00555533"/>
    <w:rsid w:val="00555907"/>
    <w:rsid w:val="00555A44"/>
    <w:rsid w:val="0055730B"/>
    <w:rsid w:val="00557390"/>
    <w:rsid w:val="00557BB7"/>
    <w:rsid w:val="0056011E"/>
    <w:rsid w:val="00560170"/>
    <w:rsid w:val="00560431"/>
    <w:rsid w:val="00560624"/>
    <w:rsid w:val="00560A59"/>
    <w:rsid w:val="00560CB0"/>
    <w:rsid w:val="00560EA0"/>
    <w:rsid w:val="00560FBB"/>
    <w:rsid w:val="00561236"/>
    <w:rsid w:val="00561326"/>
    <w:rsid w:val="005614B6"/>
    <w:rsid w:val="005615CF"/>
    <w:rsid w:val="005616FA"/>
    <w:rsid w:val="0056172E"/>
    <w:rsid w:val="00561E53"/>
    <w:rsid w:val="00562486"/>
    <w:rsid w:val="00562A87"/>
    <w:rsid w:val="00562AC3"/>
    <w:rsid w:val="00562B26"/>
    <w:rsid w:val="005639CC"/>
    <w:rsid w:val="005641AE"/>
    <w:rsid w:val="005644F8"/>
    <w:rsid w:val="00564A59"/>
    <w:rsid w:val="00564CEF"/>
    <w:rsid w:val="00564E7F"/>
    <w:rsid w:val="00565191"/>
    <w:rsid w:val="0056550B"/>
    <w:rsid w:val="00565CC1"/>
    <w:rsid w:val="00565DE4"/>
    <w:rsid w:val="005669D9"/>
    <w:rsid w:val="00566A4D"/>
    <w:rsid w:val="00566DEE"/>
    <w:rsid w:val="00567263"/>
    <w:rsid w:val="00567466"/>
    <w:rsid w:val="00570550"/>
    <w:rsid w:val="00570C93"/>
    <w:rsid w:val="005711EA"/>
    <w:rsid w:val="005712E5"/>
    <w:rsid w:val="005713AA"/>
    <w:rsid w:val="00571421"/>
    <w:rsid w:val="0057153A"/>
    <w:rsid w:val="005717B2"/>
    <w:rsid w:val="00571AD3"/>
    <w:rsid w:val="005723B7"/>
    <w:rsid w:val="00572413"/>
    <w:rsid w:val="00572AD8"/>
    <w:rsid w:val="005730A0"/>
    <w:rsid w:val="0057329D"/>
    <w:rsid w:val="005738B4"/>
    <w:rsid w:val="0057391E"/>
    <w:rsid w:val="00573C16"/>
    <w:rsid w:val="00573CBD"/>
    <w:rsid w:val="005744DA"/>
    <w:rsid w:val="00574539"/>
    <w:rsid w:val="005745A4"/>
    <w:rsid w:val="0057464E"/>
    <w:rsid w:val="00574C0B"/>
    <w:rsid w:val="00574E7B"/>
    <w:rsid w:val="00575550"/>
    <w:rsid w:val="005755D3"/>
    <w:rsid w:val="005756DD"/>
    <w:rsid w:val="005758EA"/>
    <w:rsid w:val="00575E72"/>
    <w:rsid w:val="0057651F"/>
    <w:rsid w:val="00576632"/>
    <w:rsid w:val="00576713"/>
    <w:rsid w:val="00576781"/>
    <w:rsid w:val="00576F28"/>
    <w:rsid w:val="00577A59"/>
    <w:rsid w:val="00577BF3"/>
    <w:rsid w:val="00580061"/>
    <w:rsid w:val="00580105"/>
    <w:rsid w:val="00580647"/>
    <w:rsid w:val="00580742"/>
    <w:rsid w:val="0058075B"/>
    <w:rsid w:val="005808A3"/>
    <w:rsid w:val="00580D51"/>
    <w:rsid w:val="005815CB"/>
    <w:rsid w:val="0058171F"/>
    <w:rsid w:val="0058176F"/>
    <w:rsid w:val="00581A69"/>
    <w:rsid w:val="00581C99"/>
    <w:rsid w:val="00581C9B"/>
    <w:rsid w:val="00581D11"/>
    <w:rsid w:val="00581DBB"/>
    <w:rsid w:val="00581FF3"/>
    <w:rsid w:val="005825F9"/>
    <w:rsid w:val="00582C90"/>
    <w:rsid w:val="00582D6B"/>
    <w:rsid w:val="005832EC"/>
    <w:rsid w:val="00583C7D"/>
    <w:rsid w:val="00583CBF"/>
    <w:rsid w:val="00583FBD"/>
    <w:rsid w:val="0058446B"/>
    <w:rsid w:val="00584484"/>
    <w:rsid w:val="005845B8"/>
    <w:rsid w:val="00584DA3"/>
    <w:rsid w:val="00584E0B"/>
    <w:rsid w:val="00584F40"/>
    <w:rsid w:val="0058532C"/>
    <w:rsid w:val="005853EB"/>
    <w:rsid w:val="00585411"/>
    <w:rsid w:val="00585668"/>
    <w:rsid w:val="00585796"/>
    <w:rsid w:val="005865E6"/>
    <w:rsid w:val="00586DBB"/>
    <w:rsid w:val="0058723B"/>
    <w:rsid w:val="00587456"/>
    <w:rsid w:val="00587A59"/>
    <w:rsid w:val="00587DB7"/>
    <w:rsid w:val="00587FCD"/>
    <w:rsid w:val="00590361"/>
    <w:rsid w:val="00590436"/>
    <w:rsid w:val="00590858"/>
    <w:rsid w:val="00590A84"/>
    <w:rsid w:val="00590CEB"/>
    <w:rsid w:val="00590D63"/>
    <w:rsid w:val="00591904"/>
    <w:rsid w:val="0059190E"/>
    <w:rsid w:val="00591CF9"/>
    <w:rsid w:val="00592917"/>
    <w:rsid w:val="00592E72"/>
    <w:rsid w:val="00592FF6"/>
    <w:rsid w:val="00593188"/>
    <w:rsid w:val="0059359B"/>
    <w:rsid w:val="005935F3"/>
    <w:rsid w:val="005936C1"/>
    <w:rsid w:val="00593E8B"/>
    <w:rsid w:val="00594142"/>
    <w:rsid w:val="005948D1"/>
    <w:rsid w:val="00594EB1"/>
    <w:rsid w:val="00595235"/>
    <w:rsid w:val="00595644"/>
    <w:rsid w:val="005959B4"/>
    <w:rsid w:val="00595A56"/>
    <w:rsid w:val="00595D5A"/>
    <w:rsid w:val="00595E63"/>
    <w:rsid w:val="00596BBA"/>
    <w:rsid w:val="00596F3B"/>
    <w:rsid w:val="0059770E"/>
    <w:rsid w:val="00597A87"/>
    <w:rsid w:val="00597CF7"/>
    <w:rsid w:val="00597D2A"/>
    <w:rsid w:val="00597D6D"/>
    <w:rsid w:val="005A00FE"/>
    <w:rsid w:val="005A0191"/>
    <w:rsid w:val="005A0330"/>
    <w:rsid w:val="005A0D83"/>
    <w:rsid w:val="005A0FBD"/>
    <w:rsid w:val="005A1074"/>
    <w:rsid w:val="005A14C3"/>
    <w:rsid w:val="005A1E49"/>
    <w:rsid w:val="005A25B2"/>
    <w:rsid w:val="005A263A"/>
    <w:rsid w:val="005A2816"/>
    <w:rsid w:val="005A28CA"/>
    <w:rsid w:val="005A294A"/>
    <w:rsid w:val="005A2A4E"/>
    <w:rsid w:val="005A2A7A"/>
    <w:rsid w:val="005A2AA1"/>
    <w:rsid w:val="005A2AC4"/>
    <w:rsid w:val="005A3148"/>
    <w:rsid w:val="005A3444"/>
    <w:rsid w:val="005A35F3"/>
    <w:rsid w:val="005A3752"/>
    <w:rsid w:val="005A3C6B"/>
    <w:rsid w:val="005A47B8"/>
    <w:rsid w:val="005A4B7D"/>
    <w:rsid w:val="005A509B"/>
    <w:rsid w:val="005A598A"/>
    <w:rsid w:val="005A5DC1"/>
    <w:rsid w:val="005A6005"/>
    <w:rsid w:val="005A642A"/>
    <w:rsid w:val="005A6538"/>
    <w:rsid w:val="005A68D1"/>
    <w:rsid w:val="005A6978"/>
    <w:rsid w:val="005A6A48"/>
    <w:rsid w:val="005A6BAF"/>
    <w:rsid w:val="005A7538"/>
    <w:rsid w:val="005A75E3"/>
    <w:rsid w:val="005A76ED"/>
    <w:rsid w:val="005A773E"/>
    <w:rsid w:val="005A78DC"/>
    <w:rsid w:val="005B0578"/>
    <w:rsid w:val="005B071A"/>
    <w:rsid w:val="005B0928"/>
    <w:rsid w:val="005B099D"/>
    <w:rsid w:val="005B0C54"/>
    <w:rsid w:val="005B13B1"/>
    <w:rsid w:val="005B1589"/>
    <w:rsid w:val="005B1B02"/>
    <w:rsid w:val="005B1E5D"/>
    <w:rsid w:val="005B1EF7"/>
    <w:rsid w:val="005B1FB3"/>
    <w:rsid w:val="005B20D0"/>
    <w:rsid w:val="005B2172"/>
    <w:rsid w:val="005B231A"/>
    <w:rsid w:val="005B23E6"/>
    <w:rsid w:val="005B2EEE"/>
    <w:rsid w:val="005B333E"/>
    <w:rsid w:val="005B3606"/>
    <w:rsid w:val="005B3A10"/>
    <w:rsid w:val="005B3AE3"/>
    <w:rsid w:val="005B3B7C"/>
    <w:rsid w:val="005B3BA7"/>
    <w:rsid w:val="005B3C6D"/>
    <w:rsid w:val="005B3E54"/>
    <w:rsid w:val="005B3EDC"/>
    <w:rsid w:val="005B3F1D"/>
    <w:rsid w:val="005B3F36"/>
    <w:rsid w:val="005B40C7"/>
    <w:rsid w:val="005B42F0"/>
    <w:rsid w:val="005B4314"/>
    <w:rsid w:val="005B48AF"/>
    <w:rsid w:val="005B48D0"/>
    <w:rsid w:val="005B4D78"/>
    <w:rsid w:val="005B50C7"/>
    <w:rsid w:val="005B5539"/>
    <w:rsid w:val="005B55D1"/>
    <w:rsid w:val="005B5803"/>
    <w:rsid w:val="005B58C3"/>
    <w:rsid w:val="005B5973"/>
    <w:rsid w:val="005B5B04"/>
    <w:rsid w:val="005B5D10"/>
    <w:rsid w:val="005B5E75"/>
    <w:rsid w:val="005B602E"/>
    <w:rsid w:val="005B6082"/>
    <w:rsid w:val="005B6100"/>
    <w:rsid w:val="005B61ED"/>
    <w:rsid w:val="005B6395"/>
    <w:rsid w:val="005B676D"/>
    <w:rsid w:val="005B6E48"/>
    <w:rsid w:val="005B7158"/>
    <w:rsid w:val="005B7411"/>
    <w:rsid w:val="005B775F"/>
    <w:rsid w:val="005B77C5"/>
    <w:rsid w:val="005B7BA5"/>
    <w:rsid w:val="005C005B"/>
    <w:rsid w:val="005C0709"/>
    <w:rsid w:val="005C0884"/>
    <w:rsid w:val="005C1261"/>
    <w:rsid w:val="005C1272"/>
    <w:rsid w:val="005C15BD"/>
    <w:rsid w:val="005C15D7"/>
    <w:rsid w:val="005C1BA3"/>
    <w:rsid w:val="005C2215"/>
    <w:rsid w:val="005C2640"/>
    <w:rsid w:val="005C29CF"/>
    <w:rsid w:val="005C318E"/>
    <w:rsid w:val="005C322A"/>
    <w:rsid w:val="005C32AD"/>
    <w:rsid w:val="005C34F7"/>
    <w:rsid w:val="005C3B70"/>
    <w:rsid w:val="005C3CD4"/>
    <w:rsid w:val="005C408C"/>
    <w:rsid w:val="005C448B"/>
    <w:rsid w:val="005C472F"/>
    <w:rsid w:val="005C523E"/>
    <w:rsid w:val="005C59BA"/>
    <w:rsid w:val="005C5A5E"/>
    <w:rsid w:val="005C628C"/>
    <w:rsid w:val="005C6379"/>
    <w:rsid w:val="005C685F"/>
    <w:rsid w:val="005C69A9"/>
    <w:rsid w:val="005C6C45"/>
    <w:rsid w:val="005C7715"/>
    <w:rsid w:val="005C79A0"/>
    <w:rsid w:val="005C7DE4"/>
    <w:rsid w:val="005C7EBA"/>
    <w:rsid w:val="005D060A"/>
    <w:rsid w:val="005D065E"/>
    <w:rsid w:val="005D070D"/>
    <w:rsid w:val="005D07EE"/>
    <w:rsid w:val="005D0843"/>
    <w:rsid w:val="005D0877"/>
    <w:rsid w:val="005D0B8C"/>
    <w:rsid w:val="005D0C7D"/>
    <w:rsid w:val="005D0CC5"/>
    <w:rsid w:val="005D1493"/>
    <w:rsid w:val="005D153C"/>
    <w:rsid w:val="005D16B3"/>
    <w:rsid w:val="005D172F"/>
    <w:rsid w:val="005D1921"/>
    <w:rsid w:val="005D19BD"/>
    <w:rsid w:val="005D1BB7"/>
    <w:rsid w:val="005D1C52"/>
    <w:rsid w:val="005D1CA5"/>
    <w:rsid w:val="005D1CDC"/>
    <w:rsid w:val="005D1E96"/>
    <w:rsid w:val="005D1FE1"/>
    <w:rsid w:val="005D2218"/>
    <w:rsid w:val="005D27C8"/>
    <w:rsid w:val="005D2938"/>
    <w:rsid w:val="005D2952"/>
    <w:rsid w:val="005D2CF9"/>
    <w:rsid w:val="005D3644"/>
    <w:rsid w:val="005D37C2"/>
    <w:rsid w:val="005D4062"/>
    <w:rsid w:val="005D4831"/>
    <w:rsid w:val="005D49B7"/>
    <w:rsid w:val="005D4CB0"/>
    <w:rsid w:val="005D4D57"/>
    <w:rsid w:val="005D4F1F"/>
    <w:rsid w:val="005D5E11"/>
    <w:rsid w:val="005D64A7"/>
    <w:rsid w:val="005D6797"/>
    <w:rsid w:val="005D6A49"/>
    <w:rsid w:val="005D6C20"/>
    <w:rsid w:val="005D721D"/>
    <w:rsid w:val="005D77B0"/>
    <w:rsid w:val="005D7B5B"/>
    <w:rsid w:val="005E00DE"/>
    <w:rsid w:val="005E0236"/>
    <w:rsid w:val="005E0263"/>
    <w:rsid w:val="005E0755"/>
    <w:rsid w:val="005E096A"/>
    <w:rsid w:val="005E0C60"/>
    <w:rsid w:val="005E1221"/>
    <w:rsid w:val="005E20CF"/>
    <w:rsid w:val="005E2991"/>
    <w:rsid w:val="005E2A07"/>
    <w:rsid w:val="005E2FC9"/>
    <w:rsid w:val="005E3203"/>
    <w:rsid w:val="005E3342"/>
    <w:rsid w:val="005E376D"/>
    <w:rsid w:val="005E4103"/>
    <w:rsid w:val="005E4263"/>
    <w:rsid w:val="005E4497"/>
    <w:rsid w:val="005E4554"/>
    <w:rsid w:val="005E487B"/>
    <w:rsid w:val="005E48CA"/>
    <w:rsid w:val="005E49D8"/>
    <w:rsid w:val="005E4AD8"/>
    <w:rsid w:val="005E4CC8"/>
    <w:rsid w:val="005E4E08"/>
    <w:rsid w:val="005E52CA"/>
    <w:rsid w:val="005E58A6"/>
    <w:rsid w:val="005E594A"/>
    <w:rsid w:val="005E599C"/>
    <w:rsid w:val="005E59AF"/>
    <w:rsid w:val="005E5B67"/>
    <w:rsid w:val="005E5BFB"/>
    <w:rsid w:val="005E6065"/>
    <w:rsid w:val="005E6094"/>
    <w:rsid w:val="005E61A1"/>
    <w:rsid w:val="005E622B"/>
    <w:rsid w:val="005E6767"/>
    <w:rsid w:val="005E6CD2"/>
    <w:rsid w:val="005E6F22"/>
    <w:rsid w:val="005E70CF"/>
    <w:rsid w:val="005E726A"/>
    <w:rsid w:val="005E766B"/>
    <w:rsid w:val="005E7D51"/>
    <w:rsid w:val="005E7D94"/>
    <w:rsid w:val="005E7E26"/>
    <w:rsid w:val="005E7EC2"/>
    <w:rsid w:val="005F01A3"/>
    <w:rsid w:val="005F0484"/>
    <w:rsid w:val="005F072B"/>
    <w:rsid w:val="005F0BE0"/>
    <w:rsid w:val="005F0D48"/>
    <w:rsid w:val="005F12D3"/>
    <w:rsid w:val="005F15D2"/>
    <w:rsid w:val="005F1794"/>
    <w:rsid w:val="005F1A1C"/>
    <w:rsid w:val="005F211B"/>
    <w:rsid w:val="005F21CF"/>
    <w:rsid w:val="005F2B66"/>
    <w:rsid w:val="005F3585"/>
    <w:rsid w:val="005F35C4"/>
    <w:rsid w:val="005F3E3B"/>
    <w:rsid w:val="005F3E98"/>
    <w:rsid w:val="005F41EC"/>
    <w:rsid w:val="005F4604"/>
    <w:rsid w:val="005F468A"/>
    <w:rsid w:val="005F47AA"/>
    <w:rsid w:val="005F4AB8"/>
    <w:rsid w:val="005F5953"/>
    <w:rsid w:val="005F5A3D"/>
    <w:rsid w:val="005F5DAC"/>
    <w:rsid w:val="005F5DD2"/>
    <w:rsid w:val="005F5ED3"/>
    <w:rsid w:val="005F5FD9"/>
    <w:rsid w:val="005F5FDA"/>
    <w:rsid w:val="005F604F"/>
    <w:rsid w:val="005F6327"/>
    <w:rsid w:val="005F680C"/>
    <w:rsid w:val="005F6A0D"/>
    <w:rsid w:val="005F70BE"/>
    <w:rsid w:val="005F740D"/>
    <w:rsid w:val="005F7561"/>
    <w:rsid w:val="005F76C6"/>
    <w:rsid w:val="005F7EB3"/>
    <w:rsid w:val="006000A9"/>
    <w:rsid w:val="00600342"/>
    <w:rsid w:val="00600B21"/>
    <w:rsid w:val="00601035"/>
    <w:rsid w:val="00601608"/>
    <w:rsid w:val="006018D9"/>
    <w:rsid w:val="00601C43"/>
    <w:rsid w:val="006023FC"/>
    <w:rsid w:val="00602793"/>
    <w:rsid w:val="00602839"/>
    <w:rsid w:val="006028A7"/>
    <w:rsid w:val="006028EF"/>
    <w:rsid w:val="0060293C"/>
    <w:rsid w:val="00602B45"/>
    <w:rsid w:val="00602BE0"/>
    <w:rsid w:val="00602DCF"/>
    <w:rsid w:val="00603349"/>
    <w:rsid w:val="00603466"/>
    <w:rsid w:val="0060355D"/>
    <w:rsid w:val="0060381B"/>
    <w:rsid w:val="00603839"/>
    <w:rsid w:val="0060385D"/>
    <w:rsid w:val="00603A47"/>
    <w:rsid w:val="00603E6D"/>
    <w:rsid w:val="00603ECA"/>
    <w:rsid w:val="006043AA"/>
    <w:rsid w:val="0060494B"/>
    <w:rsid w:val="00604E23"/>
    <w:rsid w:val="00604F1F"/>
    <w:rsid w:val="006050AB"/>
    <w:rsid w:val="006054DA"/>
    <w:rsid w:val="00605639"/>
    <w:rsid w:val="00605838"/>
    <w:rsid w:val="006059BA"/>
    <w:rsid w:val="00605C07"/>
    <w:rsid w:val="00605E30"/>
    <w:rsid w:val="00605E54"/>
    <w:rsid w:val="0060600F"/>
    <w:rsid w:val="00606011"/>
    <w:rsid w:val="00606192"/>
    <w:rsid w:val="00606B8A"/>
    <w:rsid w:val="0060738A"/>
    <w:rsid w:val="00607653"/>
    <w:rsid w:val="00607716"/>
    <w:rsid w:val="00607BEA"/>
    <w:rsid w:val="00607EE7"/>
    <w:rsid w:val="006105D8"/>
    <w:rsid w:val="00610894"/>
    <w:rsid w:val="0061096A"/>
    <w:rsid w:val="00610B99"/>
    <w:rsid w:val="00610C00"/>
    <w:rsid w:val="006110DD"/>
    <w:rsid w:val="00611575"/>
    <w:rsid w:val="00611608"/>
    <w:rsid w:val="00611A99"/>
    <w:rsid w:val="00611D35"/>
    <w:rsid w:val="00611F56"/>
    <w:rsid w:val="00611F9E"/>
    <w:rsid w:val="00612638"/>
    <w:rsid w:val="00612827"/>
    <w:rsid w:val="00612959"/>
    <w:rsid w:val="006129AC"/>
    <w:rsid w:val="006137BC"/>
    <w:rsid w:val="00613A9C"/>
    <w:rsid w:val="0061412B"/>
    <w:rsid w:val="00614622"/>
    <w:rsid w:val="00614823"/>
    <w:rsid w:val="00614BE1"/>
    <w:rsid w:val="006150DB"/>
    <w:rsid w:val="006157C1"/>
    <w:rsid w:val="006157E1"/>
    <w:rsid w:val="00615E46"/>
    <w:rsid w:val="00615F21"/>
    <w:rsid w:val="00616274"/>
    <w:rsid w:val="00616332"/>
    <w:rsid w:val="00616587"/>
    <w:rsid w:val="006165C8"/>
    <w:rsid w:val="00616F6B"/>
    <w:rsid w:val="00617D01"/>
    <w:rsid w:val="00620E10"/>
    <w:rsid w:val="00621063"/>
    <w:rsid w:val="006212F3"/>
    <w:rsid w:val="00621473"/>
    <w:rsid w:val="00621F71"/>
    <w:rsid w:val="00622088"/>
    <w:rsid w:val="006220D7"/>
    <w:rsid w:val="006225C0"/>
    <w:rsid w:val="006227AB"/>
    <w:rsid w:val="006228C9"/>
    <w:rsid w:val="00622FCB"/>
    <w:rsid w:val="006232E6"/>
    <w:rsid w:val="006236DE"/>
    <w:rsid w:val="00623766"/>
    <w:rsid w:val="00623BDC"/>
    <w:rsid w:val="00623DC4"/>
    <w:rsid w:val="00623E1A"/>
    <w:rsid w:val="00623F9B"/>
    <w:rsid w:val="00624003"/>
    <w:rsid w:val="006242DD"/>
    <w:rsid w:val="006245DF"/>
    <w:rsid w:val="00624A6E"/>
    <w:rsid w:val="00624AB6"/>
    <w:rsid w:val="00624AEC"/>
    <w:rsid w:val="00624D27"/>
    <w:rsid w:val="00624E2D"/>
    <w:rsid w:val="006252A4"/>
    <w:rsid w:val="00625758"/>
    <w:rsid w:val="00625965"/>
    <w:rsid w:val="00626A65"/>
    <w:rsid w:val="00626DF4"/>
    <w:rsid w:val="00627348"/>
    <w:rsid w:val="00627941"/>
    <w:rsid w:val="00627BF9"/>
    <w:rsid w:val="00627EDA"/>
    <w:rsid w:val="00627EEC"/>
    <w:rsid w:val="00630156"/>
    <w:rsid w:val="006302D9"/>
    <w:rsid w:val="00630655"/>
    <w:rsid w:val="00630B90"/>
    <w:rsid w:val="00630C66"/>
    <w:rsid w:val="00630E6C"/>
    <w:rsid w:val="0063130C"/>
    <w:rsid w:val="00631B75"/>
    <w:rsid w:val="00631C9B"/>
    <w:rsid w:val="00632506"/>
    <w:rsid w:val="00632732"/>
    <w:rsid w:val="00633A8D"/>
    <w:rsid w:val="00633B1E"/>
    <w:rsid w:val="0063468C"/>
    <w:rsid w:val="006349EF"/>
    <w:rsid w:val="00634BB6"/>
    <w:rsid w:val="00634FD1"/>
    <w:rsid w:val="0063534C"/>
    <w:rsid w:val="006357C9"/>
    <w:rsid w:val="00635801"/>
    <w:rsid w:val="0063580D"/>
    <w:rsid w:val="0063590C"/>
    <w:rsid w:val="00635D87"/>
    <w:rsid w:val="00636283"/>
    <w:rsid w:val="00636852"/>
    <w:rsid w:val="006369B8"/>
    <w:rsid w:val="00636A09"/>
    <w:rsid w:val="00636AAB"/>
    <w:rsid w:val="00636AD6"/>
    <w:rsid w:val="00636BC7"/>
    <w:rsid w:val="006370EE"/>
    <w:rsid w:val="006371A8"/>
    <w:rsid w:val="006371F1"/>
    <w:rsid w:val="00637567"/>
    <w:rsid w:val="0063773A"/>
    <w:rsid w:val="00637833"/>
    <w:rsid w:val="0064008E"/>
    <w:rsid w:val="0064076D"/>
    <w:rsid w:val="00641084"/>
    <w:rsid w:val="0064147D"/>
    <w:rsid w:val="0064170C"/>
    <w:rsid w:val="00641A87"/>
    <w:rsid w:val="0064223D"/>
    <w:rsid w:val="00642256"/>
    <w:rsid w:val="006423D5"/>
    <w:rsid w:val="006426CE"/>
    <w:rsid w:val="00642872"/>
    <w:rsid w:val="00642A73"/>
    <w:rsid w:val="00642C65"/>
    <w:rsid w:val="00642E32"/>
    <w:rsid w:val="006430B9"/>
    <w:rsid w:val="0064345B"/>
    <w:rsid w:val="00643602"/>
    <w:rsid w:val="006437EC"/>
    <w:rsid w:val="006437FC"/>
    <w:rsid w:val="00643930"/>
    <w:rsid w:val="006439BE"/>
    <w:rsid w:val="00643C66"/>
    <w:rsid w:val="00643DEE"/>
    <w:rsid w:val="00643F9C"/>
    <w:rsid w:val="00644290"/>
    <w:rsid w:val="006445FB"/>
    <w:rsid w:val="00644780"/>
    <w:rsid w:val="006448A5"/>
    <w:rsid w:val="00644C18"/>
    <w:rsid w:val="00644C32"/>
    <w:rsid w:val="00644E05"/>
    <w:rsid w:val="00644F0D"/>
    <w:rsid w:val="006453F7"/>
    <w:rsid w:val="00645722"/>
    <w:rsid w:val="00645739"/>
    <w:rsid w:val="00646106"/>
    <w:rsid w:val="00646267"/>
    <w:rsid w:val="0064667B"/>
    <w:rsid w:val="00646DFE"/>
    <w:rsid w:val="00646E07"/>
    <w:rsid w:val="00646E2F"/>
    <w:rsid w:val="00647D0D"/>
    <w:rsid w:val="00650165"/>
    <w:rsid w:val="0065019A"/>
    <w:rsid w:val="00650248"/>
    <w:rsid w:val="00650297"/>
    <w:rsid w:val="0065035C"/>
    <w:rsid w:val="006503CC"/>
    <w:rsid w:val="00650A98"/>
    <w:rsid w:val="0065150C"/>
    <w:rsid w:val="0065164C"/>
    <w:rsid w:val="00651651"/>
    <w:rsid w:val="00651762"/>
    <w:rsid w:val="00651E49"/>
    <w:rsid w:val="006520EE"/>
    <w:rsid w:val="006523F8"/>
    <w:rsid w:val="0065260A"/>
    <w:rsid w:val="006528BF"/>
    <w:rsid w:val="00652D2A"/>
    <w:rsid w:val="00653026"/>
    <w:rsid w:val="00653168"/>
    <w:rsid w:val="0065346B"/>
    <w:rsid w:val="00653566"/>
    <w:rsid w:val="0065395B"/>
    <w:rsid w:val="00654101"/>
    <w:rsid w:val="00654252"/>
    <w:rsid w:val="00654436"/>
    <w:rsid w:val="0065484C"/>
    <w:rsid w:val="0065493B"/>
    <w:rsid w:val="006549D6"/>
    <w:rsid w:val="00654B3D"/>
    <w:rsid w:val="00654F3F"/>
    <w:rsid w:val="00655184"/>
    <w:rsid w:val="006551EB"/>
    <w:rsid w:val="00655439"/>
    <w:rsid w:val="006557B9"/>
    <w:rsid w:val="00655A42"/>
    <w:rsid w:val="00655C74"/>
    <w:rsid w:val="00655DE3"/>
    <w:rsid w:val="00656277"/>
    <w:rsid w:val="006569AD"/>
    <w:rsid w:val="00656AC0"/>
    <w:rsid w:val="00656BC1"/>
    <w:rsid w:val="006575F7"/>
    <w:rsid w:val="0065785D"/>
    <w:rsid w:val="00657BAB"/>
    <w:rsid w:val="00657BBE"/>
    <w:rsid w:val="00660408"/>
    <w:rsid w:val="006604BE"/>
    <w:rsid w:val="006606B1"/>
    <w:rsid w:val="006606F9"/>
    <w:rsid w:val="006609FC"/>
    <w:rsid w:val="00660E15"/>
    <w:rsid w:val="00661527"/>
    <w:rsid w:val="00661B6C"/>
    <w:rsid w:val="00661C27"/>
    <w:rsid w:val="0066219C"/>
    <w:rsid w:val="00662234"/>
    <w:rsid w:val="00662271"/>
    <w:rsid w:val="00662348"/>
    <w:rsid w:val="0066260D"/>
    <w:rsid w:val="00662898"/>
    <w:rsid w:val="006629DA"/>
    <w:rsid w:val="00662A7F"/>
    <w:rsid w:val="00662E9A"/>
    <w:rsid w:val="00663396"/>
    <w:rsid w:val="00663685"/>
    <w:rsid w:val="00663778"/>
    <w:rsid w:val="006637FD"/>
    <w:rsid w:val="00663DFC"/>
    <w:rsid w:val="00664097"/>
    <w:rsid w:val="0066451A"/>
    <w:rsid w:val="006647DC"/>
    <w:rsid w:val="006647E7"/>
    <w:rsid w:val="00665179"/>
    <w:rsid w:val="00665196"/>
    <w:rsid w:val="006651FF"/>
    <w:rsid w:val="00665354"/>
    <w:rsid w:val="00665683"/>
    <w:rsid w:val="006656BF"/>
    <w:rsid w:val="00665A86"/>
    <w:rsid w:val="0066621F"/>
    <w:rsid w:val="0066643F"/>
    <w:rsid w:val="00666488"/>
    <w:rsid w:val="00666633"/>
    <w:rsid w:val="006669BF"/>
    <w:rsid w:val="00667270"/>
    <w:rsid w:val="006674B9"/>
    <w:rsid w:val="00667850"/>
    <w:rsid w:val="006678C0"/>
    <w:rsid w:val="00667AA0"/>
    <w:rsid w:val="00667BDD"/>
    <w:rsid w:val="00667C3E"/>
    <w:rsid w:val="00667EE1"/>
    <w:rsid w:val="00670110"/>
    <w:rsid w:val="006702F5"/>
    <w:rsid w:val="006703FF"/>
    <w:rsid w:val="0067040E"/>
    <w:rsid w:val="0067079E"/>
    <w:rsid w:val="00670B97"/>
    <w:rsid w:val="00670C04"/>
    <w:rsid w:val="00670C2B"/>
    <w:rsid w:val="00671332"/>
    <w:rsid w:val="00671CC5"/>
    <w:rsid w:val="00671F96"/>
    <w:rsid w:val="00672298"/>
    <w:rsid w:val="00672779"/>
    <w:rsid w:val="00672B58"/>
    <w:rsid w:val="00672C09"/>
    <w:rsid w:val="00672DF7"/>
    <w:rsid w:val="0067314B"/>
    <w:rsid w:val="006732D9"/>
    <w:rsid w:val="00673650"/>
    <w:rsid w:val="0067380B"/>
    <w:rsid w:val="00673CEF"/>
    <w:rsid w:val="00673FBC"/>
    <w:rsid w:val="00674287"/>
    <w:rsid w:val="006742D8"/>
    <w:rsid w:val="00674431"/>
    <w:rsid w:val="006745F1"/>
    <w:rsid w:val="00674D72"/>
    <w:rsid w:val="00674ECE"/>
    <w:rsid w:val="006751E5"/>
    <w:rsid w:val="0067527C"/>
    <w:rsid w:val="00675ADD"/>
    <w:rsid w:val="00675B9E"/>
    <w:rsid w:val="006761FC"/>
    <w:rsid w:val="00676444"/>
    <w:rsid w:val="00676570"/>
    <w:rsid w:val="006765A8"/>
    <w:rsid w:val="006767A5"/>
    <w:rsid w:val="00676931"/>
    <w:rsid w:val="00676973"/>
    <w:rsid w:val="00676DC5"/>
    <w:rsid w:val="00676E47"/>
    <w:rsid w:val="00676F64"/>
    <w:rsid w:val="00677115"/>
    <w:rsid w:val="00677E6B"/>
    <w:rsid w:val="00677F6B"/>
    <w:rsid w:val="006802AD"/>
    <w:rsid w:val="006805A7"/>
    <w:rsid w:val="006805FD"/>
    <w:rsid w:val="00680ACA"/>
    <w:rsid w:val="00681040"/>
    <w:rsid w:val="00681258"/>
    <w:rsid w:val="00681468"/>
    <w:rsid w:val="006814FA"/>
    <w:rsid w:val="006815D4"/>
    <w:rsid w:val="006815E8"/>
    <w:rsid w:val="00681634"/>
    <w:rsid w:val="00681737"/>
    <w:rsid w:val="00681CB9"/>
    <w:rsid w:val="00681E30"/>
    <w:rsid w:val="006821FF"/>
    <w:rsid w:val="00682B13"/>
    <w:rsid w:val="00682B56"/>
    <w:rsid w:val="00683058"/>
    <w:rsid w:val="0068374F"/>
    <w:rsid w:val="00683C36"/>
    <w:rsid w:val="0068408E"/>
    <w:rsid w:val="0068474D"/>
    <w:rsid w:val="00685055"/>
    <w:rsid w:val="00685075"/>
    <w:rsid w:val="006850E3"/>
    <w:rsid w:val="0068549E"/>
    <w:rsid w:val="00686227"/>
    <w:rsid w:val="00686275"/>
    <w:rsid w:val="0068656B"/>
    <w:rsid w:val="006866BE"/>
    <w:rsid w:val="00686804"/>
    <w:rsid w:val="00686925"/>
    <w:rsid w:val="00686D92"/>
    <w:rsid w:val="006871EF"/>
    <w:rsid w:val="00687869"/>
    <w:rsid w:val="00687A56"/>
    <w:rsid w:val="00687DD4"/>
    <w:rsid w:val="0069043D"/>
    <w:rsid w:val="00690B0F"/>
    <w:rsid w:val="00690CAE"/>
    <w:rsid w:val="00690DC1"/>
    <w:rsid w:val="00690DEF"/>
    <w:rsid w:val="00690FB2"/>
    <w:rsid w:val="00691075"/>
    <w:rsid w:val="006913C7"/>
    <w:rsid w:val="006918D8"/>
    <w:rsid w:val="00691C7D"/>
    <w:rsid w:val="00691E51"/>
    <w:rsid w:val="0069261C"/>
    <w:rsid w:val="00692649"/>
    <w:rsid w:val="00693053"/>
    <w:rsid w:val="0069318F"/>
    <w:rsid w:val="00693397"/>
    <w:rsid w:val="0069372F"/>
    <w:rsid w:val="006937B8"/>
    <w:rsid w:val="006939AB"/>
    <w:rsid w:val="00693B2C"/>
    <w:rsid w:val="00693B6C"/>
    <w:rsid w:val="00694580"/>
    <w:rsid w:val="00694E0C"/>
    <w:rsid w:val="00694E25"/>
    <w:rsid w:val="006954BF"/>
    <w:rsid w:val="00695839"/>
    <w:rsid w:val="00695C89"/>
    <w:rsid w:val="00695C92"/>
    <w:rsid w:val="00695CBC"/>
    <w:rsid w:val="00696596"/>
    <w:rsid w:val="0069682A"/>
    <w:rsid w:val="0069682B"/>
    <w:rsid w:val="00696D42"/>
    <w:rsid w:val="00696FE2"/>
    <w:rsid w:val="00697496"/>
    <w:rsid w:val="006975B1"/>
    <w:rsid w:val="0069783F"/>
    <w:rsid w:val="00697A5A"/>
    <w:rsid w:val="00697E25"/>
    <w:rsid w:val="006A019A"/>
    <w:rsid w:val="006A113E"/>
    <w:rsid w:val="006A1C73"/>
    <w:rsid w:val="006A1CA2"/>
    <w:rsid w:val="006A1E11"/>
    <w:rsid w:val="006A2220"/>
    <w:rsid w:val="006A293F"/>
    <w:rsid w:val="006A2B48"/>
    <w:rsid w:val="006A325B"/>
    <w:rsid w:val="006A32A7"/>
    <w:rsid w:val="006A34B7"/>
    <w:rsid w:val="006A3A24"/>
    <w:rsid w:val="006A3B5D"/>
    <w:rsid w:val="006A463F"/>
    <w:rsid w:val="006A4867"/>
    <w:rsid w:val="006A4AC1"/>
    <w:rsid w:val="006A4FDC"/>
    <w:rsid w:val="006A50D6"/>
    <w:rsid w:val="006A5545"/>
    <w:rsid w:val="006A59F7"/>
    <w:rsid w:val="006A5EC9"/>
    <w:rsid w:val="006A6097"/>
    <w:rsid w:val="006A6599"/>
    <w:rsid w:val="006A663D"/>
    <w:rsid w:val="006A6B09"/>
    <w:rsid w:val="006A6E07"/>
    <w:rsid w:val="006A718E"/>
    <w:rsid w:val="006A7503"/>
    <w:rsid w:val="006A7592"/>
    <w:rsid w:val="006A77D7"/>
    <w:rsid w:val="006A7A4E"/>
    <w:rsid w:val="006A7A9D"/>
    <w:rsid w:val="006A7C04"/>
    <w:rsid w:val="006B0248"/>
    <w:rsid w:val="006B0400"/>
    <w:rsid w:val="006B04F9"/>
    <w:rsid w:val="006B09A8"/>
    <w:rsid w:val="006B0E2F"/>
    <w:rsid w:val="006B1E09"/>
    <w:rsid w:val="006B1FD7"/>
    <w:rsid w:val="006B29B8"/>
    <w:rsid w:val="006B2B9B"/>
    <w:rsid w:val="006B3189"/>
    <w:rsid w:val="006B320A"/>
    <w:rsid w:val="006B3315"/>
    <w:rsid w:val="006B394D"/>
    <w:rsid w:val="006B3AAD"/>
    <w:rsid w:val="006B3B7A"/>
    <w:rsid w:val="006B3D71"/>
    <w:rsid w:val="006B4189"/>
    <w:rsid w:val="006B44D5"/>
    <w:rsid w:val="006B47CC"/>
    <w:rsid w:val="006B4810"/>
    <w:rsid w:val="006B5030"/>
    <w:rsid w:val="006B540E"/>
    <w:rsid w:val="006B5484"/>
    <w:rsid w:val="006B6C1A"/>
    <w:rsid w:val="006B710D"/>
    <w:rsid w:val="006B7362"/>
    <w:rsid w:val="006B74B4"/>
    <w:rsid w:val="006B7642"/>
    <w:rsid w:val="006B76E7"/>
    <w:rsid w:val="006B7DF3"/>
    <w:rsid w:val="006B7E34"/>
    <w:rsid w:val="006B7FC8"/>
    <w:rsid w:val="006C030F"/>
    <w:rsid w:val="006C099B"/>
    <w:rsid w:val="006C0FE5"/>
    <w:rsid w:val="006C1989"/>
    <w:rsid w:val="006C1FA9"/>
    <w:rsid w:val="006C209D"/>
    <w:rsid w:val="006C20FE"/>
    <w:rsid w:val="006C26C6"/>
    <w:rsid w:val="006C27B2"/>
    <w:rsid w:val="006C28E4"/>
    <w:rsid w:val="006C295C"/>
    <w:rsid w:val="006C2B77"/>
    <w:rsid w:val="006C2E72"/>
    <w:rsid w:val="006C3F8F"/>
    <w:rsid w:val="006C4101"/>
    <w:rsid w:val="006C42C8"/>
    <w:rsid w:val="006C4E2D"/>
    <w:rsid w:val="006C4EBC"/>
    <w:rsid w:val="006C50C1"/>
    <w:rsid w:val="006C51FC"/>
    <w:rsid w:val="006C5516"/>
    <w:rsid w:val="006C579D"/>
    <w:rsid w:val="006C58C5"/>
    <w:rsid w:val="006C5ACF"/>
    <w:rsid w:val="006C5B1E"/>
    <w:rsid w:val="006C5F70"/>
    <w:rsid w:val="006C7DB5"/>
    <w:rsid w:val="006C7DC4"/>
    <w:rsid w:val="006D000B"/>
    <w:rsid w:val="006D0174"/>
    <w:rsid w:val="006D056F"/>
    <w:rsid w:val="006D0614"/>
    <w:rsid w:val="006D0D9A"/>
    <w:rsid w:val="006D0FDE"/>
    <w:rsid w:val="006D1355"/>
    <w:rsid w:val="006D138F"/>
    <w:rsid w:val="006D1393"/>
    <w:rsid w:val="006D19BE"/>
    <w:rsid w:val="006D1B45"/>
    <w:rsid w:val="006D1F14"/>
    <w:rsid w:val="006D225E"/>
    <w:rsid w:val="006D26C3"/>
    <w:rsid w:val="006D2B9D"/>
    <w:rsid w:val="006D2FEB"/>
    <w:rsid w:val="006D30B8"/>
    <w:rsid w:val="006D31DA"/>
    <w:rsid w:val="006D3399"/>
    <w:rsid w:val="006D3FE6"/>
    <w:rsid w:val="006D438E"/>
    <w:rsid w:val="006D4796"/>
    <w:rsid w:val="006D498F"/>
    <w:rsid w:val="006D4A3A"/>
    <w:rsid w:val="006D4C1C"/>
    <w:rsid w:val="006D51D1"/>
    <w:rsid w:val="006D52C7"/>
    <w:rsid w:val="006D55A3"/>
    <w:rsid w:val="006D5889"/>
    <w:rsid w:val="006D59B0"/>
    <w:rsid w:val="006D5BDC"/>
    <w:rsid w:val="006D5C3D"/>
    <w:rsid w:val="006D5E9C"/>
    <w:rsid w:val="006D65CB"/>
    <w:rsid w:val="006D69D3"/>
    <w:rsid w:val="006D6FE8"/>
    <w:rsid w:val="006D72C7"/>
    <w:rsid w:val="006D73D3"/>
    <w:rsid w:val="006D77A1"/>
    <w:rsid w:val="006D7BA4"/>
    <w:rsid w:val="006D7C80"/>
    <w:rsid w:val="006D7CF3"/>
    <w:rsid w:val="006E049E"/>
    <w:rsid w:val="006E04BF"/>
    <w:rsid w:val="006E0B44"/>
    <w:rsid w:val="006E0D00"/>
    <w:rsid w:val="006E0F8C"/>
    <w:rsid w:val="006E1A86"/>
    <w:rsid w:val="006E1B08"/>
    <w:rsid w:val="006E221E"/>
    <w:rsid w:val="006E2D41"/>
    <w:rsid w:val="006E3203"/>
    <w:rsid w:val="006E3286"/>
    <w:rsid w:val="006E33C5"/>
    <w:rsid w:val="006E3790"/>
    <w:rsid w:val="006E51FD"/>
    <w:rsid w:val="006E520A"/>
    <w:rsid w:val="006E56D0"/>
    <w:rsid w:val="006E5B31"/>
    <w:rsid w:val="006E5CF6"/>
    <w:rsid w:val="006E66FB"/>
    <w:rsid w:val="006E6779"/>
    <w:rsid w:val="006E6951"/>
    <w:rsid w:val="006E73FA"/>
    <w:rsid w:val="006E765C"/>
    <w:rsid w:val="006E76BE"/>
    <w:rsid w:val="006E7B10"/>
    <w:rsid w:val="006E7BFB"/>
    <w:rsid w:val="006E7D64"/>
    <w:rsid w:val="006F028C"/>
    <w:rsid w:val="006F03B2"/>
    <w:rsid w:val="006F041F"/>
    <w:rsid w:val="006F07E2"/>
    <w:rsid w:val="006F0D32"/>
    <w:rsid w:val="006F0D86"/>
    <w:rsid w:val="006F0F60"/>
    <w:rsid w:val="006F159E"/>
    <w:rsid w:val="006F1C89"/>
    <w:rsid w:val="006F1E96"/>
    <w:rsid w:val="006F2166"/>
    <w:rsid w:val="006F21CE"/>
    <w:rsid w:val="006F24FD"/>
    <w:rsid w:val="006F2D2A"/>
    <w:rsid w:val="006F3872"/>
    <w:rsid w:val="006F38A4"/>
    <w:rsid w:val="006F3C36"/>
    <w:rsid w:val="006F3CD8"/>
    <w:rsid w:val="006F459A"/>
    <w:rsid w:val="006F4632"/>
    <w:rsid w:val="006F4681"/>
    <w:rsid w:val="006F4CDD"/>
    <w:rsid w:val="006F5085"/>
    <w:rsid w:val="006F5223"/>
    <w:rsid w:val="006F5242"/>
    <w:rsid w:val="006F5475"/>
    <w:rsid w:val="006F565C"/>
    <w:rsid w:val="006F5B76"/>
    <w:rsid w:val="006F616F"/>
    <w:rsid w:val="006F65CD"/>
    <w:rsid w:val="006F670F"/>
    <w:rsid w:val="006F6741"/>
    <w:rsid w:val="006F68E9"/>
    <w:rsid w:val="006F6E09"/>
    <w:rsid w:val="006F731C"/>
    <w:rsid w:val="006F7388"/>
    <w:rsid w:val="006F75DB"/>
    <w:rsid w:val="006F771B"/>
    <w:rsid w:val="006F7BD0"/>
    <w:rsid w:val="006F7F45"/>
    <w:rsid w:val="007010F6"/>
    <w:rsid w:val="00701403"/>
    <w:rsid w:val="00701803"/>
    <w:rsid w:val="00701F4C"/>
    <w:rsid w:val="00701F8D"/>
    <w:rsid w:val="00702307"/>
    <w:rsid w:val="00702908"/>
    <w:rsid w:val="00702951"/>
    <w:rsid w:val="007029A4"/>
    <w:rsid w:val="00702AAB"/>
    <w:rsid w:val="007031DD"/>
    <w:rsid w:val="007033E0"/>
    <w:rsid w:val="0070356E"/>
    <w:rsid w:val="00703904"/>
    <w:rsid w:val="00703DC1"/>
    <w:rsid w:val="00703DCE"/>
    <w:rsid w:val="00703E90"/>
    <w:rsid w:val="00704002"/>
    <w:rsid w:val="007040EB"/>
    <w:rsid w:val="007040EE"/>
    <w:rsid w:val="0070417E"/>
    <w:rsid w:val="00704221"/>
    <w:rsid w:val="007045FF"/>
    <w:rsid w:val="00704601"/>
    <w:rsid w:val="0070462B"/>
    <w:rsid w:val="0070489A"/>
    <w:rsid w:val="00704B6B"/>
    <w:rsid w:val="0070529F"/>
    <w:rsid w:val="0070552B"/>
    <w:rsid w:val="00705586"/>
    <w:rsid w:val="0070560D"/>
    <w:rsid w:val="00705695"/>
    <w:rsid w:val="00705A46"/>
    <w:rsid w:val="00705B15"/>
    <w:rsid w:val="00705BA9"/>
    <w:rsid w:val="00706439"/>
    <w:rsid w:val="00706627"/>
    <w:rsid w:val="0070665D"/>
    <w:rsid w:val="007066FB"/>
    <w:rsid w:val="00706B40"/>
    <w:rsid w:val="007076E2"/>
    <w:rsid w:val="00707C4A"/>
    <w:rsid w:val="00710148"/>
    <w:rsid w:val="0071085C"/>
    <w:rsid w:val="007109FC"/>
    <w:rsid w:val="00710C27"/>
    <w:rsid w:val="00710D6F"/>
    <w:rsid w:val="00711147"/>
    <w:rsid w:val="007117F0"/>
    <w:rsid w:val="00711A05"/>
    <w:rsid w:val="00711C2C"/>
    <w:rsid w:val="00711DBF"/>
    <w:rsid w:val="0071216A"/>
    <w:rsid w:val="007122C8"/>
    <w:rsid w:val="00712371"/>
    <w:rsid w:val="00712679"/>
    <w:rsid w:val="00712723"/>
    <w:rsid w:val="00712A52"/>
    <w:rsid w:val="00712F3F"/>
    <w:rsid w:val="0071330D"/>
    <w:rsid w:val="0071352F"/>
    <w:rsid w:val="007138D6"/>
    <w:rsid w:val="0071419F"/>
    <w:rsid w:val="0071421B"/>
    <w:rsid w:val="0071428F"/>
    <w:rsid w:val="007144BB"/>
    <w:rsid w:val="00714A81"/>
    <w:rsid w:val="00714BFF"/>
    <w:rsid w:val="00714D57"/>
    <w:rsid w:val="00714F16"/>
    <w:rsid w:val="007151D8"/>
    <w:rsid w:val="007152CA"/>
    <w:rsid w:val="00715A01"/>
    <w:rsid w:val="00715A1B"/>
    <w:rsid w:val="007160F0"/>
    <w:rsid w:val="00716251"/>
    <w:rsid w:val="007162C9"/>
    <w:rsid w:val="007167AC"/>
    <w:rsid w:val="0071687C"/>
    <w:rsid w:val="00716BF3"/>
    <w:rsid w:val="00716C3D"/>
    <w:rsid w:val="00716D00"/>
    <w:rsid w:val="00717566"/>
    <w:rsid w:val="00717D57"/>
    <w:rsid w:val="00717F50"/>
    <w:rsid w:val="00717FFE"/>
    <w:rsid w:val="00720196"/>
    <w:rsid w:val="00720294"/>
    <w:rsid w:val="0072080E"/>
    <w:rsid w:val="00720F8A"/>
    <w:rsid w:val="00720F90"/>
    <w:rsid w:val="00721357"/>
    <w:rsid w:val="00721E39"/>
    <w:rsid w:val="0072252B"/>
    <w:rsid w:val="00722B49"/>
    <w:rsid w:val="00722CC3"/>
    <w:rsid w:val="00722DC4"/>
    <w:rsid w:val="0072371E"/>
    <w:rsid w:val="00723CE6"/>
    <w:rsid w:val="00724B1F"/>
    <w:rsid w:val="00724C87"/>
    <w:rsid w:val="00724F14"/>
    <w:rsid w:val="007254D1"/>
    <w:rsid w:val="00725CE6"/>
    <w:rsid w:val="00725E13"/>
    <w:rsid w:val="00725FC5"/>
    <w:rsid w:val="0072614A"/>
    <w:rsid w:val="00726154"/>
    <w:rsid w:val="007262EF"/>
    <w:rsid w:val="007265F6"/>
    <w:rsid w:val="00726607"/>
    <w:rsid w:val="00726B09"/>
    <w:rsid w:val="00726DE5"/>
    <w:rsid w:val="0072717C"/>
    <w:rsid w:val="0072725B"/>
    <w:rsid w:val="007275D5"/>
    <w:rsid w:val="00727D54"/>
    <w:rsid w:val="00727F7A"/>
    <w:rsid w:val="00730AED"/>
    <w:rsid w:val="00730B50"/>
    <w:rsid w:val="00730E8C"/>
    <w:rsid w:val="00731227"/>
    <w:rsid w:val="007318FD"/>
    <w:rsid w:val="00731E21"/>
    <w:rsid w:val="00732274"/>
    <w:rsid w:val="0073249E"/>
    <w:rsid w:val="00732607"/>
    <w:rsid w:val="0073270E"/>
    <w:rsid w:val="00732DAB"/>
    <w:rsid w:val="00732EA1"/>
    <w:rsid w:val="00733358"/>
    <w:rsid w:val="007334E8"/>
    <w:rsid w:val="007335A7"/>
    <w:rsid w:val="00733620"/>
    <w:rsid w:val="007336FA"/>
    <w:rsid w:val="00733A9C"/>
    <w:rsid w:val="00733C44"/>
    <w:rsid w:val="00733F43"/>
    <w:rsid w:val="00734156"/>
    <w:rsid w:val="007342CC"/>
    <w:rsid w:val="00734843"/>
    <w:rsid w:val="00734A32"/>
    <w:rsid w:val="007360DC"/>
    <w:rsid w:val="00736769"/>
    <w:rsid w:val="007368DF"/>
    <w:rsid w:val="0073718B"/>
    <w:rsid w:val="00737969"/>
    <w:rsid w:val="00737AAE"/>
    <w:rsid w:val="00737D6A"/>
    <w:rsid w:val="00737DF9"/>
    <w:rsid w:val="00740010"/>
    <w:rsid w:val="00740392"/>
    <w:rsid w:val="00740CCB"/>
    <w:rsid w:val="00740E5A"/>
    <w:rsid w:val="00740F4D"/>
    <w:rsid w:val="00740F94"/>
    <w:rsid w:val="00740FE8"/>
    <w:rsid w:val="00741070"/>
    <w:rsid w:val="007418D2"/>
    <w:rsid w:val="00741EEA"/>
    <w:rsid w:val="007421C1"/>
    <w:rsid w:val="007425F3"/>
    <w:rsid w:val="00742901"/>
    <w:rsid w:val="007429CD"/>
    <w:rsid w:val="00742F9F"/>
    <w:rsid w:val="007434A1"/>
    <w:rsid w:val="007434D2"/>
    <w:rsid w:val="00743CA6"/>
    <w:rsid w:val="00743DB2"/>
    <w:rsid w:val="0074455E"/>
    <w:rsid w:val="00744A69"/>
    <w:rsid w:val="00744AF7"/>
    <w:rsid w:val="00745066"/>
    <w:rsid w:val="00745360"/>
    <w:rsid w:val="00745868"/>
    <w:rsid w:val="00745A0D"/>
    <w:rsid w:val="00745B5C"/>
    <w:rsid w:val="00745C65"/>
    <w:rsid w:val="00745D0F"/>
    <w:rsid w:val="007464FA"/>
    <w:rsid w:val="00746D9A"/>
    <w:rsid w:val="00746DCB"/>
    <w:rsid w:val="007470BE"/>
    <w:rsid w:val="0074718F"/>
    <w:rsid w:val="0074772F"/>
    <w:rsid w:val="007477CD"/>
    <w:rsid w:val="00747BD5"/>
    <w:rsid w:val="00747C91"/>
    <w:rsid w:val="007503B8"/>
    <w:rsid w:val="00750528"/>
    <w:rsid w:val="0075053A"/>
    <w:rsid w:val="00750759"/>
    <w:rsid w:val="00750974"/>
    <w:rsid w:val="0075098D"/>
    <w:rsid w:val="00750D01"/>
    <w:rsid w:val="00750E96"/>
    <w:rsid w:val="00750EE1"/>
    <w:rsid w:val="00750FF7"/>
    <w:rsid w:val="007514B4"/>
    <w:rsid w:val="00751BD8"/>
    <w:rsid w:val="00751C08"/>
    <w:rsid w:val="00751D69"/>
    <w:rsid w:val="007522E5"/>
    <w:rsid w:val="00752419"/>
    <w:rsid w:val="00752778"/>
    <w:rsid w:val="007527BF"/>
    <w:rsid w:val="00752A0D"/>
    <w:rsid w:val="00752DFF"/>
    <w:rsid w:val="0075358F"/>
    <w:rsid w:val="007539DC"/>
    <w:rsid w:val="00753B81"/>
    <w:rsid w:val="0075418A"/>
    <w:rsid w:val="00754272"/>
    <w:rsid w:val="0075432F"/>
    <w:rsid w:val="00754333"/>
    <w:rsid w:val="00754535"/>
    <w:rsid w:val="007565B4"/>
    <w:rsid w:val="00756BC6"/>
    <w:rsid w:val="00756CB7"/>
    <w:rsid w:val="00757391"/>
    <w:rsid w:val="00757542"/>
    <w:rsid w:val="007579AC"/>
    <w:rsid w:val="00757CC0"/>
    <w:rsid w:val="00757DD8"/>
    <w:rsid w:val="007606C8"/>
    <w:rsid w:val="0076074F"/>
    <w:rsid w:val="00760859"/>
    <w:rsid w:val="00760AF7"/>
    <w:rsid w:val="00761AA5"/>
    <w:rsid w:val="00761CE3"/>
    <w:rsid w:val="0076216E"/>
    <w:rsid w:val="0076247E"/>
    <w:rsid w:val="00762CC6"/>
    <w:rsid w:val="0076318B"/>
    <w:rsid w:val="007631C6"/>
    <w:rsid w:val="00763338"/>
    <w:rsid w:val="007633A5"/>
    <w:rsid w:val="007633C1"/>
    <w:rsid w:val="007636EA"/>
    <w:rsid w:val="0076387A"/>
    <w:rsid w:val="007638E9"/>
    <w:rsid w:val="00764263"/>
    <w:rsid w:val="00764BCE"/>
    <w:rsid w:val="00764F3F"/>
    <w:rsid w:val="007653E3"/>
    <w:rsid w:val="007655F9"/>
    <w:rsid w:val="00765D85"/>
    <w:rsid w:val="00766139"/>
    <w:rsid w:val="007661D4"/>
    <w:rsid w:val="007664ED"/>
    <w:rsid w:val="007676D8"/>
    <w:rsid w:val="00767D3F"/>
    <w:rsid w:val="00767E75"/>
    <w:rsid w:val="0077014E"/>
    <w:rsid w:val="007703B7"/>
    <w:rsid w:val="00770629"/>
    <w:rsid w:val="00770CBA"/>
    <w:rsid w:val="00770E7A"/>
    <w:rsid w:val="00771062"/>
    <w:rsid w:val="0077189E"/>
    <w:rsid w:val="00771B61"/>
    <w:rsid w:val="00771BF2"/>
    <w:rsid w:val="00771CE5"/>
    <w:rsid w:val="00771F1F"/>
    <w:rsid w:val="0077208C"/>
    <w:rsid w:val="007722CB"/>
    <w:rsid w:val="00772409"/>
    <w:rsid w:val="007724C3"/>
    <w:rsid w:val="007724C6"/>
    <w:rsid w:val="007726A2"/>
    <w:rsid w:val="007726EA"/>
    <w:rsid w:val="007727EE"/>
    <w:rsid w:val="00772850"/>
    <w:rsid w:val="00772994"/>
    <w:rsid w:val="007731E0"/>
    <w:rsid w:val="0077360B"/>
    <w:rsid w:val="007736BD"/>
    <w:rsid w:val="00773897"/>
    <w:rsid w:val="00773906"/>
    <w:rsid w:val="00773E9E"/>
    <w:rsid w:val="007748D1"/>
    <w:rsid w:val="007750B3"/>
    <w:rsid w:val="00775A87"/>
    <w:rsid w:val="00775CBE"/>
    <w:rsid w:val="00775E6F"/>
    <w:rsid w:val="00775F09"/>
    <w:rsid w:val="00775F74"/>
    <w:rsid w:val="00776246"/>
    <w:rsid w:val="007763DC"/>
    <w:rsid w:val="00776522"/>
    <w:rsid w:val="00776A4A"/>
    <w:rsid w:val="00776F7E"/>
    <w:rsid w:val="007774A6"/>
    <w:rsid w:val="00777608"/>
    <w:rsid w:val="0077776F"/>
    <w:rsid w:val="007777B1"/>
    <w:rsid w:val="00777B83"/>
    <w:rsid w:val="007801A7"/>
    <w:rsid w:val="007802A5"/>
    <w:rsid w:val="0078038C"/>
    <w:rsid w:val="00780C48"/>
    <w:rsid w:val="00780F87"/>
    <w:rsid w:val="0078121B"/>
    <w:rsid w:val="00781285"/>
    <w:rsid w:val="007815FA"/>
    <w:rsid w:val="00781648"/>
    <w:rsid w:val="007816E7"/>
    <w:rsid w:val="007819CC"/>
    <w:rsid w:val="00782276"/>
    <w:rsid w:val="007825CA"/>
    <w:rsid w:val="00782819"/>
    <w:rsid w:val="00782A75"/>
    <w:rsid w:val="007836C1"/>
    <w:rsid w:val="007839BD"/>
    <w:rsid w:val="00783B24"/>
    <w:rsid w:val="0078444C"/>
    <w:rsid w:val="00784672"/>
    <w:rsid w:val="00784D5D"/>
    <w:rsid w:val="00784FF8"/>
    <w:rsid w:val="007850BE"/>
    <w:rsid w:val="007853CB"/>
    <w:rsid w:val="00786529"/>
    <w:rsid w:val="00786578"/>
    <w:rsid w:val="007867AB"/>
    <w:rsid w:val="007867F3"/>
    <w:rsid w:val="00786956"/>
    <w:rsid w:val="00786B33"/>
    <w:rsid w:val="00786BD9"/>
    <w:rsid w:val="007874D6"/>
    <w:rsid w:val="00787981"/>
    <w:rsid w:val="00787CE5"/>
    <w:rsid w:val="00787DDA"/>
    <w:rsid w:val="00787ECB"/>
    <w:rsid w:val="00787FF1"/>
    <w:rsid w:val="00790586"/>
    <w:rsid w:val="00790656"/>
    <w:rsid w:val="00790F49"/>
    <w:rsid w:val="007910DC"/>
    <w:rsid w:val="007913E6"/>
    <w:rsid w:val="00791478"/>
    <w:rsid w:val="00791491"/>
    <w:rsid w:val="007915AA"/>
    <w:rsid w:val="0079187B"/>
    <w:rsid w:val="00791CF2"/>
    <w:rsid w:val="00791D37"/>
    <w:rsid w:val="00792187"/>
    <w:rsid w:val="007922AC"/>
    <w:rsid w:val="007923E4"/>
    <w:rsid w:val="00792E82"/>
    <w:rsid w:val="00792F87"/>
    <w:rsid w:val="00793447"/>
    <w:rsid w:val="00793546"/>
    <w:rsid w:val="0079356D"/>
    <w:rsid w:val="00793624"/>
    <w:rsid w:val="007937A1"/>
    <w:rsid w:val="00793985"/>
    <w:rsid w:val="007939FD"/>
    <w:rsid w:val="00794103"/>
    <w:rsid w:val="00794189"/>
    <w:rsid w:val="007943D3"/>
    <w:rsid w:val="0079443B"/>
    <w:rsid w:val="00794608"/>
    <w:rsid w:val="00794892"/>
    <w:rsid w:val="0079498A"/>
    <w:rsid w:val="00794FAC"/>
    <w:rsid w:val="007951AE"/>
    <w:rsid w:val="007953E1"/>
    <w:rsid w:val="007955E3"/>
    <w:rsid w:val="007956EA"/>
    <w:rsid w:val="0079578A"/>
    <w:rsid w:val="00795B27"/>
    <w:rsid w:val="00795B6E"/>
    <w:rsid w:val="00795BE7"/>
    <w:rsid w:val="00795D9D"/>
    <w:rsid w:val="0079601A"/>
    <w:rsid w:val="007962C7"/>
    <w:rsid w:val="00796316"/>
    <w:rsid w:val="00796679"/>
    <w:rsid w:val="00796B69"/>
    <w:rsid w:val="00796BFD"/>
    <w:rsid w:val="00796C2E"/>
    <w:rsid w:val="00796FFB"/>
    <w:rsid w:val="00797067"/>
    <w:rsid w:val="0079721F"/>
    <w:rsid w:val="007972B3"/>
    <w:rsid w:val="00797700"/>
    <w:rsid w:val="0079770C"/>
    <w:rsid w:val="007A005D"/>
    <w:rsid w:val="007A0ECC"/>
    <w:rsid w:val="007A13C6"/>
    <w:rsid w:val="007A14D7"/>
    <w:rsid w:val="007A1DE3"/>
    <w:rsid w:val="007A1FC4"/>
    <w:rsid w:val="007A2492"/>
    <w:rsid w:val="007A25C8"/>
    <w:rsid w:val="007A268B"/>
    <w:rsid w:val="007A2B01"/>
    <w:rsid w:val="007A2CB7"/>
    <w:rsid w:val="007A2E13"/>
    <w:rsid w:val="007A2F97"/>
    <w:rsid w:val="007A30D1"/>
    <w:rsid w:val="007A34F2"/>
    <w:rsid w:val="007A36A1"/>
    <w:rsid w:val="007A3995"/>
    <w:rsid w:val="007A4344"/>
    <w:rsid w:val="007A444B"/>
    <w:rsid w:val="007A466B"/>
    <w:rsid w:val="007A490A"/>
    <w:rsid w:val="007A51F6"/>
    <w:rsid w:val="007A53B7"/>
    <w:rsid w:val="007A5BC4"/>
    <w:rsid w:val="007A5D32"/>
    <w:rsid w:val="007A60EA"/>
    <w:rsid w:val="007A6363"/>
    <w:rsid w:val="007A6567"/>
    <w:rsid w:val="007A6AEF"/>
    <w:rsid w:val="007A71DB"/>
    <w:rsid w:val="007A76DC"/>
    <w:rsid w:val="007A7BC8"/>
    <w:rsid w:val="007B0412"/>
    <w:rsid w:val="007B0559"/>
    <w:rsid w:val="007B0699"/>
    <w:rsid w:val="007B09BA"/>
    <w:rsid w:val="007B0D2E"/>
    <w:rsid w:val="007B0E32"/>
    <w:rsid w:val="007B0FF6"/>
    <w:rsid w:val="007B1158"/>
    <w:rsid w:val="007B12D3"/>
    <w:rsid w:val="007B14E5"/>
    <w:rsid w:val="007B1733"/>
    <w:rsid w:val="007B173F"/>
    <w:rsid w:val="007B186D"/>
    <w:rsid w:val="007B1C7A"/>
    <w:rsid w:val="007B1F9A"/>
    <w:rsid w:val="007B1FFF"/>
    <w:rsid w:val="007B210D"/>
    <w:rsid w:val="007B229E"/>
    <w:rsid w:val="007B2AF5"/>
    <w:rsid w:val="007B2C91"/>
    <w:rsid w:val="007B2D25"/>
    <w:rsid w:val="007B2E2C"/>
    <w:rsid w:val="007B2F66"/>
    <w:rsid w:val="007B3035"/>
    <w:rsid w:val="007B34AB"/>
    <w:rsid w:val="007B36E0"/>
    <w:rsid w:val="007B3DCE"/>
    <w:rsid w:val="007B4863"/>
    <w:rsid w:val="007B4A24"/>
    <w:rsid w:val="007B5701"/>
    <w:rsid w:val="007B5A20"/>
    <w:rsid w:val="007B5B15"/>
    <w:rsid w:val="007B5F64"/>
    <w:rsid w:val="007B65CA"/>
    <w:rsid w:val="007B674B"/>
    <w:rsid w:val="007B686B"/>
    <w:rsid w:val="007B6A5E"/>
    <w:rsid w:val="007B71AA"/>
    <w:rsid w:val="007B739D"/>
    <w:rsid w:val="007B7497"/>
    <w:rsid w:val="007B75F8"/>
    <w:rsid w:val="007B77D3"/>
    <w:rsid w:val="007B7ADC"/>
    <w:rsid w:val="007C0B09"/>
    <w:rsid w:val="007C0D77"/>
    <w:rsid w:val="007C0D80"/>
    <w:rsid w:val="007C0E1E"/>
    <w:rsid w:val="007C143B"/>
    <w:rsid w:val="007C1579"/>
    <w:rsid w:val="007C15CF"/>
    <w:rsid w:val="007C164F"/>
    <w:rsid w:val="007C16C4"/>
    <w:rsid w:val="007C182D"/>
    <w:rsid w:val="007C1838"/>
    <w:rsid w:val="007C2BEE"/>
    <w:rsid w:val="007C2CF1"/>
    <w:rsid w:val="007C2D32"/>
    <w:rsid w:val="007C2F57"/>
    <w:rsid w:val="007C3190"/>
    <w:rsid w:val="007C33E1"/>
    <w:rsid w:val="007C353C"/>
    <w:rsid w:val="007C37BA"/>
    <w:rsid w:val="007C39CD"/>
    <w:rsid w:val="007C3E44"/>
    <w:rsid w:val="007C3E96"/>
    <w:rsid w:val="007C44E5"/>
    <w:rsid w:val="007C47CD"/>
    <w:rsid w:val="007C4D56"/>
    <w:rsid w:val="007C4DAC"/>
    <w:rsid w:val="007C5055"/>
    <w:rsid w:val="007C53A2"/>
    <w:rsid w:val="007C5CB7"/>
    <w:rsid w:val="007C5F2D"/>
    <w:rsid w:val="007C61C1"/>
    <w:rsid w:val="007C61DC"/>
    <w:rsid w:val="007C6479"/>
    <w:rsid w:val="007C6562"/>
    <w:rsid w:val="007C65A5"/>
    <w:rsid w:val="007C66A8"/>
    <w:rsid w:val="007C6FB2"/>
    <w:rsid w:val="007C7280"/>
    <w:rsid w:val="007C7456"/>
    <w:rsid w:val="007C7516"/>
    <w:rsid w:val="007C7589"/>
    <w:rsid w:val="007C7649"/>
    <w:rsid w:val="007C78CF"/>
    <w:rsid w:val="007C7AD0"/>
    <w:rsid w:val="007C7B66"/>
    <w:rsid w:val="007C7FC7"/>
    <w:rsid w:val="007D036B"/>
    <w:rsid w:val="007D0405"/>
    <w:rsid w:val="007D0570"/>
    <w:rsid w:val="007D06A1"/>
    <w:rsid w:val="007D07FE"/>
    <w:rsid w:val="007D093D"/>
    <w:rsid w:val="007D0E08"/>
    <w:rsid w:val="007D11F6"/>
    <w:rsid w:val="007D142B"/>
    <w:rsid w:val="007D1608"/>
    <w:rsid w:val="007D22C9"/>
    <w:rsid w:val="007D249E"/>
    <w:rsid w:val="007D25BA"/>
    <w:rsid w:val="007D28DE"/>
    <w:rsid w:val="007D2AA7"/>
    <w:rsid w:val="007D2D9C"/>
    <w:rsid w:val="007D2DD5"/>
    <w:rsid w:val="007D4310"/>
    <w:rsid w:val="007D4391"/>
    <w:rsid w:val="007D4456"/>
    <w:rsid w:val="007D4F39"/>
    <w:rsid w:val="007D5167"/>
    <w:rsid w:val="007D5183"/>
    <w:rsid w:val="007D54A4"/>
    <w:rsid w:val="007D59E4"/>
    <w:rsid w:val="007D5D5D"/>
    <w:rsid w:val="007D61C7"/>
    <w:rsid w:val="007D684B"/>
    <w:rsid w:val="007D6B6B"/>
    <w:rsid w:val="007D6C06"/>
    <w:rsid w:val="007D76E7"/>
    <w:rsid w:val="007D7790"/>
    <w:rsid w:val="007D7AEF"/>
    <w:rsid w:val="007D7B42"/>
    <w:rsid w:val="007D7B70"/>
    <w:rsid w:val="007E02A5"/>
    <w:rsid w:val="007E02D7"/>
    <w:rsid w:val="007E089D"/>
    <w:rsid w:val="007E0936"/>
    <w:rsid w:val="007E0BCB"/>
    <w:rsid w:val="007E0CC2"/>
    <w:rsid w:val="007E0CF6"/>
    <w:rsid w:val="007E0E31"/>
    <w:rsid w:val="007E0FAA"/>
    <w:rsid w:val="007E0FBD"/>
    <w:rsid w:val="007E0FC4"/>
    <w:rsid w:val="007E0FCC"/>
    <w:rsid w:val="007E14CB"/>
    <w:rsid w:val="007E16BE"/>
    <w:rsid w:val="007E174A"/>
    <w:rsid w:val="007E19E8"/>
    <w:rsid w:val="007E1ABA"/>
    <w:rsid w:val="007E1BED"/>
    <w:rsid w:val="007E1C13"/>
    <w:rsid w:val="007E1D43"/>
    <w:rsid w:val="007E1D87"/>
    <w:rsid w:val="007E1F22"/>
    <w:rsid w:val="007E23C0"/>
    <w:rsid w:val="007E27C5"/>
    <w:rsid w:val="007E2870"/>
    <w:rsid w:val="007E2B45"/>
    <w:rsid w:val="007E2F4B"/>
    <w:rsid w:val="007E3326"/>
    <w:rsid w:val="007E339B"/>
    <w:rsid w:val="007E364C"/>
    <w:rsid w:val="007E3C6E"/>
    <w:rsid w:val="007E467B"/>
    <w:rsid w:val="007E46B0"/>
    <w:rsid w:val="007E4A16"/>
    <w:rsid w:val="007E4BCB"/>
    <w:rsid w:val="007E51CA"/>
    <w:rsid w:val="007E52B7"/>
    <w:rsid w:val="007E5303"/>
    <w:rsid w:val="007E5492"/>
    <w:rsid w:val="007E54F5"/>
    <w:rsid w:val="007E5596"/>
    <w:rsid w:val="007E57BF"/>
    <w:rsid w:val="007E5A71"/>
    <w:rsid w:val="007E5DD1"/>
    <w:rsid w:val="007E5FC9"/>
    <w:rsid w:val="007E6063"/>
    <w:rsid w:val="007E6199"/>
    <w:rsid w:val="007E61A8"/>
    <w:rsid w:val="007E62DB"/>
    <w:rsid w:val="007E673A"/>
    <w:rsid w:val="007E6B88"/>
    <w:rsid w:val="007E7320"/>
    <w:rsid w:val="007E7661"/>
    <w:rsid w:val="007E7EFF"/>
    <w:rsid w:val="007E7FD2"/>
    <w:rsid w:val="007EE541"/>
    <w:rsid w:val="007F034E"/>
    <w:rsid w:val="007F0449"/>
    <w:rsid w:val="007F075B"/>
    <w:rsid w:val="007F0C7F"/>
    <w:rsid w:val="007F128D"/>
    <w:rsid w:val="007F1490"/>
    <w:rsid w:val="007F15F6"/>
    <w:rsid w:val="007F2816"/>
    <w:rsid w:val="007F2932"/>
    <w:rsid w:val="007F302F"/>
    <w:rsid w:val="007F324D"/>
    <w:rsid w:val="007F34FA"/>
    <w:rsid w:val="007F3630"/>
    <w:rsid w:val="007F371A"/>
    <w:rsid w:val="007F3C36"/>
    <w:rsid w:val="007F3DAA"/>
    <w:rsid w:val="007F3DDA"/>
    <w:rsid w:val="007F430E"/>
    <w:rsid w:val="007F4368"/>
    <w:rsid w:val="007F446A"/>
    <w:rsid w:val="007F4ADD"/>
    <w:rsid w:val="007F4E9C"/>
    <w:rsid w:val="007F5BEB"/>
    <w:rsid w:val="007F5D91"/>
    <w:rsid w:val="007F5DE7"/>
    <w:rsid w:val="007F5F2D"/>
    <w:rsid w:val="007F6AC4"/>
    <w:rsid w:val="007F6D8C"/>
    <w:rsid w:val="007F7036"/>
    <w:rsid w:val="007F7055"/>
    <w:rsid w:val="007F706D"/>
    <w:rsid w:val="0080007C"/>
    <w:rsid w:val="00800287"/>
    <w:rsid w:val="008002D2"/>
    <w:rsid w:val="008004AC"/>
    <w:rsid w:val="00800666"/>
    <w:rsid w:val="008006E4"/>
    <w:rsid w:val="00800722"/>
    <w:rsid w:val="0080073D"/>
    <w:rsid w:val="0080092A"/>
    <w:rsid w:val="00800C67"/>
    <w:rsid w:val="008011D8"/>
    <w:rsid w:val="0080162E"/>
    <w:rsid w:val="00801740"/>
    <w:rsid w:val="00801B63"/>
    <w:rsid w:val="00801C8D"/>
    <w:rsid w:val="00801E5C"/>
    <w:rsid w:val="00801FBD"/>
    <w:rsid w:val="00802232"/>
    <w:rsid w:val="00802387"/>
    <w:rsid w:val="00802810"/>
    <w:rsid w:val="00802C8F"/>
    <w:rsid w:val="00803201"/>
    <w:rsid w:val="008033F6"/>
    <w:rsid w:val="00803423"/>
    <w:rsid w:val="00803940"/>
    <w:rsid w:val="00803B74"/>
    <w:rsid w:val="00803F2F"/>
    <w:rsid w:val="008042C7"/>
    <w:rsid w:val="00804B4D"/>
    <w:rsid w:val="00804FAA"/>
    <w:rsid w:val="00805045"/>
    <w:rsid w:val="00805317"/>
    <w:rsid w:val="008055A4"/>
    <w:rsid w:val="00805688"/>
    <w:rsid w:val="00805BE7"/>
    <w:rsid w:val="00805C0C"/>
    <w:rsid w:val="00805ECE"/>
    <w:rsid w:val="008060FF"/>
    <w:rsid w:val="0080619E"/>
    <w:rsid w:val="008062E3"/>
    <w:rsid w:val="00806448"/>
    <w:rsid w:val="00807009"/>
    <w:rsid w:val="00807208"/>
    <w:rsid w:val="00807551"/>
    <w:rsid w:val="008076E9"/>
    <w:rsid w:val="0080780D"/>
    <w:rsid w:val="0080792E"/>
    <w:rsid w:val="008079DF"/>
    <w:rsid w:val="00807B48"/>
    <w:rsid w:val="00807D98"/>
    <w:rsid w:val="00807E31"/>
    <w:rsid w:val="00810BC6"/>
    <w:rsid w:val="00810F1C"/>
    <w:rsid w:val="0081129B"/>
    <w:rsid w:val="0081138C"/>
    <w:rsid w:val="008114B5"/>
    <w:rsid w:val="0081166C"/>
    <w:rsid w:val="0081184F"/>
    <w:rsid w:val="008119A8"/>
    <w:rsid w:val="008119C9"/>
    <w:rsid w:val="00811BD9"/>
    <w:rsid w:val="00811EEF"/>
    <w:rsid w:val="008122C7"/>
    <w:rsid w:val="008124F3"/>
    <w:rsid w:val="008127AE"/>
    <w:rsid w:val="00812AD6"/>
    <w:rsid w:val="00812FB2"/>
    <w:rsid w:val="00813816"/>
    <w:rsid w:val="00813993"/>
    <w:rsid w:val="00813B66"/>
    <w:rsid w:val="00813BDA"/>
    <w:rsid w:val="00814256"/>
    <w:rsid w:val="00814333"/>
    <w:rsid w:val="00814796"/>
    <w:rsid w:val="008147EC"/>
    <w:rsid w:val="00814A28"/>
    <w:rsid w:val="0081512A"/>
    <w:rsid w:val="00815283"/>
    <w:rsid w:val="00815CFB"/>
    <w:rsid w:val="00815F2F"/>
    <w:rsid w:val="00815FFC"/>
    <w:rsid w:val="0081618B"/>
    <w:rsid w:val="008166F5"/>
    <w:rsid w:val="00816C6E"/>
    <w:rsid w:val="00816DBF"/>
    <w:rsid w:val="00817238"/>
    <w:rsid w:val="00817AA3"/>
    <w:rsid w:val="00817C11"/>
    <w:rsid w:val="008203FB"/>
    <w:rsid w:val="00820409"/>
    <w:rsid w:val="00820747"/>
    <w:rsid w:val="008208FB"/>
    <w:rsid w:val="008210EA"/>
    <w:rsid w:val="00821210"/>
    <w:rsid w:val="00821650"/>
    <w:rsid w:val="008216C6"/>
    <w:rsid w:val="00821C4D"/>
    <w:rsid w:val="00822925"/>
    <w:rsid w:val="00822D06"/>
    <w:rsid w:val="00822F77"/>
    <w:rsid w:val="008230FC"/>
    <w:rsid w:val="0082318B"/>
    <w:rsid w:val="00823223"/>
    <w:rsid w:val="00823228"/>
    <w:rsid w:val="00823271"/>
    <w:rsid w:val="008237E6"/>
    <w:rsid w:val="008238BE"/>
    <w:rsid w:val="0082390A"/>
    <w:rsid w:val="00823ACA"/>
    <w:rsid w:val="00823B0E"/>
    <w:rsid w:val="00823F90"/>
    <w:rsid w:val="0082423F"/>
    <w:rsid w:val="008244E6"/>
    <w:rsid w:val="008245D7"/>
    <w:rsid w:val="008247FB"/>
    <w:rsid w:val="00824909"/>
    <w:rsid w:val="008259CF"/>
    <w:rsid w:val="00825C7B"/>
    <w:rsid w:val="00825D69"/>
    <w:rsid w:val="008260CB"/>
    <w:rsid w:val="0082664C"/>
    <w:rsid w:val="008266E3"/>
    <w:rsid w:val="00826950"/>
    <w:rsid w:val="00826ACD"/>
    <w:rsid w:val="00826BA7"/>
    <w:rsid w:val="00826E11"/>
    <w:rsid w:val="00826F5B"/>
    <w:rsid w:val="00827396"/>
    <w:rsid w:val="00827583"/>
    <w:rsid w:val="00827592"/>
    <w:rsid w:val="00827823"/>
    <w:rsid w:val="00827EB9"/>
    <w:rsid w:val="008304F7"/>
    <w:rsid w:val="00830883"/>
    <w:rsid w:val="00831866"/>
    <w:rsid w:val="00831B03"/>
    <w:rsid w:val="008320BA"/>
    <w:rsid w:val="00832990"/>
    <w:rsid w:val="00832BFD"/>
    <w:rsid w:val="00833016"/>
    <w:rsid w:val="008332B5"/>
    <w:rsid w:val="00833833"/>
    <w:rsid w:val="00833F5C"/>
    <w:rsid w:val="0083447E"/>
    <w:rsid w:val="008346A3"/>
    <w:rsid w:val="00834C64"/>
    <w:rsid w:val="00834D92"/>
    <w:rsid w:val="008350D9"/>
    <w:rsid w:val="00835377"/>
    <w:rsid w:val="008356B2"/>
    <w:rsid w:val="00835A54"/>
    <w:rsid w:val="00836120"/>
    <w:rsid w:val="0083621A"/>
    <w:rsid w:val="00836617"/>
    <w:rsid w:val="00836663"/>
    <w:rsid w:val="008366FD"/>
    <w:rsid w:val="00836A8E"/>
    <w:rsid w:val="00836BC2"/>
    <w:rsid w:val="00836E87"/>
    <w:rsid w:val="00837083"/>
    <w:rsid w:val="008372D3"/>
    <w:rsid w:val="008377DB"/>
    <w:rsid w:val="00837B5B"/>
    <w:rsid w:val="00837FD5"/>
    <w:rsid w:val="0084020D"/>
    <w:rsid w:val="00840C3A"/>
    <w:rsid w:val="00840C65"/>
    <w:rsid w:val="00840EA3"/>
    <w:rsid w:val="00840EDC"/>
    <w:rsid w:val="00840EF3"/>
    <w:rsid w:val="0084133F"/>
    <w:rsid w:val="00841447"/>
    <w:rsid w:val="008415F9"/>
    <w:rsid w:val="00841620"/>
    <w:rsid w:val="00841EFA"/>
    <w:rsid w:val="00841F74"/>
    <w:rsid w:val="00842012"/>
    <w:rsid w:val="00842090"/>
    <w:rsid w:val="00842826"/>
    <w:rsid w:val="008428D3"/>
    <w:rsid w:val="00842AF5"/>
    <w:rsid w:val="00843140"/>
    <w:rsid w:val="008439A7"/>
    <w:rsid w:val="00843B92"/>
    <w:rsid w:val="008440EC"/>
    <w:rsid w:val="00844360"/>
    <w:rsid w:val="00844816"/>
    <w:rsid w:val="00844A09"/>
    <w:rsid w:val="00844AF1"/>
    <w:rsid w:val="00845417"/>
    <w:rsid w:val="008454B5"/>
    <w:rsid w:val="00845530"/>
    <w:rsid w:val="0084563D"/>
    <w:rsid w:val="008456A8"/>
    <w:rsid w:val="00845EE4"/>
    <w:rsid w:val="00846801"/>
    <w:rsid w:val="00846AAC"/>
    <w:rsid w:val="00846BA1"/>
    <w:rsid w:val="00846F8A"/>
    <w:rsid w:val="00847002"/>
    <w:rsid w:val="00847046"/>
    <w:rsid w:val="008473FA"/>
    <w:rsid w:val="008475B1"/>
    <w:rsid w:val="00847760"/>
    <w:rsid w:val="00847C5F"/>
    <w:rsid w:val="00850019"/>
    <w:rsid w:val="0085038D"/>
    <w:rsid w:val="00850764"/>
    <w:rsid w:val="008509BF"/>
    <w:rsid w:val="00850AE6"/>
    <w:rsid w:val="00851926"/>
    <w:rsid w:val="008519BC"/>
    <w:rsid w:val="008519EE"/>
    <w:rsid w:val="008520CD"/>
    <w:rsid w:val="008528FE"/>
    <w:rsid w:val="00852B63"/>
    <w:rsid w:val="00852C63"/>
    <w:rsid w:val="00852D0B"/>
    <w:rsid w:val="00852DB1"/>
    <w:rsid w:val="00852EBF"/>
    <w:rsid w:val="00853193"/>
    <w:rsid w:val="00853481"/>
    <w:rsid w:val="008534B0"/>
    <w:rsid w:val="0085375E"/>
    <w:rsid w:val="00853B2A"/>
    <w:rsid w:val="00853BF8"/>
    <w:rsid w:val="00853DA5"/>
    <w:rsid w:val="00853E2B"/>
    <w:rsid w:val="008541B3"/>
    <w:rsid w:val="008543BA"/>
    <w:rsid w:val="0085467B"/>
    <w:rsid w:val="008546FE"/>
    <w:rsid w:val="00854C8B"/>
    <w:rsid w:val="00854CB7"/>
    <w:rsid w:val="0085513B"/>
    <w:rsid w:val="008551C1"/>
    <w:rsid w:val="008553EB"/>
    <w:rsid w:val="0085551D"/>
    <w:rsid w:val="00855794"/>
    <w:rsid w:val="008557A4"/>
    <w:rsid w:val="00855B98"/>
    <w:rsid w:val="00855BF2"/>
    <w:rsid w:val="008562B4"/>
    <w:rsid w:val="00856413"/>
    <w:rsid w:val="008565D9"/>
    <w:rsid w:val="008565E7"/>
    <w:rsid w:val="0085666B"/>
    <w:rsid w:val="008568C0"/>
    <w:rsid w:val="0085721F"/>
    <w:rsid w:val="00857FEA"/>
    <w:rsid w:val="00860776"/>
    <w:rsid w:val="00861065"/>
    <w:rsid w:val="0086187B"/>
    <w:rsid w:val="00861CC7"/>
    <w:rsid w:val="00861EE7"/>
    <w:rsid w:val="00862269"/>
    <w:rsid w:val="00862426"/>
    <w:rsid w:val="00862D41"/>
    <w:rsid w:val="00862DD3"/>
    <w:rsid w:val="00862E4C"/>
    <w:rsid w:val="00862ED9"/>
    <w:rsid w:val="00863224"/>
    <w:rsid w:val="0086335D"/>
    <w:rsid w:val="00863C17"/>
    <w:rsid w:val="00863C18"/>
    <w:rsid w:val="00863C48"/>
    <w:rsid w:val="00863E77"/>
    <w:rsid w:val="00863EC5"/>
    <w:rsid w:val="00864262"/>
    <w:rsid w:val="0086432E"/>
    <w:rsid w:val="008644E0"/>
    <w:rsid w:val="00864749"/>
    <w:rsid w:val="0086493B"/>
    <w:rsid w:val="00865AED"/>
    <w:rsid w:val="00865BA8"/>
    <w:rsid w:val="008664DB"/>
    <w:rsid w:val="0086664C"/>
    <w:rsid w:val="00866899"/>
    <w:rsid w:val="008668CA"/>
    <w:rsid w:val="00866DE6"/>
    <w:rsid w:val="008674A1"/>
    <w:rsid w:val="00867673"/>
    <w:rsid w:val="0086771A"/>
    <w:rsid w:val="0086776E"/>
    <w:rsid w:val="0086794E"/>
    <w:rsid w:val="00867B18"/>
    <w:rsid w:val="0087009E"/>
    <w:rsid w:val="008706C1"/>
    <w:rsid w:val="008707C0"/>
    <w:rsid w:val="00870E79"/>
    <w:rsid w:val="00870FD5"/>
    <w:rsid w:val="008711CB"/>
    <w:rsid w:val="00871366"/>
    <w:rsid w:val="0087148D"/>
    <w:rsid w:val="008717CE"/>
    <w:rsid w:val="00871E3B"/>
    <w:rsid w:val="008720B3"/>
    <w:rsid w:val="0087243E"/>
    <w:rsid w:val="00872581"/>
    <w:rsid w:val="008729DB"/>
    <w:rsid w:val="00872B0C"/>
    <w:rsid w:val="00872C27"/>
    <w:rsid w:val="00872C41"/>
    <w:rsid w:val="00872DFF"/>
    <w:rsid w:val="00872FD3"/>
    <w:rsid w:val="0087320A"/>
    <w:rsid w:val="00873258"/>
    <w:rsid w:val="00873322"/>
    <w:rsid w:val="0087395D"/>
    <w:rsid w:val="00874021"/>
    <w:rsid w:val="00874121"/>
    <w:rsid w:val="00874142"/>
    <w:rsid w:val="00874B58"/>
    <w:rsid w:val="00874EDA"/>
    <w:rsid w:val="008750D5"/>
    <w:rsid w:val="0087524A"/>
    <w:rsid w:val="0087545F"/>
    <w:rsid w:val="00875B0D"/>
    <w:rsid w:val="00875BDF"/>
    <w:rsid w:val="00875CDA"/>
    <w:rsid w:val="00875E53"/>
    <w:rsid w:val="00875EE4"/>
    <w:rsid w:val="008760C0"/>
    <w:rsid w:val="0087649A"/>
    <w:rsid w:val="00876759"/>
    <w:rsid w:val="008768C6"/>
    <w:rsid w:val="0087692A"/>
    <w:rsid w:val="00876E10"/>
    <w:rsid w:val="00876F3D"/>
    <w:rsid w:val="008774F2"/>
    <w:rsid w:val="0087753F"/>
    <w:rsid w:val="0087757D"/>
    <w:rsid w:val="008776F9"/>
    <w:rsid w:val="00877BED"/>
    <w:rsid w:val="00877E19"/>
    <w:rsid w:val="0088063A"/>
    <w:rsid w:val="008807F6"/>
    <w:rsid w:val="00880AF9"/>
    <w:rsid w:val="00880B0D"/>
    <w:rsid w:val="00880CA4"/>
    <w:rsid w:val="0088135A"/>
    <w:rsid w:val="008815C2"/>
    <w:rsid w:val="00881650"/>
    <w:rsid w:val="00881BD2"/>
    <w:rsid w:val="00881CA3"/>
    <w:rsid w:val="00881CEA"/>
    <w:rsid w:val="00882106"/>
    <w:rsid w:val="00882389"/>
    <w:rsid w:val="00882410"/>
    <w:rsid w:val="008833EF"/>
    <w:rsid w:val="00883428"/>
    <w:rsid w:val="008835BE"/>
    <w:rsid w:val="0088382E"/>
    <w:rsid w:val="00883F22"/>
    <w:rsid w:val="00884191"/>
    <w:rsid w:val="00884551"/>
    <w:rsid w:val="00884899"/>
    <w:rsid w:val="0088491B"/>
    <w:rsid w:val="00884CF8"/>
    <w:rsid w:val="00884D1A"/>
    <w:rsid w:val="00884FF6"/>
    <w:rsid w:val="00885356"/>
    <w:rsid w:val="00885DD2"/>
    <w:rsid w:val="008860F6"/>
    <w:rsid w:val="008862B5"/>
    <w:rsid w:val="0088644D"/>
    <w:rsid w:val="008864B9"/>
    <w:rsid w:val="00886670"/>
    <w:rsid w:val="00886B36"/>
    <w:rsid w:val="00886CE4"/>
    <w:rsid w:val="00886CF4"/>
    <w:rsid w:val="008874D8"/>
    <w:rsid w:val="008875A5"/>
    <w:rsid w:val="00887610"/>
    <w:rsid w:val="00887673"/>
    <w:rsid w:val="008876B9"/>
    <w:rsid w:val="00887A4A"/>
    <w:rsid w:val="008905F1"/>
    <w:rsid w:val="00890991"/>
    <w:rsid w:val="00890B1B"/>
    <w:rsid w:val="00890DDB"/>
    <w:rsid w:val="0089137A"/>
    <w:rsid w:val="00891483"/>
    <w:rsid w:val="00891872"/>
    <w:rsid w:val="00891FFD"/>
    <w:rsid w:val="00892549"/>
    <w:rsid w:val="0089286E"/>
    <w:rsid w:val="00892F0B"/>
    <w:rsid w:val="00893C30"/>
    <w:rsid w:val="008940F4"/>
    <w:rsid w:val="00894309"/>
    <w:rsid w:val="0089461A"/>
    <w:rsid w:val="00894E2A"/>
    <w:rsid w:val="00894E8E"/>
    <w:rsid w:val="008954D2"/>
    <w:rsid w:val="008956BC"/>
    <w:rsid w:val="00896465"/>
    <w:rsid w:val="00896DA8"/>
    <w:rsid w:val="00897838"/>
    <w:rsid w:val="00897897"/>
    <w:rsid w:val="00897BB1"/>
    <w:rsid w:val="00897BB3"/>
    <w:rsid w:val="008A0063"/>
    <w:rsid w:val="008A00AD"/>
    <w:rsid w:val="008A03ED"/>
    <w:rsid w:val="008A078F"/>
    <w:rsid w:val="008A0B22"/>
    <w:rsid w:val="008A1034"/>
    <w:rsid w:val="008A1098"/>
    <w:rsid w:val="008A110E"/>
    <w:rsid w:val="008A132C"/>
    <w:rsid w:val="008A13FA"/>
    <w:rsid w:val="008A16C3"/>
    <w:rsid w:val="008A1761"/>
    <w:rsid w:val="008A19E9"/>
    <w:rsid w:val="008A1A67"/>
    <w:rsid w:val="008A2095"/>
    <w:rsid w:val="008A20BE"/>
    <w:rsid w:val="008A24B4"/>
    <w:rsid w:val="008A2684"/>
    <w:rsid w:val="008A295D"/>
    <w:rsid w:val="008A2E83"/>
    <w:rsid w:val="008A30C4"/>
    <w:rsid w:val="008A34E1"/>
    <w:rsid w:val="008A3635"/>
    <w:rsid w:val="008A36E1"/>
    <w:rsid w:val="008A37EA"/>
    <w:rsid w:val="008A3AB7"/>
    <w:rsid w:val="008A3AF7"/>
    <w:rsid w:val="008A3B49"/>
    <w:rsid w:val="008A3C57"/>
    <w:rsid w:val="008A3DF2"/>
    <w:rsid w:val="008A3FEE"/>
    <w:rsid w:val="008A40D1"/>
    <w:rsid w:val="008A4166"/>
    <w:rsid w:val="008A42C5"/>
    <w:rsid w:val="008A4390"/>
    <w:rsid w:val="008A4843"/>
    <w:rsid w:val="008A4AC6"/>
    <w:rsid w:val="008A4E13"/>
    <w:rsid w:val="008A4F42"/>
    <w:rsid w:val="008A4FD0"/>
    <w:rsid w:val="008A584B"/>
    <w:rsid w:val="008A5DC2"/>
    <w:rsid w:val="008A605A"/>
    <w:rsid w:val="008A621F"/>
    <w:rsid w:val="008A64AB"/>
    <w:rsid w:val="008A64BB"/>
    <w:rsid w:val="008A64BC"/>
    <w:rsid w:val="008A655D"/>
    <w:rsid w:val="008A69FB"/>
    <w:rsid w:val="008A6A56"/>
    <w:rsid w:val="008A6D72"/>
    <w:rsid w:val="008A6D86"/>
    <w:rsid w:val="008A6F7F"/>
    <w:rsid w:val="008A704B"/>
    <w:rsid w:val="008A70EF"/>
    <w:rsid w:val="008A73EC"/>
    <w:rsid w:val="008A78D0"/>
    <w:rsid w:val="008A7B33"/>
    <w:rsid w:val="008A7BDE"/>
    <w:rsid w:val="008A7D80"/>
    <w:rsid w:val="008B02F0"/>
    <w:rsid w:val="008B03E2"/>
    <w:rsid w:val="008B0518"/>
    <w:rsid w:val="008B0666"/>
    <w:rsid w:val="008B072B"/>
    <w:rsid w:val="008B0A56"/>
    <w:rsid w:val="008B0BC8"/>
    <w:rsid w:val="008B0E16"/>
    <w:rsid w:val="008B0ED4"/>
    <w:rsid w:val="008B11A0"/>
    <w:rsid w:val="008B1355"/>
    <w:rsid w:val="008B140E"/>
    <w:rsid w:val="008B17BB"/>
    <w:rsid w:val="008B1C49"/>
    <w:rsid w:val="008B224C"/>
    <w:rsid w:val="008B2588"/>
    <w:rsid w:val="008B2692"/>
    <w:rsid w:val="008B2709"/>
    <w:rsid w:val="008B27A3"/>
    <w:rsid w:val="008B2CB2"/>
    <w:rsid w:val="008B32AB"/>
    <w:rsid w:val="008B3385"/>
    <w:rsid w:val="008B3543"/>
    <w:rsid w:val="008B3C1D"/>
    <w:rsid w:val="008B40B2"/>
    <w:rsid w:val="008B41A6"/>
    <w:rsid w:val="008B4658"/>
    <w:rsid w:val="008B4752"/>
    <w:rsid w:val="008B478A"/>
    <w:rsid w:val="008B4972"/>
    <w:rsid w:val="008B4A9A"/>
    <w:rsid w:val="008B51EC"/>
    <w:rsid w:val="008B553D"/>
    <w:rsid w:val="008B5C28"/>
    <w:rsid w:val="008B5D10"/>
    <w:rsid w:val="008B63F2"/>
    <w:rsid w:val="008B6B11"/>
    <w:rsid w:val="008B6BBF"/>
    <w:rsid w:val="008B716D"/>
    <w:rsid w:val="008B71F8"/>
    <w:rsid w:val="008B721B"/>
    <w:rsid w:val="008B7526"/>
    <w:rsid w:val="008B75BB"/>
    <w:rsid w:val="008B7885"/>
    <w:rsid w:val="008B7D19"/>
    <w:rsid w:val="008B7EC7"/>
    <w:rsid w:val="008C00E2"/>
    <w:rsid w:val="008C01A2"/>
    <w:rsid w:val="008C028C"/>
    <w:rsid w:val="008C10AA"/>
    <w:rsid w:val="008C14F7"/>
    <w:rsid w:val="008C16EF"/>
    <w:rsid w:val="008C1765"/>
    <w:rsid w:val="008C1F69"/>
    <w:rsid w:val="008C213C"/>
    <w:rsid w:val="008C225C"/>
    <w:rsid w:val="008C23E0"/>
    <w:rsid w:val="008C2505"/>
    <w:rsid w:val="008C265A"/>
    <w:rsid w:val="008C26C5"/>
    <w:rsid w:val="008C2A43"/>
    <w:rsid w:val="008C2DB8"/>
    <w:rsid w:val="008C2E0F"/>
    <w:rsid w:val="008C2F69"/>
    <w:rsid w:val="008C2FF9"/>
    <w:rsid w:val="008C3811"/>
    <w:rsid w:val="008C38BB"/>
    <w:rsid w:val="008C3D5E"/>
    <w:rsid w:val="008C3F47"/>
    <w:rsid w:val="008C40B4"/>
    <w:rsid w:val="008C415B"/>
    <w:rsid w:val="008C488D"/>
    <w:rsid w:val="008C4BF7"/>
    <w:rsid w:val="008C4D2E"/>
    <w:rsid w:val="008C527B"/>
    <w:rsid w:val="008C52C6"/>
    <w:rsid w:val="008C59F7"/>
    <w:rsid w:val="008C5D7F"/>
    <w:rsid w:val="008C6041"/>
    <w:rsid w:val="008C6078"/>
    <w:rsid w:val="008C6BA4"/>
    <w:rsid w:val="008C6F72"/>
    <w:rsid w:val="008C70CE"/>
    <w:rsid w:val="008C75B6"/>
    <w:rsid w:val="008C75BD"/>
    <w:rsid w:val="008C78CB"/>
    <w:rsid w:val="008C7AEE"/>
    <w:rsid w:val="008C7FC5"/>
    <w:rsid w:val="008D0242"/>
    <w:rsid w:val="008D04B9"/>
    <w:rsid w:val="008D088C"/>
    <w:rsid w:val="008D188F"/>
    <w:rsid w:val="008D19C7"/>
    <w:rsid w:val="008D1C8D"/>
    <w:rsid w:val="008D1E3D"/>
    <w:rsid w:val="008D1E61"/>
    <w:rsid w:val="008D290B"/>
    <w:rsid w:val="008D2D07"/>
    <w:rsid w:val="008D2EA6"/>
    <w:rsid w:val="008D2F6F"/>
    <w:rsid w:val="008D32AA"/>
    <w:rsid w:val="008D32DC"/>
    <w:rsid w:val="008D37D2"/>
    <w:rsid w:val="008D3800"/>
    <w:rsid w:val="008D44EF"/>
    <w:rsid w:val="008D45A1"/>
    <w:rsid w:val="008D4C29"/>
    <w:rsid w:val="008D4C2C"/>
    <w:rsid w:val="008D582E"/>
    <w:rsid w:val="008D596D"/>
    <w:rsid w:val="008D5F94"/>
    <w:rsid w:val="008D614A"/>
    <w:rsid w:val="008D6227"/>
    <w:rsid w:val="008D66EE"/>
    <w:rsid w:val="008D696E"/>
    <w:rsid w:val="008D6997"/>
    <w:rsid w:val="008D6E5E"/>
    <w:rsid w:val="008D6FCD"/>
    <w:rsid w:val="008D7088"/>
    <w:rsid w:val="008D716C"/>
    <w:rsid w:val="008D7350"/>
    <w:rsid w:val="008D735F"/>
    <w:rsid w:val="008D7AF8"/>
    <w:rsid w:val="008D7EE3"/>
    <w:rsid w:val="008E017B"/>
    <w:rsid w:val="008E027B"/>
    <w:rsid w:val="008E0664"/>
    <w:rsid w:val="008E0D5A"/>
    <w:rsid w:val="008E13FC"/>
    <w:rsid w:val="008E16D6"/>
    <w:rsid w:val="008E1983"/>
    <w:rsid w:val="008E1A70"/>
    <w:rsid w:val="008E1EED"/>
    <w:rsid w:val="008E1F3C"/>
    <w:rsid w:val="008E2513"/>
    <w:rsid w:val="008E25E2"/>
    <w:rsid w:val="008E2AE4"/>
    <w:rsid w:val="008E2DB5"/>
    <w:rsid w:val="008E31E1"/>
    <w:rsid w:val="008E33E8"/>
    <w:rsid w:val="008E392A"/>
    <w:rsid w:val="008E3CED"/>
    <w:rsid w:val="008E3D73"/>
    <w:rsid w:val="008E3E98"/>
    <w:rsid w:val="008E41B8"/>
    <w:rsid w:val="008E441D"/>
    <w:rsid w:val="008E47AF"/>
    <w:rsid w:val="008E488D"/>
    <w:rsid w:val="008E48E1"/>
    <w:rsid w:val="008E4C99"/>
    <w:rsid w:val="008E4F96"/>
    <w:rsid w:val="008E5390"/>
    <w:rsid w:val="008E542B"/>
    <w:rsid w:val="008E589C"/>
    <w:rsid w:val="008E5A0C"/>
    <w:rsid w:val="008E5EB3"/>
    <w:rsid w:val="008E5F42"/>
    <w:rsid w:val="008E6072"/>
    <w:rsid w:val="008E615C"/>
    <w:rsid w:val="008E6189"/>
    <w:rsid w:val="008E6494"/>
    <w:rsid w:val="008E65A7"/>
    <w:rsid w:val="008E6685"/>
    <w:rsid w:val="008E6891"/>
    <w:rsid w:val="008E69B3"/>
    <w:rsid w:val="008E6D45"/>
    <w:rsid w:val="008E6E22"/>
    <w:rsid w:val="008E6FB3"/>
    <w:rsid w:val="008E728E"/>
    <w:rsid w:val="008E74EA"/>
    <w:rsid w:val="008E7737"/>
    <w:rsid w:val="008E7982"/>
    <w:rsid w:val="008F0245"/>
    <w:rsid w:val="008F0665"/>
    <w:rsid w:val="008F0786"/>
    <w:rsid w:val="008F08EB"/>
    <w:rsid w:val="008F0C78"/>
    <w:rsid w:val="008F1342"/>
    <w:rsid w:val="008F1879"/>
    <w:rsid w:val="008F195F"/>
    <w:rsid w:val="008F19A7"/>
    <w:rsid w:val="008F19CC"/>
    <w:rsid w:val="008F19DF"/>
    <w:rsid w:val="008F209D"/>
    <w:rsid w:val="008F271A"/>
    <w:rsid w:val="008F2870"/>
    <w:rsid w:val="008F28EA"/>
    <w:rsid w:val="008F2EF0"/>
    <w:rsid w:val="008F2F0E"/>
    <w:rsid w:val="008F2FC2"/>
    <w:rsid w:val="008F30E8"/>
    <w:rsid w:val="008F3297"/>
    <w:rsid w:val="008F3634"/>
    <w:rsid w:val="008F3684"/>
    <w:rsid w:val="008F39CE"/>
    <w:rsid w:val="008F3B53"/>
    <w:rsid w:val="008F3C83"/>
    <w:rsid w:val="008F3E83"/>
    <w:rsid w:val="008F3E85"/>
    <w:rsid w:val="008F44EB"/>
    <w:rsid w:val="008F46A5"/>
    <w:rsid w:val="008F483E"/>
    <w:rsid w:val="008F49D4"/>
    <w:rsid w:val="008F4DE3"/>
    <w:rsid w:val="008F4E28"/>
    <w:rsid w:val="008F51BF"/>
    <w:rsid w:val="008F53AD"/>
    <w:rsid w:val="008F5819"/>
    <w:rsid w:val="008F6207"/>
    <w:rsid w:val="008F626D"/>
    <w:rsid w:val="008F6289"/>
    <w:rsid w:val="008F66F3"/>
    <w:rsid w:val="008F69D2"/>
    <w:rsid w:val="008F69D6"/>
    <w:rsid w:val="008F6EDD"/>
    <w:rsid w:val="008F6F35"/>
    <w:rsid w:val="008F77D3"/>
    <w:rsid w:val="008F7935"/>
    <w:rsid w:val="008F799F"/>
    <w:rsid w:val="009004D6"/>
    <w:rsid w:val="009005C9"/>
    <w:rsid w:val="009005D9"/>
    <w:rsid w:val="00901312"/>
    <w:rsid w:val="009013AC"/>
    <w:rsid w:val="00902272"/>
    <w:rsid w:val="009022BC"/>
    <w:rsid w:val="00902899"/>
    <w:rsid w:val="0090294E"/>
    <w:rsid w:val="00902AD0"/>
    <w:rsid w:val="00902C89"/>
    <w:rsid w:val="00902D08"/>
    <w:rsid w:val="00902D4A"/>
    <w:rsid w:val="00902F79"/>
    <w:rsid w:val="009036AE"/>
    <w:rsid w:val="009039AD"/>
    <w:rsid w:val="00903B59"/>
    <w:rsid w:val="00903B71"/>
    <w:rsid w:val="00903CF5"/>
    <w:rsid w:val="00903D88"/>
    <w:rsid w:val="00903E6F"/>
    <w:rsid w:val="00904ED9"/>
    <w:rsid w:val="00904FFE"/>
    <w:rsid w:val="009054D5"/>
    <w:rsid w:val="009059FF"/>
    <w:rsid w:val="00905D46"/>
    <w:rsid w:val="00905F4C"/>
    <w:rsid w:val="0090666F"/>
    <w:rsid w:val="009069B2"/>
    <w:rsid w:val="00907152"/>
    <w:rsid w:val="009072AB"/>
    <w:rsid w:val="009073CC"/>
    <w:rsid w:val="00907721"/>
    <w:rsid w:val="00907798"/>
    <w:rsid w:val="009077BF"/>
    <w:rsid w:val="009078E0"/>
    <w:rsid w:val="0090792B"/>
    <w:rsid w:val="00907BA1"/>
    <w:rsid w:val="00907D0D"/>
    <w:rsid w:val="009103A5"/>
    <w:rsid w:val="009105B9"/>
    <w:rsid w:val="00910971"/>
    <w:rsid w:val="00910B93"/>
    <w:rsid w:val="0091103A"/>
    <w:rsid w:val="00911127"/>
    <w:rsid w:val="0091131D"/>
    <w:rsid w:val="009115EA"/>
    <w:rsid w:val="00911704"/>
    <w:rsid w:val="00911EDC"/>
    <w:rsid w:val="00911FEC"/>
    <w:rsid w:val="00912026"/>
    <w:rsid w:val="00912058"/>
    <w:rsid w:val="00912710"/>
    <w:rsid w:val="009127E5"/>
    <w:rsid w:val="009127F7"/>
    <w:rsid w:val="0091291E"/>
    <w:rsid w:val="009129A3"/>
    <w:rsid w:val="00912C98"/>
    <w:rsid w:val="00912FFB"/>
    <w:rsid w:val="00913103"/>
    <w:rsid w:val="009137FA"/>
    <w:rsid w:val="009138C1"/>
    <w:rsid w:val="00913DF2"/>
    <w:rsid w:val="009143CC"/>
    <w:rsid w:val="0091480F"/>
    <w:rsid w:val="00914DF4"/>
    <w:rsid w:val="0091517F"/>
    <w:rsid w:val="009151B6"/>
    <w:rsid w:val="009151F3"/>
    <w:rsid w:val="00915B0A"/>
    <w:rsid w:val="00915B3D"/>
    <w:rsid w:val="00915E43"/>
    <w:rsid w:val="0091601A"/>
    <w:rsid w:val="00916477"/>
    <w:rsid w:val="009166DF"/>
    <w:rsid w:val="009169B4"/>
    <w:rsid w:val="00916A1C"/>
    <w:rsid w:val="00916F68"/>
    <w:rsid w:val="0091701F"/>
    <w:rsid w:val="00917311"/>
    <w:rsid w:val="009176AE"/>
    <w:rsid w:val="00917837"/>
    <w:rsid w:val="00917C17"/>
    <w:rsid w:val="0092015A"/>
    <w:rsid w:val="009202D0"/>
    <w:rsid w:val="009205A6"/>
    <w:rsid w:val="00920627"/>
    <w:rsid w:val="00920A84"/>
    <w:rsid w:val="00920D3F"/>
    <w:rsid w:val="00920D41"/>
    <w:rsid w:val="00920DF1"/>
    <w:rsid w:val="00921099"/>
    <w:rsid w:val="00921137"/>
    <w:rsid w:val="00921479"/>
    <w:rsid w:val="00921714"/>
    <w:rsid w:val="00921B5F"/>
    <w:rsid w:val="00921B71"/>
    <w:rsid w:val="00922640"/>
    <w:rsid w:val="00922974"/>
    <w:rsid w:val="009229F5"/>
    <w:rsid w:val="00922A1E"/>
    <w:rsid w:val="00922C6B"/>
    <w:rsid w:val="00922E47"/>
    <w:rsid w:val="00923241"/>
    <w:rsid w:val="0092327E"/>
    <w:rsid w:val="00923A5F"/>
    <w:rsid w:val="00923DCF"/>
    <w:rsid w:val="00923DE4"/>
    <w:rsid w:val="009240F1"/>
    <w:rsid w:val="0092467B"/>
    <w:rsid w:val="00924A08"/>
    <w:rsid w:val="00924B5E"/>
    <w:rsid w:val="0092515B"/>
    <w:rsid w:val="00925A86"/>
    <w:rsid w:val="0092609A"/>
    <w:rsid w:val="009266B2"/>
    <w:rsid w:val="00926B4B"/>
    <w:rsid w:val="00926EA2"/>
    <w:rsid w:val="00926EAB"/>
    <w:rsid w:val="00926EB9"/>
    <w:rsid w:val="00927340"/>
    <w:rsid w:val="009273DD"/>
    <w:rsid w:val="009277F4"/>
    <w:rsid w:val="00927A51"/>
    <w:rsid w:val="00927C00"/>
    <w:rsid w:val="00927EEB"/>
    <w:rsid w:val="00927F6B"/>
    <w:rsid w:val="0093013E"/>
    <w:rsid w:val="00930180"/>
    <w:rsid w:val="009303E6"/>
    <w:rsid w:val="0093141D"/>
    <w:rsid w:val="00931C39"/>
    <w:rsid w:val="00931C6F"/>
    <w:rsid w:val="009322DD"/>
    <w:rsid w:val="0093232A"/>
    <w:rsid w:val="00932355"/>
    <w:rsid w:val="00932792"/>
    <w:rsid w:val="009329F7"/>
    <w:rsid w:val="00932E86"/>
    <w:rsid w:val="00933089"/>
    <w:rsid w:val="00933252"/>
    <w:rsid w:val="009335F0"/>
    <w:rsid w:val="009336E9"/>
    <w:rsid w:val="009338FB"/>
    <w:rsid w:val="009339D3"/>
    <w:rsid w:val="00933E0D"/>
    <w:rsid w:val="00934253"/>
    <w:rsid w:val="0093482A"/>
    <w:rsid w:val="00934B49"/>
    <w:rsid w:val="00934DF2"/>
    <w:rsid w:val="00934F25"/>
    <w:rsid w:val="00934F49"/>
    <w:rsid w:val="0093533B"/>
    <w:rsid w:val="00935696"/>
    <w:rsid w:val="00935E69"/>
    <w:rsid w:val="009361E1"/>
    <w:rsid w:val="00936B51"/>
    <w:rsid w:val="00936BF8"/>
    <w:rsid w:val="00936EE0"/>
    <w:rsid w:val="00936EEE"/>
    <w:rsid w:val="00936FAD"/>
    <w:rsid w:val="00937620"/>
    <w:rsid w:val="00937AEA"/>
    <w:rsid w:val="00937C64"/>
    <w:rsid w:val="00937FB1"/>
    <w:rsid w:val="00940D45"/>
    <w:rsid w:val="0094127C"/>
    <w:rsid w:val="0094141A"/>
    <w:rsid w:val="00941652"/>
    <w:rsid w:val="0094186C"/>
    <w:rsid w:val="00941A04"/>
    <w:rsid w:val="00941DB4"/>
    <w:rsid w:val="009426D3"/>
    <w:rsid w:val="009426FF"/>
    <w:rsid w:val="00942711"/>
    <w:rsid w:val="009430A9"/>
    <w:rsid w:val="009431A6"/>
    <w:rsid w:val="009435CD"/>
    <w:rsid w:val="0094373A"/>
    <w:rsid w:val="00943818"/>
    <w:rsid w:val="00943A32"/>
    <w:rsid w:val="00943B0F"/>
    <w:rsid w:val="00943C2A"/>
    <w:rsid w:val="00944456"/>
    <w:rsid w:val="00944661"/>
    <w:rsid w:val="0094472A"/>
    <w:rsid w:val="00944D16"/>
    <w:rsid w:val="00944FBD"/>
    <w:rsid w:val="00944FEB"/>
    <w:rsid w:val="009451CD"/>
    <w:rsid w:val="009457FF"/>
    <w:rsid w:val="00945C66"/>
    <w:rsid w:val="00945E47"/>
    <w:rsid w:val="00945F60"/>
    <w:rsid w:val="00945F75"/>
    <w:rsid w:val="009463F9"/>
    <w:rsid w:val="00946686"/>
    <w:rsid w:val="00946F76"/>
    <w:rsid w:val="00946F92"/>
    <w:rsid w:val="0094701E"/>
    <w:rsid w:val="009471CF"/>
    <w:rsid w:val="0094747F"/>
    <w:rsid w:val="009474C3"/>
    <w:rsid w:val="0094777D"/>
    <w:rsid w:val="00947DF6"/>
    <w:rsid w:val="0095028E"/>
    <w:rsid w:val="0095037C"/>
    <w:rsid w:val="00950AC7"/>
    <w:rsid w:val="00950F4B"/>
    <w:rsid w:val="0095104B"/>
    <w:rsid w:val="009511E5"/>
    <w:rsid w:val="009519B0"/>
    <w:rsid w:val="00951E5B"/>
    <w:rsid w:val="009521F1"/>
    <w:rsid w:val="009524A2"/>
    <w:rsid w:val="009527C8"/>
    <w:rsid w:val="00952A98"/>
    <w:rsid w:val="00952EEE"/>
    <w:rsid w:val="0095301E"/>
    <w:rsid w:val="00953283"/>
    <w:rsid w:val="009532E4"/>
    <w:rsid w:val="00953360"/>
    <w:rsid w:val="00953A2F"/>
    <w:rsid w:val="00953FDD"/>
    <w:rsid w:val="009540B8"/>
    <w:rsid w:val="009542CA"/>
    <w:rsid w:val="00954302"/>
    <w:rsid w:val="009545C9"/>
    <w:rsid w:val="00954D85"/>
    <w:rsid w:val="0095536B"/>
    <w:rsid w:val="0095537F"/>
    <w:rsid w:val="0095542F"/>
    <w:rsid w:val="00955729"/>
    <w:rsid w:val="00955B8B"/>
    <w:rsid w:val="00955BD9"/>
    <w:rsid w:val="00955E18"/>
    <w:rsid w:val="00956022"/>
    <w:rsid w:val="0095638A"/>
    <w:rsid w:val="009564CD"/>
    <w:rsid w:val="009568A2"/>
    <w:rsid w:val="009572D0"/>
    <w:rsid w:val="00957726"/>
    <w:rsid w:val="00957B89"/>
    <w:rsid w:val="00960333"/>
    <w:rsid w:val="009603DC"/>
    <w:rsid w:val="00960C4C"/>
    <w:rsid w:val="00960D8F"/>
    <w:rsid w:val="00960EDF"/>
    <w:rsid w:val="00960EF0"/>
    <w:rsid w:val="00961120"/>
    <w:rsid w:val="009618BD"/>
    <w:rsid w:val="00961AA9"/>
    <w:rsid w:val="00961B0F"/>
    <w:rsid w:val="00961BF3"/>
    <w:rsid w:val="00961D54"/>
    <w:rsid w:val="00962E59"/>
    <w:rsid w:val="00962F01"/>
    <w:rsid w:val="00963761"/>
    <w:rsid w:val="00963869"/>
    <w:rsid w:val="00963919"/>
    <w:rsid w:val="00963A9C"/>
    <w:rsid w:val="00963EF3"/>
    <w:rsid w:val="0096426F"/>
    <w:rsid w:val="0096460D"/>
    <w:rsid w:val="00964A37"/>
    <w:rsid w:val="0096506F"/>
    <w:rsid w:val="00965883"/>
    <w:rsid w:val="00965E1D"/>
    <w:rsid w:val="009660D8"/>
    <w:rsid w:val="009661FD"/>
    <w:rsid w:val="00966372"/>
    <w:rsid w:val="009663DB"/>
    <w:rsid w:val="0096649E"/>
    <w:rsid w:val="00966867"/>
    <w:rsid w:val="009669D6"/>
    <w:rsid w:val="00966D93"/>
    <w:rsid w:val="00967070"/>
    <w:rsid w:val="009675BF"/>
    <w:rsid w:val="009675E5"/>
    <w:rsid w:val="00967FEB"/>
    <w:rsid w:val="00970294"/>
    <w:rsid w:val="009708C9"/>
    <w:rsid w:val="00970B5A"/>
    <w:rsid w:val="00970F9E"/>
    <w:rsid w:val="0097156C"/>
    <w:rsid w:val="00971C0E"/>
    <w:rsid w:val="00972225"/>
    <w:rsid w:val="009722C3"/>
    <w:rsid w:val="0097238B"/>
    <w:rsid w:val="00972560"/>
    <w:rsid w:val="00972825"/>
    <w:rsid w:val="009729EA"/>
    <w:rsid w:val="00972B72"/>
    <w:rsid w:val="009731EC"/>
    <w:rsid w:val="00973271"/>
    <w:rsid w:val="009733AD"/>
    <w:rsid w:val="0097344F"/>
    <w:rsid w:val="009736A2"/>
    <w:rsid w:val="00973A72"/>
    <w:rsid w:val="00973CB1"/>
    <w:rsid w:val="00973CB4"/>
    <w:rsid w:val="00974750"/>
    <w:rsid w:val="00974C8B"/>
    <w:rsid w:val="00974D98"/>
    <w:rsid w:val="00974F0F"/>
    <w:rsid w:val="0097566D"/>
    <w:rsid w:val="0097572B"/>
    <w:rsid w:val="00975736"/>
    <w:rsid w:val="00975A89"/>
    <w:rsid w:val="00975DA0"/>
    <w:rsid w:val="00976700"/>
    <w:rsid w:val="00976827"/>
    <w:rsid w:val="00976977"/>
    <w:rsid w:val="00976B96"/>
    <w:rsid w:val="00976E71"/>
    <w:rsid w:val="009771C3"/>
    <w:rsid w:val="00977722"/>
    <w:rsid w:val="00977B44"/>
    <w:rsid w:val="0098011C"/>
    <w:rsid w:val="0098018E"/>
    <w:rsid w:val="00980233"/>
    <w:rsid w:val="00980272"/>
    <w:rsid w:val="00980672"/>
    <w:rsid w:val="00980A6B"/>
    <w:rsid w:val="00980C31"/>
    <w:rsid w:val="00980DE2"/>
    <w:rsid w:val="00981494"/>
    <w:rsid w:val="00981501"/>
    <w:rsid w:val="00981BF5"/>
    <w:rsid w:val="00981F05"/>
    <w:rsid w:val="0098204F"/>
    <w:rsid w:val="0098250B"/>
    <w:rsid w:val="00982792"/>
    <w:rsid w:val="009827CF"/>
    <w:rsid w:val="00982812"/>
    <w:rsid w:val="00982BC3"/>
    <w:rsid w:val="0098341C"/>
    <w:rsid w:val="0098386D"/>
    <w:rsid w:val="009838B7"/>
    <w:rsid w:val="00983AC6"/>
    <w:rsid w:val="00983D98"/>
    <w:rsid w:val="00983F45"/>
    <w:rsid w:val="0098409C"/>
    <w:rsid w:val="00984BFA"/>
    <w:rsid w:val="009850E5"/>
    <w:rsid w:val="00985682"/>
    <w:rsid w:val="00985B9C"/>
    <w:rsid w:val="00985D07"/>
    <w:rsid w:val="00985E7B"/>
    <w:rsid w:val="00985EBC"/>
    <w:rsid w:val="00986168"/>
    <w:rsid w:val="00986248"/>
    <w:rsid w:val="009862E8"/>
    <w:rsid w:val="0098645D"/>
    <w:rsid w:val="009864E3"/>
    <w:rsid w:val="00986686"/>
    <w:rsid w:val="00986A30"/>
    <w:rsid w:val="00987058"/>
    <w:rsid w:val="0098706B"/>
    <w:rsid w:val="0098707A"/>
    <w:rsid w:val="0098765E"/>
    <w:rsid w:val="00987693"/>
    <w:rsid w:val="00987ECA"/>
    <w:rsid w:val="00990263"/>
    <w:rsid w:val="00990798"/>
    <w:rsid w:val="00990975"/>
    <w:rsid w:val="009909B4"/>
    <w:rsid w:val="009909CB"/>
    <w:rsid w:val="00990BFA"/>
    <w:rsid w:val="009915CE"/>
    <w:rsid w:val="00991606"/>
    <w:rsid w:val="00991A36"/>
    <w:rsid w:val="00991B02"/>
    <w:rsid w:val="00992252"/>
    <w:rsid w:val="009927CF"/>
    <w:rsid w:val="009929CE"/>
    <w:rsid w:val="00992DCD"/>
    <w:rsid w:val="00993921"/>
    <w:rsid w:val="00993B53"/>
    <w:rsid w:val="00993B98"/>
    <w:rsid w:val="00993E10"/>
    <w:rsid w:val="00994437"/>
    <w:rsid w:val="009945C5"/>
    <w:rsid w:val="00994CAD"/>
    <w:rsid w:val="0099500A"/>
    <w:rsid w:val="00995062"/>
    <w:rsid w:val="00995428"/>
    <w:rsid w:val="0099564B"/>
    <w:rsid w:val="009958A7"/>
    <w:rsid w:val="009959EC"/>
    <w:rsid w:val="00995AAA"/>
    <w:rsid w:val="00995AC2"/>
    <w:rsid w:val="00995C96"/>
    <w:rsid w:val="00995DC6"/>
    <w:rsid w:val="009961E9"/>
    <w:rsid w:val="00996205"/>
    <w:rsid w:val="00996387"/>
    <w:rsid w:val="009963D3"/>
    <w:rsid w:val="00996CCE"/>
    <w:rsid w:val="00996D12"/>
    <w:rsid w:val="00996E9A"/>
    <w:rsid w:val="0099752A"/>
    <w:rsid w:val="00997C37"/>
    <w:rsid w:val="009A010B"/>
    <w:rsid w:val="009A0545"/>
    <w:rsid w:val="009A06E6"/>
    <w:rsid w:val="009A09CB"/>
    <w:rsid w:val="009A0B8D"/>
    <w:rsid w:val="009A0FDD"/>
    <w:rsid w:val="009A1B8B"/>
    <w:rsid w:val="009A1D80"/>
    <w:rsid w:val="009A1F9C"/>
    <w:rsid w:val="009A2061"/>
    <w:rsid w:val="009A2971"/>
    <w:rsid w:val="009A2D79"/>
    <w:rsid w:val="009A2D8E"/>
    <w:rsid w:val="009A3147"/>
    <w:rsid w:val="009A318A"/>
    <w:rsid w:val="009A3322"/>
    <w:rsid w:val="009A3572"/>
    <w:rsid w:val="009A3B87"/>
    <w:rsid w:val="009A4381"/>
    <w:rsid w:val="009A44B6"/>
    <w:rsid w:val="009A4875"/>
    <w:rsid w:val="009A4C04"/>
    <w:rsid w:val="009A4FA3"/>
    <w:rsid w:val="009A4FAF"/>
    <w:rsid w:val="009A54EB"/>
    <w:rsid w:val="009A5B56"/>
    <w:rsid w:val="009A5E96"/>
    <w:rsid w:val="009A633A"/>
    <w:rsid w:val="009A645F"/>
    <w:rsid w:val="009A6691"/>
    <w:rsid w:val="009A6840"/>
    <w:rsid w:val="009A6AFC"/>
    <w:rsid w:val="009A7450"/>
    <w:rsid w:val="009A7588"/>
    <w:rsid w:val="009A7A0B"/>
    <w:rsid w:val="009A7F66"/>
    <w:rsid w:val="009B01CA"/>
    <w:rsid w:val="009B04D4"/>
    <w:rsid w:val="009B081E"/>
    <w:rsid w:val="009B0BA5"/>
    <w:rsid w:val="009B0ED7"/>
    <w:rsid w:val="009B12BE"/>
    <w:rsid w:val="009B1B72"/>
    <w:rsid w:val="009B1C4D"/>
    <w:rsid w:val="009B1EFA"/>
    <w:rsid w:val="009B252F"/>
    <w:rsid w:val="009B2661"/>
    <w:rsid w:val="009B2926"/>
    <w:rsid w:val="009B292B"/>
    <w:rsid w:val="009B2947"/>
    <w:rsid w:val="009B2F03"/>
    <w:rsid w:val="009B3107"/>
    <w:rsid w:val="009B3C0F"/>
    <w:rsid w:val="009B4203"/>
    <w:rsid w:val="009B4385"/>
    <w:rsid w:val="009B479F"/>
    <w:rsid w:val="009B4EA1"/>
    <w:rsid w:val="009B507F"/>
    <w:rsid w:val="009B5234"/>
    <w:rsid w:val="009B52B7"/>
    <w:rsid w:val="009B53FB"/>
    <w:rsid w:val="009B543A"/>
    <w:rsid w:val="009B5488"/>
    <w:rsid w:val="009B5556"/>
    <w:rsid w:val="009B5699"/>
    <w:rsid w:val="009B57DE"/>
    <w:rsid w:val="009B5834"/>
    <w:rsid w:val="009B5B72"/>
    <w:rsid w:val="009B613B"/>
    <w:rsid w:val="009B6664"/>
    <w:rsid w:val="009B66F4"/>
    <w:rsid w:val="009B6A1E"/>
    <w:rsid w:val="009B6B5E"/>
    <w:rsid w:val="009B73A5"/>
    <w:rsid w:val="009B75E4"/>
    <w:rsid w:val="009B76F9"/>
    <w:rsid w:val="009B78BA"/>
    <w:rsid w:val="009B78BE"/>
    <w:rsid w:val="009B7A60"/>
    <w:rsid w:val="009B7CF2"/>
    <w:rsid w:val="009C008C"/>
    <w:rsid w:val="009C0819"/>
    <w:rsid w:val="009C095D"/>
    <w:rsid w:val="009C1727"/>
    <w:rsid w:val="009C1A4A"/>
    <w:rsid w:val="009C1B6A"/>
    <w:rsid w:val="009C1CFD"/>
    <w:rsid w:val="009C1ED4"/>
    <w:rsid w:val="009C1F0E"/>
    <w:rsid w:val="009C20F5"/>
    <w:rsid w:val="009C248B"/>
    <w:rsid w:val="009C2760"/>
    <w:rsid w:val="009C34CB"/>
    <w:rsid w:val="009C34E5"/>
    <w:rsid w:val="009C3C04"/>
    <w:rsid w:val="009C47FC"/>
    <w:rsid w:val="009C4918"/>
    <w:rsid w:val="009C499E"/>
    <w:rsid w:val="009C4AF1"/>
    <w:rsid w:val="009C4C33"/>
    <w:rsid w:val="009C5B2D"/>
    <w:rsid w:val="009C5D68"/>
    <w:rsid w:val="009C5FA3"/>
    <w:rsid w:val="009C65B4"/>
    <w:rsid w:val="009C6871"/>
    <w:rsid w:val="009C6E98"/>
    <w:rsid w:val="009C70DB"/>
    <w:rsid w:val="009C7481"/>
    <w:rsid w:val="009C7589"/>
    <w:rsid w:val="009C764B"/>
    <w:rsid w:val="009C7947"/>
    <w:rsid w:val="009D03A1"/>
    <w:rsid w:val="009D090F"/>
    <w:rsid w:val="009D12A8"/>
    <w:rsid w:val="009D130C"/>
    <w:rsid w:val="009D1B13"/>
    <w:rsid w:val="009D1EAA"/>
    <w:rsid w:val="009D2C98"/>
    <w:rsid w:val="009D2FF1"/>
    <w:rsid w:val="009D317A"/>
    <w:rsid w:val="009D31AB"/>
    <w:rsid w:val="009D324B"/>
    <w:rsid w:val="009D3EB3"/>
    <w:rsid w:val="009D3F15"/>
    <w:rsid w:val="009D4014"/>
    <w:rsid w:val="009D44AB"/>
    <w:rsid w:val="009D46F3"/>
    <w:rsid w:val="009D47CA"/>
    <w:rsid w:val="009D49EC"/>
    <w:rsid w:val="009D4D9F"/>
    <w:rsid w:val="009D4F55"/>
    <w:rsid w:val="009D5589"/>
    <w:rsid w:val="009D58F7"/>
    <w:rsid w:val="009D5B54"/>
    <w:rsid w:val="009D603E"/>
    <w:rsid w:val="009D6362"/>
    <w:rsid w:val="009D681B"/>
    <w:rsid w:val="009D6D74"/>
    <w:rsid w:val="009D707A"/>
    <w:rsid w:val="009D778C"/>
    <w:rsid w:val="009D7C63"/>
    <w:rsid w:val="009E0748"/>
    <w:rsid w:val="009E0864"/>
    <w:rsid w:val="009E09C9"/>
    <w:rsid w:val="009E0AD7"/>
    <w:rsid w:val="009E0AE3"/>
    <w:rsid w:val="009E0DB4"/>
    <w:rsid w:val="009E0FAF"/>
    <w:rsid w:val="009E10A3"/>
    <w:rsid w:val="009E13F6"/>
    <w:rsid w:val="009E1577"/>
    <w:rsid w:val="009E17E1"/>
    <w:rsid w:val="009E1CBE"/>
    <w:rsid w:val="009E1D34"/>
    <w:rsid w:val="009E3393"/>
    <w:rsid w:val="009E35C2"/>
    <w:rsid w:val="009E38E1"/>
    <w:rsid w:val="009E3C13"/>
    <w:rsid w:val="009E3F9F"/>
    <w:rsid w:val="009E43C1"/>
    <w:rsid w:val="009E470E"/>
    <w:rsid w:val="009E478A"/>
    <w:rsid w:val="009E4800"/>
    <w:rsid w:val="009E480E"/>
    <w:rsid w:val="009E4CD7"/>
    <w:rsid w:val="009E4D49"/>
    <w:rsid w:val="009E4EB9"/>
    <w:rsid w:val="009E5041"/>
    <w:rsid w:val="009E53C3"/>
    <w:rsid w:val="009E5D39"/>
    <w:rsid w:val="009E5D84"/>
    <w:rsid w:val="009E5E50"/>
    <w:rsid w:val="009E5EF1"/>
    <w:rsid w:val="009E62D6"/>
    <w:rsid w:val="009E6796"/>
    <w:rsid w:val="009E6D0F"/>
    <w:rsid w:val="009E72AC"/>
    <w:rsid w:val="009E765A"/>
    <w:rsid w:val="009E7A78"/>
    <w:rsid w:val="009F0178"/>
    <w:rsid w:val="009F06BF"/>
    <w:rsid w:val="009F089B"/>
    <w:rsid w:val="009F091D"/>
    <w:rsid w:val="009F0959"/>
    <w:rsid w:val="009F0A35"/>
    <w:rsid w:val="009F0B02"/>
    <w:rsid w:val="009F0E39"/>
    <w:rsid w:val="009F111C"/>
    <w:rsid w:val="009F1219"/>
    <w:rsid w:val="009F148D"/>
    <w:rsid w:val="009F14F8"/>
    <w:rsid w:val="009F19B9"/>
    <w:rsid w:val="009F1ACC"/>
    <w:rsid w:val="009F1C17"/>
    <w:rsid w:val="009F24E6"/>
    <w:rsid w:val="009F263B"/>
    <w:rsid w:val="009F2983"/>
    <w:rsid w:val="009F2C28"/>
    <w:rsid w:val="009F2ED0"/>
    <w:rsid w:val="009F3A78"/>
    <w:rsid w:val="009F3BEC"/>
    <w:rsid w:val="009F3EA7"/>
    <w:rsid w:val="009F423D"/>
    <w:rsid w:val="009F45B3"/>
    <w:rsid w:val="009F4BFF"/>
    <w:rsid w:val="009F4C45"/>
    <w:rsid w:val="009F523A"/>
    <w:rsid w:val="009F543C"/>
    <w:rsid w:val="009F54B7"/>
    <w:rsid w:val="009F609F"/>
    <w:rsid w:val="009F6322"/>
    <w:rsid w:val="009F6C4B"/>
    <w:rsid w:val="009F7215"/>
    <w:rsid w:val="009F74CE"/>
    <w:rsid w:val="009F78FA"/>
    <w:rsid w:val="00A001B0"/>
    <w:rsid w:val="00A00323"/>
    <w:rsid w:val="00A003CE"/>
    <w:rsid w:val="00A004D3"/>
    <w:rsid w:val="00A009DC"/>
    <w:rsid w:val="00A0112A"/>
    <w:rsid w:val="00A013F7"/>
    <w:rsid w:val="00A01D46"/>
    <w:rsid w:val="00A02047"/>
    <w:rsid w:val="00A020DE"/>
    <w:rsid w:val="00A0221C"/>
    <w:rsid w:val="00A027BE"/>
    <w:rsid w:val="00A02A64"/>
    <w:rsid w:val="00A02A88"/>
    <w:rsid w:val="00A02DA1"/>
    <w:rsid w:val="00A031EC"/>
    <w:rsid w:val="00A03273"/>
    <w:rsid w:val="00A03424"/>
    <w:rsid w:val="00A034D1"/>
    <w:rsid w:val="00A03EA7"/>
    <w:rsid w:val="00A04167"/>
    <w:rsid w:val="00A043DF"/>
    <w:rsid w:val="00A0450C"/>
    <w:rsid w:val="00A04BB6"/>
    <w:rsid w:val="00A05090"/>
    <w:rsid w:val="00A0518B"/>
    <w:rsid w:val="00A05200"/>
    <w:rsid w:val="00A0528D"/>
    <w:rsid w:val="00A055CA"/>
    <w:rsid w:val="00A05943"/>
    <w:rsid w:val="00A06185"/>
    <w:rsid w:val="00A06845"/>
    <w:rsid w:val="00A06EEC"/>
    <w:rsid w:val="00A075B1"/>
    <w:rsid w:val="00A07823"/>
    <w:rsid w:val="00A078F8"/>
    <w:rsid w:val="00A0799B"/>
    <w:rsid w:val="00A07A78"/>
    <w:rsid w:val="00A07BDA"/>
    <w:rsid w:val="00A101A7"/>
    <w:rsid w:val="00A103BD"/>
    <w:rsid w:val="00A106FF"/>
    <w:rsid w:val="00A109E0"/>
    <w:rsid w:val="00A10EFF"/>
    <w:rsid w:val="00A11190"/>
    <w:rsid w:val="00A1131D"/>
    <w:rsid w:val="00A1185A"/>
    <w:rsid w:val="00A11AC7"/>
    <w:rsid w:val="00A11FE0"/>
    <w:rsid w:val="00A124BD"/>
    <w:rsid w:val="00A124D0"/>
    <w:rsid w:val="00A1298B"/>
    <w:rsid w:val="00A12E01"/>
    <w:rsid w:val="00A12F71"/>
    <w:rsid w:val="00A1351F"/>
    <w:rsid w:val="00A1389A"/>
    <w:rsid w:val="00A13B36"/>
    <w:rsid w:val="00A13BF1"/>
    <w:rsid w:val="00A13F0D"/>
    <w:rsid w:val="00A14B3E"/>
    <w:rsid w:val="00A14C27"/>
    <w:rsid w:val="00A14DE5"/>
    <w:rsid w:val="00A152D1"/>
    <w:rsid w:val="00A15865"/>
    <w:rsid w:val="00A161AD"/>
    <w:rsid w:val="00A16AE7"/>
    <w:rsid w:val="00A16F37"/>
    <w:rsid w:val="00A17271"/>
    <w:rsid w:val="00A17674"/>
    <w:rsid w:val="00A178B6"/>
    <w:rsid w:val="00A17A4F"/>
    <w:rsid w:val="00A17FF2"/>
    <w:rsid w:val="00A20106"/>
    <w:rsid w:val="00A2045D"/>
    <w:rsid w:val="00A2086C"/>
    <w:rsid w:val="00A20964"/>
    <w:rsid w:val="00A20ED9"/>
    <w:rsid w:val="00A211F4"/>
    <w:rsid w:val="00A22291"/>
    <w:rsid w:val="00A222CA"/>
    <w:rsid w:val="00A22466"/>
    <w:rsid w:val="00A2251A"/>
    <w:rsid w:val="00A22750"/>
    <w:rsid w:val="00A2276F"/>
    <w:rsid w:val="00A22E31"/>
    <w:rsid w:val="00A23473"/>
    <w:rsid w:val="00A23784"/>
    <w:rsid w:val="00A23904"/>
    <w:rsid w:val="00A23A55"/>
    <w:rsid w:val="00A23A8B"/>
    <w:rsid w:val="00A23ED9"/>
    <w:rsid w:val="00A23F78"/>
    <w:rsid w:val="00A243E3"/>
    <w:rsid w:val="00A247E5"/>
    <w:rsid w:val="00A24CDD"/>
    <w:rsid w:val="00A24EDD"/>
    <w:rsid w:val="00A24F67"/>
    <w:rsid w:val="00A25196"/>
    <w:rsid w:val="00A254D5"/>
    <w:rsid w:val="00A25530"/>
    <w:rsid w:val="00A25630"/>
    <w:rsid w:val="00A25873"/>
    <w:rsid w:val="00A25A49"/>
    <w:rsid w:val="00A25CC9"/>
    <w:rsid w:val="00A25D35"/>
    <w:rsid w:val="00A265CC"/>
    <w:rsid w:val="00A26B41"/>
    <w:rsid w:val="00A26BC0"/>
    <w:rsid w:val="00A26D91"/>
    <w:rsid w:val="00A26E02"/>
    <w:rsid w:val="00A27B79"/>
    <w:rsid w:val="00A3013A"/>
    <w:rsid w:val="00A303ED"/>
    <w:rsid w:val="00A30543"/>
    <w:rsid w:val="00A3068A"/>
    <w:rsid w:val="00A307EF"/>
    <w:rsid w:val="00A30B35"/>
    <w:rsid w:val="00A30B3F"/>
    <w:rsid w:val="00A30C32"/>
    <w:rsid w:val="00A30DAF"/>
    <w:rsid w:val="00A30EE4"/>
    <w:rsid w:val="00A31278"/>
    <w:rsid w:val="00A3140B"/>
    <w:rsid w:val="00A314E1"/>
    <w:rsid w:val="00A31610"/>
    <w:rsid w:val="00A31618"/>
    <w:rsid w:val="00A31A72"/>
    <w:rsid w:val="00A31AE9"/>
    <w:rsid w:val="00A31B06"/>
    <w:rsid w:val="00A31BB8"/>
    <w:rsid w:val="00A32012"/>
    <w:rsid w:val="00A3222B"/>
    <w:rsid w:val="00A32239"/>
    <w:rsid w:val="00A32940"/>
    <w:rsid w:val="00A32D45"/>
    <w:rsid w:val="00A332B6"/>
    <w:rsid w:val="00A33504"/>
    <w:rsid w:val="00A3388E"/>
    <w:rsid w:val="00A34331"/>
    <w:rsid w:val="00A34376"/>
    <w:rsid w:val="00A3462A"/>
    <w:rsid w:val="00A34904"/>
    <w:rsid w:val="00A34D0A"/>
    <w:rsid w:val="00A34F01"/>
    <w:rsid w:val="00A353AE"/>
    <w:rsid w:val="00A35584"/>
    <w:rsid w:val="00A35640"/>
    <w:rsid w:val="00A359F1"/>
    <w:rsid w:val="00A35F15"/>
    <w:rsid w:val="00A36175"/>
    <w:rsid w:val="00A36AC6"/>
    <w:rsid w:val="00A36C45"/>
    <w:rsid w:val="00A36D2F"/>
    <w:rsid w:val="00A3717C"/>
    <w:rsid w:val="00A37800"/>
    <w:rsid w:val="00A37867"/>
    <w:rsid w:val="00A379D9"/>
    <w:rsid w:val="00A37A2E"/>
    <w:rsid w:val="00A37E6C"/>
    <w:rsid w:val="00A37EDC"/>
    <w:rsid w:val="00A4008E"/>
    <w:rsid w:val="00A40B38"/>
    <w:rsid w:val="00A411EF"/>
    <w:rsid w:val="00A41429"/>
    <w:rsid w:val="00A4166F"/>
    <w:rsid w:val="00A41BFA"/>
    <w:rsid w:val="00A41D4D"/>
    <w:rsid w:val="00A4202E"/>
    <w:rsid w:val="00A4243E"/>
    <w:rsid w:val="00A42692"/>
    <w:rsid w:val="00A42CF8"/>
    <w:rsid w:val="00A42D1A"/>
    <w:rsid w:val="00A43141"/>
    <w:rsid w:val="00A43483"/>
    <w:rsid w:val="00A4352D"/>
    <w:rsid w:val="00A43571"/>
    <w:rsid w:val="00A43839"/>
    <w:rsid w:val="00A438CE"/>
    <w:rsid w:val="00A43B32"/>
    <w:rsid w:val="00A4434B"/>
    <w:rsid w:val="00A4459D"/>
    <w:rsid w:val="00A456A2"/>
    <w:rsid w:val="00A45A21"/>
    <w:rsid w:val="00A45B5A"/>
    <w:rsid w:val="00A45E13"/>
    <w:rsid w:val="00A4640E"/>
    <w:rsid w:val="00A464AF"/>
    <w:rsid w:val="00A46621"/>
    <w:rsid w:val="00A466CB"/>
    <w:rsid w:val="00A46730"/>
    <w:rsid w:val="00A467B4"/>
    <w:rsid w:val="00A46805"/>
    <w:rsid w:val="00A46961"/>
    <w:rsid w:val="00A46ACF"/>
    <w:rsid w:val="00A46AD3"/>
    <w:rsid w:val="00A46EDE"/>
    <w:rsid w:val="00A47260"/>
    <w:rsid w:val="00A477DE"/>
    <w:rsid w:val="00A47A05"/>
    <w:rsid w:val="00A47C77"/>
    <w:rsid w:val="00A47DB3"/>
    <w:rsid w:val="00A5017A"/>
    <w:rsid w:val="00A50918"/>
    <w:rsid w:val="00A517EB"/>
    <w:rsid w:val="00A518AB"/>
    <w:rsid w:val="00A5208F"/>
    <w:rsid w:val="00A520E1"/>
    <w:rsid w:val="00A525B5"/>
    <w:rsid w:val="00A5265E"/>
    <w:rsid w:val="00A527D9"/>
    <w:rsid w:val="00A52C52"/>
    <w:rsid w:val="00A53325"/>
    <w:rsid w:val="00A536A3"/>
    <w:rsid w:val="00A5380E"/>
    <w:rsid w:val="00A539B1"/>
    <w:rsid w:val="00A53A06"/>
    <w:rsid w:val="00A53BAB"/>
    <w:rsid w:val="00A53BC2"/>
    <w:rsid w:val="00A53C27"/>
    <w:rsid w:val="00A53C40"/>
    <w:rsid w:val="00A53EF2"/>
    <w:rsid w:val="00A54AC0"/>
    <w:rsid w:val="00A550EE"/>
    <w:rsid w:val="00A55119"/>
    <w:rsid w:val="00A55A05"/>
    <w:rsid w:val="00A55A5B"/>
    <w:rsid w:val="00A55E5F"/>
    <w:rsid w:val="00A55E69"/>
    <w:rsid w:val="00A560A6"/>
    <w:rsid w:val="00A57035"/>
    <w:rsid w:val="00A5722B"/>
    <w:rsid w:val="00A57560"/>
    <w:rsid w:val="00A576C1"/>
    <w:rsid w:val="00A5788D"/>
    <w:rsid w:val="00A57CDA"/>
    <w:rsid w:val="00A57FCB"/>
    <w:rsid w:val="00A57FD0"/>
    <w:rsid w:val="00A6021D"/>
    <w:rsid w:val="00A607C6"/>
    <w:rsid w:val="00A610E5"/>
    <w:rsid w:val="00A61110"/>
    <w:rsid w:val="00A61363"/>
    <w:rsid w:val="00A614F3"/>
    <w:rsid w:val="00A61572"/>
    <w:rsid w:val="00A615C2"/>
    <w:rsid w:val="00A61697"/>
    <w:rsid w:val="00A61926"/>
    <w:rsid w:val="00A61992"/>
    <w:rsid w:val="00A626DC"/>
    <w:rsid w:val="00A62916"/>
    <w:rsid w:val="00A629AA"/>
    <w:rsid w:val="00A62CBD"/>
    <w:rsid w:val="00A62E8D"/>
    <w:rsid w:val="00A62EB0"/>
    <w:rsid w:val="00A63845"/>
    <w:rsid w:val="00A638F8"/>
    <w:rsid w:val="00A63931"/>
    <w:rsid w:val="00A646AA"/>
    <w:rsid w:val="00A646D6"/>
    <w:rsid w:val="00A649F1"/>
    <w:rsid w:val="00A64F31"/>
    <w:rsid w:val="00A64F62"/>
    <w:rsid w:val="00A651F3"/>
    <w:rsid w:val="00A656FD"/>
    <w:rsid w:val="00A658ED"/>
    <w:rsid w:val="00A65E5F"/>
    <w:rsid w:val="00A66399"/>
    <w:rsid w:val="00A66657"/>
    <w:rsid w:val="00A66C7C"/>
    <w:rsid w:val="00A66D6B"/>
    <w:rsid w:val="00A66D85"/>
    <w:rsid w:val="00A66D98"/>
    <w:rsid w:val="00A674C6"/>
    <w:rsid w:val="00A67724"/>
    <w:rsid w:val="00A67AC1"/>
    <w:rsid w:val="00A70068"/>
    <w:rsid w:val="00A70078"/>
    <w:rsid w:val="00A702B3"/>
    <w:rsid w:val="00A7049E"/>
    <w:rsid w:val="00A7069F"/>
    <w:rsid w:val="00A70956"/>
    <w:rsid w:val="00A70ED9"/>
    <w:rsid w:val="00A70F2A"/>
    <w:rsid w:val="00A710CF"/>
    <w:rsid w:val="00A71341"/>
    <w:rsid w:val="00A7137E"/>
    <w:rsid w:val="00A7155C"/>
    <w:rsid w:val="00A7179C"/>
    <w:rsid w:val="00A718C2"/>
    <w:rsid w:val="00A71FA5"/>
    <w:rsid w:val="00A7208C"/>
    <w:rsid w:val="00A7267D"/>
    <w:rsid w:val="00A72926"/>
    <w:rsid w:val="00A73583"/>
    <w:rsid w:val="00A7374E"/>
    <w:rsid w:val="00A7388A"/>
    <w:rsid w:val="00A73A7D"/>
    <w:rsid w:val="00A73BA3"/>
    <w:rsid w:val="00A74439"/>
    <w:rsid w:val="00A7453A"/>
    <w:rsid w:val="00A748E6"/>
    <w:rsid w:val="00A749F6"/>
    <w:rsid w:val="00A74BE9"/>
    <w:rsid w:val="00A74C0E"/>
    <w:rsid w:val="00A74C54"/>
    <w:rsid w:val="00A7561D"/>
    <w:rsid w:val="00A7592A"/>
    <w:rsid w:val="00A75C18"/>
    <w:rsid w:val="00A76371"/>
    <w:rsid w:val="00A764D3"/>
    <w:rsid w:val="00A76789"/>
    <w:rsid w:val="00A76904"/>
    <w:rsid w:val="00A7696A"/>
    <w:rsid w:val="00A769FA"/>
    <w:rsid w:val="00A76A5A"/>
    <w:rsid w:val="00A76F6A"/>
    <w:rsid w:val="00A77093"/>
    <w:rsid w:val="00A77537"/>
    <w:rsid w:val="00A7772E"/>
    <w:rsid w:val="00A77BCE"/>
    <w:rsid w:val="00A77FAD"/>
    <w:rsid w:val="00A801C4"/>
    <w:rsid w:val="00A8024F"/>
    <w:rsid w:val="00A80315"/>
    <w:rsid w:val="00A80835"/>
    <w:rsid w:val="00A80903"/>
    <w:rsid w:val="00A80AD4"/>
    <w:rsid w:val="00A80B94"/>
    <w:rsid w:val="00A8127D"/>
    <w:rsid w:val="00A8165B"/>
    <w:rsid w:val="00A81757"/>
    <w:rsid w:val="00A8181E"/>
    <w:rsid w:val="00A81ACD"/>
    <w:rsid w:val="00A81DCE"/>
    <w:rsid w:val="00A81F2D"/>
    <w:rsid w:val="00A81FE6"/>
    <w:rsid w:val="00A82417"/>
    <w:rsid w:val="00A82763"/>
    <w:rsid w:val="00A82DFF"/>
    <w:rsid w:val="00A833CC"/>
    <w:rsid w:val="00A8349D"/>
    <w:rsid w:val="00A8349E"/>
    <w:rsid w:val="00A839D5"/>
    <w:rsid w:val="00A83C6D"/>
    <w:rsid w:val="00A840CF"/>
    <w:rsid w:val="00A8415E"/>
    <w:rsid w:val="00A84239"/>
    <w:rsid w:val="00A84479"/>
    <w:rsid w:val="00A84973"/>
    <w:rsid w:val="00A84B08"/>
    <w:rsid w:val="00A8573E"/>
    <w:rsid w:val="00A85811"/>
    <w:rsid w:val="00A85A08"/>
    <w:rsid w:val="00A85B55"/>
    <w:rsid w:val="00A85FB5"/>
    <w:rsid w:val="00A86043"/>
    <w:rsid w:val="00A863E8"/>
    <w:rsid w:val="00A86451"/>
    <w:rsid w:val="00A86CE1"/>
    <w:rsid w:val="00A86D68"/>
    <w:rsid w:val="00A873EE"/>
    <w:rsid w:val="00A87437"/>
    <w:rsid w:val="00A87A6E"/>
    <w:rsid w:val="00A87A78"/>
    <w:rsid w:val="00A87B0D"/>
    <w:rsid w:val="00A90023"/>
    <w:rsid w:val="00A90062"/>
    <w:rsid w:val="00A90799"/>
    <w:rsid w:val="00A90928"/>
    <w:rsid w:val="00A90BD7"/>
    <w:rsid w:val="00A91234"/>
    <w:rsid w:val="00A919C2"/>
    <w:rsid w:val="00A919FD"/>
    <w:rsid w:val="00A91AED"/>
    <w:rsid w:val="00A91DF5"/>
    <w:rsid w:val="00A91EBB"/>
    <w:rsid w:val="00A923C7"/>
    <w:rsid w:val="00A92544"/>
    <w:rsid w:val="00A92851"/>
    <w:rsid w:val="00A93197"/>
    <w:rsid w:val="00A93DBA"/>
    <w:rsid w:val="00A93E70"/>
    <w:rsid w:val="00A94054"/>
    <w:rsid w:val="00A9497F"/>
    <w:rsid w:val="00A94C58"/>
    <w:rsid w:val="00A94D66"/>
    <w:rsid w:val="00A94E2E"/>
    <w:rsid w:val="00A94F0C"/>
    <w:rsid w:val="00A9553E"/>
    <w:rsid w:val="00A95748"/>
    <w:rsid w:val="00A959B6"/>
    <w:rsid w:val="00A95B77"/>
    <w:rsid w:val="00A95DD0"/>
    <w:rsid w:val="00A96342"/>
    <w:rsid w:val="00A966A9"/>
    <w:rsid w:val="00A9677C"/>
    <w:rsid w:val="00A969CD"/>
    <w:rsid w:val="00A969EB"/>
    <w:rsid w:val="00A96DC8"/>
    <w:rsid w:val="00A971CD"/>
    <w:rsid w:val="00A97595"/>
    <w:rsid w:val="00A97947"/>
    <w:rsid w:val="00A97BE2"/>
    <w:rsid w:val="00AA04B5"/>
    <w:rsid w:val="00AA074F"/>
    <w:rsid w:val="00AA0788"/>
    <w:rsid w:val="00AA0846"/>
    <w:rsid w:val="00AA0A4B"/>
    <w:rsid w:val="00AA1406"/>
    <w:rsid w:val="00AA159A"/>
    <w:rsid w:val="00AA1641"/>
    <w:rsid w:val="00AA18B4"/>
    <w:rsid w:val="00AA19AE"/>
    <w:rsid w:val="00AA1DD9"/>
    <w:rsid w:val="00AA26E8"/>
    <w:rsid w:val="00AA2849"/>
    <w:rsid w:val="00AA2D49"/>
    <w:rsid w:val="00AA2D9C"/>
    <w:rsid w:val="00AA2E48"/>
    <w:rsid w:val="00AA358E"/>
    <w:rsid w:val="00AA43D9"/>
    <w:rsid w:val="00AA467C"/>
    <w:rsid w:val="00AA476C"/>
    <w:rsid w:val="00AA4F33"/>
    <w:rsid w:val="00AA514F"/>
    <w:rsid w:val="00AA51B5"/>
    <w:rsid w:val="00AA5419"/>
    <w:rsid w:val="00AA54BA"/>
    <w:rsid w:val="00AA5C4B"/>
    <w:rsid w:val="00AA61B8"/>
    <w:rsid w:val="00AA663B"/>
    <w:rsid w:val="00AA663C"/>
    <w:rsid w:val="00AA689D"/>
    <w:rsid w:val="00AA6A7A"/>
    <w:rsid w:val="00AA6E92"/>
    <w:rsid w:val="00AA77B5"/>
    <w:rsid w:val="00AA7D28"/>
    <w:rsid w:val="00AB0256"/>
    <w:rsid w:val="00AB027D"/>
    <w:rsid w:val="00AB03E4"/>
    <w:rsid w:val="00AB080B"/>
    <w:rsid w:val="00AB0A9E"/>
    <w:rsid w:val="00AB0C68"/>
    <w:rsid w:val="00AB0E99"/>
    <w:rsid w:val="00AB0F6A"/>
    <w:rsid w:val="00AB133D"/>
    <w:rsid w:val="00AB135B"/>
    <w:rsid w:val="00AB1493"/>
    <w:rsid w:val="00AB1641"/>
    <w:rsid w:val="00AB17E6"/>
    <w:rsid w:val="00AB1890"/>
    <w:rsid w:val="00AB2604"/>
    <w:rsid w:val="00AB28D4"/>
    <w:rsid w:val="00AB2A6C"/>
    <w:rsid w:val="00AB2B1D"/>
    <w:rsid w:val="00AB2B60"/>
    <w:rsid w:val="00AB3518"/>
    <w:rsid w:val="00AB356B"/>
    <w:rsid w:val="00AB3D3B"/>
    <w:rsid w:val="00AB3D96"/>
    <w:rsid w:val="00AB3DD0"/>
    <w:rsid w:val="00AB3F00"/>
    <w:rsid w:val="00AB4098"/>
    <w:rsid w:val="00AB428E"/>
    <w:rsid w:val="00AB436C"/>
    <w:rsid w:val="00AB443C"/>
    <w:rsid w:val="00AB45F1"/>
    <w:rsid w:val="00AB4642"/>
    <w:rsid w:val="00AB46F6"/>
    <w:rsid w:val="00AB46FA"/>
    <w:rsid w:val="00AB46FC"/>
    <w:rsid w:val="00AB4A44"/>
    <w:rsid w:val="00AB4B95"/>
    <w:rsid w:val="00AB4D3C"/>
    <w:rsid w:val="00AB4E2D"/>
    <w:rsid w:val="00AB4EF9"/>
    <w:rsid w:val="00AB5399"/>
    <w:rsid w:val="00AB5569"/>
    <w:rsid w:val="00AB575E"/>
    <w:rsid w:val="00AB5868"/>
    <w:rsid w:val="00AB6811"/>
    <w:rsid w:val="00AB6CD9"/>
    <w:rsid w:val="00AB724C"/>
    <w:rsid w:val="00AB7976"/>
    <w:rsid w:val="00AB7F69"/>
    <w:rsid w:val="00AB7FD0"/>
    <w:rsid w:val="00AB7FD5"/>
    <w:rsid w:val="00AC008B"/>
    <w:rsid w:val="00AC009B"/>
    <w:rsid w:val="00AC05E7"/>
    <w:rsid w:val="00AC0C51"/>
    <w:rsid w:val="00AC0D2D"/>
    <w:rsid w:val="00AC0D7D"/>
    <w:rsid w:val="00AC1072"/>
    <w:rsid w:val="00AC1086"/>
    <w:rsid w:val="00AC139D"/>
    <w:rsid w:val="00AC1DF5"/>
    <w:rsid w:val="00AC1FDB"/>
    <w:rsid w:val="00AC22B4"/>
    <w:rsid w:val="00AC2364"/>
    <w:rsid w:val="00AC2991"/>
    <w:rsid w:val="00AC2D9B"/>
    <w:rsid w:val="00AC300E"/>
    <w:rsid w:val="00AC30C3"/>
    <w:rsid w:val="00AC3432"/>
    <w:rsid w:val="00AC34F9"/>
    <w:rsid w:val="00AC34FF"/>
    <w:rsid w:val="00AC35CE"/>
    <w:rsid w:val="00AC372B"/>
    <w:rsid w:val="00AC3A43"/>
    <w:rsid w:val="00AC3C67"/>
    <w:rsid w:val="00AC3E61"/>
    <w:rsid w:val="00AC4003"/>
    <w:rsid w:val="00AC491E"/>
    <w:rsid w:val="00AC5958"/>
    <w:rsid w:val="00AC5B42"/>
    <w:rsid w:val="00AC5BB8"/>
    <w:rsid w:val="00AC5BC1"/>
    <w:rsid w:val="00AC5C93"/>
    <w:rsid w:val="00AC6195"/>
    <w:rsid w:val="00AC6555"/>
    <w:rsid w:val="00AC6559"/>
    <w:rsid w:val="00AC664B"/>
    <w:rsid w:val="00AC68F1"/>
    <w:rsid w:val="00AC69E6"/>
    <w:rsid w:val="00AC74FF"/>
    <w:rsid w:val="00AC7500"/>
    <w:rsid w:val="00AC7608"/>
    <w:rsid w:val="00AC768E"/>
    <w:rsid w:val="00AC77E9"/>
    <w:rsid w:val="00AC7945"/>
    <w:rsid w:val="00AD0399"/>
    <w:rsid w:val="00AD0D50"/>
    <w:rsid w:val="00AD0F7D"/>
    <w:rsid w:val="00AD1140"/>
    <w:rsid w:val="00AD1186"/>
    <w:rsid w:val="00AD1DDD"/>
    <w:rsid w:val="00AD1F2E"/>
    <w:rsid w:val="00AD2340"/>
    <w:rsid w:val="00AD2824"/>
    <w:rsid w:val="00AD2E49"/>
    <w:rsid w:val="00AD301A"/>
    <w:rsid w:val="00AD3424"/>
    <w:rsid w:val="00AD352E"/>
    <w:rsid w:val="00AD379E"/>
    <w:rsid w:val="00AD3C98"/>
    <w:rsid w:val="00AD3CA7"/>
    <w:rsid w:val="00AD3EFE"/>
    <w:rsid w:val="00AD4219"/>
    <w:rsid w:val="00AD43A8"/>
    <w:rsid w:val="00AD4EBD"/>
    <w:rsid w:val="00AD4EC3"/>
    <w:rsid w:val="00AD4F4B"/>
    <w:rsid w:val="00AD4F58"/>
    <w:rsid w:val="00AD5A37"/>
    <w:rsid w:val="00AD5BDF"/>
    <w:rsid w:val="00AD5CC6"/>
    <w:rsid w:val="00AD61F3"/>
    <w:rsid w:val="00AD6643"/>
    <w:rsid w:val="00AD69B8"/>
    <w:rsid w:val="00AD6A06"/>
    <w:rsid w:val="00AD6C2C"/>
    <w:rsid w:val="00AD6D5C"/>
    <w:rsid w:val="00AD6FB4"/>
    <w:rsid w:val="00AD6FE6"/>
    <w:rsid w:val="00AD70FB"/>
    <w:rsid w:val="00AD7A6D"/>
    <w:rsid w:val="00AD7D85"/>
    <w:rsid w:val="00AE0023"/>
    <w:rsid w:val="00AE0623"/>
    <w:rsid w:val="00AE0938"/>
    <w:rsid w:val="00AE0BF4"/>
    <w:rsid w:val="00AE194F"/>
    <w:rsid w:val="00AE1A36"/>
    <w:rsid w:val="00AE1A8F"/>
    <w:rsid w:val="00AE1B40"/>
    <w:rsid w:val="00AE1B5F"/>
    <w:rsid w:val="00AE1C81"/>
    <w:rsid w:val="00AE212D"/>
    <w:rsid w:val="00AE22DD"/>
    <w:rsid w:val="00AE2454"/>
    <w:rsid w:val="00AE2E5C"/>
    <w:rsid w:val="00AE30BA"/>
    <w:rsid w:val="00AE3866"/>
    <w:rsid w:val="00AE38E9"/>
    <w:rsid w:val="00AE3DD7"/>
    <w:rsid w:val="00AE3E75"/>
    <w:rsid w:val="00AE4062"/>
    <w:rsid w:val="00AE4239"/>
    <w:rsid w:val="00AE4366"/>
    <w:rsid w:val="00AE442E"/>
    <w:rsid w:val="00AE4433"/>
    <w:rsid w:val="00AE4512"/>
    <w:rsid w:val="00AE47E0"/>
    <w:rsid w:val="00AE4A59"/>
    <w:rsid w:val="00AE4A64"/>
    <w:rsid w:val="00AE4C4C"/>
    <w:rsid w:val="00AE4D05"/>
    <w:rsid w:val="00AE56DE"/>
    <w:rsid w:val="00AE5938"/>
    <w:rsid w:val="00AE5BA9"/>
    <w:rsid w:val="00AE5BF2"/>
    <w:rsid w:val="00AE5C2C"/>
    <w:rsid w:val="00AE5EF2"/>
    <w:rsid w:val="00AE6135"/>
    <w:rsid w:val="00AE64A4"/>
    <w:rsid w:val="00AE6611"/>
    <w:rsid w:val="00AE6FCF"/>
    <w:rsid w:val="00AE7320"/>
    <w:rsid w:val="00AE7567"/>
    <w:rsid w:val="00AE7B11"/>
    <w:rsid w:val="00AE7B38"/>
    <w:rsid w:val="00AF00CF"/>
    <w:rsid w:val="00AF014E"/>
    <w:rsid w:val="00AF027C"/>
    <w:rsid w:val="00AF02AA"/>
    <w:rsid w:val="00AF0825"/>
    <w:rsid w:val="00AF08DE"/>
    <w:rsid w:val="00AF091A"/>
    <w:rsid w:val="00AF0BFD"/>
    <w:rsid w:val="00AF12A9"/>
    <w:rsid w:val="00AF1505"/>
    <w:rsid w:val="00AF1B87"/>
    <w:rsid w:val="00AF1DB4"/>
    <w:rsid w:val="00AF1DEE"/>
    <w:rsid w:val="00AF2075"/>
    <w:rsid w:val="00AF2E6D"/>
    <w:rsid w:val="00AF3808"/>
    <w:rsid w:val="00AF3A09"/>
    <w:rsid w:val="00AF3C49"/>
    <w:rsid w:val="00AF3C59"/>
    <w:rsid w:val="00AF3D2A"/>
    <w:rsid w:val="00AF4116"/>
    <w:rsid w:val="00AF4351"/>
    <w:rsid w:val="00AF473A"/>
    <w:rsid w:val="00AF478C"/>
    <w:rsid w:val="00AF4B30"/>
    <w:rsid w:val="00AF4D7C"/>
    <w:rsid w:val="00AF4F4B"/>
    <w:rsid w:val="00AF521B"/>
    <w:rsid w:val="00AF54AD"/>
    <w:rsid w:val="00AF60D1"/>
    <w:rsid w:val="00AF6224"/>
    <w:rsid w:val="00AF622A"/>
    <w:rsid w:val="00AF6A44"/>
    <w:rsid w:val="00AF6F19"/>
    <w:rsid w:val="00AF741A"/>
    <w:rsid w:val="00AF76AC"/>
    <w:rsid w:val="00AF76E7"/>
    <w:rsid w:val="00AF7AEA"/>
    <w:rsid w:val="00AF7DC3"/>
    <w:rsid w:val="00B00054"/>
    <w:rsid w:val="00B000C0"/>
    <w:rsid w:val="00B00508"/>
    <w:rsid w:val="00B00ABD"/>
    <w:rsid w:val="00B00E3C"/>
    <w:rsid w:val="00B00FD0"/>
    <w:rsid w:val="00B010F7"/>
    <w:rsid w:val="00B012FD"/>
    <w:rsid w:val="00B02248"/>
    <w:rsid w:val="00B02BFD"/>
    <w:rsid w:val="00B02C6D"/>
    <w:rsid w:val="00B02F3E"/>
    <w:rsid w:val="00B031EA"/>
    <w:rsid w:val="00B032C1"/>
    <w:rsid w:val="00B03467"/>
    <w:rsid w:val="00B0368E"/>
    <w:rsid w:val="00B036BB"/>
    <w:rsid w:val="00B036CE"/>
    <w:rsid w:val="00B0410E"/>
    <w:rsid w:val="00B04540"/>
    <w:rsid w:val="00B0461F"/>
    <w:rsid w:val="00B04659"/>
    <w:rsid w:val="00B04717"/>
    <w:rsid w:val="00B04AC5"/>
    <w:rsid w:val="00B04C05"/>
    <w:rsid w:val="00B04CA4"/>
    <w:rsid w:val="00B057A0"/>
    <w:rsid w:val="00B05A1D"/>
    <w:rsid w:val="00B05D7F"/>
    <w:rsid w:val="00B06024"/>
    <w:rsid w:val="00B060CA"/>
    <w:rsid w:val="00B064C1"/>
    <w:rsid w:val="00B064CA"/>
    <w:rsid w:val="00B0661B"/>
    <w:rsid w:val="00B06951"/>
    <w:rsid w:val="00B06D4F"/>
    <w:rsid w:val="00B06E7F"/>
    <w:rsid w:val="00B075EB"/>
    <w:rsid w:val="00B077C6"/>
    <w:rsid w:val="00B0799C"/>
    <w:rsid w:val="00B07AA3"/>
    <w:rsid w:val="00B07EFC"/>
    <w:rsid w:val="00B10120"/>
    <w:rsid w:val="00B1072B"/>
    <w:rsid w:val="00B10B6A"/>
    <w:rsid w:val="00B112AB"/>
    <w:rsid w:val="00B113AF"/>
    <w:rsid w:val="00B1189E"/>
    <w:rsid w:val="00B120A0"/>
    <w:rsid w:val="00B12661"/>
    <w:rsid w:val="00B12810"/>
    <w:rsid w:val="00B128BE"/>
    <w:rsid w:val="00B128F7"/>
    <w:rsid w:val="00B12E15"/>
    <w:rsid w:val="00B12FB6"/>
    <w:rsid w:val="00B138B0"/>
    <w:rsid w:val="00B13ABE"/>
    <w:rsid w:val="00B14089"/>
    <w:rsid w:val="00B14193"/>
    <w:rsid w:val="00B14B0E"/>
    <w:rsid w:val="00B14E03"/>
    <w:rsid w:val="00B15926"/>
    <w:rsid w:val="00B15B05"/>
    <w:rsid w:val="00B15CA5"/>
    <w:rsid w:val="00B16901"/>
    <w:rsid w:val="00B16A34"/>
    <w:rsid w:val="00B16E96"/>
    <w:rsid w:val="00B16EF4"/>
    <w:rsid w:val="00B16FE4"/>
    <w:rsid w:val="00B17668"/>
    <w:rsid w:val="00B177C2"/>
    <w:rsid w:val="00B17888"/>
    <w:rsid w:val="00B17A8C"/>
    <w:rsid w:val="00B204A4"/>
    <w:rsid w:val="00B2051F"/>
    <w:rsid w:val="00B2075A"/>
    <w:rsid w:val="00B20AD3"/>
    <w:rsid w:val="00B20F7A"/>
    <w:rsid w:val="00B2101E"/>
    <w:rsid w:val="00B2111D"/>
    <w:rsid w:val="00B21362"/>
    <w:rsid w:val="00B2153A"/>
    <w:rsid w:val="00B21640"/>
    <w:rsid w:val="00B21702"/>
    <w:rsid w:val="00B2174D"/>
    <w:rsid w:val="00B218F5"/>
    <w:rsid w:val="00B21DFB"/>
    <w:rsid w:val="00B22396"/>
    <w:rsid w:val="00B22453"/>
    <w:rsid w:val="00B22862"/>
    <w:rsid w:val="00B229A9"/>
    <w:rsid w:val="00B229CD"/>
    <w:rsid w:val="00B22D01"/>
    <w:rsid w:val="00B22ED4"/>
    <w:rsid w:val="00B234C7"/>
    <w:rsid w:val="00B237AA"/>
    <w:rsid w:val="00B23B44"/>
    <w:rsid w:val="00B23F4D"/>
    <w:rsid w:val="00B240B6"/>
    <w:rsid w:val="00B241FF"/>
    <w:rsid w:val="00B24234"/>
    <w:rsid w:val="00B2435E"/>
    <w:rsid w:val="00B24406"/>
    <w:rsid w:val="00B24434"/>
    <w:rsid w:val="00B24725"/>
    <w:rsid w:val="00B2495D"/>
    <w:rsid w:val="00B24A3D"/>
    <w:rsid w:val="00B24E34"/>
    <w:rsid w:val="00B250A8"/>
    <w:rsid w:val="00B25A83"/>
    <w:rsid w:val="00B2614E"/>
    <w:rsid w:val="00B2619A"/>
    <w:rsid w:val="00B261C7"/>
    <w:rsid w:val="00B2642E"/>
    <w:rsid w:val="00B26541"/>
    <w:rsid w:val="00B266C7"/>
    <w:rsid w:val="00B267EF"/>
    <w:rsid w:val="00B2686F"/>
    <w:rsid w:val="00B26B36"/>
    <w:rsid w:val="00B27539"/>
    <w:rsid w:val="00B27DC7"/>
    <w:rsid w:val="00B27E04"/>
    <w:rsid w:val="00B27E39"/>
    <w:rsid w:val="00B3068A"/>
    <w:rsid w:val="00B3085D"/>
    <w:rsid w:val="00B30B08"/>
    <w:rsid w:val="00B30C05"/>
    <w:rsid w:val="00B30C2A"/>
    <w:rsid w:val="00B30D43"/>
    <w:rsid w:val="00B310ED"/>
    <w:rsid w:val="00B312D6"/>
    <w:rsid w:val="00B31321"/>
    <w:rsid w:val="00B3179D"/>
    <w:rsid w:val="00B31A56"/>
    <w:rsid w:val="00B31FB0"/>
    <w:rsid w:val="00B3231C"/>
    <w:rsid w:val="00B32678"/>
    <w:rsid w:val="00B32A2A"/>
    <w:rsid w:val="00B32C26"/>
    <w:rsid w:val="00B32EDC"/>
    <w:rsid w:val="00B32F2E"/>
    <w:rsid w:val="00B338D6"/>
    <w:rsid w:val="00B33BEC"/>
    <w:rsid w:val="00B33DD6"/>
    <w:rsid w:val="00B33E46"/>
    <w:rsid w:val="00B341F6"/>
    <w:rsid w:val="00B344A2"/>
    <w:rsid w:val="00B34758"/>
    <w:rsid w:val="00B34807"/>
    <w:rsid w:val="00B34992"/>
    <w:rsid w:val="00B34A1B"/>
    <w:rsid w:val="00B34A7E"/>
    <w:rsid w:val="00B34F6F"/>
    <w:rsid w:val="00B351E5"/>
    <w:rsid w:val="00B353DD"/>
    <w:rsid w:val="00B359A4"/>
    <w:rsid w:val="00B35A4E"/>
    <w:rsid w:val="00B35CD6"/>
    <w:rsid w:val="00B3613A"/>
    <w:rsid w:val="00B3613E"/>
    <w:rsid w:val="00B36281"/>
    <w:rsid w:val="00B365C8"/>
    <w:rsid w:val="00B36758"/>
    <w:rsid w:val="00B3683D"/>
    <w:rsid w:val="00B368A7"/>
    <w:rsid w:val="00B368FF"/>
    <w:rsid w:val="00B36AAE"/>
    <w:rsid w:val="00B37093"/>
    <w:rsid w:val="00B375F8"/>
    <w:rsid w:val="00B377A7"/>
    <w:rsid w:val="00B37CC7"/>
    <w:rsid w:val="00B40047"/>
    <w:rsid w:val="00B4035C"/>
    <w:rsid w:val="00B403C4"/>
    <w:rsid w:val="00B405C5"/>
    <w:rsid w:val="00B412E9"/>
    <w:rsid w:val="00B41496"/>
    <w:rsid w:val="00B41621"/>
    <w:rsid w:val="00B417A7"/>
    <w:rsid w:val="00B4190F"/>
    <w:rsid w:val="00B41F28"/>
    <w:rsid w:val="00B421C5"/>
    <w:rsid w:val="00B42EBB"/>
    <w:rsid w:val="00B43252"/>
    <w:rsid w:val="00B43269"/>
    <w:rsid w:val="00B434A9"/>
    <w:rsid w:val="00B43739"/>
    <w:rsid w:val="00B437DE"/>
    <w:rsid w:val="00B43CAF"/>
    <w:rsid w:val="00B43D2B"/>
    <w:rsid w:val="00B44491"/>
    <w:rsid w:val="00B444AF"/>
    <w:rsid w:val="00B448D4"/>
    <w:rsid w:val="00B4493F"/>
    <w:rsid w:val="00B44C08"/>
    <w:rsid w:val="00B44C42"/>
    <w:rsid w:val="00B44C58"/>
    <w:rsid w:val="00B44F14"/>
    <w:rsid w:val="00B450E6"/>
    <w:rsid w:val="00B45507"/>
    <w:rsid w:val="00B456E2"/>
    <w:rsid w:val="00B45E12"/>
    <w:rsid w:val="00B46081"/>
    <w:rsid w:val="00B465C4"/>
    <w:rsid w:val="00B46601"/>
    <w:rsid w:val="00B46A68"/>
    <w:rsid w:val="00B46E96"/>
    <w:rsid w:val="00B47007"/>
    <w:rsid w:val="00B4743F"/>
    <w:rsid w:val="00B474A3"/>
    <w:rsid w:val="00B4767E"/>
    <w:rsid w:val="00B477B5"/>
    <w:rsid w:val="00B47912"/>
    <w:rsid w:val="00B47B9F"/>
    <w:rsid w:val="00B47DB9"/>
    <w:rsid w:val="00B501D9"/>
    <w:rsid w:val="00B501F2"/>
    <w:rsid w:val="00B510AB"/>
    <w:rsid w:val="00B511DF"/>
    <w:rsid w:val="00B5173D"/>
    <w:rsid w:val="00B51937"/>
    <w:rsid w:val="00B51C58"/>
    <w:rsid w:val="00B51D31"/>
    <w:rsid w:val="00B51DD6"/>
    <w:rsid w:val="00B5222F"/>
    <w:rsid w:val="00B5226F"/>
    <w:rsid w:val="00B523F4"/>
    <w:rsid w:val="00B52495"/>
    <w:rsid w:val="00B5266C"/>
    <w:rsid w:val="00B529F5"/>
    <w:rsid w:val="00B52A0F"/>
    <w:rsid w:val="00B53125"/>
    <w:rsid w:val="00B53339"/>
    <w:rsid w:val="00B535B8"/>
    <w:rsid w:val="00B53F5F"/>
    <w:rsid w:val="00B543D7"/>
    <w:rsid w:val="00B548D6"/>
    <w:rsid w:val="00B54922"/>
    <w:rsid w:val="00B54ED9"/>
    <w:rsid w:val="00B54F26"/>
    <w:rsid w:val="00B5521B"/>
    <w:rsid w:val="00B55653"/>
    <w:rsid w:val="00B55757"/>
    <w:rsid w:val="00B557C3"/>
    <w:rsid w:val="00B5583E"/>
    <w:rsid w:val="00B563D8"/>
    <w:rsid w:val="00B56410"/>
    <w:rsid w:val="00B56BD4"/>
    <w:rsid w:val="00B56EBC"/>
    <w:rsid w:val="00B5741D"/>
    <w:rsid w:val="00B57536"/>
    <w:rsid w:val="00B5770B"/>
    <w:rsid w:val="00B57716"/>
    <w:rsid w:val="00B57786"/>
    <w:rsid w:val="00B577B0"/>
    <w:rsid w:val="00B57A24"/>
    <w:rsid w:val="00B57AF0"/>
    <w:rsid w:val="00B57D00"/>
    <w:rsid w:val="00B57D34"/>
    <w:rsid w:val="00B57E2D"/>
    <w:rsid w:val="00B60058"/>
    <w:rsid w:val="00B6014C"/>
    <w:rsid w:val="00B601A9"/>
    <w:rsid w:val="00B60756"/>
    <w:rsid w:val="00B60A07"/>
    <w:rsid w:val="00B60A2C"/>
    <w:rsid w:val="00B60E40"/>
    <w:rsid w:val="00B61110"/>
    <w:rsid w:val="00B613D1"/>
    <w:rsid w:val="00B61414"/>
    <w:rsid w:val="00B6188D"/>
    <w:rsid w:val="00B61C0D"/>
    <w:rsid w:val="00B61C31"/>
    <w:rsid w:val="00B625D4"/>
    <w:rsid w:val="00B629DE"/>
    <w:rsid w:val="00B62AD8"/>
    <w:rsid w:val="00B62EDE"/>
    <w:rsid w:val="00B6301B"/>
    <w:rsid w:val="00B63303"/>
    <w:rsid w:val="00B635A6"/>
    <w:rsid w:val="00B639E1"/>
    <w:rsid w:val="00B63AA9"/>
    <w:rsid w:val="00B63CBF"/>
    <w:rsid w:val="00B63E31"/>
    <w:rsid w:val="00B63E92"/>
    <w:rsid w:val="00B63F0B"/>
    <w:rsid w:val="00B63FA8"/>
    <w:rsid w:val="00B64452"/>
    <w:rsid w:val="00B6448F"/>
    <w:rsid w:val="00B654ED"/>
    <w:rsid w:val="00B65C9D"/>
    <w:rsid w:val="00B65D47"/>
    <w:rsid w:val="00B65D4C"/>
    <w:rsid w:val="00B65E8A"/>
    <w:rsid w:val="00B66195"/>
    <w:rsid w:val="00B664CD"/>
    <w:rsid w:val="00B66BE1"/>
    <w:rsid w:val="00B6704B"/>
    <w:rsid w:val="00B671E0"/>
    <w:rsid w:val="00B6741A"/>
    <w:rsid w:val="00B674E3"/>
    <w:rsid w:val="00B6763E"/>
    <w:rsid w:val="00B679DB"/>
    <w:rsid w:val="00B67C26"/>
    <w:rsid w:val="00B705CF"/>
    <w:rsid w:val="00B706D1"/>
    <w:rsid w:val="00B70990"/>
    <w:rsid w:val="00B70E7B"/>
    <w:rsid w:val="00B71358"/>
    <w:rsid w:val="00B71403"/>
    <w:rsid w:val="00B715F4"/>
    <w:rsid w:val="00B71756"/>
    <w:rsid w:val="00B7184E"/>
    <w:rsid w:val="00B7185C"/>
    <w:rsid w:val="00B7185F"/>
    <w:rsid w:val="00B72154"/>
    <w:rsid w:val="00B723E6"/>
    <w:rsid w:val="00B725D8"/>
    <w:rsid w:val="00B72AA7"/>
    <w:rsid w:val="00B72F42"/>
    <w:rsid w:val="00B72F8A"/>
    <w:rsid w:val="00B731CD"/>
    <w:rsid w:val="00B73510"/>
    <w:rsid w:val="00B7368B"/>
    <w:rsid w:val="00B73D7C"/>
    <w:rsid w:val="00B743A8"/>
    <w:rsid w:val="00B74731"/>
    <w:rsid w:val="00B74879"/>
    <w:rsid w:val="00B74BB3"/>
    <w:rsid w:val="00B74D09"/>
    <w:rsid w:val="00B74EC4"/>
    <w:rsid w:val="00B756D5"/>
    <w:rsid w:val="00B7574B"/>
    <w:rsid w:val="00B75833"/>
    <w:rsid w:val="00B759C0"/>
    <w:rsid w:val="00B759DA"/>
    <w:rsid w:val="00B75D64"/>
    <w:rsid w:val="00B75D6F"/>
    <w:rsid w:val="00B75D7A"/>
    <w:rsid w:val="00B75ECE"/>
    <w:rsid w:val="00B76016"/>
    <w:rsid w:val="00B76161"/>
    <w:rsid w:val="00B76205"/>
    <w:rsid w:val="00B7642C"/>
    <w:rsid w:val="00B764F9"/>
    <w:rsid w:val="00B76C1A"/>
    <w:rsid w:val="00B76D67"/>
    <w:rsid w:val="00B774A5"/>
    <w:rsid w:val="00B776A5"/>
    <w:rsid w:val="00B77862"/>
    <w:rsid w:val="00B77EDD"/>
    <w:rsid w:val="00B801A9"/>
    <w:rsid w:val="00B806A2"/>
    <w:rsid w:val="00B8075F"/>
    <w:rsid w:val="00B80A1D"/>
    <w:rsid w:val="00B80B87"/>
    <w:rsid w:val="00B81555"/>
    <w:rsid w:val="00B8157E"/>
    <w:rsid w:val="00B815A4"/>
    <w:rsid w:val="00B815B9"/>
    <w:rsid w:val="00B81A5F"/>
    <w:rsid w:val="00B81D02"/>
    <w:rsid w:val="00B81FD1"/>
    <w:rsid w:val="00B82130"/>
    <w:rsid w:val="00B82134"/>
    <w:rsid w:val="00B8298A"/>
    <w:rsid w:val="00B829F3"/>
    <w:rsid w:val="00B82F07"/>
    <w:rsid w:val="00B833AA"/>
    <w:rsid w:val="00B83754"/>
    <w:rsid w:val="00B83957"/>
    <w:rsid w:val="00B83A49"/>
    <w:rsid w:val="00B83CA1"/>
    <w:rsid w:val="00B8400E"/>
    <w:rsid w:val="00B840AC"/>
    <w:rsid w:val="00B8412C"/>
    <w:rsid w:val="00B84A94"/>
    <w:rsid w:val="00B84AED"/>
    <w:rsid w:val="00B84BE7"/>
    <w:rsid w:val="00B85746"/>
    <w:rsid w:val="00B857CA"/>
    <w:rsid w:val="00B859C2"/>
    <w:rsid w:val="00B863A4"/>
    <w:rsid w:val="00B867A3"/>
    <w:rsid w:val="00B86A38"/>
    <w:rsid w:val="00B8713B"/>
    <w:rsid w:val="00B8740D"/>
    <w:rsid w:val="00B8762C"/>
    <w:rsid w:val="00B876D7"/>
    <w:rsid w:val="00B877D1"/>
    <w:rsid w:val="00B87B51"/>
    <w:rsid w:val="00B87DCA"/>
    <w:rsid w:val="00B9023D"/>
    <w:rsid w:val="00B913D5"/>
    <w:rsid w:val="00B91740"/>
    <w:rsid w:val="00B91885"/>
    <w:rsid w:val="00B9197D"/>
    <w:rsid w:val="00B91A3B"/>
    <w:rsid w:val="00B91ACA"/>
    <w:rsid w:val="00B91E3B"/>
    <w:rsid w:val="00B91E89"/>
    <w:rsid w:val="00B92264"/>
    <w:rsid w:val="00B9230B"/>
    <w:rsid w:val="00B92582"/>
    <w:rsid w:val="00B928DB"/>
    <w:rsid w:val="00B9290F"/>
    <w:rsid w:val="00B9319D"/>
    <w:rsid w:val="00B937B4"/>
    <w:rsid w:val="00B9384A"/>
    <w:rsid w:val="00B93B20"/>
    <w:rsid w:val="00B93C7A"/>
    <w:rsid w:val="00B943F3"/>
    <w:rsid w:val="00B95226"/>
    <w:rsid w:val="00B952C8"/>
    <w:rsid w:val="00B958B7"/>
    <w:rsid w:val="00B95B0C"/>
    <w:rsid w:val="00B95B99"/>
    <w:rsid w:val="00B95CA4"/>
    <w:rsid w:val="00B9624F"/>
    <w:rsid w:val="00B96B38"/>
    <w:rsid w:val="00B96B98"/>
    <w:rsid w:val="00B96D08"/>
    <w:rsid w:val="00B9710E"/>
    <w:rsid w:val="00B97598"/>
    <w:rsid w:val="00B97655"/>
    <w:rsid w:val="00B97958"/>
    <w:rsid w:val="00B97AD7"/>
    <w:rsid w:val="00BA04F5"/>
    <w:rsid w:val="00BA0982"/>
    <w:rsid w:val="00BA09A9"/>
    <w:rsid w:val="00BA0EBD"/>
    <w:rsid w:val="00BA1B60"/>
    <w:rsid w:val="00BA1BE6"/>
    <w:rsid w:val="00BA1DF3"/>
    <w:rsid w:val="00BA2ED3"/>
    <w:rsid w:val="00BA2F07"/>
    <w:rsid w:val="00BA31CD"/>
    <w:rsid w:val="00BA36F1"/>
    <w:rsid w:val="00BA3882"/>
    <w:rsid w:val="00BA3886"/>
    <w:rsid w:val="00BA39E5"/>
    <w:rsid w:val="00BA3A6B"/>
    <w:rsid w:val="00BA3BD1"/>
    <w:rsid w:val="00BA4E18"/>
    <w:rsid w:val="00BA5225"/>
    <w:rsid w:val="00BA526D"/>
    <w:rsid w:val="00BA590D"/>
    <w:rsid w:val="00BA5B37"/>
    <w:rsid w:val="00BA5D00"/>
    <w:rsid w:val="00BA5FB0"/>
    <w:rsid w:val="00BA6084"/>
    <w:rsid w:val="00BA6142"/>
    <w:rsid w:val="00BA6291"/>
    <w:rsid w:val="00BA68AA"/>
    <w:rsid w:val="00BA6F8A"/>
    <w:rsid w:val="00BA7FEC"/>
    <w:rsid w:val="00BB0000"/>
    <w:rsid w:val="00BB070A"/>
    <w:rsid w:val="00BB08DA"/>
    <w:rsid w:val="00BB09E1"/>
    <w:rsid w:val="00BB0C28"/>
    <w:rsid w:val="00BB1152"/>
    <w:rsid w:val="00BB1698"/>
    <w:rsid w:val="00BB1D99"/>
    <w:rsid w:val="00BB1E42"/>
    <w:rsid w:val="00BB24FE"/>
    <w:rsid w:val="00BB253D"/>
    <w:rsid w:val="00BB2976"/>
    <w:rsid w:val="00BB2A61"/>
    <w:rsid w:val="00BB2B21"/>
    <w:rsid w:val="00BB2C9C"/>
    <w:rsid w:val="00BB2E51"/>
    <w:rsid w:val="00BB2EC7"/>
    <w:rsid w:val="00BB2F4F"/>
    <w:rsid w:val="00BB302C"/>
    <w:rsid w:val="00BB317E"/>
    <w:rsid w:val="00BB3648"/>
    <w:rsid w:val="00BB382C"/>
    <w:rsid w:val="00BB3ACA"/>
    <w:rsid w:val="00BB3AF4"/>
    <w:rsid w:val="00BB3B99"/>
    <w:rsid w:val="00BB4030"/>
    <w:rsid w:val="00BB4317"/>
    <w:rsid w:val="00BB4327"/>
    <w:rsid w:val="00BB495E"/>
    <w:rsid w:val="00BB4A09"/>
    <w:rsid w:val="00BB4F1D"/>
    <w:rsid w:val="00BB5082"/>
    <w:rsid w:val="00BB55C1"/>
    <w:rsid w:val="00BB5A46"/>
    <w:rsid w:val="00BB5A89"/>
    <w:rsid w:val="00BB5D77"/>
    <w:rsid w:val="00BB6087"/>
    <w:rsid w:val="00BB6423"/>
    <w:rsid w:val="00BB64F0"/>
    <w:rsid w:val="00BB69C6"/>
    <w:rsid w:val="00BB6C46"/>
    <w:rsid w:val="00BB6D6D"/>
    <w:rsid w:val="00BB70EF"/>
    <w:rsid w:val="00BB719A"/>
    <w:rsid w:val="00BB7545"/>
    <w:rsid w:val="00BB75DA"/>
    <w:rsid w:val="00BC0197"/>
    <w:rsid w:val="00BC0383"/>
    <w:rsid w:val="00BC0705"/>
    <w:rsid w:val="00BC0944"/>
    <w:rsid w:val="00BC0FB7"/>
    <w:rsid w:val="00BC12B5"/>
    <w:rsid w:val="00BC1415"/>
    <w:rsid w:val="00BC16B0"/>
    <w:rsid w:val="00BC1940"/>
    <w:rsid w:val="00BC1CA2"/>
    <w:rsid w:val="00BC1CE3"/>
    <w:rsid w:val="00BC2250"/>
    <w:rsid w:val="00BC24B8"/>
    <w:rsid w:val="00BC2CB2"/>
    <w:rsid w:val="00BC3376"/>
    <w:rsid w:val="00BC37FC"/>
    <w:rsid w:val="00BC3840"/>
    <w:rsid w:val="00BC3CA5"/>
    <w:rsid w:val="00BC3E76"/>
    <w:rsid w:val="00BC408F"/>
    <w:rsid w:val="00BC4541"/>
    <w:rsid w:val="00BC45CE"/>
    <w:rsid w:val="00BC4608"/>
    <w:rsid w:val="00BC4CB5"/>
    <w:rsid w:val="00BC53AF"/>
    <w:rsid w:val="00BC5728"/>
    <w:rsid w:val="00BC5C17"/>
    <w:rsid w:val="00BC5C7E"/>
    <w:rsid w:val="00BC5F9D"/>
    <w:rsid w:val="00BC657F"/>
    <w:rsid w:val="00BC6B95"/>
    <w:rsid w:val="00BC6DF5"/>
    <w:rsid w:val="00BC73F1"/>
    <w:rsid w:val="00BC7865"/>
    <w:rsid w:val="00BD0028"/>
    <w:rsid w:val="00BD0177"/>
    <w:rsid w:val="00BD074F"/>
    <w:rsid w:val="00BD075D"/>
    <w:rsid w:val="00BD07C2"/>
    <w:rsid w:val="00BD0D5E"/>
    <w:rsid w:val="00BD0DA1"/>
    <w:rsid w:val="00BD0FA4"/>
    <w:rsid w:val="00BD12ED"/>
    <w:rsid w:val="00BD130A"/>
    <w:rsid w:val="00BD13A0"/>
    <w:rsid w:val="00BD1892"/>
    <w:rsid w:val="00BD194D"/>
    <w:rsid w:val="00BD1992"/>
    <w:rsid w:val="00BD1B3F"/>
    <w:rsid w:val="00BD1C4D"/>
    <w:rsid w:val="00BD1EB5"/>
    <w:rsid w:val="00BD2011"/>
    <w:rsid w:val="00BD2181"/>
    <w:rsid w:val="00BD2C88"/>
    <w:rsid w:val="00BD2D86"/>
    <w:rsid w:val="00BD2F53"/>
    <w:rsid w:val="00BD2F98"/>
    <w:rsid w:val="00BD358A"/>
    <w:rsid w:val="00BD37D4"/>
    <w:rsid w:val="00BD3D76"/>
    <w:rsid w:val="00BD3DF7"/>
    <w:rsid w:val="00BD3FF8"/>
    <w:rsid w:val="00BD451C"/>
    <w:rsid w:val="00BD479B"/>
    <w:rsid w:val="00BD4B27"/>
    <w:rsid w:val="00BD4B44"/>
    <w:rsid w:val="00BD4D3F"/>
    <w:rsid w:val="00BD52A3"/>
    <w:rsid w:val="00BD54BA"/>
    <w:rsid w:val="00BD55F4"/>
    <w:rsid w:val="00BD5694"/>
    <w:rsid w:val="00BD578F"/>
    <w:rsid w:val="00BD6162"/>
    <w:rsid w:val="00BD61CF"/>
    <w:rsid w:val="00BD6455"/>
    <w:rsid w:val="00BD787C"/>
    <w:rsid w:val="00BD7929"/>
    <w:rsid w:val="00BD7F10"/>
    <w:rsid w:val="00BE02D4"/>
    <w:rsid w:val="00BE05D2"/>
    <w:rsid w:val="00BE0C4B"/>
    <w:rsid w:val="00BE11E2"/>
    <w:rsid w:val="00BE1241"/>
    <w:rsid w:val="00BE1938"/>
    <w:rsid w:val="00BE1F4F"/>
    <w:rsid w:val="00BE22EC"/>
    <w:rsid w:val="00BE23BB"/>
    <w:rsid w:val="00BE2559"/>
    <w:rsid w:val="00BE2981"/>
    <w:rsid w:val="00BE2ABE"/>
    <w:rsid w:val="00BE2DC1"/>
    <w:rsid w:val="00BE2E87"/>
    <w:rsid w:val="00BE2E9B"/>
    <w:rsid w:val="00BE3BFF"/>
    <w:rsid w:val="00BE3E8A"/>
    <w:rsid w:val="00BE428E"/>
    <w:rsid w:val="00BE4392"/>
    <w:rsid w:val="00BE48F7"/>
    <w:rsid w:val="00BE49C1"/>
    <w:rsid w:val="00BE4B5E"/>
    <w:rsid w:val="00BE4BE5"/>
    <w:rsid w:val="00BE4C02"/>
    <w:rsid w:val="00BE4D17"/>
    <w:rsid w:val="00BE4E41"/>
    <w:rsid w:val="00BE502E"/>
    <w:rsid w:val="00BE585A"/>
    <w:rsid w:val="00BE63C5"/>
    <w:rsid w:val="00BE656C"/>
    <w:rsid w:val="00BE6B17"/>
    <w:rsid w:val="00BE6D8A"/>
    <w:rsid w:val="00BE744A"/>
    <w:rsid w:val="00BE76DA"/>
    <w:rsid w:val="00BE7794"/>
    <w:rsid w:val="00BF0870"/>
    <w:rsid w:val="00BF089D"/>
    <w:rsid w:val="00BF0AF3"/>
    <w:rsid w:val="00BF1138"/>
    <w:rsid w:val="00BF1470"/>
    <w:rsid w:val="00BF187B"/>
    <w:rsid w:val="00BF1CF4"/>
    <w:rsid w:val="00BF2212"/>
    <w:rsid w:val="00BF226C"/>
    <w:rsid w:val="00BF2634"/>
    <w:rsid w:val="00BF263F"/>
    <w:rsid w:val="00BF2925"/>
    <w:rsid w:val="00BF2C3C"/>
    <w:rsid w:val="00BF341A"/>
    <w:rsid w:val="00BF3B23"/>
    <w:rsid w:val="00BF3C3B"/>
    <w:rsid w:val="00BF403D"/>
    <w:rsid w:val="00BF4458"/>
    <w:rsid w:val="00BF4708"/>
    <w:rsid w:val="00BF4B20"/>
    <w:rsid w:val="00BF4F99"/>
    <w:rsid w:val="00BF4FFB"/>
    <w:rsid w:val="00BF5032"/>
    <w:rsid w:val="00BF53AE"/>
    <w:rsid w:val="00BF557A"/>
    <w:rsid w:val="00BF581E"/>
    <w:rsid w:val="00BF6786"/>
    <w:rsid w:val="00BF6924"/>
    <w:rsid w:val="00BF69E3"/>
    <w:rsid w:val="00BF6A4F"/>
    <w:rsid w:val="00BF6D1A"/>
    <w:rsid w:val="00BF72ED"/>
    <w:rsid w:val="00BF76F2"/>
    <w:rsid w:val="00BF78F8"/>
    <w:rsid w:val="00BF7A8F"/>
    <w:rsid w:val="00BF7ADC"/>
    <w:rsid w:val="00BF7B84"/>
    <w:rsid w:val="00BF7BBE"/>
    <w:rsid w:val="00BF7C0C"/>
    <w:rsid w:val="00BF7E6E"/>
    <w:rsid w:val="00C00198"/>
    <w:rsid w:val="00C001AA"/>
    <w:rsid w:val="00C00267"/>
    <w:rsid w:val="00C00301"/>
    <w:rsid w:val="00C00C4C"/>
    <w:rsid w:val="00C00D32"/>
    <w:rsid w:val="00C00FBE"/>
    <w:rsid w:val="00C01A65"/>
    <w:rsid w:val="00C01C49"/>
    <w:rsid w:val="00C023AD"/>
    <w:rsid w:val="00C02573"/>
    <w:rsid w:val="00C0280A"/>
    <w:rsid w:val="00C02E17"/>
    <w:rsid w:val="00C034D5"/>
    <w:rsid w:val="00C03622"/>
    <w:rsid w:val="00C03D46"/>
    <w:rsid w:val="00C0493C"/>
    <w:rsid w:val="00C049F0"/>
    <w:rsid w:val="00C04E22"/>
    <w:rsid w:val="00C05101"/>
    <w:rsid w:val="00C055AB"/>
    <w:rsid w:val="00C0573B"/>
    <w:rsid w:val="00C0593E"/>
    <w:rsid w:val="00C05D0A"/>
    <w:rsid w:val="00C05E1F"/>
    <w:rsid w:val="00C067EA"/>
    <w:rsid w:val="00C06963"/>
    <w:rsid w:val="00C06AC0"/>
    <w:rsid w:val="00C06DDA"/>
    <w:rsid w:val="00C06F44"/>
    <w:rsid w:val="00C06F6B"/>
    <w:rsid w:val="00C070FE"/>
    <w:rsid w:val="00C0739F"/>
    <w:rsid w:val="00C07A87"/>
    <w:rsid w:val="00C07AC1"/>
    <w:rsid w:val="00C07BC0"/>
    <w:rsid w:val="00C101A9"/>
    <w:rsid w:val="00C10208"/>
    <w:rsid w:val="00C10217"/>
    <w:rsid w:val="00C102FE"/>
    <w:rsid w:val="00C10DB2"/>
    <w:rsid w:val="00C10F1F"/>
    <w:rsid w:val="00C11584"/>
    <w:rsid w:val="00C118CE"/>
    <w:rsid w:val="00C11B71"/>
    <w:rsid w:val="00C11D15"/>
    <w:rsid w:val="00C11D3B"/>
    <w:rsid w:val="00C11DA8"/>
    <w:rsid w:val="00C12444"/>
    <w:rsid w:val="00C12627"/>
    <w:rsid w:val="00C12891"/>
    <w:rsid w:val="00C12B5E"/>
    <w:rsid w:val="00C12C88"/>
    <w:rsid w:val="00C1310F"/>
    <w:rsid w:val="00C1324C"/>
    <w:rsid w:val="00C13747"/>
    <w:rsid w:val="00C13A55"/>
    <w:rsid w:val="00C1406F"/>
    <w:rsid w:val="00C1433C"/>
    <w:rsid w:val="00C14967"/>
    <w:rsid w:val="00C149F8"/>
    <w:rsid w:val="00C14D08"/>
    <w:rsid w:val="00C14FD1"/>
    <w:rsid w:val="00C15027"/>
    <w:rsid w:val="00C1534F"/>
    <w:rsid w:val="00C159FA"/>
    <w:rsid w:val="00C16234"/>
    <w:rsid w:val="00C17A52"/>
    <w:rsid w:val="00C17D46"/>
    <w:rsid w:val="00C17D73"/>
    <w:rsid w:val="00C2018A"/>
    <w:rsid w:val="00C20486"/>
    <w:rsid w:val="00C20678"/>
    <w:rsid w:val="00C20853"/>
    <w:rsid w:val="00C20A8D"/>
    <w:rsid w:val="00C21366"/>
    <w:rsid w:val="00C217D5"/>
    <w:rsid w:val="00C21979"/>
    <w:rsid w:val="00C21C50"/>
    <w:rsid w:val="00C21E74"/>
    <w:rsid w:val="00C21EC7"/>
    <w:rsid w:val="00C21FB6"/>
    <w:rsid w:val="00C224B3"/>
    <w:rsid w:val="00C2277C"/>
    <w:rsid w:val="00C22BD6"/>
    <w:rsid w:val="00C22E63"/>
    <w:rsid w:val="00C22FC9"/>
    <w:rsid w:val="00C23000"/>
    <w:rsid w:val="00C2336F"/>
    <w:rsid w:val="00C23746"/>
    <w:rsid w:val="00C239B1"/>
    <w:rsid w:val="00C23E09"/>
    <w:rsid w:val="00C24158"/>
    <w:rsid w:val="00C24568"/>
    <w:rsid w:val="00C259F9"/>
    <w:rsid w:val="00C25A86"/>
    <w:rsid w:val="00C26530"/>
    <w:rsid w:val="00C26825"/>
    <w:rsid w:val="00C269FD"/>
    <w:rsid w:val="00C26A10"/>
    <w:rsid w:val="00C27025"/>
    <w:rsid w:val="00C2713C"/>
    <w:rsid w:val="00C27568"/>
    <w:rsid w:val="00C2777A"/>
    <w:rsid w:val="00C27C40"/>
    <w:rsid w:val="00C301AB"/>
    <w:rsid w:val="00C302FA"/>
    <w:rsid w:val="00C3070B"/>
    <w:rsid w:val="00C30B26"/>
    <w:rsid w:val="00C30C24"/>
    <w:rsid w:val="00C31426"/>
    <w:rsid w:val="00C3146F"/>
    <w:rsid w:val="00C314BB"/>
    <w:rsid w:val="00C314ED"/>
    <w:rsid w:val="00C31626"/>
    <w:rsid w:val="00C319D1"/>
    <w:rsid w:val="00C31C9C"/>
    <w:rsid w:val="00C32744"/>
    <w:rsid w:val="00C328F7"/>
    <w:rsid w:val="00C32CB0"/>
    <w:rsid w:val="00C3304F"/>
    <w:rsid w:val="00C33200"/>
    <w:rsid w:val="00C332F3"/>
    <w:rsid w:val="00C3363E"/>
    <w:rsid w:val="00C33798"/>
    <w:rsid w:val="00C33A8B"/>
    <w:rsid w:val="00C33BE1"/>
    <w:rsid w:val="00C33CAE"/>
    <w:rsid w:val="00C3407E"/>
    <w:rsid w:val="00C34130"/>
    <w:rsid w:val="00C3452F"/>
    <w:rsid w:val="00C34903"/>
    <w:rsid w:val="00C34E19"/>
    <w:rsid w:val="00C34F83"/>
    <w:rsid w:val="00C351EA"/>
    <w:rsid w:val="00C35267"/>
    <w:rsid w:val="00C35604"/>
    <w:rsid w:val="00C35617"/>
    <w:rsid w:val="00C35728"/>
    <w:rsid w:val="00C359B4"/>
    <w:rsid w:val="00C35CEB"/>
    <w:rsid w:val="00C35D3D"/>
    <w:rsid w:val="00C35FE6"/>
    <w:rsid w:val="00C36210"/>
    <w:rsid w:val="00C363C8"/>
    <w:rsid w:val="00C36460"/>
    <w:rsid w:val="00C369AA"/>
    <w:rsid w:val="00C36F60"/>
    <w:rsid w:val="00C37674"/>
    <w:rsid w:val="00C376D1"/>
    <w:rsid w:val="00C37BCD"/>
    <w:rsid w:val="00C37E1B"/>
    <w:rsid w:val="00C37F70"/>
    <w:rsid w:val="00C403BB"/>
    <w:rsid w:val="00C408BD"/>
    <w:rsid w:val="00C40C73"/>
    <w:rsid w:val="00C41452"/>
    <w:rsid w:val="00C4154C"/>
    <w:rsid w:val="00C416FF"/>
    <w:rsid w:val="00C41BE7"/>
    <w:rsid w:val="00C41F28"/>
    <w:rsid w:val="00C41F99"/>
    <w:rsid w:val="00C421B0"/>
    <w:rsid w:val="00C42291"/>
    <w:rsid w:val="00C42382"/>
    <w:rsid w:val="00C43299"/>
    <w:rsid w:val="00C4337C"/>
    <w:rsid w:val="00C439D3"/>
    <w:rsid w:val="00C43BF3"/>
    <w:rsid w:val="00C43CEA"/>
    <w:rsid w:val="00C445DC"/>
    <w:rsid w:val="00C44678"/>
    <w:rsid w:val="00C44880"/>
    <w:rsid w:val="00C45828"/>
    <w:rsid w:val="00C4588D"/>
    <w:rsid w:val="00C45AAF"/>
    <w:rsid w:val="00C45CCC"/>
    <w:rsid w:val="00C45FA1"/>
    <w:rsid w:val="00C4629E"/>
    <w:rsid w:val="00C4642C"/>
    <w:rsid w:val="00C467F5"/>
    <w:rsid w:val="00C46B42"/>
    <w:rsid w:val="00C470EA"/>
    <w:rsid w:val="00C47705"/>
    <w:rsid w:val="00C47B2A"/>
    <w:rsid w:val="00C47CEB"/>
    <w:rsid w:val="00C47E7F"/>
    <w:rsid w:val="00C50711"/>
    <w:rsid w:val="00C50DD0"/>
    <w:rsid w:val="00C50FC3"/>
    <w:rsid w:val="00C5115A"/>
    <w:rsid w:val="00C513D7"/>
    <w:rsid w:val="00C51B16"/>
    <w:rsid w:val="00C52007"/>
    <w:rsid w:val="00C52733"/>
    <w:rsid w:val="00C52E03"/>
    <w:rsid w:val="00C52ED5"/>
    <w:rsid w:val="00C52EDC"/>
    <w:rsid w:val="00C52EF1"/>
    <w:rsid w:val="00C52FE2"/>
    <w:rsid w:val="00C52FF1"/>
    <w:rsid w:val="00C530DF"/>
    <w:rsid w:val="00C5376B"/>
    <w:rsid w:val="00C53847"/>
    <w:rsid w:val="00C53B28"/>
    <w:rsid w:val="00C53C88"/>
    <w:rsid w:val="00C53C9E"/>
    <w:rsid w:val="00C53D2B"/>
    <w:rsid w:val="00C53E3E"/>
    <w:rsid w:val="00C54030"/>
    <w:rsid w:val="00C545E0"/>
    <w:rsid w:val="00C54B5C"/>
    <w:rsid w:val="00C54E71"/>
    <w:rsid w:val="00C5548F"/>
    <w:rsid w:val="00C55954"/>
    <w:rsid w:val="00C55A6C"/>
    <w:rsid w:val="00C55E94"/>
    <w:rsid w:val="00C56533"/>
    <w:rsid w:val="00C566CF"/>
    <w:rsid w:val="00C567C7"/>
    <w:rsid w:val="00C569D0"/>
    <w:rsid w:val="00C56D1C"/>
    <w:rsid w:val="00C570EA"/>
    <w:rsid w:val="00C5764E"/>
    <w:rsid w:val="00C57985"/>
    <w:rsid w:val="00C57B35"/>
    <w:rsid w:val="00C60122"/>
    <w:rsid w:val="00C602F9"/>
    <w:rsid w:val="00C606FE"/>
    <w:rsid w:val="00C60A9F"/>
    <w:rsid w:val="00C60B77"/>
    <w:rsid w:val="00C60E96"/>
    <w:rsid w:val="00C61105"/>
    <w:rsid w:val="00C61304"/>
    <w:rsid w:val="00C61400"/>
    <w:rsid w:val="00C614DD"/>
    <w:rsid w:val="00C615E9"/>
    <w:rsid w:val="00C61860"/>
    <w:rsid w:val="00C6209E"/>
    <w:rsid w:val="00C62806"/>
    <w:rsid w:val="00C62881"/>
    <w:rsid w:val="00C629C7"/>
    <w:rsid w:val="00C634E9"/>
    <w:rsid w:val="00C63563"/>
    <w:rsid w:val="00C6367E"/>
    <w:rsid w:val="00C63DE8"/>
    <w:rsid w:val="00C6428F"/>
    <w:rsid w:val="00C64575"/>
    <w:rsid w:val="00C64A07"/>
    <w:rsid w:val="00C64CF7"/>
    <w:rsid w:val="00C64F67"/>
    <w:rsid w:val="00C64FEA"/>
    <w:rsid w:val="00C65244"/>
    <w:rsid w:val="00C65411"/>
    <w:rsid w:val="00C654E9"/>
    <w:rsid w:val="00C65B99"/>
    <w:rsid w:val="00C65E62"/>
    <w:rsid w:val="00C66107"/>
    <w:rsid w:val="00C665D4"/>
    <w:rsid w:val="00C66858"/>
    <w:rsid w:val="00C66963"/>
    <w:rsid w:val="00C66A2D"/>
    <w:rsid w:val="00C66C41"/>
    <w:rsid w:val="00C66CC2"/>
    <w:rsid w:val="00C66F96"/>
    <w:rsid w:val="00C6780A"/>
    <w:rsid w:val="00C6786E"/>
    <w:rsid w:val="00C70D98"/>
    <w:rsid w:val="00C70F1C"/>
    <w:rsid w:val="00C712B4"/>
    <w:rsid w:val="00C7160B"/>
    <w:rsid w:val="00C71B0A"/>
    <w:rsid w:val="00C71BD2"/>
    <w:rsid w:val="00C71BF7"/>
    <w:rsid w:val="00C71C99"/>
    <w:rsid w:val="00C72596"/>
    <w:rsid w:val="00C72917"/>
    <w:rsid w:val="00C72B04"/>
    <w:rsid w:val="00C72EA4"/>
    <w:rsid w:val="00C72FEF"/>
    <w:rsid w:val="00C73629"/>
    <w:rsid w:val="00C73743"/>
    <w:rsid w:val="00C73BEC"/>
    <w:rsid w:val="00C73E32"/>
    <w:rsid w:val="00C744FA"/>
    <w:rsid w:val="00C74804"/>
    <w:rsid w:val="00C7555C"/>
    <w:rsid w:val="00C75863"/>
    <w:rsid w:val="00C758F2"/>
    <w:rsid w:val="00C76246"/>
    <w:rsid w:val="00C7631F"/>
    <w:rsid w:val="00C76323"/>
    <w:rsid w:val="00C76360"/>
    <w:rsid w:val="00C7654B"/>
    <w:rsid w:val="00C76720"/>
    <w:rsid w:val="00C76C61"/>
    <w:rsid w:val="00C76D25"/>
    <w:rsid w:val="00C76FB6"/>
    <w:rsid w:val="00C771CB"/>
    <w:rsid w:val="00C77205"/>
    <w:rsid w:val="00C774E9"/>
    <w:rsid w:val="00C77543"/>
    <w:rsid w:val="00C776CA"/>
    <w:rsid w:val="00C77826"/>
    <w:rsid w:val="00C7791F"/>
    <w:rsid w:val="00C77E58"/>
    <w:rsid w:val="00C77FCE"/>
    <w:rsid w:val="00C80050"/>
    <w:rsid w:val="00C80177"/>
    <w:rsid w:val="00C8086C"/>
    <w:rsid w:val="00C80C8D"/>
    <w:rsid w:val="00C80DB3"/>
    <w:rsid w:val="00C80DE5"/>
    <w:rsid w:val="00C81B54"/>
    <w:rsid w:val="00C81F6B"/>
    <w:rsid w:val="00C82B01"/>
    <w:rsid w:val="00C82BD5"/>
    <w:rsid w:val="00C82E9A"/>
    <w:rsid w:val="00C83190"/>
    <w:rsid w:val="00C83289"/>
    <w:rsid w:val="00C833C3"/>
    <w:rsid w:val="00C83488"/>
    <w:rsid w:val="00C83670"/>
    <w:rsid w:val="00C8397D"/>
    <w:rsid w:val="00C83E4F"/>
    <w:rsid w:val="00C8414C"/>
    <w:rsid w:val="00C84532"/>
    <w:rsid w:val="00C846C4"/>
    <w:rsid w:val="00C847D0"/>
    <w:rsid w:val="00C84AE8"/>
    <w:rsid w:val="00C84B4D"/>
    <w:rsid w:val="00C84BBF"/>
    <w:rsid w:val="00C84C02"/>
    <w:rsid w:val="00C84C80"/>
    <w:rsid w:val="00C84E87"/>
    <w:rsid w:val="00C85462"/>
    <w:rsid w:val="00C857F2"/>
    <w:rsid w:val="00C85B27"/>
    <w:rsid w:val="00C85D2B"/>
    <w:rsid w:val="00C860F3"/>
    <w:rsid w:val="00C865AC"/>
    <w:rsid w:val="00C866E8"/>
    <w:rsid w:val="00C86966"/>
    <w:rsid w:val="00C86A81"/>
    <w:rsid w:val="00C86AE5"/>
    <w:rsid w:val="00C86DD1"/>
    <w:rsid w:val="00C86EFB"/>
    <w:rsid w:val="00C87416"/>
    <w:rsid w:val="00C87630"/>
    <w:rsid w:val="00C87658"/>
    <w:rsid w:val="00C876C3"/>
    <w:rsid w:val="00C87878"/>
    <w:rsid w:val="00C87969"/>
    <w:rsid w:val="00C879E4"/>
    <w:rsid w:val="00C87A19"/>
    <w:rsid w:val="00C87C23"/>
    <w:rsid w:val="00C90230"/>
    <w:rsid w:val="00C90398"/>
    <w:rsid w:val="00C90B03"/>
    <w:rsid w:val="00C90C18"/>
    <w:rsid w:val="00C91123"/>
    <w:rsid w:val="00C913ED"/>
    <w:rsid w:val="00C91406"/>
    <w:rsid w:val="00C91536"/>
    <w:rsid w:val="00C9185D"/>
    <w:rsid w:val="00C91DAE"/>
    <w:rsid w:val="00C92202"/>
    <w:rsid w:val="00C92F59"/>
    <w:rsid w:val="00C93016"/>
    <w:rsid w:val="00C9303B"/>
    <w:rsid w:val="00C93148"/>
    <w:rsid w:val="00C93824"/>
    <w:rsid w:val="00C93899"/>
    <w:rsid w:val="00C93A67"/>
    <w:rsid w:val="00C940C1"/>
    <w:rsid w:val="00C94168"/>
    <w:rsid w:val="00C943EA"/>
    <w:rsid w:val="00C94628"/>
    <w:rsid w:val="00C9566B"/>
    <w:rsid w:val="00C95790"/>
    <w:rsid w:val="00C95A04"/>
    <w:rsid w:val="00C95B29"/>
    <w:rsid w:val="00C95B55"/>
    <w:rsid w:val="00C95EAA"/>
    <w:rsid w:val="00C96062"/>
    <w:rsid w:val="00C961EA"/>
    <w:rsid w:val="00C9626A"/>
    <w:rsid w:val="00C96D89"/>
    <w:rsid w:val="00C96D92"/>
    <w:rsid w:val="00C97006"/>
    <w:rsid w:val="00C97294"/>
    <w:rsid w:val="00C97364"/>
    <w:rsid w:val="00C9751C"/>
    <w:rsid w:val="00C9764F"/>
    <w:rsid w:val="00C97994"/>
    <w:rsid w:val="00C97B22"/>
    <w:rsid w:val="00C97D8E"/>
    <w:rsid w:val="00C97DA4"/>
    <w:rsid w:val="00CA012C"/>
    <w:rsid w:val="00CA0324"/>
    <w:rsid w:val="00CA0524"/>
    <w:rsid w:val="00CA0D93"/>
    <w:rsid w:val="00CA10FC"/>
    <w:rsid w:val="00CA1309"/>
    <w:rsid w:val="00CA1A7B"/>
    <w:rsid w:val="00CA22BF"/>
    <w:rsid w:val="00CA24C2"/>
    <w:rsid w:val="00CA289B"/>
    <w:rsid w:val="00CA2D46"/>
    <w:rsid w:val="00CA3132"/>
    <w:rsid w:val="00CA3182"/>
    <w:rsid w:val="00CA3220"/>
    <w:rsid w:val="00CA3916"/>
    <w:rsid w:val="00CA39F8"/>
    <w:rsid w:val="00CA4219"/>
    <w:rsid w:val="00CA43EE"/>
    <w:rsid w:val="00CA48D1"/>
    <w:rsid w:val="00CA4942"/>
    <w:rsid w:val="00CA49BA"/>
    <w:rsid w:val="00CA4B4D"/>
    <w:rsid w:val="00CA4C23"/>
    <w:rsid w:val="00CA5663"/>
    <w:rsid w:val="00CA5BAA"/>
    <w:rsid w:val="00CA5CD3"/>
    <w:rsid w:val="00CA5FEC"/>
    <w:rsid w:val="00CA638D"/>
    <w:rsid w:val="00CA6530"/>
    <w:rsid w:val="00CA6602"/>
    <w:rsid w:val="00CA6DA5"/>
    <w:rsid w:val="00CA7BF3"/>
    <w:rsid w:val="00CB02CA"/>
    <w:rsid w:val="00CB039F"/>
    <w:rsid w:val="00CB03C6"/>
    <w:rsid w:val="00CB05BC"/>
    <w:rsid w:val="00CB0607"/>
    <w:rsid w:val="00CB0664"/>
    <w:rsid w:val="00CB103D"/>
    <w:rsid w:val="00CB12F9"/>
    <w:rsid w:val="00CB169B"/>
    <w:rsid w:val="00CB1D45"/>
    <w:rsid w:val="00CB209A"/>
    <w:rsid w:val="00CB2345"/>
    <w:rsid w:val="00CB2425"/>
    <w:rsid w:val="00CB262F"/>
    <w:rsid w:val="00CB26C1"/>
    <w:rsid w:val="00CB279B"/>
    <w:rsid w:val="00CB2B54"/>
    <w:rsid w:val="00CB2BC6"/>
    <w:rsid w:val="00CB3325"/>
    <w:rsid w:val="00CB36CC"/>
    <w:rsid w:val="00CB377B"/>
    <w:rsid w:val="00CB3884"/>
    <w:rsid w:val="00CB3F22"/>
    <w:rsid w:val="00CB43DA"/>
    <w:rsid w:val="00CB455E"/>
    <w:rsid w:val="00CB4848"/>
    <w:rsid w:val="00CB4AD0"/>
    <w:rsid w:val="00CB4DEB"/>
    <w:rsid w:val="00CB5096"/>
    <w:rsid w:val="00CB5226"/>
    <w:rsid w:val="00CB5377"/>
    <w:rsid w:val="00CB5553"/>
    <w:rsid w:val="00CB582E"/>
    <w:rsid w:val="00CB5982"/>
    <w:rsid w:val="00CB5A3D"/>
    <w:rsid w:val="00CB5A63"/>
    <w:rsid w:val="00CB5C41"/>
    <w:rsid w:val="00CB665D"/>
    <w:rsid w:val="00CB670B"/>
    <w:rsid w:val="00CB692E"/>
    <w:rsid w:val="00CB6A12"/>
    <w:rsid w:val="00CB6B9E"/>
    <w:rsid w:val="00CB6E7E"/>
    <w:rsid w:val="00CB7A82"/>
    <w:rsid w:val="00CB7C24"/>
    <w:rsid w:val="00CB7CA3"/>
    <w:rsid w:val="00CB7EF8"/>
    <w:rsid w:val="00CB7F20"/>
    <w:rsid w:val="00CC0004"/>
    <w:rsid w:val="00CC01C4"/>
    <w:rsid w:val="00CC0257"/>
    <w:rsid w:val="00CC0293"/>
    <w:rsid w:val="00CC02E0"/>
    <w:rsid w:val="00CC06D9"/>
    <w:rsid w:val="00CC0900"/>
    <w:rsid w:val="00CC111D"/>
    <w:rsid w:val="00CC1344"/>
    <w:rsid w:val="00CC1BED"/>
    <w:rsid w:val="00CC1CAD"/>
    <w:rsid w:val="00CC2DD5"/>
    <w:rsid w:val="00CC3576"/>
    <w:rsid w:val="00CC3CCA"/>
    <w:rsid w:val="00CC430A"/>
    <w:rsid w:val="00CC455E"/>
    <w:rsid w:val="00CC468A"/>
    <w:rsid w:val="00CC47A1"/>
    <w:rsid w:val="00CC4CB0"/>
    <w:rsid w:val="00CC5049"/>
    <w:rsid w:val="00CC507F"/>
    <w:rsid w:val="00CC5239"/>
    <w:rsid w:val="00CC5355"/>
    <w:rsid w:val="00CC586A"/>
    <w:rsid w:val="00CC594A"/>
    <w:rsid w:val="00CC5CE4"/>
    <w:rsid w:val="00CC65CA"/>
    <w:rsid w:val="00CC686C"/>
    <w:rsid w:val="00CC69DC"/>
    <w:rsid w:val="00CC6CC1"/>
    <w:rsid w:val="00CC6FA0"/>
    <w:rsid w:val="00CC7150"/>
    <w:rsid w:val="00CC7679"/>
    <w:rsid w:val="00CC7762"/>
    <w:rsid w:val="00CC7889"/>
    <w:rsid w:val="00CC7BE1"/>
    <w:rsid w:val="00CC7C71"/>
    <w:rsid w:val="00CD0843"/>
    <w:rsid w:val="00CD0856"/>
    <w:rsid w:val="00CD086B"/>
    <w:rsid w:val="00CD0928"/>
    <w:rsid w:val="00CD0DE0"/>
    <w:rsid w:val="00CD0F9E"/>
    <w:rsid w:val="00CD1039"/>
    <w:rsid w:val="00CD1142"/>
    <w:rsid w:val="00CD131D"/>
    <w:rsid w:val="00CD16B0"/>
    <w:rsid w:val="00CD1AF2"/>
    <w:rsid w:val="00CD1D33"/>
    <w:rsid w:val="00CD1DA5"/>
    <w:rsid w:val="00CD1F48"/>
    <w:rsid w:val="00CD22E0"/>
    <w:rsid w:val="00CD281A"/>
    <w:rsid w:val="00CD2B95"/>
    <w:rsid w:val="00CD33C5"/>
    <w:rsid w:val="00CD35EF"/>
    <w:rsid w:val="00CD39B7"/>
    <w:rsid w:val="00CD3BF5"/>
    <w:rsid w:val="00CD3CA9"/>
    <w:rsid w:val="00CD3DF5"/>
    <w:rsid w:val="00CD40C5"/>
    <w:rsid w:val="00CD42F7"/>
    <w:rsid w:val="00CD43FC"/>
    <w:rsid w:val="00CD49AC"/>
    <w:rsid w:val="00CD4AD9"/>
    <w:rsid w:val="00CD4E0D"/>
    <w:rsid w:val="00CD5245"/>
    <w:rsid w:val="00CD59CE"/>
    <w:rsid w:val="00CD5D5A"/>
    <w:rsid w:val="00CD60F1"/>
    <w:rsid w:val="00CD631E"/>
    <w:rsid w:val="00CD6322"/>
    <w:rsid w:val="00CD6515"/>
    <w:rsid w:val="00CD65F5"/>
    <w:rsid w:val="00CD6929"/>
    <w:rsid w:val="00CD6A88"/>
    <w:rsid w:val="00CD6FB3"/>
    <w:rsid w:val="00CD71FD"/>
    <w:rsid w:val="00CD750C"/>
    <w:rsid w:val="00CD7648"/>
    <w:rsid w:val="00CD77C9"/>
    <w:rsid w:val="00CD796D"/>
    <w:rsid w:val="00CD7B8D"/>
    <w:rsid w:val="00CD7C4E"/>
    <w:rsid w:val="00CD7C96"/>
    <w:rsid w:val="00CD7E15"/>
    <w:rsid w:val="00CD7FB3"/>
    <w:rsid w:val="00CE02E4"/>
    <w:rsid w:val="00CE07A4"/>
    <w:rsid w:val="00CE0FA9"/>
    <w:rsid w:val="00CE11A5"/>
    <w:rsid w:val="00CE11B4"/>
    <w:rsid w:val="00CE1590"/>
    <w:rsid w:val="00CE1761"/>
    <w:rsid w:val="00CE17CB"/>
    <w:rsid w:val="00CE192C"/>
    <w:rsid w:val="00CE1971"/>
    <w:rsid w:val="00CE198F"/>
    <w:rsid w:val="00CE1B39"/>
    <w:rsid w:val="00CE2049"/>
    <w:rsid w:val="00CE214E"/>
    <w:rsid w:val="00CE2192"/>
    <w:rsid w:val="00CE21BC"/>
    <w:rsid w:val="00CE23E2"/>
    <w:rsid w:val="00CE27B6"/>
    <w:rsid w:val="00CE2902"/>
    <w:rsid w:val="00CE2922"/>
    <w:rsid w:val="00CE2D01"/>
    <w:rsid w:val="00CE2D90"/>
    <w:rsid w:val="00CE2E2D"/>
    <w:rsid w:val="00CE3115"/>
    <w:rsid w:val="00CE3328"/>
    <w:rsid w:val="00CE349F"/>
    <w:rsid w:val="00CE34CD"/>
    <w:rsid w:val="00CE3568"/>
    <w:rsid w:val="00CE3A31"/>
    <w:rsid w:val="00CE3BDE"/>
    <w:rsid w:val="00CE3D00"/>
    <w:rsid w:val="00CE3D4C"/>
    <w:rsid w:val="00CE3E0A"/>
    <w:rsid w:val="00CE3F3D"/>
    <w:rsid w:val="00CE3F85"/>
    <w:rsid w:val="00CE4058"/>
    <w:rsid w:val="00CE47CA"/>
    <w:rsid w:val="00CE48B5"/>
    <w:rsid w:val="00CE4923"/>
    <w:rsid w:val="00CE4EE6"/>
    <w:rsid w:val="00CE53AD"/>
    <w:rsid w:val="00CE5487"/>
    <w:rsid w:val="00CE56D5"/>
    <w:rsid w:val="00CE5A46"/>
    <w:rsid w:val="00CE5A5C"/>
    <w:rsid w:val="00CE5B1F"/>
    <w:rsid w:val="00CE63FD"/>
    <w:rsid w:val="00CE664F"/>
    <w:rsid w:val="00CE672E"/>
    <w:rsid w:val="00CE6D7C"/>
    <w:rsid w:val="00CE6D8A"/>
    <w:rsid w:val="00CE72E8"/>
    <w:rsid w:val="00CE7556"/>
    <w:rsid w:val="00CE788F"/>
    <w:rsid w:val="00CE7A8B"/>
    <w:rsid w:val="00CE7EAC"/>
    <w:rsid w:val="00CF0036"/>
    <w:rsid w:val="00CF03A0"/>
    <w:rsid w:val="00CF0877"/>
    <w:rsid w:val="00CF1E39"/>
    <w:rsid w:val="00CF2373"/>
    <w:rsid w:val="00CF2A7A"/>
    <w:rsid w:val="00CF2C6F"/>
    <w:rsid w:val="00CF2DAA"/>
    <w:rsid w:val="00CF2F4F"/>
    <w:rsid w:val="00CF30F6"/>
    <w:rsid w:val="00CF3523"/>
    <w:rsid w:val="00CF3FFF"/>
    <w:rsid w:val="00CF4554"/>
    <w:rsid w:val="00CF4579"/>
    <w:rsid w:val="00CF4FA6"/>
    <w:rsid w:val="00CF57B3"/>
    <w:rsid w:val="00CF5ABC"/>
    <w:rsid w:val="00CF5BD0"/>
    <w:rsid w:val="00CF5C02"/>
    <w:rsid w:val="00CF5DC3"/>
    <w:rsid w:val="00CF625B"/>
    <w:rsid w:val="00CF6CE0"/>
    <w:rsid w:val="00CF6ECF"/>
    <w:rsid w:val="00CF70B8"/>
    <w:rsid w:val="00CF7247"/>
    <w:rsid w:val="00CF736D"/>
    <w:rsid w:val="00CF7481"/>
    <w:rsid w:val="00CF7529"/>
    <w:rsid w:val="00CF765A"/>
    <w:rsid w:val="00CF7736"/>
    <w:rsid w:val="00CF773C"/>
    <w:rsid w:val="00CF7D1B"/>
    <w:rsid w:val="00D00094"/>
    <w:rsid w:val="00D003C1"/>
    <w:rsid w:val="00D00C2E"/>
    <w:rsid w:val="00D00C79"/>
    <w:rsid w:val="00D00D7C"/>
    <w:rsid w:val="00D0109D"/>
    <w:rsid w:val="00D01208"/>
    <w:rsid w:val="00D012A8"/>
    <w:rsid w:val="00D01327"/>
    <w:rsid w:val="00D0179C"/>
    <w:rsid w:val="00D01FA2"/>
    <w:rsid w:val="00D02477"/>
    <w:rsid w:val="00D0278C"/>
    <w:rsid w:val="00D02D87"/>
    <w:rsid w:val="00D02FF9"/>
    <w:rsid w:val="00D03046"/>
    <w:rsid w:val="00D033D1"/>
    <w:rsid w:val="00D034CE"/>
    <w:rsid w:val="00D04269"/>
    <w:rsid w:val="00D045E7"/>
    <w:rsid w:val="00D0468E"/>
    <w:rsid w:val="00D0469E"/>
    <w:rsid w:val="00D046C7"/>
    <w:rsid w:val="00D04920"/>
    <w:rsid w:val="00D04984"/>
    <w:rsid w:val="00D04BB2"/>
    <w:rsid w:val="00D051D0"/>
    <w:rsid w:val="00D0563D"/>
    <w:rsid w:val="00D05648"/>
    <w:rsid w:val="00D05D6B"/>
    <w:rsid w:val="00D05D8A"/>
    <w:rsid w:val="00D062EE"/>
    <w:rsid w:val="00D066F1"/>
    <w:rsid w:val="00D067E5"/>
    <w:rsid w:val="00D06AFD"/>
    <w:rsid w:val="00D0714F"/>
    <w:rsid w:val="00D07B31"/>
    <w:rsid w:val="00D07BB2"/>
    <w:rsid w:val="00D07CDE"/>
    <w:rsid w:val="00D07DE6"/>
    <w:rsid w:val="00D100D0"/>
    <w:rsid w:val="00D10422"/>
    <w:rsid w:val="00D106C3"/>
    <w:rsid w:val="00D10700"/>
    <w:rsid w:val="00D1077B"/>
    <w:rsid w:val="00D10975"/>
    <w:rsid w:val="00D10BA5"/>
    <w:rsid w:val="00D11B51"/>
    <w:rsid w:val="00D12103"/>
    <w:rsid w:val="00D1224E"/>
    <w:rsid w:val="00D124F0"/>
    <w:rsid w:val="00D12930"/>
    <w:rsid w:val="00D1299D"/>
    <w:rsid w:val="00D12BF4"/>
    <w:rsid w:val="00D12E73"/>
    <w:rsid w:val="00D12ECC"/>
    <w:rsid w:val="00D13704"/>
    <w:rsid w:val="00D1391B"/>
    <w:rsid w:val="00D13CBA"/>
    <w:rsid w:val="00D14391"/>
    <w:rsid w:val="00D146EA"/>
    <w:rsid w:val="00D14C4B"/>
    <w:rsid w:val="00D14FE9"/>
    <w:rsid w:val="00D15077"/>
    <w:rsid w:val="00D150CE"/>
    <w:rsid w:val="00D15440"/>
    <w:rsid w:val="00D156C5"/>
    <w:rsid w:val="00D15D40"/>
    <w:rsid w:val="00D15DF5"/>
    <w:rsid w:val="00D15EE6"/>
    <w:rsid w:val="00D163FE"/>
    <w:rsid w:val="00D16481"/>
    <w:rsid w:val="00D16897"/>
    <w:rsid w:val="00D16EAC"/>
    <w:rsid w:val="00D171ED"/>
    <w:rsid w:val="00D172AA"/>
    <w:rsid w:val="00D174B3"/>
    <w:rsid w:val="00D17503"/>
    <w:rsid w:val="00D17D07"/>
    <w:rsid w:val="00D17E88"/>
    <w:rsid w:val="00D20D0A"/>
    <w:rsid w:val="00D20D94"/>
    <w:rsid w:val="00D20E8F"/>
    <w:rsid w:val="00D21C76"/>
    <w:rsid w:val="00D21CFC"/>
    <w:rsid w:val="00D2288C"/>
    <w:rsid w:val="00D22929"/>
    <w:rsid w:val="00D22BBA"/>
    <w:rsid w:val="00D232A6"/>
    <w:rsid w:val="00D238D0"/>
    <w:rsid w:val="00D23B94"/>
    <w:rsid w:val="00D243A9"/>
    <w:rsid w:val="00D2454D"/>
    <w:rsid w:val="00D24993"/>
    <w:rsid w:val="00D24B0B"/>
    <w:rsid w:val="00D24F2C"/>
    <w:rsid w:val="00D255E6"/>
    <w:rsid w:val="00D25BBB"/>
    <w:rsid w:val="00D25F1A"/>
    <w:rsid w:val="00D2680B"/>
    <w:rsid w:val="00D26906"/>
    <w:rsid w:val="00D26D41"/>
    <w:rsid w:val="00D26D52"/>
    <w:rsid w:val="00D27071"/>
    <w:rsid w:val="00D27441"/>
    <w:rsid w:val="00D27964"/>
    <w:rsid w:val="00D27AC4"/>
    <w:rsid w:val="00D300C1"/>
    <w:rsid w:val="00D30656"/>
    <w:rsid w:val="00D30AA0"/>
    <w:rsid w:val="00D30C40"/>
    <w:rsid w:val="00D31381"/>
    <w:rsid w:val="00D314FD"/>
    <w:rsid w:val="00D31877"/>
    <w:rsid w:val="00D31D7B"/>
    <w:rsid w:val="00D31EF5"/>
    <w:rsid w:val="00D3380B"/>
    <w:rsid w:val="00D338E2"/>
    <w:rsid w:val="00D34438"/>
    <w:rsid w:val="00D34476"/>
    <w:rsid w:val="00D345FB"/>
    <w:rsid w:val="00D34661"/>
    <w:rsid w:val="00D348F4"/>
    <w:rsid w:val="00D34932"/>
    <w:rsid w:val="00D3498D"/>
    <w:rsid w:val="00D34AD9"/>
    <w:rsid w:val="00D34B3B"/>
    <w:rsid w:val="00D34C9B"/>
    <w:rsid w:val="00D34F6E"/>
    <w:rsid w:val="00D3501A"/>
    <w:rsid w:val="00D354A0"/>
    <w:rsid w:val="00D35806"/>
    <w:rsid w:val="00D35930"/>
    <w:rsid w:val="00D362FC"/>
    <w:rsid w:val="00D363A4"/>
    <w:rsid w:val="00D36A18"/>
    <w:rsid w:val="00D36E4F"/>
    <w:rsid w:val="00D36E90"/>
    <w:rsid w:val="00D3785D"/>
    <w:rsid w:val="00D3797D"/>
    <w:rsid w:val="00D379CD"/>
    <w:rsid w:val="00D37C1D"/>
    <w:rsid w:val="00D37C2E"/>
    <w:rsid w:val="00D37EA7"/>
    <w:rsid w:val="00D37FAC"/>
    <w:rsid w:val="00D402AB"/>
    <w:rsid w:val="00D402EF"/>
    <w:rsid w:val="00D4067F"/>
    <w:rsid w:val="00D40A93"/>
    <w:rsid w:val="00D410A0"/>
    <w:rsid w:val="00D413A7"/>
    <w:rsid w:val="00D41486"/>
    <w:rsid w:val="00D415FF"/>
    <w:rsid w:val="00D4179B"/>
    <w:rsid w:val="00D41A7C"/>
    <w:rsid w:val="00D41ABD"/>
    <w:rsid w:val="00D41BE8"/>
    <w:rsid w:val="00D41EC0"/>
    <w:rsid w:val="00D42540"/>
    <w:rsid w:val="00D4281A"/>
    <w:rsid w:val="00D42889"/>
    <w:rsid w:val="00D42FF8"/>
    <w:rsid w:val="00D4357F"/>
    <w:rsid w:val="00D43802"/>
    <w:rsid w:val="00D43808"/>
    <w:rsid w:val="00D43B46"/>
    <w:rsid w:val="00D43FAB"/>
    <w:rsid w:val="00D44040"/>
    <w:rsid w:val="00D440BC"/>
    <w:rsid w:val="00D44108"/>
    <w:rsid w:val="00D44187"/>
    <w:rsid w:val="00D44195"/>
    <w:rsid w:val="00D443D4"/>
    <w:rsid w:val="00D448DF"/>
    <w:rsid w:val="00D44CD7"/>
    <w:rsid w:val="00D45960"/>
    <w:rsid w:val="00D45A03"/>
    <w:rsid w:val="00D45C1C"/>
    <w:rsid w:val="00D46169"/>
    <w:rsid w:val="00D463DD"/>
    <w:rsid w:val="00D466B4"/>
    <w:rsid w:val="00D46730"/>
    <w:rsid w:val="00D46874"/>
    <w:rsid w:val="00D46AF4"/>
    <w:rsid w:val="00D46FD3"/>
    <w:rsid w:val="00D47034"/>
    <w:rsid w:val="00D473E7"/>
    <w:rsid w:val="00D4781D"/>
    <w:rsid w:val="00D47E80"/>
    <w:rsid w:val="00D50006"/>
    <w:rsid w:val="00D50266"/>
    <w:rsid w:val="00D502A0"/>
    <w:rsid w:val="00D504B9"/>
    <w:rsid w:val="00D50B43"/>
    <w:rsid w:val="00D51C87"/>
    <w:rsid w:val="00D5280D"/>
    <w:rsid w:val="00D52885"/>
    <w:rsid w:val="00D5303D"/>
    <w:rsid w:val="00D53565"/>
    <w:rsid w:val="00D536B6"/>
    <w:rsid w:val="00D53AC9"/>
    <w:rsid w:val="00D53F1F"/>
    <w:rsid w:val="00D540D9"/>
    <w:rsid w:val="00D5439E"/>
    <w:rsid w:val="00D54979"/>
    <w:rsid w:val="00D549F0"/>
    <w:rsid w:val="00D54A3A"/>
    <w:rsid w:val="00D54CAD"/>
    <w:rsid w:val="00D54E2B"/>
    <w:rsid w:val="00D54E6A"/>
    <w:rsid w:val="00D55312"/>
    <w:rsid w:val="00D564C8"/>
    <w:rsid w:val="00D566A4"/>
    <w:rsid w:val="00D5680A"/>
    <w:rsid w:val="00D56D19"/>
    <w:rsid w:val="00D56ECB"/>
    <w:rsid w:val="00D56FE7"/>
    <w:rsid w:val="00D57123"/>
    <w:rsid w:val="00D5715C"/>
    <w:rsid w:val="00D571E9"/>
    <w:rsid w:val="00D5758A"/>
    <w:rsid w:val="00D6039D"/>
    <w:rsid w:val="00D61031"/>
    <w:rsid w:val="00D613D9"/>
    <w:rsid w:val="00D618DC"/>
    <w:rsid w:val="00D6196D"/>
    <w:rsid w:val="00D61DAF"/>
    <w:rsid w:val="00D621D2"/>
    <w:rsid w:val="00D62975"/>
    <w:rsid w:val="00D62D70"/>
    <w:rsid w:val="00D62E15"/>
    <w:rsid w:val="00D62FE6"/>
    <w:rsid w:val="00D62FF7"/>
    <w:rsid w:val="00D630D1"/>
    <w:rsid w:val="00D631DC"/>
    <w:rsid w:val="00D63265"/>
    <w:rsid w:val="00D634E6"/>
    <w:rsid w:val="00D63D74"/>
    <w:rsid w:val="00D6472E"/>
    <w:rsid w:val="00D6476F"/>
    <w:rsid w:val="00D648BC"/>
    <w:rsid w:val="00D64B44"/>
    <w:rsid w:val="00D64D3E"/>
    <w:rsid w:val="00D65104"/>
    <w:rsid w:val="00D651B0"/>
    <w:rsid w:val="00D65569"/>
    <w:rsid w:val="00D659FD"/>
    <w:rsid w:val="00D65AE8"/>
    <w:rsid w:val="00D65CCE"/>
    <w:rsid w:val="00D6632B"/>
    <w:rsid w:val="00D66764"/>
    <w:rsid w:val="00D66801"/>
    <w:rsid w:val="00D66AA4"/>
    <w:rsid w:val="00D671BF"/>
    <w:rsid w:val="00D676A1"/>
    <w:rsid w:val="00D67778"/>
    <w:rsid w:val="00D67A4D"/>
    <w:rsid w:val="00D67F9F"/>
    <w:rsid w:val="00D703D4"/>
    <w:rsid w:val="00D70463"/>
    <w:rsid w:val="00D705DA"/>
    <w:rsid w:val="00D705F1"/>
    <w:rsid w:val="00D70828"/>
    <w:rsid w:val="00D70894"/>
    <w:rsid w:val="00D709B5"/>
    <w:rsid w:val="00D70C58"/>
    <w:rsid w:val="00D71D7B"/>
    <w:rsid w:val="00D721C8"/>
    <w:rsid w:val="00D721F7"/>
    <w:rsid w:val="00D724C8"/>
    <w:rsid w:val="00D729E1"/>
    <w:rsid w:val="00D72FF8"/>
    <w:rsid w:val="00D7305A"/>
    <w:rsid w:val="00D7305D"/>
    <w:rsid w:val="00D739B0"/>
    <w:rsid w:val="00D73E12"/>
    <w:rsid w:val="00D74109"/>
    <w:rsid w:val="00D74178"/>
    <w:rsid w:val="00D74518"/>
    <w:rsid w:val="00D748DF"/>
    <w:rsid w:val="00D74D8F"/>
    <w:rsid w:val="00D74EDF"/>
    <w:rsid w:val="00D750BA"/>
    <w:rsid w:val="00D750DF"/>
    <w:rsid w:val="00D757AA"/>
    <w:rsid w:val="00D760B1"/>
    <w:rsid w:val="00D761FF"/>
    <w:rsid w:val="00D76214"/>
    <w:rsid w:val="00D76886"/>
    <w:rsid w:val="00D76F3F"/>
    <w:rsid w:val="00D77189"/>
    <w:rsid w:val="00D775A2"/>
    <w:rsid w:val="00D7766B"/>
    <w:rsid w:val="00D77905"/>
    <w:rsid w:val="00D77C69"/>
    <w:rsid w:val="00D77D32"/>
    <w:rsid w:val="00D77D79"/>
    <w:rsid w:val="00D8001C"/>
    <w:rsid w:val="00D8056B"/>
    <w:rsid w:val="00D8057E"/>
    <w:rsid w:val="00D80918"/>
    <w:rsid w:val="00D81759"/>
    <w:rsid w:val="00D8195E"/>
    <w:rsid w:val="00D81A26"/>
    <w:rsid w:val="00D81B2E"/>
    <w:rsid w:val="00D81B79"/>
    <w:rsid w:val="00D81C08"/>
    <w:rsid w:val="00D81F93"/>
    <w:rsid w:val="00D82066"/>
    <w:rsid w:val="00D821BC"/>
    <w:rsid w:val="00D829F8"/>
    <w:rsid w:val="00D83025"/>
    <w:rsid w:val="00D831E0"/>
    <w:rsid w:val="00D8335E"/>
    <w:rsid w:val="00D83741"/>
    <w:rsid w:val="00D83C41"/>
    <w:rsid w:val="00D83D01"/>
    <w:rsid w:val="00D83D02"/>
    <w:rsid w:val="00D83D4D"/>
    <w:rsid w:val="00D83FF2"/>
    <w:rsid w:val="00D84431"/>
    <w:rsid w:val="00D8462C"/>
    <w:rsid w:val="00D84DB6"/>
    <w:rsid w:val="00D84F57"/>
    <w:rsid w:val="00D8513F"/>
    <w:rsid w:val="00D851BA"/>
    <w:rsid w:val="00D855AF"/>
    <w:rsid w:val="00D85637"/>
    <w:rsid w:val="00D85798"/>
    <w:rsid w:val="00D85872"/>
    <w:rsid w:val="00D85ECF"/>
    <w:rsid w:val="00D85FE3"/>
    <w:rsid w:val="00D862F3"/>
    <w:rsid w:val="00D86E80"/>
    <w:rsid w:val="00D87950"/>
    <w:rsid w:val="00D87966"/>
    <w:rsid w:val="00D879CD"/>
    <w:rsid w:val="00D87CA3"/>
    <w:rsid w:val="00D901F0"/>
    <w:rsid w:val="00D90288"/>
    <w:rsid w:val="00D904C1"/>
    <w:rsid w:val="00D90872"/>
    <w:rsid w:val="00D90AB6"/>
    <w:rsid w:val="00D914A9"/>
    <w:rsid w:val="00D91623"/>
    <w:rsid w:val="00D916CA"/>
    <w:rsid w:val="00D917F1"/>
    <w:rsid w:val="00D91808"/>
    <w:rsid w:val="00D919F3"/>
    <w:rsid w:val="00D91BE9"/>
    <w:rsid w:val="00D9213C"/>
    <w:rsid w:val="00D924AD"/>
    <w:rsid w:val="00D92CE8"/>
    <w:rsid w:val="00D93422"/>
    <w:rsid w:val="00D93459"/>
    <w:rsid w:val="00D934CD"/>
    <w:rsid w:val="00D942FF"/>
    <w:rsid w:val="00D9483F"/>
    <w:rsid w:val="00D9488C"/>
    <w:rsid w:val="00D94A93"/>
    <w:rsid w:val="00D94AD4"/>
    <w:rsid w:val="00D94B25"/>
    <w:rsid w:val="00D94B50"/>
    <w:rsid w:val="00D94FC1"/>
    <w:rsid w:val="00D9535B"/>
    <w:rsid w:val="00D954BD"/>
    <w:rsid w:val="00D9555F"/>
    <w:rsid w:val="00D955C9"/>
    <w:rsid w:val="00D95C98"/>
    <w:rsid w:val="00D95E42"/>
    <w:rsid w:val="00D95EF8"/>
    <w:rsid w:val="00D962C3"/>
    <w:rsid w:val="00D963E8"/>
    <w:rsid w:val="00D96CDC"/>
    <w:rsid w:val="00D97039"/>
    <w:rsid w:val="00D970E8"/>
    <w:rsid w:val="00D979F8"/>
    <w:rsid w:val="00D97D9B"/>
    <w:rsid w:val="00DA031F"/>
    <w:rsid w:val="00DA0398"/>
    <w:rsid w:val="00DA04BD"/>
    <w:rsid w:val="00DA0701"/>
    <w:rsid w:val="00DA0786"/>
    <w:rsid w:val="00DA0ABE"/>
    <w:rsid w:val="00DA0E2A"/>
    <w:rsid w:val="00DA0FB7"/>
    <w:rsid w:val="00DA1345"/>
    <w:rsid w:val="00DA1B62"/>
    <w:rsid w:val="00DA2226"/>
    <w:rsid w:val="00DA25C5"/>
    <w:rsid w:val="00DA2752"/>
    <w:rsid w:val="00DA282B"/>
    <w:rsid w:val="00DA2A6D"/>
    <w:rsid w:val="00DA2B11"/>
    <w:rsid w:val="00DA2CCC"/>
    <w:rsid w:val="00DA345E"/>
    <w:rsid w:val="00DA393C"/>
    <w:rsid w:val="00DA3A63"/>
    <w:rsid w:val="00DA4341"/>
    <w:rsid w:val="00DA46ED"/>
    <w:rsid w:val="00DA4AB4"/>
    <w:rsid w:val="00DA4BA2"/>
    <w:rsid w:val="00DA4DBE"/>
    <w:rsid w:val="00DA4EF1"/>
    <w:rsid w:val="00DA4F47"/>
    <w:rsid w:val="00DA501B"/>
    <w:rsid w:val="00DA5424"/>
    <w:rsid w:val="00DA56BA"/>
    <w:rsid w:val="00DA5727"/>
    <w:rsid w:val="00DA57BE"/>
    <w:rsid w:val="00DA5E0E"/>
    <w:rsid w:val="00DA60F8"/>
    <w:rsid w:val="00DA61EB"/>
    <w:rsid w:val="00DA63B6"/>
    <w:rsid w:val="00DA6BA7"/>
    <w:rsid w:val="00DA7284"/>
    <w:rsid w:val="00DA74C0"/>
    <w:rsid w:val="00DA78F1"/>
    <w:rsid w:val="00DA7D5A"/>
    <w:rsid w:val="00DA7E39"/>
    <w:rsid w:val="00DA7EDC"/>
    <w:rsid w:val="00DB04D9"/>
    <w:rsid w:val="00DB05D6"/>
    <w:rsid w:val="00DB0C5A"/>
    <w:rsid w:val="00DB0CD6"/>
    <w:rsid w:val="00DB10A6"/>
    <w:rsid w:val="00DB13EE"/>
    <w:rsid w:val="00DB1EB9"/>
    <w:rsid w:val="00DB247D"/>
    <w:rsid w:val="00DB24AC"/>
    <w:rsid w:val="00DB261C"/>
    <w:rsid w:val="00DB2668"/>
    <w:rsid w:val="00DB27C0"/>
    <w:rsid w:val="00DB28E8"/>
    <w:rsid w:val="00DB293A"/>
    <w:rsid w:val="00DB2C89"/>
    <w:rsid w:val="00DB2E5F"/>
    <w:rsid w:val="00DB2EED"/>
    <w:rsid w:val="00DB2F31"/>
    <w:rsid w:val="00DB31BB"/>
    <w:rsid w:val="00DB377D"/>
    <w:rsid w:val="00DB39DE"/>
    <w:rsid w:val="00DB41A8"/>
    <w:rsid w:val="00DB464C"/>
    <w:rsid w:val="00DB4825"/>
    <w:rsid w:val="00DB4E0B"/>
    <w:rsid w:val="00DB5152"/>
    <w:rsid w:val="00DB51DD"/>
    <w:rsid w:val="00DB51F8"/>
    <w:rsid w:val="00DB5356"/>
    <w:rsid w:val="00DB5A09"/>
    <w:rsid w:val="00DB5FFA"/>
    <w:rsid w:val="00DB625A"/>
    <w:rsid w:val="00DB662C"/>
    <w:rsid w:val="00DB6A06"/>
    <w:rsid w:val="00DB6FCC"/>
    <w:rsid w:val="00DB707E"/>
    <w:rsid w:val="00DB71BE"/>
    <w:rsid w:val="00DB723E"/>
    <w:rsid w:val="00DB7605"/>
    <w:rsid w:val="00DB7957"/>
    <w:rsid w:val="00DB79EA"/>
    <w:rsid w:val="00DB7C62"/>
    <w:rsid w:val="00DB7DB8"/>
    <w:rsid w:val="00DC0023"/>
    <w:rsid w:val="00DC006F"/>
    <w:rsid w:val="00DC06AA"/>
    <w:rsid w:val="00DC0B69"/>
    <w:rsid w:val="00DC11CD"/>
    <w:rsid w:val="00DC14C4"/>
    <w:rsid w:val="00DC15FD"/>
    <w:rsid w:val="00DC1E55"/>
    <w:rsid w:val="00DC1F21"/>
    <w:rsid w:val="00DC2152"/>
    <w:rsid w:val="00DC2544"/>
    <w:rsid w:val="00DC25C3"/>
    <w:rsid w:val="00DC25F9"/>
    <w:rsid w:val="00DC2D74"/>
    <w:rsid w:val="00DC2DB6"/>
    <w:rsid w:val="00DC2FD1"/>
    <w:rsid w:val="00DC3143"/>
    <w:rsid w:val="00DC32E6"/>
    <w:rsid w:val="00DC3A99"/>
    <w:rsid w:val="00DC3C04"/>
    <w:rsid w:val="00DC3E15"/>
    <w:rsid w:val="00DC3F27"/>
    <w:rsid w:val="00DC3F40"/>
    <w:rsid w:val="00DC3F71"/>
    <w:rsid w:val="00DC3F86"/>
    <w:rsid w:val="00DC4090"/>
    <w:rsid w:val="00DC41CE"/>
    <w:rsid w:val="00DC4250"/>
    <w:rsid w:val="00DC4928"/>
    <w:rsid w:val="00DC496D"/>
    <w:rsid w:val="00DC49A5"/>
    <w:rsid w:val="00DC4A04"/>
    <w:rsid w:val="00DC4EA9"/>
    <w:rsid w:val="00DC599F"/>
    <w:rsid w:val="00DC5A92"/>
    <w:rsid w:val="00DC60D8"/>
    <w:rsid w:val="00DC6566"/>
    <w:rsid w:val="00DC6626"/>
    <w:rsid w:val="00DC6950"/>
    <w:rsid w:val="00DC6E41"/>
    <w:rsid w:val="00DC727F"/>
    <w:rsid w:val="00DC7539"/>
    <w:rsid w:val="00DC7D54"/>
    <w:rsid w:val="00DD0549"/>
    <w:rsid w:val="00DD08A3"/>
    <w:rsid w:val="00DD0A0F"/>
    <w:rsid w:val="00DD0C46"/>
    <w:rsid w:val="00DD0C48"/>
    <w:rsid w:val="00DD0D8B"/>
    <w:rsid w:val="00DD10A2"/>
    <w:rsid w:val="00DD166C"/>
    <w:rsid w:val="00DD16DD"/>
    <w:rsid w:val="00DD1805"/>
    <w:rsid w:val="00DD182F"/>
    <w:rsid w:val="00DD1EB7"/>
    <w:rsid w:val="00DD2155"/>
    <w:rsid w:val="00DD2389"/>
    <w:rsid w:val="00DD2597"/>
    <w:rsid w:val="00DD2F61"/>
    <w:rsid w:val="00DD366B"/>
    <w:rsid w:val="00DD3A1F"/>
    <w:rsid w:val="00DD3A3A"/>
    <w:rsid w:val="00DD3AF1"/>
    <w:rsid w:val="00DD3D24"/>
    <w:rsid w:val="00DD3FBD"/>
    <w:rsid w:val="00DD45B4"/>
    <w:rsid w:val="00DD4738"/>
    <w:rsid w:val="00DD494B"/>
    <w:rsid w:val="00DD4DDD"/>
    <w:rsid w:val="00DD51C7"/>
    <w:rsid w:val="00DD5582"/>
    <w:rsid w:val="00DD5640"/>
    <w:rsid w:val="00DD5DF2"/>
    <w:rsid w:val="00DD60B3"/>
    <w:rsid w:val="00DD6547"/>
    <w:rsid w:val="00DD6623"/>
    <w:rsid w:val="00DD68F7"/>
    <w:rsid w:val="00DD6D19"/>
    <w:rsid w:val="00DD6F4D"/>
    <w:rsid w:val="00DD74B7"/>
    <w:rsid w:val="00DD7CE6"/>
    <w:rsid w:val="00DD7EAC"/>
    <w:rsid w:val="00DE0585"/>
    <w:rsid w:val="00DE0617"/>
    <w:rsid w:val="00DE06AE"/>
    <w:rsid w:val="00DE09EC"/>
    <w:rsid w:val="00DE0B1D"/>
    <w:rsid w:val="00DE0F99"/>
    <w:rsid w:val="00DE107C"/>
    <w:rsid w:val="00DE1185"/>
    <w:rsid w:val="00DE1282"/>
    <w:rsid w:val="00DE1495"/>
    <w:rsid w:val="00DE14D1"/>
    <w:rsid w:val="00DE1525"/>
    <w:rsid w:val="00DE160B"/>
    <w:rsid w:val="00DE166F"/>
    <w:rsid w:val="00DE1735"/>
    <w:rsid w:val="00DE1D12"/>
    <w:rsid w:val="00DE1DA5"/>
    <w:rsid w:val="00DE20C2"/>
    <w:rsid w:val="00DE21D0"/>
    <w:rsid w:val="00DE24B5"/>
    <w:rsid w:val="00DE26E0"/>
    <w:rsid w:val="00DE2898"/>
    <w:rsid w:val="00DE2A7F"/>
    <w:rsid w:val="00DE2C7A"/>
    <w:rsid w:val="00DE2E17"/>
    <w:rsid w:val="00DE2E70"/>
    <w:rsid w:val="00DE2EC3"/>
    <w:rsid w:val="00DE2F2A"/>
    <w:rsid w:val="00DE31D8"/>
    <w:rsid w:val="00DE331A"/>
    <w:rsid w:val="00DE34C4"/>
    <w:rsid w:val="00DE3740"/>
    <w:rsid w:val="00DE37C6"/>
    <w:rsid w:val="00DE3B44"/>
    <w:rsid w:val="00DE3BFE"/>
    <w:rsid w:val="00DE41B0"/>
    <w:rsid w:val="00DE462A"/>
    <w:rsid w:val="00DE4779"/>
    <w:rsid w:val="00DE4EC9"/>
    <w:rsid w:val="00DE61C4"/>
    <w:rsid w:val="00DE62B5"/>
    <w:rsid w:val="00DE6517"/>
    <w:rsid w:val="00DE6791"/>
    <w:rsid w:val="00DE699F"/>
    <w:rsid w:val="00DE6ADA"/>
    <w:rsid w:val="00DE6B24"/>
    <w:rsid w:val="00DE79D3"/>
    <w:rsid w:val="00DE7BF1"/>
    <w:rsid w:val="00DE7E9B"/>
    <w:rsid w:val="00DF0028"/>
    <w:rsid w:val="00DF01C5"/>
    <w:rsid w:val="00DF054B"/>
    <w:rsid w:val="00DF06DC"/>
    <w:rsid w:val="00DF0794"/>
    <w:rsid w:val="00DF08AA"/>
    <w:rsid w:val="00DF10DF"/>
    <w:rsid w:val="00DF13C9"/>
    <w:rsid w:val="00DF13EE"/>
    <w:rsid w:val="00DF1442"/>
    <w:rsid w:val="00DF1546"/>
    <w:rsid w:val="00DF188D"/>
    <w:rsid w:val="00DF1915"/>
    <w:rsid w:val="00DF1C73"/>
    <w:rsid w:val="00DF23B9"/>
    <w:rsid w:val="00DF2611"/>
    <w:rsid w:val="00DF27E5"/>
    <w:rsid w:val="00DF29F7"/>
    <w:rsid w:val="00DF2DAD"/>
    <w:rsid w:val="00DF3222"/>
    <w:rsid w:val="00DF32B2"/>
    <w:rsid w:val="00DF3737"/>
    <w:rsid w:val="00DF3936"/>
    <w:rsid w:val="00DF3C77"/>
    <w:rsid w:val="00DF3D18"/>
    <w:rsid w:val="00DF3D9E"/>
    <w:rsid w:val="00DF3E1D"/>
    <w:rsid w:val="00DF45A6"/>
    <w:rsid w:val="00DF4622"/>
    <w:rsid w:val="00DF4690"/>
    <w:rsid w:val="00DF46E3"/>
    <w:rsid w:val="00DF4A07"/>
    <w:rsid w:val="00DF4BDB"/>
    <w:rsid w:val="00DF56F2"/>
    <w:rsid w:val="00DF6261"/>
    <w:rsid w:val="00DF6453"/>
    <w:rsid w:val="00DF648D"/>
    <w:rsid w:val="00DF6B7D"/>
    <w:rsid w:val="00DF7019"/>
    <w:rsid w:val="00DF72F7"/>
    <w:rsid w:val="00DF74EF"/>
    <w:rsid w:val="00DF783F"/>
    <w:rsid w:val="00DF7A40"/>
    <w:rsid w:val="00DF7CBC"/>
    <w:rsid w:val="00E00250"/>
    <w:rsid w:val="00E0025D"/>
    <w:rsid w:val="00E00335"/>
    <w:rsid w:val="00E00397"/>
    <w:rsid w:val="00E005CD"/>
    <w:rsid w:val="00E00794"/>
    <w:rsid w:val="00E00B2E"/>
    <w:rsid w:val="00E00DAA"/>
    <w:rsid w:val="00E00EBD"/>
    <w:rsid w:val="00E014F8"/>
    <w:rsid w:val="00E01941"/>
    <w:rsid w:val="00E0229C"/>
    <w:rsid w:val="00E0262A"/>
    <w:rsid w:val="00E028F0"/>
    <w:rsid w:val="00E030B6"/>
    <w:rsid w:val="00E03AA8"/>
    <w:rsid w:val="00E03DC4"/>
    <w:rsid w:val="00E03EE5"/>
    <w:rsid w:val="00E04761"/>
    <w:rsid w:val="00E04B11"/>
    <w:rsid w:val="00E04CE7"/>
    <w:rsid w:val="00E04D6F"/>
    <w:rsid w:val="00E05465"/>
    <w:rsid w:val="00E054C4"/>
    <w:rsid w:val="00E05A53"/>
    <w:rsid w:val="00E05D00"/>
    <w:rsid w:val="00E05DF7"/>
    <w:rsid w:val="00E05E12"/>
    <w:rsid w:val="00E05F88"/>
    <w:rsid w:val="00E06168"/>
    <w:rsid w:val="00E061E3"/>
    <w:rsid w:val="00E07150"/>
    <w:rsid w:val="00E07258"/>
    <w:rsid w:val="00E072FB"/>
    <w:rsid w:val="00E07EA2"/>
    <w:rsid w:val="00E1025A"/>
    <w:rsid w:val="00E1032F"/>
    <w:rsid w:val="00E1035E"/>
    <w:rsid w:val="00E10631"/>
    <w:rsid w:val="00E1099E"/>
    <w:rsid w:val="00E10BB8"/>
    <w:rsid w:val="00E10E65"/>
    <w:rsid w:val="00E110D7"/>
    <w:rsid w:val="00E111B9"/>
    <w:rsid w:val="00E1135E"/>
    <w:rsid w:val="00E114D1"/>
    <w:rsid w:val="00E117C1"/>
    <w:rsid w:val="00E11E17"/>
    <w:rsid w:val="00E12170"/>
    <w:rsid w:val="00E12759"/>
    <w:rsid w:val="00E12A40"/>
    <w:rsid w:val="00E12A5A"/>
    <w:rsid w:val="00E13195"/>
    <w:rsid w:val="00E135F8"/>
    <w:rsid w:val="00E13777"/>
    <w:rsid w:val="00E138DB"/>
    <w:rsid w:val="00E13A69"/>
    <w:rsid w:val="00E13D02"/>
    <w:rsid w:val="00E14219"/>
    <w:rsid w:val="00E14768"/>
    <w:rsid w:val="00E14795"/>
    <w:rsid w:val="00E14B5B"/>
    <w:rsid w:val="00E14CAC"/>
    <w:rsid w:val="00E14E74"/>
    <w:rsid w:val="00E1564A"/>
    <w:rsid w:val="00E158C3"/>
    <w:rsid w:val="00E1594A"/>
    <w:rsid w:val="00E15E7C"/>
    <w:rsid w:val="00E16294"/>
    <w:rsid w:val="00E1647F"/>
    <w:rsid w:val="00E16568"/>
    <w:rsid w:val="00E1660C"/>
    <w:rsid w:val="00E1758B"/>
    <w:rsid w:val="00E17696"/>
    <w:rsid w:val="00E17720"/>
    <w:rsid w:val="00E17785"/>
    <w:rsid w:val="00E17C94"/>
    <w:rsid w:val="00E17D3E"/>
    <w:rsid w:val="00E17D52"/>
    <w:rsid w:val="00E17EB5"/>
    <w:rsid w:val="00E17EE2"/>
    <w:rsid w:val="00E20175"/>
    <w:rsid w:val="00E203A5"/>
    <w:rsid w:val="00E2070D"/>
    <w:rsid w:val="00E20756"/>
    <w:rsid w:val="00E2142D"/>
    <w:rsid w:val="00E2164B"/>
    <w:rsid w:val="00E219C6"/>
    <w:rsid w:val="00E223A7"/>
    <w:rsid w:val="00E22648"/>
    <w:rsid w:val="00E2276F"/>
    <w:rsid w:val="00E22A9E"/>
    <w:rsid w:val="00E22EA0"/>
    <w:rsid w:val="00E2329A"/>
    <w:rsid w:val="00E234B0"/>
    <w:rsid w:val="00E237A5"/>
    <w:rsid w:val="00E241BA"/>
    <w:rsid w:val="00E248B2"/>
    <w:rsid w:val="00E24F99"/>
    <w:rsid w:val="00E2514A"/>
    <w:rsid w:val="00E253C3"/>
    <w:rsid w:val="00E25B4D"/>
    <w:rsid w:val="00E25C8D"/>
    <w:rsid w:val="00E25D64"/>
    <w:rsid w:val="00E26525"/>
    <w:rsid w:val="00E2654A"/>
    <w:rsid w:val="00E2668D"/>
    <w:rsid w:val="00E2695E"/>
    <w:rsid w:val="00E26AF0"/>
    <w:rsid w:val="00E26B1A"/>
    <w:rsid w:val="00E26F13"/>
    <w:rsid w:val="00E2747D"/>
    <w:rsid w:val="00E275DE"/>
    <w:rsid w:val="00E27C19"/>
    <w:rsid w:val="00E304D2"/>
    <w:rsid w:val="00E30A98"/>
    <w:rsid w:val="00E3101A"/>
    <w:rsid w:val="00E31099"/>
    <w:rsid w:val="00E31173"/>
    <w:rsid w:val="00E317F7"/>
    <w:rsid w:val="00E31868"/>
    <w:rsid w:val="00E31D82"/>
    <w:rsid w:val="00E31FD3"/>
    <w:rsid w:val="00E326FD"/>
    <w:rsid w:val="00E332FF"/>
    <w:rsid w:val="00E33A83"/>
    <w:rsid w:val="00E33F59"/>
    <w:rsid w:val="00E33F6C"/>
    <w:rsid w:val="00E34246"/>
    <w:rsid w:val="00E345AD"/>
    <w:rsid w:val="00E347A4"/>
    <w:rsid w:val="00E347A9"/>
    <w:rsid w:val="00E34930"/>
    <w:rsid w:val="00E34A67"/>
    <w:rsid w:val="00E35611"/>
    <w:rsid w:val="00E357A4"/>
    <w:rsid w:val="00E357B5"/>
    <w:rsid w:val="00E3597C"/>
    <w:rsid w:val="00E359C7"/>
    <w:rsid w:val="00E35B7F"/>
    <w:rsid w:val="00E35BCA"/>
    <w:rsid w:val="00E361D8"/>
    <w:rsid w:val="00E366BF"/>
    <w:rsid w:val="00E3684B"/>
    <w:rsid w:val="00E36C05"/>
    <w:rsid w:val="00E3714C"/>
    <w:rsid w:val="00E37B37"/>
    <w:rsid w:val="00E406EC"/>
    <w:rsid w:val="00E40E5D"/>
    <w:rsid w:val="00E41504"/>
    <w:rsid w:val="00E41F7B"/>
    <w:rsid w:val="00E42181"/>
    <w:rsid w:val="00E4286E"/>
    <w:rsid w:val="00E42A03"/>
    <w:rsid w:val="00E42AF3"/>
    <w:rsid w:val="00E42D7F"/>
    <w:rsid w:val="00E430D3"/>
    <w:rsid w:val="00E43157"/>
    <w:rsid w:val="00E43159"/>
    <w:rsid w:val="00E43299"/>
    <w:rsid w:val="00E4338A"/>
    <w:rsid w:val="00E439B4"/>
    <w:rsid w:val="00E43A51"/>
    <w:rsid w:val="00E43E7F"/>
    <w:rsid w:val="00E44057"/>
    <w:rsid w:val="00E4411F"/>
    <w:rsid w:val="00E44C3B"/>
    <w:rsid w:val="00E45059"/>
    <w:rsid w:val="00E45D57"/>
    <w:rsid w:val="00E45EDD"/>
    <w:rsid w:val="00E46119"/>
    <w:rsid w:val="00E461CB"/>
    <w:rsid w:val="00E46781"/>
    <w:rsid w:val="00E467D7"/>
    <w:rsid w:val="00E46C52"/>
    <w:rsid w:val="00E47842"/>
    <w:rsid w:val="00E47BDB"/>
    <w:rsid w:val="00E50141"/>
    <w:rsid w:val="00E505C1"/>
    <w:rsid w:val="00E50B29"/>
    <w:rsid w:val="00E50D3C"/>
    <w:rsid w:val="00E51196"/>
    <w:rsid w:val="00E51327"/>
    <w:rsid w:val="00E51EBC"/>
    <w:rsid w:val="00E51FC3"/>
    <w:rsid w:val="00E52839"/>
    <w:rsid w:val="00E52E2A"/>
    <w:rsid w:val="00E52F1D"/>
    <w:rsid w:val="00E52F96"/>
    <w:rsid w:val="00E533BD"/>
    <w:rsid w:val="00E53665"/>
    <w:rsid w:val="00E53B5F"/>
    <w:rsid w:val="00E53B65"/>
    <w:rsid w:val="00E53DDE"/>
    <w:rsid w:val="00E53F3D"/>
    <w:rsid w:val="00E540A4"/>
    <w:rsid w:val="00E54B63"/>
    <w:rsid w:val="00E552B8"/>
    <w:rsid w:val="00E55360"/>
    <w:rsid w:val="00E553F3"/>
    <w:rsid w:val="00E55789"/>
    <w:rsid w:val="00E55DE8"/>
    <w:rsid w:val="00E55E9D"/>
    <w:rsid w:val="00E5656C"/>
    <w:rsid w:val="00E56875"/>
    <w:rsid w:val="00E56F05"/>
    <w:rsid w:val="00E5712E"/>
    <w:rsid w:val="00E57324"/>
    <w:rsid w:val="00E576DE"/>
    <w:rsid w:val="00E57830"/>
    <w:rsid w:val="00E57E8A"/>
    <w:rsid w:val="00E57F82"/>
    <w:rsid w:val="00E6024C"/>
    <w:rsid w:val="00E602F6"/>
    <w:rsid w:val="00E607D1"/>
    <w:rsid w:val="00E60EE0"/>
    <w:rsid w:val="00E6151D"/>
    <w:rsid w:val="00E6175C"/>
    <w:rsid w:val="00E61791"/>
    <w:rsid w:val="00E617EC"/>
    <w:rsid w:val="00E6189A"/>
    <w:rsid w:val="00E6212A"/>
    <w:rsid w:val="00E62595"/>
    <w:rsid w:val="00E626E6"/>
    <w:rsid w:val="00E62714"/>
    <w:rsid w:val="00E62DFF"/>
    <w:rsid w:val="00E62ECF"/>
    <w:rsid w:val="00E636D9"/>
    <w:rsid w:val="00E63714"/>
    <w:rsid w:val="00E63887"/>
    <w:rsid w:val="00E63968"/>
    <w:rsid w:val="00E639BE"/>
    <w:rsid w:val="00E64343"/>
    <w:rsid w:val="00E648D6"/>
    <w:rsid w:val="00E649F5"/>
    <w:rsid w:val="00E64D68"/>
    <w:rsid w:val="00E655E9"/>
    <w:rsid w:val="00E657CE"/>
    <w:rsid w:val="00E65A09"/>
    <w:rsid w:val="00E65FFF"/>
    <w:rsid w:val="00E665A2"/>
    <w:rsid w:val="00E6691D"/>
    <w:rsid w:val="00E66BBD"/>
    <w:rsid w:val="00E66DDF"/>
    <w:rsid w:val="00E67E07"/>
    <w:rsid w:val="00E700F5"/>
    <w:rsid w:val="00E7034B"/>
    <w:rsid w:val="00E704A9"/>
    <w:rsid w:val="00E7078A"/>
    <w:rsid w:val="00E70802"/>
    <w:rsid w:val="00E708F1"/>
    <w:rsid w:val="00E70B6B"/>
    <w:rsid w:val="00E70F40"/>
    <w:rsid w:val="00E71AF5"/>
    <w:rsid w:val="00E71DD2"/>
    <w:rsid w:val="00E71E5D"/>
    <w:rsid w:val="00E72223"/>
    <w:rsid w:val="00E725EE"/>
    <w:rsid w:val="00E72D92"/>
    <w:rsid w:val="00E730A6"/>
    <w:rsid w:val="00E733A8"/>
    <w:rsid w:val="00E73564"/>
    <w:rsid w:val="00E739FA"/>
    <w:rsid w:val="00E73C89"/>
    <w:rsid w:val="00E74A2B"/>
    <w:rsid w:val="00E74F7A"/>
    <w:rsid w:val="00E74FC6"/>
    <w:rsid w:val="00E75CCE"/>
    <w:rsid w:val="00E75CD3"/>
    <w:rsid w:val="00E76412"/>
    <w:rsid w:val="00E7644B"/>
    <w:rsid w:val="00E76962"/>
    <w:rsid w:val="00E76AA1"/>
    <w:rsid w:val="00E76D71"/>
    <w:rsid w:val="00E76E0D"/>
    <w:rsid w:val="00E77065"/>
    <w:rsid w:val="00E77A69"/>
    <w:rsid w:val="00E77EDC"/>
    <w:rsid w:val="00E80174"/>
    <w:rsid w:val="00E801E0"/>
    <w:rsid w:val="00E80863"/>
    <w:rsid w:val="00E80B34"/>
    <w:rsid w:val="00E81017"/>
    <w:rsid w:val="00E817A5"/>
    <w:rsid w:val="00E81940"/>
    <w:rsid w:val="00E81983"/>
    <w:rsid w:val="00E81C8F"/>
    <w:rsid w:val="00E81E33"/>
    <w:rsid w:val="00E8222B"/>
    <w:rsid w:val="00E82DF4"/>
    <w:rsid w:val="00E831C5"/>
    <w:rsid w:val="00E833CF"/>
    <w:rsid w:val="00E83473"/>
    <w:rsid w:val="00E835A6"/>
    <w:rsid w:val="00E835B6"/>
    <w:rsid w:val="00E8382A"/>
    <w:rsid w:val="00E839C8"/>
    <w:rsid w:val="00E83B6E"/>
    <w:rsid w:val="00E83B87"/>
    <w:rsid w:val="00E83C48"/>
    <w:rsid w:val="00E83E9D"/>
    <w:rsid w:val="00E83EAE"/>
    <w:rsid w:val="00E8412D"/>
    <w:rsid w:val="00E842FB"/>
    <w:rsid w:val="00E84CD4"/>
    <w:rsid w:val="00E85223"/>
    <w:rsid w:val="00E85571"/>
    <w:rsid w:val="00E85B4A"/>
    <w:rsid w:val="00E85FD4"/>
    <w:rsid w:val="00E8617C"/>
    <w:rsid w:val="00E862A4"/>
    <w:rsid w:val="00E86713"/>
    <w:rsid w:val="00E868B1"/>
    <w:rsid w:val="00E873A5"/>
    <w:rsid w:val="00E8792D"/>
    <w:rsid w:val="00E87DB8"/>
    <w:rsid w:val="00E90B32"/>
    <w:rsid w:val="00E91B80"/>
    <w:rsid w:val="00E91F33"/>
    <w:rsid w:val="00E9218D"/>
    <w:rsid w:val="00E9261C"/>
    <w:rsid w:val="00E9291A"/>
    <w:rsid w:val="00E9298C"/>
    <w:rsid w:val="00E92E6D"/>
    <w:rsid w:val="00E92EE9"/>
    <w:rsid w:val="00E92F0E"/>
    <w:rsid w:val="00E92FEC"/>
    <w:rsid w:val="00E9303E"/>
    <w:rsid w:val="00E9308D"/>
    <w:rsid w:val="00E93185"/>
    <w:rsid w:val="00E93328"/>
    <w:rsid w:val="00E9336A"/>
    <w:rsid w:val="00E934B5"/>
    <w:rsid w:val="00E9384E"/>
    <w:rsid w:val="00E93A98"/>
    <w:rsid w:val="00E9429C"/>
    <w:rsid w:val="00E943A2"/>
    <w:rsid w:val="00E94BAC"/>
    <w:rsid w:val="00E94C70"/>
    <w:rsid w:val="00E95A14"/>
    <w:rsid w:val="00E963D3"/>
    <w:rsid w:val="00E96448"/>
    <w:rsid w:val="00E96B54"/>
    <w:rsid w:val="00E97575"/>
    <w:rsid w:val="00E97741"/>
    <w:rsid w:val="00E97EDC"/>
    <w:rsid w:val="00EA0317"/>
    <w:rsid w:val="00EA09A4"/>
    <w:rsid w:val="00EA0B87"/>
    <w:rsid w:val="00EA0CD0"/>
    <w:rsid w:val="00EA0E12"/>
    <w:rsid w:val="00EA12AA"/>
    <w:rsid w:val="00EA183C"/>
    <w:rsid w:val="00EA1F31"/>
    <w:rsid w:val="00EA2005"/>
    <w:rsid w:val="00EA20A2"/>
    <w:rsid w:val="00EA235F"/>
    <w:rsid w:val="00EA2BBA"/>
    <w:rsid w:val="00EA3013"/>
    <w:rsid w:val="00EA37EF"/>
    <w:rsid w:val="00EA3815"/>
    <w:rsid w:val="00EA385D"/>
    <w:rsid w:val="00EA3F84"/>
    <w:rsid w:val="00EA45D1"/>
    <w:rsid w:val="00EA52B6"/>
    <w:rsid w:val="00EA57CB"/>
    <w:rsid w:val="00EA5913"/>
    <w:rsid w:val="00EA5DFF"/>
    <w:rsid w:val="00EA5ED3"/>
    <w:rsid w:val="00EA5FB6"/>
    <w:rsid w:val="00EA6140"/>
    <w:rsid w:val="00EA66D6"/>
    <w:rsid w:val="00EA6767"/>
    <w:rsid w:val="00EA695A"/>
    <w:rsid w:val="00EA7479"/>
    <w:rsid w:val="00EA75C9"/>
    <w:rsid w:val="00EA7837"/>
    <w:rsid w:val="00EA79A7"/>
    <w:rsid w:val="00EA7E06"/>
    <w:rsid w:val="00EA7F5C"/>
    <w:rsid w:val="00EB049B"/>
    <w:rsid w:val="00EB0968"/>
    <w:rsid w:val="00EB101B"/>
    <w:rsid w:val="00EB11A2"/>
    <w:rsid w:val="00EB13F4"/>
    <w:rsid w:val="00EB157A"/>
    <w:rsid w:val="00EB163D"/>
    <w:rsid w:val="00EB1891"/>
    <w:rsid w:val="00EB1AF8"/>
    <w:rsid w:val="00EB1C44"/>
    <w:rsid w:val="00EB1D02"/>
    <w:rsid w:val="00EB1DE1"/>
    <w:rsid w:val="00EB1F6F"/>
    <w:rsid w:val="00EB2063"/>
    <w:rsid w:val="00EB219F"/>
    <w:rsid w:val="00EB22D1"/>
    <w:rsid w:val="00EB2517"/>
    <w:rsid w:val="00EB282F"/>
    <w:rsid w:val="00EB2CD4"/>
    <w:rsid w:val="00EB2D24"/>
    <w:rsid w:val="00EB2E20"/>
    <w:rsid w:val="00EB3130"/>
    <w:rsid w:val="00EB3D4F"/>
    <w:rsid w:val="00EB407D"/>
    <w:rsid w:val="00EB48F6"/>
    <w:rsid w:val="00EB48FE"/>
    <w:rsid w:val="00EB4A00"/>
    <w:rsid w:val="00EB4B5B"/>
    <w:rsid w:val="00EB4BD3"/>
    <w:rsid w:val="00EB4D43"/>
    <w:rsid w:val="00EB4D70"/>
    <w:rsid w:val="00EB4E65"/>
    <w:rsid w:val="00EB5150"/>
    <w:rsid w:val="00EB559D"/>
    <w:rsid w:val="00EB568C"/>
    <w:rsid w:val="00EB568D"/>
    <w:rsid w:val="00EB56D4"/>
    <w:rsid w:val="00EB5B31"/>
    <w:rsid w:val="00EB5DEA"/>
    <w:rsid w:val="00EB6292"/>
    <w:rsid w:val="00EB63AB"/>
    <w:rsid w:val="00EB65A0"/>
    <w:rsid w:val="00EB661A"/>
    <w:rsid w:val="00EB66C9"/>
    <w:rsid w:val="00EB6803"/>
    <w:rsid w:val="00EB6EE4"/>
    <w:rsid w:val="00EB6EEA"/>
    <w:rsid w:val="00EB7216"/>
    <w:rsid w:val="00EB7219"/>
    <w:rsid w:val="00EB75EB"/>
    <w:rsid w:val="00EB76B1"/>
    <w:rsid w:val="00EB7707"/>
    <w:rsid w:val="00EB793F"/>
    <w:rsid w:val="00EB7DCC"/>
    <w:rsid w:val="00EC002C"/>
    <w:rsid w:val="00EC0408"/>
    <w:rsid w:val="00EC0AAD"/>
    <w:rsid w:val="00EC0B77"/>
    <w:rsid w:val="00EC0BA4"/>
    <w:rsid w:val="00EC0F8D"/>
    <w:rsid w:val="00EC10AC"/>
    <w:rsid w:val="00EC1126"/>
    <w:rsid w:val="00EC1537"/>
    <w:rsid w:val="00EC155A"/>
    <w:rsid w:val="00EC17E2"/>
    <w:rsid w:val="00EC1DC0"/>
    <w:rsid w:val="00EC21DF"/>
    <w:rsid w:val="00EC2381"/>
    <w:rsid w:val="00EC2662"/>
    <w:rsid w:val="00EC26D1"/>
    <w:rsid w:val="00EC2E78"/>
    <w:rsid w:val="00EC2F6F"/>
    <w:rsid w:val="00EC325B"/>
    <w:rsid w:val="00EC3374"/>
    <w:rsid w:val="00EC340C"/>
    <w:rsid w:val="00EC36A7"/>
    <w:rsid w:val="00EC36E7"/>
    <w:rsid w:val="00EC3A4C"/>
    <w:rsid w:val="00EC3AF9"/>
    <w:rsid w:val="00EC3D81"/>
    <w:rsid w:val="00EC3EFE"/>
    <w:rsid w:val="00EC4567"/>
    <w:rsid w:val="00EC481F"/>
    <w:rsid w:val="00EC4BB6"/>
    <w:rsid w:val="00EC5363"/>
    <w:rsid w:val="00EC53A1"/>
    <w:rsid w:val="00EC56DD"/>
    <w:rsid w:val="00EC5884"/>
    <w:rsid w:val="00EC5A1F"/>
    <w:rsid w:val="00EC5A86"/>
    <w:rsid w:val="00EC5DE3"/>
    <w:rsid w:val="00EC638D"/>
    <w:rsid w:val="00EC64DB"/>
    <w:rsid w:val="00EC64E5"/>
    <w:rsid w:val="00EC6526"/>
    <w:rsid w:val="00EC66F5"/>
    <w:rsid w:val="00EC6FBE"/>
    <w:rsid w:val="00EC710E"/>
    <w:rsid w:val="00EC7142"/>
    <w:rsid w:val="00EC7E8A"/>
    <w:rsid w:val="00EC7EA9"/>
    <w:rsid w:val="00EC7F05"/>
    <w:rsid w:val="00ED0061"/>
    <w:rsid w:val="00ED016C"/>
    <w:rsid w:val="00ED04A6"/>
    <w:rsid w:val="00ED07F6"/>
    <w:rsid w:val="00ED11A9"/>
    <w:rsid w:val="00ED1339"/>
    <w:rsid w:val="00ED17C2"/>
    <w:rsid w:val="00ED1932"/>
    <w:rsid w:val="00ED1AC0"/>
    <w:rsid w:val="00ED1D72"/>
    <w:rsid w:val="00ED1DDB"/>
    <w:rsid w:val="00ED2162"/>
    <w:rsid w:val="00ED229C"/>
    <w:rsid w:val="00ED230A"/>
    <w:rsid w:val="00ED24FA"/>
    <w:rsid w:val="00ED2518"/>
    <w:rsid w:val="00ED2764"/>
    <w:rsid w:val="00ED2899"/>
    <w:rsid w:val="00ED2AF2"/>
    <w:rsid w:val="00ED2B52"/>
    <w:rsid w:val="00ED2EC0"/>
    <w:rsid w:val="00ED2F1D"/>
    <w:rsid w:val="00ED30F2"/>
    <w:rsid w:val="00ED32B9"/>
    <w:rsid w:val="00ED366D"/>
    <w:rsid w:val="00ED3825"/>
    <w:rsid w:val="00ED3911"/>
    <w:rsid w:val="00ED3B81"/>
    <w:rsid w:val="00ED3FFB"/>
    <w:rsid w:val="00ED3FFF"/>
    <w:rsid w:val="00ED408E"/>
    <w:rsid w:val="00ED42A0"/>
    <w:rsid w:val="00ED444F"/>
    <w:rsid w:val="00ED515C"/>
    <w:rsid w:val="00ED52EA"/>
    <w:rsid w:val="00ED540F"/>
    <w:rsid w:val="00ED559F"/>
    <w:rsid w:val="00ED5787"/>
    <w:rsid w:val="00ED5790"/>
    <w:rsid w:val="00ED5D4E"/>
    <w:rsid w:val="00ED5F80"/>
    <w:rsid w:val="00ED653D"/>
    <w:rsid w:val="00ED6569"/>
    <w:rsid w:val="00ED682D"/>
    <w:rsid w:val="00ED6D18"/>
    <w:rsid w:val="00ED7166"/>
    <w:rsid w:val="00EE03DD"/>
    <w:rsid w:val="00EE0580"/>
    <w:rsid w:val="00EE0D64"/>
    <w:rsid w:val="00EE10F9"/>
    <w:rsid w:val="00EE12D4"/>
    <w:rsid w:val="00EE1481"/>
    <w:rsid w:val="00EE16FD"/>
    <w:rsid w:val="00EE1A16"/>
    <w:rsid w:val="00EE1E8E"/>
    <w:rsid w:val="00EE222E"/>
    <w:rsid w:val="00EE2921"/>
    <w:rsid w:val="00EE29CC"/>
    <w:rsid w:val="00EE2D46"/>
    <w:rsid w:val="00EE364E"/>
    <w:rsid w:val="00EE4238"/>
    <w:rsid w:val="00EE463E"/>
    <w:rsid w:val="00EE467D"/>
    <w:rsid w:val="00EE4C04"/>
    <w:rsid w:val="00EE4C95"/>
    <w:rsid w:val="00EE4CAE"/>
    <w:rsid w:val="00EE5600"/>
    <w:rsid w:val="00EE5A32"/>
    <w:rsid w:val="00EE5A9A"/>
    <w:rsid w:val="00EE6265"/>
    <w:rsid w:val="00EE64A1"/>
    <w:rsid w:val="00EE64D3"/>
    <w:rsid w:val="00EE656D"/>
    <w:rsid w:val="00EE6B2F"/>
    <w:rsid w:val="00EE6FEC"/>
    <w:rsid w:val="00EE7638"/>
    <w:rsid w:val="00EE7EB7"/>
    <w:rsid w:val="00EE7F45"/>
    <w:rsid w:val="00EE7F5C"/>
    <w:rsid w:val="00EF07E6"/>
    <w:rsid w:val="00EF091F"/>
    <w:rsid w:val="00EF0D50"/>
    <w:rsid w:val="00EF0DD8"/>
    <w:rsid w:val="00EF0FD2"/>
    <w:rsid w:val="00EF129B"/>
    <w:rsid w:val="00EF131C"/>
    <w:rsid w:val="00EF169A"/>
    <w:rsid w:val="00EF16A1"/>
    <w:rsid w:val="00EF1B15"/>
    <w:rsid w:val="00EF20DC"/>
    <w:rsid w:val="00EF28F0"/>
    <w:rsid w:val="00EF29BC"/>
    <w:rsid w:val="00EF2A74"/>
    <w:rsid w:val="00EF2AA1"/>
    <w:rsid w:val="00EF2F38"/>
    <w:rsid w:val="00EF33DE"/>
    <w:rsid w:val="00EF370E"/>
    <w:rsid w:val="00EF3FF2"/>
    <w:rsid w:val="00EF415C"/>
    <w:rsid w:val="00EF464C"/>
    <w:rsid w:val="00EF4EAB"/>
    <w:rsid w:val="00EF5015"/>
    <w:rsid w:val="00EF547E"/>
    <w:rsid w:val="00EF5AC0"/>
    <w:rsid w:val="00EF5B15"/>
    <w:rsid w:val="00EF5D2C"/>
    <w:rsid w:val="00EF5D99"/>
    <w:rsid w:val="00EF61EC"/>
    <w:rsid w:val="00EF6293"/>
    <w:rsid w:val="00EF67AC"/>
    <w:rsid w:val="00EF6E44"/>
    <w:rsid w:val="00EF6E81"/>
    <w:rsid w:val="00EF741A"/>
    <w:rsid w:val="00EF75AB"/>
    <w:rsid w:val="00EF77E4"/>
    <w:rsid w:val="00EF7F2C"/>
    <w:rsid w:val="00F00322"/>
    <w:rsid w:val="00F00331"/>
    <w:rsid w:val="00F008CE"/>
    <w:rsid w:val="00F012ED"/>
    <w:rsid w:val="00F013DE"/>
    <w:rsid w:val="00F01A5E"/>
    <w:rsid w:val="00F01BCA"/>
    <w:rsid w:val="00F01D64"/>
    <w:rsid w:val="00F01D9E"/>
    <w:rsid w:val="00F01E0E"/>
    <w:rsid w:val="00F02065"/>
    <w:rsid w:val="00F020C9"/>
    <w:rsid w:val="00F02280"/>
    <w:rsid w:val="00F022C3"/>
    <w:rsid w:val="00F02383"/>
    <w:rsid w:val="00F02409"/>
    <w:rsid w:val="00F025CD"/>
    <w:rsid w:val="00F02796"/>
    <w:rsid w:val="00F03357"/>
    <w:rsid w:val="00F0359F"/>
    <w:rsid w:val="00F0381A"/>
    <w:rsid w:val="00F03B79"/>
    <w:rsid w:val="00F044BB"/>
    <w:rsid w:val="00F04900"/>
    <w:rsid w:val="00F04963"/>
    <w:rsid w:val="00F04AA4"/>
    <w:rsid w:val="00F04C62"/>
    <w:rsid w:val="00F050F3"/>
    <w:rsid w:val="00F0538F"/>
    <w:rsid w:val="00F05E1D"/>
    <w:rsid w:val="00F05F0E"/>
    <w:rsid w:val="00F062B4"/>
    <w:rsid w:val="00F067AA"/>
    <w:rsid w:val="00F068A1"/>
    <w:rsid w:val="00F07284"/>
    <w:rsid w:val="00F079CA"/>
    <w:rsid w:val="00F07BD4"/>
    <w:rsid w:val="00F07ED8"/>
    <w:rsid w:val="00F07FB6"/>
    <w:rsid w:val="00F10C97"/>
    <w:rsid w:val="00F10E51"/>
    <w:rsid w:val="00F11954"/>
    <w:rsid w:val="00F11B51"/>
    <w:rsid w:val="00F11CF0"/>
    <w:rsid w:val="00F11F2B"/>
    <w:rsid w:val="00F11F45"/>
    <w:rsid w:val="00F12502"/>
    <w:rsid w:val="00F12611"/>
    <w:rsid w:val="00F1290D"/>
    <w:rsid w:val="00F12BC2"/>
    <w:rsid w:val="00F12FC8"/>
    <w:rsid w:val="00F13A4D"/>
    <w:rsid w:val="00F13B9E"/>
    <w:rsid w:val="00F13C4D"/>
    <w:rsid w:val="00F14012"/>
    <w:rsid w:val="00F14051"/>
    <w:rsid w:val="00F1417A"/>
    <w:rsid w:val="00F14207"/>
    <w:rsid w:val="00F1432C"/>
    <w:rsid w:val="00F143F6"/>
    <w:rsid w:val="00F1453D"/>
    <w:rsid w:val="00F14B89"/>
    <w:rsid w:val="00F14E2B"/>
    <w:rsid w:val="00F15028"/>
    <w:rsid w:val="00F15130"/>
    <w:rsid w:val="00F15976"/>
    <w:rsid w:val="00F15A37"/>
    <w:rsid w:val="00F15FE6"/>
    <w:rsid w:val="00F16022"/>
    <w:rsid w:val="00F166AF"/>
    <w:rsid w:val="00F16755"/>
    <w:rsid w:val="00F1694E"/>
    <w:rsid w:val="00F16D2E"/>
    <w:rsid w:val="00F16EBD"/>
    <w:rsid w:val="00F1711B"/>
    <w:rsid w:val="00F17909"/>
    <w:rsid w:val="00F17E2D"/>
    <w:rsid w:val="00F17F57"/>
    <w:rsid w:val="00F2014B"/>
    <w:rsid w:val="00F20806"/>
    <w:rsid w:val="00F20DE5"/>
    <w:rsid w:val="00F20E9E"/>
    <w:rsid w:val="00F21087"/>
    <w:rsid w:val="00F211CE"/>
    <w:rsid w:val="00F21577"/>
    <w:rsid w:val="00F21A31"/>
    <w:rsid w:val="00F21B76"/>
    <w:rsid w:val="00F21C6B"/>
    <w:rsid w:val="00F22272"/>
    <w:rsid w:val="00F22410"/>
    <w:rsid w:val="00F2256B"/>
    <w:rsid w:val="00F2281D"/>
    <w:rsid w:val="00F22B06"/>
    <w:rsid w:val="00F22CB0"/>
    <w:rsid w:val="00F233E2"/>
    <w:rsid w:val="00F2365B"/>
    <w:rsid w:val="00F23901"/>
    <w:rsid w:val="00F23BE3"/>
    <w:rsid w:val="00F23E0C"/>
    <w:rsid w:val="00F23FA7"/>
    <w:rsid w:val="00F2445E"/>
    <w:rsid w:val="00F24AD0"/>
    <w:rsid w:val="00F25146"/>
    <w:rsid w:val="00F251BA"/>
    <w:rsid w:val="00F25261"/>
    <w:rsid w:val="00F25333"/>
    <w:rsid w:val="00F25542"/>
    <w:rsid w:val="00F25604"/>
    <w:rsid w:val="00F2565B"/>
    <w:rsid w:val="00F25757"/>
    <w:rsid w:val="00F25825"/>
    <w:rsid w:val="00F25A4F"/>
    <w:rsid w:val="00F25AA0"/>
    <w:rsid w:val="00F26378"/>
    <w:rsid w:val="00F266FB"/>
    <w:rsid w:val="00F26AB1"/>
    <w:rsid w:val="00F27062"/>
    <w:rsid w:val="00F2714D"/>
    <w:rsid w:val="00F27951"/>
    <w:rsid w:val="00F27CE8"/>
    <w:rsid w:val="00F27D01"/>
    <w:rsid w:val="00F3067C"/>
    <w:rsid w:val="00F31283"/>
    <w:rsid w:val="00F313A6"/>
    <w:rsid w:val="00F31A98"/>
    <w:rsid w:val="00F31E4F"/>
    <w:rsid w:val="00F31F7C"/>
    <w:rsid w:val="00F3271D"/>
    <w:rsid w:val="00F3350C"/>
    <w:rsid w:val="00F33817"/>
    <w:rsid w:val="00F33C5E"/>
    <w:rsid w:val="00F340AF"/>
    <w:rsid w:val="00F34590"/>
    <w:rsid w:val="00F34C6E"/>
    <w:rsid w:val="00F34EAB"/>
    <w:rsid w:val="00F3589F"/>
    <w:rsid w:val="00F35D36"/>
    <w:rsid w:val="00F3609B"/>
    <w:rsid w:val="00F3651B"/>
    <w:rsid w:val="00F36706"/>
    <w:rsid w:val="00F36AC4"/>
    <w:rsid w:val="00F36ECC"/>
    <w:rsid w:val="00F36F17"/>
    <w:rsid w:val="00F3702A"/>
    <w:rsid w:val="00F37299"/>
    <w:rsid w:val="00F3792C"/>
    <w:rsid w:val="00F37AF8"/>
    <w:rsid w:val="00F37C19"/>
    <w:rsid w:val="00F37C67"/>
    <w:rsid w:val="00F37DD0"/>
    <w:rsid w:val="00F37E04"/>
    <w:rsid w:val="00F37ECD"/>
    <w:rsid w:val="00F3BF6E"/>
    <w:rsid w:val="00F40295"/>
    <w:rsid w:val="00F402B7"/>
    <w:rsid w:val="00F40412"/>
    <w:rsid w:val="00F4066A"/>
    <w:rsid w:val="00F407FD"/>
    <w:rsid w:val="00F40A64"/>
    <w:rsid w:val="00F40B01"/>
    <w:rsid w:val="00F40B12"/>
    <w:rsid w:val="00F40C0F"/>
    <w:rsid w:val="00F40EE9"/>
    <w:rsid w:val="00F41271"/>
    <w:rsid w:val="00F414DA"/>
    <w:rsid w:val="00F417FC"/>
    <w:rsid w:val="00F41996"/>
    <w:rsid w:val="00F41C6D"/>
    <w:rsid w:val="00F41DDB"/>
    <w:rsid w:val="00F41FFB"/>
    <w:rsid w:val="00F42015"/>
    <w:rsid w:val="00F4237F"/>
    <w:rsid w:val="00F4271C"/>
    <w:rsid w:val="00F4286C"/>
    <w:rsid w:val="00F42AF9"/>
    <w:rsid w:val="00F4305F"/>
    <w:rsid w:val="00F432C5"/>
    <w:rsid w:val="00F435E7"/>
    <w:rsid w:val="00F438A4"/>
    <w:rsid w:val="00F43C88"/>
    <w:rsid w:val="00F43FA1"/>
    <w:rsid w:val="00F43FB3"/>
    <w:rsid w:val="00F44449"/>
    <w:rsid w:val="00F44684"/>
    <w:rsid w:val="00F44742"/>
    <w:rsid w:val="00F45127"/>
    <w:rsid w:val="00F452AA"/>
    <w:rsid w:val="00F45613"/>
    <w:rsid w:val="00F45A71"/>
    <w:rsid w:val="00F45AE2"/>
    <w:rsid w:val="00F45B1E"/>
    <w:rsid w:val="00F45E7A"/>
    <w:rsid w:val="00F46580"/>
    <w:rsid w:val="00F465D0"/>
    <w:rsid w:val="00F46820"/>
    <w:rsid w:val="00F46944"/>
    <w:rsid w:val="00F46CD2"/>
    <w:rsid w:val="00F471FD"/>
    <w:rsid w:val="00F473E2"/>
    <w:rsid w:val="00F503BC"/>
    <w:rsid w:val="00F50964"/>
    <w:rsid w:val="00F50B84"/>
    <w:rsid w:val="00F5129B"/>
    <w:rsid w:val="00F51AE2"/>
    <w:rsid w:val="00F51D5C"/>
    <w:rsid w:val="00F5284C"/>
    <w:rsid w:val="00F52928"/>
    <w:rsid w:val="00F52D9E"/>
    <w:rsid w:val="00F53794"/>
    <w:rsid w:val="00F544E7"/>
    <w:rsid w:val="00F545FD"/>
    <w:rsid w:val="00F5473C"/>
    <w:rsid w:val="00F54BB0"/>
    <w:rsid w:val="00F5501C"/>
    <w:rsid w:val="00F55034"/>
    <w:rsid w:val="00F552B4"/>
    <w:rsid w:val="00F5551F"/>
    <w:rsid w:val="00F557A9"/>
    <w:rsid w:val="00F559FC"/>
    <w:rsid w:val="00F55FA4"/>
    <w:rsid w:val="00F56C0F"/>
    <w:rsid w:val="00F56C23"/>
    <w:rsid w:val="00F56FAA"/>
    <w:rsid w:val="00F5704A"/>
    <w:rsid w:val="00F57BE2"/>
    <w:rsid w:val="00F57F00"/>
    <w:rsid w:val="00F600B9"/>
    <w:rsid w:val="00F60274"/>
    <w:rsid w:val="00F6028E"/>
    <w:rsid w:val="00F6038D"/>
    <w:rsid w:val="00F60696"/>
    <w:rsid w:val="00F607A2"/>
    <w:rsid w:val="00F60B95"/>
    <w:rsid w:val="00F60F2C"/>
    <w:rsid w:val="00F6183E"/>
    <w:rsid w:val="00F61BA3"/>
    <w:rsid w:val="00F61E67"/>
    <w:rsid w:val="00F61FD6"/>
    <w:rsid w:val="00F62BE5"/>
    <w:rsid w:val="00F62DF5"/>
    <w:rsid w:val="00F631A1"/>
    <w:rsid w:val="00F63341"/>
    <w:rsid w:val="00F634F3"/>
    <w:rsid w:val="00F639EE"/>
    <w:rsid w:val="00F6460B"/>
    <w:rsid w:val="00F647D8"/>
    <w:rsid w:val="00F64EF9"/>
    <w:rsid w:val="00F650C3"/>
    <w:rsid w:val="00F6516D"/>
    <w:rsid w:val="00F659B9"/>
    <w:rsid w:val="00F65B60"/>
    <w:rsid w:val="00F65E3F"/>
    <w:rsid w:val="00F65F15"/>
    <w:rsid w:val="00F665B0"/>
    <w:rsid w:val="00F667FD"/>
    <w:rsid w:val="00F66891"/>
    <w:rsid w:val="00F669E2"/>
    <w:rsid w:val="00F66FA1"/>
    <w:rsid w:val="00F6704B"/>
    <w:rsid w:val="00F6733A"/>
    <w:rsid w:val="00F673FA"/>
    <w:rsid w:val="00F67618"/>
    <w:rsid w:val="00F677B3"/>
    <w:rsid w:val="00F678E5"/>
    <w:rsid w:val="00F67AB7"/>
    <w:rsid w:val="00F67C59"/>
    <w:rsid w:val="00F67C7E"/>
    <w:rsid w:val="00F67D0A"/>
    <w:rsid w:val="00F67DD6"/>
    <w:rsid w:val="00F70283"/>
    <w:rsid w:val="00F702BF"/>
    <w:rsid w:val="00F703B0"/>
    <w:rsid w:val="00F70499"/>
    <w:rsid w:val="00F7092F"/>
    <w:rsid w:val="00F709DB"/>
    <w:rsid w:val="00F70C4B"/>
    <w:rsid w:val="00F70F6F"/>
    <w:rsid w:val="00F7114F"/>
    <w:rsid w:val="00F713E8"/>
    <w:rsid w:val="00F71EBC"/>
    <w:rsid w:val="00F71F18"/>
    <w:rsid w:val="00F71F87"/>
    <w:rsid w:val="00F7268B"/>
    <w:rsid w:val="00F72BB6"/>
    <w:rsid w:val="00F72C4E"/>
    <w:rsid w:val="00F72DD6"/>
    <w:rsid w:val="00F73154"/>
    <w:rsid w:val="00F73357"/>
    <w:rsid w:val="00F73D55"/>
    <w:rsid w:val="00F74171"/>
    <w:rsid w:val="00F74447"/>
    <w:rsid w:val="00F75213"/>
    <w:rsid w:val="00F7582D"/>
    <w:rsid w:val="00F75BC3"/>
    <w:rsid w:val="00F75D3E"/>
    <w:rsid w:val="00F765D3"/>
    <w:rsid w:val="00F767A4"/>
    <w:rsid w:val="00F76953"/>
    <w:rsid w:val="00F76D7A"/>
    <w:rsid w:val="00F76E96"/>
    <w:rsid w:val="00F76FDE"/>
    <w:rsid w:val="00F770B5"/>
    <w:rsid w:val="00F77C41"/>
    <w:rsid w:val="00F806F9"/>
    <w:rsid w:val="00F80DAF"/>
    <w:rsid w:val="00F814DE"/>
    <w:rsid w:val="00F8224B"/>
    <w:rsid w:val="00F824DA"/>
    <w:rsid w:val="00F827B6"/>
    <w:rsid w:val="00F829D5"/>
    <w:rsid w:val="00F82AFD"/>
    <w:rsid w:val="00F82B3F"/>
    <w:rsid w:val="00F82C84"/>
    <w:rsid w:val="00F82DB2"/>
    <w:rsid w:val="00F833DC"/>
    <w:rsid w:val="00F835AE"/>
    <w:rsid w:val="00F836D2"/>
    <w:rsid w:val="00F8377A"/>
    <w:rsid w:val="00F83BBB"/>
    <w:rsid w:val="00F83F0C"/>
    <w:rsid w:val="00F840C0"/>
    <w:rsid w:val="00F84411"/>
    <w:rsid w:val="00F84919"/>
    <w:rsid w:val="00F84AB2"/>
    <w:rsid w:val="00F850BF"/>
    <w:rsid w:val="00F8513E"/>
    <w:rsid w:val="00F85153"/>
    <w:rsid w:val="00F85603"/>
    <w:rsid w:val="00F85D2D"/>
    <w:rsid w:val="00F86167"/>
    <w:rsid w:val="00F8629D"/>
    <w:rsid w:val="00F8689C"/>
    <w:rsid w:val="00F86D2A"/>
    <w:rsid w:val="00F86D36"/>
    <w:rsid w:val="00F86DD9"/>
    <w:rsid w:val="00F87352"/>
    <w:rsid w:val="00F8744D"/>
    <w:rsid w:val="00F87987"/>
    <w:rsid w:val="00F87BA9"/>
    <w:rsid w:val="00F87BB9"/>
    <w:rsid w:val="00F87BD2"/>
    <w:rsid w:val="00F87BDB"/>
    <w:rsid w:val="00F902D4"/>
    <w:rsid w:val="00F903E5"/>
    <w:rsid w:val="00F90DA6"/>
    <w:rsid w:val="00F90EBA"/>
    <w:rsid w:val="00F91601"/>
    <w:rsid w:val="00F91AE4"/>
    <w:rsid w:val="00F91BFB"/>
    <w:rsid w:val="00F92141"/>
    <w:rsid w:val="00F922CB"/>
    <w:rsid w:val="00F92372"/>
    <w:rsid w:val="00F92448"/>
    <w:rsid w:val="00F924ED"/>
    <w:rsid w:val="00F92794"/>
    <w:rsid w:val="00F92B7D"/>
    <w:rsid w:val="00F92BAE"/>
    <w:rsid w:val="00F92D7F"/>
    <w:rsid w:val="00F93040"/>
    <w:rsid w:val="00F93542"/>
    <w:rsid w:val="00F9358F"/>
    <w:rsid w:val="00F935D5"/>
    <w:rsid w:val="00F935D7"/>
    <w:rsid w:val="00F93936"/>
    <w:rsid w:val="00F93C48"/>
    <w:rsid w:val="00F94023"/>
    <w:rsid w:val="00F941CC"/>
    <w:rsid w:val="00F94200"/>
    <w:rsid w:val="00F94626"/>
    <w:rsid w:val="00F948EA"/>
    <w:rsid w:val="00F94EC4"/>
    <w:rsid w:val="00F95110"/>
    <w:rsid w:val="00F951FB"/>
    <w:rsid w:val="00F952CF"/>
    <w:rsid w:val="00F95311"/>
    <w:rsid w:val="00F95AA7"/>
    <w:rsid w:val="00F95FD7"/>
    <w:rsid w:val="00F9606C"/>
    <w:rsid w:val="00F9680C"/>
    <w:rsid w:val="00F96A42"/>
    <w:rsid w:val="00F96B28"/>
    <w:rsid w:val="00F96EE8"/>
    <w:rsid w:val="00F96F61"/>
    <w:rsid w:val="00F975B6"/>
    <w:rsid w:val="00F976A0"/>
    <w:rsid w:val="00F9772C"/>
    <w:rsid w:val="00FA08BE"/>
    <w:rsid w:val="00FA0C68"/>
    <w:rsid w:val="00FA10B2"/>
    <w:rsid w:val="00FA1953"/>
    <w:rsid w:val="00FA1A3C"/>
    <w:rsid w:val="00FA1EA6"/>
    <w:rsid w:val="00FA1EDD"/>
    <w:rsid w:val="00FA200B"/>
    <w:rsid w:val="00FA20B7"/>
    <w:rsid w:val="00FA20D0"/>
    <w:rsid w:val="00FA2CDD"/>
    <w:rsid w:val="00FA2F47"/>
    <w:rsid w:val="00FA322A"/>
    <w:rsid w:val="00FA336A"/>
    <w:rsid w:val="00FA3B19"/>
    <w:rsid w:val="00FA465A"/>
    <w:rsid w:val="00FA4ADB"/>
    <w:rsid w:val="00FA4B8D"/>
    <w:rsid w:val="00FA4E76"/>
    <w:rsid w:val="00FA5393"/>
    <w:rsid w:val="00FA58EA"/>
    <w:rsid w:val="00FA5ABE"/>
    <w:rsid w:val="00FA5ED3"/>
    <w:rsid w:val="00FA61EE"/>
    <w:rsid w:val="00FA6853"/>
    <w:rsid w:val="00FA690F"/>
    <w:rsid w:val="00FA6A9F"/>
    <w:rsid w:val="00FA6AFE"/>
    <w:rsid w:val="00FA6C7D"/>
    <w:rsid w:val="00FA7229"/>
    <w:rsid w:val="00FA7281"/>
    <w:rsid w:val="00FA76B1"/>
    <w:rsid w:val="00FA78ED"/>
    <w:rsid w:val="00FB002F"/>
    <w:rsid w:val="00FB01B4"/>
    <w:rsid w:val="00FB0600"/>
    <w:rsid w:val="00FB0B74"/>
    <w:rsid w:val="00FB0C6C"/>
    <w:rsid w:val="00FB0F98"/>
    <w:rsid w:val="00FB12E7"/>
    <w:rsid w:val="00FB1334"/>
    <w:rsid w:val="00FB1A58"/>
    <w:rsid w:val="00FB1C0F"/>
    <w:rsid w:val="00FB208B"/>
    <w:rsid w:val="00FB2281"/>
    <w:rsid w:val="00FB22BB"/>
    <w:rsid w:val="00FB295B"/>
    <w:rsid w:val="00FB2AA1"/>
    <w:rsid w:val="00FB2AD4"/>
    <w:rsid w:val="00FB2F97"/>
    <w:rsid w:val="00FB31F5"/>
    <w:rsid w:val="00FB334A"/>
    <w:rsid w:val="00FB378D"/>
    <w:rsid w:val="00FB392E"/>
    <w:rsid w:val="00FB3DE7"/>
    <w:rsid w:val="00FB3F1D"/>
    <w:rsid w:val="00FB3F25"/>
    <w:rsid w:val="00FB4184"/>
    <w:rsid w:val="00FB42AC"/>
    <w:rsid w:val="00FB43F4"/>
    <w:rsid w:val="00FB4461"/>
    <w:rsid w:val="00FB46D3"/>
    <w:rsid w:val="00FB4A20"/>
    <w:rsid w:val="00FB4E96"/>
    <w:rsid w:val="00FB4FAD"/>
    <w:rsid w:val="00FB5C0D"/>
    <w:rsid w:val="00FB60AD"/>
    <w:rsid w:val="00FB647E"/>
    <w:rsid w:val="00FB7347"/>
    <w:rsid w:val="00FB74AB"/>
    <w:rsid w:val="00FB76EB"/>
    <w:rsid w:val="00FB7B0D"/>
    <w:rsid w:val="00FB7B5D"/>
    <w:rsid w:val="00FC04BA"/>
    <w:rsid w:val="00FC0736"/>
    <w:rsid w:val="00FC0D69"/>
    <w:rsid w:val="00FC1571"/>
    <w:rsid w:val="00FC1856"/>
    <w:rsid w:val="00FC2040"/>
    <w:rsid w:val="00FC2E92"/>
    <w:rsid w:val="00FC3344"/>
    <w:rsid w:val="00FC34A0"/>
    <w:rsid w:val="00FC351E"/>
    <w:rsid w:val="00FC3665"/>
    <w:rsid w:val="00FC38EC"/>
    <w:rsid w:val="00FC3A0E"/>
    <w:rsid w:val="00FC433B"/>
    <w:rsid w:val="00FC467A"/>
    <w:rsid w:val="00FC49A9"/>
    <w:rsid w:val="00FC4B9E"/>
    <w:rsid w:val="00FC5232"/>
    <w:rsid w:val="00FC5791"/>
    <w:rsid w:val="00FC5AE8"/>
    <w:rsid w:val="00FC5DF7"/>
    <w:rsid w:val="00FC5F5D"/>
    <w:rsid w:val="00FC5F8A"/>
    <w:rsid w:val="00FC65A5"/>
    <w:rsid w:val="00FC65CF"/>
    <w:rsid w:val="00FC684B"/>
    <w:rsid w:val="00FC6D5F"/>
    <w:rsid w:val="00FC6E29"/>
    <w:rsid w:val="00FC6F3D"/>
    <w:rsid w:val="00FC7142"/>
    <w:rsid w:val="00FC766A"/>
    <w:rsid w:val="00FD093D"/>
    <w:rsid w:val="00FD0D02"/>
    <w:rsid w:val="00FD1566"/>
    <w:rsid w:val="00FD17E3"/>
    <w:rsid w:val="00FD1A45"/>
    <w:rsid w:val="00FD25B8"/>
    <w:rsid w:val="00FD2779"/>
    <w:rsid w:val="00FD2858"/>
    <w:rsid w:val="00FD2980"/>
    <w:rsid w:val="00FD2F76"/>
    <w:rsid w:val="00FD35E8"/>
    <w:rsid w:val="00FD3719"/>
    <w:rsid w:val="00FD3BCA"/>
    <w:rsid w:val="00FD3C12"/>
    <w:rsid w:val="00FD47E0"/>
    <w:rsid w:val="00FD4998"/>
    <w:rsid w:val="00FD4E5C"/>
    <w:rsid w:val="00FD4EF7"/>
    <w:rsid w:val="00FD4F12"/>
    <w:rsid w:val="00FD5062"/>
    <w:rsid w:val="00FD54CB"/>
    <w:rsid w:val="00FD555A"/>
    <w:rsid w:val="00FD5B98"/>
    <w:rsid w:val="00FD5DBD"/>
    <w:rsid w:val="00FD5EEC"/>
    <w:rsid w:val="00FD62AE"/>
    <w:rsid w:val="00FD65F7"/>
    <w:rsid w:val="00FD6C7A"/>
    <w:rsid w:val="00FD70DB"/>
    <w:rsid w:val="00FD76D4"/>
    <w:rsid w:val="00FD7858"/>
    <w:rsid w:val="00FD7A30"/>
    <w:rsid w:val="00FD7D60"/>
    <w:rsid w:val="00FE00C8"/>
    <w:rsid w:val="00FE0474"/>
    <w:rsid w:val="00FE053F"/>
    <w:rsid w:val="00FE0661"/>
    <w:rsid w:val="00FE0B0A"/>
    <w:rsid w:val="00FE1102"/>
    <w:rsid w:val="00FE1305"/>
    <w:rsid w:val="00FE1625"/>
    <w:rsid w:val="00FE1701"/>
    <w:rsid w:val="00FE1A2F"/>
    <w:rsid w:val="00FE1B60"/>
    <w:rsid w:val="00FE1DF7"/>
    <w:rsid w:val="00FE1E23"/>
    <w:rsid w:val="00FE1E3B"/>
    <w:rsid w:val="00FE2324"/>
    <w:rsid w:val="00FE2418"/>
    <w:rsid w:val="00FE2D4A"/>
    <w:rsid w:val="00FE3061"/>
    <w:rsid w:val="00FE3364"/>
    <w:rsid w:val="00FE3653"/>
    <w:rsid w:val="00FE3A07"/>
    <w:rsid w:val="00FE3E96"/>
    <w:rsid w:val="00FE4660"/>
    <w:rsid w:val="00FE46B0"/>
    <w:rsid w:val="00FE47A9"/>
    <w:rsid w:val="00FE4ABB"/>
    <w:rsid w:val="00FE4D2C"/>
    <w:rsid w:val="00FE5014"/>
    <w:rsid w:val="00FE509E"/>
    <w:rsid w:val="00FE55DE"/>
    <w:rsid w:val="00FE5769"/>
    <w:rsid w:val="00FE5B4C"/>
    <w:rsid w:val="00FE5BD3"/>
    <w:rsid w:val="00FE6107"/>
    <w:rsid w:val="00FE6353"/>
    <w:rsid w:val="00FE6443"/>
    <w:rsid w:val="00FE6A37"/>
    <w:rsid w:val="00FE6FA0"/>
    <w:rsid w:val="00FE78F9"/>
    <w:rsid w:val="00FE7D62"/>
    <w:rsid w:val="00FE7D7A"/>
    <w:rsid w:val="00FE7D8E"/>
    <w:rsid w:val="00FF015E"/>
    <w:rsid w:val="00FF03D7"/>
    <w:rsid w:val="00FF084E"/>
    <w:rsid w:val="00FF0A5F"/>
    <w:rsid w:val="00FF0E18"/>
    <w:rsid w:val="00FF16E9"/>
    <w:rsid w:val="00FF173E"/>
    <w:rsid w:val="00FF2152"/>
    <w:rsid w:val="00FF23EE"/>
    <w:rsid w:val="00FF26EF"/>
    <w:rsid w:val="00FF2726"/>
    <w:rsid w:val="00FF3C45"/>
    <w:rsid w:val="00FF3D17"/>
    <w:rsid w:val="00FF3EBB"/>
    <w:rsid w:val="00FF414E"/>
    <w:rsid w:val="00FF42C6"/>
    <w:rsid w:val="00FF43E3"/>
    <w:rsid w:val="00FF460C"/>
    <w:rsid w:val="00FF48B0"/>
    <w:rsid w:val="00FF4D1B"/>
    <w:rsid w:val="00FF5010"/>
    <w:rsid w:val="00FF50D6"/>
    <w:rsid w:val="00FF54A0"/>
    <w:rsid w:val="00FF55C2"/>
    <w:rsid w:val="00FF59AC"/>
    <w:rsid w:val="00FF5EF2"/>
    <w:rsid w:val="00FF6417"/>
    <w:rsid w:val="00FF6CF4"/>
    <w:rsid w:val="00FF6E32"/>
    <w:rsid w:val="00FF71DF"/>
    <w:rsid w:val="00FF71FE"/>
    <w:rsid w:val="00FF723D"/>
    <w:rsid w:val="00FF7686"/>
    <w:rsid w:val="00FF76B6"/>
    <w:rsid w:val="00FF76D2"/>
    <w:rsid w:val="00FF776E"/>
    <w:rsid w:val="010C10A4"/>
    <w:rsid w:val="010E9C25"/>
    <w:rsid w:val="01175BAC"/>
    <w:rsid w:val="01229480"/>
    <w:rsid w:val="01390CA8"/>
    <w:rsid w:val="014C4F54"/>
    <w:rsid w:val="0168B386"/>
    <w:rsid w:val="0173607F"/>
    <w:rsid w:val="017F1651"/>
    <w:rsid w:val="018BAAE2"/>
    <w:rsid w:val="018F9535"/>
    <w:rsid w:val="01956A40"/>
    <w:rsid w:val="01986181"/>
    <w:rsid w:val="019CEC0B"/>
    <w:rsid w:val="01D4F490"/>
    <w:rsid w:val="01E57A2A"/>
    <w:rsid w:val="01E59F6B"/>
    <w:rsid w:val="01EB1619"/>
    <w:rsid w:val="01FAED23"/>
    <w:rsid w:val="01FDB92C"/>
    <w:rsid w:val="020BE55E"/>
    <w:rsid w:val="02214CA2"/>
    <w:rsid w:val="0243906E"/>
    <w:rsid w:val="024752E3"/>
    <w:rsid w:val="0251B9C4"/>
    <w:rsid w:val="025F65F3"/>
    <w:rsid w:val="02639CAE"/>
    <w:rsid w:val="026497DD"/>
    <w:rsid w:val="026DB28C"/>
    <w:rsid w:val="02780AA5"/>
    <w:rsid w:val="0279DD5A"/>
    <w:rsid w:val="0287A366"/>
    <w:rsid w:val="029585C7"/>
    <w:rsid w:val="029B785E"/>
    <w:rsid w:val="02A15786"/>
    <w:rsid w:val="02ACFC3C"/>
    <w:rsid w:val="02AE892B"/>
    <w:rsid w:val="02CF1FBA"/>
    <w:rsid w:val="02D52C6A"/>
    <w:rsid w:val="02F9E006"/>
    <w:rsid w:val="03036CEF"/>
    <w:rsid w:val="03060206"/>
    <w:rsid w:val="035EC0E2"/>
    <w:rsid w:val="037053E1"/>
    <w:rsid w:val="039BD0BC"/>
    <w:rsid w:val="03AB4789"/>
    <w:rsid w:val="03C0678B"/>
    <w:rsid w:val="03CAF3DF"/>
    <w:rsid w:val="03CCE3CC"/>
    <w:rsid w:val="03E64A83"/>
    <w:rsid w:val="03E98E16"/>
    <w:rsid w:val="03EA3021"/>
    <w:rsid w:val="03ED8A25"/>
    <w:rsid w:val="040E0795"/>
    <w:rsid w:val="0416CF96"/>
    <w:rsid w:val="041DAD94"/>
    <w:rsid w:val="04291418"/>
    <w:rsid w:val="042B6030"/>
    <w:rsid w:val="042E7473"/>
    <w:rsid w:val="042F0F69"/>
    <w:rsid w:val="04363B98"/>
    <w:rsid w:val="04435B13"/>
    <w:rsid w:val="046ADCAE"/>
    <w:rsid w:val="04751BC1"/>
    <w:rsid w:val="04A0025F"/>
    <w:rsid w:val="04B7D987"/>
    <w:rsid w:val="04C129AB"/>
    <w:rsid w:val="04C40763"/>
    <w:rsid w:val="04D34AD3"/>
    <w:rsid w:val="04DED40E"/>
    <w:rsid w:val="04EDB41A"/>
    <w:rsid w:val="04F76130"/>
    <w:rsid w:val="04FE08E5"/>
    <w:rsid w:val="05182C63"/>
    <w:rsid w:val="05192985"/>
    <w:rsid w:val="0535545D"/>
    <w:rsid w:val="0538337A"/>
    <w:rsid w:val="0541AD7E"/>
    <w:rsid w:val="05453C4A"/>
    <w:rsid w:val="05495386"/>
    <w:rsid w:val="05515035"/>
    <w:rsid w:val="0573F328"/>
    <w:rsid w:val="05866A41"/>
    <w:rsid w:val="058D8BA6"/>
    <w:rsid w:val="059B2638"/>
    <w:rsid w:val="05A05DCD"/>
    <w:rsid w:val="05BCD8D9"/>
    <w:rsid w:val="05CCB03D"/>
    <w:rsid w:val="05DC5E8A"/>
    <w:rsid w:val="060437A1"/>
    <w:rsid w:val="0608BE2D"/>
    <w:rsid w:val="062420ED"/>
    <w:rsid w:val="0626A7B6"/>
    <w:rsid w:val="0629BF34"/>
    <w:rsid w:val="063660FC"/>
    <w:rsid w:val="06393B33"/>
    <w:rsid w:val="06396969"/>
    <w:rsid w:val="06416C4E"/>
    <w:rsid w:val="064A595E"/>
    <w:rsid w:val="064AE234"/>
    <w:rsid w:val="064C7D4D"/>
    <w:rsid w:val="066756E0"/>
    <w:rsid w:val="067A7FCD"/>
    <w:rsid w:val="067D6C93"/>
    <w:rsid w:val="069AC2B5"/>
    <w:rsid w:val="069C6D3F"/>
    <w:rsid w:val="06A72DDB"/>
    <w:rsid w:val="06A7DE7E"/>
    <w:rsid w:val="06B7071F"/>
    <w:rsid w:val="06C13FCF"/>
    <w:rsid w:val="06C40612"/>
    <w:rsid w:val="06C60982"/>
    <w:rsid w:val="06C7F83D"/>
    <w:rsid w:val="06E25D5F"/>
    <w:rsid w:val="06ED1B27"/>
    <w:rsid w:val="070B8215"/>
    <w:rsid w:val="07151D84"/>
    <w:rsid w:val="0716AC9D"/>
    <w:rsid w:val="071B64DB"/>
    <w:rsid w:val="0747526A"/>
    <w:rsid w:val="074D8CA3"/>
    <w:rsid w:val="07554E56"/>
    <w:rsid w:val="075B3412"/>
    <w:rsid w:val="075F478E"/>
    <w:rsid w:val="07674502"/>
    <w:rsid w:val="07847B4F"/>
    <w:rsid w:val="078E803F"/>
    <w:rsid w:val="07A3B173"/>
    <w:rsid w:val="07A3E9B7"/>
    <w:rsid w:val="07BA03FF"/>
    <w:rsid w:val="07C5F449"/>
    <w:rsid w:val="07D539CA"/>
    <w:rsid w:val="07E1C2EB"/>
    <w:rsid w:val="07F3BC07"/>
    <w:rsid w:val="08459C33"/>
    <w:rsid w:val="08472FB8"/>
    <w:rsid w:val="0856C0B0"/>
    <w:rsid w:val="085A57F4"/>
    <w:rsid w:val="0872F172"/>
    <w:rsid w:val="0879A9EC"/>
    <w:rsid w:val="0887815C"/>
    <w:rsid w:val="08932787"/>
    <w:rsid w:val="08A59E8E"/>
    <w:rsid w:val="08A60C4E"/>
    <w:rsid w:val="08AE72B0"/>
    <w:rsid w:val="08C3AD3D"/>
    <w:rsid w:val="08C66513"/>
    <w:rsid w:val="08CFDD3E"/>
    <w:rsid w:val="08D00EB8"/>
    <w:rsid w:val="08E78A29"/>
    <w:rsid w:val="08F29D4B"/>
    <w:rsid w:val="090085AD"/>
    <w:rsid w:val="091320AE"/>
    <w:rsid w:val="092AE2D5"/>
    <w:rsid w:val="092F02F9"/>
    <w:rsid w:val="0952731A"/>
    <w:rsid w:val="09539966"/>
    <w:rsid w:val="0957F496"/>
    <w:rsid w:val="0958BD03"/>
    <w:rsid w:val="095E4878"/>
    <w:rsid w:val="095E669A"/>
    <w:rsid w:val="09653E0D"/>
    <w:rsid w:val="097078EE"/>
    <w:rsid w:val="097ED473"/>
    <w:rsid w:val="098676C4"/>
    <w:rsid w:val="098C5B25"/>
    <w:rsid w:val="09AD4348"/>
    <w:rsid w:val="09B32DF0"/>
    <w:rsid w:val="09BC1EB5"/>
    <w:rsid w:val="09D1E692"/>
    <w:rsid w:val="09DF5ADD"/>
    <w:rsid w:val="09E27E77"/>
    <w:rsid w:val="09FDBEA1"/>
    <w:rsid w:val="0A0B5850"/>
    <w:rsid w:val="0A157779"/>
    <w:rsid w:val="0A214C9D"/>
    <w:rsid w:val="0A2FE409"/>
    <w:rsid w:val="0A3AB0EC"/>
    <w:rsid w:val="0A3C926E"/>
    <w:rsid w:val="0A4C018F"/>
    <w:rsid w:val="0A59A932"/>
    <w:rsid w:val="0A6A77D8"/>
    <w:rsid w:val="0A6AFBF3"/>
    <w:rsid w:val="0A6FB162"/>
    <w:rsid w:val="0A848D57"/>
    <w:rsid w:val="0AB0A3D6"/>
    <w:rsid w:val="0AC6574C"/>
    <w:rsid w:val="0ACBA5E2"/>
    <w:rsid w:val="0AD3142B"/>
    <w:rsid w:val="0AEDE096"/>
    <w:rsid w:val="0AEE437B"/>
    <w:rsid w:val="0B0F32D1"/>
    <w:rsid w:val="0B349CC8"/>
    <w:rsid w:val="0B50C4B9"/>
    <w:rsid w:val="0B56F985"/>
    <w:rsid w:val="0B7235DF"/>
    <w:rsid w:val="0BB489DD"/>
    <w:rsid w:val="0BD32F40"/>
    <w:rsid w:val="0BF792F0"/>
    <w:rsid w:val="0BFF1AD4"/>
    <w:rsid w:val="0C03C1F6"/>
    <w:rsid w:val="0C07737C"/>
    <w:rsid w:val="0C2078DF"/>
    <w:rsid w:val="0C3FA2C5"/>
    <w:rsid w:val="0C4B7ED3"/>
    <w:rsid w:val="0C77EBE9"/>
    <w:rsid w:val="0C8217BA"/>
    <w:rsid w:val="0C8AC992"/>
    <w:rsid w:val="0C8E5C74"/>
    <w:rsid w:val="0CAE5503"/>
    <w:rsid w:val="0CB0EBD8"/>
    <w:rsid w:val="0CB1FE40"/>
    <w:rsid w:val="0CB52823"/>
    <w:rsid w:val="0CBC2E5E"/>
    <w:rsid w:val="0CC7D559"/>
    <w:rsid w:val="0CC992E8"/>
    <w:rsid w:val="0CCC4A9F"/>
    <w:rsid w:val="0CD371A2"/>
    <w:rsid w:val="0CDDF355"/>
    <w:rsid w:val="0CE6176D"/>
    <w:rsid w:val="0D1A1F39"/>
    <w:rsid w:val="0D21D657"/>
    <w:rsid w:val="0D246CD2"/>
    <w:rsid w:val="0D3B72C4"/>
    <w:rsid w:val="0D3D9854"/>
    <w:rsid w:val="0D595445"/>
    <w:rsid w:val="0D740CC4"/>
    <w:rsid w:val="0D959B1A"/>
    <w:rsid w:val="0D9E83AF"/>
    <w:rsid w:val="0DA37790"/>
    <w:rsid w:val="0DAEC261"/>
    <w:rsid w:val="0DBB47CE"/>
    <w:rsid w:val="0DBF5BD5"/>
    <w:rsid w:val="0DC05B5B"/>
    <w:rsid w:val="0DC18FC3"/>
    <w:rsid w:val="0DD56BE9"/>
    <w:rsid w:val="0DE124E6"/>
    <w:rsid w:val="0DE28EC3"/>
    <w:rsid w:val="0DE30235"/>
    <w:rsid w:val="0DED4584"/>
    <w:rsid w:val="0E01D34A"/>
    <w:rsid w:val="0E16574D"/>
    <w:rsid w:val="0E1B692B"/>
    <w:rsid w:val="0E32C768"/>
    <w:rsid w:val="0E35FBB7"/>
    <w:rsid w:val="0E3AB410"/>
    <w:rsid w:val="0E3D1010"/>
    <w:rsid w:val="0E51AA2B"/>
    <w:rsid w:val="0E54A9BF"/>
    <w:rsid w:val="0E6BB2F7"/>
    <w:rsid w:val="0E71BF2B"/>
    <w:rsid w:val="0E7B0E9A"/>
    <w:rsid w:val="0E821279"/>
    <w:rsid w:val="0E8BF05D"/>
    <w:rsid w:val="0E9B8A02"/>
    <w:rsid w:val="0EAA8A9D"/>
    <w:rsid w:val="0EADF720"/>
    <w:rsid w:val="0EB5EF9A"/>
    <w:rsid w:val="0EBC455B"/>
    <w:rsid w:val="0EBD7F2B"/>
    <w:rsid w:val="0ED73BC2"/>
    <w:rsid w:val="0F135B1F"/>
    <w:rsid w:val="0F2023E7"/>
    <w:rsid w:val="0F284FE5"/>
    <w:rsid w:val="0F2C4E33"/>
    <w:rsid w:val="0F47EEB6"/>
    <w:rsid w:val="0F49C284"/>
    <w:rsid w:val="0F6FC731"/>
    <w:rsid w:val="0F811C50"/>
    <w:rsid w:val="0F82451B"/>
    <w:rsid w:val="0F8C66DD"/>
    <w:rsid w:val="0FAD9AE3"/>
    <w:rsid w:val="0FBB9D34"/>
    <w:rsid w:val="0FC6E03A"/>
    <w:rsid w:val="0FD1CC18"/>
    <w:rsid w:val="0FE866A9"/>
    <w:rsid w:val="0FF9007E"/>
    <w:rsid w:val="0FFD9238"/>
    <w:rsid w:val="10106EA3"/>
    <w:rsid w:val="101CDE20"/>
    <w:rsid w:val="10221894"/>
    <w:rsid w:val="103D52A6"/>
    <w:rsid w:val="1045AA3F"/>
    <w:rsid w:val="1051BFFB"/>
    <w:rsid w:val="1054232E"/>
    <w:rsid w:val="107D426F"/>
    <w:rsid w:val="10863FF2"/>
    <w:rsid w:val="108F2997"/>
    <w:rsid w:val="10D4C9BC"/>
    <w:rsid w:val="10E61CF2"/>
    <w:rsid w:val="10F6A8F0"/>
    <w:rsid w:val="1102AEE8"/>
    <w:rsid w:val="1109E338"/>
    <w:rsid w:val="11386CAB"/>
    <w:rsid w:val="113ABD92"/>
    <w:rsid w:val="11494CF2"/>
    <w:rsid w:val="11573F7C"/>
    <w:rsid w:val="115BCE7C"/>
    <w:rsid w:val="1160CFDA"/>
    <w:rsid w:val="1166A0C3"/>
    <w:rsid w:val="116FA56E"/>
    <w:rsid w:val="1179762F"/>
    <w:rsid w:val="1181AE73"/>
    <w:rsid w:val="1189E658"/>
    <w:rsid w:val="11992681"/>
    <w:rsid w:val="11A28A6B"/>
    <w:rsid w:val="11A506CB"/>
    <w:rsid w:val="11D78D53"/>
    <w:rsid w:val="120EB370"/>
    <w:rsid w:val="122C8075"/>
    <w:rsid w:val="123E38F1"/>
    <w:rsid w:val="125DF125"/>
    <w:rsid w:val="1265E8E8"/>
    <w:rsid w:val="1266601D"/>
    <w:rsid w:val="127BB172"/>
    <w:rsid w:val="129DFEBC"/>
    <w:rsid w:val="129F37AE"/>
    <w:rsid w:val="12AD5823"/>
    <w:rsid w:val="12B03F09"/>
    <w:rsid w:val="12B09DB6"/>
    <w:rsid w:val="12B3C7D5"/>
    <w:rsid w:val="12B6EE70"/>
    <w:rsid w:val="13017654"/>
    <w:rsid w:val="1316AF52"/>
    <w:rsid w:val="131CC02B"/>
    <w:rsid w:val="13260692"/>
    <w:rsid w:val="13319EF4"/>
    <w:rsid w:val="13388551"/>
    <w:rsid w:val="133E3A8A"/>
    <w:rsid w:val="1342EEC6"/>
    <w:rsid w:val="134B298A"/>
    <w:rsid w:val="1360BD8A"/>
    <w:rsid w:val="1369DFD6"/>
    <w:rsid w:val="136E7E9A"/>
    <w:rsid w:val="13712C59"/>
    <w:rsid w:val="13761C04"/>
    <w:rsid w:val="137B5750"/>
    <w:rsid w:val="137C5A19"/>
    <w:rsid w:val="138288DA"/>
    <w:rsid w:val="139445E4"/>
    <w:rsid w:val="139AE31B"/>
    <w:rsid w:val="13C0EC94"/>
    <w:rsid w:val="13C2EE01"/>
    <w:rsid w:val="13D05CE0"/>
    <w:rsid w:val="13DF023E"/>
    <w:rsid w:val="13F89912"/>
    <w:rsid w:val="13FBC108"/>
    <w:rsid w:val="13FC88A5"/>
    <w:rsid w:val="1421274D"/>
    <w:rsid w:val="142251BC"/>
    <w:rsid w:val="142F1539"/>
    <w:rsid w:val="14395290"/>
    <w:rsid w:val="14408A77"/>
    <w:rsid w:val="14481E92"/>
    <w:rsid w:val="144965ED"/>
    <w:rsid w:val="1464C6FC"/>
    <w:rsid w:val="1464E755"/>
    <w:rsid w:val="147EF454"/>
    <w:rsid w:val="14932937"/>
    <w:rsid w:val="14A0FB1F"/>
    <w:rsid w:val="14C4D7C4"/>
    <w:rsid w:val="14D77A2F"/>
    <w:rsid w:val="150F3088"/>
    <w:rsid w:val="151978AF"/>
    <w:rsid w:val="151CC5A4"/>
    <w:rsid w:val="1525311E"/>
    <w:rsid w:val="153106FA"/>
    <w:rsid w:val="1540E025"/>
    <w:rsid w:val="15514B0A"/>
    <w:rsid w:val="15543459"/>
    <w:rsid w:val="1561F365"/>
    <w:rsid w:val="15664F1F"/>
    <w:rsid w:val="1574496F"/>
    <w:rsid w:val="1580F83A"/>
    <w:rsid w:val="1599002E"/>
    <w:rsid w:val="159E00DF"/>
    <w:rsid w:val="15ADD62E"/>
    <w:rsid w:val="15B4C5C3"/>
    <w:rsid w:val="15C4C79C"/>
    <w:rsid w:val="15F918B1"/>
    <w:rsid w:val="16011BE7"/>
    <w:rsid w:val="1615C6D2"/>
    <w:rsid w:val="162835F2"/>
    <w:rsid w:val="163CCB80"/>
    <w:rsid w:val="16410D9C"/>
    <w:rsid w:val="16531D33"/>
    <w:rsid w:val="165EDFAE"/>
    <w:rsid w:val="165F7FE4"/>
    <w:rsid w:val="166D9D1B"/>
    <w:rsid w:val="168632B7"/>
    <w:rsid w:val="169C7284"/>
    <w:rsid w:val="16A8CD1B"/>
    <w:rsid w:val="16B4C2DA"/>
    <w:rsid w:val="16BCD60C"/>
    <w:rsid w:val="16BDB194"/>
    <w:rsid w:val="16FF41E8"/>
    <w:rsid w:val="17043270"/>
    <w:rsid w:val="17099E05"/>
    <w:rsid w:val="17123093"/>
    <w:rsid w:val="17137E3E"/>
    <w:rsid w:val="173C54A1"/>
    <w:rsid w:val="174CFDDA"/>
    <w:rsid w:val="1765C04F"/>
    <w:rsid w:val="1774D561"/>
    <w:rsid w:val="17836B63"/>
    <w:rsid w:val="178AD595"/>
    <w:rsid w:val="178DF699"/>
    <w:rsid w:val="179BA633"/>
    <w:rsid w:val="17A65F93"/>
    <w:rsid w:val="17B8ACC8"/>
    <w:rsid w:val="17C48F42"/>
    <w:rsid w:val="17C8897A"/>
    <w:rsid w:val="17C93ED5"/>
    <w:rsid w:val="17CAC9F9"/>
    <w:rsid w:val="17CFF398"/>
    <w:rsid w:val="17D5E247"/>
    <w:rsid w:val="17DA4B2C"/>
    <w:rsid w:val="17F2A533"/>
    <w:rsid w:val="17FB4E40"/>
    <w:rsid w:val="18310566"/>
    <w:rsid w:val="1857B59B"/>
    <w:rsid w:val="18628931"/>
    <w:rsid w:val="18651588"/>
    <w:rsid w:val="187DDEA2"/>
    <w:rsid w:val="18962C17"/>
    <w:rsid w:val="18AB0B24"/>
    <w:rsid w:val="18AF4E9F"/>
    <w:rsid w:val="18D3DD8A"/>
    <w:rsid w:val="18DC205C"/>
    <w:rsid w:val="18E4C9A9"/>
    <w:rsid w:val="18EE6A6D"/>
    <w:rsid w:val="18F49CD0"/>
    <w:rsid w:val="18F81292"/>
    <w:rsid w:val="18FC4103"/>
    <w:rsid w:val="19072D9C"/>
    <w:rsid w:val="190FB204"/>
    <w:rsid w:val="1917ED16"/>
    <w:rsid w:val="191A5E39"/>
    <w:rsid w:val="192CFD9D"/>
    <w:rsid w:val="19556B2A"/>
    <w:rsid w:val="19582469"/>
    <w:rsid w:val="1963A761"/>
    <w:rsid w:val="196AD173"/>
    <w:rsid w:val="196D25E4"/>
    <w:rsid w:val="196D4D43"/>
    <w:rsid w:val="1970A39E"/>
    <w:rsid w:val="1972F38A"/>
    <w:rsid w:val="198196E4"/>
    <w:rsid w:val="199B275C"/>
    <w:rsid w:val="19A16FFC"/>
    <w:rsid w:val="19A51752"/>
    <w:rsid w:val="19C5CABA"/>
    <w:rsid w:val="19C92F12"/>
    <w:rsid w:val="19D55607"/>
    <w:rsid w:val="19DEEB61"/>
    <w:rsid w:val="19E08F2E"/>
    <w:rsid w:val="19E537FB"/>
    <w:rsid w:val="19EB3EAD"/>
    <w:rsid w:val="19EF6255"/>
    <w:rsid w:val="19FAFC5B"/>
    <w:rsid w:val="1A050F7C"/>
    <w:rsid w:val="1A22E060"/>
    <w:rsid w:val="1A431990"/>
    <w:rsid w:val="1A456E68"/>
    <w:rsid w:val="1A46078E"/>
    <w:rsid w:val="1A574873"/>
    <w:rsid w:val="1A743F93"/>
    <w:rsid w:val="1A89ADB8"/>
    <w:rsid w:val="1A8C9F93"/>
    <w:rsid w:val="1AA339E0"/>
    <w:rsid w:val="1ADE7785"/>
    <w:rsid w:val="1AEAB25A"/>
    <w:rsid w:val="1B0B476D"/>
    <w:rsid w:val="1B0D8309"/>
    <w:rsid w:val="1B18060D"/>
    <w:rsid w:val="1B1AD694"/>
    <w:rsid w:val="1B2EF7DC"/>
    <w:rsid w:val="1B4350B1"/>
    <w:rsid w:val="1B446D4D"/>
    <w:rsid w:val="1B447587"/>
    <w:rsid w:val="1B54DF1C"/>
    <w:rsid w:val="1B6009B1"/>
    <w:rsid w:val="1B71ACCB"/>
    <w:rsid w:val="1B7D4DBA"/>
    <w:rsid w:val="1BD093D6"/>
    <w:rsid w:val="1BE64B86"/>
    <w:rsid w:val="1BE6EF61"/>
    <w:rsid w:val="1BEAB322"/>
    <w:rsid w:val="1BF0A631"/>
    <w:rsid w:val="1C1E137B"/>
    <w:rsid w:val="1C23B7E6"/>
    <w:rsid w:val="1C4B6F50"/>
    <w:rsid w:val="1C4B901B"/>
    <w:rsid w:val="1C5DC61E"/>
    <w:rsid w:val="1C965BB0"/>
    <w:rsid w:val="1CAC867F"/>
    <w:rsid w:val="1CBDE91E"/>
    <w:rsid w:val="1CC1ED0C"/>
    <w:rsid w:val="1CE594D4"/>
    <w:rsid w:val="1D03D2E7"/>
    <w:rsid w:val="1D07F743"/>
    <w:rsid w:val="1D0A1F7C"/>
    <w:rsid w:val="1D0C54B8"/>
    <w:rsid w:val="1D2AD896"/>
    <w:rsid w:val="1D35B861"/>
    <w:rsid w:val="1D36B265"/>
    <w:rsid w:val="1D39ACCD"/>
    <w:rsid w:val="1D41EEAE"/>
    <w:rsid w:val="1D794B50"/>
    <w:rsid w:val="1D7E6BC8"/>
    <w:rsid w:val="1D807BAE"/>
    <w:rsid w:val="1D80F4D3"/>
    <w:rsid w:val="1D8FD4E0"/>
    <w:rsid w:val="1D985F8F"/>
    <w:rsid w:val="1D9C0753"/>
    <w:rsid w:val="1DA15ED5"/>
    <w:rsid w:val="1DA5B7E5"/>
    <w:rsid w:val="1DCA2E7D"/>
    <w:rsid w:val="1DD72B69"/>
    <w:rsid w:val="1DE66FED"/>
    <w:rsid w:val="1DF497D6"/>
    <w:rsid w:val="1E029751"/>
    <w:rsid w:val="1E14D4D0"/>
    <w:rsid w:val="1E3389B9"/>
    <w:rsid w:val="1E465883"/>
    <w:rsid w:val="1E48BB33"/>
    <w:rsid w:val="1E589194"/>
    <w:rsid w:val="1E5E6D77"/>
    <w:rsid w:val="1E5F5A0B"/>
    <w:rsid w:val="1E628C9E"/>
    <w:rsid w:val="1E681F01"/>
    <w:rsid w:val="1E6E952F"/>
    <w:rsid w:val="1E71005A"/>
    <w:rsid w:val="1E799036"/>
    <w:rsid w:val="1E82A4C8"/>
    <w:rsid w:val="1E8C7FDE"/>
    <w:rsid w:val="1EA5A83B"/>
    <w:rsid w:val="1EA61199"/>
    <w:rsid w:val="1EAFBDC8"/>
    <w:rsid w:val="1EB1BB67"/>
    <w:rsid w:val="1EB6E16A"/>
    <w:rsid w:val="1EE31D95"/>
    <w:rsid w:val="1EF171AF"/>
    <w:rsid w:val="1EF2CFE4"/>
    <w:rsid w:val="1F20EEA0"/>
    <w:rsid w:val="1F2DA261"/>
    <w:rsid w:val="1F37D7B4"/>
    <w:rsid w:val="1F39F929"/>
    <w:rsid w:val="1F406792"/>
    <w:rsid w:val="1F43F83E"/>
    <w:rsid w:val="1F453099"/>
    <w:rsid w:val="1F564DD6"/>
    <w:rsid w:val="1F597015"/>
    <w:rsid w:val="1F5A5B91"/>
    <w:rsid w:val="1F5CF26A"/>
    <w:rsid w:val="1F6F6353"/>
    <w:rsid w:val="1F751D54"/>
    <w:rsid w:val="1F75572D"/>
    <w:rsid w:val="1F784CF8"/>
    <w:rsid w:val="1F9BA2A8"/>
    <w:rsid w:val="1F9D37D0"/>
    <w:rsid w:val="1FBC3680"/>
    <w:rsid w:val="1FC23F69"/>
    <w:rsid w:val="1FC9FED7"/>
    <w:rsid w:val="1FCF9419"/>
    <w:rsid w:val="1FD2CD5B"/>
    <w:rsid w:val="1FDEB890"/>
    <w:rsid w:val="1FEE1994"/>
    <w:rsid w:val="1FF17A31"/>
    <w:rsid w:val="1FF21666"/>
    <w:rsid w:val="2003EF62"/>
    <w:rsid w:val="201A3CE7"/>
    <w:rsid w:val="2025ADB2"/>
    <w:rsid w:val="202B54E6"/>
    <w:rsid w:val="2034CFE1"/>
    <w:rsid w:val="20425D80"/>
    <w:rsid w:val="204581C5"/>
    <w:rsid w:val="204DB051"/>
    <w:rsid w:val="205014D8"/>
    <w:rsid w:val="2052DE05"/>
    <w:rsid w:val="2065F6D2"/>
    <w:rsid w:val="20716FCE"/>
    <w:rsid w:val="207A5B48"/>
    <w:rsid w:val="2099CF34"/>
    <w:rsid w:val="20B0EF4C"/>
    <w:rsid w:val="20B23641"/>
    <w:rsid w:val="20CDEC30"/>
    <w:rsid w:val="20DA7A94"/>
    <w:rsid w:val="20E0ED55"/>
    <w:rsid w:val="20EEA2D5"/>
    <w:rsid w:val="2101198F"/>
    <w:rsid w:val="210A433C"/>
    <w:rsid w:val="211DE982"/>
    <w:rsid w:val="212C3898"/>
    <w:rsid w:val="212D6991"/>
    <w:rsid w:val="2134EE27"/>
    <w:rsid w:val="213901CD"/>
    <w:rsid w:val="21421A4E"/>
    <w:rsid w:val="2147EA5A"/>
    <w:rsid w:val="214CCB94"/>
    <w:rsid w:val="215080C7"/>
    <w:rsid w:val="2155252F"/>
    <w:rsid w:val="21761C0A"/>
    <w:rsid w:val="2178BEC3"/>
    <w:rsid w:val="217C4BEC"/>
    <w:rsid w:val="218D3E50"/>
    <w:rsid w:val="21967CEC"/>
    <w:rsid w:val="21A0C53C"/>
    <w:rsid w:val="21AE4F60"/>
    <w:rsid w:val="21C475B0"/>
    <w:rsid w:val="21CB7252"/>
    <w:rsid w:val="21E6A1DC"/>
    <w:rsid w:val="21EB50A3"/>
    <w:rsid w:val="21F35CBB"/>
    <w:rsid w:val="21FE50D1"/>
    <w:rsid w:val="22029303"/>
    <w:rsid w:val="2220C46D"/>
    <w:rsid w:val="222335C3"/>
    <w:rsid w:val="224AFE3F"/>
    <w:rsid w:val="224DDF01"/>
    <w:rsid w:val="225630E5"/>
    <w:rsid w:val="2261D8C5"/>
    <w:rsid w:val="2276DC0E"/>
    <w:rsid w:val="2283FD54"/>
    <w:rsid w:val="22A9F861"/>
    <w:rsid w:val="22AF9F57"/>
    <w:rsid w:val="22C7D14D"/>
    <w:rsid w:val="22DBC674"/>
    <w:rsid w:val="22E997FB"/>
    <w:rsid w:val="22EF354A"/>
    <w:rsid w:val="22F22B14"/>
    <w:rsid w:val="23183FED"/>
    <w:rsid w:val="232D0D87"/>
    <w:rsid w:val="23454867"/>
    <w:rsid w:val="23503B43"/>
    <w:rsid w:val="235A8FE7"/>
    <w:rsid w:val="23749621"/>
    <w:rsid w:val="2377C1DD"/>
    <w:rsid w:val="23786FCB"/>
    <w:rsid w:val="237B81D1"/>
    <w:rsid w:val="237CAD21"/>
    <w:rsid w:val="2384DD18"/>
    <w:rsid w:val="2388B644"/>
    <w:rsid w:val="2389A7DE"/>
    <w:rsid w:val="23A2B35A"/>
    <w:rsid w:val="23A5AB75"/>
    <w:rsid w:val="23DF83AA"/>
    <w:rsid w:val="23F20146"/>
    <w:rsid w:val="23F5967D"/>
    <w:rsid w:val="23FF7A26"/>
    <w:rsid w:val="2405A69D"/>
    <w:rsid w:val="240B48D7"/>
    <w:rsid w:val="24167519"/>
    <w:rsid w:val="242093F7"/>
    <w:rsid w:val="242492A7"/>
    <w:rsid w:val="244B390D"/>
    <w:rsid w:val="245E53F5"/>
    <w:rsid w:val="2462EE4E"/>
    <w:rsid w:val="2462FB5A"/>
    <w:rsid w:val="2487C5F9"/>
    <w:rsid w:val="24A092D0"/>
    <w:rsid w:val="24B3F5F1"/>
    <w:rsid w:val="24D1BDEF"/>
    <w:rsid w:val="24F9C2D3"/>
    <w:rsid w:val="24FBC162"/>
    <w:rsid w:val="2517316F"/>
    <w:rsid w:val="253704EE"/>
    <w:rsid w:val="25372E4D"/>
    <w:rsid w:val="254B6AB7"/>
    <w:rsid w:val="256224A7"/>
    <w:rsid w:val="256C6885"/>
    <w:rsid w:val="2576A817"/>
    <w:rsid w:val="257CF3D7"/>
    <w:rsid w:val="257EC3D3"/>
    <w:rsid w:val="2585E5B9"/>
    <w:rsid w:val="2596BEA4"/>
    <w:rsid w:val="25A71938"/>
    <w:rsid w:val="25D31B78"/>
    <w:rsid w:val="25E31B82"/>
    <w:rsid w:val="25EE4EBB"/>
    <w:rsid w:val="2606074F"/>
    <w:rsid w:val="2609AC79"/>
    <w:rsid w:val="260A984B"/>
    <w:rsid w:val="2615EA0F"/>
    <w:rsid w:val="2623650A"/>
    <w:rsid w:val="26431A62"/>
    <w:rsid w:val="264371BA"/>
    <w:rsid w:val="264D0AE8"/>
    <w:rsid w:val="2655FEA2"/>
    <w:rsid w:val="265E7975"/>
    <w:rsid w:val="268F872D"/>
    <w:rsid w:val="2697E963"/>
    <w:rsid w:val="26A96FF6"/>
    <w:rsid w:val="26B0659F"/>
    <w:rsid w:val="26D0EC5F"/>
    <w:rsid w:val="26D17752"/>
    <w:rsid w:val="26D98271"/>
    <w:rsid w:val="27089C0A"/>
    <w:rsid w:val="27371AE8"/>
    <w:rsid w:val="275C11F6"/>
    <w:rsid w:val="27668885"/>
    <w:rsid w:val="276D9EF0"/>
    <w:rsid w:val="277B5AC4"/>
    <w:rsid w:val="277D44B5"/>
    <w:rsid w:val="27833B1A"/>
    <w:rsid w:val="278B9C71"/>
    <w:rsid w:val="27945EA9"/>
    <w:rsid w:val="27A3DE4F"/>
    <w:rsid w:val="27AE92A0"/>
    <w:rsid w:val="27CC1209"/>
    <w:rsid w:val="27EA28A6"/>
    <w:rsid w:val="27ED62B8"/>
    <w:rsid w:val="27EEA1AE"/>
    <w:rsid w:val="27F4FEEE"/>
    <w:rsid w:val="27FE7C5E"/>
    <w:rsid w:val="28106671"/>
    <w:rsid w:val="2811F257"/>
    <w:rsid w:val="282710C1"/>
    <w:rsid w:val="28281BE9"/>
    <w:rsid w:val="2836AC8C"/>
    <w:rsid w:val="283B87B9"/>
    <w:rsid w:val="2869E31C"/>
    <w:rsid w:val="286AA3CF"/>
    <w:rsid w:val="286E272C"/>
    <w:rsid w:val="28892D36"/>
    <w:rsid w:val="2892DD02"/>
    <w:rsid w:val="289869F6"/>
    <w:rsid w:val="28C57269"/>
    <w:rsid w:val="28C6A0A7"/>
    <w:rsid w:val="28D72CCE"/>
    <w:rsid w:val="28E18A9C"/>
    <w:rsid w:val="28F15BE2"/>
    <w:rsid w:val="28F556F6"/>
    <w:rsid w:val="293A3889"/>
    <w:rsid w:val="293D94EC"/>
    <w:rsid w:val="293F958A"/>
    <w:rsid w:val="29619FC0"/>
    <w:rsid w:val="2981192D"/>
    <w:rsid w:val="298B4ABC"/>
    <w:rsid w:val="299209BE"/>
    <w:rsid w:val="2993A3EB"/>
    <w:rsid w:val="299F82AF"/>
    <w:rsid w:val="29A59859"/>
    <w:rsid w:val="29AAB906"/>
    <w:rsid w:val="29AAD1A8"/>
    <w:rsid w:val="29AEB515"/>
    <w:rsid w:val="29B971CA"/>
    <w:rsid w:val="29D3C6E6"/>
    <w:rsid w:val="29D8E49E"/>
    <w:rsid w:val="29EF9F20"/>
    <w:rsid w:val="29FE3214"/>
    <w:rsid w:val="2A0A0243"/>
    <w:rsid w:val="2A224071"/>
    <w:rsid w:val="2A46C96E"/>
    <w:rsid w:val="2A4D8228"/>
    <w:rsid w:val="2A5BFA78"/>
    <w:rsid w:val="2A64E41D"/>
    <w:rsid w:val="2A75114A"/>
    <w:rsid w:val="2A7B9965"/>
    <w:rsid w:val="2A81D643"/>
    <w:rsid w:val="2A8DCF15"/>
    <w:rsid w:val="2AAFC90C"/>
    <w:rsid w:val="2AD2F657"/>
    <w:rsid w:val="2AEA549A"/>
    <w:rsid w:val="2B27E749"/>
    <w:rsid w:val="2B31C17A"/>
    <w:rsid w:val="2B3C561D"/>
    <w:rsid w:val="2B3F97BA"/>
    <w:rsid w:val="2B58C8B2"/>
    <w:rsid w:val="2B6E5738"/>
    <w:rsid w:val="2B78F546"/>
    <w:rsid w:val="2B9813E5"/>
    <w:rsid w:val="2BA183DE"/>
    <w:rsid w:val="2BA39126"/>
    <w:rsid w:val="2BA4B425"/>
    <w:rsid w:val="2BAD209D"/>
    <w:rsid w:val="2BB25B5D"/>
    <w:rsid w:val="2BCC8422"/>
    <w:rsid w:val="2BD908E6"/>
    <w:rsid w:val="2BDB19B2"/>
    <w:rsid w:val="2BDE9FD8"/>
    <w:rsid w:val="2BE10BEA"/>
    <w:rsid w:val="2BEE1D4F"/>
    <w:rsid w:val="2BEFCA68"/>
    <w:rsid w:val="2BF3ACF5"/>
    <w:rsid w:val="2C28B29C"/>
    <w:rsid w:val="2C4A4EE2"/>
    <w:rsid w:val="2C6C84F9"/>
    <w:rsid w:val="2C7C5D04"/>
    <w:rsid w:val="2C89F149"/>
    <w:rsid w:val="2CB0EF77"/>
    <w:rsid w:val="2CBB4854"/>
    <w:rsid w:val="2CC00516"/>
    <w:rsid w:val="2CC1CB3B"/>
    <w:rsid w:val="2CCD655E"/>
    <w:rsid w:val="2CDB681B"/>
    <w:rsid w:val="2CE2726A"/>
    <w:rsid w:val="2CFE00C3"/>
    <w:rsid w:val="2CFE1C03"/>
    <w:rsid w:val="2D1875D3"/>
    <w:rsid w:val="2D194534"/>
    <w:rsid w:val="2D22F2B5"/>
    <w:rsid w:val="2D23505A"/>
    <w:rsid w:val="2D23F951"/>
    <w:rsid w:val="2D25C2D2"/>
    <w:rsid w:val="2D31DF17"/>
    <w:rsid w:val="2D344B55"/>
    <w:rsid w:val="2D40B8D6"/>
    <w:rsid w:val="2D5560E0"/>
    <w:rsid w:val="2D58F3B5"/>
    <w:rsid w:val="2D5C9E59"/>
    <w:rsid w:val="2D68DB54"/>
    <w:rsid w:val="2D71C69D"/>
    <w:rsid w:val="2D84CE14"/>
    <w:rsid w:val="2D8628B3"/>
    <w:rsid w:val="2D865B0A"/>
    <w:rsid w:val="2D9DF0A3"/>
    <w:rsid w:val="2DB7E1C2"/>
    <w:rsid w:val="2DBBD85E"/>
    <w:rsid w:val="2DCC9096"/>
    <w:rsid w:val="2DDF707C"/>
    <w:rsid w:val="2DEF038D"/>
    <w:rsid w:val="2E00C06B"/>
    <w:rsid w:val="2E042D03"/>
    <w:rsid w:val="2E2CD2A4"/>
    <w:rsid w:val="2E3897D6"/>
    <w:rsid w:val="2E462D7B"/>
    <w:rsid w:val="2E4C5632"/>
    <w:rsid w:val="2E60F97F"/>
    <w:rsid w:val="2E651A6E"/>
    <w:rsid w:val="2E71AA09"/>
    <w:rsid w:val="2E73D5C5"/>
    <w:rsid w:val="2E8E0C60"/>
    <w:rsid w:val="2E91315D"/>
    <w:rsid w:val="2EA07CE0"/>
    <w:rsid w:val="2EB51F05"/>
    <w:rsid w:val="2EB5B89B"/>
    <w:rsid w:val="2EBF433D"/>
    <w:rsid w:val="2EC8020E"/>
    <w:rsid w:val="2EE4C15F"/>
    <w:rsid w:val="2EEF1259"/>
    <w:rsid w:val="2F1FF92E"/>
    <w:rsid w:val="2F45F1AE"/>
    <w:rsid w:val="2F7E6704"/>
    <w:rsid w:val="2F896BB2"/>
    <w:rsid w:val="2F9FCAFF"/>
    <w:rsid w:val="2FA91CF8"/>
    <w:rsid w:val="2FB91957"/>
    <w:rsid w:val="2FBF2BDE"/>
    <w:rsid w:val="2FDD74E6"/>
    <w:rsid w:val="2FDFEE11"/>
    <w:rsid w:val="2FE08C5B"/>
    <w:rsid w:val="30025D95"/>
    <w:rsid w:val="301A2458"/>
    <w:rsid w:val="30482FBC"/>
    <w:rsid w:val="30666FA2"/>
    <w:rsid w:val="308091C0"/>
    <w:rsid w:val="3097769F"/>
    <w:rsid w:val="30B210FB"/>
    <w:rsid w:val="30B85495"/>
    <w:rsid w:val="30D259DE"/>
    <w:rsid w:val="30D31540"/>
    <w:rsid w:val="30E1C20F"/>
    <w:rsid w:val="30E30841"/>
    <w:rsid w:val="30E4F745"/>
    <w:rsid w:val="30E9CBDF"/>
    <w:rsid w:val="30F62D5A"/>
    <w:rsid w:val="3109427F"/>
    <w:rsid w:val="31322C08"/>
    <w:rsid w:val="313B16AE"/>
    <w:rsid w:val="314537DF"/>
    <w:rsid w:val="3146A48F"/>
    <w:rsid w:val="31588C44"/>
    <w:rsid w:val="317AA97E"/>
    <w:rsid w:val="31997F59"/>
    <w:rsid w:val="31AE43A6"/>
    <w:rsid w:val="31B6E1B6"/>
    <w:rsid w:val="31C271CB"/>
    <w:rsid w:val="31D05B36"/>
    <w:rsid w:val="31E49E80"/>
    <w:rsid w:val="31E62885"/>
    <w:rsid w:val="31ECBFC7"/>
    <w:rsid w:val="3212B4F6"/>
    <w:rsid w:val="32259EF2"/>
    <w:rsid w:val="3232203B"/>
    <w:rsid w:val="3241FC61"/>
    <w:rsid w:val="325D7EBF"/>
    <w:rsid w:val="327972E9"/>
    <w:rsid w:val="3280A790"/>
    <w:rsid w:val="3294EF0F"/>
    <w:rsid w:val="32BD070B"/>
    <w:rsid w:val="32BDC99B"/>
    <w:rsid w:val="32C946B7"/>
    <w:rsid w:val="32CB7C71"/>
    <w:rsid w:val="32CDFC69"/>
    <w:rsid w:val="32EEE320"/>
    <w:rsid w:val="32F30C51"/>
    <w:rsid w:val="32FC61C2"/>
    <w:rsid w:val="33195E68"/>
    <w:rsid w:val="33391D4F"/>
    <w:rsid w:val="335532A1"/>
    <w:rsid w:val="3395104E"/>
    <w:rsid w:val="339A640F"/>
    <w:rsid w:val="33A88AFF"/>
    <w:rsid w:val="33B48349"/>
    <w:rsid w:val="33BB3692"/>
    <w:rsid w:val="33C7917E"/>
    <w:rsid w:val="33C8AEB9"/>
    <w:rsid w:val="33F6EA39"/>
    <w:rsid w:val="340F62A4"/>
    <w:rsid w:val="341962D1"/>
    <w:rsid w:val="3456D7AE"/>
    <w:rsid w:val="345DB15F"/>
    <w:rsid w:val="346221EF"/>
    <w:rsid w:val="346773FD"/>
    <w:rsid w:val="348116A7"/>
    <w:rsid w:val="34850C0D"/>
    <w:rsid w:val="34855BAC"/>
    <w:rsid w:val="348D741D"/>
    <w:rsid w:val="348EF2F1"/>
    <w:rsid w:val="349C5E52"/>
    <w:rsid w:val="34A2BC2B"/>
    <w:rsid w:val="34C109EA"/>
    <w:rsid w:val="34D4E537"/>
    <w:rsid w:val="34E25B9C"/>
    <w:rsid w:val="34E549DD"/>
    <w:rsid w:val="35113D14"/>
    <w:rsid w:val="3528838B"/>
    <w:rsid w:val="355707A0"/>
    <w:rsid w:val="355CF8E6"/>
    <w:rsid w:val="355D205D"/>
    <w:rsid w:val="35614A9D"/>
    <w:rsid w:val="3579D8F2"/>
    <w:rsid w:val="3585C818"/>
    <w:rsid w:val="35A8254A"/>
    <w:rsid w:val="35C2FE3B"/>
    <w:rsid w:val="35CB9BD3"/>
    <w:rsid w:val="35DECCBC"/>
    <w:rsid w:val="35ECC77D"/>
    <w:rsid w:val="35F12A21"/>
    <w:rsid w:val="360437E0"/>
    <w:rsid w:val="36143625"/>
    <w:rsid w:val="36154505"/>
    <w:rsid w:val="36317E22"/>
    <w:rsid w:val="3633F7AD"/>
    <w:rsid w:val="364A198B"/>
    <w:rsid w:val="3658CD34"/>
    <w:rsid w:val="36716839"/>
    <w:rsid w:val="3673D49C"/>
    <w:rsid w:val="36912994"/>
    <w:rsid w:val="3696CED7"/>
    <w:rsid w:val="36B5A313"/>
    <w:rsid w:val="36C10812"/>
    <w:rsid w:val="36C433E2"/>
    <w:rsid w:val="36E56B9D"/>
    <w:rsid w:val="36EC240B"/>
    <w:rsid w:val="36F91D80"/>
    <w:rsid w:val="36FD28F3"/>
    <w:rsid w:val="3703B6C7"/>
    <w:rsid w:val="3712D5D2"/>
    <w:rsid w:val="371C3664"/>
    <w:rsid w:val="371F64B2"/>
    <w:rsid w:val="372C640E"/>
    <w:rsid w:val="373138F9"/>
    <w:rsid w:val="37556B82"/>
    <w:rsid w:val="3758E328"/>
    <w:rsid w:val="375D04A1"/>
    <w:rsid w:val="375F3111"/>
    <w:rsid w:val="376D2BCA"/>
    <w:rsid w:val="377F9F17"/>
    <w:rsid w:val="37832213"/>
    <w:rsid w:val="379074B1"/>
    <w:rsid w:val="37970D52"/>
    <w:rsid w:val="379CF702"/>
    <w:rsid w:val="37AF6AE0"/>
    <w:rsid w:val="37B13661"/>
    <w:rsid w:val="37C772B1"/>
    <w:rsid w:val="37E5407F"/>
    <w:rsid w:val="384057B1"/>
    <w:rsid w:val="3840C112"/>
    <w:rsid w:val="3849DF8D"/>
    <w:rsid w:val="3851EBCF"/>
    <w:rsid w:val="38797762"/>
    <w:rsid w:val="3880D156"/>
    <w:rsid w:val="3884178B"/>
    <w:rsid w:val="38849B14"/>
    <w:rsid w:val="388B5903"/>
    <w:rsid w:val="388BA3A5"/>
    <w:rsid w:val="388F3E26"/>
    <w:rsid w:val="3891E9B5"/>
    <w:rsid w:val="389F5100"/>
    <w:rsid w:val="389F998B"/>
    <w:rsid w:val="38ABB57B"/>
    <w:rsid w:val="38AC2314"/>
    <w:rsid w:val="38B8795D"/>
    <w:rsid w:val="38B8D7D2"/>
    <w:rsid w:val="38B9B496"/>
    <w:rsid w:val="38CA337A"/>
    <w:rsid w:val="38D673B7"/>
    <w:rsid w:val="38DFB171"/>
    <w:rsid w:val="3914CE21"/>
    <w:rsid w:val="39322156"/>
    <w:rsid w:val="393C66C7"/>
    <w:rsid w:val="3947E388"/>
    <w:rsid w:val="394CE5C7"/>
    <w:rsid w:val="395400A7"/>
    <w:rsid w:val="395DE717"/>
    <w:rsid w:val="395E0613"/>
    <w:rsid w:val="39756A66"/>
    <w:rsid w:val="39812A16"/>
    <w:rsid w:val="39846A83"/>
    <w:rsid w:val="3988A558"/>
    <w:rsid w:val="39892A12"/>
    <w:rsid w:val="399831AE"/>
    <w:rsid w:val="399F94D1"/>
    <w:rsid w:val="39A5C64C"/>
    <w:rsid w:val="39A8E583"/>
    <w:rsid w:val="39BCEBF8"/>
    <w:rsid w:val="39C9F9AF"/>
    <w:rsid w:val="39CCFD25"/>
    <w:rsid w:val="39D6C5ED"/>
    <w:rsid w:val="39DF8021"/>
    <w:rsid w:val="39ED6D6C"/>
    <w:rsid w:val="39F348AF"/>
    <w:rsid w:val="39F6B0F6"/>
    <w:rsid w:val="39FB7A9A"/>
    <w:rsid w:val="39FEC3B0"/>
    <w:rsid w:val="3A14A2F7"/>
    <w:rsid w:val="3A23C4CD"/>
    <w:rsid w:val="3A3957B0"/>
    <w:rsid w:val="3A4C244C"/>
    <w:rsid w:val="3A606859"/>
    <w:rsid w:val="3A65E9E1"/>
    <w:rsid w:val="3A6DB43E"/>
    <w:rsid w:val="3A7C88A3"/>
    <w:rsid w:val="3A8267AB"/>
    <w:rsid w:val="3A86FF73"/>
    <w:rsid w:val="3A8CD69C"/>
    <w:rsid w:val="3A95849D"/>
    <w:rsid w:val="3AA4F742"/>
    <w:rsid w:val="3AB3966B"/>
    <w:rsid w:val="3ABBAB3F"/>
    <w:rsid w:val="3ABD6983"/>
    <w:rsid w:val="3AD53061"/>
    <w:rsid w:val="3AE62212"/>
    <w:rsid w:val="3AF329EC"/>
    <w:rsid w:val="3AFB58F8"/>
    <w:rsid w:val="3AFD7703"/>
    <w:rsid w:val="3B03D21A"/>
    <w:rsid w:val="3B0F5579"/>
    <w:rsid w:val="3B1B1CAE"/>
    <w:rsid w:val="3B233F34"/>
    <w:rsid w:val="3B702432"/>
    <w:rsid w:val="3BBF952E"/>
    <w:rsid w:val="3BD8F529"/>
    <w:rsid w:val="3BE510FA"/>
    <w:rsid w:val="3BE85F14"/>
    <w:rsid w:val="3BFD6FDE"/>
    <w:rsid w:val="3C1D8E00"/>
    <w:rsid w:val="3C1E380C"/>
    <w:rsid w:val="3C2AD388"/>
    <w:rsid w:val="3C2CD451"/>
    <w:rsid w:val="3C2DC89B"/>
    <w:rsid w:val="3C3C0C12"/>
    <w:rsid w:val="3C410DE8"/>
    <w:rsid w:val="3C47D647"/>
    <w:rsid w:val="3C4CB274"/>
    <w:rsid w:val="3C4FCDA4"/>
    <w:rsid w:val="3C7855D5"/>
    <w:rsid w:val="3C7E213D"/>
    <w:rsid w:val="3C801A02"/>
    <w:rsid w:val="3C8B0DEE"/>
    <w:rsid w:val="3CF13A4D"/>
    <w:rsid w:val="3CFD7DD7"/>
    <w:rsid w:val="3D15D10C"/>
    <w:rsid w:val="3D1D54BE"/>
    <w:rsid w:val="3D5C17D2"/>
    <w:rsid w:val="3D5ECA26"/>
    <w:rsid w:val="3D644A40"/>
    <w:rsid w:val="3D65B0ED"/>
    <w:rsid w:val="3D99403F"/>
    <w:rsid w:val="3DC24052"/>
    <w:rsid w:val="3DD330CA"/>
    <w:rsid w:val="3DD43643"/>
    <w:rsid w:val="3DD9840C"/>
    <w:rsid w:val="3E01780A"/>
    <w:rsid w:val="3E1820B5"/>
    <w:rsid w:val="3E21613C"/>
    <w:rsid w:val="3E259156"/>
    <w:rsid w:val="3E29AF49"/>
    <w:rsid w:val="3E52BC3A"/>
    <w:rsid w:val="3E55F167"/>
    <w:rsid w:val="3E70798F"/>
    <w:rsid w:val="3E86EEB9"/>
    <w:rsid w:val="3E9549CC"/>
    <w:rsid w:val="3EB08EDC"/>
    <w:rsid w:val="3EBDCF4E"/>
    <w:rsid w:val="3EC605CA"/>
    <w:rsid w:val="3EE72DE0"/>
    <w:rsid w:val="3EE8480A"/>
    <w:rsid w:val="3EFA9A87"/>
    <w:rsid w:val="3F010235"/>
    <w:rsid w:val="3F19AD49"/>
    <w:rsid w:val="3F2378C5"/>
    <w:rsid w:val="3F2C3A9B"/>
    <w:rsid w:val="3F53C19D"/>
    <w:rsid w:val="3F60B397"/>
    <w:rsid w:val="3F6C86A5"/>
    <w:rsid w:val="3F6D73D4"/>
    <w:rsid w:val="3F763119"/>
    <w:rsid w:val="3F76B4C6"/>
    <w:rsid w:val="3F7DB65F"/>
    <w:rsid w:val="3F90B18F"/>
    <w:rsid w:val="3FABEEF1"/>
    <w:rsid w:val="3FADBE0C"/>
    <w:rsid w:val="3FB4197D"/>
    <w:rsid w:val="3FB5A1BE"/>
    <w:rsid w:val="3FC336FB"/>
    <w:rsid w:val="3FC9BBC2"/>
    <w:rsid w:val="3FCFC84F"/>
    <w:rsid w:val="400F6EB2"/>
    <w:rsid w:val="400FA587"/>
    <w:rsid w:val="401B7DD4"/>
    <w:rsid w:val="40295A25"/>
    <w:rsid w:val="402FB359"/>
    <w:rsid w:val="4032AA9A"/>
    <w:rsid w:val="4035DE9E"/>
    <w:rsid w:val="4049B418"/>
    <w:rsid w:val="404D4668"/>
    <w:rsid w:val="4053F81C"/>
    <w:rsid w:val="407E50D6"/>
    <w:rsid w:val="40828C45"/>
    <w:rsid w:val="408ADE08"/>
    <w:rsid w:val="408C2D10"/>
    <w:rsid w:val="40932A8C"/>
    <w:rsid w:val="40933387"/>
    <w:rsid w:val="40AE6C49"/>
    <w:rsid w:val="40B225AA"/>
    <w:rsid w:val="40BE0BE9"/>
    <w:rsid w:val="40C631D3"/>
    <w:rsid w:val="40ECC17D"/>
    <w:rsid w:val="4101BB61"/>
    <w:rsid w:val="41033B84"/>
    <w:rsid w:val="41079FA8"/>
    <w:rsid w:val="410AD18C"/>
    <w:rsid w:val="411BC68E"/>
    <w:rsid w:val="41305B2F"/>
    <w:rsid w:val="4136E87B"/>
    <w:rsid w:val="415731C5"/>
    <w:rsid w:val="4176B375"/>
    <w:rsid w:val="4177EC30"/>
    <w:rsid w:val="4182CEE0"/>
    <w:rsid w:val="41B9EED7"/>
    <w:rsid w:val="41BD49AB"/>
    <w:rsid w:val="41D182FE"/>
    <w:rsid w:val="41D715B0"/>
    <w:rsid w:val="41E58479"/>
    <w:rsid w:val="41F720A0"/>
    <w:rsid w:val="4207FBB9"/>
    <w:rsid w:val="420C0F25"/>
    <w:rsid w:val="42166D0B"/>
    <w:rsid w:val="421B6C5D"/>
    <w:rsid w:val="4227FA16"/>
    <w:rsid w:val="422C48A7"/>
    <w:rsid w:val="42313866"/>
    <w:rsid w:val="425CDAEB"/>
    <w:rsid w:val="426288E2"/>
    <w:rsid w:val="42638B25"/>
    <w:rsid w:val="426AB27A"/>
    <w:rsid w:val="426C79FE"/>
    <w:rsid w:val="426CB162"/>
    <w:rsid w:val="4270CCA8"/>
    <w:rsid w:val="427851D1"/>
    <w:rsid w:val="428B943D"/>
    <w:rsid w:val="429DA5A0"/>
    <w:rsid w:val="42A7BB42"/>
    <w:rsid w:val="42BA99AD"/>
    <w:rsid w:val="42C4E04F"/>
    <w:rsid w:val="42DA4DF9"/>
    <w:rsid w:val="42E447C8"/>
    <w:rsid w:val="42F0E01A"/>
    <w:rsid w:val="431C74CC"/>
    <w:rsid w:val="4320A1BB"/>
    <w:rsid w:val="43212E3F"/>
    <w:rsid w:val="4335A1B8"/>
    <w:rsid w:val="433EB904"/>
    <w:rsid w:val="4344E790"/>
    <w:rsid w:val="43554A69"/>
    <w:rsid w:val="435FFEC8"/>
    <w:rsid w:val="436AD0FB"/>
    <w:rsid w:val="436E755E"/>
    <w:rsid w:val="43738E5E"/>
    <w:rsid w:val="438750B1"/>
    <w:rsid w:val="439BAB5E"/>
    <w:rsid w:val="439E8031"/>
    <w:rsid w:val="43A2F71A"/>
    <w:rsid w:val="43BF71E4"/>
    <w:rsid w:val="43CCBDB6"/>
    <w:rsid w:val="43CF659C"/>
    <w:rsid w:val="43D43890"/>
    <w:rsid w:val="43EC62AB"/>
    <w:rsid w:val="43ED1E6C"/>
    <w:rsid w:val="43EEAE3D"/>
    <w:rsid w:val="43FA2DD0"/>
    <w:rsid w:val="4400F156"/>
    <w:rsid w:val="442DBEE1"/>
    <w:rsid w:val="443AD267"/>
    <w:rsid w:val="4471956E"/>
    <w:rsid w:val="447DD168"/>
    <w:rsid w:val="44915310"/>
    <w:rsid w:val="44AE5437"/>
    <w:rsid w:val="44AF4EAB"/>
    <w:rsid w:val="44BA6FA2"/>
    <w:rsid w:val="44C5F865"/>
    <w:rsid w:val="44D15CFD"/>
    <w:rsid w:val="44E12E78"/>
    <w:rsid w:val="45010D64"/>
    <w:rsid w:val="451508AD"/>
    <w:rsid w:val="4535FB56"/>
    <w:rsid w:val="45575B34"/>
    <w:rsid w:val="45605902"/>
    <w:rsid w:val="4588EECD"/>
    <w:rsid w:val="458E710E"/>
    <w:rsid w:val="45A58F4B"/>
    <w:rsid w:val="45A6CD95"/>
    <w:rsid w:val="45B879C9"/>
    <w:rsid w:val="45C8555E"/>
    <w:rsid w:val="45CD5237"/>
    <w:rsid w:val="45FDA62F"/>
    <w:rsid w:val="46001943"/>
    <w:rsid w:val="460534D2"/>
    <w:rsid w:val="4610A256"/>
    <w:rsid w:val="4620E8B4"/>
    <w:rsid w:val="46296080"/>
    <w:rsid w:val="463F09D3"/>
    <w:rsid w:val="4649018F"/>
    <w:rsid w:val="464CF5D4"/>
    <w:rsid w:val="467A0D85"/>
    <w:rsid w:val="467B50E3"/>
    <w:rsid w:val="468CC7E3"/>
    <w:rsid w:val="46A72B14"/>
    <w:rsid w:val="46ADFB62"/>
    <w:rsid w:val="46D2F633"/>
    <w:rsid w:val="46E6009D"/>
    <w:rsid w:val="4708FA5D"/>
    <w:rsid w:val="4715CDA1"/>
    <w:rsid w:val="47289BF6"/>
    <w:rsid w:val="475675C2"/>
    <w:rsid w:val="47606E8C"/>
    <w:rsid w:val="4761A3CE"/>
    <w:rsid w:val="47638C38"/>
    <w:rsid w:val="476F14E3"/>
    <w:rsid w:val="477B4EF6"/>
    <w:rsid w:val="479CFE48"/>
    <w:rsid w:val="479E7AA8"/>
    <w:rsid w:val="479F82FC"/>
    <w:rsid w:val="47BE5A18"/>
    <w:rsid w:val="47C13F45"/>
    <w:rsid w:val="47CCF0B9"/>
    <w:rsid w:val="47D4F4E5"/>
    <w:rsid w:val="47D75699"/>
    <w:rsid w:val="47E5F4F9"/>
    <w:rsid w:val="47E6301F"/>
    <w:rsid w:val="47F21064"/>
    <w:rsid w:val="47F967EE"/>
    <w:rsid w:val="4803E806"/>
    <w:rsid w:val="4821D5C0"/>
    <w:rsid w:val="4849CBC3"/>
    <w:rsid w:val="48616FC4"/>
    <w:rsid w:val="4869CF23"/>
    <w:rsid w:val="4872FA6E"/>
    <w:rsid w:val="4875AE8F"/>
    <w:rsid w:val="488202C1"/>
    <w:rsid w:val="4884402E"/>
    <w:rsid w:val="4884EC10"/>
    <w:rsid w:val="489EEF69"/>
    <w:rsid w:val="48BD6250"/>
    <w:rsid w:val="48CE430A"/>
    <w:rsid w:val="48D304A1"/>
    <w:rsid w:val="48D5278B"/>
    <w:rsid w:val="48DEA8BA"/>
    <w:rsid w:val="48EB9491"/>
    <w:rsid w:val="48F482D0"/>
    <w:rsid w:val="490E438A"/>
    <w:rsid w:val="4910E793"/>
    <w:rsid w:val="4916B337"/>
    <w:rsid w:val="492588A7"/>
    <w:rsid w:val="492C47E8"/>
    <w:rsid w:val="492D3693"/>
    <w:rsid w:val="49386C33"/>
    <w:rsid w:val="494F7077"/>
    <w:rsid w:val="49602336"/>
    <w:rsid w:val="49786A92"/>
    <w:rsid w:val="4978B2CC"/>
    <w:rsid w:val="4980A1FD"/>
    <w:rsid w:val="499A3C35"/>
    <w:rsid w:val="49B49CE1"/>
    <w:rsid w:val="49C37ACB"/>
    <w:rsid w:val="49DAFD48"/>
    <w:rsid w:val="49DFB246"/>
    <w:rsid w:val="49E2565F"/>
    <w:rsid w:val="49E2B0C6"/>
    <w:rsid w:val="49ED89AA"/>
    <w:rsid w:val="49FD62AC"/>
    <w:rsid w:val="4A098D7E"/>
    <w:rsid w:val="4A098DC2"/>
    <w:rsid w:val="4A1159FF"/>
    <w:rsid w:val="4A288E17"/>
    <w:rsid w:val="4A29F815"/>
    <w:rsid w:val="4A2C26AA"/>
    <w:rsid w:val="4A2CEF96"/>
    <w:rsid w:val="4A4965E1"/>
    <w:rsid w:val="4A4B0FBF"/>
    <w:rsid w:val="4A4CCE23"/>
    <w:rsid w:val="4A51452B"/>
    <w:rsid w:val="4A54AA96"/>
    <w:rsid w:val="4A71E876"/>
    <w:rsid w:val="4A786F0F"/>
    <w:rsid w:val="4A832656"/>
    <w:rsid w:val="4AA1D7B7"/>
    <w:rsid w:val="4AAAFE82"/>
    <w:rsid w:val="4AAB8B89"/>
    <w:rsid w:val="4AB62C12"/>
    <w:rsid w:val="4AB72E7F"/>
    <w:rsid w:val="4AF22D65"/>
    <w:rsid w:val="4B005D9B"/>
    <w:rsid w:val="4B049951"/>
    <w:rsid w:val="4B0FFA3E"/>
    <w:rsid w:val="4B29B126"/>
    <w:rsid w:val="4B29EA86"/>
    <w:rsid w:val="4B30C34B"/>
    <w:rsid w:val="4B3341A5"/>
    <w:rsid w:val="4B349D45"/>
    <w:rsid w:val="4B7856D3"/>
    <w:rsid w:val="4BA8CEDA"/>
    <w:rsid w:val="4BCACC30"/>
    <w:rsid w:val="4BEC1758"/>
    <w:rsid w:val="4BF50312"/>
    <w:rsid w:val="4BF5DFD4"/>
    <w:rsid w:val="4C07558C"/>
    <w:rsid w:val="4C0BD9D8"/>
    <w:rsid w:val="4C0D7821"/>
    <w:rsid w:val="4C0F8300"/>
    <w:rsid w:val="4C242A6E"/>
    <w:rsid w:val="4C567732"/>
    <w:rsid w:val="4C58908F"/>
    <w:rsid w:val="4C6BD8DC"/>
    <w:rsid w:val="4C85679C"/>
    <w:rsid w:val="4C866D5F"/>
    <w:rsid w:val="4C9605EE"/>
    <w:rsid w:val="4C9C124C"/>
    <w:rsid w:val="4CABCA9F"/>
    <w:rsid w:val="4CC91FAB"/>
    <w:rsid w:val="4CF0401D"/>
    <w:rsid w:val="4CF546E3"/>
    <w:rsid w:val="4CF845D8"/>
    <w:rsid w:val="4D0F5667"/>
    <w:rsid w:val="4D26337D"/>
    <w:rsid w:val="4D3680AB"/>
    <w:rsid w:val="4D71FF96"/>
    <w:rsid w:val="4D76E6E0"/>
    <w:rsid w:val="4D97E908"/>
    <w:rsid w:val="4DC0D296"/>
    <w:rsid w:val="4DD97879"/>
    <w:rsid w:val="4DDA56BC"/>
    <w:rsid w:val="4DF1082F"/>
    <w:rsid w:val="4DF24793"/>
    <w:rsid w:val="4DF97511"/>
    <w:rsid w:val="4DFB857A"/>
    <w:rsid w:val="4E18BA2E"/>
    <w:rsid w:val="4E25B490"/>
    <w:rsid w:val="4E55F610"/>
    <w:rsid w:val="4E91AFA1"/>
    <w:rsid w:val="4E924539"/>
    <w:rsid w:val="4E97DBB6"/>
    <w:rsid w:val="4E9ECD47"/>
    <w:rsid w:val="4EA8555B"/>
    <w:rsid w:val="4EB0A89E"/>
    <w:rsid w:val="4EB90D47"/>
    <w:rsid w:val="4EBA60C0"/>
    <w:rsid w:val="4EF2463B"/>
    <w:rsid w:val="4EF27A91"/>
    <w:rsid w:val="4F051483"/>
    <w:rsid w:val="4F18DF58"/>
    <w:rsid w:val="4F220E79"/>
    <w:rsid w:val="4F500765"/>
    <w:rsid w:val="4F541252"/>
    <w:rsid w:val="4F59BE32"/>
    <w:rsid w:val="4F63C454"/>
    <w:rsid w:val="4F6B5278"/>
    <w:rsid w:val="4F6F47FF"/>
    <w:rsid w:val="4F7E4824"/>
    <w:rsid w:val="4F7F2850"/>
    <w:rsid w:val="4F803A62"/>
    <w:rsid w:val="4F8410D3"/>
    <w:rsid w:val="4F980781"/>
    <w:rsid w:val="4FAB07E9"/>
    <w:rsid w:val="4FB9B41F"/>
    <w:rsid w:val="4FCBE233"/>
    <w:rsid w:val="4FD0DF74"/>
    <w:rsid w:val="4FD11B77"/>
    <w:rsid w:val="4FDB75C4"/>
    <w:rsid w:val="4FDC1642"/>
    <w:rsid w:val="4FEB58E7"/>
    <w:rsid w:val="4FF4A4D5"/>
    <w:rsid w:val="500AAB84"/>
    <w:rsid w:val="50276B73"/>
    <w:rsid w:val="503195D2"/>
    <w:rsid w:val="503323F3"/>
    <w:rsid w:val="505B6F93"/>
    <w:rsid w:val="505CCB2E"/>
    <w:rsid w:val="505E81DC"/>
    <w:rsid w:val="50677326"/>
    <w:rsid w:val="508497FF"/>
    <w:rsid w:val="509179BA"/>
    <w:rsid w:val="5099FCB7"/>
    <w:rsid w:val="50B04357"/>
    <w:rsid w:val="50C92FE0"/>
    <w:rsid w:val="50DB9F3D"/>
    <w:rsid w:val="510446CE"/>
    <w:rsid w:val="5104C228"/>
    <w:rsid w:val="5111193B"/>
    <w:rsid w:val="5111A46D"/>
    <w:rsid w:val="5124E45A"/>
    <w:rsid w:val="513C3B57"/>
    <w:rsid w:val="5158AD06"/>
    <w:rsid w:val="51601FE6"/>
    <w:rsid w:val="5168F42F"/>
    <w:rsid w:val="517D18AC"/>
    <w:rsid w:val="5184A19B"/>
    <w:rsid w:val="5199C91F"/>
    <w:rsid w:val="51BE3E1B"/>
    <w:rsid w:val="51D049FF"/>
    <w:rsid w:val="51E60F2D"/>
    <w:rsid w:val="51EC364B"/>
    <w:rsid w:val="51F0AE09"/>
    <w:rsid w:val="520F7B23"/>
    <w:rsid w:val="52349DA2"/>
    <w:rsid w:val="52429288"/>
    <w:rsid w:val="525E8098"/>
    <w:rsid w:val="525EC019"/>
    <w:rsid w:val="52603057"/>
    <w:rsid w:val="52686E59"/>
    <w:rsid w:val="52846ADE"/>
    <w:rsid w:val="5299DDC2"/>
    <w:rsid w:val="52C49A9B"/>
    <w:rsid w:val="52C896AA"/>
    <w:rsid w:val="52CD95C6"/>
    <w:rsid w:val="52E46A68"/>
    <w:rsid w:val="52F3708E"/>
    <w:rsid w:val="530375FA"/>
    <w:rsid w:val="5306E3EA"/>
    <w:rsid w:val="5310AD7B"/>
    <w:rsid w:val="53242A12"/>
    <w:rsid w:val="5339C49D"/>
    <w:rsid w:val="535D6FC2"/>
    <w:rsid w:val="53659BBE"/>
    <w:rsid w:val="53770EC7"/>
    <w:rsid w:val="5380104D"/>
    <w:rsid w:val="5383E3B9"/>
    <w:rsid w:val="53A74A33"/>
    <w:rsid w:val="53B7689A"/>
    <w:rsid w:val="53C03742"/>
    <w:rsid w:val="53CBF2DC"/>
    <w:rsid w:val="53D8C731"/>
    <w:rsid w:val="53ED8CCB"/>
    <w:rsid w:val="54072A8C"/>
    <w:rsid w:val="5412699D"/>
    <w:rsid w:val="541A306B"/>
    <w:rsid w:val="5426656F"/>
    <w:rsid w:val="5432CC9C"/>
    <w:rsid w:val="545638B7"/>
    <w:rsid w:val="546FBFC8"/>
    <w:rsid w:val="547C45CA"/>
    <w:rsid w:val="548DFD55"/>
    <w:rsid w:val="54A27751"/>
    <w:rsid w:val="54A78263"/>
    <w:rsid w:val="54C51F3A"/>
    <w:rsid w:val="54C6825C"/>
    <w:rsid w:val="54C8A186"/>
    <w:rsid w:val="54CBA57A"/>
    <w:rsid w:val="54DE6C82"/>
    <w:rsid w:val="54E89715"/>
    <w:rsid w:val="54FCB85A"/>
    <w:rsid w:val="55002420"/>
    <w:rsid w:val="55365EDD"/>
    <w:rsid w:val="55406AFD"/>
    <w:rsid w:val="55419462"/>
    <w:rsid w:val="55623F8B"/>
    <w:rsid w:val="5590CA72"/>
    <w:rsid w:val="55C30A11"/>
    <w:rsid w:val="55D897AC"/>
    <w:rsid w:val="55ED89A8"/>
    <w:rsid w:val="55FB4251"/>
    <w:rsid w:val="56078C7F"/>
    <w:rsid w:val="5613E256"/>
    <w:rsid w:val="562C503E"/>
    <w:rsid w:val="562E99FB"/>
    <w:rsid w:val="5641C74D"/>
    <w:rsid w:val="565AB5E0"/>
    <w:rsid w:val="5675C948"/>
    <w:rsid w:val="567B3CFE"/>
    <w:rsid w:val="567F305D"/>
    <w:rsid w:val="56807467"/>
    <w:rsid w:val="5686C6A8"/>
    <w:rsid w:val="568CEB79"/>
    <w:rsid w:val="56999CC4"/>
    <w:rsid w:val="56A877E8"/>
    <w:rsid w:val="56B6ACF9"/>
    <w:rsid w:val="56BAAE31"/>
    <w:rsid w:val="56D3CBBC"/>
    <w:rsid w:val="56D84D51"/>
    <w:rsid w:val="56E055CF"/>
    <w:rsid w:val="56F80EF2"/>
    <w:rsid w:val="5737B5B9"/>
    <w:rsid w:val="573AE9A6"/>
    <w:rsid w:val="573F787E"/>
    <w:rsid w:val="5742D07E"/>
    <w:rsid w:val="574B5871"/>
    <w:rsid w:val="574DCBAE"/>
    <w:rsid w:val="57603429"/>
    <w:rsid w:val="576DBFD7"/>
    <w:rsid w:val="57716C27"/>
    <w:rsid w:val="5795A9DA"/>
    <w:rsid w:val="5798DF5E"/>
    <w:rsid w:val="57A9B3FC"/>
    <w:rsid w:val="57AB188B"/>
    <w:rsid w:val="57BC1262"/>
    <w:rsid w:val="57BF63C5"/>
    <w:rsid w:val="57E17900"/>
    <w:rsid w:val="57F567E9"/>
    <w:rsid w:val="58212054"/>
    <w:rsid w:val="5829AE07"/>
    <w:rsid w:val="58424F72"/>
    <w:rsid w:val="58552601"/>
    <w:rsid w:val="5859E0F8"/>
    <w:rsid w:val="586326F1"/>
    <w:rsid w:val="5867DD13"/>
    <w:rsid w:val="5874AEDC"/>
    <w:rsid w:val="58833932"/>
    <w:rsid w:val="589C20DC"/>
    <w:rsid w:val="58ABC85D"/>
    <w:rsid w:val="58B59E7D"/>
    <w:rsid w:val="58B8471A"/>
    <w:rsid w:val="58CD0BB1"/>
    <w:rsid w:val="58D6282F"/>
    <w:rsid w:val="58DB48DF"/>
    <w:rsid w:val="58F694DB"/>
    <w:rsid w:val="58F80AC6"/>
    <w:rsid w:val="58FAADE9"/>
    <w:rsid w:val="58FAF303"/>
    <w:rsid w:val="59096FF5"/>
    <w:rsid w:val="5914EA07"/>
    <w:rsid w:val="591535E0"/>
    <w:rsid w:val="593E96BF"/>
    <w:rsid w:val="593F2D41"/>
    <w:rsid w:val="59427F01"/>
    <w:rsid w:val="5946E353"/>
    <w:rsid w:val="59563C9D"/>
    <w:rsid w:val="5966486B"/>
    <w:rsid w:val="59696677"/>
    <w:rsid w:val="596E5799"/>
    <w:rsid w:val="596FF250"/>
    <w:rsid w:val="5981C746"/>
    <w:rsid w:val="5985CA26"/>
    <w:rsid w:val="599D7F9A"/>
    <w:rsid w:val="59A261DF"/>
    <w:rsid w:val="59AC6C58"/>
    <w:rsid w:val="59AE20B0"/>
    <w:rsid w:val="59B46AD7"/>
    <w:rsid w:val="59C14089"/>
    <w:rsid w:val="59C21A3F"/>
    <w:rsid w:val="59D5255E"/>
    <w:rsid w:val="59FC166C"/>
    <w:rsid w:val="59FC22A6"/>
    <w:rsid w:val="5A1669C6"/>
    <w:rsid w:val="5A279C4B"/>
    <w:rsid w:val="5A5CD9CE"/>
    <w:rsid w:val="5A699FF1"/>
    <w:rsid w:val="5A82077D"/>
    <w:rsid w:val="5A8B25B4"/>
    <w:rsid w:val="5A9738F7"/>
    <w:rsid w:val="5A9DCC2C"/>
    <w:rsid w:val="5ABA8032"/>
    <w:rsid w:val="5ABEF46F"/>
    <w:rsid w:val="5AC0C7A5"/>
    <w:rsid w:val="5AC314F5"/>
    <w:rsid w:val="5AE2B3B4"/>
    <w:rsid w:val="5AEF024E"/>
    <w:rsid w:val="5AF1F383"/>
    <w:rsid w:val="5AF3C24C"/>
    <w:rsid w:val="5AF6422A"/>
    <w:rsid w:val="5AF8BD8A"/>
    <w:rsid w:val="5B02185F"/>
    <w:rsid w:val="5B06A15C"/>
    <w:rsid w:val="5B07537B"/>
    <w:rsid w:val="5B0F661D"/>
    <w:rsid w:val="5B23C61F"/>
    <w:rsid w:val="5B439DFC"/>
    <w:rsid w:val="5B4502E6"/>
    <w:rsid w:val="5B467B6D"/>
    <w:rsid w:val="5B52B99D"/>
    <w:rsid w:val="5B6415C6"/>
    <w:rsid w:val="5B652EEF"/>
    <w:rsid w:val="5B6998B4"/>
    <w:rsid w:val="5B726510"/>
    <w:rsid w:val="5B7FA774"/>
    <w:rsid w:val="5B9F9A57"/>
    <w:rsid w:val="5BAA72A6"/>
    <w:rsid w:val="5BAAA188"/>
    <w:rsid w:val="5BB25B6A"/>
    <w:rsid w:val="5BBF27C3"/>
    <w:rsid w:val="5BC793B7"/>
    <w:rsid w:val="5BDCB3CC"/>
    <w:rsid w:val="5BF5A110"/>
    <w:rsid w:val="5BFB2676"/>
    <w:rsid w:val="5C1641A1"/>
    <w:rsid w:val="5C1D55C5"/>
    <w:rsid w:val="5C1DD7DE"/>
    <w:rsid w:val="5C221923"/>
    <w:rsid w:val="5C3D1A22"/>
    <w:rsid w:val="5C4C2715"/>
    <w:rsid w:val="5C5BB968"/>
    <w:rsid w:val="5C7E4D94"/>
    <w:rsid w:val="5C80097E"/>
    <w:rsid w:val="5C923E10"/>
    <w:rsid w:val="5CA6AC5B"/>
    <w:rsid w:val="5CB7C3AB"/>
    <w:rsid w:val="5CD3FA87"/>
    <w:rsid w:val="5CDAE69B"/>
    <w:rsid w:val="5CEA8AD7"/>
    <w:rsid w:val="5CEE89FE"/>
    <w:rsid w:val="5CF47B91"/>
    <w:rsid w:val="5CFCF4E9"/>
    <w:rsid w:val="5D045208"/>
    <w:rsid w:val="5D0CCDAA"/>
    <w:rsid w:val="5D11083C"/>
    <w:rsid w:val="5D1781C9"/>
    <w:rsid w:val="5D1BF4A9"/>
    <w:rsid w:val="5D2334E3"/>
    <w:rsid w:val="5D2341D9"/>
    <w:rsid w:val="5D3E4293"/>
    <w:rsid w:val="5D45F62E"/>
    <w:rsid w:val="5D478ED5"/>
    <w:rsid w:val="5D5EA08D"/>
    <w:rsid w:val="5D83AE5F"/>
    <w:rsid w:val="5D99A4A8"/>
    <w:rsid w:val="5D9EB2AB"/>
    <w:rsid w:val="5DB2A45E"/>
    <w:rsid w:val="5DECF64A"/>
    <w:rsid w:val="5DFB3883"/>
    <w:rsid w:val="5E042B13"/>
    <w:rsid w:val="5E4AFE2C"/>
    <w:rsid w:val="5E4E96CF"/>
    <w:rsid w:val="5E5B87D5"/>
    <w:rsid w:val="5E65A9F2"/>
    <w:rsid w:val="5E65AC50"/>
    <w:rsid w:val="5EAD5111"/>
    <w:rsid w:val="5EADE759"/>
    <w:rsid w:val="5EB36FF5"/>
    <w:rsid w:val="5EB9EBAB"/>
    <w:rsid w:val="5EBDCCAF"/>
    <w:rsid w:val="5EC2A268"/>
    <w:rsid w:val="5ECDFD57"/>
    <w:rsid w:val="5ED846DA"/>
    <w:rsid w:val="5EDB8AC2"/>
    <w:rsid w:val="5F11973B"/>
    <w:rsid w:val="5F1A3E42"/>
    <w:rsid w:val="5F2F2FB3"/>
    <w:rsid w:val="5F304034"/>
    <w:rsid w:val="5F3451DC"/>
    <w:rsid w:val="5F41C96A"/>
    <w:rsid w:val="5F4DE263"/>
    <w:rsid w:val="5F5DB21F"/>
    <w:rsid w:val="5F70E58B"/>
    <w:rsid w:val="5F8D63F4"/>
    <w:rsid w:val="5FA94989"/>
    <w:rsid w:val="5FB09932"/>
    <w:rsid w:val="5FBC5172"/>
    <w:rsid w:val="5FD1539B"/>
    <w:rsid w:val="5FD83940"/>
    <w:rsid w:val="6001A43D"/>
    <w:rsid w:val="600B9B49"/>
    <w:rsid w:val="6014D62A"/>
    <w:rsid w:val="6015E845"/>
    <w:rsid w:val="601D6234"/>
    <w:rsid w:val="601F5CA4"/>
    <w:rsid w:val="60236A83"/>
    <w:rsid w:val="60373BA4"/>
    <w:rsid w:val="60422404"/>
    <w:rsid w:val="60483E0E"/>
    <w:rsid w:val="605D8F3F"/>
    <w:rsid w:val="6079659B"/>
    <w:rsid w:val="607A8ABA"/>
    <w:rsid w:val="608DB661"/>
    <w:rsid w:val="60A77834"/>
    <w:rsid w:val="60B0DCDA"/>
    <w:rsid w:val="61097F12"/>
    <w:rsid w:val="610B26F8"/>
    <w:rsid w:val="61152DBB"/>
    <w:rsid w:val="61291C07"/>
    <w:rsid w:val="6164BB59"/>
    <w:rsid w:val="6166207D"/>
    <w:rsid w:val="6175E2E0"/>
    <w:rsid w:val="61769051"/>
    <w:rsid w:val="6195C92A"/>
    <w:rsid w:val="619714E1"/>
    <w:rsid w:val="6197D503"/>
    <w:rsid w:val="61A09C93"/>
    <w:rsid w:val="61A874AB"/>
    <w:rsid w:val="61D72CEF"/>
    <w:rsid w:val="61DC5DD2"/>
    <w:rsid w:val="61E4F39D"/>
    <w:rsid w:val="61EC6A3E"/>
    <w:rsid w:val="61F95FA0"/>
    <w:rsid w:val="620015DB"/>
    <w:rsid w:val="620EBF59"/>
    <w:rsid w:val="62196751"/>
    <w:rsid w:val="622CF79C"/>
    <w:rsid w:val="622F7DC6"/>
    <w:rsid w:val="623C370E"/>
    <w:rsid w:val="62497335"/>
    <w:rsid w:val="6268ED38"/>
    <w:rsid w:val="62783583"/>
    <w:rsid w:val="62983EBD"/>
    <w:rsid w:val="62A05866"/>
    <w:rsid w:val="62A1BAF8"/>
    <w:rsid w:val="62B1E689"/>
    <w:rsid w:val="62B59C56"/>
    <w:rsid w:val="62C05239"/>
    <w:rsid w:val="62C2EA90"/>
    <w:rsid w:val="62C824D8"/>
    <w:rsid w:val="62CE319B"/>
    <w:rsid w:val="62DB3852"/>
    <w:rsid w:val="62DD3D03"/>
    <w:rsid w:val="62E1F81E"/>
    <w:rsid w:val="62EA68F9"/>
    <w:rsid w:val="62F849CD"/>
    <w:rsid w:val="62FC33D2"/>
    <w:rsid w:val="630DC293"/>
    <w:rsid w:val="631389A1"/>
    <w:rsid w:val="63266EB6"/>
    <w:rsid w:val="633EF2CC"/>
    <w:rsid w:val="6343A1EC"/>
    <w:rsid w:val="63529EE9"/>
    <w:rsid w:val="635502F6"/>
    <w:rsid w:val="63577EC5"/>
    <w:rsid w:val="636D3BD4"/>
    <w:rsid w:val="6398DF35"/>
    <w:rsid w:val="63A285EA"/>
    <w:rsid w:val="63AC1D0E"/>
    <w:rsid w:val="63CE3FCD"/>
    <w:rsid w:val="63D8076F"/>
    <w:rsid w:val="63EDBAB9"/>
    <w:rsid w:val="63F791F5"/>
    <w:rsid w:val="641373B8"/>
    <w:rsid w:val="64215386"/>
    <w:rsid w:val="64321956"/>
    <w:rsid w:val="6453381E"/>
    <w:rsid w:val="64580CE2"/>
    <w:rsid w:val="645A9FDE"/>
    <w:rsid w:val="645C9307"/>
    <w:rsid w:val="64729DEE"/>
    <w:rsid w:val="6477BB53"/>
    <w:rsid w:val="64798E60"/>
    <w:rsid w:val="64879231"/>
    <w:rsid w:val="64904B9B"/>
    <w:rsid w:val="64945B45"/>
    <w:rsid w:val="64AF1B1A"/>
    <w:rsid w:val="64BBC577"/>
    <w:rsid w:val="64CF8106"/>
    <w:rsid w:val="64D2B920"/>
    <w:rsid w:val="64E0065F"/>
    <w:rsid w:val="64F4AD3C"/>
    <w:rsid w:val="64FAF337"/>
    <w:rsid w:val="65046DBF"/>
    <w:rsid w:val="651C59D5"/>
    <w:rsid w:val="653819A1"/>
    <w:rsid w:val="653FE529"/>
    <w:rsid w:val="65808EE6"/>
    <w:rsid w:val="658E7C82"/>
    <w:rsid w:val="6592BF08"/>
    <w:rsid w:val="659E681E"/>
    <w:rsid w:val="659E7137"/>
    <w:rsid w:val="65B05039"/>
    <w:rsid w:val="65B10AEE"/>
    <w:rsid w:val="65CD6208"/>
    <w:rsid w:val="65D0CD6E"/>
    <w:rsid w:val="65E4964A"/>
    <w:rsid w:val="65F7438B"/>
    <w:rsid w:val="660FA2C8"/>
    <w:rsid w:val="6628FB76"/>
    <w:rsid w:val="6657F886"/>
    <w:rsid w:val="665FCE00"/>
    <w:rsid w:val="6673C298"/>
    <w:rsid w:val="667BB493"/>
    <w:rsid w:val="667D60EB"/>
    <w:rsid w:val="66B33840"/>
    <w:rsid w:val="66B7EA82"/>
    <w:rsid w:val="66B99192"/>
    <w:rsid w:val="66B9DACF"/>
    <w:rsid w:val="66CD6462"/>
    <w:rsid w:val="66D3EA02"/>
    <w:rsid w:val="66E692C4"/>
    <w:rsid w:val="66EC77F8"/>
    <w:rsid w:val="66F3888D"/>
    <w:rsid w:val="66F4C5FA"/>
    <w:rsid w:val="6704CAC3"/>
    <w:rsid w:val="67180484"/>
    <w:rsid w:val="6725CCAB"/>
    <w:rsid w:val="6733B2F2"/>
    <w:rsid w:val="674F1AC0"/>
    <w:rsid w:val="67675B07"/>
    <w:rsid w:val="6773BF2C"/>
    <w:rsid w:val="6776D4D4"/>
    <w:rsid w:val="678CE2A0"/>
    <w:rsid w:val="67953E9F"/>
    <w:rsid w:val="6796979B"/>
    <w:rsid w:val="679F61E0"/>
    <w:rsid w:val="67A14F16"/>
    <w:rsid w:val="67A5CAAB"/>
    <w:rsid w:val="67A60FBC"/>
    <w:rsid w:val="67A9D340"/>
    <w:rsid w:val="67AC7C0B"/>
    <w:rsid w:val="67BCCB12"/>
    <w:rsid w:val="67CDC48D"/>
    <w:rsid w:val="67D55872"/>
    <w:rsid w:val="67E6B1F3"/>
    <w:rsid w:val="68013C79"/>
    <w:rsid w:val="680C8E96"/>
    <w:rsid w:val="680C8FE5"/>
    <w:rsid w:val="68127820"/>
    <w:rsid w:val="6838891C"/>
    <w:rsid w:val="6841B237"/>
    <w:rsid w:val="68701C2B"/>
    <w:rsid w:val="68726D37"/>
    <w:rsid w:val="687712F4"/>
    <w:rsid w:val="6877B615"/>
    <w:rsid w:val="687A7E20"/>
    <w:rsid w:val="688D8E69"/>
    <w:rsid w:val="6890965B"/>
    <w:rsid w:val="689115B7"/>
    <w:rsid w:val="6891EA3C"/>
    <w:rsid w:val="6897555E"/>
    <w:rsid w:val="68F0836D"/>
    <w:rsid w:val="68FC6012"/>
    <w:rsid w:val="69086E30"/>
    <w:rsid w:val="69219F45"/>
    <w:rsid w:val="693045BF"/>
    <w:rsid w:val="693267FC"/>
    <w:rsid w:val="69329E45"/>
    <w:rsid w:val="6961A2EF"/>
    <w:rsid w:val="69739633"/>
    <w:rsid w:val="698399FF"/>
    <w:rsid w:val="69849DB3"/>
    <w:rsid w:val="69B54577"/>
    <w:rsid w:val="69C00107"/>
    <w:rsid w:val="69C4447A"/>
    <w:rsid w:val="69CE326A"/>
    <w:rsid w:val="69D0EF10"/>
    <w:rsid w:val="69D3A0AE"/>
    <w:rsid w:val="69D50673"/>
    <w:rsid w:val="69F03338"/>
    <w:rsid w:val="6A076854"/>
    <w:rsid w:val="6A0A2548"/>
    <w:rsid w:val="6A133C69"/>
    <w:rsid w:val="6A3B5052"/>
    <w:rsid w:val="6A50825B"/>
    <w:rsid w:val="6A5B30AC"/>
    <w:rsid w:val="6A6F578D"/>
    <w:rsid w:val="6A85550F"/>
    <w:rsid w:val="6A947D60"/>
    <w:rsid w:val="6AC75193"/>
    <w:rsid w:val="6AC75FC7"/>
    <w:rsid w:val="6ADB4377"/>
    <w:rsid w:val="6B0745B7"/>
    <w:rsid w:val="6B0F6694"/>
    <w:rsid w:val="6B345438"/>
    <w:rsid w:val="6B442F58"/>
    <w:rsid w:val="6B4457A1"/>
    <w:rsid w:val="6B513D3D"/>
    <w:rsid w:val="6B61B770"/>
    <w:rsid w:val="6B64B7C1"/>
    <w:rsid w:val="6B672A70"/>
    <w:rsid w:val="6B88EC88"/>
    <w:rsid w:val="6B937D09"/>
    <w:rsid w:val="6BAEF86B"/>
    <w:rsid w:val="6BB2B8B7"/>
    <w:rsid w:val="6BB726D5"/>
    <w:rsid w:val="6BBAF673"/>
    <w:rsid w:val="6BE56725"/>
    <w:rsid w:val="6BE76B0A"/>
    <w:rsid w:val="6BF2E7B9"/>
    <w:rsid w:val="6C01C860"/>
    <w:rsid w:val="6C03AF77"/>
    <w:rsid w:val="6C143107"/>
    <w:rsid w:val="6C1EC9EE"/>
    <w:rsid w:val="6C1F2D73"/>
    <w:rsid w:val="6C23C30B"/>
    <w:rsid w:val="6C277554"/>
    <w:rsid w:val="6C292AA6"/>
    <w:rsid w:val="6C461C1C"/>
    <w:rsid w:val="6C564625"/>
    <w:rsid w:val="6C75FE4E"/>
    <w:rsid w:val="6C7A95F7"/>
    <w:rsid w:val="6C7ADC7C"/>
    <w:rsid w:val="6C8664F6"/>
    <w:rsid w:val="6C97E669"/>
    <w:rsid w:val="6C9C97EF"/>
    <w:rsid w:val="6CB9EFB3"/>
    <w:rsid w:val="6CBE01BE"/>
    <w:rsid w:val="6CCEC4E2"/>
    <w:rsid w:val="6CCF0F84"/>
    <w:rsid w:val="6CD00220"/>
    <w:rsid w:val="6CED6B5D"/>
    <w:rsid w:val="6CED798C"/>
    <w:rsid w:val="6CF6F76B"/>
    <w:rsid w:val="6CFBE53C"/>
    <w:rsid w:val="6CFD87D1"/>
    <w:rsid w:val="6D08C3C3"/>
    <w:rsid w:val="6D0C606A"/>
    <w:rsid w:val="6D0F284A"/>
    <w:rsid w:val="6D3F9CC5"/>
    <w:rsid w:val="6D6868A1"/>
    <w:rsid w:val="6D695912"/>
    <w:rsid w:val="6D6B6127"/>
    <w:rsid w:val="6D6C3969"/>
    <w:rsid w:val="6D74A4FC"/>
    <w:rsid w:val="6D7ED429"/>
    <w:rsid w:val="6D80B4C0"/>
    <w:rsid w:val="6D937715"/>
    <w:rsid w:val="6D962793"/>
    <w:rsid w:val="6DB0091E"/>
    <w:rsid w:val="6DB393B8"/>
    <w:rsid w:val="6DD30CF8"/>
    <w:rsid w:val="6DD48511"/>
    <w:rsid w:val="6DEDE51E"/>
    <w:rsid w:val="6E1AF50A"/>
    <w:rsid w:val="6E4E49A7"/>
    <w:rsid w:val="6E97F9CA"/>
    <w:rsid w:val="6EA46033"/>
    <w:rsid w:val="6ED02F47"/>
    <w:rsid w:val="6ED03CC7"/>
    <w:rsid w:val="6EDC2149"/>
    <w:rsid w:val="6EDED975"/>
    <w:rsid w:val="6EDEFBE7"/>
    <w:rsid w:val="6EE16321"/>
    <w:rsid w:val="6EE733CC"/>
    <w:rsid w:val="6EE89ADB"/>
    <w:rsid w:val="6EE9D6B0"/>
    <w:rsid w:val="6F09B3E0"/>
    <w:rsid w:val="6F0EE5CA"/>
    <w:rsid w:val="6F0F6B63"/>
    <w:rsid w:val="6F211982"/>
    <w:rsid w:val="6F5264D4"/>
    <w:rsid w:val="6F5777B0"/>
    <w:rsid w:val="6F5B7A8A"/>
    <w:rsid w:val="6F5D4CEA"/>
    <w:rsid w:val="6F5F6C26"/>
    <w:rsid w:val="6F77E948"/>
    <w:rsid w:val="6F7FDCB9"/>
    <w:rsid w:val="6F7FF4B1"/>
    <w:rsid w:val="6F82E866"/>
    <w:rsid w:val="6F8D8F81"/>
    <w:rsid w:val="6F8E22E5"/>
    <w:rsid w:val="6F91CB52"/>
    <w:rsid w:val="6F96B7ED"/>
    <w:rsid w:val="6F9B536E"/>
    <w:rsid w:val="6F9D96FD"/>
    <w:rsid w:val="6FC20293"/>
    <w:rsid w:val="6FD6577B"/>
    <w:rsid w:val="6FDE5070"/>
    <w:rsid w:val="6FE580CE"/>
    <w:rsid w:val="6FFE781E"/>
    <w:rsid w:val="7029657D"/>
    <w:rsid w:val="702DA72A"/>
    <w:rsid w:val="705C08D1"/>
    <w:rsid w:val="705F606C"/>
    <w:rsid w:val="7066E995"/>
    <w:rsid w:val="7077623D"/>
    <w:rsid w:val="707D4919"/>
    <w:rsid w:val="70817AD2"/>
    <w:rsid w:val="708BBC61"/>
    <w:rsid w:val="708FB265"/>
    <w:rsid w:val="70A4EF9C"/>
    <w:rsid w:val="70F45E5D"/>
    <w:rsid w:val="70F4BBC9"/>
    <w:rsid w:val="70FA5944"/>
    <w:rsid w:val="7112DDA4"/>
    <w:rsid w:val="71313D6A"/>
    <w:rsid w:val="714E4D9F"/>
    <w:rsid w:val="7169ADF7"/>
    <w:rsid w:val="716D4509"/>
    <w:rsid w:val="71843225"/>
    <w:rsid w:val="718FAF98"/>
    <w:rsid w:val="71911ED2"/>
    <w:rsid w:val="71924F74"/>
    <w:rsid w:val="71978C91"/>
    <w:rsid w:val="719B211A"/>
    <w:rsid w:val="71A7FCC3"/>
    <w:rsid w:val="71C9CF4C"/>
    <w:rsid w:val="71CE7001"/>
    <w:rsid w:val="7204F27A"/>
    <w:rsid w:val="720E79C7"/>
    <w:rsid w:val="72248DB7"/>
    <w:rsid w:val="72308004"/>
    <w:rsid w:val="7239533E"/>
    <w:rsid w:val="7251890B"/>
    <w:rsid w:val="7269BFCA"/>
    <w:rsid w:val="727E19E2"/>
    <w:rsid w:val="72908C2A"/>
    <w:rsid w:val="72A6ED8D"/>
    <w:rsid w:val="72B358DC"/>
    <w:rsid w:val="72B45E2B"/>
    <w:rsid w:val="72C0F3F8"/>
    <w:rsid w:val="72C3EF74"/>
    <w:rsid w:val="72C4BBE7"/>
    <w:rsid w:val="72CD0DCB"/>
    <w:rsid w:val="72D17266"/>
    <w:rsid w:val="72DEE6DE"/>
    <w:rsid w:val="72EA1E00"/>
    <w:rsid w:val="72FBCA85"/>
    <w:rsid w:val="72FF7DB9"/>
    <w:rsid w:val="7302F6E6"/>
    <w:rsid w:val="73181BD2"/>
    <w:rsid w:val="73202349"/>
    <w:rsid w:val="7322DC82"/>
    <w:rsid w:val="73503469"/>
    <w:rsid w:val="736F2884"/>
    <w:rsid w:val="7371D8F0"/>
    <w:rsid w:val="7372E985"/>
    <w:rsid w:val="737A7B33"/>
    <w:rsid w:val="73846DB7"/>
    <w:rsid w:val="73B26D0A"/>
    <w:rsid w:val="73BF8313"/>
    <w:rsid w:val="73E29CF6"/>
    <w:rsid w:val="7426773C"/>
    <w:rsid w:val="7430666B"/>
    <w:rsid w:val="7437B213"/>
    <w:rsid w:val="74425636"/>
    <w:rsid w:val="744A7E66"/>
    <w:rsid w:val="74552BF6"/>
    <w:rsid w:val="745B1839"/>
    <w:rsid w:val="745E509A"/>
    <w:rsid w:val="74710820"/>
    <w:rsid w:val="748D6789"/>
    <w:rsid w:val="74A5F612"/>
    <w:rsid w:val="74C601F6"/>
    <w:rsid w:val="74DF1116"/>
    <w:rsid w:val="74E5A4D0"/>
    <w:rsid w:val="74E79964"/>
    <w:rsid w:val="74EA2420"/>
    <w:rsid w:val="750E61D0"/>
    <w:rsid w:val="752894E2"/>
    <w:rsid w:val="75541FD9"/>
    <w:rsid w:val="75567550"/>
    <w:rsid w:val="756839C2"/>
    <w:rsid w:val="75774B4E"/>
    <w:rsid w:val="75902D0D"/>
    <w:rsid w:val="75A59675"/>
    <w:rsid w:val="75C08C71"/>
    <w:rsid w:val="75C794E0"/>
    <w:rsid w:val="75E74D01"/>
    <w:rsid w:val="761D10F3"/>
    <w:rsid w:val="762AD892"/>
    <w:rsid w:val="76305A33"/>
    <w:rsid w:val="763559E2"/>
    <w:rsid w:val="763603C5"/>
    <w:rsid w:val="76422A65"/>
    <w:rsid w:val="7666A8F6"/>
    <w:rsid w:val="7679F40E"/>
    <w:rsid w:val="767EE61D"/>
    <w:rsid w:val="7682E33B"/>
    <w:rsid w:val="7683BA98"/>
    <w:rsid w:val="768C1110"/>
    <w:rsid w:val="76ADE247"/>
    <w:rsid w:val="76C1C057"/>
    <w:rsid w:val="76F245B1"/>
    <w:rsid w:val="76F9D34C"/>
    <w:rsid w:val="7700C44A"/>
    <w:rsid w:val="770E4EC8"/>
    <w:rsid w:val="7713CC74"/>
    <w:rsid w:val="771624BB"/>
    <w:rsid w:val="771701DA"/>
    <w:rsid w:val="772CCB21"/>
    <w:rsid w:val="774B4811"/>
    <w:rsid w:val="775949B4"/>
    <w:rsid w:val="77821F28"/>
    <w:rsid w:val="778D7908"/>
    <w:rsid w:val="77982D0A"/>
    <w:rsid w:val="779DF89C"/>
    <w:rsid w:val="779E508E"/>
    <w:rsid w:val="77A59790"/>
    <w:rsid w:val="77A5AEE8"/>
    <w:rsid w:val="77A8A8E2"/>
    <w:rsid w:val="77BC4724"/>
    <w:rsid w:val="77BC6811"/>
    <w:rsid w:val="77BD8F23"/>
    <w:rsid w:val="77BEFB7C"/>
    <w:rsid w:val="77CB4097"/>
    <w:rsid w:val="77D43184"/>
    <w:rsid w:val="77DA6C0F"/>
    <w:rsid w:val="77DD96D4"/>
    <w:rsid w:val="77E3F5F7"/>
    <w:rsid w:val="77EBABE5"/>
    <w:rsid w:val="77FA846A"/>
    <w:rsid w:val="78215E4D"/>
    <w:rsid w:val="7827B52B"/>
    <w:rsid w:val="7830FA10"/>
    <w:rsid w:val="7841C522"/>
    <w:rsid w:val="784D9AFE"/>
    <w:rsid w:val="785541E6"/>
    <w:rsid w:val="78564644"/>
    <w:rsid w:val="786E5A37"/>
    <w:rsid w:val="78A16C86"/>
    <w:rsid w:val="78E13BC6"/>
    <w:rsid w:val="78F8C34A"/>
    <w:rsid w:val="78FD21CD"/>
    <w:rsid w:val="78FFB977"/>
    <w:rsid w:val="790F9094"/>
    <w:rsid w:val="7912A0B0"/>
    <w:rsid w:val="79228D7F"/>
    <w:rsid w:val="792512BB"/>
    <w:rsid w:val="792CED0F"/>
    <w:rsid w:val="79431BF0"/>
    <w:rsid w:val="7956A5EA"/>
    <w:rsid w:val="796327EA"/>
    <w:rsid w:val="79634A71"/>
    <w:rsid w:val="7986FCAA"/>
    <w:rsid w:val="7994894C"/>
    <w:rsid w:val="79C9DE80"/>
    <w:rsid w:val="79E58309"/>
    <w:rsid w:val="79E74D5D"/>
    <w:rsid w:val="7A06D049"/>
    <w:rsid w:val="7A34FBBA"/>
    <w:rsid w:val="7A3E34D5"/>
    <w:rsid w:val="7A4B3511"/>
    <w:rsid w:val="7A515A98"/>
    <w:rsid w:val="7A6A7EF1"/>
    <w:rsid w:val="7A790F2B"/>
    <w:rsid w:val="7A7DA790"/>
    <w:rsid w:val="7A8DC587"/>
    <w:rsid w:val="7A8E9C81"/>
    <w:rsid w:val="7A90A3F1"/>
    <w:rsid w:val="7AA4E82B"/>
    <w:rsid w:val="7ABEE30C"/>
    <w:rsid w:val="7ACF4991"/>
    <w:rsid w:val="7AE1D7BE"/>
    <w:rsid w:val="7AEBAF0B"/>
    <w:rsid w:val="7B1C4DEE"/>
    <w:rsid w:val="7B21FE41"/>
    <w:rsid w:val="7B23066E"/>
    <w:rsid w:val="7B25147D"/>
    <w:rsid w:val="7B446B51"/>
    <w:rsid w:val="7B47B50B"/>
    <w:rsid w:val="7B53E654"/>
    <w:rsid w:val="7B56921E"/>
    <w:rsid w:val="7B5F0F92"/>
    <w:rsid w:val="7B819E33"/>
    <w:rsid w:val="7B8D710B"/>
    <w:rsid w:val="7B94FCF1"/>
    <w:rsid w:val="7BA7DA49"/>
    <w:rsid w:val="7BAA7F05"/>
    <w:rsid w:val="7BAB2DDB"/>
    <w:rsid w:val="7BD9BE6B"/>
    <w:rsid w:val="7BDA2AC9"/>
    <w:rsid w:val="7BE10787"/>
    <w:rsid w:val="7BE1EB9D"/>
    <w:rsid w:val="7BF17584"/>
    <w:rsid w:val="7BF4D62F"/>
    <w:rsid w:val="7BF6166F"/>
    <w:rsid w:val="7C034ABF"/>
    <w:rsid w:val="7C064F52"/>
    <w:rsid w:val="7C136E63"/>
    <w:rsid w:val="7C15F477"/>
    <w:rsid w:val="7C2028FE"/>
    <w:rsid w:val="7C332B09"/>
    <w:rsid w:val="7C5A094C"/>
    <w:rsid w:val="7C6C0423"/>
    <w:rsid w:val="7C73FCE1"/>
    <w:rsid w:val="7C7B8ACF"/>
    <w:rsid w:val="7C7C1A05"/>
    <w:rsid w:val="7C963876"/>
    <w:rsid w:val="7CBF15DB"/>
    <w:rsid w:val="7CC7922A"/>
    <w:rsid w:val="7CCFAC6A"/>
    <w:rsid w:val="7CD2EE46"/>
    <w:rsid w:val="7D1B9921"/>
    <w:rsid w:val="7D210C21"/>
    <w:rsid w:val="7D332952"/>
    <w:rsid w:val="7D413808"/>
    <w:rsid w:val="7D4DB210"/>
    <w:rsid w:val="7D655112"/>
    <w:rsid w:val="7D6E1C9E"/>
    <w:rsid w:val="7D6F856A"/>
    <w:rsid w:val="7D76CDAD"/>
    <w:rsid w:val="7D7ADABB"/>
    <w:rsid w:val="7D876BE0"/>
    <w:rsid w:val="7D8F2C30"/>
    <w:rsid w:val="7D90711E"/>
    <w:rsid w:val="7D98183E"/>
    <w:rsid w:val="7DB1C6F3"/>
    <w:rsid w:val="7DCCFC94"/>
    <w:rsid w:val="7DD93C0B"/>
    <w:rsid w:val="7DDF01DE"/>
    <w:rsid w:val="7E0FC072"/>
    <w:rsid w:val="7E1864A4"/>
    <w:rsid w:val="7E423060"/>
    <w:rsid w:val="7E4C99A8"/>
    <w:rsid w:val="7E58B7CE"/>
    <w:rsid w:val="7E641420"/>
    <w:rsid w:val="7E702DEA"/>
    <w:rsid w:val="7E740CA5"/>
    <w:rsid w:val="7E7AB612"/>
    <w:rsid w:val="7ECBAEE6"/>
    <w:rsid w:val="7ED1BE9B"/>
    <w:rsid w:val="7ED5F05F"/>
    <w:rsid w:val="7EF9A32C"/>
    <w:rsid w:val="7F1A1901"/>
    <w:rsid w:val="7F3DF014"/>
    <w:rsid w:val="7F53517A"/>
    <w:rsid w:val="7F58ADC7"/>
    <w:rsid w:val="7F66C613"/>
    <w:rsid w:val="7F6C8E7A"/>
    <w:rsid w:val="7F6D1D05"/>
    <w:rsid w:val="7FA980AB"/>
    <w:rsid w:val="7FAE601A"/>
    <w:rsid w:val="7FC922E0"/>
    <w:rsid w:val="7FCFBAB0"/>
    <w:rsid w:val="7FF7B759"/>
    <w:rsid w:val="7FFF90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16BF0F"/>
  <w15:chartTrackingRefBased/>
  <w15:docId w15:val="{BD3CB86B-B33C-47D1-88C5-9F30177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502"/>
    <w:pPr>
      <w:spacing w:before="120" w:after="120" w:line="240" w:lineRule="auto"/>
    </w:pPr>
    <w:rPr>
      <w:rFonts w:ascii="Calibri" w:hAnsi="Calibri" w:eastAsiaTheme="minorEastAsia" w:cs="Times New Roman"/>
      <w:kern w:val="0"/>
      <w:szCs w:val="24"/>
      <w14:ligatures w14:val="none"/>
    </w:rPr>
  </w:style>
  <w:style w:type="paragraph" w:styleId="Heading1">
    <w:name w:val="heading 1"/>
    <w:basedOn w:val="Normal"/>
    <w:next w:val="Normal"/>
    <w:link w:val="Heading1Char"/>
    <w:uiPriority w:val="9"/>
    <w:qFormat/>
    <w:rsid w:val="00025134"/>
    <w:pPr>
      <w:keepNext/>
      <w:keepLines/>
      <w:numPr>
        <w:numId w:val="1"/>
      </w:numPr>
      <w:spacing w:before="240"/>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025134"/>
    <w:pPr>
      <w:keepNext/>
      <w:keepLines/>
      <w:numPr>
        <w:ilvl w:val="1"/>
        <w:numId w:val="1"/>
      </w:numPr>
      <w:tabs>
        <w:tab w:val="left" w:pos="8684"/>
      </w:tabs>
      <w:spacing w:before="40"/>
      <w:outlineLvl w:val="1"/>
    </w:pPr>
    <w:rPr>
      <w:rFonts w:eastAsia="Times New Roman" w:asciiTheme="majorHAnsi"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5134"/>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438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D4380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34"/>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025134"/>
    <w:rPr>
      <w:rFonts w:eastAsia="Times New Roman" w:asciiTheme="majorHAnsi"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2513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D43808"/>
    <w:rPr>
      <w:rFonts w:asciiTheme="majorHAnsi" w:eastAsiaTheme="majorEastAsia" w:hAnsiTheme="majorHAnsi" w:cstheme="majorBidi"/>
      <w:i/>
      <w:iCs/>
      <w:color w:val="2F5496" w:themeColor="accent1" w:themeShade="BF"/>
      <w:kern w:val="0"/>
      <w:szCs w:val="24"/>
      <w14:ligatures w14:val="none"/>
    </w:rPr>
  </w:style>
  <w:style w:type="character" w:customStyle="1" w:styleId="Heading7Char">
    <w:name w:val="Heading 7 Char"/>
    <w:basedOn w:val="DefaultParagraphFont"/>
    <w:link w:val="Heading7"/>
    <w:uiPriority w:val="9"/>
    <w:rsid w:val="00D43808"/>
    <w:rPr>
      <w:rFonts w:asciiTheme="majorHAnsi" w:eastAsiaTheme="majorEastAsia" w:hAnsiTheme="majorHAnsi" w:cstheme="majorBidi"/>
      <w:i/>
      <w:iCs/>
      <w:color w:val="1F3763" w:themeColor="accent1" w:themeShade="7F"/>
      <w:kern w:val="0"/>
      <w:szCs w:val="24"/>
      <w14:ligatures w14:val="none"/>
    </w:rPr>
  </w:style>
  <w:style w:type="character" w:styleId="Strong">
    <w:name w:val="Strong"/>
    <w:basedOn w:val="DefaultParagraphFont"/>
    <w:uiPriority w:val="22"/>
    <w:qFormat/>
    <w:rsid w:val="00025134"/>
    <w:rPr>
      <w:b/>
      <w:bCs/>
    </w:rPr>
  </w:style>
  <w:style w:type="character" w:styleId="Hyperlink">
    <w:name w:val="Hyperlink"/>
    <w:basedOn w:val="DefaultParagraphFont"/>
    <w:uiPriority w:val="99"/>
    <w:unhideWhenUsed/>
    <w:rsid w:val="00025134"/>
    <w:rPr>
      <w:color w:val="0000FF"/>
      <w:u w:val="single"/>
    </w:rPr>
  </w:style>
  <w:style w:type="paragraph" w:styleId="ListParagraph">
    <w:name w:val="List Paragraph"/>
    <w:basedOn w:val="Normal"/>
    <w:uiPriority w:val="34"/>
    <w:qFormat/>
    <w:rsid w:val="00025134"/>
    <w:pPr>
      <w:numPr>
        <w:numId w:val="2"/>
      </w:numPr>
      <w:contextualSpacing/>
    </w:pPr>
  </w:style>
  <w:style w:type="paragraph" w:styleId="BodyText">
    <w:name w:val="Body Text"/>
    <w:link w:val="BodyTextChar"/>
    <w:uiPriority w:val="99"/>
    <w:qFormat/>
    <w:rsid w:val="00025134"/>
    <w:pPr>
      <w:tabs>
        <w:tab w:val="left" w:pos="720"/>
        <w:tab w:val="left" w:pos="1627"/>
        <w:tab w:val="left" w:pos="2160"/>
        <w:tab w:val="left" w:pos="2880"/>
      </w:tabs>
      <w:spacing w:after="0" w:line="480" w:lineRule="auto"/>
      <w:ind w:firstLine="720"/>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uiPriority w:val="99"/>
    <w:rsid w:val="00025134"/>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025134"/>
    <w:rPr>
      <w:sz w:val="16"/>
      <w:szCs w:val="16"/>
    </w:rPr>
  </w:style>
  <w:style w:type="paragraph" w:styleId="CommentText">
    <w:name w:val="annotation text"/>
    <w:basedOn w:val="Normal"/>
    <w:link w:val="CommentTextChar"/>
    <w:uiPriority w:val="99"/>
    <w:unhideWhenUsed/>
    <w:rsid w:val="00025134"/>
    <w:rPr>
      <w:sz w:val="20"/>
      <w:szCs w:val="20"/>
    </w:rPr>
  </w:style>
  <w:style w:type="character" w:customStyle="1" w:styleId="CommentTextChar">
    <w:name w:val="Comment Text Char"/>
    <w:basedOn w:val="DefaultParagraphFont"/>
    <w:link w:val="CommentText"/>
    <w:uiPriority w:val="99"/>
    <w:rsid w:val="00025134"/>
    <w:rPr>
      <w:rFonts w:ascii="Calibri" w:hAnsi="Calibri" w:eastAsiaTheme="minorEastAsia" w:cs="Times New Roman"/>
      <w:kern w:val="0"/>
      <w:sz w:val="20"/>
      <w:szCs w:val="20"/>
      <w14:ligatures w14:val="none"/>
    </w:rPr>
  </w:style>
  <w:style w:type="character" w:customStyle="1" w:styleId="cf01">
    <w:name w:val="cf01"/>
    <w:basedOn w:val="DefaultParagraphFont"/>
    <w:rsid w:val="00025134"/>
    <w:rPr>
      <w:rFonts w:ascii="Segoe UI" w:hAnsi="Segoe UI" w:cs="Segoe UI" w:hint="default"/>
      <w:sz w:val="18"/>
      <w:szCs w:val="18"/>
    </w:rPr>
  </w:style>
  <w:style w:type="paragraph" w:styleId="FootnoteText">
    <w:name w:val="footnote text"/>
    <w:aliases w:val="ALTS FOOTNOTE,Char,Char2,Char3,Char4,Footnote Text - Preamble,Footnote Text - Preamble1,Footnote Text Char Char,Footnote Text Char Char Char Char,Footnote Text Char Char1,Footnote Text Char1 Char Char,MC-PRE,MC-PRE Footnote Text,f,fn,fn1"/>
    <w:basedOn w:val="Normal"/>
    <w:link w:val="FootnoteTextChar"/>
    <w:uiPriority w:val="99"/>
    <w:unhideWhenUsed/>
    <w:qFormat/>
    <w:rsid w:val="00025134"/>
    <w:pPr>
      <w:spacing w:before="0" w:after="0"/>
    </w:pPr>
    <w:rPr>
      <w:sz w:val="20"/>
      <w:szCs w:val="20"/>
    </w:rPr>
  </w:style>
  <w:style w:type="character" w:customStyle="1" w:styleId="FootnoteTextChar">
    <w:name w:val="Footnote Text Char"/>
    <w:aliases w:val="ALTS FOOTNOTE Char,Char Char,Char2 Char,Char3 Char,Char4 Char,Footnote Text - Preamble Char,Footnote Text - Preamble1 Char,Footnote Text Char Char Char,Footnote Text Char Char Char Char Char,Footnote Text Char Char1 Char,MC-PRE Char"/>
    <w:basedOn w:val="DefaultParagraphFont"/>
    <w:link w:val="FootnoteText"/>
    <w:uiPriority w:val="99"/>
    <w:rsid w:val="00025134"/>
    <w:rPr>
      <w:rFonts w:ascii="Calibri" w:hAnsi="Calibri" w:eastAsiaTheme="minorEastAsia" w:cs="Times New Roman"/>
      <w:kern w:val="0"/>
      <w:sz w:val="20"/>
      <w:szCs w:val="20"/>
      <w14:ligatures w14:val="none"/>
    </w:rPr>
  </w:style>
  <w:style w:type="character" w:styleId="FootnoteReference">
    <w:name w:val="footnote reference"/>
    <w:aliases w:val="MC-PRE Footnote Reference"/>
    <w:basedOn w:val="DefaultParagraphFont"/>
    <w:uiPriority w:val="99"/>
    <w:unhideWhenUsed/>
    <w:qFormat/>
    <w:rsid w:val="00025134"/>
    <w:rPr>
      <w:vertAlign w:val="superscript"/>
    </w:rPr>
  </w:style>
  <w:style w:type="character" w:customStyle="1" w:styleId="normaltextrun">
    <w:name w:val="normaltextrun"/>
    <w:basedOn w:val="DefaultParagraphFont"/>
    <w:rsid w:val="00025134"/>
  </w:style>
  <w:style w:type="character" w:customStyle="1" w:styleId="eop">
    <w:name w:val="eop"/>
    <w:basedOn w:val="DefaultParagraphFont"/>
    <w:rsid w:val="00025134"/>
  </w:style>
  <w:style w:type="character" w:customStyle="1" w:styleId="findhit">
    <w:name w:val="findhit"/>
    <w:basedOn w:val="DefaultParagraphFont"/>
    <w:rsid w:val="00025134"/>
  </w:style>
  <w:style w:type="paragraph" w:customStyle="1" w:styleId="paragraph">
    <w:name w:val="paragraph"/>
    <w:basedOn w:val="Normal"/>
    <w:rsid w:val="00025134"/>
    <w:pPr>
      <w:spacing w:before="100" w:beforeAutospacing="1" w:after="100" w:afterAutospacing="1"/>
    </w:pPr>
    <w:rPr>
      <w:rFonts w:ascii="Times New Roman" w:eastAsia="Times New Roman" w:hAnsi="Times New Roman"/>
      <w:sz w:val="24"/>
    </w:rPr>
  </w:style>
  <w:style w:type="character" w:customStyle="1" w:styleId="superscript">
    <w:name w:val="superscript"/>
    <w:basedOn w:val="DefaultParagraphFont"/>
    <w:rsid w:val="00025134"/>
  </w:style>
  <w:style w:type="paragraph" w:customStyle="1" w:styleId="pf0">
    <w:name w:val="pf0"/>
    <w:basedOn w:val="Normal"/>
    <w:rsid w:val="00025134"/>
    <w:pPr>
      <w:spacing w:before="100" w:beforeAutospacing="1" w:after="100" w:afterAutospacing="1"/>
    </w:pPr>
    <w:rPr>
      <w:rFonts w:ascii="Times New Roman" w:eastAsia="Times New Roman" w:hAnsi="Times New Roman"/>
      <w:sz w:val="24"/>
    </w:rPr>
  </w:style>
  <w:style w:type="paragraph" w:styleId="Header">
    <w:name w:val="header"/>
    <w:basedOn w:val="Normal"/>
    <w:link w:val="HeaderChar"/>
    <w:uiPriority w:val="99"/>
    <w:unhideWhenUsed/>
    <w:rsid w:val="00025134"/>
    <w:pPr>
      <w:tabs>
        <w:tab w:val="center" w:pos="4680"/>
        <w:tab w:val="right" w:pos="9360"/>
      </w:tabs>
      <w:spacing w:before="0" w:after="0"/>
    </w:pPr>
  </w:style>
  <w:style w:type="character" w:customStyle="1" w:styleId="HeaderChar">
    <w:name w:val="Header Char"/>
    <w:basedOn w:val="DefaultParagraphFont"/>
    <w:link w:val="Header"/>
    <w:uiPriority w:val="99"/>
    <w:rsid w:val="00025134"/>
    <w:rPr>
      <w:rFonts w:ascii="Calibri" w:hAnsi="Calibri" w:eastAsiaTheme="minorEastAsia" w:cs="Times New Roman"/>
      <w:kern w:val="0"/>
      <w:szCs w:val="24"/>
      <w14:ligatures w14:val="none"/>
    </w:rPr>
  </w:style>
  <w:style w:type="paragraph" w:styleId="Footer">
    <w:name w:val="footer"/>
    <w:basedOn w:val="Normal"/>
    <w:link w:val="FooterChar"/>
    <w:uiPriority w:val="99"/>
    <w:unhideWhenUsed/>
    <w:rsid w:val="00025134"/>
    <w:pPr>
      <w:tabs>
        <w:tab w:val="center" w:pos="4680"/>
        <w:tab w:val="right" w:pos="9360"/>
      </w:tabs>
      <w:spacing w:before="0" w:after="0"/>
    </w:pPr>
  </w:style>
  <w:style w:type="character" w:customStyle="1" w:styleId="FooterChar">
    <w:name w:val="Footer Char"/>
    <w:basedOn w:val="DefaultParagraphFont"/>
    <w:link w:val="Footer"/>
    <w:uiPriority w:val="99"/>
    <w:rsid w:val="00025134"/>
    <w:rPr>
      <w:rFonts w:ascii="Calibri" w:hAnsi="Calibri" w:eastAsiaTheme="minorEastAsia" w:cs="Times New Roman"/>
      <w:kern w:val="0"/>
      <w:szCs w:val="24"/>
      <w14:ligatures w14:val="none"/>
    </w:rPr>
  </w:style>
  <w:style w:type="paragraph" w:styleId="Revision">
    <w:name w:val="Revision"/>
    <w:hidden/>
    <w:uiPriority w:val="99"/>
    <w:semiHidden/>
    <w:rsid w:val="00424315"/>
    <w:pPr>
      <w:spacing w:after="0" w:line="240" w:lineRule="auto"/>
    </w:pPr>
    <w:rPr>
      <w:rFonts w:ascii="Calibri" w:hAnsi="Calibri" w:eastAsiaTheme="minorEastAsia" w:cs="Times New Roman"/>
      <w:kern w:val="0"/>
      <w:szCs w:val="24"/>
      <w14:ligatures w14:val="none"/>
    </w:rPr>
  </w:style>
  <w:style w:type="paragraph" w:styleId="CommentSubject">
    <w:name w:val="annotation subject"/>
    <w:basedOn w:val="CommentText"/>
    <w:next w:val="CommentText"/>
    <w:link w:val="CommentSubjectChar"/>
    <w:uiPriority w:val="99"/>
    <w:semiHidden/>
    <w:unhideWhenUsed/>
    <w:rsid w:val="00944FEB"/>
    <w:rPr>
      <w:b/>
      <w:bCs/>
    </w:rPr>
  </w:style>
  <w:style w:type="character" w:customStyle="1" w:styleId="CommentSubjectChar">
    <w:name w:val="Comment Subject Char"/>
    <w:basedOn w:val="CommentTextChar"/>
    <w:link w:val="CommentSubject"/>
    <w:uiPriority w:val="99"/>
    <w:semiHidden/>
    <w:rsid w:val="00944FEB"/>
    <w:rPr>
      <w:rFonts w:ascii="Calibri" w:hAnsi="Calibri" w:eastAsiaTheme="minorEastAsia" w:cs="Times New Roman"/>
      <w:b/>
      <w:bCs/>
      <w:kern w:val="0"/>
      <w:sz w:val="20"/>
      <w:szCs w:val="20"/>
      <w14:ligatures w14:val="none"/>
    </w:rPr>
  </w:style>
  <w:style w:type="character" w:styleId="Mention">
    <w:name w:val="Mention"/>
    <w:basedOn w:val="DefaultParagraphFont"/>
    <w:uiPriority w:val="99"/>
    <w:unhideWhenUsed/>
    <w:rsid w:val="00AF54AD"/>
    <w:rPr>
      <w:color w:val="2B579A"/>
      <w:shd w:val="clear" w:color="auto" w:fill="E1DFDD"/>
    </w:rPr>
  </w:style>
  <w:style w:type="character" w:styleId="UnresolvedMention">
    <w:name w:val="Unresolved Mention"/>
    <w:basedOn w:val="DefaultParagraphFont"/>
    <w:uiPriority w:val="99"/>
    <w:semiHidden/>
    <w:unhideWhenUsed/>
    <w:rsid w:val="00393927"/>
    <w:rPr>
      <w:color w:val="605E5C"/>
      <w:shd w:val="clear" w:color="auto" w:fill="E1DFDD"/>
    </w:rPr>
  </w:style>
  <w:style w:type="paragraph" w:customStyle="1" w:styleId="msonormal">
    <w:name w:val="msonormal"/>
    <w:basedOn w:val="Normal"/>
    <w:rsid w:val="00D43808"/>
    <w:pPr>
      <w:spacing w:before="100" w:beforeAutospacing="1" w:after="100" w:afterAutospacing="1"/>
    </w:pPr>
  </w:style>
  <w:style w:type="paragraph" w:customStyle="1" w:styleId="outlineappendix">
    <w:name w:val="outlineappendix"/>
    <w:basedOn w:val="Normal"/>
    <w:rsid w:val="00D43808"/>
    <w:rPr>
      <w:sz w:val="18"/>
      <w:szCs w:val="18"/>
    </w:rPr>
  </w:style>
  <w:style w:type="paragraph" w:styleId="NormalWeb">
    <w:name w:val="Normal (Web)"/>
    <w:basedOn w:val="Normal"/>
    <w:uiPriority w:val="99"/>
    <w:unhideWhenUsed/>
    <w:rsid w:val="00D43808"/>
    <w:pPr>
      <w:spacing w:before="100" w:beforeAutospacing="1" w:after="100" w:afterAutospacing="1"/>
    </w:pPr>
  </w:style>
  <w:style w:type="character" w:styleId="Emphasis">
    <w:name w:val="Emphasis"/>
    <w:basedOn w:val="DefaultParagraphFont"/>
    <w:uiPriority w:val="20"/>
    <w:qFormat/>
    <w:rsid w:val="00D43808"/>
    <w:rPr>
      <w:i/>
      <w:iCs/>
    </w:rPr>
  </w:style>
  <w:style w:type="paragraph" w:styleId="TOCHeading">
    <w:name w:val="TOC Heading"/>
    <w:basedOn w:val="Heading1"/>
    <w:next w:val="Normal"/>
    <w:uiPriority w:val="39"/>
    <w:unhideWhenUsed/>
    <w:qFormat/>
    <w:rsid w:val="00D43808"/>
    <w:pPr>
      <w:numPr>
        <w:numId w:val="5"/>
      </w:numPr>
      <w:spacing w:line="259" w:lineRule="auto"/>
      <w:outlineLvl w:val="9"/>
    </w:pPr>
  </w:style>
  <w:style w:type="paragraph" w:styleId="TOC2">
    <w:name w:val="toc 2"/>
    <w:basedOn w:val="Normal"/>
    <w:next w:val="Normal"/>
    <w:autoRedefine/>
    <w:uiPriority w:val="39"/>
    <w:unhideWhenUsed/>
    <w:rsid w:val="00564A59"/>
    <w:pPr>
      <w:tabs>
        <w:tab w:val="left" w:pos="880"/>
        <w:tab w:val="right" w:leader="dot" w:pos="9206"/>
      </w:tabs>
      <w:spacing w:after="100"/>
    </w:pPr>
  </w:style>
  <w:style w:type="paragraph" w:styleId="TOC3">
    <w:name w:val="toc 3"/>
    <w:basedOn w:val="Normal"/>
    <w:next w:val="Normal"/>
    <w:autoRedefine/>
    <w:uiPriority w:val="39"/>
    <w:unhideWhenUsed/>
    <w:rsid w:val="00D43808"/>
    <w:pPr>
      <w:spacing w:after="100"/>
      <w:ind w:left="480"/>
    </w:pPr>
  </w:style>
  <w:style w:type="paragraph" w:styleId="TOC1">
    <w:name w:val="toc 1"/>
    <w:basedOn w:val="Normal"/>
    <w:next w:val="Normal"/>
    <w:autoRedefine/>
    <w:uiPriority w:val="39"/>
    <w:unhideWhenUsed/>
    <w:rsid w:val="00D43808"/>
    <w:pPr>
      <w:tabs>
        <w:tab w:val="left" w:pos="435"/>
        <w:tab w:val="right" w:leader="dot" w:pos="9210"/>
      </w:tabs>
      <w:spacing w:after="100"/>
    </w:pPr>
  </w:style>
  <w:style w:type="paragraph" w:styleId="TOC4">
    <w:name w:val="toc 4"/>
    <w:basedOn w:val="Normal"/>
    <w:next w:val="Normal"/>
    <w:autoRedefine/>
    <w:uiPriority w:val="39"/>
    <w:unhideWhenUsed/>
    <w:rsid w:val="00D43808"/>
    <w:pPr>
      <w:spacing w:after="100" w:line="259" w:lineRule="auto"/>
      <w:ind w:left="660"/>
    </w:pPr>
    <w:rPr>
      <w:rFonts w:asciiTheme="minorHAnsi" w:hAnsiTheme="minorHAnsi" w:cstheme="minorBidi"/>
      <w:szCs w:val="22"/>
    </w:rPr>
  </w:style>
  <w:style w:type="paragraph" w:styleId="TOC5">
    <w:name w:val="toc 5"/>
    <w:basedOn w:val="Normal"/>
    <w:next w:val="Normal"/>
    <w:autoRedefine/>
    <w:uiPriority w:val="39"/>
    <w:unhideWhenUsed/>
    <w:rsid w:val="00D43808"/>
    <w:pPr>
      <w:spacing w:after="100" w:line="259" w:lineRule="auto"/>
      <w:ind w:left="880"/>
    </w:pPr>
    <w:rPr>
      <w:rFonts w:asciiTheme="minorHAnsi" w:hAnsiTheme="minorHAnsi" w:cstheme="minorBidi"/>
      <w:szCs w:val="22"/>
    </w:rPr>
  </w:style>
  <w:style w:type="paragraph" w:styleId="TOC6">
    <w:name w:val="toc 6"/>
    <w:basedOn w:val="Normal"/>
    <w:next w:val="Normal"/>
    <w:autoRedefine/>
    <w:uiPriority w:val="39"/>
    <w:unhideWhenUsed/>
    <w:rsid w:val="00D43808"/>
    <w:pPr>
      <w:spacing w:after="100" w:line="259" w:lineRule="auto"/>
      <w:ind w:left="1100"/>
    </w:pPr>
    <w:rPr>
      <w:rFonts w:asciiTheme="minorHAnsi" w:hAnsiTheme="minorHAnsi" w:cstheme="minorBidi"/>
      <w:szCs w:val="22"/>
    </w:rPr>
  </w:style>
  <w:style w:type="paragraph" w:styleId="TOC7">
    <w:name w:val="toc 7"/>
    <w:basedOn w:val="Normal"/>
    <w:next w:val="Normal"/>
    <w:autoRedefine/>
    <w:uiPriority w:val="39"/>
    <w:unhideWhenUsed/>
    <w:rsid w:val="00D43808"/>
    <w:pPr>
      <w:spacing w:after="100" w:line="259" w:lineRule="auto"/>
      <w:ind w:left="1320"/>
    </w:pPr>
    <w:rPr>
      <w:rFonts w:asciiTheme="minorHAnsi" w:hAnsiTheme="minorHAnsi" w:cstheme="minorBidi"/>
      <w:szCs w:val="22"/>
    </w:rPr>
  </w:style>
  <w:style w:type="paragraph" w:styleId="TOC8">
    <w:name w:val="toc 8"/>
    <w:basedOn w:val="Normal"/>
    <w:next w:val="Normal"/>
    <w:autoRedefine/>
    <w:uiPriority w:val="39"/>
    <w:unhideWhenUsed/>
    <w:rsid w:val="00D43808"/>
    <w:pPr>
      <w:spacing w:after="100" w:line="259" w:lineRule="auto"/>
      <w:ind w:left="1540"/>
    </w:pPr>
    <w:rPr>
      <w:rFonts w:asciiTheme="minorHAnsi" w:hAnsiTheme="minorHAnsi" w:cstheme="minorBidi"/>
      <w:szCs w:val="22"/>
    </w:rPr>
  </w:style>
  <w:style w:type="paragraph" w:styleId="TOC9">
    <w:name w:val="toc 9"/>
    <w:basedOn w:val="Normal"/>
    <w:next w:val="Normal"/>
    <w:autoRedefine/>
    <w:uiPriority w:val="39"/>
    <w:unhideWhenUsed/>
    <w:rsid w:val="00D43808"/>
    <w:pPr>
      <w:spacing w:after="100" w:line="259" w:lineRule="auto"/>
      <w:ind w:left="1760"/>
    </w:pPr>
    <w:rPr>
      <w:rFonts w:asciiTheme="minorHAnsi" w:hAnsiTheme="minorHAnsi" w:cstheme="minorBidi"/>
      <w:szCs w:val="22"/>
    </w:rPr>
  </w:style>
  <w:style w:type="character" w:customStyle="1" w:styleId="tabchar">
    <w:name w:val="tabchar"/>
    <w:basedOn w:val="DefaultParagraphFont"/>
    <w:rsid w:val="00D43808"/>
  </w:style>
  <w:style w:type="character" w:customStyle="1" w:styleId="cf11">
    <w:name w:val="cf11"/>
    <w:basedOn w:val="DefaultParagraphFont"/>
    <w:rsid w:val="00D43808"/>
    <w:rPr>
      <w:rFonts w:ascii="Segoe UI" w:hAnsi="Segoe UI" w:cs="Segoe UI" w:hint="default"/>
      <w:sz w:val="18"/>
      <w:szCs w:val="18"/>
    </w:rPr>
  </w:style>
  <w:style w:type="character" w:customStyle="1" w:styleId="ui-provider">
    <w:name w:val="ui-provider"/>
    <w:basedOn w:val="DefaultParagraphFont"/>
    <w:rsid w:val="00D43808"/>
  </w:style>
  <w:style w:type="character" w:customStyle="1" w:styleId="cf31">
    <w:name w:val="cf31"/>
    <w:basedOn w:val="DefaultParagraphFont"/>
    <w:rsid w:val="00D43808"/>
    <w:rPr>
      <w:rFonts w:ascii="Segoe UI" w:hAnsi="Segoe UI" w:cs="Segoe UI" w:hint="default"/>
      <w:sz w:val="18"/>
      <w:szCs w:val="18"/>
    </w:rPr>
  </w:style>
  <w:style w:type="character" w:styleId="FollowedHyperlink">
    <w:name w:val="FollowedHyperlink"/>
    <w:basedOn w:val="DefaultParagraphFont"/>
    <w:uiPriority w:val="99"/>
    <w:semiHidden/>
    <w:unhideWhenUsed/>
    <w:rsid w:val="009B2926"/>
    <w:rPr>
      <w:color w:val="800080"/>
      <w:u w:val="single"/>
    </w:rPr>
  </w:style>
  <w:style w:type="paragraph" w:styleId="NoSpacing">
    <w:name w:val="No Spacing"/>
    <w:uiPriority w:val="1"/>
    <w:qFormat/>
    <w:rsid w:val="009B2926"/>
    <w:pPr>
      <w:spacing w:after="0" w:line="240" w:lineRule="auto"/>
    </w:pPr>
    <w:rPr>
      <w:kern w:val="0"/>
      <w14:ligatures w14:val="none"/>
    </w:rPr>
  </w:style>
  <w:style w:type="character" w:customStyle="1" w:styleId="fdmstext">
    <w:name w:val="fdmstext"/>
    <w:basedOn w:val="DefaultParagraphFont"/>
    <w:rsid w:val="009D707A"/>
    <w:rPr>
      <w:b/>
      <w:bCs/>
      <w:color w:val="0000CC"/>
    </w:rPr>
  </w:style>
  <w:style w:type="paragraph" w:customStyle="1" w:styleId="Default">
    <w:name w:val="Default"/>
    <w:rsid w:val="00197CFE"/>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f1">
    <w:name w:val="pf1"/>
    <w:basedOn w:val="Normal"/>
    <w:rsid w:val="00197CFE"/>
    <w:pPr>
      <w:spacing w:before="100" w:beforeAutospacing="1" w:after="100" w:afterAutospacing="1"/>
      <w:ind w:left="720"/>
    </w:pPr>
    <w:rPr>
      <w:rFonts w:ascii="Times New Roman" w:eastAsia="Times New Roman" w:hAnsi="Times New Roman"/>
      <w:sz w:val="24"/>
    </w:rPr>
  </w:style>
  <w:style w:type="table" w:styleId="TableGrid">
    <w:name w:val="Table Grid"/>
    <w:basedOn w:val="TableNormal"/>
    <w:uiPriority w:val="39"/>
    <w:rsid w:val="00E11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hyperlink" Target="https://www.osha.gov/dep/fertilizer_industry/" TargetMode="External" /><Relationship Id="rId13" Type="http://schemas.openxmlformats.org/officeDocument/2006/relationships/hyperlink" Target="https://www.whistleblowers.gov" TargetMode="External" /><Relationship Id="rId14" Type="http://schemas.openxmlformats.org/officeDocument/2006/relationships/hyperlink" Target="https://www.epa.gov/sites/default/files/documents/112rcep062012.pdf" TargetMode="External" /><Relationship Id="rId15" Type="http://schemas.openxmlformats.org/officeDocument/2006/relationships/hyperlink" Target="https://www.epa.gov/rmp/accessing-rmp-data" TargetMode="External" /><Relationship Id="rId16" Type="http://schemas.openxmlformats.org/officeDocument/2006/relationships/hyperlink" Target="https://emergency.cdc.gov/planning/Shelteringfacts.asp" TargetMode="External" /><Relationship Id="rId17" Type="http://schemas.openxmlformats.org/officeDocument/2006/relationships/hyperlink" Target="https://www.cdc.gov/mmwr/pdf/ss/ss6402.pdf" TargetMode="External" /><Relationship Id="rId18" Type="http://schemas.openxmlformats.org/officeDocument/2006/relationships/hyperlink" Target="https://pubmed.ncbi.nlm.nih.gov/33339315/" TargetMode="Externa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ites/default/files/2013-10/documents/chap-01-final.pdf" TargetMode="External" /><Relationship Id="rId10" Type="http://schemas.openxmlformats.org/officeDocument/2006/relationships/hyperlink" Target="https://www.epa.gov/emc/emc-continuous-emission-monitoring-systems" TargetMode="External" /><Relationship Id="rId11" Type="http://schemas.openxmlformats.org/officeDocument/2006/relationships/hyperlink" Target="http://www.epa.gov/sites/default/files/2020-08/documents/04-nh3_cems.pdf" TargetMode="External" /><Relationship Id="rId12" Type="http://schemas.openxmlformats.org/officeDocument/2006/relationships/hyperlink" Target="https://www.oecd.org/chemicalsafety/chemical-accidents/" TargetMode="External" /><Relationship Id="rId13" Type="http://schemas.openxmlformats.org/officeDocument/2006/relationships/hyperlink" Target="https://www.marsh.com/uk/industries/energy-and-power/insights/100-largest-losses.html" TargetMode="External" /><Relationship Id="rId14" Type="http://schemas.openxmlformats.org/officeDocument/2006/relationships/hyperlink" Target="https://bookstore.chlorineinstitute.org/pamphlet-73-atmospheric-monitoring-equipment-for-chlorine.html?Session_ID=66da3abed669d2ecb4448e5c1c17ba5e" TargetMode="External" /><Relationship Id="rId15" Type="http://schemas.openxmlformats.org/officeDocument/2006/relationships/hyperlink" Target="https://www.osha.gov/sites/default/files/enforcement/directives/CPL02-02-045_CH-1_20150901.pdf" TargetMode="External" /><Relationship Id="rId16" Type="http://schemas.openxmlformats.org/officeDocument/2006/relationships/hyperlink" Target="https://www.epa.gov/system/files/documents/2022-11/RMP%20eSubmit%20User%20Manual%20%28October%202022%29.pdf" TargetMode="External" /><Relationship Id="rId17" Type="http://schemas.openxmlformats.org/officeDocument/2006/relationships/hyperlink" Target="https://www.dir.ca.gov/title8/5189_1.html" TargetMode="External" /><Relationship Id="rId18" Type="http://schemas.openxmlformats.org/officeDocument/2006/relationships/hyperlink" Target="https://www.regulations.gov/document/EPA-HQ-OLEM-2022-0174-0065" TargetMode="External" /><Relationship Id="rId19" Type="http://schemas.openxmlformats.org/officeDocument/2006/relationships/hyperlink" Target="https://www.regulations.gov/document?D=EPA-HQ-OEM-2015-0725-0253" TargetMode="External" /><Relationship Id="rId2" Type="http://schemas.openxmlformats.org/officeDocument/2006/relationships/hyperlink" Target="https://www.epa.gov/rmp/epa-regional-rmp-contacts" TargetMode="External" /><Relationship Id="rId20" Type="http://schemas.openxmlformats.org/officeDocument/2006/relationships/hyperlink" Target="https://www.regulations.gov/document?D=EPA-HQ-OEM-2015-0725-0274" TargetMode="External" /><Relationship Id="rId21" Type="http://schemas.openxmlformats.org/officeDocument/2006/relationships/hyperlink" Target="http://www.nj.gov/dep/rules/rules/njac7_31.pdf" TargetMode="External" /><Relationship Id="rId22" Type="http://schemas.openxmlformats.org/officeDocument/2006/relationships/hyperlink" Target="https://www.nj.gov/dep/enforcement/tcpa/downloads/istguidance_rev2.pdf" TargetMode="External" /><Relationship Id="rId23" Type="http://schemas.openxmlformats.org/officeDocument/2006/relationships/hyperlink" Target="https://www.regulations.gov/document/EPA-HQ-OLEM-2022-0174-0091" TargetMode="External" /><Relationship Id="rId24" Type="http://schemas.openxmlformats.org/officeDocument/2006/relationships/hyperlink" Target="https://www.csb.gov/husky-energy-superior-refinery-explosion-and-fire/" TargetMode="External" /><Relationship Id="rId25" Type="http://schemas.openxmlformats.org/officeDocument/2006/relationships/hyperlink" Target="https://www.csb.gov/philadelphia-energy-solutions-pes-refinery-fire-and-explosions-/" TargetMode="External" /><Relationship Id="rId26" Type="http://schemas.openxmlformats.org/officeDocument/2006/relationships/hyperlink" Target="https://www.nacd.com/responsible-distribution/about-responsible-distribution/" TargetMode="External" /><Relationship Id="rId27" Type="http://schemas.openxmlformats.org/officeDocument/2006/relationships/hyperlink" Target="https://www.americanchemistry.com/chemistry-in-america/responsible-care-driving-safety-industry-performance?gclid=EAIaIQobChMIov_h7qbw9QIVj67ICh3g5guDEAAYASAAEgLHCfD_BwE" TargetMode="External" /><Relationship Id="rId28" Type="http://schemas.openxmlformats.org/officeDocument/2006/relationships/hyperlink" Target="https://www.api.org/products-and-services/site-safety" TargetMode="External" /><Relationship Id="rId29" Type="http://schemas.openxmlformats.org/officeDocument/2006/relationships/hyperlink" Target="http://www.hbs.edu/faculty/Pages/item.aspx?num=50186" TargetMode="External" /><Relationship Id="rId3" Type="http://schemas.openxmlformats.org/officeDocument/2006/relationships/hyperlink" Target="file:///C:\Users\MGRoberts\AppData\Local\Microsoft\Windows\INetCache\Content.Outlook\DXXAL7G7\),%20https:\" TargetMode="External" /><Relationship Id="rId30" Type="http://schemas.openxmlformats.org/officeDocument/2006/relationships/hyperlink" Target="https://www.epa.gov/sites/default/files/2016-12/documents/rmp_rtc_compiled_12-21-16.pdf" TargetMode="External" /><Relationship Id="rId31" Type="http://schemas.openxmlformats.org/officeDocument/2006/relationships/hyperlink" Target="https://echo.epa.gov/report-environmental-violations" TargetMode="External" /><Relationship Id="rId32" Type="http://schemas.openxmlformats.org/officeDocument/2006/relationships/hyperlink" Target="https://www.epa.gov/pesticide-incidents/how-report-spills-and-environmental-violations" TargetMode="External" /><Relationship Id="rId33" Type="http://schemas.openxmlformats.org/officeDocument/2006/relationships/hyperlink" Target="https://www.epa.gov/rmp/rmpesubmit" TargetMode="External" /><Relationship Id="rId34" Type="http://schemas.openxmlformats.org/officeDocument/2006/relationships/hyperlink" Target="https://www.fema.gov/emergency-managers/practitioners/integrated-public-alert-warning-system" TargetMode="External" /><Relationship Id="rId35" Type="http://schemas.openxmlformats.org/officeDocument/2006/relationships/hyperlink" Target="https://www.fema.gov/es/emergency-managers/practitioners/integrated-public-alert-warning-system/public/alerting-people-disabilities" TargetMode="External" /><Relationship Id="rId36" Type="http://schemas.openxmlformats.org/officeDocument/2006/relationships/hyperlink" Target="https://www.fema.gov/emergency-managers/practitioners/integrated-public-alert-warning-system/public-safety-officials/sign-up" TargetMode="External" /><Relationship Id="rId37" Type="http://schemas.openxmlformats.org/officeDocument/2006/relationships/hyperlink" Target="https://www.epa.gov/rmp/federal-reading-rooms-risk-management-plans-rmp" TargetMode="External" /><Relationship Id="rId38" Type="http://schemas.openxmlformats.org/officeDocument/2006/relationships/hyperlink" Target="https://www.epa.gov/system/files/documents/2023-04/National%20Survey%20of%20the%20State%20Emergency%20Response%20Commissions.pdf" TargetMode="External" /><Relationship Id="rId39" Type="http://schemas.openxmlformats.org/officeDocument/2006/relationships/hyperlink" Target="https://www.epa.gov/rmp/forms/vulnerable-zone-indicator-system" TargetMode="External" /><Relationship Id="rId4" Type="http://schemas.openxmlformats.org/officeDocument/2006/relationships/hyperlink" Target="https://hazards.fema.gov/nri/natural-hazards" TargetMode="External" /><Relationship Id="rId40" Type="http://schemas.openxmlformats.org/officeDocument/2006/relationships/hyperlink" Target="https://data.census.gov/table?t=Language+Spoken+at+Home" TargetMode="External" /><Relationship Id="rId41" Type="http://schemas.openxmlformats.org/officeDocument/2006/relationships/hyperlink" Target="https://www.lep.gov/language-access-planning" TargetMode="External" /><Relationship Id="rId42" Type="http://schemas.openxmlformats.org/officeDocument/2006/relationships/hyperlink" Target="https://www.epa.gov/cameo/cameo-chemicals-software" TargetMode="External" /><Relationship Id="rId43" Type="http://schemas.openxmlformats.org/officeDocument/2006/relationships/hyperlink" Target="https://www.regulations.gov/document/EPA-HQ-OEM-2015-0725-2003" TargetMode="External" /><Relationship Id="rId44" Type="http://schemas.openxmlformats.org/officeDocument/2006/relationships/hyperlink" Target="https://www.govinfo.gov/content/pkg/FR-1998-01-06/pdf/98-267.pdf" TargetMode="External" /><Relationship Id="rId45" Type="http://schemas.openxmlformats.org/officeDocument/2006/relationships/hyperlink" Target="https://www.epa.gov/rmp/complying-process-safety-information-psi-resulting-new-and-updated-recognized-and-generally" TargetMode="External" /><Relationship Id="rId46" Type="http://schemas.openxmlformats.org/officeDocument/2006/relationships/hyperlink" Target="https://yosemite.epa.gov/oa/rhc/epaadmin.nsf/Filings/F8CDEF8A6F344043852588A90070FA45/$File/Par%20Hawaii%20Refining%20(CAA112R-09-2022-0008)%20-%20Served.pdf" TargetMode="External" /><Relationship Id="rId47" Type="http://schemas.openxmlformats.org/officeDocument/2006/relationships/hyperlink" Target="https://yosemite.epa.gov/oa/rhc/epaadmin.nsf/Filings/0D26DA8B081A54008525867F00634AB2/$File/EPCRA-01-2021-0037%20and%20CAA%20-01-2021-0038%20ORPEL%20CAFO%20Respondent%20Signed-RJO-Signed02-17-21%20(002).pdf" TargetMode="External" /><Relationship Id="rId48" Type="http://schemas.openxmlformats.org/officeDocument/2006/relationships/hyperlink" Target="https://www.epa.gov/system/files/documents/2022-09/OLEM-EJ-Action-Plan_9.2022_FINAL-508.pdf" TargetMode="External" /><Relationship Id="rId49" Type="http://schemas.openxmlformats.org/officeDocument/2006/relationships/hyperlink" Target="https://www.epa.gov/sites/production/files/2016-06/documents/ejtg_5_6_16_v5.1.pdf" TargetMode="External" /><Relationship Id="rId5" Type="http://schemas.openxmlformats.org/officeDocument/2006/relationships/hyperlink" Target="https://disgeoportal.egs.anl.gov/ClimRR/" TargetMode="External" /><Relationship Id="rId50" Type="http://schemas.openxmlformats.org/officeDocument/2006/relationships/hyperlink" Target="https://usepa.sharepoint.com/sites/RMPRetrospectionRule/Shared%20Documents/General/RIA%20Documents/.%20https:/www.epa.gov/sites/default/files/2015-06/documents/considering-ej-in-rulemaking-guide-final.pdf" TargetMode="External" /><Relationship Id="rId51" Type="http://schemas.openxmlformats.org/officeDocument/2006/relationships/hyperlink" Target="https://icfonline.sharepoint.com/teams/RMPRulemakingSupport/Shared%20Documents/RMP%20SCCAP%20Rule%20(2021_2023)/Economic%20Analysis/Updated%20EJ%20Analysis%20-%20Final%20Rule/EPA%20(2016).%20Technical%20Guidance%20for%20Assessing%20Environmental%20Justice%20in%20Regulatory%20Analysis.%20https:/www.epa.gov/sites/production/files/2016-06/documents/ejtg_5_6_16_v5.1.pdf" TargetMode="External" /><Relationship Id="rId52" Type="http://schemas.openxmlformats.org/officeDocument/2006/relationships/hyperlink" Target="https://www.marsh.com/us/industries/energy-and-power/insights/100-largest-losses/100-largest-losses-report-download.html" TargetMode="External" /><Relationship Id="rId53" Type="http://schemas.openxmlformats.org/officeDocument/2006/relationships/hyperlink" Target="https://www.phila.gov/media/20191204161826/US-CSB-PES-Factual-Update.pdf" TargetMode="External" /><Relationship Id="rId54" Type="http://schemas.openxmlformats.org/officeDocument/2006/relationships/hyperlink" Target="https://www.osha.gov/chemical-executive-order" TargetMode="External" /><Relationship Id="rId6" Type="http://schemas.openxmlformats.org/officeDocument/2006/relationships/hyperlink" Target="https://resilience.climate.gov/" TargetMode="External" /><Relationship Id="rId7" Type="http://schemas.openxmlformats.org/officeDocument/2006/relationships/hyperlink" Target="https://www.fema.gov/sites/default/files/documents/fema_climate-essentials_072023.pdf" TargetMode="External" /><Relationship Id="rId8" Type="http://schemas.openxmlformats.org/officeDocument/2006/relationships/hyperlink" Target="https://www.gao.gov/assets/gao-22-104494.pdf" TargetMode="External" /><Relationship Id="rId9" Type="http://schemas.openxmlformats.org/officeDocument/2006/relationships/hyperlink" Target="https://hazards.fema.gov/nr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0616d2-97d1-4359-9fe0-fce270a195bc">
      <UserInfo>
        <DisplayName>Lee, Michael (he/him/his)</DisplayName>
        <AccountId>102</AccountId>
        <AccountType/>
      </UserInfo>
      <UserInfo>
        <DisplayName>Smith, Catherine</DisplayName>
        <AccountId>46</AccountId>
        <AccountType/>
      </UserInfo>
    </SharedWithUsers>
    <TaxCatchAll xmlns="4ffa91fb-a0ff-4ac5-b2db-65c790d184a4" xsi:nil="true"/>
    <lcf76f155ced4ddcb4097134ff3c332f xmlns="f681fe1a-6f3a-4bc8-bd95-a336c6044f0b">
      <Terms xmlns="http://schemas.microsoft.com/office/infopath/2007/PartnerControls"/>
    </lcf76f155ced4ddcb4097134ff3c332f>
    <_Source xmlns="http://schemas.microsoft.com/sharepoint/v3/fields" xsi:nil="true"/>
    <Language xmlns="http://schemas.microsoft.com/sharepoint/v3">English</Language>
    <DateandTime xmlns="f681fe1a-6f3a-4bc8-bd95-a336c6044f0b"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2024-02-08T22:55:51+00:00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6F4FF33A1A1F409242C0E212D83C63" ma:contentTypeVersion="17" ma:contentTypeDescription="Create a new document." ma:contentTypeScope="" ma:versionID="90ed6b408deb94bad1bdc62131fc18e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681fe1a-6f3a-4bc8-bd95-a336c6044f0b" xmlns:ns6="770616d2-97d1-4359-9fe0-fce270a195bc" targetNamespace="http://schemas.microsoft.com/office/2006/metadata/properties" ma:root="true" ma:fieldsID="b0a7b269ab80a74f87b347c49801d1cb" ns1:_="" ns2:_="" ns3:_="" ns4:_="" ns5:_="" ns6:_="">
    <xsd:import namespace="http://schemas.microsoft.com/sharepoint/v3"/>
    <xsd:import namespace="4ffa91fb-a0ff-4ac5-b2db-65c790d184a4"/>
    <xsd:import namespace="http://schemas.microsoft.com/sharepoint.v3"/>
    <xsd:import namespace="http://schemas.microsoft.com/sharepoint/v3/fields"/>
    <xsd:import namespace="f681fe1a-6f3a-4bc8-bd95-a336c6044f0b"/>
    <xsd:import namespace="770616d2-97d1-4359-9fe0-fce270a195b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5:MediaServiceObjectDetectorVersions" minOccurs="0"/>
                <xsd:element ref="ns5:DateandTim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23ce1b3-5a1c-4dcb-8a6d-bf4647a78b84}" ma:internalName="TaxCatchAllLabel" ma:readOnly="true" ma:showField="CatchAllDataLabel" ma:web="770616d2-97d1-4359-9fe0-fce270a195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23ce1b3-5a1c-4dcb-8a6d-bf4647a78b84}" ma:internalName="TaxCatchAll" ma:showField="CatchAllData" ma:web="770616d2-97d1-4359-9fe0-fce270a19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1fe1a-6f3a-4bc8-bd95-a336c6044f0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DateandTime" ma:index="41" nillable="true" ma:displayName="Date and Time" ma:format="DateTime" ma:internalName="DateandTime">
      <xsd:simpleType>
        <xsd:restriction base="dms:DateTim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616d2-97d1-4359-9fe0-fce270a195bc"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0619-D9CD-42E5-8DA2-7F8895060DAB}">
  <ds:schemaRefs>
    <ds:schemaRef ds:uri="http://schemas.microsoft.com/sharepoint/v3"/>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681fe1a-6f3a-4bc8-bd95-a336c6044f0b"/>
    <ds:schemaRef ds:uri="http://purl.org/dc/dcmitype/"/>
    <ds:schemaRef ds:uri="770616d2-97d1-4359-9fe0-fce270a195bc"/>
    <ds:schemaRef ds:uri="http://schemas.microsoft.com/office/2006/metadata/properties"/>
    <ds:schemaRef ds:uri="http://schemas.microsoft.com/sharepoint.v3"/>
    <ds:schemaRef ds:uri="http://schemas.microsoft.com/sharepoint/v3/fields"/>
    <ds:schemaRef ds:uri="4ffa91fb-a0ff-4ac5-b2db-65c790d184a4"/>
    <ds:schemaRef ds:uri="http://www.w3.org/XML/1998/namespace"/>
  </ds:schemaRefs>
</ds:datastoreItem>
</file>

<file path=customXml/itemProps2.xml><?xml version="1.0" encoding="utf-8"?>
<ds:datastoreItem xmlns:ds="http://schemas.openxmlformats.org/officeDocument/2006/customXml" ds:itemID="{BEEF31F3-93BC-4928-A69A-FDDA175B7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681fe1a-6f3a-4bc8-bd95-a336c6044f0b"/>
    <ds:schemaRef ds:uri="770616d2-97d1-4359-9fe0-fce270a1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C6269-B2F1-459A-B6FA-E596AA90E3E4}">
  <ds:schemaRefs>
    <ds:schemaRef ds:uri="Microsoft.SharePoint.Taxonomy.ContentTypeSync"/>
  </ds:schemaRefs>
</ds:datastoreItem>
</file>

<file path=customXml/itemProps4.xml><?xml version="1.0" encoding="utf-8"?>
<ds:datastoreItem xmlns:ds="http://schemas.openxmlformats.org/officeDocument/2006/customXml" ds:itemID="{2FF4AAD3-E7DB-4489-AC3B-88039E23A255}">
  <ds:schemaRefs>
    <ds:schemaRef ds:uri="http://schemas.microsoft.com/sharepoint/v3/contenttype/forms"/>
  </ds:schemaRefs>
</ds:datastoreItem>
</file>

<file path=customXml/itemProps5.xml><?xml version="1.0" encoding="utf-8"?>
<ds:datastoreItem xmlns:ds="http://schemas.openxmlformats.org/officeDocument/2006/customXml" ds:itemID="{9BE98EB0-02B5-4341-B6FF-C6FAEC6B5092}">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53</Pages>
  <Words>202228</Words>
  <Characters>1152702</Characters>
  <Application>Microsoft Office Word</Application>
  <DocSecurity>0</DocSecurity>
  <Lines>9605</Lines>
  <Paragraphs>2704</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1352226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Andi</dc:creator>
  <cp:lastModifiedBy>McGrath, Daniel (he/him/his)</cp:lastModifiedBy>
  <cp:revision>3</cp:revision>
  <dcterms:created xsi:type="dcterms:W3CDTF">2024-02-09T00:36:00Z</dcterms:created>
  <dcterms:modified xsi:type="dcterms:W3CDTF">2024-02-22T15:34:00Z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0x010100196F4FF33A1A1F409242C0E212D83C63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