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728AA930" w14:textId="77777777">
      <w:pPr>
        <w:spacing w:after="0"/>
        <w:jc w:val="center"/>
        <w:rPr>
          <w:sz w:val="32"/>
          <w:szCs w:val="32"/>
        </w:rPr>
      </w:pPr>
      <w:bookmarkStart w:id="0" w:name="_Toc49148152"/>
      <w:r w:rsidRPr="11AB4B38">
        <w:rPr>
          <w:sz w:val="32"/>
          <w:szCs w:val="32"/>
        </w:rPr>
        <w:t>U.S. Environmental Protection Agency</w:t>
      </w:r>
    </w:p>
    <w:p w:rsidR="00DE4E0C" w:rsidRPr="00CB038B" w:rsidP="11AB4B38" w14:paraId="4C898B2D" w14:textId="77777777">
      <w:pPr>
        <w:jc w:val="center"/>
        <w:rPr>
          <w:sz w:val="32"/>
          <w:szCs w:val="32"/>
        </w:rPr>
      </w:pPr>
      <w:r w:rsidRPr="11AB4B38">
        <w:rPr>
          <w:sz w:val="32"/>
          <w:szCs w:val="32"/>
        </w:rPr>
        <w:t>Information Collection Request</w:t>
      </w:r>
    </w:p>
    <w:p w:rsidR="00EA0D20" w:rsidP="00BB432F" w14:paraId="53AD1730" w14:textId="77777777">
      <w:pPr>
        <w:rPr>
          <w:rFonts w:cstheme="minorHAnsi"/>
          <w:b/>
          <w:bCs/>
        </w:rPr>
      </w:pPr>
    </w:p>
    <w:p w:rsidR="00BB432F" w:rsidRPr="00BB3410" w:rsidP="00BB432F" w14:paraId="325F5E1C" w14:textId="18F495B5">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2E384C" w:rsidR="002E384C">
        <w:rPr>
          <w:rFonts w:cstheme="minorHAnsi"/>
        </w:rPr>
        <w:t>Climate Pollution Reduction Grants (CPRG) Program Implementation Grants ICR</w:t>
      </w:r>
    </w:p>
    <w:p w:rsidR="00EE2403" w:rsidP="00BB432F" w14:paraId="0FAA3191" w14:textId="2E8AFEE5">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2E384C">
        <w:rPr>
          <w:rFonts w:cstheme="minorHAnsi"/>
        </w:rPr>
        <w:t>2060-NEW</w:t>
      </w:r>
    </w:p>
    <w:p w:rsidR="00EE2403" w:rsidRPr="00BB3410" w:rsidP="00ED57A4" w14:paraId="0F3C2F8A" w14:textId="7AA5E30E">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2E384C">
        <w:rPr>
          <w:rFonts w:cstheme="minorHAnsi"/>
        </w:rPr>
        <w:t>2806.01</w:t>
      </w:r>
    </w:p>
    <w:p w:rsidR="00333DBC" w:rsidRPr="00333DBC" w:rsidP="00B1549C" w14:paraId="39C12DFD" w14:textId="1AFE96BC">
      <w:pPr>
        <w:spacing w:after="200" w:line="240" w:lineRule="auto"/>
      </w:pPr>
      <w:r w:rsidRPr="24469E50">
        <w:rPr>
          <w:b/>
          <w:bCs/>
        </w:rPr>
        <w:t>Abstract</w:t>
      </w:r>
      <w:r w:rsidRPr="250E6610">
        <w:rPr>
          <w:b/>
          <w:bCs/>
        </w:rPr>
        <w:t>:</w:t>
      </w:r>
      <w:r w:rsidR="00BB432F">
        <w:t xml:space="preserve"> </w:t>
      </w:r>
      <w:r w:rsidRPr="250E6610">
        <w:t xml:space="preserve">The Climate Pollution Reduction Grants (CPRG) program was established under section 60114 of the Inflation Reduction Act (IRA) signed on August 16, 2022. Through a competitive process, EPA anticipates awarding </w:t>
      </w:r>
      <w:r w:rsidR="00844E49">
        <w:t xml:space="preserve">approximately </w:t>
      </w:r>
      <w:r w:rsidRPr="250E6610">
        <w:t xml:space="preserve">$4.6B in CPRG implementation grants to states, municipalities, </w:t>
      </w:r>
      <w:r w:rsidR="00844E49">
        <w:t>T</w:t>
      </w:r>
      <w:r w:rsidRPr="250E6610">
        <w:t>ribes</w:t>
      </w:r>
      <w:r w:rsidR="00844E49">
        <w:t xml:space="preserve">, </w:t>
      </w:r>
      <w:r w:rsidRPr="250E6610">
        <w:t>territories, and air quality management districts in 2024 to “facilitate the reduction of greenhouse gas air pollution”</w:t>
      </w:r>
      <w:r w:rsidR="0003560C">
        <w:t xml:space="preserve"> (</w:t>
      </w:r>
      <w:r w:rsidRPr="0003560C" w:rsidR="0003560C">
        <w:t>H.R. 5376 — 117</w:t>
      </w:r>
      <w:r w:rsidRPr="00217218" w:rsidR="0003560C">
        <w:rPr>
          <w:vertAlign w:val="superscript"/>
        </w:rPr>
        <w:t>th</w:t>
      </w:r>
      <w:r w:rsidRPr="0003560C" w:rsidR="0003560C">
        <w:t xml:space="preserve"> Congress: Inflation Reduction Act of 2022</w:t>
      </w:r>
      <w:r w:rsidR="0003560C">
        <w:t>).</w:t>
      </w:r>
      <w:r w:rsidR="00B86AD3">
        <w:t xml:space="preserve"> </w:t>
      </w:r>
      <w:r w:rsidRPr="250E6610" w:rsidR="00B86AD3">
        <w:t xml:space="preserve">This ICR focuses on </w:t>
      </w:r>
      <w:r w:rsidR="00217218">
        <w:t xml:space="preserve">the </w:t>
      </w:r>
      <w:r w:rsidRPr="250E6610" w:rsidR="00B86AD3">
        <w:t xml:space="preserve">data collection needed </w:t>
      </w:r>
      <w:r w:rsidR="008B37E9">
        <w:t>as part of</w:t>
      </w:r>
      <w:r w:rsidRPr="250E6610" w:rsidR="008B37E9">
        <w:t xml:space="preserve"> </w:t>
      </w:r>
      <w:r w:rsidRPr="250E6610" w:rsidR="00B86AD3">
        <w:t>the one-year reports for General Competition grantees and final reports for all CPRG implementation grant recipients. Standardizing the specific types and forms of how this information is reported across CPRG implementation grant recipients will allow the Agency to check the accuracy of calculations submitted by grantees and will make it possible for the Agency to consistently apply information collected from CPRG implementation grant recipients to meet other program deliverables and reporting obligations (e.g., Justice40</w:t>
      </w:r>
      <w:r>
        <w:rPr>
          <w:rStyle w:val="FootnoteReference"/>
        </w:rPr>
        <w:footnoteReference w:id="3"/>
      </w:r>
      <w:r w:rsidRPr="250E6610" w:rsidR="00B86AD3">
        <w:t xml:space="preserve">, statutory requirements, etc.). </w:t>
      </w:r>
    </w:p>
    <w:p w:rsidR="00DE4E0C" w:rsidRPr="00BB3410" w:rsidP="4BDBF0A0" w14:paraId="6441AC71" w14:textId="77777777">
      <w:pPr>
        <w:rPr>
          <w:b/>
          <w:bCs/>
          <w:u w:val="single"/>
        </w:rPr>
      </w:pPr>
      <w:r w:rsidRPr="4BDBF0A0">
        <w:rPr>
          <w:b/>
          <w:bCs/>
          <w:u w:val="single"/>
        </w:rPr>
        <w:t xml:space="preserve">Supporting </w:t>
      </w:r>
      <w:r w:rsidRPr="4BDBF0A0">
        <w:rPr>
          <w:b/>
          <w:bCs/>
          <w:u w:val="single"/>
        </w:rPr>
        <w:t>Statement</w:t>
      </w:r>
      <w:r w:rsidRPr="4BDBF0A0">
        <w:rPr>
          <w:b/>
          <w:bCs/>
          <w:u w:val="single"/>
        </w:rPr>
        <w:t xml:space="preserve"> A</w:t>
      </w:r>
      <w:bookmarkEnd w:id="0"/>
    </w:p>
    <w:p w:rsidR="00D47CB3" w:rsidRPr="00E3122D" w:rsidP="00854AAE" w14:paraId="46814BEF" w14:textId="7777777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694AE457" w14:textId="77777777">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9A5C3F" w:rsidP="250E6610" w14:paraId="451771E8" w14:textId="378457CD">
      <w:pPr>
        <w:spacing w:after="200" w:line="240" w:lineRule="auto"/>
      </w:pPr>
      <w:r w:rsidRPr="250E6610">
        <w:t xml:space="preserve">Under section 60114 of the Inflation Reduction Act, the EPA is charged with distributing and overseeing </w:t>
      </w:r>
      <w:r w:rsidRPr="250E6610" w:rsidR="00AB2887">
        <w:t xml:space="preserve">nearly </w:t>
      </w:r>
      <w:r w:rsidRPr="250E6610">
        <w:t>$5B in grants to state and local governments, Tribes, and territories to develop and implement plans to reduce GHG emissions. Under the first phase of the program</w:t>
      </w:r>
      <w:r w:rsidR="00D95189">
        <w:t xml:space="preserve"> (i.e., the Planning Phase)</w:t>
      </w:r>
      <w:r w:rsidRPr="250E6610">
        <w:t xml:space="preserve">, $250M in formula-based direct awards were distributed to over 220 grantees in the form of CPRG planning grants during the summer/fall of 2023. </w:t>
      </w:r>
      <w:r w:rsidRPr="250E6610" w:rsidR="00C04908">
        <w:t>An additional</w:t>
      </w:r>
      <w:r w:rsidRPr="250E6610">
        <w:t xml:space="preserve"> $4.6B is to be distributed through a competitive grants process</w:t>
      </w:r>
      <w:r w:rsidR="00D95189">
        <w:t xml:space="preserve"> (i.e., </w:t>
      </w:r>
      <w:r w:rsidR="00844E49">
        <w:t>t</w:t>
      </w:r>
      <w:r w:rsidR="00D95189">
        <w:t>he Implementation Phase)</w:t>
      </w:r>
      <w:r w:rsidRPr="250E6610">
        <w:t xml:space="preserve"> to take place during spring-summer 2024. The IRA statutory language </w:t>
      </w:r>
      <w:r w:rsidR="00E81848">
        <w:t>(</w:t>
      </w:r>
      <w:r w:rsidRPr="0003560C" w:rsidR="00E81848">
        <w:t>H.R. 5376 — 117</w:t>
      </w:r>
      <w:r w:rsidRPr="00217218" w:rsidR="00E81848">
        <w:rPr>
          <w:vertAlign w:val="superscript"/>
        </w:rPr>
        <w:t>th</w:t>
      </w:r>
      <w:r w:rsidRPr="0003560C" w:rsidR="00E81848">
        <w:t xml:space="preserve"> Congress: Inflation Reduction Act of 2022</w:t>
      </w:r>
      <w:r w:rsidR="00E81848">
        <w:t xml:space="preserve">) </w:t>
      </w:r>
      <w:r w:rsidRPr="250E6610">
        <w:t xml:space="preserve">stipulates that in their applications, prospective grantees are to “include information regarding the degree to which greenhouse gas air pollution is projected to be reduced in total and with respect to low-income and disadvantaged communities.” In keeping with the statute, EPA has structured the CPRG program to award grants, in part, based on the magnitude of GHG reductions that the proposed measures will </w:t>
      </w:r>
      <w:r w:rsidRPr="250E6610">
        <w:t xml:space="preserve">achieve and the benefits they will confer to low-income and disadvantaged communities. </w:t>
      </w:r>
      <w:bookmarkStart w:id="2" w:name="_Hlk157003949"/>
      <w:bookmarkStart w:id="3" w:name="_Hlk156977195"/>
      <w:r w:rsidRPr="250E6610">
        <w:t>The IRA statutory language also stipulates that EPA “model the effects of plans” funded through the CPRG program. To model the effects of CPRG plans, EPA must have specific knowledge of the information, datasets, models, tools, and approaches used by grantees to project and quantify the magnitude of the GHG reductions achieved and the benefits to low-income and disadvantaged communities from individual projects funded through CPRG implementation grants.</w:t>
      </w:r>
      <w:r w:rsidR="00456478">
        <w:t xml:space="preserve"> In addition, </w:t>
      </w:r>
      <w:bookmarkEnd w:id="2"/>
      <w:r w:rsidR="00456478">
        <w:rPr>
          <w:rFonts w:cstheme="minorHAnsi"/>
        </w:rPr>
        <w:t>i</w:t>
      </w:r>
      <w:r w:rsidRPr="009A5C3F" w:rsidR="00456478">
        <w:rPr>
          <w:rFonts w:cstheme="minorHAnsi"/>
        </w:rPr>
        <w:t xml:space="preserve">t is expected that the CPRG program, along with other IRA programs, will be required to demonstrate effective execution of the statutory responsibilities charged to EPA, </w:t>
      </w:r>
      <w:r w:rsidR="00456478">
        <w:rPr>
          <w:rFonts w:cstheme="minorHAnsi"/>
        </w:rPr>
        <w:t>and</w:t>
      </w:r>
      <w:r w:rsidRPr="009A5C3F" w:rsidR="00456478">
        <w:rPr>
          <w:rFonts w:cstheme="minorHAnsi"/>
        </w:rPr>
        <w:t xml:space="preserve"> comply with any additional reporting requirements (e.g., Evidence Act, Justice40). These responsibilities necessitate standardized data collection from CPRG implementation grantees for the purposes of</w:t>
      </w:r>
      <w:r w:rsidR="00CB4375">
        <w:rPr>
          <w:rFonts w:cstheme="minorHAnsi"/>
        </w:rPr>
        <w:t>:</w:t>
      </w:r>
      <w:r w:rsidRPr="009A5C3F" w:rsidR="00456478">
        <w:rPr>
          <w:rFonts w:cstheme="minorHAnsi"/>
        </w:rPr>
        <w:t xml:space="preserve"> 1) determining the accuracy of calculations and analyses submitted by grantees, 2) assessing the compliance of grantees in performing tasks agreed to under the Terms and Conditions of CPRG implementation grants, and 3) applying information collected from CPRG implementation grantees for analytical use.</w:t>
      </w:r>
    </w:p>
    <w:p w:rsidR="00CB4375" w:rsidP="00867224" w14:paraId="23692282" w14:textId="77777777">
      <w:pPr>
        <w:spacing w:after="200" w:line="240" w:lineRule="auto"/>
        <w:rPr>
          <w:rStyle w:val="normaltextrun"/>
          <w:color w:val="000000"/>
          <w:shd w:val="clear" w:color="auto" w:fill="FFFFFF"/>
        </w:rPr>
      </w:pPr>
      <w:r w:rsidRPr="250E6610">
        <w:t>The Notice of Funding Opportunity (NOFO) for the CPRG Implementation Grants General Competition specifies that all grantees are required to submit semi-annual progress reports, including a one-year report</w:t>
      </w:r>
      <w:r w:rsidR="000D013E">
        <w:t xml:space="preserve"> with additional information</w:t>
      </w:r>
      <w:r w:rsidR="00456478">
        <w:t>,</w:t>
      </w:r>
      <w:r w:rsidRPr="250E6610">
        <w:t xml:space="preserve"> and a final report within 120 days of the completion of the period of performance. </w:t>
      </w:r>
      <w:r w:rsidR="000D013E">
        <w:t>These</w:t>
      </w:r>
      <w:r w:rsidRPr="250E6610" w:rsidR="00456478">
        <w:t xml:space="preserve"> semi-annual reports </w:t>
      </w:r>
      <w:r w:rsidR="000D013E">
        <w:t>must summarize</w:t>
      </w:r>
      <w:r w:rsidRPr="250E6610" w:rsidR="000D013E">
        <w:t xml:space="preserve"> </w:t>
      </w:r>
      <w:r w:rsidRPr="250E6610" w:rsidR="00456478">
        <w:t xml:space="preserve">technical progress, accomplishments, and milestones achieved including a description of outputs and outcomes, planned activities for the next six months, and a summary of expenditures to date are required over the course of the grant period, which is anticipated to be 5 years. Grant recipients will also be expected to report on their community engagement, and, as applicable, their strategy for mitigating environmental risks and progress on job quality. </w:t>
      </w:r>
      <w:r w:rsidR="000D013E">
        <w:t xml:space="preserve">The information </w:t>
      </w:r>
      <w:r w:rsidRPr="250E6610" w:rsidR="000D013E">
        <w:rPr>
          <w:rStyle w:val="normaltextrun"/>
          <w:color w:val="000000"/>
          <w:shd w:val="clear" w:color="auto" w:fill="FFFFFF"/>
        </w:rPr>
        <w:t>collect</w:t>
      </w:r>
      <w:r w:rsidR="000D013E">
        <w:rPr>
          <w:rStyle w:val="normaltextrun"/>
          <w:color w:val="000000"/>
          <w:shd w:val="clear" w:color="auto" w:fill="FFFFFF"/>
        </w:rPr>
        <w:t>ed</w:t>
      </w:r>
      <w:r w:rsidRPr="250E6610" w:rsidR="000D013E">
        <w:rPr>
          <w:rStyle w:val="normaltextrun"/>
          <w:color w:val="000000"/>
          <w:shd w:val="clear" w:color="auto" w:fill="FFFFFF"/>
        </w:rPr>
        <w:t xml:space="preserve"> </w:t>
      </w:r>
      <w:r w:rsidRPr="250E6610" w:rsidR="00456478">
        <w:rPr>
          <w:rStyle w:val="normaltextrun"/>
          <w:color w:val="000000"/>
          <w:shd w:val="clear" w:color="auto" w:fill="FFFFFF"/>
        </w:rPr>
        <w:t xml:space="preserve">for </w:t>
      </w:r>
      <w:r w:rsidR="000D013E">
        <w:rPr>
          <w:rStyle w:val="normaltextrun"/>
          <w:color w:val="000000"/>
          <w:shd w:val="clear" w:color="auto" w:fill="FFFFFF"/>
        </w:rPr>
        <w:t xml:space="preserve">these </w:t>
      </w:r>
      <w:r w:rsidRPr="250E6610" w:rsidR="00456478">
        <w:rPr>
          <w:rStyle w:val="normaltextrun"/>
          <w:color w:val="000000"/>
          <w:shd w:val="clear" w:color="auto" w:fill="FFFFFF"/>
        </w:rPr>
        <w:t xml:space="preserve">semi-annual reports is already covered by the General Administrative Requirements for Assistance Programs ICR, OMB Control Number 2030-0020. </w:t>
      </w:r>
    </w:p>
    <w:p w:rsidR="00867224" w:rsidRPr="00333DBC" w:rsidP="00867224" w14:paraId="4C34CDA3" w14:textId="6B291DCD">
      <w:pPr>
        <w:spacing w:after="200" w:line="240" w:lineRule="auto"/>
      </w:pPr>
      <w:r>
        <w:rPr>
          <w:rStyle w:val="normaltextrun"/>
          <w:color w:val="000000"/>
          <w:shd w:val="clear" w:color="auto" w:fill="FFFFFF"/>
        </w:rPr>
        <w:t xml:space="preserve">The </w:t>
      </w:r>
      <w:r w:rsidRPr="250E6610">
        <w:t>a</w:t>
      </w:r>
      <w:r>
        <w:t>dditional data for the second semi-annual report (i.e., the</w:t>
      </w:r>
      <w:r w:rsidRPr="250E6610">
        <w:t xml:space="preserve"> one-year report</w:t>
      </w:r>
      <w:r>
        <w:t>)</w:t>
      </w:r>
      <w:r w:rsidRPr="250E6610">
        <w:t xml:space="preserve"> </w:t>
      </w:r>
      <w:r>
        <w:t>includes information that</w:t>
      </w:r>
      <w:r w:rsidRPr="250E6610">
        <w:t xml:space="preserve"> “quantifies benefits to low-income and disadvantaged communities, including changes in co-pollutant emissions</w:t>
      </w:r>
      <w:r>
        <w:t>,</w:t>
      </w:r>
      <w:r w:rsidRPr="250E6610">
        <w:t xml:space="preserve">” </w:t>
      </w:r>
      <w:r>
        <w:t xml:space="preserve">and the </w:t>
      </w:r>
      <w:r w:rsidRPr="250E6610">
        <w:t>final report</w:t>
      </w:r>
      <w:r>
        <w:t xml:space="preserve"> </w:t>
      </w:r>
      <w:r w:rsidRPr="250E6610">
        <w:t>require</w:t>
      </w:r>
      <w:r>
        <w:t>s</w:t>
      </w:r>
      <w:r w:rsidRPr="250E6610">
        <w:t xml:space="preserve"> a “summary of the GHG reduction measures implemented, outputs and outcomes achieved, and costs of the measures.” </w:t>
      </w:r>
      <w:r w:rsidRPr="250E6610">
        <w:t xml:space="preserve">The NOFO for the CPRG Implementation Grants Tribes and Territories Competition does not require </w:t>
      </w:r>
      <w:r>
        <w:t xml:space="preserve">the </w:t>
      </w:r>
      <w:r w:rsidRPr="250E6610">
        <w:t>a</w:t>
      </w:r>
      <w:r w:rsidR="008B37E9">
        <w:t>dditional data for the second semi-annual report</w:t>
      </w:r>
      <w:r w:rsidRPr="250E6610">
        <w:t xml:space="preserve"> </w:t>
      </w:r>
      <w:r w:rsidR="008B37E9">
        <w:t xml:space="preserve">(i.e., the </w:t>
      </w:r>
      <w:r w:rsidRPr="250E6610">
        <w:t>one-year report</w:t>
      </w:r>
      <w:r w:rsidR="008B37E9">
        <w:t>)</w:t>
      </w:r>
      <w:r w:rsidRPr="250E6610">
        <w:t xml:space="preserve"> but does require a final report. </w:t>
      </w:r>
      <w:r w:rsidRPr="250E6610" w:rsidR="00456478">
        <w:t xml:space="preserve">This ICR focuses on </w:t>
      </w:r>
      <w:r w:rsidR="00456478">
        <w:t xml:space="preserve">the </w:t>
      </w:r>
      <w:r w:rsidRPr="250E6610" w:rsidR="008B37E9">
        <w:t>a</w:t>
      </w:r>
      <w:r w:rsidR="008B37E9">
        <w:t>dditional data associated with the second semi-annual report (i.e., the</w:t>
      </w:r>
      <w:r w:rsidRPr="250E6610" w:rsidR="008B37E9">
        <w:t xml:space="preserve"> one-year report</w:t>
      </w:r>
      <w:r w:rsidR="008B37E9">
        <w:t xml:space="preserve">) </w:t>
      </w:r>
      <w:r w:rsidRPr="250E6610" w:rsidR="00456478">
        <w:t xml:space="preserve">for General Competition grantees and </w:t>
      </w:r>
      <w:r w:rsidR="00F05BF4">
        <w:t xml:space="preserve">with the </w:t>
      </w:r>
      <w:r w:rsidRPr="250E6610" w:rsidR="00456478">
        <w:t xml:space="preserve">final reports for all CPRG implementation grant recipients. </w:t>
      </w:r>
    </w:p>
    <w:p w:rsidR="00867224" w:rsidP="00867224" w14:paraId="41B5A47E" w14:textId="1E1C41AB">
      <w:pPr>
        <w:spacing w:after="200" w:line="240" w:lineRule="auto"/>
        <w:rPr>
          <w:rFonts w:cstheme="minorHAnsi"/>
        </w:rPr>
      </w:pPr>
      <w:r w:rsidRPr="00333DBC">
        <w:rPr>
          <w:rFonts w:cstheme="minorHAnsi"/>
        </w:rPr>
        <w:t>The “Affected Public” are the grantees receiving funding through the CPRG implementation grant competitions, including state and local governments, Tribes, and territories. The exact number of total grantees has yet to be determined and will depend on the number and funded amount for selected applications, but it is anticipated to range between ~32-115 implementation grants under the General Competition and between ~27-103 implementation grants for the Tribes and Territories Competition (see “Table 1: CPRG General Competition Grants Ranges and Funding by Tier” from the CPRG General Competition Notice of Funding Opportunity</w:t>
      </w:r>
      <w:r>
        <w:rPr>
          <w:rStyle w:val="FootnoteReference"/>
          <w:rFonts w:cstheme="minorHAnsi"/>
        </w:rPr>
        <w:footnoteReference w:id="4"/>
      </w:r>
      <w:r w:rsidR="00744F41">
        <w:rPr>
          <w:rFonts w:cstheme="minorHAnsi"/>
        </w:rPr>
        <w:t xml:space="preserve"> </w:t>
      </w:r>
      <w:r w:rsidRPr="00333DBC">
        <w:rPr>
          <w:rFonts w:cstheme="minorHAnsi"/>
        </w:rPr>
        <w:t xml:space="preserve">and “Table 2: CPRG Tribes and Territories Competition Grants Ranges and Funding by Tier” from the CPRG Tribes and Territories Competition Notice of Funding </w:t>
      </w:r>
      <w:r w:rsidRPr="00333DBC">
        <w:rPr>
          <w:rFonts w:cstheme="minorHAnsi"/>
        </w:rPr>
        <w:t>Opportunity</w:t>
      </w:r>
      <w:r>
        <w:rPr>
          <w:rStyle w:val="FootnoteReference"/>
          <w:rFonts w:cstheme="minorHAnsi"/>
        </w:rPr>
        <w:footnoteReference w:id="5"/>
      </w:r>
      <w:r w:rsidRPr="00333DBC">
        <w:rPr>
          <w:rFonts w:cstheme="minorHAnsi"/>
        </w:rPr>
        <w:t xml:space="preserve">). The “burden” to the “Affected Public” may be found in “Table 3: Preliminary Estimates of Burden Hours and Costs – Respondents.” </w:t>
      </w:r>
    </w:p>
    <w:p w:rsidR="00B1549C" w:rsidRPr="00333DBC" w:rsidP="00867224" w14:paraId="58825D31" w14:textId="4CCD9584">
      <w:pPr>
        <w:spacing w:after="200" w:line="240" w:lineRule="auto"/>
        <w:rPr>
          <w:rFonts w:cstheme="minorHAnsi"/>
        </w:rPr>
      </w:pPr>
      <w:r w:rsidRPr="250E6610">
        <w:t xml:space="preserve">The Agency is planning to develop specific reporting templates for emissions, costs, and overall project progress. The reporting template will be made available to grant recipients through an electronic data interface to be specified by EPA.  </w:t>
      </w:r>
    </w:p>
    <w:p w:rsidR="00D47CB3" w:rsidRPr="00E3122D" w:rsidP="00854AAE" w14:paraId="6277271D" w14:textId="77777777">
      <w:pPr>
        <w:pStyle w:val="ListParagraph"/>
        <w:numPr>
          <w:ilvl w:val="0"/>
          <w:numId w:val="25"/>
        </w:numPr>
        <w:pBdr>
          <w:bottom w:val="single" w:sz="4" w:space="1" w:color="auto"/>
        </w:pBdr>
        <w:spacing w:before="240" w:after="0"/>
        <w:rPr>
          <w:rFonts w:cstheme="minorHAnsi"/>
          <w:b/>
          <w:bCs/>
        </w:rPr>
      </w:pPr>
      <w:bookmarkStart w:id="4" w:name="_Toc156593369"/>
      <w:bookmarkEnd w:id="3"/>
      <w:r w:rsidRPr="00E3122D">
        <w:rPr>
          <w:rFonts w:cstheme="minorHAnsi"/>
          <w:b/>
          <w:bCs/>
        </w:rPr>
        <w:t>PRACTICAL UTILITY/USERS OF THE DATA</w:t>
      </w:r>
      <w:bookmarkEnd w:id="4"/>
    </w:p>
    <w:p w:rsidR="004252C1" w:rsidRPr="00D47CB3" w:rsidP="00854AAE" w14:paraId="10245DAD" w14:textId="77777777">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976946" w:rsidP="250E6610" w14:paraId="533389E3" w14:textId="1BF77896">
      <w:pPr>
        <w:spacing w:after="200" w:line="240" w:lineRule="auto"/>
      </w:pPr>
      <w:r w:rsidRPr="250E6610">
        <w:t xml:space="preserve">The focus of this data collection is on two </w:t>
      </w:r>
      <w:r w:rsidRPr="250E6610" w:rsidR="00856E5C">
        <w:t>required</w:t>
      </w:r>
      <w:r w:rsidRPr="250E6610">
        <w:t xml:space="preserve"> report</w:t>
      </w:r>
      <w:r w:rsidRPr="250E6610" w:rsidR="00856E5C">
        <w:t>ing deliverables</w:t>
      </w:r>
      <w:r w:rsidRPr="250E6610" w:rsidR="00FF54B0">
        <w:t xml:space="preserve"> for CPRG awardees</w:t>
      </w:r>
      <w:r w:rsidRPr="250E6610">
        <w:t xml:space="preserve">: </w:t>
      </w:r>
      <w:r w:rsidRPr="250E6610" w:rsidR="00856E5C">
        <w:t xml:space="preserve">the </w:t>
      </w:r>
      <w:r w:rsidRPr="250E6610">
        <w:t xml:space="preserve">one-year </w:t>
      </w:r>
      <w:r w:rsidRPr="250E6610" w:rsidR="00856E5C">
        <w:t xml:space="preserve">progress </w:t>
      </w:r>
      <w:r w:rsidRPr="250E6610">
        <w:t>reports and final reports. In addition to the information required for all CPRG semi-annual reports</w:t>
      </w:r>
      <w:r w:rsidRPr="250E6610" w:rsidR="00F174E3">
        <w:t xml:space="preserve"> (i.e., technical progress, accomplishments, and milestones achieved including a description of outputs and outcomes, planned activities for the next 6 months, and a summary of expenditures to date)</w:t>
      </w:r>
      <w:r w:rsidRPr="250E6610">
        <w:t xml:space="preserve">, the one-year reports require that grantees </w:t>
      </w:r>
      <w:r w:rsidRPr="250E6610" w:rsidR="0054416D">
        <w:t xml:space="preserve">under the General Competition </w:t>
      </w:r>
      <w:r w:rsidRPr="250E6610">
        <w:t xml:space="preserve">quantify anticipated </w:t>
      </w:r>
      <w:r w:rsidRPr="250E6610" w:rsidR="005920D3">
        <w:t xml:space="preserve">“benefits to low-income and disadvantaged communities, including changes in co-pollutant emissions.” </w:t>
      </w:r>
      <w:r w:rsidRPr="250E6610">
        <w:t xml:space="preserve">Grantees are also required to provide estimates of total anticipated benefits including for LIDAC and non-LIDAC areas. </w:t>
      </w:r>
      <w:r w:rsidRPr="250E6610" w:rsidR="005920D3">
        <w:t>The final report</w:t>
      </w:r>
      <w:r w:rsidRPr="250E6610" w:rsidR="000840FF">
        <w:t>, required of all implementation grant recipients,</w:t>
      </w:r>
      <w:r w:rsidRPr="250E6610" w:rsidR="005920D3">
        <w:t xml:space="preserve"> will require a “summary of the GHG reduction measures implemented, outputs and outcomes achieved, and costs of the measures.”</w:t>
      </w:r>
      <w:r w:rsidRPr="250E6610">
        <w:t xml:space="preserve"> The EPA will need this information submitted in a standardized format from all CPRG implementation grant recipients to ensure the Agency can check the accuracy of calculations submitted by grantees and apply the information to meet other program deliverables and reporting obligations (e.g., Justice40, statutory requirements).  </w:t>
      </w:r>
    </w:p>
    <w:p w:rsidR="00074917" w:rsidRPr="00E3122D" w:rsidP="00854AAE" w14:paraId="1F0B64D0" w14:textId="77777777">
      <w:pPr>
        <w:pStyle w:val="ListParagraph"/>
        <w:numPr>
          <w:ilvl w:val="0"/>
          <w:numId w:val="25"/>
        </w:numPr>
        <w:pBdr>
          <w:bottom w:val="single" w:sz="4" w:space="1" w:color="auto"/>
        </w:pBdr>
        <w:spacing w:before="240" w:after="0"/>
        <w:rPr>
          <w:rFonts w:cstheme="minorHAnsi"/>
          <w:b/>
          <w:bCs/>
        </w:rPr>
      </w:pPr>
      <w:bookmarkStart w:id="5" w:name="_Toc156593370"/>
      <w:r w:rsidRPr="00E3122D">
        <w:rPr>
          <w:rFonts w:cstheme="minorHAnsi"/>
          <w:b/>
          <w:bCs/>
        </w:rPr>
        <w:t>USE OF TECHNOLOGY</w:t>
      </w:r>
      <w:bookmarkEnd w:id="5"/>
    </w:p>
    <w:p w:rsidR="00D47CB3" w:rsidRPr="001F0834" w:rsidP="250E6610" w14:paraId="13274F4A" w14:textId="77777777">
      <w:pPr>
        <w:pBdr>
          <w:bottom w:val="single" w:sz="4" w:space="1" w:color="auto"/>
        </w:pBdr>
        <w:spacing w:before="60"/>
        <w:rPr>
          <w:i/>
          <w:iCs/>
        </w:rPr>
      </w:pPr>
      <w:r w:rsidRPr="250E6610">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171EE" w:rsidP="250E6610" w14:paraId="41C802B4" w14:textId="6E433CED">
      <w:pPr>
        <w:spacing w:after="200" w:line="240" w:lineRule="auto"/>
        <w:rPr>
          <w:color w:val="000000"/>
        </w:rPr>
      </w:pPr>
      <w:r w:rsidRPr="250E6610">
        <w:t xml:space="preserve">The Agency has developed a reporting template that will be available to the awardees through an electronic data interface </w:t>
      </w:r>
      <w:r w:rsidR="00C768A5">
        <w:t xml:space="preserve">developed </w:t>
      </w:r>
      <w:r w:rsidRPr="250E6610" w:rsidR="00A9225D">
        <w:t>by the Agency</w:t>
      </w:r>
      <w:r w:rsidRPr="250E6610">
        <w:t>.</w:t>
      </w:r>
      <w:r w:rsidRPr="250E6610" w:rsidR="00B30A9A">
        <w:t xml:space="preserve"> Project-specific information (e.g., project ID, Agency contact information) will be added to the forms and data related to costs and overall project progress will be included in this interface. Emissions-specific information will be entered into a spreadsheet template that will be available within the </w:t>
      </w:r>
      <w:r w:rsidRPr="250E6610" w:rsidR="000F3008">
        <w:t xml:space="preserve">electronic data </w:t>
      </w:r>
      <w:r w:rsidRPr="250E6610" w:rsidR="00B30A9A">
        <w:t xml:space="preserve">interface. Awardees will download this file, enter in their emissions information, and reupload this file </w:t>
      </w:r>
      <w:r w:rsidRPr="250E6610" w:rsidR="000F3008">
        <w:t>through the electronic data interface</w:t>
      </w:r>
      <w:r w:rsidRPr="250E6610" w:rsidR="00B30A9A">
        <w:t xml:space="preserve"> prior to submission.</w:t>
      </w:r>
    </w:p>
    <w:p w:rsidR="005263EC" w:rsidRPr="00E3122D" w:rsidP="00854AAE" w14:paraId="7C71F281" w14:textId="77777777">
      <w:pPr>
        <w:pStyle w:val="ListParagraph"/>
        <w:numPr>
          <w:ilvl w:val="0"/>
          <w:numId w:val="25"/>
        </w:numPr>
        <w:pBdr>
          <w:bottom w:val="single" w:sz="4" w:space="1" w:color="auto"/>
        </w:pBdr>
        <w:spacing w:before="240" w:after="0"/>
        <w:rPr>
          <w:rFonts w:cstheme="minorHAnsi"/>
          <w:b/>
          <w:bCs/>
        </w:rPr>
      </w:pPr>
      <w:bookmarkStart w:id="6" w:name="_Toc156593371"/>
      <w:r w:rsidRPr="00E3122D">
        <w:rPr>
          <w:rFonts w:cstheme="minorHAnsi"/>
          <w:b/>
          <w:bCs/>
        </w:rPr>
        <w:t>EFFORTS TO IDENTIFY DUPLICATION</w:t>
      </w:r>
      <w:bookmarkEnd w:id="6"/>
    </w:p>
    <w:p w:rsidR="00D47CB3" w:rsidRPr="001F0834" w:rsidP="250E6610" w14:paraId="3A71273D" w14:textId="77777777">
      <w:pPr>
        <w:pBdr>
          <w:bottom w:val="single" w:sz="4" w:space="1" w:color="auto"/>
        </w:pBdr>
        <w:spacing w:before="60"/>
        <w:rPr>
          <w:i/>
          <w:iCs/>
        </w:rPr>
      </w:pPr>
      <w:r w:rsidRPr="250E6610">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4A28F2" w:rsidRPr="004A28F2" w:rsidP="250E6610" w14:paraId="414E16F3" w14:textId="58F5FA1E">
      <w:pPr>
        <w:spacing w:after="200" w:line="240" w:lineRule="auto"/>
      </w:pPr>
      <w:r w:rsidRPr="250E6610">
        <w:t>This ICR requests authorization for the collection of information that is not currently collected and otherwise would not be collected</w:t>
      </w:r>
      <w:r w:rsidRPr="250E6610" w:rsidR="00DE1BD6">
        <w:t xml:space="preserve"> in a standardized format</w:t>
      </w:r>
      <w:r w:rsidRPr="250E6610">
        <w:t>. There is currently no mechanism for systematic post-award reporting and public outreach information collections for the CPRG implementation grants with respect to the set of instruments and methodologies outlined in this ICR and the uses outlined in this ICR. EPA has determined that this information is not currently held by EPA or any other federal agency.</w:t>
      </w:r>
    </w:p>
    <w:p w:rsidR="00251151" w:rsidRPr="00E3122D" w:rsidP="4BDBF0A0" w14:paraId="3B88F4DD" w14:textId="77777777">
      <w:pPr>
        <w:pStyle w:val="ListParagraph"/>
        <w:numPr>
          <w:ilvl w:val="0"/>
          <w:numId w:val="25"/>
        </w:numPr>
        <w:pBdr>
          <w:bottom w:val="single" w:sz="4" w:space="1" w:color="auto"/>
        </w:pBdr>
        <w:spacing w:before="240" w:after="0"/>
        <w:rPr>
          <w:b/>
          <w:bCs/>
        </w:rPr>
      </w:pPr>
      <w:bookmarkStart w:id="7" w:name="_Toc156593372"/>
      <w:r w:rsidRPr="4BDBF0A0">
        <w:rPr>
          <w:b/>
          <w:bCs/>
        </w:rPr>
        <w:t xml:space="preserve">MINIMIZING BURDEN ON SMALL </w:t>
      </w:r>
      <w:r w:rsidRPr="4BDBF0A0" w:rsidR="0F43C128">
        <w:rPr>
          <w:b/>
          <w:bCs/>
        </w:rPr>
        <w:t xml:space="preserve">BUSINESSES AND SMALL </w:t>
      </w:r>
      <w:r w:rsidRPr="4BDBF0A0">
        <w:rPr>
          <w:b/>
          <w:bCs/>
        </w:rPr>
        <w:t>ENTITIES</w:t>
      </w:r>
      <w:bookmarkEnd w:id="7"/>
    </w:p>
    <w:p w:rsidR="00D47CB3" w:rsidRPr="001F0834" w:rsidP="00854AAE" w14:paraId="10268859" w14:textId="77777777">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BB3410" w:rsidP="00854AAE" w14:paraId="31496B71" w14:textId="4F93A13A">
      <w:pPr>
        <w:rPr>
          <w:rFonts w:cstheme="minorHAnsi"/>
        </w:rPr>
      </w:pPr>
      <w:r w:rsidRPr="009E6507">
        <w:rPr>
          <w:rFonts w:cstheme="minorHAnsi"/>
        </w:rPr>
        <w:t>The information collection for CPRG implementation grants should not impact small businesses or other small entities since these types of entities are not eligible for direct CPRG funding.</w:t>
      </w:r>
    </w:p>
    <w:p w:rsidR="004252C1" w:rsidRPr="00E3122D" w:rsidP="4BDBF0A0" w14:paraId="68AB8EDD" w14:textId="77777777">
      <w:pPr>
        <w:pStyle w:val="ListParagraph"/>
        <w:numPr>
          <w:ilvl w:val="0"/>
          <w:numId w:val="25"/>
        </w:numPr>
        <w:pBdr>
          <w:bottom w:val="single" w:sz="4" w:space="1" w:color="auto"/>
        </w:pBdr>
        <w:spacing w:before="240" w:after="0"/>
        <w:rPr>
          <w:b/>
          <w:bCs/>
        </w:rPr>
      </w:pPr>
      <w:bookmarkStart w:id="8" w:name="_Toc156593373"/>
      <w:r w:rsidRPr="4BDBF0A0">
        <w:rPr>
          <w:b/>
          <w:bCs/>
        </w:rPr>
        <w:t>CONSEQUENCES</w:t>
      </w:r>
      <w:r w:rsidRPr="4BDBF0A0" w:rsidR="00061A77">
        <w:rPr>
          <w:b/>
          <w:bCs/>
        </w:rPr>
        <w:t xml:space="preserve"> OF LESS FREQUENT COLLECTION</w:t>
      </w:r>
      <w:bookmarkEnd w:id="8"/>
    </w:p>
    <w:p w:rsidR="00D47CB3" w:rsidRPr="001F0834" w:rsidP="00854AAE" w14:paraId="189492B3" w14:textId="77777777">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6B7949" w:rsidRPr="006B7949" w:rsidP="250E6610" w14:paraId="7121A76A" w14:textId="1A4FBF2E">
      <w:pPr>
        <w:pBdr>
          <w:top w:val="single" w:sz="6" w:space="0" w:color="FFFFFF"/>
          <w:left w:val="single" w:sz="6" w:space="0" w:color="FFFFFF"/>
          <w:bottom w:val="single" w:sz="6" w:space="0" w:color="FFFFFF"/>
          <w:right w:val="single" w:sz="6" w:space="0" w:color="FFFFFF"/>
        </w:pBdr>
      </w:pPr>
      <w:r w:rsidRPr="250E6610">
        <w:t xml:space="preserve">As specified in the Reporting Requirements in the Notices of Funding Opportunity </w:t>
      </w:r>
      <w:r w:rsidR="005E1D72">
        <w:t xml:space="preserve">(NOFO) </w:t>
      </w:r>
      <w:r w:rsidRPr="250E6610">
        <w:t>for the CPRG implementation grants general competition and Tribes and territories competition, grantees will be required to report specific types of information through a series of progress reports, including a one-year and final report. CPRG implementation grantees will be bound by the Terms and Conditions of the</w:t>
      </w:r>
      <w:r w:rsidRPr="250E6610" w:rsidR="00DF4A11">
        <w:t>ir</w:t>
      </w:r>
      <w:r w:rsidRPr="250E6610">
        <w:t xml:space="preserve"> grants to adhere to the Reporting Requirements specified in the </w:t>
      </w:r>
      <w:r w:rsidRPr="250E6610" w:rsidR="00DF4A11">
        <w:t xml:space="preserve">respective </w:t>
      </w:r>
      <w:r w:rsidRPr="250E6610">
        <w:t xml:space="preserve">NOFO. This collection request is intended to provide clarity to grantees regarding the CPRG implementation grant Reporting Requirements, as well as </w:t>
      </w:r>
      <w:r w:rsidRPr="250E6610" w:rsidR="00AE61E4">
        <w:t xml:space="preserve">to </w:t>
      </w:r>
      <w:r w:rsidRPr="250E6610">
        <w:t>help standardize the reporting process and thereby facilitate compliance with the specified Reporting Requirements laid out in the NOFO and Terms and Conditions</w:t>
      </w:r>
      <w:r w:rsidR="00F05BF4">
        <w:t xml:space="preserve">, for </w:t>
      </w:r>
      <w:r w:rsidRPr="250E6610" w:rsidR="00F05BF4">
        <w:t>the one-year progress reports and final reports</w:t>
      </w:r>
      <w:r w:rsidRPr="250E6610">
        <w:t>.  Any grantee who does not report the information specified in the Reporting Requirements will be in violation of the Terms and Conditions of the grant.</w:t>
      </w:r>
    </w:p>
    <w:p w:rsidR="00A233E0" w:rsidRPr="00E3122D" w:rsidP="00854AAE" w14:paraId="400CFF54" w14:textId="20560D67">
      <w:pPr>
        <w:pStyle w:val="ListParagraph"/>
        <w:numPr>
          <w:ilvl w:val="0"/>
          <w:numId w:val="25"/>
        </w:numPr>
        <w:pBdr>
          <w:bottom w:val="single" w:sz="4" w:space="1" w:color="auto"/>
        </w:pBdr>
        <w:spacing w:before="240" w:after="0"/>
        <w:rPr>
          <w:b/>
        </w:rPr>
      </w:pPr>
      <w:bookmarkStart w:id="9" w:name="_Toc156593374"/>
      <w:r w:rsidRPr="24469E50">
        <w:rPr>
          <w:b/>
        </w:rPr>
        <w:t>GENERAL GUIDELINES</w:t>
      </w:r>
      <w:bookmarkEnd w:id="9"/>
    </w:p>
    <w:p w:rsidR="00A233E0" w:rsidRPr="00A233E0" w:rsidP="250E6610" w14:paraId="4DAC1E98" w14:textId="77777777">
      <w:pPr>
        <w:pBdr>
          <w:bottom w:val="single" w:sz="4" w:space="1" w:color="auto"/>
        </w:pBdr>
        <w:spacing w:before="60"/>
      </w:pPr>
      <w:r w:rsidRPr="250E6610">
        <w:rPr>
          <w:i/>
          <w:iCs/>
        </w:rPr>
        <w:t>Explain any special circumstances that require the collection to be conducted in a manner inconsistent with OMB guidelines.</w:t>
      </w:r>
    </w:p>
    <w:p w:rsidR="00111663" w:rsidRPr="00BB3410" w:rsidP="00854AAE" w14:paraId="5F1E8854" w14:textId="7DE3FEB8">
      <w:pPr>
        <w:pBdr>
          <w:top w:val="single" w:sz="6" w:space="0" w:color="FFFFFF"/>
          <w:left w:val="single" w:sz="6" w:space="0" w:color="FFFFFF"/>
          <w:bottom w:val="single" w:sz="6" w:space="0" w:color="FFFFFF"/>
          <w:right w:val="single" w:sz="6" w:space="0" w:color="FFFFFF"/>
        </w:pBdr>
      </w:pPr>
      <w:r w:rsidRPr="0028364A">
        <w:t>The information collection is consistent with the guidelines set forth in 5 CFR 1320(d)(2) of the Paperwork Reduction Act guidelines.</w:t>
      </w:r>
    </w:p>
    <w:p w:rsidR="006036CD" w:rsidRPr="00E3122D" w:rsidP="00854AAE" w14:paraId="3160F9EC" w14:textId="77777777">
      <w:pPr>
        <w:pStyle w:val="ListParagraph"/>
        <w:numPr>
          <w:ilvl w:val="0"/>
          <w:numId w:val="25"/>
        </w:numPr>
        <w:pBdr>
          <w:bottom w:val="single" w:sz="4" w:space="1" w:color="auto"/>
        </w:pBdr>
        <w:spacing w:before="240" w:after="0"/>
        <w:rPr>
          <w:rFonts w:cstheme="minorHAnsi"/>
          <w:b/>
          <w:bCs/>
        </w:rPr>
      </w:pPr>
      <w:bookmarkStart w:id="10" w:name="_Toc156593375"/>
      <w:r w:rsidRPr="00E3122D">
        <w:rPr>
          <w:rFonts w:cstheme="minorHAnsi"/>
          <w:b/>
          <w:bCs/>
        </w:rPr>
        <w:t>PUBLIC COMMENT AND CONSULTATIONS</w:t>
      </w:r>
      <w:bookmarkStart w:id="11" w:name="_Toc156593376"/>
      <w:bookmarkEnd w:id="10"/>
    </w:p>
    <w:p w:rsidR="00DD2682" w:rsidRPr="00E3122D" w:rsidP="00854AAE" w14:paraId="7060B2CA" w14:textId="77777777">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2" w:name="_Toc156593377"/>
      <w:bookmarkEnd w:id="11"/>
    </w:p>
    <w:p w:rsidR="00A233E0" w:rsidRPr="00A233E0" w:rsidP="00854AAE" w14:paraId="48B7EA57" w14:textId="46753DFE">
      <w:pPr>
        <w:spacing w:line="240" w:lineRule="auto"/>
        <w:rPr>
          <w:i/>
        </w:rPr>
      </w:pPr>
      <w:r w:rsidRPr="2E5AE180">
        <w:rPr>
          <w:i/>
        </w:rPr>
        <w:t xml:space="preserve">If applicable, provide a copy and identify the date and page number of </w:t>
      </w:r>
      <w:r w:rsidRPr="2E5AE180" w:rsidR="12ABCEB1">
        <w:rPr>
          <w:i/>
          <w:iCs/>
        </w:rPr>
        <w:t>publications</w:t>
      </w:r>
      <w:r w:rsidRPr="2E5AE180">
        <w:rPr>
          <w:i/>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P="00014DD2" w14:paraId="52A5E84A" w14:textId="79EB58AB">
      <w:pPr>
        <w:pBdr>
          <w:top w:val="single" w:sz="6" w:space="0" w:color="FFFFFF"/>
          <w:left w:val="single" w:sz="6" w:space="0" w:color="FFFFFF"/>
          <w:bottom w:val="single" w:sz="6" w:space="0" w:color="FFFFFF"/>
          <w:right w:val="single" w:sz="6" w:space="0" w:color="FFFFFF"/>
        </w:pBdr>
        <w:rPr>
          <w:color w:val="000000"/>
        </w:rPr>
      </w:pPr>
      <w:r w:rsidRPr="77C3F091">
        <w:rPr>
          <w:color w:val="000000" w:themeColor="text1"/>
        </w:rPr>
        <w:t xml:space="preserve">The first </w:t>
      </w:r>
      <w:r w:rsidRPr="77C3F091" w:rsidR="002A0A64">
        <w:rPr>
          <w:color w:val="000000" w:themeColor="text1"/>
        </w:rPr>
        <w:t>Federal Register Notice</w:t>
      </w:r>
      <w:r w:rsidRPr="77C3F091">
        <w:rPr>
          <w:color w:val="000000" w:themeColor="text1"/>
        </w:rPr>
        <w:t xml:space="preserve"> for this ICR was published February 8, 2024 (89 FR 8679). No comments were received within the comment period. </w:t>
      </w:r>
    </w:p>
    <w:p w:rsidR="00DB7775" w:rsidRPr="00E3122D" w:rsidP="00854AAE" w14:paraId="41CD532C" w14:textId="40BC24EE">
      <w:pPr>
        <w:spacing w:before="120" w:after="0"/>
        <w:rPr>
          <w:b/>
        </w:rPr>
      </w:pPr>
      <w:r w:rsidRPr="24469E50">
        <w:rPr>
          <w:b/>
        </w:rPr>
        <w:t xml:space="preserve">8b. </w:t>
      </w:r>
      <w:r w:rsidRPr="24469E50" w:rsidR="0061689C">
        <w:rPr>
          <w:b/>
        </w:rPr>
        <w:t>C</w:t>
      </w:r>
      <w:bookmarkEnd w:id="12"/>
      <w:r w:rsidRPr="24469E50" w:rsidR="005D140B">
        <w:rPr>
          <w:b/>
        </w:rPr>
        <w:t>onsultations</w:t>
      </w:r>
    </w:p>
    <w:p w:rsidR="00A233E0" w:rsidRPr="00A233E0" w:rsidP="00854AAE" w14:paraId="7CFC9539"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11663" w:rsidP="00854AAE" w14:paraId="00F5AE89" w14:textId="0A651077">
      <w:r>
        <w:t>Three consultations were performed with entities who are participating in the Planning Grant phase of the CPRG program and h</w:t>
      </w:r>
      <w:r w:rsidR="00AD696B">
        <w:t xml:space="preserve">ave thus met prior reporting requirements for this program. These entities were two States and </w:t>
      </w:r>
      <w:r w:rsidR="00DF44C8">
        <w:t xml:space="preserve">one </w:t>
      </w:r>
      <w:r w:rsidR="00AD696B">
        <w:t>Metropolitan Planning Organization (MSA), each with varying degrees of climate planning experience. As such, these entities represent</w:t>
      </w:r>
      <w:r w:rsidR="00DF44C8">
        <w:t>ed</w:t>
      </w:r>
      <w:r w:rsidR="00AD696B">
        <w:t xml:space="preserve"> the </w:t>
      </w:r>
      <w:r w:rsidR="00DF44C8">
        <w:t>variety</w:t>
      </w:r>
      <w:r w:rsidR="00AD696B">
        <w:t xml:space="preserve"> of participants who may be awarded Implementation Grants. All consultations were performed through online meetings and occurred in April 2024. </w:t>
      </w:r>
    </w:p>
    <w:p w:rsidR="00847A5C" w:rsidRPr="00847A5C" w:rsidP="003254A6" w14:paraId="731DA13E" w14:textId="6CCC49F7">
      <w:pPr>
        <w:rPr>
          <w:rFonts w:cstheme="minorHAnsi"/>
        </w:rPr>
      </w:pPr>
      <w:r>
        <w:t>The first meeting occurred on April 17</w:t>
      </w:r>
      <w:r w:rsidRPr="00C63FF6">
        <w:rPr>
          <w:vertAlign w:val="superscript"/>
        </w:rPr>
        <w:t>th</w:t>
      </w:r>
      <w:r>
        <w:t xml:space="preserve">, included EPA staff in OAQPS, OAP, and Region 1, and involved a northeastern MSA. </w:t>
      </w:r>
      <w:r w:rsidR="00AD696B">
        <w:t>The second meeting occurred on April 17</w:t>
      </w:r>
      <w:r w:rsidRPr="0091365A" w:rsidR="00AD696B">
        <w:rPr>
          <w:vertAlign w:val="superscript"/>
        </w:rPr>
        <w:t>th</w:t>
      </w:r>
      <w:r w:rsidR="00AD696B">
        <w:t xml:space="preserve">, included EPA staff in OAQPS and Region 5, and involved a midwestern State. </w:t>
      </w:r>
      <w:r>
        <w:t>The third meeting occurred on April 23</w:t>
      </w:r>
      <w:r w:rsidRPr="0091365A">
        <w:rPr>
          <w:vertAlign w:val="superscript"/>
        </w:rPr>
        <w:t>rd</w:t>
      </w:r>
      <w:r>
        <w:t>, included EPA staff in OAQPS and Region 5, and involved a midwestern State.</w:t>
      </w:r>
      <w:r w:rsidR="003254A6">
        <w:t xml:space="preserve"> These consultations and </w:t>
      </w:r>
      <w:r w:rsidR="00DF44C8">
        <w:t xml:space="preserve">the </w:t>
      </w:r>
      <w:r w:rsidR="003254A6">
        <w:t xml:space="preserve">suggestions </w:t>
      </w:r>
      <w:r w:rsidR="00DF44C8">
        <w:t xml:space="preserve">arising from them </w:t>
      </w:r>
      <w:r>
        <w:rPr>
          <w:rFonts w:cstheme="minorHAnsi"/>
        </w:rPr>
        <w:t>helped guide subsequent efforts in developing this ICR. Suggestions and comments include</w:t>
      </w:r>
      <w:r w:rsidR="00DF44C8">
        <w:rPr>
          <w:rFonts w:cstheme="minorHAnsi"/>
        </w:rPr>
        <w:t>d</w:t>
      </w:r>
      <w:r>
        <w:rPr>
          <w:rFonts w:cstheme="minorHAnsi"/>
        </w:rPr>
        <w:t xml:space="preserve"> ensuring standardized forms are developed early, ensuring the electronic data interface can be printed into a PDF for internal review, and broad support for an electronic data interface for reporting.</w:t>
      </w:r>
    </w:p>
    <w:p w:rsidR="00A233E0" w:rsidRPr="00E3122D" w:rsidP="00854AAE" w14:paraId="6C3576F0" w14:textId="77777777">
      <w:pPr>
        <w:pStyle w:val="ListParagraph"/>
        <w:numPr>
          <w:ilvl w:val="0"/>
          <w:numId w:val="25"/>
        </w:numPr>
        <w:pBdr>
          <w:bottom w:val="single" w:sz="4" w:space="1" w:color="auto"/>
        </w:pBdr>
        <w:spacing w:before="240" w:after="0"/>
        <w:rPr>
          <w:rFonts w:cstheme="minorHAnsi"/>
          <w:b/>
          <w:bCs/>
        </w:rPr>
      </w:pPr>
      <w:bookmarkStart w:id="13" w:name="_Toc156593378"/>
      <w:r w:rsidRPr="00E3122D">
        <w:rPr>
          <w:rFonts w:cstheme="minorHAnsi"/>
          <w:b/>
          <w:bCs/>
        </w:rPr>
        <w:t>PAYMENTS OR GIFTS TO RESPONDENTS</w:t>
      </w:r>
      <w:bookmarkEnd w:id="13"/>
    </w:p>
    <w:p w:rsidR="00D47CB3" w:rsidRPr="00D47CB3" w:rsidP="00854AAE" w14:paraId="5A20C5BB" w14:textId="77777777">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364E7592" w14:textId="02815D72">
      <w:pPr>
        <w:rPr>
          <w:rFonts w:cstheme="minorHAnsi"/>
        </w:rPr>
      </w:pPr>
      <w:r w:rsidRPr="00A479A9">
        <w:rPr>
          <w:rStyle w:val="normaltextrun"/>
          <w:color w:val="000000"/>
          <w:bdr w:val="none" w:sz="0" w:space="0" w:color="auto" w:frame="1"/>
        </w:rPr>
        <w:t>No additional payments or gifts will be provided by EPA to CPRG implementation grantees.</w:t>
      </w:r>
    </w:p>
    <w:p w:rsidR="4C04BBF2" w:rsidP="4BDBF0A0" w14:paraId="7B012552" w14:textId="77777777">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7601BF56" w14:textId="77777777">
      <w:pPr>
        <w:pBdr>
          <w:bottom w:val="single" w:sz="4" w:space="1" w:color="auto"/>
        </w:pBdr>
        <w:spacing w:before="60"/>
      </w:pPr>
      <w:r w:rsidRPr="2E5AE180">
        <w:rPr>
          <w:i/>
        </w:rPr>
        <w:t xml:space="preserve">Describe any assurance of confidentiality provided to respondents and the basis for the assurance in statute, regulation, or Agency policy. If the collection requires a </w:t>
      </w:r>
      <w:bookmarkStart w:id="14" w:name="_Int_D21jwesl"/>
      <w:r w:rsidRPr="2E5AE180">
        <w:rPr>
          <w:i/>
        </w:rPr>
        <w:t>systems of records notice (SORN)</w:t>
      </w:r>
      <w:bookmarkEnd w:id="14"/>
      <w:r w:rsidRPr="2E5AE180">
        <w:rPr>
          <w:i/>
        </w:rPr>
        <w:t xml:space="preserve"> or privacy impact assessment (PIA), those should be cited and described here.</w:t>
      </w:r>
    </w:p>
    <w:p w:rsidR="00C31B8B" w:rsidRPr="00C31B8B" w:rsidP="00C31B8B" w14:paraId="4179C62A" w14:textId="77777777">
      <w:pPr>
        <w:pBdr>
          <w:top w:val="single" w:sz="6" w:space="0" w:color="FFFFFF"/>
          <w:left w:val="single" w:sz="6" w:space="0" w:color="FFFFFF"/>
          <w:bottom w:val="single" w:sz="6" w:space="0" w:color="FFFFFF"/>
          <w:right w:val="single" w:sz="6" w:space="0" w:color="FFFFFF"/>
        </w:pBdr>
        <w:spacing w:after="200" w:line="240" w:lineRule="auto"/>
        <w:rPr>
          <w:rFonts w:cstheme="minorHAnsi"/>
          <w:color w:val="000000"/>
        </w:rPr>
      </w:pPr>
      <w:r w:rsidRPr="00C31B8B">
        <w:rPr>
          <w:rFonts w:cstheme="minorHAnsi"/>
          <w:color w:val="000000"/>
        </w:rPr>
        <w:t>EPA asks grantees to refrain from including any Confidential Business Information (CBI) in their reporting. All confidential data will be handled in accordance with 40 CFR 122.7, 40 CFR Part 2, and EPA’s Security Manual Part III, Chapter 9, dated August 9, 1976. Any claim of confidentiality must be asserted at the time of submission. Any personal information included in a request would be treated in accordance with the Privacy Act, section 14 of TSCA, and the Freedom of Information Act.</w:t>
      </w:r>
    </w:p>
    <w:p w:rsidR="009F1E00" w:rsidRPr="00BB3410" w:rsidP="00C31B8B" w14:paraId="3C162C85" w14:textId="22CD4DB6">
      <w:pPr>
        <w:pBdr>
          <w:top w:val="single" w:sz="6" w:space="0" w:color="FFFFFF"/>
          <w:left w:val="single" w:sz="6" w:space="0" w:color="FFFFFF"/>
          <w:bottom w:val="single" w:sz="6" w:space="0" w:color="FFFFFF"/>
          <w:right w:val="single" w:sz="6" w:space="0" w:color="FFFFFF"/>
        </w:pBdr>
        <w:spacing w:after="200" w:line="240" w:lineRule="auto"/>
        <w:rPr>
          <w:rFonts w:cstheme="minorHAnsi"/>
          <w:color w:val="000000"/>
        </w:rPr>
      </w:pPr>
      <w:r w:rsidRPr="00C31B8B">
        <w:rPr>
          <w:rFonts w:cstheme="minorHAnsi"/>
          <w:color w:val="000000"/>
        </w:rPr>
        <w:t>Data will be publicly reported in anonymous and aggregated form where necessary to protect CBI and PII. Location identifiers will be used to fulfill federal reporting requirements (e.g., DATA Act, Justice40 Initiative) to document results in different geographic locations. EPA will follow best practices in stating the source of the data (e.g., grant progress reports) and the methodology used to collect the information (e.g., self-report).</w:t>
      </w:r>
    </w:p>
    <w:p w:rsidR="00A233E0" w:rsidRPr="00E3122D" w:rsidP="00854AAE" w14:paraId="39B6C1E9" w14:textId="77777777">
      <w:pPr>
        <w:pStyle w:val="ListParagraph"/>
        <w:numPr>
          <w:ilvl w:val="0"/>
          <w:numId w:val="25"/>
        </w:numPr>
        <w:pBdr>
          <w:bottom w:val="single" w:sz="4" w:space="1" w:color="auto"/>
        </w:pBdr>
        <w:spacing w:before="240" w:after="0"/>
        <w:rPr>
          <w:rFonts w:cstheme="minorHAnsi"/>
          <w:b/>
          <w:bCs/>
        </w:rPr>
      </w:pPr>
      <w:bookmarkStart w:id="15" w:name="_Toc156593380"/>
      <w:r w:rsidRPr="4BDBF0A0">
        <w:rPr>
          <w:b/>
          <w:bCs/>
        </w:rPr>
        <w:t>JUSTIFICATION FOR SENSITIVE QUESTIONS</w:t>
      </w:r>
      <w:bookmarkEnd w:id="15"/>
    </w:p>
    <w:p w:rsidR="00A233E0" w:rsidRPr="00A233E0" w:rsidP="00854AAE" w14:paraId="3339C815" w14:textId="77777777">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4ABDAF8F" w14:textId="0029B86B">
      <w:pPr>
        <w:pBdr>
          <w:top w:val="single" w:sz="6" w:space="0" w:color="FFFFFF"/>
          <w:left w:val="single" w:sz="6" w:space="0" w:color="FFFFFF"/>
          <w:bottom w:val="single" w:sz="6" w:space="0" w:color="FFFFFF"/>
          <w:right w:val="single" w:sz="6" w:space="0" w:color="FFFFFF"/>
        </w:pBdr>
        <w:rPr>
          <w:rFonts w:cstheme="minorHAnsi"/>
          <w:color w:val="000000"/>
        </w:rPr>
      </w:pPr>
      <w:r w:rsidRPr="00BC7D43">
        <w:rPr>
          <w:rFonts w:cstheme="minorHAnsi"/>
          <w:color w:val="000000"/>
        </w:rPr>
        <w:t xml:space="preserve">Questions about sensitive issues that are normally considered private will not be included in the information collections covered by this ICR. </w:t>
      </w:r>
    </w:p>
    <w:p w:rsidR="001172FE" w:rsidRPr="00E3122D" w:rsidP="00854AAE" w14:paraId="6A04EA4C" w14:textId="77777777">
      <w:pPr>
        <w:pStyle w:val="ListParagraph"/>
        <w:numPr>
          <w:ilvl w:val="0"/>
          <w:numId w:val="25"/>
        </w:numPr>
        <w:spacing w:before="240" w:after="0"/>
        <w:rPr>
          <w:rFonts w:cstheme="minorHAnsi"/>
          <w:b/>
          <w:bCs/>
        </w:rPr>
      </w:pPr>
      <w:bookmarkStart w:id="16" w:name="_Toc156593381"/>
      <w:bookmarkStart w:id="17" w:name="_Hlk162363270"/>
      <w:r w:rsidRPr="4BDBF0A0">
        <w:rPr>
          <w:b/>
          <w:bCs/>
        </w:rPr>
        <w:t>RESPONDENT BURDEN HOURS</w:t>
      </w:r>
      <w:r w:rsidRPr="4BDBF0A0" w:rsidR="00DB799B">
        <w:rPr>
          <w:b/>
          <w:bCs/>
        </w:rPr>
        <w:t xml:space="preserve"> &amp; LABOR COSTS</w:t>
      </w:r>
      <w:bookmarkStart w:id="18" w:name="_Toc156593382"/>
      <w:bookmarkEnd w:id="16"/>
    </w:p>
    <w:p w:rsidR="00A233E0" w:rsidRPr="00F532D6" w:rsidP="00163C69" w14:paraId="599D4E48"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02D116D9"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A662B85"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250E6610" w14:paraId="2CA058FF" w14:textId="77777777">
      <w:pPr>
        <w:pStyle w:val="ListParagraph"/>
        <w:numPr>
          <w:ilvl w:val="0"/>
          <w:numId w:val="14"/>
        </w:numPr>
        <w:pBdr>
          <w:bottom w:val="single" w:sz="4" w:space="1" w:color="auto"/>
        </w:pBdr>
        <w:ind w:left="446"/>
        <w:rPr>
          <w:i/>
          <w:iCs/>
        </w:rPr>
      </w:pPr>
      <w:r w:rsidRPr="250E6610">
        <w:rPr>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250E6610" w:rsidR="001F0834">
        <w:rPr>
          <w:i/>
          <w:iCs/>
        </w:rPr>
        <w:t>.</w:t>
      </w:r>
    </w:p>
    <w:bookmarkEnd w:id="17"/>
    <w:p w:rsidR="001172FE" w:rsidRPr="00E3122D" w:rsidP="00854AAE" w14:paraId="1E830AA7" w14:textId="77777777">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9" w:name="_Toc156593383"/>
      <w:bookmarkEnd w:id="18"/>
    </w:p>
    <w:p w:rsidR="00BB3410" w:rsidRPr="00BB3410" w:rsidP="250E6610" w14:paraId="243C5E3E" w14:textId="4AFF1D1C">
      <w:pPr>
        <w:pBdr>
          <w:top w:val="single" w:sz="6" w:space="0" w:color="FFFFFF"/>
          <w:left w:val="single" w:sz="6" w:space="0" w:color="FFFFFF"/>
          <w:bottom w:val="single" w:sz="6" w:space="0" w:color="FFFFFF"/>
          <w:right w:val="single" w:sz="6" w:space="0" w:color="FFFFFF"/>
        </w:pBdr>
        <w:spacing w:before="60"/>
        <w:rPr>
          <w:color w:val="000000"/>
        </w:rPr>
      </w:pPr>
      <w:r w:rsidRPr="250E6610">
        <w:rPr>
          <w:color w:val="000000" w:themeColor="text1"/>
        </w:rPr>
        <w:t xml:space="preserve">Respondents to this ICR will be CPRG Implementation Grant </w:t>
      </w:r>
      <w:r w:rsidRPr="250E6610" w:rsidR="00A173F0">
        <w:rPr>
          <w:color w:val="000000" w:themeColor="text1"/>
        </w:rPr>
        <w:t xml:space="preserve">recipients under the General Competition </w:t>
      </w:r>
      <w:r w:rsidRPr="250E6610" w:rsidR="004D057B">
        <w:rPr>
          <w:color w:val="000000" w:themeColor="text1"/>
        </w:rPr>
        <w:t>and the Tribes and Territories Competition</w:t>
      </w:r>
      <w:r w:rsidRPr="250E6610">
        <w:rPr>
          <w:color w:val="000000" w:themeColor="text1"/>
        </w:rPr>
        <w:t>.</w:t>
      </w:r>
      <w:r w:rsidR="00C211D6">
        <w:rPr>
          <w:color w:val="000000" w:themeColor="text1"/>
        </w:rPr>
        <w:t xml:space="preserve"> Generally, this will include entities that fit within the </w:t>
      </w:r>
      <w:r w:rsidRPr="00C211D6" w:rsidR="00C211D6">
        <w:rPr>
          <w:color w:val="000000" w:themeColor="text1"/>
        </w:rPr>
        <w:t>9211</w:t>
      </w:r>
      <w:r w:rsidR="00C211D6">
        <w:rPr>
          <w:color w:val="000000" w:themeColor="text1"/>
        </w:rPr>
        <w:t xml:space="preserve"> - </w:t>
      </w:r>
      <w:r w:rsidRPr="00C211D6" w:rsidR="00C211D6">
        <w:rPr>
          <w:color w:val="000000" w:themeColor="text1"/>
        </w:rPr>
        <w:t>Executive, Legislative, and Other General Government Support</w:t>
      </w:r>
      <w:r w:rsidR="00C211D6">
        <w:rPr>
          <w:color w:val="000000" w:themeColor="text1"/>
        </w:rPr>
        <w:t xml:space="preserve"> NAICS code.</w:t>
      </w:r>
    </w:p>
    <w:p w:rsidR="00ED57A4" w:rsidRPr="00163C69" w:rsidP="00854AAE" w14:paraId="3AF8457E" w14:textId="77777777">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20" w:name="_Toc156593384"/>
      <w:bookmarkEnd w:id="19"/>
    </w:p>
    <w:p w:rsidR="00BB3410" w:rsidRPr="00EE5673" w:rsidP="250E6610" w14:paraId="618ECBDD" w14:textId="61D94335">
      <w:pPr>
        <w:pBdr>
          <w:top w:val="single" w:sz="6" w:space="0" w:color="FFFFFF"/>
          <w:left w:val="single" w:sz="6" w:space="0" w:color="FFFFFF"/>
          <w:bottom w:val="single" w:sz="6" w:space="0" w:color="FFFFFF"/>
          <w:right w:val="single" w:sz="6" w:space="0" w:color="FFFFFF"/>
        </w:pBdr>
        <w:spacing w:before="60"/>
        <w:rPr>
          <w:color w:val="000000"/>
        </w:rPr>
      </w:pPr>
      <w:r w:rsidRPr="250E6610">
        <w:rPr>
          <w:color w:val="000000" w:themeColor="text1"/>
        </w:rPr>
        <w:t>For the period January 1, 2025</w:t>
      </w:r>
      <w:r w:rsidRPr="2E5AE180" w:rsidR="33788B06">
        <w:rPr>
          <w:color w:val="000000" w:themeColor="text1"/>
        </w:rPr>
        <w:t>,</w:t>
      </w:r>
      <w:r w:rsidRPr="250E6610">
        <w:rPr>
          <w:color w:val="000000" w:themeColor="text1"/>
        </w:rPr>
        <w:t xml:space="preserve"> to December 31, 2027, EPA expects that all grantees awarded under the CPRG Implementation Grants </w:t>
      </w:r>
      <w:r w:rsidRPr="250E6610" w:rsidR="004A0863">
        <w:rPr>
          <w:color w:val="000000" w:themeColor="text1"/>
        </w:rPr>
        <w:t>G</w:t>
      </w:r>
      <w:r w:rsidRPr="250E6610">
        <w:rPr>
          <w:color w:val="000000" w:themeColor="text1"/>
        </w:rPr>
        <w:t xml:space="preserve">eneral </w:t>
      </w:r>
      <w:r w:rsidRPr="250E6610" w:rsidR="004A0863">
        <w:rPr>
          <w:color w:val="000000" w:themeColor="text1"/>
        </w:rPr>
        <w:t>C</w:t>
      </w:r>
      <w:r w:rsidRPr="250E6610">
        <w:rPr>
          <w:color w:val="000000" w:themeColor="text1"/>
        </w:rPr>
        <w:t>ompetition will develop and submit one-year reports (due one year after the grant is awarded, or roughly in late 2025</w:t>
      </w:r>
      <w:r w:rsidR="00DF44C8">
        <w:rPr>
          <w:color w:val="000000" w:themeColor="text1"/>
        </w:rPr>
        <w:t>/early 2026</w:t>
      </w:r>
      <w:r w:rsidRPr="250E6610">
        <w:rPr>
          <w:color w:val="000000" w:themeColor="text1"/>
        </w:rPr>
        <w:t>). EPA is estimating</w:t>
      </w:r>
      <w:r w:rsidRPr="250E6610" w:rsidR="002341FD">
        <w:rPr>
          <w:color w:val="000000" w:themeColor="text1"/>
        </w:rPr>
        <w:t xml:space="preserve"> burden based on a conservative assumption that</w:t>
      </w:r>
      <w:r w:rsidRPr="250E6610">
        <w:rPr>
          <w:color w:val="000000" w:themeColor="text1"/>
        </w:rPr>
        <w:t xml:space="preserve"> there will be 115 one-year reports submitted. In addition, while the grant period for CPRG implementation grants is anticipated to be 5 years in most cases, EPA is estimating that, for purposes of this Information Collection Request, up to 15 grantees under the </w:t>
      </w:r>
      <w:r w:rsidRPr="250E6610" w:rsidR="002341FD">
        <w:rPr>
          <w:color w:val="000000" w:themeColor="text1"/>
        </w:rPr>
        <w:t>G</w:t>
      </w:r>
      <w:r w:rsidRPr="250E6610">
        <w:rPr>
          <w:color w:val="000000" w:themeColor="text1"/>
        </w:rPr>
        <w:t xml:space="preserve">eneral </w:t>
      </w:r>
      <w:r w:rsidRPr="250E6610" w:rsidR="002341FD">
        <w:rPr>
          <w:color w:val="000000" w:themeColor="text1"/>
        </w:rPr>
        <w:t>C</w:t>
      </w:r>
      <w:r w:rsidRPr="250E6610">
        <w:rPr>
          <w:color w:val="000000" w:themeColor="text1"/>
        </w:rPr>
        <w:t xml:space="preserve">ompetition and 15 grantees under the Tribes and </w:t>
      </w:r>
      <w:r w:rsidRPr="250E6610" w:rsidR="002341FD">
        <w:rPr>
          <w:color w:val="000000" w:themeColor="text1"/>
        </w:rPr>
        <w:t>T</w:t>
      </w:r>
      <w:r w:rsidRPr="250E6610">
        <w:rPr>
          <w:color w:val="000000" w:themeColor="text1"/>
        </w:rPr>
        <w:t xml:space="preserve">erritories </w:t>
      </w:r>
      <w:r w:rsidRPr="250E6610" w:rsidR="002341FD">
        <w:rPr>
          <w:color w:val="000000" w:themeColor="text1"/>
        </w:rPr>
        <w:t>C</w:t>
      </w:r>
      <w:r w:rsidRPr="250E6610">
        <w:rPr>
          <w:color w:val="000000" w:themeColor="text1"/>
        </w:rPr>
        <w:t>ompetition may develop and submit a final report to close out their CPRG implementation grants by the end of 2027.</w:t>
      </w:r>
      <w:r w:rsidRPr="250E6610" w:rsidR="00EE5673">
        <w:rPr>
          <w:color w:val="000000" w:themeColor="text1"/>
        </w:rPr>
        <w:t xml:space="preserve"> Recipients of CPRG implementation grants will incur a burden in the process of preparing, completing, and submitting required performance </w:t>
      </w:r>
      <w:r w:rsidRPr="250E6610" w:rsidR="00EE5673">
        <w:rPr>
          <w:color w:val="000000" w:themeColor="text1"/>
        </w:rPr>
        <w:t xml:space="preserve">information via the one-year progress report and final reports. However, it should be noted that these requirements are mandated by the Notice of Funding Opportunity and should be accounted for in the submitted grant applications. This Information Collection Request is simply </w:t>
      </w:r>
      <w:r w:rsidR="00DF44C8">
        <w:rPr>
          <w:color w:val="000000" w:themeColor="text1"/>
        </w:rPr>
        <w:t>enabling</w:t>
      </w:r>
      <w:r w:rsidRPr="250E6610" w:rsidR="00EE5673">
        <w:rPr>
          <w:color w:val="000000" w:themeColor="text1"/>
        </w:rPr>
        <w:t xml:space="preserve"> the</w:t>
      </w:r>
      <w:r w:rsidR="008B37E9">
        <w:rPr>
          <w:color w:val="000000" w:themeColor="text1"/>
        </w:rPr>
        <w:t xml:space="preserve"> compiled</w:t>
      </w:r>
      <w:r w:rsidRPr="250E6610" w:rsidR="00EE5673">
        <w:rPr>
          <w:color w:val="000000" w:themeColor="text1"/>
        </w:rPr>
        <w:t xml:space="preserve"> data </w:t>
      </w:r>
      <w:r w:rsidRPr="250E6610" w:rsidR="008849A2">
        <w:rPr>
          <w:color w:val="000000" w:themeColor="text1"/>
        </w:rPr>
        <w:t>to be</w:t>
      </w:r>
      <w:r w:rsidRPr="250E6610" w:rsidR="00EE5673">
        <w:rPr>
          <w:color w:val="000000" w:themeColor="text1"/>
        </w:rPr>
        <w:t xml:space="preserve"> submitted in a particular template. </w:t>
      </w:r>
    </w:p>
    <w:p w:rsidR="001172FE" w:rsidRPr="00163C69" w:rsidP="00854AAE" w14:paraId="3E2FB600" w14:textId="77777777">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21" w:name="_Toc156593385"/>
      <w:bookmarkEnd w:id="20"/>
    </w:p>
    <w:p w:rsidR="009F1E00" w:rsidRPr="00BB3410" w:rsidP="00854AAE" w14:paraId="4765FA3D" w14:textId="11CFDF89">
      <w:pPr>
        <w:spacing w:before="60"/>
        <w:rPr>
          <w:rFonts w:cstheme="minorHAnsi"/>
        </w:rPr>
      </w:pPr>
      <w:r w:rsidRPr="009964E7">
        <w:rPr>
          <w:rFonts w:cstheme="minorHAnsi"/>
        </w:rPr>
        <w:t>Awardees will report on technical progress, accomplishments, and milestones achieved, including a description of outputs and outcomes, planned activities for the next six months, a summary of expenditures to date, their community engagement, their strategy for mitigating environmental risks, progress on job quality, benefits to low-income and disadvantaged communities, including changes in co-pollutant emissions, and summary of the GHG reduction measures implemented.</w:t>
      </w:r>
      <w:r w:rsidRPr="009964E7" w:rsidR="009964E7">
        <w:rPr>
          <w:rFonts w:cstheme="minorHAnsi"/>
        </w:rPr>
        <w:t xml:space="preserve"> Most qualitative information will be entered by the awardees into the </w:t>
      </w:r>
      <w:r w:rsidRPr="009964E7" w:rsidR="009964E7">
        <w:t>electronic data interface to be specified by EPA (screenshots of which are available in the “20240626 - CPRG Progress Report Template.pptx”). The quantitative, emissions changes portion of the reporting will be entered into a spreadsheet (see “CPRG_reporting_template_draft_v2_20240626_EMISSIONSonly.xlsx”) downloaded from the electronic data interface to be specified by EPA, filled out by the awardee, and re-uploaded to the electronic data interface to be specified by EPA for final submission.</w:t>
      </w:r>
    </w:p>
    <w:p w:rsidR="00D92ED6" w:rsidP="00854AAE" w14:paraId="2E3DC0A4" w14:textId="77777777">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21"/>
      <w:r w:rsidRPr="00163C69" w:rsidR="00BB2B15">
        <w:rPr>
          <w:rFonts w:cstheme="minorHAnsi"/>
          <w:b/>
          <w:bCs/>
        </w:rPr>
        <w:t>Costs</w:t>
      </w:r>
    </w:p>
    <w:p w:rsidR="008B37E9" w:rsidP="00854AAE" w14:paraId="468C9B3B" w14:textId="21BC2ED7">
      <w:pPr>
        <w:spacing w:before="120" w:after="0"/>
        <w:rPr>
          <w:color w:val="000000" w:themeColor="text1"/>
        </w:rPr>
      </w:pPr>
      <w:r w:rsidRPr="2E5AE180">
        <w:rPr>
          <w:color w:val="000000" w:themeColor="text1"/>
        </w:rPr>
        <w:t xml:space="preserve">EPA has used its best professional judgement </w:t>
      </w:r>
      <w:r>
        <w:rPr>
          <w:color w:val="000000" w:themeColor="text1"/>
        </w:rPr>
        <w:t xml:space="preserve">and feedback obtained through consultations with </w:t>
      </w:r>
      <w:r w:rsidR="00873F9C">
        <w:rPr>
          <w:color w:val="000000" w:themeColor="text1"/>
        </w:rPr>
        <w:t xml:space="preserve">representatives of those from whom information may be obtained (see Section 8b) </w:t>
      </w:r>
      <w:r w:rsidRPr="2E5AE180">
        <w:rPr>
          <w:color w:val="000000" w:themeColor="text1"/>
        </w:rPr>
        <w:t>to develop estimates of burden hours and costs for each instrument for the period January 1, 2025, to December 31, 2027.</w:t>
      </w:r>
      <w:r w:rsidR="004B0EBE">
        <w:rPr>
          <w:color w:val="000000" w:themeColor="text1"/>
        </w:rPr>
        <w:t xml:space="preserve"> Since all respondents will be either state/local/tribal/territorial governments and the reporting “obligation to respond” for all deliverables are mandatory, only one Respondent Burden Table is provided.</w:t>
      </w:r>
    </w:p>
    <w:p w:rsidR="004D7513" w:rsidP="00854AAE" w14:paraId="413FC121" w14:textId="77777777">
      <w:pPr>
        <w:spacing w:before="120" w:after="0"/>
        <w:rPr>
          <w:color w:val="000000" w:themeColor="text1"/>
        </w:rPr>
      </w:pPr>
    </w:p>
    <w:p w:rsidR="00FE5B3C" w:rsidP="00174189" w14:paraId="44C52AD7" w14:textId="77777777">
      <w:pPr>
        <w:jc w:val="center"/>
        <w:rPr>
          <w:rFonts w:cstheme="minorHAnsi"/>
          <w:b/>
          <w:bCs/>
          <w:color w:val="000000"/>
          <w:sz w:val="20"/>
          <w:szCs w:val="20"/>
        </w:rPr>
        <w:sectPr w:rsidSect="00DE7D97">
          <w:footerReference w:type="default" r:id="rId9"/>
          <w:pgSz w:w="12240" w:h="15840"/>
          <w:pgMar w:top="1440" w:right="1440" w:bottom="1440" w:left="1440" w:header="720" w:footer="720" w:gutter="0"/>
          <w:cols w:space="720"/>
          <w:docGrid w:linePitch="360"/>
        </w:sectPr>
      </w:pPr>
    </w:p>
    <w:tbl>
      <w:tblPr>
        <w:tblStyle w:val="TableGrid"/>
        <w:tblW w:w="0" w:type="auto"/>
        <w:tblLook w:val="04A0"/>
      </w:tblPr>
      <w:tblGrid>
        <w:gridCol w:w="1290"/>
        <w:gridCol w:w="1296"/>
        <w:gridCol w:w="1098"/>
        <w:gridCol w:w="1076"/>
        <w:gridCol w:w="1069"/>
        <w:gridCol w:w="1221"/>
        <w:gridCol w:w="1145"/>
        <w:gridCol w:w="1202"/>
        <w:gridCol w:w="1528"/>
        <w:gridCol w:w="898"/>
        <w:gridCol w:w="1127"/>
      </w:tblGrid>
      <w:tr w14:paraId="2CC219EA" w14:textId="02A5FC72" w:rsidTr="008849A2">
        <w:tblPrEx>
          <w:tblW w:w="0" w:type="auto"/>
          <w:tblLook w:val="04A0"/>
        </w:tblPrEx>
        <w:trPr>
          <w:trHeight w:val="732"/>
        </w:trPr>
        <w:tc>
          <w:tcPr>
            <w:tcW w:w="1290" w:type="dxa"/>
            <w:shd w:val="clear" w:color="auto" w:fill="D9D9D9" w:themeFill="background1" w:themeFillShade="D9"/>
            <w:vAlign w:val="center"/>
          </w:tcPr>
          <w:p w:rsidR="00234C31" w:rsidRPr="00790E96" w:rsidP="00234C31" w14:paraId="4C4239DB" w14:textId="17F8461E">
            <w:pPr>
              <w:jc w:val="center"/>
              <w:rPr>
                <w:rFonts w:cstheme="minorHAnsi"/>
                <w:b/>
                <w:bCs/>
                <w:color w:val="000000"/>
                <w:sz w:val="20"/>
                <w:szCs w:val="20"/>
              </w:rPr>
            </w:pPr>
            <w:r>
              <w:rPr>
                <w:rFonts w:ascii="Calibri" w:hAnsi="Calibri" w:cs="Calibri"/>
                <w:b/>
                <w:bCs/>
                <w:color w:val="000000"/>
                <w:sz w:val="20"/>
                <w:szCs w:val="20"/>
              </w:rPr>
              <w:t>Activity</w:t>
            </w:r>
          </w:p>
        </w:tc>
        <w:tc>
          <w:tcPr>
            <w:tcW w:w="1296" w:type="dxa"/>
            <w:shd w:val="clear" w:color="auto" w:fill="D9D9D9" w:themeFill="background1" w:themeFillShade="D9"/>
            <w:vAlign w:val="center"/>
          </w:tcPr>
          <w:p w:rsidR="00234C31" w:rsidRPr="00790E96" w:rsidP="00234C31" w14:paraId="3D835CFA" w14:textId="5557D510">
            <w:pPr>
              <w:jc w:val="center"/>
              <w:rPr>
                <w:rFonts w:cstheme="minorHAnsi"/>
                <w:b/>
                <w:bCs/>
                <w:sz w:val="20"/>
                <w:szCs w:val="20"/>
              </w:rPr>
            </w:pPr>
            <w:r>
              <w:rPr>
                <w:rFonts w:ascii="Calibri" w:hAnsi="Calibri" w:cs="Calibri"/>
                <w:b/>
                <w:bCs/>
                <w:color w:val="000000"/>
                <w:sz w:val="20"/>
                <w:szCs w:val="20"/>
              </w:rPr>
              <w:t>Respondents (total)</w:t>
            </w:r>
          </w:p>
        </w:tc>
        <w:tc>
          <w:tcPr>
            <w:tcW w:w="1098" w:type="dxa"/>
            <w:shd w:val="clear" w:color="auto" w:fill="D9D9D9" w:themeFill="background1" w:themeFillShade="D9"/>
            <w:vAlign w:val="center"/>
          </w:tcPr>
          <w:p w:rsidR="00234C31" w:rsidRPr="00790E96" w:rsidP="00234C31" w14:paraId="565D7294" w14:textId="7002D873">
            <w:pPr>
              <w:jc w:val="center"/>
              <w:rPr>
                <w:rFonts w:cstheme="minorHAnsi"/>
                <w:b/>
                <w:bCs/>
                <w:sz w:val="20"/>
                <w:szCs w:val="20"/>
              </w:rPr>
            </w:pPr>
            <w:r>
              <w:rPr>
                <w:rFonts w:ascii="Calibri" w:hAnsi="Calibri" w:cs="Calibri"/>
                <w:b/>
                <w:bCs/>
                <w:color w:val="000000"/>
                <w:sz w:val="20"/>
                <w:szCs w:val="20"/>
              </w:rPr>
              <w:t xml:space="preserve">Responses (in </w:t>
            </w:r>
            <w:r w:rsidR="00EF669A">
              <w:rPr>
                <w:rFonts w:ascii="Calibri" w:hAnsi="Calibri" w:cs="Calibri"/>
                <w:b/>
                <w:bCs/>
                <w:color w:val="000000"/>
                <w:sz w:val="20"/>
                <w:szCs w:val="20"/>
              </w:rPr>
              <w:t>3-year</w:t>
            </w:r>
            <w:r>
              <w:rPr>
                <w:rFonts w:ascii="Calibri" w:hAnsi="Calibri" w:cs="Calibri"/>
                <w:b/>
                <w:bCs/>
                <w:color w:val="000000"/>
                <w:sz w:val="20"/>
                <w:szCs w:val="20"/>
              </w:rPr>
              <w:t xml:space="preserve"> period covered by ICR)</w:t>
            </w:r>
          </w:p>
        </w:tc>
        <w:tc>
          <w:tcPr>
            <w:tcW w:w="1076" w:type="dxa"/>
            <w:shd w:val="clear" w:color="auto" w:fill="D9D9D9" w:themeFill="background1" w:themeFillShade="D9"/>
            <w:vAlign w:val="center"/>
          </w:tcPr>
          <w:p w:rsidR="00234C31" w:rsidRPr="00790E96" w:rsidP="00234C31" w14:paraId="16F6D0AE" w14:textId="1720ABA2">
            <w:pPr>
              <w:jc w:val="center"/>
              <w:rPr>
                <w:rFonts w:cstheme="minorHAnsi"/>
                <w:b/>
                <w:bCs/>
                <w:sz w:val="20"/>
                <w:szCs w:val="20"/>
              </w:rPr>
            </w:pPr>
            <w:r>
              <w:rPr>
                <w:rFonts w:ascii="Calibri" w:hAnsi="Calibri" w:cs="Calibri"/>
                <w:b/>
                <w:bCs/>
                <w:color w:val="000000"/>
                <w:sz w:val="20"/>
                <w:szCs w:val="20"/>
              </w:rPr>
              <w:t>Average annual responses</w:t>
            </w:r>
          </w:p>
        </w:tc>
        <w:tc>
          <w:tcPr>
            <w:tcW w:w="1070" w:type="dxa"/>
            <w:shd w:val="clear" w:color="auto" w:fill="D9D9D9" w:themeFill="background1" w:themeFillShade="D9"/>
            <w:vAlign w:val="center"/>
          </w:tcPr>
          <w:p w:rsidR="00234C31" w:rsidRPr="00790E96" w:rsidP="00234C31" w14:paraId="4D148980" w14:textId="1067B181">
            <w:pPr>
              <w:jc w:val="center"/>
              <w:rPr>
                <w:rFonts w:cstheme="minorHAnsi"/>
                <w:b/>
                <w:bCs/>
                <w:sz w:val="20"/>
                <w:szCs w:val="20"/>
              </w:rPr>
            </w:pPr>
            <w:r>
              <w:rPr>
                <w:rFonts w:ascii="Calibri" w:hAnsi="Calibri" w:cs="Calibri"/>
                <w:b/>
                <w:bCs/>
                <w:color w:val="000000"/>
                <w:sz w:val="20"/>
                <w:szCs w:val="20"/>
              </w:rPr>
              <w:t>Burden per Response (Hours)</w:t>
            </w:r>
          </w:p>
        </w:tc>
        <w:tc>
          <w:tcPr>
            <w:tcW w:w="1224" w:type="dxa"/>
            <w:shd w:val="clear" w:color="auto" w:fill="D9D9D9" w:themeFill="background1" w:themeFillShade="D9"/>
            <w:vAlign w:val="center"/>
          </w:tcPr>
          <w:p w:rsidR="00234C31" w:rsidRPr="00790E96" w:rsidP="00234C31" w14:paraId="103F772A" w14:textId="33714E62">
            <w:pPr>
              <w:jc w:val="center"/>
              <w:rPr>
                <w:rFonts w:cstheme="minorHAnsi"/>
                <w:b/>
                <w:bCs/>
                <w:color w:val="000000"/>
                <w:sz w:val="20"/>
                <w:szCs w:val="20"/>
              </w:rPr>
            </w:pPr>
            <w:r>
              <w:rPr>
                <w:rFonts w:ascii="Calibri" w:hAnsi="Calibri" w:cs="Calibri"/>
                <w:b/>
                <w:bCs/>
                <w:color w:val="000000"/>
                <w:sz w:val="20"/>
                <w:szCs w:val="20"/>
              </w:rPr>
              <w:t>Labor Cost per Response ($)</w:t>
            </w:r>
          </w:p>
        </w:tc>
        <w:tc>
          <w:tcPr>
            <w:tcW w:w="1147" w:type="dxa"/>
            <w:shd w:val="clear" w:color="auto" w:fill="D9D9D9" w:themeFill="background1" w:themeFillShade="D9"/>
            <w:vAlign w:val="center"/>
          </w:tcPr>
          <w:p w:rsidR="00234C31" w:rsidRPr="00790E96" w:rsidP="00234C31" w14:paraId="6DCB4AE4" w14:textId="3CEC16C1">
            <w:pPr>
              <w:jc w:val="center"/>
              <w:rPr>
                <w:rFonts w:cstheme="minorHAnsi"/>
                <w:b/>
                <w:bCs/>
                <w:color w:val="000000"/>
                <w:sz w:val="20"/>
                <w:szCs w:val="20"/>
              </w:rPr>
            </w:pPr>
            <w:r>
              <w:rPr>
                <w:rFonts w:ascii="Calibri" w:hAnsi="Calibri" w:cs="Calibri"/>
                <w:b/>
                <w:bCs/>
                <w:color w:val="000000"/>
                <w:sz w:val="20"/>
                <w:szCs w:val="20"/>
              </w:rPr>
              <w:t>Non-Labor Costs Per Response</w:t>
            </w:r>
            <w:r w:rsidR="00E268FF">
              <w:rPr>
                <w:rFonts w:ascii="Calibri" w:hAnsi="Calibri" w:cs="Calibri"/>
                <w:b/>
                <w:bCs/>
                <w:color w:val="000000"/>
                <w:sz w:val="20"/>
                <w:szCs w:val="20"/>
              </w:rPr>
              <w:t xml:space="preserve"> ($)</w:t>
            </w:r>
          </w:p>
        </w:tc>
        <w:tc>
          <w:tcPr>
            <w:tcW w:w="1207" w:type="dxa"/>
            <w:shd w:val="clear" w:color="auto" w:fill="D9D9D9" w:themeFill="background1" w:themeFillShade="D9"/>
            <w:vAlign w:val="center"/>
          </w:tcPr>
          <w:p w:rsidR="00234C31" w:rsidRPr="00790E96" w:rsidP="00234C31" w14:paraId="2B04F55B" w14:textId="7FE1E40C">
            <w:pPr>
              <w:jc w:val="center"/>
              <w:rPr>
                <w:rFonts w:cstheme="minorHAnsi"/>
                <w:b/>
                <w:bCs/>
                <w:color w:val="000000"/>
                <w:sz w:val="20"/>
                <w:szCs w:val="20"/>
              </w:rPr>
            </w:pPr>
            <w:r>
              <w:rPr>
                <w:rFonts w:ascii="Calibri" w:hAnsi="Calibri" w:cs="Calibri"/>
                <w:b/>
                <w:bCs/>
                <w:color w:val="000000"/>
                <w:sz w:val="20"/>
                <w:szCs w:val="20"/>
              </w:rPr>
              <w:t>Average Annual Total Burden (Hours)</w:t>
            </w:r>
          </w:p>
        </w:tc>
        <w:tc>
          <w:tcPr>
            <w:tcW w:w="1534" w:type="dxa"/>
            <w:shd w:val="clear" w:color="auto" w:fill="D9D9D9" w:themeFill="background1" w:themeFillShade="D9"/>
            <w:vAlign w:val="center"/>
          </w:tcPr>
          <w:p w:rsidR="00234C31" w:rsidRPr="00790E96" w:rsidP="00234C31" w14:paraId="78456684" w14:textId="1E32F9F9">
            <w:pPr>
              <w:jc w:val="center"/>
              <w:rPr>
                <w:rFonts w:cstheme="minorHAnsi"/>
                <w:b/>
                <w:bCs/>
                <w:color w:val="000000"/>
                <w:sz w:val="20"/>
                <w:szCs w:val="20"/>
              </w:rPr>
            </w:pPr>
            <w:r>
              <w:rPr>
                <w:rFonts w:ascii="Calibri" w:hAnsi="Calibri" w:cs="Calibri"/>
                <w:b/>
                <w:bCs/>
                <w:color w:val="000000"/>
                <w:sz w:val="20"/>
                <w:szCs w:val="20"/>
              </w:rPr>
              <w:t>Average Annual Labor Costs</w:t>
            </w:r>
            <w:r w:rsidR="00E268FF">
              <w:rPr>
                <w:rFonts w:ascii="Calibri" w:hAnsi="Calibri" w:cs="Calibri"/>
                <w:b/>
                <w:bCs/>
                <w:color w:val="000000"/>
                <w:sz w:val="20"/>
                <w:szCs w:val="20"/>
              </w:rPr>
              <w:t xml:space="preserve"> ($)</w:t>
            </w:r>
          </w:p>
        </w:tc>
        <w:tc>
          <w:tcPr>
            <w:tcW w:w="898" w:type="dxa"/>
            <w:shd w:val="clear" w:color="auto" w:fill="D9D9D9" w:themeFill="background1" w:themeFillShade="D9"/>
            <w:vAlign w:val="center"/>
          </w:tcPr>
          <w:p w:rsidR="00234C31" w:rsidRPr="00790E96" w:rsidP="00234C31" w14:paraId="197ADA94" w14:textId="6EE485C1">
            <w:pPr>
              <w:jc w:val="center"/>
              <w:rPr>
                <w:rFonts w:cstheme="minorHAnsi"/>
                <w:b/>
                <w:bCs/>
                <w:color w:val="000000"/>
                <w:sz w:val="20"/>
                <w:szCs w:val="20"/>
              </w:rPr>
            </w:pPr>
            <w:r>
              <w:rPr>
                <w:rFonts w:ascii="Calibri" w:hAnsi="Calibri" w:cs="Calibri"/>
                <w:b/>
                <w:bCs/>
                <w:color w:val="000000"/>
                <w:sz w:val="20"/>
                <w:szCs w:val="20"/>
              </w:rPr>
              <w:t>Average Annual Non-Labor Costs</w:t>
            </w:r>
            <w:r w:rsidR="00E268FF">
              <w:rPr>
                <w:rFonts w:ascii="Calibri" w:hAnsi="Calibri" w:cs="Calibri"/>
                <w:b/>
                <w:bCs/>
                <w:color w:val="000000"/>
                <w:sz w:val="20"/>
                <w:szCs w:val="20"/>
              </w:rPr>
              <w:t xml:space="preserve"> ($)</w:t>
            </w:r>
          </w:p>
        </w:tc>
        <w:tc>
          <w:tcPr>
            <w:tcW w:w="1110" w:type="dxa"/>
            <w:shd w:val="clear" w:color="auto" w:fill="D9D9D9" w:themeFill="background1" w:themeFillShade="D9"/>
            <w:vAlign w:val="center"/>
          </w:tcPr>
          <w:p w:rsidR="00234C31" w:rsidRPr="00790E96" w:rsidP="00234C31" w14:paraId="34D245D5" w14:textId="12907F22">
            <w:pPr>
              <w:jc w:val="center"/>
              <w:rPr>
                <w:rFonts w:cstheme="minorHAnsi"/>
                <w:b/>
                <w:bCs/>
                <w:sz w:val="20"/>
                <w:szCs w:val="20"/>
              </w:rPr>
            </w:pPr>
            <w:r>
              <w:rPr>
                <w:rFonts w:ascii="Calibri" w:hAnsi="Calibri" w:cs="Calibri"/>
                <w:b/>
                <w:bCs/>
                <w:color w:val="000000"/>
                <w:sz w:val="20"/>
                <w:szCs w:val="20"/>
              </w:rPr>
              <w:t>Average Annual Total Costs</w:t>
            </w:r>
            <w:r w:rsidR="00E268FF">
              <w:rPr>
                <w:rFonts w:ascii="Calibri" w:hAnsi="Calibri" w:cs="Calibri"/>
                <w:b/>
                <w:bCs/>
                <w:color w:val="000000"/>
                <w:sz w:val="20"/>
                <w:szCs w:val="20"/>
              </w:rPr>
              <w:t xml:space="preserve"> ($)</w:t>
            </w:r>
          </w:p>
        </w:tc>
      </w:tr>
      <w:tr w14:paraId="33CCD311" w14:textId="450E8399" w:rsidTr="008849A2">
        <w:tblPrEx>
          <w:tblW w:w="0" w:type="auto"/>
          <w:tblLook w:val="04A0"/>
        </w:tblPrEx>
        <w:tc>
          <w:tcPr>
            <w:tcW w:w="1290" w:type="dxa"/>
            <w:vAlign w:val="center"/>
          </w:tcPr>
          <w:p w:rsidR="00465D30" w:rsidRPr="00790E96" w:rsidP="00465D30" w14:paraId="581FA902" w14:textId="224D4E19">
            <w:pPr>
              <w:rPr>
                <w:rFonts w:cstheme="minorHAnsi"/>
                <w:color w:val="000000"/>
                <w:sz w:val="20"/>
                <w:szCs w:val="20"/>
              </w:rPr>
            </w:pPr>
            <w:r>
              <w:rPr>
                <w:rFonts w:ascii="Calibri" w:hAnsi="Calibri" w:cs="Calibri"/>
                <w:color w:val="000000"/>
                <w:sz w:val="20"/>
                <w:szCs w:val="20"/>
              </w:rPr>
              <w:t>One-year Progress Report (General Competition)</w:t>
            </w:r>
          </w:p>
        </w:tc>
        <w:tc>
          <w:tcPr>
            <w:tcW w:w="1296" w:type="dxa"/>
            <w:vAlign w:val="center"/>
          </w:tcPr>
          <w:p w:rsidR="00465D30" w:rsidP="00465D30" w14:paraId="5885CBA3" w14:textId="163E5161">
            <w:pPr>
              <w:jc w:val="center"/>
              <w:rPr>
                <w:rFonts w:cstheme="minorHAnsi"/>
                <w:color w:val="000000"/>
                <w:sz w:val="20"/>
                <w:szCs w:val="20"/>
              </w:rPr>
            </w:pPr>
            <w:r>
              <w:rPr>
                <w:rFonts w:ascii="Calibri" w:hAnsi="Calibri" w:cs="Calibri"/>
                <w:color w:val="000000"/>
                <w:sz w:val="20"/>
                <w:szCs w:val="20"/>
              </w:rPr>
              <w:t>115</w:t>
            </w:r>
          </w:p>
        </w:tc>
        <w:tc>
          <w:tcPr>
            <w:tcW w:w="1098" w:type="dxa"/>
            <w:vAlign w:val="center"/>
          </w:tcPr>
          <w:p w:rsidR="00465D30" w:rsidP="00465D30" w14:paraId="1F1B2BEF" w14:textId="6FC4BD58">
            <w:pPr>
              <w:jc w:val="center"/>
              <w:rPr>
                <w:rFonts w:cstheme="minorHAnsi"/>
                <w:color w:val="000000"/>
                <w:sz w:val="20"/>
                <w:szCs w:val="20"/>
              </w:rPr>
            </w:pPr>
            <w:r>
              <w:rPr>
                <w:rFonts w:ascii="Calibri" w:hAnsi="Calibri" w:cs="Calibri"/>
                <w:color w:val="000000"/>
                <w:sz w:val="20"/>
                <w:szCs w:val="20"/>
              </w:rPr>
              <w:t>115</w:t>
            </w:r>
          </w:p>
        </w:tc>
        <w:tc>
          <w:tcPr>
            <w:tcW w:w="1076" w:type="dxa"/>
            <w:vAlign w:val="center"/>
          </w:tcPr>
          <w:p w:rsidR="00465D30" w:rsidP="00465D30" w14:paraId="1A792B66" w14:textId="69A0C144">
            <w:pPr>
              <w:jc w:val="center"/>
              <w:rPr>
                <w:rFonts w:cstheme="minorHAnsi"/>
                <w:color w:val="000000"/>
                <w:sz w:val="20"/>
                <w:szCs w:val="20"/>
              </w:rPr>
            </w:pPr>
            <w:r>
              <w:rPr>
                <w:rFonts w:ascii="Calibri" w:hAnsi="Calibri" w:cs="Calibri"/>
                <w:color w:val="000000"/>
                <w:sz w:val="20"/>
                <w:szCs w:val="20"/>
              </w:rPr>
              <w:t>38.3</w:t>
            </w:r>
          </w:p>
        </w:tc>
        <w:tc>
          <w:tcPr>
            <w:tcW w:w="1070" w:type="dxa"/>
            <w:vAlign w:val="center"/>
          </w:tcPr>
          <w:p w:rsidR="00465D30" w:rsidP="00465D30" w14:paraId="54DE8016" w14:textId="572347E9">
            <w:pPr>
              <w:jc w:val="center"/>
              <w:rPr>
                <w:rFonts w:cstheme="minorHAnsi"/>
                <w:color w:val="000000"/>
                <w:sz w:val="20"/>
                <w:szCs w:val="20"/>
              </w:rPr>
            </w:pPr>
            <w:r>
              <w:rPr>
                <w:rFonts w:ascii="Calibri" w:hAnsi="Calibri" w:cs="Calibri"/>
                <w:color w:val="000000"/>
                <w:sz w:val="20"/>
                <w:szCs w:val="20"/>
              </w:rPr>
              <w:t>960</w:t>
            </w:r>
          </w:p>
        </w:tc>
        <w:tc>
          <w:tcPr>
            <w:tcW w:w="1224" w:type="dxa"/>
            <w:vAlign w:val="center"/>
          </w:tcPr>
          <w:p w:rsidR="00465D30" w:rsidRPr="00790E96" w:rsidP="00465D30" w14:paraId="0FF4D1A9" w14:textId="05999E9A">
            <w:pPr>
              <w:jc w:val="center"/>
              <w:rPr>
                <w:rFonts w:cstheme="minorHAnsi"/>
                <w:color w:val="000000"/>
                <w:sz w:val="20"/>
                <w:szCs w:val="20"/>
              </w:rPr>
            </w:pPr>
            <w:r>
              <w:rPr>
                <w:rFonts w:ascii="Calibri" w:hAnsi="Calibri" w:cs="Calibri"/>
                <w:color w:val="000000"/>
                <w:sz w:val="20"/>
                <w:szCs w:val="20"/>
              </w:rPr>
              <w:t>$55,037</w:t>
            </w:r>
          </w:p>
        </w:tc>
        <w:tc>
          <w:tcPr>
            <w:tcW w:w="1147" w:type="dxa"/>
            <w:vAlign w:val="center"/>
          </w:tcPr>
          <w:p w:rsidR="00465D30" w:rsidRPr="00790E96" w:rsidP="00465D30" w14:paraId="3E1BE928" w14:textId="7AC938CC">
            <w:pPr>
              <w:jc w:val="center"/>
              <w:rPr>
                <w:rFonts w:cstheme="minorHAnsi"/>
                <w:color w:val="000000"/>
                <w:sz w:val="20"/>
                <w:szCs w:val="20"/>
              </w:rPr>
            </w:pPr>
            <w:r>
              <w:rPr>
                <w:rFonts w:ascii="Calibri" w:hAnsi="Calibri" w:cs="Calibri"/>
                <w:color w:val="000000"/>
                <w:sz w:val="20"/>
                <w:szCs w:val="20"/>
              </w:rPr>
              <w:t>$0</w:t>
            </w:r>
          </w:p>
        </w:tc>
        <w:tc>
          <w:tcPr>
            <w:tcW w:w="1207" w:type="dxa"/>
            <w:vAlign w:val="center"/>
          </w:tcPr>
          <w:p w:rsidR="00465D30" w:rsidRPr="00790E96" w:rsidP="00465D30" w14:paraId="4FCC762D" w14:textId="1A29F83F">
            <w:pPr>
              <w:jc w:val="center"/>
              <w:rPr>
                <w:rFonts w:cstheme="minorHAnsi"/>
                <w:color w:val="000000"/>
                <w:sz w:val="20"/>
                <w:szCs w:val="20"/>
              </w:rPr>
            </w:pPr>
            <w:r>
              <w:rPr>
                <w:rFonts w:ascii="Calibri" w:hAnsi="Calibri" w:cs="Calibri"/>
                <w:color w:val="000000"/>
                <w:sz w:val="20"/>
                <w:szCs w:val="20"/>
              </w:rPr>
              <w:t>36,480</w:t>
            </w:r>
          </w:p>
        </w:tc>
        <w:tc>
          <w:tcPr>
            <w:tcW w:w="1534" w:type="dxa"/>
            <w:vAlign w:val="center"/>
          </w:tcPr>
          <w:p w:rsidR="00465D30" w:rsidRPr="00790E96" w:rsidP="00465D30" w14:paraId="71DE8399" w14:textId="5A103A3D">
            <w:pPr>
              <w:jc w:val="center"/>
              <w:rPr>
                <w:rFonts w:cstheme="minorHAnsi"/>
                <w:color w:val="000000"/>
                <w:sz w:val="20"/>
                <w:szCs w:val="20"/>
              </w:rPr>
            </w:pPr>
            <w:r>
              <w:rPr>
                <w:rFonts w:ascii="Calibri" w:hAnsi="Calibri" w:cs="Calibri"/>
                <w:color w:val="000000"/>
                <w:sz w:val="20"/>
                <w:szCs w:val="20"/>
              </w:rPr>
              <w:t>$2,109,7</w:t>
            </w:r>
            <w:r w:rsidR="000A23A0">
              <w:rPr>
                <w:rFonts w:ascii="Calibri" w:hAnsi="Calibri" w:cs="Calibri"/>
                <w:color w:val="000000"/>
                <w:sz w:val="20"/>
                <w:szCs w:val="20"/>
              </w:rPr>
              <w:t>51</w:t>
            </w:r>
          </w:p>
        </w:tc>
        <w:tc>
          <w:tcPr>
            <w:tcW w:w="898" w:type="dxa"/>
            <w:vAlign w:val="center"/>
          </w:tcPr>
          <w:p w:rsidR="00465D30" w:rsidRPr="00790E96" w:rsidP="00465D30" w14:paraId="006B69F7" w14:textId="69E6CFA0">
            <w:pPr>
              <w:jc w:val="center"/>
              <w:rPr>
                <w:rFonts w:cstheme="minorHAnsi"/>
                <w:color w:val="000000"/>
                <w:sz w:val="20"/>
                <w:szCs w:val="20"/>
              </w:rPr>
            </w:pPr>
            <w:r>
              <w:rPr>
                <w:rFonts w:ascii="Calibri" w:hAnsi="Calibri" w:cs="Calibri"/>
                <w:color w:val="000000"/>
                <w:sz w:val="20"/>
                <w:szCs w:val="20"/>
              </w:rPr>
              <w:t>$0</w:t>
            </w:r>
          </w:p>
        </w:tc>
        <w:tc>
          <w:tcPr>
            <w:tcW w:w="1110" w:type="dxa"/>
            <w:vAlign w:val="center"/>
          </w:tcPr>
          <w:p w:rsidR="00465D30" w:rsidP="00465D30" w14:paraId="58DB531B" w14:textId="222899DA">
            <w:pPr>
              <w:jc w:val="center"/>
              <w:rPr>
                <w:rFonts w:cstheme="minorHAnsi"/>
                <w:color w:val="000000"/>
                <w:sz w:val="20"/>
                <w:szCs w:val="20"/>
              </w:rPr>
            </w:pPr>
            <w:r>
              <w:rPr>
                <w:rFonts w:ascii="Calibri" w:hAnsi="Calibri" w:cs="Calibri"/>
                <w:color w:val="000000"/>
                <w:sz w:val="20"/>
                <w:szCs w:val="20"/>
              </w:rPr>
              <w:t>$2,109,744</w:t>
            </w:r>
          </w:p>
        </w:tc>
      </w:tr>
      <w:tr w14:paraId="6F9D7053" w14:textId="653B253D" w:rsidTr="008849A2">
        <w:tblPrEx>
          <w:tblW w:w="0" w:type="auto"/>
          <w:tblLook w:val="04A0"/>
        </w:tblPrEx>
        <w:tc>
          <w:tcPr>
            <w:tcW w:w="1290" w:type="dxa"/>
            <w:vAlign w:val="center"/>
          </w:tcPr>
          <w:p w:rsidR="00465D30" w:rsidRPr="00790E96" w:rsidP="00465D30" w14:paraId="53C9FEB4" w14:textId="3863FA4A">
            <w:pPr>
              <w:rPr>
                <w:rFonts w:cstheme="minorHAnsi"/>
                <w:color w:val="000000"/>
                <w:sz w:val="20"/>
                <w:szCs w:val="20"/>
              </w:rPr>
            </w:pPr>
            <w:r>
              <w:rPr>
                <w:rFonts w:ascii="Calibri" w:hAnsi="Calibri" w:cs="Calibri"/>
                <w:color w:val="000000"/>
                <w:sz w:val="20"/>
                <w:szCs w:val="20"/>
              </w:rPr>
              <w:t>Final Report (General Competition)</w:t>
            </w:r>
          </w:p>
        </w:tc>
        <w:tc>
          <w:tcPr>
            <w:tcW w:w="1296" w:type="dxa"/>
            <w:vAlign w:val="center"/>
          </w:tcPr>
          <w:p w:rsidR="00465D30" w:rsidP="00465D30" w14:paraId="1D52D87A" w14:textId="1AC8C4A6">
            <w:pPr>
              <w:jc w:val="center"/>
              <w:rPr>
                <w:rFonts w:cstheme="minorHAnsi"/>
                <w:color w:val="000000"/>
                <w:sz w:val="20"/>
                <w:szCs w:val="20"/>
              </w:rPr>
            </w:pPr>
            <w:r>
              <w:rPr>
                <w:rFonts w:ascii="Calibri" w:hAnsi="Calibri" w:cs="Calibri"/>
                <w:color w:val="000000"/>
                <w:sz w:val="20"/>
                <w:szCs w:val="20"/>
              </w:rPr>
              <w:t>115</w:t>
            </w:r>
          </w:p>
        </w:tc>
        <w:tc>
          <w:tcPr>
            <w:tcW w:w="1098" w:type="dxa"/>
            <w:vAlign w:val="center"/>
          </w:tcPr>
          <w:p w:rsidR="00465D30" w:rsidP="00465D30" w14:paraId="1869CB39" w14:textId="232CE0A9">
            <w:pPr>
              <w:jc w:val="center"/>
              <w:rPr>
                <w:rFonts w:cstheme="minorHAnsi"/>
                <w:color w:val="000000"/>
                <w:sz w:val="20"/>
                <w:szCs w:val="20"/>
              </w:rPr>
            </w:pPr>
            <w:r>
              <w:rPr>
                <w:rFonts w:ascii="Calibri" w:hAnsi="Calibri" w:cs="Calibri"/>
                <w:color w:val="000000"/>
                <w:sz w:val="20"/>
                <w:szCs w:val="20"/>
              </w:rPr>
              <w:t>15</w:t>
            </w:r>
          </w:p>
        </w:tc>
        <w:tc>
          <w:tcPr>
            <w:tcW w:w="1076" w:type="dxa"/>
            <w:vAlign w:val="center"/>
          </w:tcPr>
          <w:p w:rsidR="00465D30" w:rsidP="00465D30" w14:paraId="11D3D5B0" w14:textId="0BB36A65">
            <w:pPr>
              <w:jc w:val="center"/>
              <w:rPr>
                <w:rFonts w:cstheme="minorHAnsi"/>
                <w:color w:val="000000"/>
                <w:sz w:val="20"/>
                <w:szCs w:val="20"/>
              </w:rPr>
            </w:pPr>
            <w:r>
              <w:rPr>
                <w:rFonts w:ascii="Calibri" w:hAnsi="Calibri" w:cs="Calibri"/>
                <w:color w:val="000000"/>
                <w:sz w:val="20"/>
                <w:szCs w:val="20"/>
              </w:rPr>
              <w:t>5</w:t>
            </w:r>
          </w:p>
        </w:tc>
        <w:tc>
          <w:tcPr>
            <w:tcW w:w="1070" w:type="dxa"/>
            <w:vAlign w:val="center"/>
          </w:tcPr>
          <w:p w:rsidR="00465D30" w:rsidP="00465D30" w14:paraId="12E5B1D5" w14:textId="7D05649A">
            <w:pPr>
              <w:jc w:val="center"/>
              <w:rPr>
                <w:rFonts w:cstheme="minorHAnsi"/>
                <w:color w:val="000000"/>
                <w:sz w:val="20"/>
                <w:szCs w:val="20"/>
              </w:rPr>
            </w:pPr>
            <w:r>
              <w:rPr>
                <w:rFonts w:ascii="Calibri" w:hAnsi="Calibri" w:cs="Calibri"/>
                <w:color w:val="000000"/>
                <w:sz w:val="20"/>
                <w:szCs w:val="20"/>
              </w:rPr>
              <w:t>960</w:t>
            </w:r>
          </w:p>
        </w:tc>
        <w:tc>
          <w:tcPr>
            <w:tcW w:w="1224" w:type="dxa"/>
            <w:vAlign w:val="center"/>
          </w:tcPr>
          <w:p w:rsidR="00465D30" w:rsidRPr="00790E96" w:rsidP="00465D30" w14:paraId="66E0B41A" w14:textId="359F361E">
            <w:pPr>
              <w:jc w:val="center"/>
              <w:rPr>
                <w:rFonts w:cstheme="minorHAnsi"/>
                <w:color w:val="000000"/>
                <w:sz w:val="20"/>
                <w:szCs w:val="20"/>
              </w:rPr>
            </w:pPr>
            <w:r>
              <w:rPr>
                <w:rFonts w:ascii="Calibri" w:hAnsi="Calibri" w:cs="Calibri"/>
                <w:color w:val="000000"/>
                <w:sz w:val="20"/>
                <w:szCs w:val="20"/>
              </w:rPr>
              <w:t>$55,037</w:t>
            </w:r>
          </w:p>
        </w:tc>
        <w:tc>
          <w:tcPr>
            <w:tcW w:w="1147" w:type="dxa"/>
            <w:vAlign w:val="center"/>
          </w:tcPr>
          <w:p w:rsidR="00465D30" w:rsidRPr="00790E96" w:rsidP="00465D30" w14:paraId="556A278E" w14:textId="6064783D">
            <w:pPr>
              <w:jc w:val="center"/>
              <w:rPr>
                <w:rFonts w:cstheme="minorHAnsi"/>
                <w:color w:val="000000"/>
                <w:sz w:val="20"/>
                <w:szCs w:val="20"/>
              </w:rPr>
            </w:pPr>
            <w:r>
              <w:rPr>
                <w:rFonts w:ascii="Calibri" w:hAnsi="Calibri" w:cs="Calibri"/>
                <w:color w:val="000000"/>
                <w:sz w:val="20"/>
                <w:szCs w:val="20"/>
              </w:rPr>
              <w:t>$0</w:t>
            </w:r>
          </w:p>
        </w:tc>
        <w:tc>
          <w:tcPr>
            <w:tcW w:w="1207" w:type="dxa"/>
            <w:vAlign w:val="center"/>
          </w:tcPr>
          <w:p w:rsidR="00465D30" w:rsidRPr="00790E96" w:rsidP="00465D30" w14:paraId="647C51D1" w14:textId="57254F78">
            <w:pPr>
              <w:jc w:val="center"/>
              <w:rPr>
                <w:rFonts w:cstheme="minorHAnsi"/>
                <w:color w:val="000000"/>
                <w:sz w:val="20"/>
                <w:szCs w:val="20"/>
              </w:rPr>
            </w:pPr>
            <w:r>
              <w:rPr>
                <w:rFonts w:ascii="Calibri" w:hAnsi="Calibri" w:cs="Calibri"/>
                <w:color w:val="000000"/>
                <w:sz w:val="20"/>
                <w:szCs w:val="20"/>
              </w:rPr>
              <w:t>4</w:t>
            </w:r>
            <w:r w:rsidR="000A23A0">
              <w:rPr>
                <w:rFonts w:ascii="Calibri" w:hAnsi="Calibri" w:cs="Calibri"/>
                <w:color w:val="000000"/>
                <w:sz w:val="20"/>
                <w:szCs w:val="20"/>
              </w:rPr>
              <w:t>,</w:t>
            </w:r>
            <w:r>
              <w:rPr>
                <w:rFonts w:ascii="Calibri" w:hAnsi="Calibri" w:cs="Calibri"/>
                <w:color w:val="000000"/>
                <w:sz w:val="20"/>
                <w:szCs w:val="20"/>
              </w:rPr>
              <w:t>800</w:t>
            </w:r>
          </w:p>
        </w:tc>
        <w:tc>
          <w:tcPr>
            <w:tcW w:w="1534" w:type="dxa"/>
            <w:vAlign w:val="center"/>
          </w:tcPr>
          <w:p w:rsidR="00465D30" w:rsidRPr="00790E96" w:rsidP="00465D30" w14:paraId="105BB9F6" w14:textId="4CA7BCB4">
            <w:pPr>
              <w:jc w:val="center"/>
              <w:rPr>
                <w:rFonts w:cstheme="minorHAnsi"/>
                <w:color w:val="000000"/>
                <w:sz w:val="20"/>
                <w:szCs w:val="20"/>
              </w:rPr>
            </w:pPr>
            <w:r>
              <w:rPr>
                <w:rFonts w:ascii="Calibri" w:hAnsi="Calibri" w:cs="Calibri"/>
                <w:color w:val="000000"/>
                <w:sz w:val="20"/>
                <w:szCs w:val="20"/>
              </w:rPr>
              <w:t>$275,18</w:t>
            </w:r>
            <w:r w:rsidR="000A23A0">
              <w:rPr>
                <w:rFonts w:ascii="Calibri" w:hAnsi="Calibri" w:cs="Calibri"/>
                <w:color w:val="000000"/>
                <w:sz w:val="20"/>
                <w:szCs w:val="20"/>
              </w:rPr>
              <w:t>5</w:t>
            </w:r>
          </w:p>
        </w:tc>
        <w:tc>
          <w:tcPr>
            <w:tcW w:w="898" w:type="dxa"/>
            <w:vAlign w:val="center"/>
          </w:tcPr>
          <w:p w:rsidR="00465D30" w:rsidRPr="00790E96" w:rsidP="00465D30" w14:paraId="29F9CF96" w14:textId="703FFD40">
            <w:pPr>
              <w:jc w:val="center"/>
              <w:rPr>
                <w:rFonts w:cstheme="minorHAnsi"/>
                <w:color w:val="000000"/>
                <w:sz w:val="20"/>
                <w:szCs w:val="20"/>
              </w:rPr>
            </w:pPr>
            <w:r>
              <w:rPr>
                <w:rFonts w:ascii="Calibri" w:hAnsi="Calibri" w:cs="Calibri"/>
                <w:color w:val="000000"/>
                <w:sz w:val="20"/>
                <w:szCs w:val="20"/>
              </w:rPr>
              <w:t>$0</w:t>
            </w:r>
          </w:p>
        </w:tc>
        <w:tc>
          <w:tcPr>
            <w:tcW w:w="1110" w:type="dxa"/>
            <w:vAlign w:val="center"/>
          </w:tcPr>
          <w:p w:rsidR="00465D30" w:rsidP="00465D30" w14:paraId="29108FE5" w14:textId="292D6553">
            <w:pPr>
              <w:jc w:val="center"/>
              <w:rPr>
                <w:rFonts w:cstheme="minorHAnsi"/>
                <w:color w:val="000000"/>
                <w:sz w:val="20"/>
                <w:szCs w:val="20"/>
              </w:rPr>
            </w:pPr>
            <w:r>
              <w:rPr>
                <w:rFonts w:ascii="Calibri" w:hAnsi="Calibri" w:cs="Calibri"/>
                <w:color w:val="000000"/>
                <w:sz w:val="20"/>
                <w:szCs w:val="20"/>
              </w:rPr>
              <w:t>$275,18</w:t>
            </w:r>
            <w:r w:rsidR="000A23A0">
              <w:rPr>
                <w:rFonts w:ascii="Calibri" w:hAnsi="Calibri" w:cs="Calibri"/>
                <w:color w:val="000000"/>
                <w:sz w:val="20"/>
                <w:szCs w:val="20"/>
              </w:rPr>
              <w:t>5</w:t>
            </w:r>
          </w:p>
        </w:tc>
      </w:tr>
      <w:tr w14:paraId="1B021442" w14:textId="77777777" w:rsidTr="008849A2">
        <w:tblPrEx>
          <w:tblW w:w="0" w:type="auto"/>
          <w:tblLook w:val="04A0"/>
        </w:tblPrEx>
        <w:tc>
          <w:tcPr>
            <w:tcW w:w="1290" w:type="dxa"/>
            <w:vAlign w:val="center"/>
          </w:tcPr>
          <w:p w:rsidR="00465D30" w:rsidRPr="00790E96" w:rsidP="00465D30" w14:paraId="05EB2142" w14:textId="309D4A81">
            <w:pPr>
              <w:rPr>
                <w:rFonts w:cstheme="minorHAnsi"/>
                <w:color w:val="000000"/>
                <w:sz w:val="20"/>
                <w:szCs w:val="20"/>
              </w:rPr>
            </w:pPr>
            <w:r>
              <w:rPr>
                <w:rFonts w:ascii="Calibri" w:hAnsi="Calibri" w:cs="Calibri"/>
                <w:color w:val="000000"/>
                <w:sz w:val="20"/>
                <w:szCs w:val="20"/>
              </w:rPr>
              <w:t>Final Report (Tribes and Territories Competition)</w:t>
            </w:r>
          </w:p>
        </w:tc>
        <w:tc>
          <w:tcPr>
            <w:tcW w:w="1296" w:type="dxa"/>
            <w:vAlign w:val="center"/>
          </w:tcPr>
          <w:p w:rsidR="00465D30" w:rsidP="00465D30" w14:paraId="18C1A105" w14:textId="3EC4CFF1">
            <w:pPr>
              <w:jc w:val="center"/>
              <w:rPr>
                <w:rFonts w:cstheme="minorHAnsi"/>
                <w:color w:val="000000"/>
                <w:sz w:val="20"/>
                <w:szCs w:val="20"/>
              </w:rPr>
            </w:pPr>
            <w:r>
              <w:rPr>
                <w:rFonts w:ascii="Calibri" w:hAnsi="Calibri" w:cs="Calibri"/>
                <w:color w:val="000000"/>
                <w:sz w:val="20"/>
                <w:szCs w:val="20"/>
              </w:rPr>
              <w:t>103</w:t>
            </w:r>
          </w:p>
        </w:tc>
        <w:tc>
          <w:tcPr>
            <w:tcW w:w="1098" w:type="dxa"/>
            <w:vAlign w:val="center"/>
          </w:tcPr>
          <w:p w:rsidR="00465D30" w:rsidP="00465D30" w14:paraId="6597D6F4" w14:textId="1F6A20CD">
            <w:pPr>
              <w:jc w:val="center"/>
              <w:rPr>
                <w:rFonts w:cstheme="minorHAnsi"/>
                <w:color w:val="000000"/>
                <w:sz w:val="20"/>
                <w:szCs w:val="20"/>
              </w:rPr>
            </w:pPr>
            <w:r>
              <w:rPr>
                <w:rFonts w:ascii="Calibri" w:hAnsi="Calibri" w:cs="Calibri"/>
                <w:color w:val="000000"/>
                <w:sz w:val="20"/>
                <w:szCs w:val="20"/>
              </w:rPr>
              <w:t>15</w:t>
            </w:r>
          </w:p>
        </w:tc>
        <w:tc>
          <w:tcPr>
            <w:tcW w:w="1076" w:type="dxa"/>
            <w:vAlign w:val="center"/>
          </w:tcPr>
          <w:p w:rsidR="00465D30" w:rsidP="00465D30" w14:paraId="1750B6ED" w14:textId="4579208E">
            <w:pPr>
              <w:jc w:val="center"/>
              <w:rPr>
                <w:rFonts w:cstheme="minorHAnsi"/>
                <w:color w:val="000000"/>
                <w:sz w:val="20"/>
                <w:szCs w:val="20"/>
              </w:rPr>
            </w:pPr>
            <w:r>
              <w:rPr>
                <w:rFonts w:ascii="Calibri" w:hAnsi="Calibri" w:cs="Calibri"/>
                <w:color w:val="000000"/>
                <w:sz w:val="20"/>
                <w:szCs w:val="20"/>
              </w:rPr>
              <w:t>5</w:t>
            </w:r>
          </w:p>
        </w:tc>
        <w:tc>
          <w:tcPr>
            <w:tcW w:w="1070" w:type="dxa"/>
            <w:vAlign w:val="center"/>
          </w:tcPr>
          <w:p w:rsidR="00465D30" w:rsidP="00465D30" w14:paraId="262FFA45" w14:textId="52E2B762">
            <w:pPr>
              <w:jc w:val="center"/>
              <w:rPr>
                <w:rFonts w:cstheme="minorHAnsi"/>
                <w:color w:val="000000"/>
                <w:sz w:val="20"/>
                <w:szCs w:val="20"/>
              </w:rPr>
            </w:pPr>
            <w:r>
              <w:rPr>
                <w:rFonts w:ascii="Calibri" w:hAnsi="Calibri" w:cs="Calibri"/>
                <w:color w:val="000000"/>
                <w:sz w:val="20"/>
                <w:szCs w:val="20"/>
              </w:rPr>
              <w:t>960</w:t>
            </w:r>
          </w:p>
        </w:tc>
        <w:tc>
          <w:tcPr>
            <w:tcW w:w="1224" w:type="dxa"/>
            <w:vAlign w:val="center"/>
          </w:tcPr>
          <w:p w:rsidR="00465D30" w:rsidRPr="00790E96" w:rsidP="00465D30" w14:paraId="29E721B4" w14:textId="3F66740B">
            <w:pPr>
              <w:jc w:val="center"/>
              <w:rPr>
                <w:rFonts w:cstheme="minorHAnsi"/>
                <w:color w:val="000000"/>
                <w:sz w:val="20"/>
                <w:szCs w:val="20"/>
              </w:rPr>
            </w:pPr>
            <w:r>
              <w:rPr>
                <w:rFonts w:ascii="Calibri" w:hAnsi="Calibri" w:cs="Calibri"/>
                <w:color w:val="000000"/>
                <w:sz w:val="20"/>
                <w:szCs w:val="20"/>
              </w:rPr>
              <w:t>$55,037</w:t>
            </w:r>
          </w:p>
        </w:tc>
        <w:tc>
          <w:tcPr>
            <w:tcW w:w="1147" w:type="dxa"/>
            <w:vAlign w:val="center"/>
          </w:tcPr>
          <w:p w:rsidR="00465D30" w:rsidRPr="00790E96" w:rsidP="00465D30" w14:paraId="2304BEA0" w14:textId="587EA9C1">
            <w:pPr>
              <w:jc w:val="center"/>
              <w:rPr>
                <w:rFonts w:cstheme="minorHAnsi"/>
                <w:color w:val="000000"/>
                <w:sz w:val="20"/>
                <w:szCs w:val="20"/>
              </w:rPr>
            </w:pPr>
            <w:r w:rsidRPr="00B55094">
              <w:rPr>
                <w:rFonts w:ascii="Calibri" w:hAnsi="Calibri" w:cs="Calibri"/>
                <w:color w:val="000000"/>
                <w:sz w:val="20"/>
                <w:szCs w:val="20"/>
              </w:rPr>
              <w:t>$0</w:t>
            </w:r>
          </w:p>
        </w:tc>
        <w:tc>
          <w:tcPr>
            <w:tcW w:w="1207" w:type="dxa"/>
            <w:vAlign w:val="center"/>
          </w:tcPr>
          <w:p w:rsidR="00465D30" w:rsidRPr="00790E96" w:rsidP="00465D30" w14:paraId="0811B780" w14:textId="4D668C7A">
            <w:pPr>
              <w:jc w:val="center"/>
              <w:rPr>
                <w:rFonts w:cstheme="minorHAnsi"/>
                <w:color w:val="000000"/>
                <w:sz w:val="20"/>
                <w:szCs w:val="20"/>
              </w:rPr>
            </w:pPr>
            <w:r>
              <w:rPr>
                <w:rFonts w:ascii="Calibri" w:hAnsi="Calibri" w:cs="Calibri"/>
                <w:color w:val="000000"/>
                <w:sz w:val="20"/>
                <w:szCs w:val="20"/>
              </w:rPr>
              <w:t>4</w:t>
            </w:r>
            <w:r w:rsidR="000A23A0">
              <w:rPr>
                <w:rFonts w:ascii="Calibri" w:hAnsi="Calibri" w:cs="Calibri"/>
                <w:color w:val="000000"/>
                <w:sz w:val="20"/>
                <w:szCs w:val="20"/>
              </w:rPr>
              <w:t>,</w:t>
            </w:r>
            <w:r>
              <w:rPr>
                <w:rFonts w:ascii="Calibri" w:hAnsi="Calibri" w:cs="Calibri"/>
                <w:color w:val="000000"/>
                <w:sz w:val="20"/>
                <w:szCs w:val="20"/>
              </w:rPr>
              <w:t>800</w:t>
            </w:r>
          </w:p>
        </w:tc>
        <w:tc>
          <w:tcPr>
            <w:tcW w:w="1534" w:type="dxa"/>
            <w:vAlign w:val="center"/>
          </w:tcPr>
          <w:p w:rsidR="00465D30" w:rsidRPr="00790E96" w:rsidP="00465D30" w14:paraId="2AB965E5" w14:textId="31E2F0BB">
            <w:pPr>
              <w:jc w:val="center"/>
              <w:rPr>
                <w:rFonts w:cstheme="minorHAnsi"/>
                <w:color w:val="000000"/>
                <w:sz w:val="20"/>
                <w:szCs w:val="20"/>
              </w:rPr>
            </w:pPr>
            <w:r>
              <w:rPr>
                <w:rFonts w:ascii="Calibri" w:hAnsi="Calibri" w:cs="Calibri"/>
                <w:color w:val="000000"/>
                <w:sz w:val="20"/>
                <w:szCs w:val="20"/>
              </w:rPr>
              <w:t>$275,18</w:t>
            </w:r>
            <w:r w:rsidR="000A23A0">
              <w:rPr>
                <w:rFonts w:ascii="Calibri" w:hAnsi="Calibri" w:cs="Calibri"/>
                <w:color w:val="000000"/>
                <w:sz w:val="20"/>
                <w:szCs w:val="20"/>
              </w:rPr>
              <w:t>5</w:t>
            </w:r>
          </w:p>
        </w:tc>
        <w:tc>
          <w:tcPr>
            <w:tcW w:w="898" w:type="dxa"/>
            <w:vAlign w:val="center"/>
          </w:tcPr>
          <w:p w:rsidR="00465D30" w:rsidRPr="00790E96" w:rsidP="00465D30" w14:paraId="2586C51B" w14:textId="6BBBC23D">
            <w:pPr>
              <w:jc w:val="center"/>
              <w:rPr>
                <w:rFonts w:cstheme="minorHAnsi"/>
                <w:color w:val="000000"/>
                <w:sz w:val="20"/>
                <w:szCs w:val="20"/>
              </w:rPr>
            </w:pPr>
            <w:r w:rsidRPr="00B55094">
              <w:rPr>
                <w:rFonts w:ascii="Calibri" w:hAnsi="Calibri" w:cs="Calibri"/>
                <w:color w:val="000000"/>
                <w:sz w:val="20"/>
                <w:szCs w:val="20"/>
              </w:rPr>
              <w:t>$0</w:t>
            </w:r>
          </w:p>
        </w:tc>
        <w:tc>
          <w:tcPr>
            <w:tcW w:w="1110" w:type="dxa"/>
            <w:vAlign w:val="center"/>
          </w:tcPr>
          <w:p w:rsidR="00465D30" w:rsidP="00465D30" w14:paraId="013940B1" w14:textId="670ED836">
            <w:pPr>
              <w:jc w:val="center"/>
              <w:rPr>
                <w:rFonts w:cstheme="minorHAnsi"/>
                <w:color w:val="000000"/>
                <w:sz w:val="20"/>
                <w:szCs w:val="20"/>
              </w:rPr>
            </w:pPr>
            <w:r>
              <w:rPr>
                <w:rFonts w:ascii="Calibri" w:hAnsi="Calibri" w:cs="Calibri"/>
                <w:color w:val="000000"/>
                <w:sz w:val="20"/>
                <w:szCs w:val="20"/>
              </w:rPr>
              <w:t>$275,18</w:t>
            </w:r>
            <w:r w:rsidR="000A23A0">
              <w:rPr>
                <w:rFonts w:ascii="Calibri" w:hAnsi="Calibri" w:cs="Calibri"/>
                <w:color w:val="000000"/>
                <w:sz w:val="20"/>
                <w:szCs w:val="20"/>
              </w:rPr>
              <w:t>5</w:t>
            </w:r>
          </w:p>
        </w:tc>
      </w:tr>
      <w:tr w14:paraId="10ECD05A" w14:textId="77777777" w:rsidTr="008849A2">
        <w:tblPrEx>
          <w:tblW w:w="0" w:type="auto"/>
          <w:tblLook w:val="04A0"/>
        </w:tblPrEx>
        <w:tc>
          <w:tcPr>
            <w:tcW w:w="1290" w:type="dxa"/>
            <w:vAlign w:val="center"/>
          </w:tcPr>
          <w:p w:rsidR="00465D30" w:rsidRPr="00EE5673" w:rsidP="00465D30" w14:paraId="4B9A354B" w14:textId="4D49FA73">
            <w:pPr>
              <w:rPr>
                <w:rFonts w:cstheme="minorHAnsi"/>
                <w:sz w:val="20"/>
                <w:szCs w:val="20"/>
              </w:rPr>
            </w:pPr>
            <w:r>
              <w:rPr>
                <w:rFonts w:ascii="Calibri" w:hAnsi="Calibri" w:cs="Calibri"/>
                <w:color w:val="000000"/>
                <w:sz w:val="20"/>
                <w:szCs w:val="20"/>
              </w:rPr>
              <w:t>Total:</w:t>
            </w:r>
          </w:p>
        </w:tc>
        <w:tc>
          <w:tcPr>
            <w:tcW w:w="1296" w:type="dxa"/>
            <w:vAlign w:val="center"/>
          </w:tcPr>
          <w:p w:rsidR="00465D30" w:rsidP="00465D30" w14:paraId="75FB6CB0" w14:textId="2A19F328">
            <w:pPr>
              <w:jc w:val="center"/>
              <w:rPr>
                <w:rFonts w:cstheme="minorHAnsi"/>
                <w:color w:val="000000"/>
                <w:sz w:val="20"/>
                <w:szCs w:val="20"/>
              </w:rPr>
            </w:pPr>
            <w:r>
              <w:rPr>
                <w:rFonts w:ascii="Calibri" w:hAnsi="Calibri" w:cs="Calibri"/>
                <w:color w:val="000000"/>
                <w:sz w:val="20"/>
                <w:szCs w:val="20"/>
              </w:rPr>
              <w:t>218</w:t>
            </w:r>
          </w:p>
        </w:tc>
        <w:tc>
          <w:tcPr>
            <w:tcW w:w="1098" w:type="dxa"/>
            <w:vAlign w:val="center"/>
          </w:tcPr>
          <w:p w:rsidR="00465D30" w:rsidP="00465D30" w14:paraId="49859219" w14:textId="40921628">
            <w:pPr>
              <w:jc w:val="center"/>
              <w:rPr>
                <w:rFonts w:cstheme="minorHAnsi"/>
                <w:color w:val="000000"/>
                <w:sz w:val="20"/>
                <w:szCs w:val="20"/>
              </w:rPr>
            </w:pPr>
            <w:r>
              <w:rPr>
                <w:rFonts w:ascii="Calibri" w:hAnsi="Calibri" w:cs="Calibri"/>
                <w:color w:val="000000"/>
                <w:sz w:val="20"/>
                <w:szCs w:val="20"/>
              </w:rPr>
              <w:t>145</w:t>
            </w:r>
          </w:p>
        </w:tc>
        <w:tc>
          <w:tcPr>
            <w:tcW w:w="1076" w:type="dxa"/>
            <w:vAlign w:val="center"/>
          </w:tcPr>
          <w:p w:rsidR="00465D30" w:rsidP="00465D30" w14:paraId="2442B428" w14:textId="3F68C117">
            <w:pPr>
              <w:jc w:val="center"/>
              <w:rPr>
                <w:rFonts w:cstheme="minorHAnsi"/>
                <w:color w:val="000000"/>
                <w:sz w:val="20"/>
                <w:szCs w:val="20"/>
              </w:rPr>
            </w:pPr>
            <w:r>
              <w:rPr>
                <w:rFonts w:ascii="Calibri" w:hAnsi="Calibri" w:cs="Calibri"/>
                <w:color w:val="000000"/>
                <w:sz w:val="20"/>
                <w:szCs w:val="20"/>
              </w:rPr>
              <w:t>48.3</w:t>
            </w:r>
          </w:p>
        </w:tc>
        <w:tc>
          <w:tcPr>
            <w:tcW w:w="1070" w:type="dxa"/>
            <w:vAlign w:val="center"/>
          </w:tcPr>
          <w:p w:rsidR="00465D30" w:rsidP="00465D30" w14:paraId="2E062BAA" w14:textId="27542816">
            <w:pPr>
              <w:jc w:val="center"/>
              <w:rPr>
                <w:rFonts w:cstheme="minorHAnsi"/>
                <w:color w:val="000000"/>
                <w:sz w:val="20"/>
                <w:szCs w:val="20"/>
              </w:rPr>
            </w:pPr>
          </w:p>
        </w:tc>
        <w:tc>
          <w:tcPr>
            <w:tcW w:w="1224" w:type="dxa"/>
            <w:vAlign w:val="center"/>
          </w:tcPr>
          <w:p w:rsidR="00465D30" w:rsidP="00465D30" w14:paraId="3DC5D706" w14:textId="62928B83">
            <w:pPr>
              <w:jc w:val="center"/>
              <w:rPr>
                <w:rFonts w:cstheme="minorHAnsi"/>
                <w:color w:val="000000"/>
                <w:sz w:val="20"/>
                <w:szCs w:val="20"/>
              </w:rPr>
            </w:pPr>
          </w:p>
        </w:tc>
        <w:tc>
          <w:tcPr>
            <w:tcW w:w="1147" w:type="dxa"/>
            <w:vAlign w:val="center"/>
          </w:tcPr>
          <w:p w:rsidR="00465D30" w:rsidRPr="00EE5673" w:rsidP="00465D30" w14:paraId="69D6D8D8" w14:textId="2AFF1149">
            <w:pPr>
              <w:jc w:val="center"/>
              <w:rPr>
                <w:rFonts w:cstheme="minorHAnsi"/>
                <w:sz w:val="20"/>
                <w:szCs w:val="20"/>
              </w:rPr>
            </w:pPr>
          </w:p>
        </w:tc>
        <w:tc>
          <w:tcPr>
            <w:tcW w:w="1207" w:type="dxa"/>
            <w:vAlign w:val="center"/>
          </w:tcPr>
          <w:p w:rsidR="00465D30" w:rsidRPr="00077BCB" w:rsidP="00465D30" w14:paraId="7249C43C" w14:textId="6FC44E9A">
            <w:pPr>
              <w:jc w:val="center"/>
              <w:rPr>
                <w:rFonts w:cstheme="minorHAnsi"/>
                <w:color w:val="000000"/>
                <w:sz w:val="20"/>
                <w:szCs w:val="20"/>
              </w:rPr>
            </w:pPr>
            <w:r>
              <w:rPr>
                <w:rFonts w:ascii="Calibri" w:hAnsi="Calibri" w:cs="Calibri"/>
                <w:color w:val="000000"/>
                <w:sz w:val="20"/>
                <w:szCs w:val="20"/>
              </w:rPr>
              <w:t>46</w:t>
            </w:r>
            <w:r w:rsidR="000A23A0">
              <w:rPr>
                <w:rFonts w:ascii="Calibri" w:hAnsi="Calibri" w:cs="Calibri"/>
                <w:color w:val="000000"/>
                <w:sz w:val="20"/>
                <w:szCs w:val="20"/>
              </w:rPr>
              <w:t>,080</w:t>
            </w:r>
          </w:p>
        </w:tc>
        <w:tc>
          <w:tcPr>
            <w:tcW w:w="1534" w:type="dxa"/>
            <w:vAlign w:val="center"/>
          </w:tcPr>
          <w:p w:rsidR="00465D30" w:rsidP="00465D30" w14:paraId="12FA35F9" w14:textId="7AF85702">
            <w:pPr>
              <w:jc w:val="center"/>
              <w:rPr>
                <w:rFonts w:cstheme="minorHAnsi"/>
                <w:color w:val="000000"/>
                <w:sz w:val="20"/>
                <w:szCs w:val="20"/>
              </w:rPr>
            </w:pPr>
            <w:r>
              <w:rPr>
                <w:rFonts w:ascii="Calibri" w:hAnsi="Calibri" w:cs="Calibri"/>
                <w:color w:val="000000"/>
                <w:sz w:val="20"/>
                <w:szCs w:val="20"/>
              </w:rPr>
              <w:t>$2,660,1</w:t>
            </w:r>
            <w:r w:rsidR="000A23A0">
              <w:rPr>
                <w:rFonts w:ascii="Calibri" w:hAnsi="Calibri" w:cs="Calibri"/>
                <w:color w:val="000000"/>
                <w:sz w:val="20"/>
                <w:szCs w:val="20"/>
              </w:rPr>
              <w:t>21</w:t>
            </w:r>
          </w:p>
        </w:tc>
        <w:tc>
          <w:tcPr>
            <w:tcW w:w="898" w:type="dxa"/>
            <w:vAlign w:val="center"/>
          </w:tcPr>
          <w:p w:rsidR="00465D30" w:rsidP="00465D30" w14:paraId="23F554D2" w14:textId="2B90E539">
            <w:pPr>
              <w:jc w:val="center"/>
              <w:rPr>
                <w:rFonts w:cstheme="minorHAnsi"/>
                <w:color w:val="000000"/>
                <w:sz w:val="20"/>
                <w:szCs w:val="20"/>
              </w:rPr>
            </w:pPr>
            <w:r w:rsidRPr="00B55094">
              <w:rPr>
                <w:rFonts w:ascii="Calibri" w:hAnsi="Calibri" w:cs="Calibri"/>
                <w:color w:val="000000"/>
                <w:sz w:val="20"/>
                <w:szCs w:val="20"/>
              </w:rPr>
              <w:t>$0</w:t>
            </w:r>
          </w:p>
        </w:tc>
        <w:tc>
          <w:tcPr>
            <w:tcW w:w="1110" w:type="dxa"/>
            <w:vAlign w:val="center"/>
          </w:tcPr>
          <w:p w:rsidR="00465D30" w:rsidP="008849A2" w14:paraId="15C3BB15" w14:textId="443567E0">
            <w:pPr>
              <w:rPr>
                <w:rFonts w:cstheme="minorHAnsi"/>
                <w:color w:val="000000"/>
                <w:sz w:val="20"/>
                <w:szCs w:val="20"/>
              </w:rPr>
            </w:pPr>
            <w:r>
              <w:rPr>
                <w:rFonts w:ascii="Calibri" w:hAnsi="Calibri" w:cs="Calibri"/>
                <w:color w:val="000000"/>
                <w:sz w:val="20"/>
                <w:szCs w:val="20"/>
              </w:rPr>
              <w:t>$2,660,1</w:t>
            </w:r>
            <w:r w:rsidR="000A23A0">
              <w:rPr>
                <w:rFonts w:ascii="Calibri" w:hAnsi="Calibri" w:cs="Calibri"/>
                <w:color w:val="000000"/>
                <w:sz w:val="20"/>
                <w:szCs w:val="20"/>
              </w:rPr>
              <w:t>21</w:t>
            </w:r>
          </w:p>
        </w:tc>
      </w:tr>
      <w:tr w14:paraId="4F59825C" w14:textId="77777777" w:rsidTr="0094113C">
        <w:tblPrEx>
          <w:tblW w:w="0" w:type="auto"/>
          <w:tblLook w:val="04A0"/>
        </w:tblPrEx>
        <w:tc>
          <w:tcPr>
            <w:tcW w:w="12950" w:type="dxa"/>
            <w:gridSpan w:val="11"/>
            <w:tcBorders>
              <w:bottom w:val="single" w:sz="4" w:space="0" w:color="auto"/>
            </w:tcBorders>
            <w:vAlign w:val="center"/>
          </w:tcPr>
          <w:p w:rsidR="00234C31" w:rsidP="008849A2" w14:paraId="4846633A" w14:textId="1F944901">
            <w:pPr>
              <w:rPr>
                <w:rFonts w:ascii="Calibri" w:hAnsi="Calibri" w:cs="Calibri"/>
                <w:color w:val="000000"/>
                <w:sz w:val="20"/>
                <w:szCs w:val="20"/>
              </w:rPr>
            </w:pPr>
            <w:r w:rsidRPr="000608E5">
              <w:rPr>
                <w:rFonts w:cstheme="minorHAnsi"/>
                <w:color w:val="000000"/>
                <w:sz w:val="20"/>
                <w:szCs w:val="20"/>
              </w:rPr>
              <w:t xml:space="preserve">The </w:t>
            </w:r>
            <w:r>
              <w:rPr>
                <w:rFonts w:cstheme="minorHAnsi"/>
                <w:color w:val="000000"/>
                <w:sz w:val="20"/>
                <w:szCs w:val="20"/>
              </w:rPr>
              <w:t>wage rates assumed a FY24 GS11-01 hourly rate and increased by 110% to account for benefits ($57.33/</w:t>
            </w:r>
            <w:r>
              <w:rPr>
                <w:rFonts w:cstheme="minorHAnsi"/>
                <w:color w:val="000000"/>
                <w:sz w:val="20"/>
                <w:szCs w:val="20"/>
              </w:rPr>
              <w:t>hr</w:t>
            </w:r>
            <w:r>
              <w:rPr>
                <w:rFonts w:cstheme="minorHAnsi"/>
                <w:color w:val="000000"/>
                <w:sz w:val="20"/>
                <w:szCs w:val="20"/>
              </w:rPr>
              <w:t>).</w:t>
            </w:r>
          </w:p>
        </w:tc>
      </w:tr>
    </w:tbl>
    <w:p w:rsidR="00FE5B3C" w:rsidP="00854AAE" w14:paraId="5B094E06" w14:textId="77777777">
      <w:pPr>
        <w:spacing w:before="120" w:after="0"/>
        <w:rPr>
          <w:color w:val="000000"/>
        </w:rPr>
        <w:sectPr w:rsidSect="008849A2">
          <w:pgSz w:w="15840" w:h="12240" w:orient="landscape"/>
          <w:pgMar w:top="1440" w:right="1440" w:bottom="1440" w:left="1440" w:header="720" w:footer="720" w:gutter="0"/>
          <w:cols w:space="720"/>
          <w:docGrid w:linePitch="360"/>
        </w:sectPr>
      </w:pPr>
    </w:p>
    <w:p w:rsidR="008C2B93" w:rsidP="00854AAE" w14:paraId="731E6C98" w14:textId="77777777">
      <w:pPr>
        <w:spacing w:before="120" w:after="0"/>
        <w:rPr>
          <w:color w:val="000000"/>
        </w:rPr>
      </w:pPr>
    </w:p>
    <w:p w:rsidR="00BB2B15" w:rsidRPr="00163C69" w:rsidP="00854AAE" w14:paraId="288A114A" w14:textId="77777777">
      <w:pPr>
        <w:pStyle w:val="ListParagraph"/>
        <w:numPr>
          <w:ilvl w:val="0"/>
          <w:numId w:val="25"/>
        </w:numPr>
        <w:spacing w:before="240" w:after="0"/>
        <w:rPr>
          <w:rFonts w:cstheme="minorHAnsi"/>
          <w:b/>
          <w:bCs/>
          <w:caps/>
        </w:rPr>
      </w:pPr>
      <w:bookmarkStart w:id="22"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2"/>
      <w:r w:rsidRPr="4BDBF0A0" w:rsidR="004E3CB0">
        <w:rPr>
          <w:b/>
          <w:bCs/>
          <w:caps/>
        </w:rPr>
        <w:t xml:space="preserve"> </w:t>
      </w:r>
    </w:p>
    <w:p w:rsidR="00F92596" w:rsidRPr="00F92596" w:rsidP="00F92596" w14:paraId="53C61208"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70AEA80D"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771F12E"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693E78A8"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1CA7A41E"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2A4526" w:rsidRPr="002A4526" w:rsidP="002A4526" w14:paraId="16B9BFB2" w14:textId="2253C6DB">
      <w:pPr>
        <w:pBdr>
          <w:top w:val="single" w:sz="6" w:space="0" w:color="FFFFFF"/>
          <w:left w:val="single" w:sz="6" w:space="0" w:color="FFFFFF"/>
          <w:bottom w:val="single" w:sz="6" w:space="0" w:color="FFFFFF"/>
          <w:right w:val="single" w:sz="6" w:space="0" w:color="FFFFFF"/>
        </w:pBdr>
        <w:rPr>
          <w:rFonts w:cstheme="minorHAnsi"/>
          <w:color w:val="000000"/>
        </w:rPr>
      </w:pPr>
      <w:r>
        <w:rPr>
          <w:rFonts w:cstheme="minorHAnsi"/>
          <w:color w:val="000000"/>
        </w:rPr>
        <w:t xml:space="preserve">Based on feedback EPA received during the consultation process, </w:t>
      </w:r>
      <w:r w:rsidRPr="002A4526">
        <w:rPr>
          <w:rFonts w:cstheme="minorHAnsi"/>
          <w:color w:val="000000"/>
        </w:rPr>
        <w:t>EPA does not anticipate any specified capital or start-up costs for recipients to meet EPA’s performance reporting requirements</w:t>
      </w:r>
      <w:r>
        <w:rPr>
          <w:rFonts w:cstheme="minorHAnsi"/>
          <w:color w:val="000000"/>
        </w:rPr>
        <w:t xml:space="preserve">. As noted by participants in the CPRG Planning Grant phase of the program, CPRG reporting to date has only required </w:t>
      </w:r>
      <w:r w:rsidRPr="002A4526">
        <w:rPr>
          <w:rFonts w:cstheme="minorHAnsi"/>
          <w:color w:val="000000"/>
        </w:rPr>
        <w:t>standard equipment (e.g., computer, relevant software packages) and infrastructure (e.g., workspace, access to internet services)</w:t>
      </w:r>
      <w:r>
        <w:rPr>
          <w:rFonts w:cstheme="minorHAnsi"/>
          <w:color w:val="000000"/>
        </w:rPr>
        <w:t>, and no additional capital and O&amp;M costs are anticipated.</w:t>
      </w:r>
    </w:p>
    <w:p w:rsidR="00023EFE" w:rsidRPr="00163C69" w:rsidP="00854AAE" w14:paraId="205CE150" w14:textId="77777777">
      <w:pPr>
        <w:pStyle w:val="ListParagraph"/>
        <w:numPr>
          <w:ilvl w:val="0"/>
          <w:numId w:val="25"/>
        </w:numPr>
        <w:pBdr>
          <w:bottom w:val="single" w:sz="4" w:space="1" w:color="auto"/>
        </w:pBdr>
        <w:spacing w:before="240" w:after="0"/>
        <w:rPr>
          <w:rFonts w:cstheme="minorHAnsi"/>
          <w:b/>
          <w:bCs/>
        </w:rPr>
      </w:pPr>
      <w:bookmarkStart w:id="23" w:name="_Toc156593387"/>
      <w:r w:rsidRPr="4BDBF0A0">
        <w:rPr>
          <w:b/>
          <w:bCs/>
        </w:rPr>
        <w:t xml:space="preserve">AGENCY </w:t>
      </w:r>
      <w:bookmarkStart w:id="24" w:name="_Toc156593388"/>
      <w:bookmarkEnd w:id="23"/>
      <w:r w:rsidRPr="4BDBF0A0" w:rsidR="00BB2B15">
        <w:rPr>
          <w:b/>
          <w:bCs/>
        </w:rPr>
        <w:t>COSTS</w:t>
      </w:r>
    </w:p>
    <w:p w:rsidR="001F0834" w:rsidRPr="001F0834" w:rsidP="00854AAE" w14:paraId="263C7C27"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79739F95" w14:textId="77777777">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F1E00" w:rsidRPr="00BB3410" w:rsidP="00854AAE" w14:paraId="63BE18E7" w14:textId="6FFC55E4">
      <w:pPr>
        <w:keepNext/>
        <w:keepLines/>
        <w:spacing w:before="60"/>
        <w:rPr>
          <w:rFonts w:cstheme="minorHAnsi"/>
        </w:rPr>
      </w:pPr>
      <w:r w:rsidRPr="00115124">
        <w:rPr>
          <w:rFonts w:cstheme="minorHAnsi"/>
        </w:rPr>
        <w:t>EPA incurs a burden in the process of reviewing and processing the information collected from grant recipients</w:t>
      </w:r>
      <w:r w:rsidR="00234B76">
        <w:rPr>
          <w:rFonts w:cstheme="minorHAnsi"/>
        </w:rPr>
        <w:t xml:space="preserve"> and answering respondent questions</w:t>
      </w:r>
      <w:r w:rsidRPr="00115124">
        <w:rPr>
          <w:rFonts w:cstheme="minorHAnsi"/>
        </w:rPr>
        <w:t xml:space="preserve">. For CPRG, EPA is currently working to develop infrastructure to automate some of the necessary collection and processing steps for applications, reports, and other documents required for the CPRG program. The goal is for these new systems to help minimize burden to both grantees and EPA staff when submitting and processing required documents and reports for the program. </w:t>
      </w:r>
    </w:p>
    <w:p w:rsidR="00023EFE" w:rsidRPr="00163C69" w:rsidP="00854AAE" w14:paraId="0ECE46D7" w14:textId="77777777">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34096B" w:rsidP="0034096B" w14:paraId="3ACEB5C6" w14:textId="2761BBCE">
      <w:pPr>
        <w:spacing w:before="120" w:after="0"/>
        <w:rPr>
          <w:rFonts w:cstheme="minorHAnsi"/>
          <w:color w:val="000000"/>
        </w:rPr>
      </w:pPr>
      <w:r w:rsidRPr="00EE5673">
        <w:rPr>
          <w:rFonts w:cstheme="minorHAnsi"/>
          <w:color w:val="000000"/>
        </w:rPr>
        <w:t>EPA has used its best professional judgement to develop estimates of burden hours and costs for each instrument for the period January 1, 2025, to December 31, 2027.</w:t>
      </w:r>
      <w:r w:rsidR="00CD63E2">
        <w:rPr>
          <w:rFonts w:cstheme="minorHAnsi"/>
          <w:color w:val="000000"/>
        </w:rPr>
        <w:t xml:space="preserve"> </w:t>
      </w:r>
    </w:p>
    <w:p w:rsidR="00E76FF4" w:rsidP="00E76FF4" w14:paraId="3F3EFE59" w14:textId="77777777">
      <w:pPr>
        <w:pStyle w:val="Caption"/>
        <w:keepNext/>
        <w:rPr>
          <w:rFonts w:cstheme="minorHAnsi"/>
        </w:rPr>
      </w:pPr>
    </w:p>
    <w:tbl>
      <w:tblPr>
        <w:tblStyle w:val="TableGrid"/>
        <w:tblW w:w="0" w:type="auto"/>
        <w:tblLook w:val="04A0"/>
      </w:tblPr>
      <w:tblGrid>
        <w:gridCol w:w="3349"/>
        <w:gridCol w:w="1061"/>
        <w:gridCol w:w="976"/>
        <w:gridCol w:w="1338"/>
        <w:gridCol w:w="1296"/>
        <w:gridCol w:w="876"/>
      </w:tblGrid>
      <w:tr w14:paraId="5D38F89A" w14:textId="77777777" w:rsidTr="00EF3AD3">
        <w:tblPrEx>
          <w:tblW w:w="0" w:type="auto"/>
          <w:tblLook w:val="04A0"/>
        </w:tblPrEx>
        <w:trPr>
          <w:trHeight w:val="170"/>
        </w:trPr>
        <w:tc>
          <w:tcPr>
            <w:tcW w:w="3349" w:type="dxa"/>
            <w:vMerge w:val="restart"/>
            <w:shd w:val="clear" w:color="auto" w:fill="D9D9D9" w:themeFill="background1" w:themeFillShade="D9"/>
            <w:vAlign w:val="center"/>
          </w:tcPr>
          <w:p w:rsidR="00CB4375" w:rsidRPr="00790E96" w:rsidP="00713D78" w14:paraId="345D1A18" w14:textId="77777777">
            <w:pPr>
              <w:jc w:val="center"/>
              <w:rPr>
                <w:rFonts w:cstheme="minorHAnsi"/>
                <w:b/>
                <w:bCs/>
                <w:color w:val="000000"/>
                <w:sz w:val="20"/>
                <w:szCs w:val="20"/>
              </w:rPr>
            </w:pPr>
            <w:r w:rsidRPr="00790E96">
              <w:rPr>
                <w:rFonts w:cstheme="minorHAnsi"/>
                <w:b/>
                <w:bCs/>
                <w:color w:val="000000"/>
                <w:sz w:val="20"/>
                <w:szCs w:val="20"/>
              </w:rPr>
              <w:t>Activity Description</w:t>
            </w:r>
          </w:p>
        </w:tc>
        <w:tc>
          <w:tcPr>
            <w:tcW w:w="2037" w:type="dxa"/>
            <w:gridSpan w:val="2"/>
            <w:shd w:val="clear" w:color="auto" w:fill="D9D9D9" w:themeFill="background1" w:themeFillShade="D9"/>
            <w:vAlign w:val="center"/>
          </w:tcPr>
          <w:p w:rsidR="00CB4375" w:rsidRPr="00790E96" w:rsidP="00713D78" w14:paraId="72BEDC03" w14:textId="4AF8D814">
            <w:pPr>
              <w:jc w:val="center"/>
              <w:rPr>
                <w:rFonts w:cstheme="minorHAnsi"/>
                <w:b/>
                <w:bCs/>
                <w:color w:val="000000"/>
                <w:sz w:val="20"/>
                <w:szCs w:val="20"/>
              </w:rPr>
            </w:pPr>
            <w:r>
              <w:rPr>
                <w:rFonts w:cstheme="minorHAnsi"/>
                <w:b/>
                <w:bCs/>
                <w:color w:val="000000"/>
                <w:sz w:val="20"/>
                <w:szCs w:val="20"/>
              </w:rPr>
              <w:t>P</w:t>
            </w:r>
            <w:r w:rsidRPr="00790E96">
              <w:rPr>
                <w:rFonts w:cstheme="minorHAnsi"/>
                <w:b/>
                <w:bCs/>
                <w:color w:val="000000"/>
                <w:sz w:val="20"/>
                <w:szCs w:val="20"/>
              </w:rPr>
              <w:t xml:space="preserve">er </w:t>
            </w:r>
            <w:r>
              <w:rPr>
                <w:rFonts w:cstheme="minorHAnsi"/>
                <w:b/>
                <w:bCs/>
                <w:color w:val="000000"/>
                <w:sz w:val="20"/>
                <w:szCs w:val="20"/>
              </w:rPr>
              <w:t>A</w:t>
            </w:r>
            <w:r w:rsidRPr="00790E96">
              <w:rPr>
                <w:rFonts w:cstheme="minorHAnsi"/>
                <w:b/>
                <w:bCs/>
                <w:color w:val="000000"/>
                <w:sz w:val="20"/>
                <w:szCs w:val="20"/>
              </w:rPr>
              <w:t>ctivity</w:t>
            </w:r>
          </w:p>
        </w:tc>
        <w:tc>
          <w:tcPr>
            <w:tcW w:w="1338" w:type="dxa"/>
            <w:vMerge w:val="restart"/>
            <w:shd w:val="clear" w:color="auto" w:fill="D9D9D9" w:themeFill="background1" w:themeFillShade="D9"/>
            <w:vAlign w:val="center"/>
          </w:tcPr>
          <w:p w:rsidR="00CB4375" w:rsidRPr="00790E96" w:rsidP="00713D78" w14:paraId="5458B347" w14:textId="77777777">
            <w:pPr>
              <w:jc w:val="center"/>
              <w:rPr>
                <w:rFonts w:cstheme="minorHAnsi"/>
                <w:b/>
                <w:bCs/>
                <w:color w:val="000000"/>
                <w:sz w:val="20"/>
                <w:szCs w:val="20"/>
              </w:rPr>
            </w:pPr>
            <w:r w:rsidRPr="00790E96">
              <w:rPr>
                <w:rFonts w:cstheme="minorHAnsi"/>
                <w:b/>
                <w:bCs/>
                <w:sz w:val="20"/>
                <w:szCs w:val="20"/>
              </w:rPr>
              <w:t>Total Annual Activities</w:t>
            </w:r>
          </w:p>
        </w:tc>
        <w:tc>
          <w:tcPr>
            <w:tcW w:w="2172" w:type="dxa"/>
            <w:gridSpan w:val="2"/>
            <w:vMerge w:val="restart"/>
            <w:shd w:val="clear" w:color="auto" w:fill="D9D9D9" w:themeFill="background1" w:themeFillShade="D9"/>
            <w:vAlign w:val="center"/>
          </w:tcPr>
          <w:p w:rsidR="00CB4375" w:rsidRPr="00790E96" w:rsidP="00713D78" w14:paraId="3296C60F" w14:textId="77777777">
            <w:pPr>
              <w:jc w:val="center"/>
              <w:rPr>
                <w:rFonts w:cstheme="minorHAnsi"/>
                <w:b/>
                <w:bCs/>
                <w:color w:val="000000"/>
                <w:sz w:val="20"/>
                <w:szCs w:val="20"/>
              </w:rPr>
            </w:pPr>
            <w:r w:rsidRPr="00790E96">
              <w:rPr>
                <w:rFonts w:cstheme="minorHAnsi"/>
                <w:b/>
                <w:bCs/>
                <w:sz w:val="20"/>
                <w:szCs w:val="20"/>
              </w:rPr>
              <w:t>Total Annual Costs</w:t>
            </w:r>
          </w:p>
        </w:tc>
      </w:tr>
      <w:tr w14:paraId="57C506C8" w14:textId="77777777" w:rsidTr="00EF3AD3">
        <w:tblPrEx>
          <w:tblW w:w="0" w:type="auto"/>
          <w:tblLook w:val="04A0"/>
        </w:tblPrEx>
        <w:trPr>
          <w:trHeight w:val="107"/>
        </w:trPr>
        <w:tc>
          <w:tcPr>
            <w:tcW w:w="3349" w:type="dxa"/>
            <w:vMerge/>
            <w:shd w:val="clear" w:color="auto" w:fill="D9D9D9" w:themeFill="background1" w:themeFillShade="D9"/>
            <w:vAlign w:val="center"/>
          </w:tcPr>
          <w:p w:rsidR="00CB4375" w:rsidRPr="00790E96" w:rsidP="00713D78" w14:paraId="6DA60CE6" w14:textId="77777777">
            <w:pPr>
              <w:jc w:val="center"/>
              <w:rPr>
                <w:rFonts w:cstheme="minorHAnsi"/>
                <w:color w:val="000000"/>
                <w:sz w:val="20"/>
                <w:szCs w:val="20"/>
              </w:rPr>
            </w:pPr>
          </w:p>
        </w:tc>
        <w:tc>
          <w:tcPr>
            <w:tcW w:w="1061" w:type="dxa"/>
            <w:shd w:val="clear" w:color="auto" w:fill="D9D9D9" w:themeFill="background1" w:themeFillShade="D9"/>
            <w:vAlign w:val="center"/>
          </w:tcPr>
          <w:p w:rsidR="00CB4375" w:rsidRPr="00790E96" w:rsidP="00713D78" w14:paraId="1649D569" w14:textId="77777777">
            <w:pPr>
              <w:jc w:val="center"/>
              <w:rPr>
                <w:rFonts w:cstheme="minorHAnsi"/>
                <w:b/>
                <w:bCs/>
                <w:color w:val="000000"/>
                <w:sz w:val="20"/>
                <w:szCs w:val="20"/>
              </w:rPr>
            </w:pPr>
            <w:r w:rsidRPr="00790E96">
              <w:rPr>
                <w:rFonts w:cstheme="minorHAnsi"/>
                <w:b/>
                <w:bCs/>
                <w:color w:val="000000"/>
                <w:sz w:val="20"/>
                <w:szCs w:val="20"/>
              </w:rPr>
              <w:t>Hours</w:t>
            </w:r>
          </w:p>
        </w:tc>
        <w:tc>
          <w:tcPr>
            <w:tcW w:w="976" w:type="dxa"/>
            <w:shd w:val="clear" w:color="auto" w:fill="D9D9D9" w:themeFill="background1" w:themeFillShade="D9"/>
            <w:vAlign w:val="center"/>
          </w:tcPr>
          <w:p w:rsidR="00CB4375" w:rsidRPr="00790E96" w:rsidP="00713D78" w14:paraId="298CC861" w14:textId="77777777">
            <w:pPr>
              <w:jc w:val="center"/>
              <w:rPr>
                <w:rFonts w:cstheme="minorHAnsi"/>
                <w:b/>
                <w:bCs/>
                <w:color w:val="000000"/>
                <w:sz w:val="20"/>
                <w:szCs w:val="20"/>
              </w:rPr>
            </w:pPr>
            <w:r w:rsidRPr="00790E96">
              <w:rPr>
                <w:rFonts w:cstheme="minorHAnsi"/>
                <w:b/>
                <w:bCs/>
                <w:color w:val="000000"/>
                <w:sz w:val="20"/>
                <w:szCs w:val="20"/>
              </w:rPr>
              <w:t>Cost</w:t>
            </w:r>
          </w:p>
        </w:tc>
        <w:tc>
          <w:tcPr>
            <w:tcW w:w="1338" w:type="dxa"/>
            <w:vMerge/>
            <w:shd w:val="clear" w:color="auto" w:fill="D9D9D9" w:themeFill="background1" w:themeFillShade="D9"/>
            <w:vAlign w:val="center"/>
          </w:tcPr>
          <w:p w:rsidR="00CB4375" w:rsidRPr="00790E96" w:rsidP="00713D78" w14:paraId="252C1067" w14:textId="77777777">
            <w:pPr>
              <w:jc w:val="center"/>
              <w:rPr>
                <w:rFonts w:cstheme="minorHAnsi"/>
                <w:color w:val="000000"/>
                <w:sz w:val="20"/>
                <w:szCs w:val="20"/>
              </w:rPr>
            </w:pPr>
          </w:p>
        </w:tc>
        <w:tc>
          <w:tcPr>
            <w:tcW w:w="2172" w:type="dxa"/>
            <w:gridSpan w:val="2"/>
            <w:vMerge/>
            <w:shd w:val="clear" w:color="auto" w:fill="D9D9D9" w:themeFill="background1" w:themeFillShade="D9"/>
            <w:vAlign w:val="center"/>
          </w:tcPr>
          <w:p w:rsidR="00CB4375" w:rsidRPr="00790E96" w:rsidP="00713D78" w14:paraId="4D0F1C7F" w14:textId="77777777">
            <w:pPr>
              <w:jc w:val="center"/>
              <w:rPr>
                <w:rFonts w:cstheme="minorHAnsi"/>
                <w:color w:val="000000"/>
                <w:sz w:val="20"/>
                <w:szCs w:val="20"/>
              </w:rPr>
            </w:pPr>
          </w:p>
        </w:tc>
      </w:tr>
      <w:tr w14:paraId="28F9A601" w14:textId="77777777" w:rsidTr="00EF3AD3">
        <w:tblPrEx>
          <w:tblW w:w="0" w:type="auto"/>
          <w:tblLook w:val="04A0"/>
        </w:tblPrEx>
        <w:trPr>
          <w:trHeight w:val="206"/>
        </w:trPr>
        <w:tc>
          <w:tcPr>
            <w:tcW w:w="8896" w:type="dxa"/>
            <w:gridSpan w:val="6"/>
            <w:shd w:val="clear" w:color="auto" w:fill="D9D9D9" w:themeFill="background1" w:themeFillShade="D9"/>
            <w:vAlign w:val="center"/>
          </w:tcPr>
          <w:p w:rsidR="00713D78" w:rsidP="00713D78" w14:paraId="34367A2B" w14:textId="3C69BE28">
            <w:pPr>
              <w:rPr>
                <w:rFonts w:cstheme="minorHAnsi"/>
                <w:color w:val="000000"/>
                <w:sz w:val="20"/>
                <w:szCs w:val="20"/>
              </w:rPr>
            </w:pPr>
            <w:r>
              <w:rPr>
                <w:rFonts w:cstheme="minorHAnsi"/>
                <w:sz w:val="20"/>
                <w:szCs w:val="20"/>
              </w:rPr>
              <w:t>Federal Oversight</w:t>
            </w:r>
          </w:p>
        </w:tc>
      </w:tr>
      <w:tr w14:paraId="4B8F7610" w14:textId="77777777" w:rsidTr="00EF3AD3">
        <w:tblPrEx>
          <w:tblW w:w="0" w:type="auto"/>
          <w:tblLook w:val="04A0"/>
        </w:tblPrEx>
        <w:trPr>
          <w:trHeight w:val="476"/>
        </w:trPr>
        <w:tc>
          <w:tcPr>
            <w:tcW w:w="3349" w:type="dxa"/>
            <w:vAlign w:val="center"/>
          </w:tcPr>
          <w:p w:rsidR="00CB4375" w:rsidRPr="00790E96" w:rsidP="006060B3" w14:paraId="0061BE06" w14:textId="39AADDBE">
            <w:pPr>
              <w:rPr>
                <w:rFonts w:cstheme="minorHAnsi"/>
                <w:color w:val="000000"/>
                <w:sz w:val="20"/>
                <w:szCs w:val="20"/>
              </w:rPr>
            </w:pPr>
            <w:r w:rsidRPr="0047154A">
              <w:rPr>
                <w:rFonts w:cstheme="minorHAnsi"/>
                <w:sz w:val="20"/>
                <w:szCs w:val="20"/>
              </w:rPr>
              <w:t>Review</w:t>
            </w:r>
            <w:r>
              <w:rPr>
                <w:rFonts w:cstheme="minorHAnsi"/>
                <w:sz w:val="20"/>
                <w:szCs w:val="20"/>
              </w:rPr>
              <w:t xml:space="preserve"> </w:t>
            </w:r>
            <w:r w:rsidRPr="0047154A">
              <w:rPr>
                <w:rFonts w:cstheme="minorHAnsi"/>
                <w:sz w:val="20"/>
                <w:szCs w:val="20"/>
              </w:rPr>
              <w:t xml:space="preserve">One-year </w:t>
            </w:r>
            <w:r>
              <w:rPr>
                <w:rFonts w:cstheme="minorHAnsi"/>
                <w:sz w:val="20"/>
                <w:szCs w:val="20"/>
              </w:rPr>
              <w:t xml:space="preserve">Progress </w:t>
            </w:r>
            <w:r w:rsidRPr="0047154A">
              <w:rPr>
                <w:rFonts w:cstheme="minorHAnsi"/>
                <w:sz w:val="20"/>
                <w:szCs w:val="20"/>
              </w:rPr>
              <w:t>Reports (General Competition)</w:t>
            </w:r>
          </w:p>
        </w:tc>
        <w:tc>
          <w:tcPr>
            <w:tcW w:w="1061" w:type="dxa"/>
            <w:vAlign w:val="center"/>
          </w:tcPr>
          <w:p w:rsidR="00CB4375" w:rsidRPr="00790E96" w:rsidP="006060B3" w14:paraId="40C38A60" w14:textId="51749ED0">
            <w:pPr>
              <w:jc w:val="center"/>
              <w:rPr>
                <w:rFonts w:cstheme="minorHAnsi"/>
                <w:color w:val="000000"/>
                <w:sz w:val="20"/>
                <w:szCs w:val="20"/>
              </w:rPr>
            </w:pPr>
            <w:r>
              <w:rPr>
                <w:rFonts w:cstheme="minorHAnsi"/>
                <w:color w:val="000000"/>
                <w:sz w:val="20"/>
                <w:szCs w:val="20"/>
              </w:rPr>
              <w:t>16</w:t>
            </w:r>
          </w:p>
        </w:tc>
        <w:tc>
          <w:tcPr>
            <w:tcW w:w="976" w:type="dxa"/>
            <w:vAlign w:val="center"/>
          </w:tcPr>
          <w:p w:rsidR="00CB4375" w:rsidRPr="00790E96" w:rsidP="006060B3" w14:paraId="28A0666F" w14:textId="659DC351">
            <w:pPr>
              <w:jc w:val="center"/>
              <w:rPr>
                <w:rFonts w:cstheme="minorHAnsi"/>
                <w:color w:val="000000"/>
                <w:sz w:val="20"/>
                <w:szCs w:val="20"/>
              </w:rPr>
            </w:pPr>
            <w:r w:rsidRPr="00EE5673">
              <w:rPr>
                <w:rFonts w:cstheme="minorHAnsi"/>
                <w:sz w:val="20"/>
                <w:szCs w:val="20"/>
              </w:rPr>
              <w:t>$</w:t>
            </w:r>
            <w:r w:rsidR="00EF3AD3">
              <w:rPr>
                <w:rFonts w:cstheme="minorHAnsi"/>
                <w:sz w:val="20"/>
                <w:szCs w:val="20"/>
              </w:rPr>
              <w:t>996.32</w:t>
            </w:r>
          </w:p>
        </w:tc>
        <w:tc>
          <w:tcPr>
            <w:tcW w:w="1338" w:type="dxa"/>
            <w:vAlign w:val="center"/>
          </w:tcPr>
          <w:p w:rsidR="00CB4375" w:rsidRPr="00790E96" w:rsidP="006060B3" w14:paraId="18A6BD12" w14:textId="3FE37DF1">
            <w:pPr>
              <w:jc w:val="center"/>
              <w:rPr>
                <w:rFonts w:cstheme="minorHAnsi"/>
                <w:color w:val="000000"/>
                <w:sz w:val="20"/>
                <w:szCs w:val="20"/>
              </w:rPr>
            </w:pPr>
            <w:r>
              <w:rPr>
                <w:rFonts w:cstheme="minorHAnsi"/>
                <w:color w:val="000000"/>
                <w:sz w:val="20"/>
                <w:szCs w:val="20"/>
              </w:rPr>
              <w:t>38.3</w:t>
            </w:r>
          </w:p>
        </w:tc>
        <w:tc>
          <w:tcPr>
            <w:tcW w:w="2172" w:type="dxa"/>
            <w:gridSpan w:val="2"/>
            <w:vAlign w:val="center"/>
          </w:tcPr>
          <w:p w:rsidR="00CB4375" w:rsidRPr="00790E96" w:rsidP="006060B3" w14:paraId="308A7AA2" w14:textId="6A931C9E">
            <w:pPr>
              <w:jc w:val="center"/>
              <w:rPr>
                <w:rFonts w:cstheme="minorHAnsi"/>
                <w:color w:val="000000"/>
                <w:sz w:val="20"/>
                <w:szCs w:val="20"/>
              </w:rPr>
            </w:pPr>
            <w:r>
              <w:rPr>
                <w:rFonts w:cstheme="minorHAnsi"/>
                <w:color w:val="000000"/>
                <w:sz w:val="20"/>
                <w:szCs w:val="20"/>
              </w:rPr>
              <w:t>$37,</w:t>
            </w:r>
            <w:r w:rsidR="00EF3AD3">
              <w:rPr>
                <w:rFonts w:cstheme="minorHAnsi"/>
                <w:color w:val="000000"/>
                <w:sz w:val="20"/>
                <w:szCs w:val="20"/>
              </w:rPr>
              <w:t>042</w:t>
            </w:r>
          </w:p>
        </w:tc>
      </w:tr>
      <w:tr w14:paraId="30A6A167" w14:textId="77777777" w:rsidTr="00EF3AD3">
        <w:tblPrEx>
          <w:tblW w:w="0" w:type="auto"/>
          <w:tblLook w:val="04A0"/>
        </w:tblPrEx>
        <w:trPr>
          <w:trHeight w:val="320"/>
        </w:trPr>
        <w:tc>
          <w:tcPr>
            <w:tcW w:w="3349" w:type="dxa"/>
            <w:vAlign w:val="center"/>
          </w:tcPr>
          <w:p w:rsidR="00EF3AD3" w:rsidRPr="00790E96" w:rsidP="00EF3AD3" w14:paraId="59B11C27" w14:textId="6B09A3CD">
            <w:pPr>
              <w:rPr>
                <w:rFonts w:cstheme="minorHAnsi"/>
                <w:color w:val="000000"/>
                <w:sz w:val="20"/>
                <w:szCs w:val="20"/>
              </w:rPr>
            </w:pPr>
            <w:r w:rsidRPr="0047154A">
              <w:rPr>
                <w:rFonts w:cstheme="minorHAnsi"/>
                <w:sz w:val="20"/>
                <w:szCs w:val="20"/>
              </w:rPr>
              <w:t xml:space="preserve">Review Final Reports (General Competition) </w:t>
            </w:r>
          </w:p>
        </w:tc>
        <w:tc>
          <w:tcPr>
            <w:tcW w:w="1061" w:type="dxa"/>
            <w:vAlign w:val="center"/>
          </w:tcPr>
          <w:p w:rsidR="00EF3AD3" w:rsidRPr="00790E96" w:rsidP="00EF3AD3" w14:paraId="7A91E3EC" w14:textId="00E92F2B">
            <w:pPr>
              <w:jc w:val="center"/>
              <w:rPr>
                <w:rFonts w:cstheme="minorHAnsi"/>
                <w:color w:val="000000"/>
                <w:sz w:val="20"/>
                <w:szCs w:val="20"/>
              </w:rPr>
            </w:pPr>
            <w:r>
              <w:rPr>
                <w:rFonts w:cstheme="minorHAnsi"/>
                <w:color w:val="000000"/>
                <w:sz w:val="20"/>
                <w:szCs w:val="20"/>
              </w:rPr>
              <w:t>16</w:t>
            </w:r>
          </w:p>
        </w:tc>
        <w:tc>
          <w:tcPr>
            <w:tcW w:w="976" w:type="dxa"/>
            <w:vAlign w:val="center"/>
          </w:tcPr>
          <w:p w:rsidR="00EF3AD3" w:rsidRPr="00790E96" w:rsidP="00EF3AD3" w14:paraId="49E1DA2E" w14:textId="49396E51">
            <w:pPr>
              <w:jc w:val="center"/>
              <w:rPr>
                <w:rFonts w:cstheme="minorHAnsi"/>
                <w:color w:val="000000"/>
                <w:sz w:val="20"/>
                <w:szCs w:val="20"/>
              </w:rPr>
            </w:pPr>
            <w:r w:rsidRPr="00EE5673">
              <w:rPr>
                <w:rFonts w:cstheme="minorHAnsi"/>
                <w:sz w:val="20"/>
                <w:szCs w:val="20"/>
              </w:rPr>
              <w:t>$</w:t>
            </w:r>
            <w:r>
              <w:rPr>
                <w:rFonts w:cstheme="minorHAnsi"/>
                <w:sz w:val="20"/>
                <w:szCs w:val="20"/>
              </w:rPr>
              <w:t>996.32</w:t>
            </w:r>
          </w:p>
        </w:tc>
        <w:tc>
          <w:tcPr>
            <w:tcW w:w="1338" w:type="dxa"/>
            <w:vAlign w:val="center"/>
          </w:tcPr>
          <w:p w:rsidR="00EF3AD3" w:rsidRPr="00790E96" w:rsidP="00EF3AD3" w14:paraId="4CE63C5F" w14:textId="00B9202C">
            <w:pPr>
              <w:jc w:val="center"/>
              <w:rPr>
                <w:rFonts w:cstheme="minorHAnsi"/>
                <w:color w:val="000000"/>
                <w:sz w:val="20"/>
                <w:szCs w:val="20"/>
              </w:rPr>
            </w:pPr>
            <w:r>
              <w:rPr>
                <w:rFonts w:cstheme="minorHAnsi"/>
                <w:color w:val="000000"/>
                <w:sz w:val="20"/>
                <w:szCs w:val="20"/>
              </w:rPr>
              <w:t>5</w:t>
            </w:r>
          </w:p>
        </w:tc>
        <w:tc>
          <w:tcPr>
            <w:tcW w:w="2172" w:type="dxa"/>
            <w:gridSpan w:val="2"/>
            <w:vAlign w:val="center"/>
          </w:tcPr>
          <w:p w:rsidR="00EF3AD3" w:rsidRPr="00790E96" w:rsidP="00EF3AD3" w14:paraId="19857A04" w14:textId="6F677AEF">
            <w:pPr>
              <w:jc w:val="center"/>
              <w:rPr>
                <w:rFonts w:cstheme="minorHAnsi"/>
                <w:color w:val="000000"/>
                <w:sz w:val="20"/>
                <w:szCs w:val="20"/>
              </w:rPr>
            </w:pPr>
            <w:r>
              <w:rPr>
                <w:rFonts w:cstheme="minorHAnsi"/>
                <w:color w:val="000000"/>
                <w:sz w:val="20"/>
                <w:szCs w:val="20"/>
              </w:rPr>
              <w:t>$4,982</w:t>
            </w:r>
          </w:p>
        </w:tc>
      </w:tr>
      <w:tr w14:paraId="4A4CDD7B" w14:textId="77777777" w:rsidTr="00EF3AD3">
        <w:tblPrEx>
          <w:tblW w:w="0" w:type="auto"/>
          <w:tblLook w:val="04A0"/>
        </w:tblPrEx>
        <w:trPr>
          <w:trHeight w:val="143"/>
        </w:trPr>
        <w:tc>
          <w:tcPr>
            <w:tcW w:w="3349" w:type="dxa"/>
            <w:tcBorders>
              <w:bottom w:val="single" w:sz="4" w:space="0" w:color="auto"/>
            </w:tcBorders>
            <w:vAlign w:val="center"/>
          </w:tcPr>
          <w:p w:rsidR="00EF3AD3" w:rsidRPr="00790E96" w:rsidP="00EF3AD3" w14:paraId="038ABDDE" w14:textId="798BAA93">
            <w:pPr>
              <w:rPr>
                <w:rFonts w:cstheme="minorHAnsi"/>
                <w:color w:val="000000"/>
                <w:sz w:val="20"/>
                <w:szCs w:val="20"/>
              </w:rPr>
            </w:pPr>
            <w:r w:rsidRPr="250E6610">
              <w:rPr>
                <w:sz w:val="20"/>
                <w:szCs w:val="20"/>
              </w:rPr>
              <w:t>Review</w:t>
            </w:r>
            <w:r>
              <w:rPr>
                <w:sz w:val="20"/>
                <w:szCs w:val="20"/>
              </w:rPr>
              <w:t xml:space="preserve"> </w:t>
            </w:r>
            <w:r w:rsidRPr="250E6610">
              <w:rPr>
                <w:sz w:val="20"/>
                <w:szCs w:val="20"/>
              </w:rPr>
              <w:t>Final Reports (Tribes and Territories Competition)</w:t>
            </w:r>
          </w:p>
        </w:tc>
        <w:tc>
          <w:tcPr>
            <w:tcW w:w="1061" w:type="dxa"/>
            <w:tcBorders>
              <w:bottom w:val="single" w:sz="4" w:space="0" w:color="auto"/>
            </w:tcBorders>
            <w:vAlign w:val="center"/>
          </w:tcPr>
          <w:p w:rsidR="00EF3AD3" w:rsidRPr="00790E96" w:rsidP="00EF3AD3" w14:paraId="7CA2B221" w14:textId="7C54F169">
            <w:pPr>
              <w:jc w:val="center"/>
              <w:rPr>
                <w:rFonts w:cstheme="minorHAnsi"/>
                <w:color w:val="000000"/>
                <w:sz w:val="20"/>
                <w:szCs w:val="20"/>
              </w:rPr>
            </w:pPr>
            <w:r>
              <w:rPr>
                <w:rFonts w:cstheme="minorHAnsi"/>
                <w:color w:val="000000"/>
                <w:sz w:val="20"/>
                <w:szCs w:val="20"/>
              </w:rPr>
              <w:t>16</w:t>
            </w:r>
          </w:p>
        </w:tc>
        <w:tc>
          <w:tcPr>
            <w:tcW w:w="976" w:type="dxa"/>
            <w:tcBorders>
              <w:bottom w:val="single" w:sz="4" w:space="0" w:color="auto"/>
            </w:tcBorders>
            <w:vAlign w:val="center"/>
          </w:tcPr>
          <w:p w:rsidR="00EF3AD3" w:rsidRPr="00790E96" w:rsidP="00EF3AD3" w14:paraId="08989CF2" w14:textId="3F2468CA">
            <w:pPr>
              <w:jc w:val="center"/>
              <w:rPr>
                <w:rFonts w:cstheme="minorHAnsi"/>
                <w:color w:val="000000"/>
                <w:sz w:val="20"/>
                <w:szCs w:val="20"/>
              </w:rPr>
            </w:pPr>
            <w:r w:rsidRPr="00EE5673">
              <w:rPr>
                <w:rFonts w:cstheme="minorHAnsi"/>
                <w:sz w:val="20"/>
                <w:szCs w:val="20"/>
              </w:rPr>
              <w:t>$</w:t>
            </w:r>
            <w:r>
              <w:rPr>
                <w:rFonts w:cstheme="minorHAnsi"/>
                <w:sz w:val="20"/>
                <w:szCs w:val="20"/>
              </w:rPr>
              <w:t>996.32</w:t>
            </w:r>
          </w:p>
        </w:tc>
        <w:tc>
          <w:tcPr>
            <w:tcW w:w="1338" w:type="dxa"/>
            <w:tcBorders>
              <w:bottom w:val="single" w:sz="4" w:space="0" w:color="auto"/>
            </w:tcBorders>
            <w:vAlign w:val="center"/>
          </w:tcPr>
          <w:p w:rsidR="00EF3AD3" w:rsidRPr="00790E96" w:rsidP="00EF3AD3" w14:paraId="52D31C7A" w14:textId="10FBCF80">
            <w:pPr>
              <w:jc w:val="center"/>
              <w:rPr>
                <w:rFonts w:cstheme="minorHAnsi"/>
                <w:color w:val="000000"/>
                <w:sz w:val="20"/>
                <w:szCs w:val="20"/>
              </w:rPr>
            </w:pPr>
            <w:r>
              <w:rPr>
                <w:rFonts w:cstheme="minorHAnsi"/>
                <w:color w:val="000000"/>
                <w:sz w:val="20"/>
                <w:szCs w:val="20"/>
              </w:rPr>
              <w:t>5</w:t>
            </w:r>
          </w:p>
        </w:tc>
        <w:tc>
          <w:tcPr>
            <w:tcW w:w="2172" w:type="dxa"/>
            <w:gridSpan w:val="2"/>
            <w:tcBorders>
              <w:bottom w:val="single" w:sz="4" w:space="0" w:color="auto"/>
            </w:tcBorders>
            <w:vAlign w:val="center"/>
          </w:tcPr>
          <w:p w:rsidR="00EF3AD3" w:rsidRPr="00790E96" w:rsidP="00EF3AD3" w14:paraId="5A45FECD" w14:textId="5043F0D2">
            <w:pPr>
              <w:jc w:val="center"/>
              <w:rPr>
                <w:rFonts w:cstheme="minorHAnsi"/>
                <w:color w:val="000000"/>
                <w:sz w:val="20"/>
                <w:szCs w:val="20"/>
              </w:rPr>
            </w:pPr>
            <w:r>
              <w:rPr>
                <w:rFonts w:cstheme="minorHAnsi"/>
                <w:color w:val="000000"/>
                <w:sz w:val="20"/>
                <w:szCs w:val="20"/>
              </w:rPr>
              <w:t>$4,982</w:t>
            </w:r>
          </w:p>
        </w:tc>
      </w:tr>
      <w:tr w14:paraId="366298FC" w14:textId="77777777" w:rsidTr="00EF3AD3">
        <w:tblPrEx>
          <w:tblW w:w="0" w:type="auto"/>
          <w:tblLook w:val="04A0"/>
        </w:tblPrEx>
        <w:trPr>
          <w:trHeight w:val="161"/>
        </w:trPr>
        <w:tc>
          <w:tcPr>
            <w:tcW w:w="8020" w:type="dxa"/>
            <w:gridSpan w:val="5"/>
            <w:shd w:val="clear" w:color="auto" w:fill="D9D9D9" w:themeFill="background1" w:themeFillShade="D9"/>
            <w:vAlign w:val="center"/>
          </w:tcPr>
          <w:p w:rsidR="00EF3AD3" w:rsidRPr="00713D78" w:rsidP="00EF3AD3" w14:paraId="3E345C7A" w14:textId="5F14195F">
            <w:pPr>
              <w:jc w:val="right"/>
              <w:rPr>
                <w:rFonts w:cstheme="minorHAnsi"/>
                <w:b/>
                <w:bCs/>
                <w:color w:val="000000"/>
                <w:sz w:val="20"/>
                <w:szCs w:val="20"/>
              </w:rPr>
            </w:pPr>
            <w:r>
              <w:rPr>
                <w:rFonts w:cstheme="minorHAnsi"/>
                <w:b/>
                <w:bCs/>
                <w:color w:val="000000"/>
                <w:sz w:val="20"/>
                <w:szCs w:val="20"/>
              </w:rPr>
              <w:t>Total</w:t>
            </w:r>
          </w:p>
        </w:tc>
        <w:tc>
          <w:tcPr>
            <w:tcW w:w="876" w:type="dxa"/>
            <w:shd w:val="clear" w:color="auto" w:fill="D9D9D9" w:themeFill="background1" w:themeFillShade="D9"/>
            <w:vAlign w:val="center"/>
          </w:tcPr>
          <w:p w:rsidR="00EF3AD3" w:rsidRPr="00713D78" w:rsidP="00EF3AD3" w14:paraId="79CC86F7" w14:textId="21776489">
            <w:pPr>
              <w:jc w:val="center"/>
              <w:rPr>
                <w:rFonts w:cstheme="minorHAnsi"/>
                <w:b/>
                <w:bCs/>
                <w:color w:val="000000"/>
                <w:sz w:val="20"/>
                <w:szCs w:val="20"/>
              </w:rPr>
            </w:pPr>
            <w:r>
              <w:rPr>
                <w:rFonts w:cstheme="minorHAnsi"/>
                <w:b/>
                <w:bCs/>
                <w:color w:val="000000"/>
                <w:sz w:val="20"/>
                <w:szCs w:val="20"/>
              </w:rPr>
              <w:t>$47,</w:t>
            </w:r>
            <w:r w:rsidR="00EF669A">
              <w:rPr>
                <w:rFonts w:cstheme="minorHAnsi"/>
                <w:b/>
                <w:bCs/>
                <w:color w:val="000000"/>
                <w:sz w:val="20"/>
                <w:szCs w:val="20"/>
              </w:rPr>
              <w:t>006</w:t>
            </w:r>
          </w:p>
        </w:tc>
      </w:tr>
      <w:tr w14:paraId="1491AB5C" w14:textId="77777777" w:rsidTr="00EF3AD3">
        <w:tblPrEx>
          <w:tblW w:w="0" w:type="auto"/>
          <w:tblLook w:val="04A0"/>
        </w:tblPrEx>
        <w:trPr>
          <w:trHeight w:val="341"/>
        </w:trPr>
        <w:tc>
          <w:tcPr>
            <w:tcW w:w="8896" w:type="dxa"/>
            <w:gridSpan w:val="6"/>
            <w:tcBorders>
              <w:bottom w:val="single" w:sz="4" w:space="0" w:color="auto"/>
            </w:tcBorders>
            <w:shd w:val="clear" w:color="auto" w:fill="D9D9D9" w:themeFill="background1" w:themeFillShade="D9"/>
            <w:vAlign w:val="center"/>
          </w:tcPr>
          <w:p w:rsidR="00EF3AD3" w:rsidP="00EF3AD3" w14:paraId="35E7B182" w14:textId="38771CA2">
            <w:pPr>
              <w:rPr>
                <w:rFonts w:cstheme="minorHAnsi"/>
                <w:color w:val="000000"/>
                <w:sz w:val="20"/>
                <w:szCs w:val="20"/>
              </w:rPr>
            </w:pPr>
            <w:r w:rsidRPr="000608E5">
              <w:rPr>
                <w:rFonts w:cstheme="minorHAnsi"/>
                <w:color w:val="000000"/>
                <w:sz w:val="20"/>
                <w:szCs w:val="20"/>
              </w:rPr>
              <w:t xml:space="preserve">The </w:t>
            </w:r>
            <w:r>
              <w:rPr>
                <w:rFonts w:cstheme="minorHAnsi"/>
                <w:color w:val="000000"/>
                <w:sz w:val="20"/>
                <w:szCs w:val="20"/>
              </w:rPr>
              <w:t>wage rates assumed a FY24 GS13-01 hourly rate and increased by 60% to account for benefits ($62.27/</w:t>
            </w:r>
            <w:r>
              <w:rPr>
                <w:rFonts w:cstheme="minorHAnsi"/>
                <w:color w:val="000000"/>
                <w:sz w:val="20"/>
                <w:szCs w:val="20"/>
              </w:rPr>
              <w:t>hr</w:t>
            </w:r>
            <w:r>
              <w:rPr>
                <w:rFonts w:cstheme="minorHAnsi"/>
                <w:color w:val="000000"/>
                <w:sz w:val="20"/>
                <w:szCs w:val="20"/>
              </w:rPr>
              <w:t>).</w:t>
            </w:r>
          </w:p>
        </w:tc>
      </w:tr>
    </w:tbl>
    <w:p w:rsidR="00713D78" w:rsidRPr="00713D78" w:rsidP="00713D78" w14:paraId="5D94E68A" w14:textId="77777777"/>
    <w:p w:rsidR="00D17BB9" w:rsidRPr="00163C69" w:rsidP="00854AAE" w14:paraId="476FAC85" w14:textId="77777777">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1865AC" w:rsidP="250E6610" w14:paraId="44F4B30B" w14:textId="772FE8BA">
      <w:pPr>
        <w:spacing w:before="60"/>
      </w:pPr>
      <w:r w:rsidRPr="250E6610">
        <w:t xml:space="preserve">Data from this Information Collection Request will be submitted and processed through </w:t>
      </w:r>
      <w:r w:rsidRPr="250E6610" w:rsidR="006B065D">
        <w:t>an electronic data interface as specified by EPA</w:t>
      </w:r>
      <w:r w:rsidRPr="250E6610">
        <w:t xml:space="preserve">, with support provided by </w:t>
      </w:r>
      <w:r w:rsidRPr="250E6610" w:rsidR="006B065D">
        <w:t xml:space="preserve">EPA’s </w:t>
      </w:r>
      <w:r w:rsidRPr="250E6610">
        <w:t xml:space="preserve">Office of Mission Support. </w:t>
      </w:r>
      <w:r w:rsidRPr="250E6610" w:rsidR="00822DA7">
        <w:t>To meet the needs of this Information Collection Request, no new modules or functions</w:t>
      </w:r>
      <w:r w:rsidRPr="250E6610" w:rsidR="00157D3E">
        <w:t xml:space="preserve"> will</w:t>
      </w:r>
      <w:r w:rsidRPr="250E6610" w:rsidR="00822DA7">
        <w:t xml:space="preserve"> need to be </w:t>
      </w:r>
      <w:r w:rsidRPr="250E6610" w:rsidR="00157D3E">
        <w:t>developed</w:t>
      </w:r>
      <w:r w:rsidRPr="250E6610" w:rsidR="00822DA7">
        <w:t xml:space="preserve"> and on-going costs are anticipated to be minimal.</w:t>
      </w:r>
    </w:p>
    <w:p w:rsidR="004620CA" w:rsidRPr="00163C69" w:rsidP="4BDBF0A0" w14:paraId="2EA377BC" w14:textId="77777777">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4"/>
    </w:p>
    <w:p w:rsidR="001F0834" w:rsidRPr="001F0834" w:rsidP="00854AAE" w14:paraId="503522CA"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D57A4" w:rsidRPr="00BB3410" w:rsidP="00854AAE" w14:paraId="218481C4" w14:textId="7D776DBD">
      <w:pPr>
        <w:pBdr>
          <w:top w:val="single" w:sz="6" w:space="0" w:color="FFFFFF"/>
          <w:left w:val="single" w:sz="6" w:space="0" w:color="FFFFFF"/>
          <w:bottom w:val="single" w:sz="6" w:space="0" w:color="FFFFFF"/>
          <w:right w:val="single" w:sz="6" w:space="0" w:color="FFFFFF"/>
        </w:pBdr>
        <w:rPr>
          <w:rFonts w:cstheme="minorHAnsi"/>
          <w:color w:val="FF0000"/>
        </w:rPr>
      </w:pPr>
      <w:r>
        <w:rPr>
          <w:rFonts w:cstheme="minorHAnsi"/>
        </w:rPr>
        <w:t>Not applicable; there was no change in the burden estimates.</w:t>
      </w:r>
    </w:p>
    <w:p w:rsidR="005D140B" w:rsidRPr="00163C69" w:rsidP="4BDBF0A0" w14:paraId="737302A2" w14:textId="77777777">
      <w:pPr>
        <w:pStyle w:val="ListParagraph"/>
        <w:numPr>
          <w:ilvl w:val="0"/>
          <w:numId w:val="27"/>
        </w:numPr>
        <w:spacing w:before="240" w:after="0"/>
        <w:rPr>
          <w:b/>
          <w:bCs/>
        </w:rPr>
      </w:pPr>
      <w:bookmarkStart w:id="25" w:name="_Toc156593389"/>
      <w:r w:rsidRPr="4BDBF0A0">
        <w:rPr>
          <w:b/>
          <w:bCs/>
        </w:rPr>
        <w:t xml:space="preserve">PUBLICATION OF </w:t>
      </w:r>
      <w:bookmarkStart w:id="26" w:name="_Toc156593390"/>
      <w:bookmarkEnd w:id="25"/>
      <w:r w:rsidR="00E73E81">
        <w:rPr>
          <w:b/>
          <w:bCs/>
        </w:rPr>
        <w:t>DATA</w:t>
      </w:r>
    </w:p>
    <w:p w:rsidR="001F0834" w:rsidRPr="001F0834" w:rsidP="00854AAE" w14:paraId="1E38F72A"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E5CF8" w:rsidP="00FC7954" w14:paraId="2D800951" w14:textId="52B34AE5">
      <w:pPr>
        <w:pBdr>
          <w:top w:val="single" w:sz="6" w:space="0" w:color="FFFFFF"/>
          <w:left w:val="single" w:sz="6" w:space="0" w:color="FFFFFF"/>
          <w:bottom w:val="single" w:sz="6" w:space="0" w:color="FFFFFF"/>
          <w:right w:val="single" w:sz="6" w:space="0" w:color="FFFFFF"/>
        </w:pBdr>
        <w:spacing w:after="200" w:line="240" w:lineRule="auto"/>
        <w:rPr>
          <w:sz w:val="18"/>
          <w:szCs w:val="18"/>
        </w:rPr>
      </w:pPr>
      <w:r w:rsidRPr="00471174">
        <w:t>Results from this ICR are not published formally. They are used to calculate agency-level accomplishments and site-specific impacts on publicly available EPA websites.</w:t>
      </w:r>
    </w:p>
    <w:p w:rsidR="008E5CF8" w:rsidP="00FC7954" w14:paraId="1E978B61" w14:textId="75D2E8EA">
      <w:pPr>
        <w:pBdr>
          <w:top w:val="single" w:sz="6" w:space="0" w:color="FFFFFF"/>
          <w:left w:val="single" w:sz="6" w:space="0" w:color="FFFFFF"/>
          <w:bottom w:val="single" w:sz="6" w:space="0" w:color="FFFFFF"/>
          <w:right w:val="single" w:sz="6" w:space="0" w:color="FFFFFF"/>
        </w:pBdr>
        <w:spacing w:after="200" w:line="240" w:lineRule="auto"/>
      </w:pPr>
      <w:r>
        <w:t>Information collected under this ICR will be used to support Program and Agency activities in two ways</w:t>
      </w:r>
      <w:r w:rsidR="00FC7954">
        <w:t>:</w:t>
      </w:r>
    </w:p>
    <w:p w:rsidR="00FC7954" w:rsidP="00EF4259" w14:paraId="526FEDA1" w14:textId="77777777">
      <w:pPr>
        <w:pStyle w:val="ListParagraph"/>
        <w:numPr>
          <w:ilvl w:val="0"/>
          <w:numId w:val="30"/>
        </w:numPr>
        <w:pBdr>
          <w:top w:val="single" w:sz="6" w:space="0" w:color="FFFFFF"/>
          <w:left w:val="single" w:sz="6" w:space="0" w:color="FFFFFF"/>
          <w:bottom w:val="single" w:sz="6" w:space="0" w:color="FFFFFF"/>
          <w:right w:val="single" w:sz="6" w:space="0" w:color="FFFFFF"/>
        </w:pBdr>
        <w:spacing w:after="200" w:line="240" w:lineRule="auto"/>
      </w:pPr>
      <w:r>
        <w:t>Internal Decision-Making: Continuous Improvement and Evidence Building</w:t>
      </w:r>
    </w:p>
    <w:p w:rsidR="008E5CF8" w:rsidP="00FC7954" w14:paraId="3B642D69" w14:textId="7760AA3D">
      <w:pPr>
        <w:pStyle w:val="ListParagraph"/>
        <w:numPr>
          <w:ilvl w:val="1"/>
          <w:numId w:val="30"/>
        </w:numPr>
        <w:pBdr>
          <w:top w:val="single" w:sz="6" w:space="0" w:color="FFFFFF"/>
          <w:left w:val="single" w:sz="6" w:space="0" w:color="FFFFFF"/>
          <w:bottom w:val="single" w:sz="6" w:space="0" w:color="FFFFFF"/>
          <w:right w:val="single" w:sz="6" w:space="0" w:color="FFFFFF"/>
        </w:pBdr>
        <w:spacing w:after="200" w:line="240" w:lineRule="auto"/>
      </w:pPr>
      <w:r>
        <w:t xml:space="preserve">EPA can use the collected information about project outputs and outcomes to track progress against program objectives, thus allowing for assessments of effectiveness, efficiency, and equity. Results will help EPA identify success stories as well as areas for improvement, which will inform internal discussions to develop evidence-based recommendations for best practices and </w:t>
      </w:r>
      <w:r>
        <w:t xml:space="preserve">improvement strategies within the program. In line with the 2018 Evidence Act, this evidence base will be used to inform and improve day-to-day operations and decision-making. The Agency’s Office of the Chief Financial Officer provides resources and support to develop staff capacity to use information and data in this way.  </w:t>
      </w:r>
    </w:p>
    <w:p w:rsidR="00FC7954" w:rsidP="00EF4259" w14:paraId="59924EDF" w14:textId="77777777">
      <w:pPr>
        <w:pStyle w:val="ListParagraph"/>
        <w:numPr>
          <w:ilvl w:val="0"/>
          <w:numId w:val="30"/>
        </w:numPr>
        <w:pBdr>
          <w:top w:val="single" w:sz="6" w:space="0" w:color="FFFFFF"/>
          <w:left w:val="single" w:sz="6" w:space="0" w:color="FFFFFF"/>
          <w:bottom w:val="single" w:sz="6" w:space="0" w:color="FFFFFF"/>
          <w:right w:val="single" w:sz="6" w:space="0" w:color="FFFFFF"/>
        </w:pBdr>
        <w:spacing w:after="200" w:line="240" w:lineRule="auto"/>
      </w:pPr>
      <w:r>
        <w:t>Public Reporting: Accountability</w:t>
      </w:r>
    </w:p>
    <w:p w:rsidR="00FC7954" w:rsidP="00A00B06" w14:paraId="66CBA331" w14:textId="77777777">
      <w:pPr>
        <w:pStyle w:val="ListParagraph"/>
        <w:numPr>
          <w:ilvl w:val="1"/>
          <w:numId w:val="30"/>
        </w:numPr>
        <w:pBdr>
          <w:top w:val="single" w:sz="6" w:space="0" w:color="FFFFFF"/>
          <w:left w:val="single" w:sz="6" w:space="0" w:color="FFFFFF"/>
          <w:bottom w:val="single" w:sz="6" w:space="0" w:color="FFFFFF"/>
          <w:right w:val="single" w:sz="6" w:space="0" w:color="FFFFFF"/>
        </w:pBdr>
        <w:spacing w:after="200" w:line="240" w:lineRule="auto"/>
      </w:pPr>
      <w:r>
        <w:t>To enable more transparent public examination of federally funded activities, the information collected under this ICR will be published in three ways:</w:t>
      </w:r>
    </w:p>
    <w:p w:rsidR="00FC7954" w:rsidP="00AA30D6" w14:paraId="6E3F743C" w14:textId="77777777">
      <w:pPr>
        <w:pStyle w:val="ListParagraph"/>
        <w:numPr>
          <w:ilvl w:val="2"/>
          <w:numId w:val="30"/>
        </w:numPr>
        <w:pBdr>
          <w:top w:val="single" w:sz="6" w:space="0" w:color="FFFFFF"/>
          <w:left w:val="single" w:sz="6" w:space="0" w:color="FFFFFF"/>
          <w:bottom w:val="single" w:sz="6" w:space="0" w:color="FFFFFF"/>
          <w:right w:val="single" w:sz="6" w:space="0" w:color="FFFFFF"/>
        </w:pBdr>
        <w:spacing w:after="200" w:line="240" w:lineRule="auto"/>
      </w:pPr>
      <w:r>
        <w:t xml:space="preserve">EPA will post aggregated summaries of the grantees’ performance (e.g., activities, outputs, outcomes) on its public websites. </w:t>
      </w:r>
    </w:p>
    <w:p w:rsidR="00FC7954" w:rsidP="002B3E9D" w14:paraId="25C93E0B" w14:textId="77777777">
      <w:pPr>
        <w:pStyle w:val="ListParagraph"/>
        <w:numPr>
          <w:ilvl w:val="2"/>
          <w:numId w:val="30"/>
        </w:numPr>
        <w:pBdr>
          <w:top w:val="single" w:sz="6" w:space="0" w:color="FFFFFF"/>
          <w:left w:val="single" w:sz="6" w:space="0" w:color="FFFFFF"/>
          <w:bottom w:val="single" w:sz="6" w:space="0" w:color="FFFFFF"/>
          <w:right w:val="single" w:sz="6" w:space="0" w:color="FFFFFF"/>
        </w:pBdr>
        <w:spacing w:after="200" w:line="240" w:lineRule="auto"/>
      </w:pPr>
      <w:r>
        <w:t xml:space="preserve">EPA will collate program-level information for inclusion in public reports, such as the Annual Performance Report mandated by the Government Performance and Results Act (GPRA) and annual reports on activities supported by supplemental funds (e.g., Bipartisan Infrastructure Law, Inflation Reduction Act). </w:t>
      </w:r>
    </w:p>
    <w:p w:rsidR="008E5CF8" w:rsidP="002B3E9D" w14:paraId="1F275A61" w14:textId="448462A5">
      <w:pPr>
        <w:pStyle w:val="ListParagraph"/>
        <w:numPr>
          <w:ilvl w:val="2"/>
          <w:numId w:val="30"/>
        </w:numPr>
        <w:pBdr>
          <w:top w:val="single" w:sz="6" w:space="0" w:color="FFFFFF"/>
          <w:left w:val="single" w:sz="6" w:space="0" w:color="FFFFFF"/>
          <w:bottom w:val="single" w:sz="6" w:space="0" w:color="FFFFFF"/>
          <w:right w:val="single" w:sz="6" w:space="0" w:color="FFFFFF"/>
        </w:pBdr>
        <w:spacing w:after="200" w:line="240" w:lineRule="auto"/>
      </w:pPr>
      <w:r>
        <w:t>EPA will use the collected information to respond to requests for data and information from the Executive and Legislative branches.</w:t>
      </w:r>
    </w:p>
    <w:p w:rsidR="00A62C7C" w:rsidP="00A62C7C" w14:paraId="7966E58B" w14:textId="77777777">
      <w:pPr>
        <w:pStyle w:val="ListParagraph"/>
        <w:spacing w:before="240" w:after="0"/>
        <w:ind w:left="360"/>
      </w:pPr>
      <w:r>
        <w:t>Information will be reported in anonymous and aggregated form where necessary to protect Confidential Business Information (CBI) and Personally Identifiable Information (PII). Location identifiers will be used to fulfill federal reporting requirements (e.g., DATA Act, Justice40 Initiative) to document results in different communities. EPA will follow best practices in stating the source of the data and the methodology used to collect the information.</w:t>
      </w:r>
      <w:r w:rsidR="00471174">
        <w:t xml:space="preserve"> </w:t>
      </w:r>
    </w:p>
    <w:p w:rsidR="00627768" w:rsidRPr="00F619C4" w:rsidP="00F619C4" w14:paraId="5983FD2B" w14:textId="49C10B25">
      <w:pPr>
        <w:spacing w:before="240" w:after="0"/>
        <w:rPr>
          <w:b/>
          <w:bCs/>
        </w:rPr>
      </w:pPr>
      <w:r>
        <w:rPr>
          <w:b/>
          <w:bCs/>
        </w:rPr>
        <w:t xml:space="preserve">18) </w:t>
      </w:r>
      <w:r w:rsidRPr="00F619C4" w:rsidR="002648CF">
        <w:rPr>
          <w:b/>
          <w:bCs/>
        </w:rPr>
        <w:t xml:space="preserve">DISPLAY </w:t>
      </w:r>
      <w:r w:rsidRPr="00F619C4" w:rsidR="00644EBE">
        <w:rPr>
          <w:b/>
          <w:bCs/>
        </w:rPr>
        <w:t xml:space="preserve">OF </w:t>
      </w:r>
      <w:r w:rsidRPr="00F619C4" w:rsidR="000D5863">
        <w:rPr>
          <w:b/>
          <w:bCs/>
        </w:rPr>
        <w:t>EXPIRATION DATE</w:t>
      </w:r>
      <w:bookmarkEnd w:id="26"/>
      <w:r w:rsidRPr="00F619C4" w:rsidR="00644EBE">
        <w:rPr>
          <w:b/>
          <w:bCs/>
        </w:rPr>
        <w:t xml:space="preserve"> </w:t>
      </w:r>
    </w:p>
    <w:p w:rsidR="001F0834" w:rsidRPr="00F532D6" w:rsidP="250E6610" w14:paraId="37944000" w14:textId="77777777">
      <w:pPr>
        <w:pBdr>
          <w:bottom w:val="single" w:sz="12" w:space="1" w:color="auto"/>
        </w:pBdr>
        <w:spacing w:before="60"/>
        <w:rPr>
          <w:i/>
          <w:iCs/>
        </w:rPr>
      </w:pPr>
      <w:r w:rsidRPr="250E6610">
        <w:rPr>
          <w:i/>
          <w:iCs/>
        </w:rPr>
        <w:t>If seeking approval to not display the expiration date for OMB approval of the information collection, explain the reasons that display would be inappropriate.</w:t>
      </w:r>
    </w:p>
    <w:p w:rsidR="00ED57A4" w:rsidRPr="0073767D" w:rsidP="00854AAE" w14:paraId="4D68109F" w14:textId="0104E658">
      <w:pPr>
        <w:pBdr>
          <w:top w:val="single" w:sz="6" w:space="0" w:color="FFFFFF"/>
          <w:left w:val="single" w:sz="6" w:space="0" w:color="FFFFFF"/>
          <w:bottom w:val="single" w:sz="6" w:space="0" w:color="FFFFFF"/>
          <w:right w:val="single" w:sz="6" w:space="0" w:color="FFFFFF"/>
        </w:pBdr>
        <w:rPr>
          <w:sz w:val="18"/>
          <w:szCs w:val="18"/>
        </w:rPr>
      </w:pPr>
      <w:r w:rsidRPr="00471174">
        <w:t>The agency plans to display the expiration date for OMB approval of the information collection on all instruments.</w:t>
      </w:r>
    </w:p>
    <w:p w:rsidR="00691828" w:rsidRPr="00163C69" w:rsidP="0022770C" w14:paraId="2C528EB0" w14:textId="77777777">
      <w:pPr>
        <w:pStyle w:val="ListParagraph"/>
        <w:numPr>
          <w:ilvl w:val="0"/>
          <w:numId w:val="31"/>
        </w:numPr>
        <w:spacing w:before="240" w:after="0"/>
        <w:rPr>
          <w:rFonts w:cstheme="minorHAnsi"/>
          <w:b/>
          <w:bCs/>
        </w:rPr>
      </w:pPr>
      <w:bookmarkStart w:id="27" w:name="_Toc156593391"/>
      <w:r w:rsidRPr="00163C69">
        <w:rPr>
          <w:rFonts w:cstheme="minorHAnsi"/>
          <w:b/>
          <w:bCs/>
        </w:rPr>
        <w:t>CERTIFICATION STATEMENT</w:t>
      </w:r>
      <w:bookmarkEnd w:id="27"/>
    </w:p>
    <w:p w:rsidR="001F0834" w:rsidRPr="001F0834" w:rsidP="00854AAE" w14:paraId="7638B121"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BB3410" w:rsidRPr="00DE7D97" w:rsidP="00DE7D97" w14:paraId="77F02BDB" w14:textId="34056934">
      <w:pPr>
        <w:pBdr>
          <w:top w:val="single" w:sz="6" w:space="0" w:color="FFFFFF"/>
          <w:left w:val="single" w:sz="6" w:space="0" w:color="FFFFFF"/>
          <w:bottom w:val="single" w:sz="6" w:space="0" w:color="FFFFFF"/>
          <w:right w:val="single" w:sz="6" w:space="0" w:color="FFFFFF"/>
        </w:pBdr>
      </w:pPr>
      <w:r w:rsidRPr="00446CD3">
        <w:t>EPA does not seek any exceptions to the topics for the certification statement identified in the “Certification for Paperwork Reduction Act Submissions.”</w:t>
      </w:r>
    </w:p>
    <w:sectPr w:rsidSect="00DE7D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6F60804F"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642755DA"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568E" w:rsidP="002335AB" w14:paraId="7F9833A2" w14:textId="77777777">
      <w:pPr>
        <w:spacing w:after="0" w:line="240" w:lineRule="auto"/>
      </w:pPr>
      <w:r>
        <w:separator/>
      </w:r>
    </w:p>
  </w:footnote>
  <w:footnote w:type="continuationSeparator" w:id="1">
    <w:p w:rsidR="004D568E" w:rsidP="002335AB" w14:paraId="1AC90F8F" w14:textId="77777777">
      <w:pPr>
        <w:spacing w:after="0" w:line="240" w:lineRule="auto"/>
      </w:pPr>
      <w:r>
        <w:continuationSeparator/>
      </w:r>
    </w:p>
  </w:footnote>
  <w:footnote w:type="continuationNotice" w:id="2">
    <w:p w:rsidR="004D568E" w14:paraId="3460DCD8" w14:textId="77777777">
      <w:pPr>
        <w:spacing w:after="0" w:line="240" w:lineRule="auto"/>
      </w:pPr>
    </w:p>
  </w:footnote>
  <w:footnote w:id="3">
    <w:p w:rsidR="00B86AD3" w:rsidRPr="001C50D8" w:rsidP="00B86AD3" w14:paraId="15C3BC60" w14:textId="77777777">
      <w:pPr>
        <w:pStyle w:val="FootnoteText"/>
        <w:rPr>
          <w:rFonts w:ascii="Times New Roman" w:hAnsi="Times New Roman" w:cs="Times New Roman"/>
        </w:rPr>
      </w:pPr>
      <w:r w:rsidRPr="001C50D8">
        <w:rPr>
          <w:rStyle w:val="FootnoteReference"/>
          <w:rFonts w:ascii="Times New Roman" w:hAnsi="Times New Roman" w:cs="Times New Roman"/>
        </w:rPr>
        <w:footnoteRef/>
      </w:r>
      <w:r w:rsidRPr="001C50D8">
        <w:rPr>
          <w:rFonts w:ascii="Times New Roman" w:hAnsi="Times New Roman" w:cs="Times New Roman"/>
        </w:rPr>
        <w:t xml:space="preserve"> EPA is committed to meeting the objectives of the Justice40 Initiative set forth in Executive Order 14008, which sets the goal that 40 percent of the overall benefits of relevant federal investments flow to disadvantaged communities, which have been or are marginalized, underserved, and overburdened by pollution. Individual applicants do not have to explicitly demonstrate that 40 percent of the benefits of each measure or project will flow to disadvantaged communities. Instead, EPA will conduct an analysis of the GHG emission reduction measures and the benefits to disadvantaged communities resulting from the CPRG program as a whole.</w:t>
      </w:r>
    </w:p>
  </w:footnote>
  <w:footnote w:id="4">
    <w:p w:rsidR="00744F41" w14:paraId="259DD90F" w14:textId="79C699F7">
      <w:pPr>
        <w:pStyle w:val="FootnoteText"/>
      </w:pPr>
      <w:r>
        <w:rPr>
          <w:rStyle w:val="FootnoteReference"/>
        </w:rPr>
        <w:footnoteRef/>
      </w:r>
      <w:r>
        <w:t xml:space="preserve"> </w:t>
      </w:r>
      <w:r w:rsidRPr="00744F41">
        <w:t>https://www.epa.gov/system/files/documents/2024-01/cprg-general-competition-correction.pdf</w:t>
      </w:r>
    </w:p>
  </w:footnote>
  <w:footnote w:id="5">
    <w:p w:rsidR="00744F41" w14:paraId="352FD2DD" w14:textId="3A70ABD0">
      <w:pPr>
        <w:pStyle w:val="FootnoteText"/>
      </w:pPr>
      <w:r>
        <w:rPr>
          <w:rStyle w:val="FootnoteReference"/>
        </w:rPr>
        <w:footnoteRef/>
      </w:r>
      <w:r>
        <w:t xml:space="preserve"> </w:t>
      </w:r>
      <w:r w:rsidRPr="00744F41">
        <w:t>https://www.epa.gov/system/files/documents/2024-01/cprg_tribal_nofo_correction_12-18-23_0.pdf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4759A2"/>
    <w:multiLevelType w:val="hybridMultilevel"/>
    <w:tmpl w:val="C4A818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04371E1"/>
    <w:multiLevelType w:val="multilevel"/>
    <w:tmpl w:val="F89AD7E2"/>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0167D14"/>
    <w:multiLevelType w:val="hybridMultilevel"/>
    <w:tmpl w:val="B61620BE"/>
    <w:lvl w:ilvl="0">
      <w:start w:val="15"/>
      <w:numFmt w:val="bullet"/>
      <w:lvlText w:val="-"/>
      <w:lvlJc w:val="left"/>
      <w:pPr>
        <w:ind w:left="720" w:hanging="360"/>
      </w:pPr>
      <w:rPr>
        <w:rFonts w:ascii="Times New Roman" w:hAnsi="Times New Roman" w:eastAsiaTheme="minorHAns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B1972E2"/>
    <w:multiLevelType w:val="multilevel"/>
    <w:tmpl w:val="57D2774C"/>
    <w:lvl w:ilvl="0">
      <w:start w:val="17"/>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5">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5"/>
  </w:num>
  <w:num w:numId="2" w16cid:durableId="1032609060">
    <w:abstractNumId w:val="6"/>
  </w:num>
  <w:num w:numId="3" w16cid:durableId="1158494831">
    <w:abstractNumId w:val="2"/>
  </w:num>
  <w:num w:numId="4" w16cid:durableId="493573829">
    <w:abstractNumId w:val="29"/>
  </w:num>
  <w:num w:numId="5" w16cid:durableId="2055687918">
    <w:abstractNumId w:val="20"/>
  </w:num>
  <w:num w:numId="6" w16cid:durableId="1603025219">
    <w:abstractNumId w:val="27"/>
  </w:num>
  <w:num w:numId="7" w16cid:durableId="423957196">
    <w:abstractNumId w:val="18"/>
  </w:num>
  <w:num w:numId="8" w16cid:durableId="2031829208">
    <w:abstractNumId w:val="23"/>
  </w:num>
  <w:num w:numId="9" w16cid:durableId="218439549">
    <w:abstractNumId w:val="10"/>
  </w:num>
  <w:num w:numId="10" w16cid:durableId="1285231924">
    <w:abstractNumId w:val="4"/>
  </w:num>
  <w:num w:numId="11" w16cid:durableId="327370686">
    <w:abstractNumId w:val="9"/>
  </w:num>
  <w:num w:numId="12" w16cid:durableId="1802993385">
    <w:abstractNumId w:val="12"/>
  </w:num>
  <w:num w:numId="13" w16cid:durableId="1792938267">
    <w:abstractNumId w:val="30"/>
  </w:num>
  <w:num w:numId="14" w16cid:durableId="239490726">
    <w:abstractNumId w:val="8"/>
  </w:num>
  <w:num w:numId="15" w16cid:durableId="1395350314">
    <w:abstractNumId w:val="11"/>
  </w:num>
  <w:num w:numId="16" w16cid:durableId="441535906">
    <w:abstractNumId w:val="16"/>
  </w:num>
  <w:num w:numId="17" w16cid:durableId="2008243381">
    <w:abstractNumId w:val="24"/>
  </w:num>
  <w:num w:numId="18" w16cid:durableId="840463183">
    <w:abstractNumId w:val="22"/>
  </w:num>
  <w:num w:numId="19" w16cid:durableId="469980091">
    <w:abstractNumId w:val="26"/>
  </w:num>
  <w:num w:numId="20" w16cid:durableId="2126730031">
    <w:abstractNumId w:val="13"/>
  </w:num>
  <w:num w:numId="21" w16cid:durableId="106124704">
    <w:abstractNumId w:val="1"/>
  </w:num>
  <w:num w:numId="22" w16cid:durableId="1552418013">
    <w:abstractNumId w:val="17"/>
  </w:num>
  <w:num w:numId="23" w16cid:durableId="1598828334">
    <w:abstractNumId w:val="28"/>
  </w:num>
  <w:num w:numId="24" w16cid:durableId="2051031068">
    <w:abstractNumId w:val="0"/>
  </w:num>
  <w:num w:numId="25" w16cid:durableId="258569098">
    <w:abstractNumId w:val="19"/>
  </w:num>
  <w:num w:numId="26" w16cid:durableId="331181582">
    <w:abstractNumId w:val="21"/>
  </w:num>
  <w:num w:numId="27" w16cid:durableId="1015961391">
    <w:abstractNumId w:val="25"/>
  </w:num>
  <w:num w:numId="28" w16cid:durableId="1699890436">
    <w:abstractNumId w:val="7"/>
  </w:num>
  <w:num w:numId="29" w16cid:durableId="820731209">
    <w:abstractNumId w:val="3"/>
  </w:num>
  <w:num w:numId="30" w16cid:durableId="1403454738">
    <w:abstractNumId w:val="5"/>
  </w:num>
  <w:num w:numId="31" w16cid:durableId="56173027">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84C"/>
    <w:rsid w:val="0000050D"/>
    <w:rsid w:val="0000329D"/>
    <w:rsid w:val="00003D64"/>
    <w:rsid w:val="00004678"/>
    <w:rsid w:val="000059EC"/>
    <w:rsid w:val="000069C3"/>
    <w:rsid w:val="00006C95"/>
    <w:rsid w:val="00007FB5"/>
    <w:rsid w:val="00010EEE"/>
    <w:rsid w:val="000129E1"/>
    <w:rsid w:val="00013852"/>
    <w:rsid w:val="00013CE8"/>
    <w:rsid w:val="00014B10"/>
    <w:rsid w:val="00014DD2"/>
    <w:rsid w:val="00015FF6"/>
    <w:rsid w:val="0001637F"/>
    <w:rsid w:val="00017B90"/>
    <w:rsid w:val="00020791"/>
    <w:rsid w:val="000233E7"/>
    <w:rsid w:val="00023EFE"/>
    <w:rsid w:val="000253D3"/>
    <w:rsid w:val="000267E1"/>
    <w:rsid w:val="00030670"/>
    <w:rsid w:val="0003166C"/>
    <w:rsid w:val="00032552"/>
    <w:rsid w:val="00033219"/>
    <w:rsid w:val="0003560C"/>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08E5"/>
    <w:rsid w:val="0006128A"/>
    <w:rsid w:val="00061A77"/>
    <w:rsid w:val="00061BCE"/>
    <w:rsid w:val="00063CA7"/>
    <w:rsid w:val="00065167"/>
    <w:rsid w:val="00065411"/>
    <w:rsid w:val="00066059"/>
    <w:rsid w:val="00070074"/>
    <w:rsid w:val="000728E0"/>
    <w:rsid w:val="0007383A"/>
    <w:rsid w:val="00073C3D"/>
    <w:rsid w:val="00074917"/>
    <w:rsid w:val="00074E51"/>
    <w:rsid w:val="00075C7A"/>
    <w:rsid w:val="000762A8"/>
    <w:rsid w:val="00076439"/>
    <w:rsid w:val="00076F0F"/>
    <w:rsid w:val="00077BCB"/>
    <w:rsid w:val="00077D8A"/>
    <w:rsid w:val="00082A72"/>
    <w:rsid w:val="00083D4A"/>
    <w:rsid w:val="000840FF"/>
    <w:rsid w:val="00084BF3"/>
    <w:rsid w:val="00087364"/>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23A0"/>
    <w:rsid w:val="000A397C"/>
    <w:rsid w:val="000A4527"/>
    <w:rsid w:val="000B3576"/>
    <w:rsid w:val="000B461B"/>
    <w:rsid w:val="000B7BBA"/>
    <w:rsid w:val="000C41A7"/>
    <w:rsid w:val="000C43C8"/>
    <w:rsid w:val="000C608D"/>
    <w:rsid w:val="000C72AB"/>
    <w:rsid w:val="000D013E"/>
    <w:rsid w:val="000D224E"/>
    <w:rsid w:val="000D251E"/>
    <w:rsid w:val="000D2D5D"/>
    <w:rsid w:val="000D3C22"/>
    <w:rsid w:val="000D45B2"/>
    <w:rsid w:val="000D516A"/>
    <w:rsid w:val="000D5863"/>
    <w:rsid w:val="000D6FA4"/>
    <w:rsid w:val="000E1158"/>
    <w:rsid w:val="000E16D9"/>
    <w:rsid w:val="000E184B"/>
    <w:rsid w:val="000E19CB"/>
    <w:rsid w:val="000E1FE8"/>
    <w:rsid w:val="000E3298"/>
    <w:rsid w:val="000E348B"/>
    <w:rsid w:val="000E3B5A"/>
    <w:rsid w:val="000E5609"/>
    <w:rsid w:val="000E7794"/>
    <w:rsid w:val="000E7DC1"/>
    <w:rsid w:val="000F0186"/>
    <w:rsid w:val="000F29EE"/>
    <w:rsid w:val="000F3008"/>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5124"/>
    <w:rsid w:val="00116064"/>
    <w:rsid w:val="001172FE"/>
    <w:rsid w:val="00117FE1"/>
    <w:rsid w:val="0013006A"/>
    <w:rsid w:val="00130CF9"/>
    <w:rsid w:val="001310E0"/>
    <w:rsid w:val="00131620"/>
    <w:rsid w:val="00132921"/>
    <w:rsid w:val="001329B3"/>
    <w:rsid w:val="00135EAD"/>
    <w:rsid w:val="00136237"/>
    <w:rsid w:val="00137EB8"/>
    <w:rsid w:val="00145DAE"/>
    <w:rsid w:val="00147B68"/>
    <w:rsid w:val="0015084F"/>
    <w:rsid w:val="00152A80"/>
    <w:rsid w:val="00157D3E"/>
    <w:rsid w:val="00160461"/>
    <w:rsid w:val="00161846"/>
    <w:rsid w:val="001636DA"/>
    <w:rsid w:val="00163C69"/>
    <w:rsid w:val="00164169"/>
    <w:rsid w:val="00164D21"/>
    <w:rsid w:val="00166B27"/>
    <w:rsid w:val="00170329"/>
    <w:rsid w:val="00170689"/>
    <w:rsid w:val="00170EB8"/>
    <w:rsid w:val="00171DC0"/>
    <w:rsid w:val="00173422"/>
    <w:rsid w:val="00173E50"/>
    <w:rsid w:val="00174189"/>
    <w:rsid w:val="00176509"/>
    <w:rsid w:val="00176BA8"/>
    <w:rsid w:val="001775F3"/>
    <w:rsid w:val="00180511"/>
    <w:rsid w:val="00184011"/>
    <w:rsid w:val="00185251"/>
    <w:rsid w:val="001865AC"/>
    <w:rsid w:val="0019149E"/>
    <w:rsid w:val="0019182F"/>
    <w:rsid w:val="00191C72"/>
    <w:rsid w:val="001925B3"/>
    <w:rsid w:val="0019580A"/>
    <w:rsid w:val="00195BEB"/>
    <w:rsid w:val="00197A23"/>
    <w:rsid w:val="001A198E"/>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50D8"/>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3F03"/>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78F"/>
    <w:rsid w:val="001F7B1A"/>
    <w:rsid w:val="001F7DF2"/>
    <w:rsid w:val="0020142E"/>
    <w:rsid w:val="00201886"/>
    <w:rsid w:val="002064A4"/>
    <w:rsid w:val="00210F2E"/>
    <w:rsid w:val="00211627"/>
    <w:rsid w:val="002121CF"/>
    <w:rsid w:val="0021345A"/>
    <w:rsid w:val="00213AE6"/>
    <w:rsid w:val="00216C6A"/>
    <w:rsid w:val="00217218"/>
    <w:rsid w:val="00220258"/>
    <w:rsid w:val="00220915"/>
    <w:rsid w:val="00222530"/>
    <w:rsid w:val="0022259D"/>
    <w:rsid w:val="0022416D"/>
    <w:rsid w:val="00224BB3"/>
    <w:rsid w:val="00224D61"/>
    <w:rsid w:val="00224F14"/>
    <w:rsid w:val="00226D49"/>
    <w:rsid w:val="0022710C"/>
    <w:rsid w:val="002272EE"/>
    <w:rsid w:val="0022770C"/>
    <w:rsid w:val="00227759"/>
    <w:rsid w:val="00230F45"/>
    <w:rsid w:val="002326C5"/>
    <w:rsid w:val="00233342"/>
    <w:rsid w:val="002335AB"/>
    <w:rsid w:val="002341FD"/>
    <w:rsid w:val="00234B76"/>
    <w:rsid w:val="00234B8D"/>
    <w:rsid w:val="00234C31"/>
    <w:rsid w:val="00235E79"/>
    <w:rsid w:val="002360BC"/>
    <w:rsid w:val="00240F23"/>
    <w:rsid w:val="0024175E"/>
    <w:rsid w:val="002420F2"/>
    <w:rsid w:val="0024360C"/>
    <w:rsid w:val="002455F0"/>
    <w:rsid w:val="0024599B"/>
    <w:rsid w:val="00246A7E"/>
    <w:rsid w:val="00247198"/>
    <w:rsid w:val="0025051F"/>
    <w:rsid w:val="00251151"/>
    <w:rsid w:val="00252A4E"/>
    <w:rsid w:val="0025319A"/>
    <w:rsid w:val="0025617C"/>
    <w:rsid w:val="0026050F"/>
    <w:rsid w:val="00260FB7"/>
    <w:rsid w:val="002648CF"/>
    <w:rsid w:val="00265FE7"/>
    <w:rsid w:val="00270940"/>
    <w:rsid w:val="00273B08"/>
    <w:rsid w:val="00277A03"/>
    <w:rsid w:val="0028340E"/>
    <w:rsid w:val="0028364A"/>
    <w:rsid w:val="00283764"/>
    <w:rsid w:val="00283AE9"/>
    <w:rsid w:val="00283C66"/>
    <w:rsid w:val="002847BB"/>
    <w:rsid w:val="00285782"/>
    <w:rsid w:val="00285A68"/>
    <w:rsid w:val="00286FA0"/>
    <w:rsid w:val="0028769F"/>
    <w:rsid w:val="00287F94"/>
    <w:rsid w:val="00290BEB"/>
    <w:rsid w:val="00291493"/>
    <w:rsid w:val="00291589"/>
    <w:rsid w:val="0029755D"/>
    <w:rsid w:val="002A0A64"/>
    <w:rsid w:val="002A43D0"/>
    <w:rsid w:val="002A4526"/>
    <w:rsid w:val="002A6075"/>
    <w:rsid w:val="002A676B"/>
    <w:rsid w:val="002A6E4E"/>
    <w:rsid w:val="002A774D"/>
    <w:rsid w:val="002A7860"/>
    <w:rsid w:val="002A78D3"/>
    <w:rsid w:val="002B0036"/>
    <w:rsid w:val="002B3E9D"/>
    <w:rsid w:val="002B4615"/>
    <w:rsid w:val="002B7383"/>
    <w:rsid w:val="002B77A2"/>
    <w:rsid w:val="002C0623"/>
    <w:rsid w:val="002C1434"/>
    <w:rsid w:val="002C1646"/>
    <w:rsid w:val="002C4713"/>
    <w:rsid w:val="002C7DDE"/>
    <w:rsid w:val="002D3E1A"/>
    <w:rsid w:val="002E0316"/>
    <w:rsid w:val="002E0999"/>
    <w:rsid w:val="002E2569"/>
    <w:rsid w:val="002E384C"/>
    <w:rsid w:val="002E5BAD"/>
    <w:rsid w:val="002E6047"/>
    <w:rsid w:val="002E6D1D"/>
    <w:rsid w:val="002F0614"/>
    <w:rsid w:val="002F077A"/>
    <w:rsid w:val="002F10BE"/>
    <w:rsid w:val="002F13DA"/>
    <w:rsid w:val="002F15EB"/>
    <w:rsid w:val="002F3CE0"/>
    <w:rsid w:val="002F3FA2"/>
    <w:rsid w:val="002F6A76"/>
    <w:rsid w:val="003005BB"/>
    <w:rsid w:val="00303DE5"/>
    <w:rsid w:val="00304842"/>
    <w:rsid w:val="00307411"/>
    <w:rsid w:val="00310FDB"/>
    <w:rsid w:val="00312370"/>
    <w:rsid w:val="00312F28"/>
    <w:rsid w:val="003132A5"/>
    <w:rsid w:val="00313941"/>
    <w:rsid w:val="00316194"/>
    <w:rsid w:val="003169B4"/>
    <w:rsid w:val="00316BE6"/>
    <w:rsid w:val="003170CA"/>
    <w:rsid w:val="00317844"/>
    <w:rsid w:val="00317A6C"/>
    <w:rsid w:val="00317D89"/>
    <w:rsid w:val="003224B7"/>
    <w:rsid w:val="00322A16"/>
    <w:rsid w:val="0032350D"/>
    <w:rsid w:val="00323E74"/>
    <w:rsid w:val="00324F21"/>
    <w:rsid w:val="00325210"/>
    <w:rsid w:val="003254A6"/>
    <w:rsid w:val="003256A4"/>
    <w:rsid w:val="00330B87"/>
    <w:rsid w:val="00331168"/>
    <w:rsid w:val="0033211D"/>
    <w:rsid w:val="00333489"/>
    <w:rsid w:val="00333DBC"/>
    <w:rsid w:val="0034096B"/>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48FC"/>
    <w:rsid w:val="00365032"/>
    <w:rsid w:val="00366D56"/>
    <w:rsid w:val="00367871"/>
    <w:rsid w:val="00367DAD"/>
    <w:rsid w:val="0037342A"/>
    <w:rsid w:val="00373CC8"/>
    <w:rsid w:val="00374E24"/>
    <w:rsid w:val="00375E2A"/>
    <w:rsid w:val="00376609"/>
    <w:rsid w:val="0038330C"/>
    <w:rsid w:val="003856DC"/>
    <w:rsid w:val="003901B8"/>
    <w:rsid w:val="0039104F"/>
    <w:rsid w:val="003950F8"/>
    <w:rsid w:val="00396C35"/>
    <w:rsid w:val="003976FC"/>
    <w:rsid w:val="003A1D0D"/>
    <w:rsid w:val="003A38FB"/>
    <w:rsid w:val="003A41A0"/>
    <w:rsid w:val="003A6BEF"/>
    <w:rsid w:val="003B04B9"/>
    <w:rsid w:val="003B0A8F"/>
    <w:rsid w:val="003B153D"/>
    <w:rsid w:val="003B29A3"/>
    <w:rsid w:val="003B4D4F"/>
    <w:rsid w:val="003C0DBC"/>
    <w:rsid w:val="003C2B04"/>
    <w:rsid w:val="003C321D"/>
    <w:rsid w:val="003C5284"/>
    <w:rsid w:val="003C5631"/>
    <w:rsid w:val="003C68C2"/>
    <w:rsid w:val="003C6CE9"/>
    <w:rsid w:val="003D06CD"/>
    <w:rsid w:val="003D0C03"/>
    <w:rsid w:val="003D1457"/>
    <w:rsid w:val="003D23D5"/>
    <w:rsid w:val="003D29E8"/>
    <w:rsid w:val="003D2F77"/>
    <w:rsid w:val="003D3498"/>
    <w:rsid w:val="003D598C"/>
    <w:rsid w:val="003D5F49"/>
    <w:rsid w:val="003D61E3"/>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46CD3"/>
    <w:rsid w:val="00450C44"/>
    <w:rsid w:val="00456478"/>
    <w:rsid w:val="00456E33"/>
    <w:rsid w:val="004600ED"/>
    <w:rsid w:val="004620CA"/>
    <w:rsid w:val="00463285"/>
    <w:rsid w:val="00465846"/>
    <w:rsid w:val="00465D30"/>
    <w:rsid w:val="00466349"/>
    <w:rsid w:val="00466B43"/>
    <w:rsid w:val="00470E22"/>
    <w:rsid w:val="00471174"/>
    <w:rsid w:val="0047154A"/>
    <w:rsid w:val="00472D33"/>
    <w:rsid w:val="00475BA6"/>
    <w:rsid w:val="00477D70"/>
    <w:rsid w:val="004801A4"/>
    <w:rsid w:val="004831CC"/>
    <w:rsid w:val="00485567"/>
    <w:rsid w:val="004855BE"/>
    <w:rsid w:val="00486860"/>
    <w:rsid w:val="00491CC3"/>
    <w:rsid w:val="00491ED9"/>
    <w:rsid w:val="00495623"/>
    <w:rsid w:val="00496F19"/>
    <w:rsid w:val="0049718B"/>
    <w:rsid w:val="004A0863"/>
    <w:rsid w:val="004A0C7A"/>
    <w:rsid w:val="004A2646"/>
    <w:rsid w:val="004A284B"/>
    <w:rsid w:val="004A28F2"/>
    <w:rsid w:val="004A2961"/>
    <w:rsid w:val="004A2CDE"/>
    <w:rsid w:val="004A3ABF"/>
    <w:rsid w:val="004A47B3"/>
    <w:rsid w:val="004A4B8D"/>
    <w:rsid w:val="004A5B46"/>
    <w:rsid w:val="004A6B13"/>
    <w:rsid w:val="004B0167"/>
    <w:rsid w:val="004B0EBE"/>
    <w:rsid w:val="004B710E"/>
    <w:rsid w:val="004C17A6"/>
    <w:rsid w:val="004C43EA"/>
    <w:rsid w:val="004C4445"/>
    <w:rsid w:val="004C53AD"/>
    <w:rsid w:val="004C6291"/>
    <w:rsid w:val="004C65F0"/>
    <w:rsid w:val="004C680C"/>
    <w:rsid w:val="004C6EC4"/>
    <w:rsid w:val="004C7205"/>
    <w:rsid w:val="004D0275"/>
    <w:rsid w:val="004D057B"/>
    <w:rsid w:val="004D568E"/>
    <w:rsid w:val="004D59E6"/>
    <w:rsid w:val="004D5E8D"/>
    <w:rsid w:val="004D6404"/>
    <w:rsid w:val="004D7513"/>
    <w:rsid w:val="004E1414"/>
    <w:rsid w:val="004E336F"/>
    <w:rsid w:val="004E3CB0"/>
    <w:rsid w:val="004E4D26"/>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727"/>
    <w:rsid w:val="00535D3D"/>
    <w:rsid w:val="00536768"/>
    <w:rsid w:val="005372F7"/>
    <w:rsid w:val="00537322"/>
    <w:rsid w:val="00542227"/>
    <w:rsid w:val="005424B5"/>
    <w:rsid w:val="00542CEE"/>
    <w:rsid w:val="0054416D"/>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5B6A"/>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20D3"/>
    <w:rsid w:val="005932EC"/>
    <w:rsid w:val="005966D8"/>
    <w:rsid w:val="0059769C"/>
    <w:rsid w:val="005A0F75"/>
    <w:rsid w:val="005A129A"/>
    <w:rsid w:val="005A35B4"/>
    <w:rsid w:val="005A422E"/>
    <w:rsid w:val="005A7235"/>
    <w:rsid w:val="005A7BA6"/>
    <w:rsid w:val="005B499E"/>
    <w:rsid w:val="005B6A8D"/>
    <w:rsid w:val="005C195D"/>
    <w:rsid w:val="005C2031"/>
    <w:rsid w:val="005D0ACB"/>
    <w:rsid w:val="005D140B"/>
    <w:rsid w:val="005D1C36"/>
    <w:rsid w:val="005D1F2E"/>
    <w:rsid w:val="005D2654"/>
    <w:rsid w:val="005D2E6F"/>
    <w:rsid w:val="005D5624"/>
    <w:rsid w:val="005D5865"/>
    <w:rsid w:val="005D5F1D"/>
    <w:rsid w:val="005E03A2"/>
    <w:rsid w:val="005E1D72"/>
    <w:rsid w:val="005E35C4"/>
    <w:rsid w:val="005E4A7B"/>
    <w:rsid w:val="005E588F"/>
    <w:rsid w:val="005E5BEC"/>
    <w:rsid w:val="005E5D2D"/>
    <w:rsid w:val="005E6FAB"/>
    <w:rsid w:val="005F1234"/>
    <w:rsid w:val="005F13AA"/>
    <w:rsid w:val="005F484B"/>
    <w:rsid w:val="00601B3B"/>
    <w:rsid w:val="00602636"/>
    <w:rsid w:val="00602F09"/>
    <w:rsid w:val="006036CD"/>
    <w:rsid w:val="00603CAA"/>
    <w:rsid w:val="00603CC1"/>
    <w:rsid w:val="0060451D"/>
    <w:rsid w:val="00604681"/>
    <w:rsid w:val="00604D35"/>
    <w:rsid w:val="0060549C"/>
    <w:rsid w:val="0060597A"/>
    <w:rsid w:val="006060B3"/>
    <w:rsid w:val="006071E2"/>
    <w:rsid w:val="0060750F"/>
    <w:rsid w:val="006079C2"/>
    <w:rsid w:val="00611426"/>
    <w:rsid w:val="00613362"/>
    <w:rsid w:val="006150A3"/>
    <w:rsid w:val="006161DD"/>
    <w:rsid w:val="0061689C"/>
    <w:rsid w:val="006210DF"/>
    <w:rsid w:val="0062163B"/>
    <w:rsid w:val="00622434"/>
    <w:rsid w:val="00622500"/>
    <w:rsid w:val="00622738"/>
    <w:rsid w:val="0062369E"/>
    <w:rsid w:val="00623817"/>
    <w:rsid w:val="00624119"/>
    <w:rsid w:val="00624BE7"/>
    <w:rsid w:val="0062570F"/>
    <w:rsid w:val="0062603C"/>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672AB"/>
    <w:rsid w:val="00670897"/>
    <w:rsid w:val="00672A20"/>
    <w:rsid w:val="006737EC"/>
    <w:rsid w:val="006739CE"/>
    <w:rsid w:val="00676653"/>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065D"/>
    <w:rsid w:val="006B102F"/>
    <w:rsid w:val="006B15F9"/>
    <w:rsid w:val="006B18D6"/>
    <w:rsid w:val="006B20E9"/>
    <w:rsid w:val="006B2749"/>
    <w:rsid w:val="006B42B0"/>
    <w:rsid w:val="006B490F"/>
    <w:rsid w:val="006B57A3"/>
    <w:rsid w:val="006B58DB"/>
    <w:rsid w:val="006B6448"/>
    <w:rsid w:val="006B6B7D"/>
    <w:rsid w:val="006B738C"/>
    <w:rsid w:val="006B770D"/>
    <w:rsid w:val="006B7949"/>
    <w:rsid w:val="006C1677"/>
    <w:rsid w:val="006C4CAA"/>
    <w:rsid w:val="006C68A7"/>
    <w:rsid w:val="006C780F"/>
    <w:rsid w:val="006C79DB"/>
    <w:rsid w:val="006D035A"/>
    <w:rsid w:val="006D09D6"/>
    <w:rsid w:val="006D1400"/>
    <w:rsid w:val="006D419B"/>
    <w:rsid w:val="006D4456"/>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6F554E"/>
    <w:rsid w:val="00700983"/>
    <w:rsid w:val="007020F8"/>
    <w:rsid w:val="007029CB"/>
    <w:rsid w:val="00702E91"/>
    <w:rsid w:val="00702F36"/>
    <w:rsid w:val="00702FA9"/>
    <w:rsid w:val="00703FEF"/>
    <w:rsid w:val="00704459"/>
    <w:rsid w:val="007045C4"/>
    <w:rsid w:val="00704CBA"/>
    <w:rsid w:val="00706B15"/>
    <w:rsid w:val="00706F41"/>
    <w:rsid w:val="00710A21"/>
    <w:rsid w:val="00712749"/>
    <w:rsid w:val="007128E1"/>
    <w:rsid w:val="007139DB"/>
    <w:rsid w:val="00713D78"/>
    <w:rsid w:val="00714D14"/>
    <w:rsid w:val="00714E66"/>
    <w:rsid w:val="007167A3"/>
    <w:rsid w:val="00716971"/>
    <w:rsid w:val="00716CE1"/>
    <w:rsid w:val="00716D1D"/>
    <w:rsid w:val="00723A4E"/>
    <w:rsid w:val="00724442"/>
    <w:rsid w:val="00724815"/>
    <w:rsid w:val="00726EFA"/>
    <w:rsid w:val="007279D9"/>
    <w:rsid w:val="00732759"/>
    <w:rsid w:val="00732A40"/>
    <w:rsid w:val="00735197"/>
    <w:rsid w:val="00735C37"/>
    <w:rsid w:val="0073767D"/>
    <w:rsid w:val="0074077E"/>
    <w:rsid w:val="00741CD7"/>
    <w:rsid w:val="00742631"/>
    <w:rsid w:val="00742DE0"/>
    <w:rsid w:val="00743361"/>
    <w:rsid w:val="00743A10"/>
    <w:rsid w:val="00743BAD"/>
    <w:rsid w:val="00744F41"/>
    <w:rsid w:val="00745A5F"/>
    <w:rsid w:val="00746F8F"/>
    <w:rsid w:val="00747678"/>
    <w:rsid w:val="00750796"/>
    <w:rsid w:val="007534F8"/>
    <w:rsid w:val="00753996"/>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129"/>
    <w:rsid w:val="007837C6"/>
    <w:rsid w:val="007838DA"/>
    <w:rsid w:val="0078463B"/>
    <w:rsid w:val="007853D4"/>
    <w:rsid w:val="007860F8"/>
    <w:rsid w:val="00786880"/>
    <w:rsid w:val="007900E2"/>
    <w:rsid w:val="00790E5B"/>
    <w:rsid w:val="00790E96"/>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A602B"/>
    <w:rsid w:val="007B00E3"/>
    <w:rsid w:val="007B14AA"/>
    <w:rsid w:val="007B22C1"/>
    <w:rsid w:val="007B2A30"/>
    <w:rsid w:val="007B41DD"/>
    <w:rsid w:val="007B5199"/>
    <w:rsid w:val="007B74AA"/>
    <w:rsid w:val="007C285F"/>
    <w:rsid w:val="007C3A41"/>
    <w:rsid w:val="007C7191"/>
    <w:rsid w:val="007C7392"/>
    <w:rsid w:val="007D1036"/>
    <w:rsid w:val="007D1451"/>
    <w:rsid w:val="007D1B8B"/>
    <w:rsid w:val="007D2824"/>
    <w:rsid w:val="007D36E7"/>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2DA7"/>
    <w:rsid w:val="008240E3"/>
    <w:rsid w:val="00824837"/>
    <w:rsid w:val="00827596"/>
    <w:rsid w:val="0082798D"/>
    <w:rsid w:val="00830F44"/>
    <w:rsid w:val="008310D5"/>
    <w:rsid w:val="008316D7"/>
    <w:rsid w:val="00831944"/>
    <w:rsid w:val="00831B47"/>
    <w:rsid w:val="00832FCE"/>
    <w:rsid w:val="0083414C"/>
    <w:rsid w:val="008343F1"/>
    <w:rsid w:val="008366EC"/>
    <w:rsid w:val="00840AE4"/>
    <w:rsid w:val="008416DF"/>
    <w:rsid w:val="008443B3"/>
    <w:rsid w:val="00844E49"/>
    <w:rsid w:val="00846433"/>
    <w:rsid w:val="0084668A"/>
    <w:rsid w:val="00847A5C"/>
    <w:rsid w:val="00850DF4"/>
    <w:rsid w:val="008510C7"/>
    <w:rsid w:val="0085150A"/>
    <w:rsid w:val="0085160F"/>
    <w:rsid w:val="0085327B"/>
    <w:rsid w:val="00853B1E"/>
    <w:rsid w:val="00854AAE"/>
    <w:rsid w:val="00856CDB"/>
    <w:rsid w:val="00856E5C"/>
    <w:rsid w:val="00860243"/>
    <w:rsid w:val="00862ACA"/>
    <w:rsid w:val="00863B5C"/>
    <w:rsid w:val="00863E35"/>
    <w:rsid w:val="0086480C"/>
    <w:rsid w:val="0086680C"/>
    <w:rsid w:val="00866A4F"/>
    <w:rsid w:val="00866F44"/>
    <w:rsid w:val="00867224"/>
    <w:rsid w:val="00870F86"/>
    <w:rsid w:val="008735C1"/>
    <w:rsid w:val="00873EFF"/>
    <w:rsid w:val="00873F9C"/>
    <w:rsid w:val="008749E8"/>
    <w:rsid w:val="00876774"/>
    <w:rsid w:val="00876C6F"/>
    <w:rsid w:val="008803DA"/>
    <w:rsid w:val="00881794"/>
    <w:rsid w:val="00881CAD"/>
    <w:rsid w:val="00883A58"/>
    <w:rsid w:val="008849A2"/>
    <w:rsid w:val="00884CB3"/>
    <w:rsid w:val="0089326A"/>
    <w:rsid w:val="0089358E"/>
    <w:rsid w:val="00893F67"/>
    <w:rsid w:val="00895E6F"/>
    <w:rsid w:val="008A0297"/>
    <w:rsid w:val="008A034D"/>
    <w:rsid w:val="008A1004"/>
    <w:rsid w:val="008A15C2"/>
    <w:rsid w:val="008A2F96"/>
    <w:rsid w:val="008A34CB"/>
    <w:rsid w:val="008A474D"/>
    <w:rsid w:val="008A6835"/>
    <w:rsid w:val="008A7B18"/>
    <w:rsid w:val="008B0300"/>
    <w:rsid w:val="008B170E"/>
    <w:rsid w:val="008B37A1"/>
    <w:rsid w:val="008B37E9"/>
    <w:rsid w:val="008B4625"/>
    <w:rsid w:val="008B467F"/>
    <w:rsid w:val="008B57B0"/>
    <w:rsid w:val="008C06CB"/>
    <w:rsid w:val="008C0C83"/>
    <w:rsid w:val="008C2B93"/>
    <w:rsid w:val="008C5749"/>
    <w:rsid w:val="008C582D"/>
    <w:rsid w:val="008C6A5F"/>
    <w:rsid w:val="008C7F35"/>
    <w:rsid w:val="008D2A1E"/>
    <w:rsid w:val="008D2CA0"/>
    <w:rsid w:val="008D3B33"/>
    <w:rsid w:val="008D4703"/>
    <w:rsid w:val="008D4E14"/>
    <w:rsid w:val="008D552D"/>
    <w:rsid w:val="008D659E"/>
    <w:rsid w:val="008D6656"/>
    <w:rsid w:val="008E2B3A"/>
    <w:rsid w:val="008E3EF5"/>
    <w:rsid w:val="008E45D2"/>
    <w:rsid w:val="008E4DC6"/>
    <w:rsid w:val="008E5CF8"/>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365A"/>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3DE2"/>
    <w:rsid w:val="00936A54"/>
    <w:rsid w:val="00937543"/>
    <w:rsid w:val="00937AC9"/>
    <w:rsid w:val="00940B0E"/>
    <w:rsid w:val="00940F81"/>
    <w:rsid w:val="00941552"/>
    <w:rsid w:val="00941A8C"/>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946"/>
    <w:rsid w:val="00976A58"/>
    <w:rsid w:val="00977AA1"/>
    <w:rsid w:val="00980058"/>
    <w:rsid w:val="009805EB"/>
    <w:rsid w:val="00982445"/>
    <w:rsid w:val="00982777"/>
    <w:rsid w:val="00982C40"/>
    <w:rsid w:val="0098375D"/>
    <w:rsid w:val="0098483D"/>
    <w:rsid w:val="00986137"/>
    <w:rsid w:val="00986389"/>
    <w:rsid w:val="009872CD"/>
    <w:rsid w:val="00987A8B"/>
    <w:rsid w:val="00990A46"/>
    <w:rsid w:val="00990AB9"/>
    <w:rsid w:val="009912BB"/>
    <w:rsid w:val="009920E2"/>
    <w:rsid w:val="00994217"/>
    <w:rsid w:val="00994618"/>
    <w:rsid w:val="009964E7"/>
    <w:rsid w:val="00996CD5"/>
    <w:rsid w:val="00997E71"/>
    <w:rsid w:val="009A09EC"/>
    <w:rsid w:val="009A0E02"/>
    <w:rsid w:val="009A151F"/>
    <w:rsid w:val="009A24BC"/>
    <w:rsid w:val="009A442C"/>
    <w:rsid w:val="009A5C07"/>
    <w:rsid w:val="009A5C3F"/>
    <w:rsid w:val="009A6AF8"/>
    <w:rsid w:val="009A7EF0"/>
    <w:rsid w:val="009B0561"/>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205F"/>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E6507"/>
    <w:rsid w:val="009F06DE"/>
    <w:rsid w:val="009F1184"/>
    <w:rsid w:val="009F1E00"/>
    <w:rsid w:val="009F3011"/>
    <w:rsid w:val="009F45ED"/>
    <w:rsid w:val="00A00B06"/>
    <w:rsid w:val="00A02D1A"/>
    <w:rsid w:val="00A03078"/>
    <w:rsid w:val="00A0627A"/>
    <w:rsid w:val="00A10781"/>
    <w:rsid w:val="00A10C30"/>
    <w:rsid w:val="00A12BD8"/>
    <w:rsid w:val="00A15F64"/>
    <w:rsid w:val="00A173F0"/>
    <w:rsid w:val="00A233E0"/>
    <w:rsid w:val="00A24F5B"/>
    <w:rsid w:val="00A26353"/>
    <w:rsid w:val="00A2639D"/>
    <w:rsid w:val="00A26E89"/>
    <w:rsid w:val="00A274B4"/>
    <w:rsid w:val="00A27E5C"/>
    <w:rsid w:val="00A306EB"/>
    <w:rsid w:val="00A31484"/>
    <w:rsid w:val="00A352DB"/>
    <w:rsid w:val="00A358CC"/>
    <w:rsid w:val="00A35BC3"/>
    <w:rsid w:val="00A35F5B"/>
    <w:rsid w:val="00A361CE"/>
    <w:rsid w:val="00A45770"/>
    <w:rsid w:val="00A45865"/>
    <w:rsid w:val="00A479A9"/>
    <w:rsid w:val="00A5226D"/>
    <w:rsid w:val="00A53BD4"/>
    <w:rsid w:val="00A53C9A"/>
    <w:rsid w:val="00A55764"/>
    <w:rsid w:val="00A56C84"/>
    <w:rsid w:val="00A60384"/>
    <w:rsid w:val="00A6282F"/>
    <w:rsid w:val="00A62AFA"/>
    <w:rsid w:val="00A62C7C"/>
    <w:rsid w:val="00A64B54"/>
    <w:rsid w:val="00A67FC6"/>
    <w:rsid w:val="00A68791"/>
    <w:rsid w:val="00A71397"/>
    <w:rsid w:val="00A71F84"/>
    <w:rsid w:val="00A72623"/>
    <w:rsid w:val="00A768D2"/>
    <w:rsid w:val="00A80A27"/>
    <w:rsid w:val="00A816BC"/>
    <w:rsid w:val="00A82647"/>
    <w:rsid w:val="00A8542E"/>
    <w:rsid w:val="00A85487"/>
    <w:rsid w:val="00A8593A"/>
    <w:rsid w:val="00A9188B"/>
    <w:rsid w:val="00A91EFC"/>
    <w:rsid w:val="00A9225D"/>
    <w:rsid w:val="00A955EC"/>
    <w:rsid w:val="00A9734E"/>
    <w:rsid w:val="00A975AC"/>
    <w:rsid w:val="00A97EE9"/>
    <w:rsid w:val="00AA26C8"/>
    <w:rsid w:val="00AA2AE3"/>
    <w:rsid w:val="00AA30D6"/>
    <w:rsid w:val="00AA3857"/>
    <w:rsid w:val="00AA4A5E"/>
    <w:rsid w:val="00AA4F24"/>
    <w:rsid w:val="00AA503B"/>
    <w:rsid w:val="00AA5BD7"/>
    <w:rsid w:val="00AA67A0"/>
    <w:rsid w:val="00AA74E9"/>
    <w:rsid w:val="00AB2887"/>
    <w:rsid w:val="00AB58D2"/>
    <w:rsid w:val="00AC105E"/>
    <w:rsid w:val="00AC1131"/>
    <w:rsid w:val="00AC1AC4"/>
    <w:rsid w:val="00AC4338"/>
    <w:rsid w:val="00AC5472"/>
    <w:rsid w:val="00AC6B4D"/>
    <w:rsid w:val="00AD15AC"/>
    <w:rsid w:val="00AD1B66"/>
    <w:rsid w:val="00AD1CFF"/>
    <w:rsid w:val="00AD2447"/>
    <w:rsid w:val="00AD3F78"/>
    <w:rsid w:val="00AD46F7"/>
    <w:rsid w:val="00AD696B"/>
    <w:rsid w:val="00AE026A"/>
    <w:rsid w:val="00AE1346"/>
    <w:rsid w:val="00AE2594"/>
    <w:rsid w:val="00AE274D"/>
    <w:rsid w:val="00AE3624"/>
    <w:rsid w:val="00AE3760"/>
    <w:rsid w:val="00AE3F7E"/>
    <w:rsid w:val="00AE61E4"/>
    <w:rsid w:val="00AE62ED"/>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DEC"/>
    <w:rsid w:val="00B1549C"/>
    <w:rsid w:val="00B15AEE"/>
    <w:rsid w:val="00B15B9E"/>
    <w:rsid w:val="00B222EC"/>
    <w:rsid w:val="00B22810"/>
    <w:rsid w:val="00B22F84"/>
    <w:rsid w:val="00B2326A"/>
    <w:rsid w:val="00B23E0D"/>
    <w:rsid w:val="00B24852"/>
    <w:rsid w:val="00B2623C"/>
    <w:rsid w:val="00B26757"/>
    <w:rsid w:val="00B30A9A"/>
    <w:rsid w:val="00B31C31"/>
    <w:rsid w:val="00B36CFE"/>
    <w:rsid w:val="00B37C28"/>
    <w:rsid w:val="00B400AE"/>
    <w:rsid w:val="00B434D7"/>
    <w:rsid w:val="00B45BEF"/>
    <w:rsid w:val="00B47058"/>
    <w:rsid w:val="00B5068E"/>
    <w:rsid w:val="00B51024"/>
    <w:rsid w:val="00B524A9"/>
    <w:rsid w:val="00B55094"/>
    <w:rsid w:val="00B603E4"/>
    <w:rsid w:val="00B619E0"/>
    <w:rsid w:val="00B62988"/>
    <w:rsid w:val="00B63B97"/>
    <w:rsid w:val="00B65237"/>
    <w:rsid w:val="00B65A23"/>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6AD3"/>
    <w:rsid w:val="00B8742C"/>
    <w:rsid w:val="00B90437"/>
    <w:rsid w:val="00B92284"/>
    <w:rsid w:val="00B9379D"/>
    <w:rsid w:val="00B93F50"/>
    <w:rsid w:val="00B9424F"/>
    <w:rsid w:val="00B9504D"/>
    <w:rsid w:val="00B957FA"/>
    <w:rsid w:val="00B95BD0"/>
    <w:rsid w:val="00B9602F"/>
    <w:rsid w:val="00BA1A18"/>
    <w:rsid w:val="00BA44A7"/>
    <w:rsid w:val="00BA45E6"/>
    <w:rsid w:val="00BA556D"/>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4B2"/>
    <w:rsid w:val="00BC1522"/>
    <w:rsid w:val="00BC1BF0"/>
    <w:rsid w:val="00BC3541"/>
    <w:rsid w:val="00BC3DD2"/>
    <w:rsid w:val="00BC7D43"/>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4908"/>
    <w:rsid w:val="00C054E3"/>
    <w:rsid w:val="00C066B7"/>
    <w:rsid w:val="00C07AAE"/>
    <w:rsid w:val="00C07D74"/>
    <w:rsid w:val="00C11ED5"/>
    <w:rsid w:val="00C13B84"/>
    <w:rsid w:val="00C14447"/>
    <w:rsid w:val="00C14B7B"/>
    <w:rsid w:val="00C14D9D"/>
    <w:rsid w:val="00C1628D"/>
    <w:rsid w:val="00C20372"/>
    <w:rsid w:val="00C211D6"/>
    <w:rsid w:val="00C2356F"/>
    <w:rsid w:val="00C24C6C"/>
    <w:rsid w:val="00C25A7A"/>
    <w:rsid w:val="00C27150"/>
    <w:rsid w:val="00C30469"/>
    <w:rsid w:val="00C3183C"/>
    <w:rsid w:val="00C31B8B"/>
    <w:rsid w:val="00C32359"/>
    <w:rsid w:val="00C32D5B"/>
    <w:rsid w:val="00C33E98"/>
    <w:rsid w:val="00C347F1"/>
    <w:rsid w:val="00C34842"/>
    <w:rsid w:val="00C34E2E"/>
    <w:rsid w:val="00C36AEE"/>
    <w:rsid w:val="00C36E61"/>
    <w:rsid w:val="00C375CA"/>
    <w:rsid w:val="00C41CF6"/>
    <w:rsid w:val="00C4298A"/>
    <w:rsid w:val="00C42F7B"/>
    <w:rsid w:val="00C441E0"/>
    <w:rsid w:val="00C44A9E"/>
    <w:rsid w:val="00C457F1"/>
    <w:rsid w:val="00C45979"/>
    <w:rsid w:val="00C50D1F"/>
    <w:rsid w:val="00C51D4B"/>
    <w:rsid w:val="00C538F7"/>
    <w:rsid w:val="00C541C4"/>
    <w:rsid w:val="00C54E17"/>
    <w:rsid w:val="00C54FDB"/>
    <w:rsid w:val="00C572CE"/>
    <w:rsid w:val="00C573BC"/>
    <w:rsid w:val="00C60DDA"/>
    <w:rsid w:val="00C61649"/>
    <w:rsid w:val="00C6228D"/>
    <w:rsid w:val="00C63846"/>
    <w:rsid w:val="00C63FF6"/>
    <w:rsid w:val="00C67D9C"/>
    <w:rsid w:val="00C706D7"/>
    <w:rsid w:val="00C72590"/>
    <w:rsid w:val="00C72CCD"/>
    <w:rsid w:val="00C733F7"/>
    <w:rsid w:val="00C754FD"/>
    <w:rsid w:val="00C768A5"/>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58F"/>
    <w:rsid w:val="00C94D70"/>
    <w:rsid w:val="00C9517E"/>
    <w:rsid w:val="00C96032"/>
    <w:rsid w:val="00C96BDE"/>
    <w:rsid w:val="00CA27B9"/>
    <w:rsid w:val="00CA32FE"/>
    <w:rsid w:val="00CA4137"/>
    <w:rsid w:val="00CA5AE4"/>
    <w:rsid w:val="00CA6D14"/>
    <w:rsid w:val="00CA7D74"/>
    <w:rsid w:val="00CB02A1"/>
    <w:rsid w:val="00CB038B"/>
    <w:rsid w:val="00CB1797"/>
    <w:rsid w:val="00CB4375"/>
    <w:rsid w:val="00CB4B04"/>
    <w:rsid w:val="00CB6AD7"/>
    <w:rsid w:val="00CC03C4"/>
    <w:rsid w:val="00CC1BF5"/>
    <w:rsid w:val="00CC2643"/>
    <w:rsid w:val="00CC2F12"/>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D63E2"/>
    <w:rsid w:val="00CE0942"/>
    <w:rsid w:val="00CE1EF9"/>
    <w:rsid w:val="00CE21CF"/>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2AF"/>
    <w:rsid w:val="00D10B82"/>
    <w:rsid w:val="00D12D20"/>
    <w:rsid w:val="00D14A68"/>
    <w:rsid w:val="00D163B0"/>
    <w:rsid w:val="00D17BB9"/>
    <w:rsid w:val="00D210DB"/>
    <w:rsid w:val="00D21903"/>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7C4"/>
    <w:rsid w:val="00D92ED6"/>
    <w:rsid w:val="00D95189"/>
    <w:rsid w:val="00D9579E"/>
    <w:rsid w:val="00D9599C"/>
    <w:rsid w:val="00DA4019"/>
    <w:rsid w:val="00DA4E0C"/>
    <w:rsid w:val="00DA53F8"/>
    <w:rsid w:val="00DA7843"/>
    <w:rsid w:val="00DA7E80"/>
    <w:rsid w:val="00DB0E66"/>
    <w:rsid w:val="00DB13CB"/>
    <w:rsid w:val="00DB4227"/>
    <w:rsid w:val="00DB523F"/>
    <w:rsid w:val="00DB52E0"/>
    <w:rsid w:val="00DB5E95"/>
    <w:rsid w:val="00DB6062"/>
    <w:rsid w:val="00DB7775"/>
    <w:rsid w:val="00DB799B"/>
    <w:rsid w:val="00DC1889"/>
    <w:rsid w:val="00DC1EEC"/>
    <w:rsid w:val="00DC2D99"/>
    <w:rsid w:val="00DC57CD"/>
    <w:rsid w:val="00DC6593"/>
    <w:rsid w:val="00DC7710"/>
    <w:rsid w:val="00DD2682"/>
    <w:rsid w:val="00DD35B0"/>
    <w:rsid w:val="00DD41F2"/>
    <w:rsid w:val="00DD4E7A"/>
    <w:rsid w:val="00DD6533"/>
    <w:rsid w:val="00DD718B"/>
    <w:rsid w:val="00DE15D8"/>
    <w:rsid w:val="00DE1BD6"/>
    <w:rsid w:val="00DE26D9"/>
    <w:rsid w:val="00DE3DF8"/>
    <w:rsid w:val="00DE4E0C"/>
    <w:rsid w:val="00DE50FF"/>
    <w:rsid w:val="00DE60DC"/>
    <w:rsid w:val="00DE68CB"/>
    <w:rsid w:val="00DE7D97"/>
    <w:rsid w:val="00DF0955"/>
    <w:rsid w:val="00DF3AA1"/>
    <w:rsid w:val="00DF44C8"/>
    <w:rsid w:val="00DF45D0"/>
    <w:rsid w:val="00DF4973"/>
    <w:rsid w:val="00DF4A11"/>
    <w:rsid w:val="00DF4BDE"/>
    <w:rsid w:val="00DF6030"/>
    <w:rsid w:val="00DF7E5D"/>
    <w:rsid w:val="00E00589"/>
    <w:rsid w:val="00E0220E"/>
    <w:rsid w:val="00E034D9"/>
    <w:rsid w:val="00E03FC8"/>
    <w:rsid w:val="00E04947"/>
    <w:rsid w:val="00E068E6"/>
    <w:rsid w:val="00E076DF"/>
    <w:rsid w:val="00E10927"/>
    <w:rsid w:val="00E128B1"/>
    <w:rsid w:val="00E14467"/>
    <w:rsid w:val="00E14BF3"/>
    <w:rsid w:val="00E16410"/>
    <w:rsid w:val="00E171EE"/>
    <w:rsid w:val="00E205A3"/>
    <w:rsid w:val="00E2389F"/>
    <w:rsid w:val="00E25157"/>
    <w:rsid w:val="00E268FF"/>
    <w:rsid w:val="00E27F78"/>
    <w:rsid w:val="00E30F8E"/>
    <w:rsid w:val="00E3122D"/>
    <w:rsid w:val="00E33FC1"/>
    <w:rsid w:val="00E3518D"/>
    <w:rsid w:val="00E35BF8"/>
    <w:rsid w:val="00E37A2B"/>
    <w:rsid w:val="00E40D81"/>
    <w:rsid w:val="00E42EA6"/>
    <w:rsid w:val="00E439D8"/>
    <w:rsid w:val="00E447D9"/>
    <w:rsid w:val="00E45FFE"/>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6FF4"/>
    <w:rsid w:val="00E777B0"/>
    <w:rsid w:val="00E77E40"/>
    <w:rsid w:val="00E815E1"/>
    <w:rsid w:val="00E81848"/>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A7A3D"/>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489"/>
    <w:rsid w:val="00ED1842"/>
    <w:rsid w:val="00ED1C59"/>
    <w:rsid w:val="00ED2C2E"/>
    <w:rsid w:val="00ED31BD"/>
    <w:rsid w:val="00ED3C90"/>
    <w:rsid w:val="00ED4385"/>
    <w:rsid w:val="00ED44A3"/>
    <w:rsid w:val="00ED57A4"/>
    <w:rsid w:val="00ED6496"/>
    <w:rsid w:val="00EE038B"/>
    <w:rsid w:val="00EE2072"/>
    <w:rsid w:val="00EE2403"/>
    <w:rsid w:val="00EE2B2F"/>
    <w:rsid w:val="00EE5673"/>
    <w:rsid w:val="00EE5AC9"/>
    <w:rsid w:val="00EE68B7"/>
    <w:rsid w:val="00EE7609"/>
    <w:rsid w:val="00EE782C"/>
    <w:rsid w:val="00EF2E9D"/>
    <w:rsid w:val="00EF3AD3"/>
    <w:rsid w:val="00EF3B34"/>
    <w:rsid w:val="00EF4259"/>
    <w:rsid w:val="00EF669A"/>
    <w:rsid w:val="00EF71E8"/>
    <w:rsid w:val="00EF7A31"/>
    <w:rsid w:val="00EF7B2E"/>
    <w:rsid w:val="00F0015C"/>
    <w:rsid w:val="00F02003"/>
    <w:rsid w:val="00F05BF4"/>
    <w:rsid w:val="00F0705E"/>
    <w:rsid w:val="00F071BE"/>
    <w:rsid w:val="00F10CF0"/>
    <w:rsid w:val="00F13918"/>
    <w:rsid w:val="00F14036"/>
    <w:rsid w:val="00F15CFE"/>
    <w:rsid w:val="00F171C6"/>
    <w:rsid w:val="00F174E3"/>
    <w:rsid w:val="00F1773A"/>
    <w:rsid w:val="00F17E88"/>
    <w:rsid w:val="00F17F8C"/>
    <w:rsid w:val="00F2124D"/>
    <w:rsid w:val="00F229AC"/>
    <w:rsid w:val="00F252CD"/>
    <w:rsid w:val="00F2554C"/>
    <w:rsid w:val="00F272EF"/>
    <w:rsid w:val="00F27BD2"/>
    <w:rsid w:val="00F3030A"/>
    <w:rsid w:val="00F31DEE"/>
    <w:rsid w:val="00F32BF6"/>
    <w:rsid w:val="00F33388"/>
    <w:rsid w:val="00F33E4D"/>
    <w:rsid w:val="00F34178"/>
    <w:rsid w:val="00F34BCA"/>
    <w:rsid w:val="00F36723"/>
    <w:rsid w:val="00F37D13"/>
    <w:rsid w:val="00F405E9"/>
    <w:rsid w:val="00F43533"/>
    <w:rsid w:val="00F43946"/>
    <w:rsid w:val="00F440BC"/>
    <w:rsid w:val="00F462DB"/>
    <w:rsid w:val="00F47EAC"/>
    <w:rsid w:val="00F5019F"/>
    <w:rsid w:val="00F50C29"/>
    <w:rsid w:val="00F51F05"/>
    <w:rsid w:val="00F532D6"/>
    <w:rsid w:val="00F56114"/>
    <w:rsid w:val="00F573CC"/>
    <w:rsid w:val="00F57EAD"/>
    <w:rsid w:val="00F601B4"/>
    <w:rsid w:val="00F619C4"/>
    <w:rsid w:val="00F62C65"/>
    <w:rsid w:val="00F63290"/>
    <w:rsid w:val="00F652A6"/>
    <w:rsid w:val="00F66728"/>
    <w:rsid w:val="00F67649"/>
    <w:rsid w:val="00F67C9A"/>
    <w:rsid w:val="00F7072E"/>
    <w:rsid w:val="00F71C27"/>
    <w:rsid w:val="00F7283C"/>
    <w:rsid w:val="00F72EB8"/>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4B08"/>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954"/>
    <w:rsid w:val="00FC7E37"/>
    <w:rsid w:val="00FD0324"/>
    <w:rsid w:val="00FD071A"/>
    <w:rsid w:val="00FD3EF8"/>
    <w:rsid w:val="00FD54EB"/>
    <w:rsid w:val="00FD7196"/>
    <w:rsid w:val="00FE0BEA"/>
    <w:rsid w:val="00FE0D6A"/>
    <w:rsid w:val="00FE2C1F"/>
    <w:rsid w:val="00FE4665"/>
    <w:rsid w:val="00FE539F"/>
    <w:rsid w:val="00FE5B3C"/>
    <w:rsid w:val="00FF04B1"/>
    <w:rsid w:val="00FF0CC3"/>
    <w:rsid w:val="00FF0DE8"/>
    <w:rsid w:val="00FF11A9"/>
    <w:rsid w:val="00FF165F"/>
    <w:rsid w:val="00FF16DB"/>
    <w:rsid w:val="00FF3099"/>
    <w:rsid w:val="00FF3DDF"/>
    <w:rsid w:val="00FF4CDC"/>
    <w:rsid w:val="00FF5265"/>
    <w:rsid w:val="00FF54B0"/>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ABCEB1"/>
    <w:rsid w:val="12BD9676"/>
    <w:rsid w:val="131FD8A5"/>
    <w:rsid w:val="135E9FBF"/>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AECE38"/>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318AC"/>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469E50"/>
    <w:rsid w:val="2465FC40"/>
    <w:rsid w:val="24CA7F1E"/>
    <w:rsid w:val="250E6610"/>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AE180"/>
    <w:rsid w:val="2E5E4AEF"/>
    <w:rsid w:val="2ECF92E4"/>
    <w:rsid w:val="2ED600DC"/>
    <w:rsid w:val="2EE5F300"/>
    <w:rsid w:val="2F01D88F"/>
    <w:rsid w:val="2F21E837"/>
    <w:rsid w:val="2F386F91"/>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3788B0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9E4300"/>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3F091"/>
    <w:rsid w:val="77CE5746"/>
    <w:rsid w:val="77F83150"/>
    <w:rsid w:val="78674B66"/>
    <w:rsid w:val="78BF49DD"/>
    <w:rsid w:val="790B3138"/>
    <w:rsid w:val="799DA319"/>
    <w:rsid w:val="79A48D3C"/>
    <w:rsid w:val="79B20E76"/>
    <w:rsid w:val="79C64322"/>
    <w:rsid w:val="79D5BFE7"/>
    <w:rsid w:val="79FCCD51"/>
    <w:rsid w:val="7B85C3CB"/>
    <w:rsid w:val="7B8AEE8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881995F"/>
  <w15:docId w15:val="{E77A7950-3186-44DD-9873-EF1D57E7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iPriority w:val="99"/>
    <w:unhideWhenUsed/>
    <w:rsid w:val="005723B9"/>
    <w:pPr>
      <w:spacing w:after="0" w:line="240" w:lineRule="auto"/>
    </w:pPr>
    <w:rPr>
      <w:sz w:val="20"/>
      <w:szCs w:val="20"/>
    </w:rPr>
  </w:style>
  <w:style w:type="character" w:customStyle="1" w:styleId="FootnoteTextChar">
    <w:name w:val="Footnote Text Char"/>
    <w:basedOn w:val="DefaultParagraphFont"/>
    <w:link w:val="FootnoteText"/>
    <w:uiPriority w:val="99"/>
    <w:rsid w:val="005723B9"/>
    <w:rPr>
      <w:sz w:val="20"/>
      <w:szCs w:val="20"/>
    </w:rPr>
  </w:style>
  <w:style w:type="character" w:styleId="FootnoteReference">
    <w:name w:val="footnote reference"/>
    <w:basedOn w:val="DefaultParagraphFont"/>
    <w:uiPriority w:val="99"/>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paragraph" w:customStyle="1" w:styleId="Default">
    <w:name w:val="Default"/>
    <w:rsid w:val="00EE5673"/>
    <w:pPr>
      <w:autoSpaceDE w:val="0"/>
      <w:autoSpaceDN w:val="0"/>
      <w:adjustRightInd w:val="0"/>
      <w:spacing w:after="0" w:line="240" w:lineRule="auto"/>
    </w:pPr>
    <w:rPr>
      <w:rFonts w:ascii="Times New Roman" w:hAnsi="Times New Roman" w:eastAsiaTheme="minorHAnsi"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KSELTZER\OneDrive%20-%20Environmental%20Protection%20Agency%20(EPA)\Profile\Documents\projects\IRA\ICR\ICR%20Supporting%20Statement%20-%20CPRG%2020240503.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C01C762A29F642B0A2DE29FD14D574" ma:contentTypeVersion="6" ma:contentTypeDescription="Create a new document." ma:contentTypeScope="" ma:versionID="0eb38305b2f013371fc943e48d159ba5">
  <xsd:schema xmlns:xsd="http://www.w3.org/2001/XMLSchema" xmlns:xs="http://www.w3.org/2001/XMLSchema" xmlns:p="http://schemas.microsoft.com/office/2006/metadata/properties" xmlns:ns2="48c997b2-bfa1-4cba-9d8f-5ae98e3e8095" xmlns:ns3="255c236f-8477-42fd-bc9d-9a2c2f68d311" targetNamespace="http://schemas.microsoft.com/office/2006/metadata/properties" ma:root="true" ma:fieldsID="45a1e956aa6ce17803a15376bfb90e47" ns2:_="" ns3:_="">
    <xsd:import namespace="48c997b2-bfa1-4cba-9d8f-5ae98e3e8095"/>
    <xsd:import namespace="255c236f-8477-42fd-bc9d-9a2c2f68d3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997b2-bfa1-4cba-9d8f-5ae98e3e8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5c236f-8477-42fd-bc9d-9a2c2f68d3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255c236f-8477-42fd-bc9d-9a2c2f68d311">
      <UserInfo>
        <DisplayName>Brachtl, Megan</DisplayName>
        <AccountId>34</AccountId>
        <AccountType/>
      </UserInfo>
      <UserInfo>
        <DisplayName>Damberg, Rich</DisplayName>
        <AccountId>39</AccountId>
        <AccountType/>
      </UserInfo>
      <UserInfo>
        <DisplayName>Denny, Andrea</DisplayName>
        <AccountId>57</AccountId>
        <AccountType/>
      </UserInfo>
      <UserInfo>
        <DisplayName>Hansel, Peter</DisplayName>
        <AccountId>16</AccountId>
        <AccountType/>
      </UserInfo>
      <UserInfo>
        <DisplayName>Terry, Sara (she/her/hers)</DisplayName>
        <AccountId>28</AccountId>
        <AccountType/>
      </UserInfo>
      <UserInfo>
        <DisplayName>Kluck, Johanna</DisplayName>
        <AccountId>56</AccountId>
        <AccountType/>
      </UserInfo>
      <UserInfo>
        <DisplayName>Koplitz, Shannon</DisplayName>
        <AccountId>6</AccountId>
        <AccountType/>
      </UserInfo>
      <UserInfo>
        <DisplayName>Iyer, Aarti (she/her/hers)</DisplayName>
        <AccountId>66</AccountId>
        <AccountType/>
      </UserInfo>
      <UserInfo>
        <DisplayName>McGrath, Daniel (he/him/his)</DisplayName>
        <AccountId>67</AccountId>
        <AccountType/>
      </UserInfo>
      <UserInfo>
        <DisplayName>Schultz, Eric</DisplayName>
        <AccountId>70</AccountId>
        <AccountType/>
      </UserInfo>
      <UserInfo>
        <DisplayName>Kerwin, Courtney</DisplayName>
        <AccountId>69</AccountId>
        <AccountType/>
      </UserInfo>
      <UserInfo>
        <DisplayName>Wilkes, Nathan</DisplayName>
        <AccountId>68</AccountId>
        <AccountType/>
      </UserInfo>
    </SharedWithUsers>
  </documentManagement>
</p:properties>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7F98F18E-5F5E-43AD-9CD9-6788B1798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997b2-bfa1-4cba-9d8f-5ae98e3e8095"/>
    <ds:schemaRef ds:uri="255c236f-8477-42fd-bc9d-9a2c2f68d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4.xml><?xml version="1.0" encoding="utf-8"?>
<ds:datastoreItem xmlns:ds="http://schemas.openxmlformats.org/officeDocument/2006/customXml" ds:itemID="{E5033098-BF7F-4D78-8529-0AFBF5D8899C}">
  <ds:schemaRefs>
    <ds:schemaRef ds:uri="http://purl.org/dc/elements/1.1/"/>
    <ds:schemaRef ds:uri="http://schemas.microsoft.com/office/2006/documentManagement/types"/>
    <ds:schemaRef ds:uri="http://schemas.openxmlformats.org/package/2006/metadata/core-properties"/>
    <ds:schemaRef ds:uri="255c236f-8477-42fd-bc9d-9a2c2f68d311"/>
    <ds:schemaRef ds:uri="http://purl.org/dc/dcmitype/"/>
    <ds:schemaRef ds:uri="http://www.w3.org/XML/1998/namespace"/>
    <ds:schemaRef ds:uri="http://purl.org/dc/terms/"/>
    <ds:schemaRef ds:uri="http://schemas.microsoft.com/office/2006/metadata/properties"/>
    <ds:schemaRef ds:uri="http://schemas.microsoft.com/office/infopath/2007/PartnerControls"/>
    <ds:schemaRef ds:uri="48c997b2-bfa1-4cba-9d8f-5ae98e3e8095"/>
  </ds:schemaRefs>
</ds:datastoreItem>
</file>

<file path=docProps/app.xml><?xml version="1.0" encoding="utf-8"?>
<Properties xmlns="http://schemas.openxmlformats.org/officeDocument/2006/extended-properties" xmlns:vt="http://schemas.openxmlformats.org/officeDocument/2006/docPropsVTypes">
  <Template>ICR Supporting Statement - CPRG 20240503</Template>
  <TotalTime>17</TotalTime>
  <Pages>11</Pages>
  <Words>4295</Words>
  <Characters>24864</Characters>
  <Application>Microsoft Office Word</Application>
  <DocSecurity>0</DocSecurity>
  <Lines>578</Lines>
  <Paragraphs>233</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28926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Seltzer, Karl</dc:creator>
  <cp:lastModifiedBy>Schultz, Eric</cp:lastModifiedBy>
  <cp:revision>2</cp:revision>
  <dcterms:created xsi:type="dcterms:W3CDTF">2024-06-26T18:25:00Z</dcterms:created>
  <dcterms:modified xsi:type="dcterms:W3CDTF">2024-06-26T18:25:00Z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0x01010052C01C762A29F642B0A2DE29FD14D574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