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917" w:rsidRPr="00722443" w:rsidP="00DD050C" w14:paraId="4A1A869D" w14:textId="610A3690">
      <w:pPr>
        <w:shd w:val="clear" w:color="auto" w:fill="FFFFFF" w:themeFill="background1"/>
        <w:spacing w:before="120" w:after="120"/>
        <w:jc w:val="center"/>
      </w:pPr>
      <w:r w:rsidRPr="00722443">
        <w:t>SU</w:t>
      </w:r>
      <w:r w:rsidRPr="00722443" w:rsidR="00664722">
        <w:t xml:space="preserve">PPORTING </w:t>
      </w:r>
      <w:r w:rsidRPr="00722443">
        <w:t>STATEMENT</w:t>
      </w:r>
      <w:r w:rsidR="00A3679B">
        <w:t xml:space="preserve"> A</w:t>
      </w:r>
    </w:p>
    <w:p w:rsidR="00121B90" w:rsidRPr="00722443" w:rsidP="00DD050C" w14:paraId="14977BA4" w14:textId="4F73E4B9">
      <w:pPr>
        <w:shd w:val="clear" w:color="auto" w:fill="FFFFFF" w:themeFill="background1"/>
        <w:spacing w:before="120" w:after="120"/>
        <w:jc w:val="center"/>
      </w:pPr>
      <w:r w:rsidRPr="00722443">
        <w:t xml:space="preserve">Request for Approval of a Collection of Information </w:t>
      </w:r>
      <w:r w:rsidRPr="00722443" w:rsidR="0059288E">
        <w:t>under</w:t>
      </w:r>
      <w:r w:rsidRPr="00722443">
        <w:t xml:space="preserve"> the Paperwork Reduction Act and 5 CFR 1320</w:t>
      </w:r>
      <w:r w:rsidRPr="00722443" w:rsidR="00C15ACF">
        <w:t xml:space="preserve"> </w:t>
      </w:r>
      <w:r w:rsidRPr="00722443">
        <w:t xml:space="preserve">for Airport Noise </w:t>
      </w:r>
      <w:r w:rsidRPr="00722443" w:rsidR="005A6EC2">
        <w:t xml:space="preserve">Compatibility Planning (14 CFR </w:t>
      </w:r>
      <w:r w:rsidRPr="00722443" w:rsidR="00F209C8">
        <w:t>p</w:t>
      </w:r>
      <w:r w:rsidRPr="00722443" w:rsidR="00AF1650">
        <w:t>art 150</w:t>
      </w:r>
      <w:r w:rsidRPr="00722443">
        <w:t>)</w:t>
      </w:r>
      <w:r w:rsidRPr="00722443" w:rsidR="00C15ACF">
        <w:t xml:space="preserve"> </w:t>
      </w:r>
      <w:r w:rsidRPr="00722443">
        <w:t>OMB Control Number 2120-0517</w:t>
      </w:r>
    </w:p>
    <w:p w:rsidR="005A6EC2" w:rsidRPr="00722443" w:rsidP="00DD050C" w14:paraId="0CCD36E8" w14:textId="091DEB32">
      <w:pPr>
        <w:shd w:val="clear" w:color="auto" w:fill="FFFFFF" w:themeFill="background1"/>
        <w:spacing w:before="120" w:after="120"/>
      </w:pPr>
      <w:r w:rsidRPr="00722443">
        <w:t>Summary of Changes since</w:t>
      </w:r>
      <w:r w:rsidRPr="00722443">
        <w:t xml:space="preserve"> the Previous Collection of Information:</w:t>
      </w:r>
    </w:p>
    <w:p w:rsidR="008D7F75" w:rsidRPr="00722443" w:rsidP="00DD050C" w14:paraId="44689677" w14:textId="16658243">
      <w:pPr>
        <w:pStyle w:val="ListParagraph"/>
        <w:numPr>
          <w:ilvl w:val="0"/>
          <w:numId w:val="3"/>
        </w:numPr>
        <w:shd w:val="clear" w:color="auto" w:fill="FFFFFF" w:themeFill="background1"/>
        <w:spacing w:before="120" w:after="120"/>
        <w:contextualSpacing w:val="0"/>
      </w:pPr>
      <w:r w:rsidRPr="00722443">
        <w:t>Updated</w:t>
      </w:r>
      <w:r w:rsidRPr="00722443" w:rsidR="006151BF">
        <w:t xml:space="preserve"> </w:t>
      </w:r>
      <w:r w:rsidRPr="00722443" w:rsidR="00031DD5">
        <w:t>items 1</w:t>
      </w:r>
      <w:r w:rsidRPr="00722443" w:rsidR="006151BF">
        <w:t>2</w:t>
      </w:r>
      <w:r w:rsidRPr="00722443" w:rsidR="00031DD5">
        <w:t>, 13,</w:t>
      </w:r>
      <w:r w:rsidRPr="00722443" w:rsidR="00321AE6">
        <w:t xml:space="preserve"> </w:t>
      </w:r>
      <w:r w:rsidRPr="00722443">
        <w:t>and 14</w:t>
      </w:r>
      <w:r w:rsidRPr="00722443" w:rsidR="00712056">
        <w:t xml:space="preserve"> </w:t>
      </w:r>
      <w:r w:rsidRPr="00722443" w:rsidR="004B39C4">
        <w:t xml:space="preserve">regarding estimated </w:t>
      </w:r>
      <w:r w:rsidRPr="00722443" w:rsidR="00945AC0">
        <w:t xml:space="preserve">annualized </w:t>
      </w:r>
      <w:r w:rsidRPr="00722443" w:rsidR="004B39C4">
        <w:t xml:space="preserve">costs </w:t>
      </w:r>
      <w:r w:rsidRPr="00722443">
        <w:t xml:space="preserve">to </w:t>
      </w:r>
      <w:r w:rsidRPr="00722443" w:rsidR="00321AE6">
        <w:t xml:space="preserve">respondents and Federal government to </w:t>
      </w:r>
      <w:r w:rsidRPr="00722443">
        <w:t xml:space="preserve">account for </w:t>
      </w:r>
      <w:r w:rsidRPr="00722443" w:rsidR="006151BF">
        <w:t>Fiscal Year (</w:t>
      </w:r>
      <w:r w:rsidRPr="00722443">
        <w:t>FY</w:t>
      </w:r>
      <w:r w:rsidRPr="00722443" w:rsidR="006151BF">
        <w:t xml:space="preserve">) </w:t>
      </w:r>
      <w:r w:rsidR="00A80CE0">
        <w:t xml:space="preserve">2024 </w:t>
      </w:r>
      <w:r w:rsidRPr="00722443">
        <w:t>dollars</w:t>
      </w:r>
      <w:r w:rsidRPr="00722443" w:rsidR="007B3FB2">
        <w:t xml:space="preserve"> instead of FY20</w:t>
      </w:r>
      <w:r w:rsidR="00A80CE0">
        <w:t>21</w:t>
      </w:r>
      <w:r w:rsidRPr="00722443" w:rsidR="007B3FB2">
        <w:t xml:space="preserve"> dollars</w:t>
      </w:r>
      <w:r w:rsidRPr="00722443" w:rsidR="00D120EB">
        <w:t xml:space="preserve"> used in the previous collection</w:t>
      </w:r>
      <w:r w:rsidRPr="00722443" w:rsidR="00055459">
        <w:t xml:space="preserve"> </w:t>
      </w:r>
      <w:r w:rsidRPr="00722443" w:rsidR="006151BF">
        <w:t xml:space="preserve">and </w:t>
      </w:r>
      <w:r w:rsidRPr="00722443" w:rsidR="00321AE6">
        <w:t>revised</w:t>
      </w:r>
      <w:r w:rsidRPr="00722443" w:rsidR="00712056">
        <w:t xml:space="preserve"> de</w:t>
      </w:r>
      <w:r w:rsidRPr="00722443" w:rsidR="00055459">
        <w:t xml:space="preserve">scriptions </w:t>
      </w:r>
      <w:r w:rsidRPr="00722443" w:rsidR="00712056">
        <w:t xml:space="preserve">throughout, including </w:t>
      </w:r>
      <w:r w:rsidRPr="00722443" w:rsidR="00321AE6">
        <w:t xml:space="preserve">the </w:t>
      </w:r>
      <w:r w:rsidRPr="00722443" w:rsidR="00712056">
        <w:t xml:space="preserve">burden hours </w:t>
      </w:r>
      <w:r w:rsidRPr="00722443" w:rsidR="00055459">
        <w:t xml:space="preserve">based </w:t>
      </w:r>
      <w:r w:rsidRPr="00722443" w:rsidR="00F46EE5">
        <w:rPr>
          <w:shd w:val="clear" w:color="auto" w:fill="FFFFFF" w:themeFill="background1"/>
        </w:rPr>
        <w:t xml:space="preserve">on agency discretion and </w:t>
      </w:r>
      <w:r w:rsidRPr="00722443" w:rsidR="00321AE6">
        <w:rPr>
          <w:shd w:val="clear" w:color="auto" w:fill="FFFFFF" w:themeFill="background1"/>
        </w:rPr>
        <w:t xml:space="preserve">new </w:t>
      </w:r>
      <w:r w:rsidRPr="00722443" w:rsidR="00945AC0">
        <w:rPr>
          <w:shd w:val="clear" w:color="auto" w:fill="FFFFFF" w:themeFill="background1"/>
        </w:rPr>
        <w:t xml:space="preserve">Department of Transportation </w:t>
      </w:r>
      <w:r w:rsidRPr="00722443" w:rsidR="006151BF">
        <w:rPr>
          <w:shd w:val="clear" w:color="auto" w:fill="FFFFFF" w:themeFill="background1"/>
        </w:rPr>
        <w:t xml:space="preserve">Paperwork Reduction Act </w:t>
      </w:r>
      <w:r w:rsidRPr="00722443" w:rsidR="00945AC0">
        <w:rPr>
          <w:shd w:val="clear" w:color="auto" w:fill="FFFFFF" w:themeFill="background1"/>
        </w:rPr>
        <w:t>g</w:t>
      </w:r>
      <w:r w:rsidRPr="00722443" w:rsidR="00055459">
        <w:rPr>
          <w:shd w:val="clear" w:color="auto" w:fill="FFFFFF" w:themeFill="background1"/>
        </w:rPr>
        <w:t>uidance</w:t>
      </w:r>
      <w:r w:rsidRPr="00722443" w:rsidR="006151BF">
        <w:rPr>
          <w:shd w:val="clear" w:color="auto" w:fill="FFFFFF" w:themeFill="background1"/>
        </w:rPr>
        <w:t xml:space="preserve"> and </w:t>
      </w:r>
      <w:r w:rsidRPr="00722443" w:rsidR="00321AE6">
        <w:rPr>
          <w:shd w:val="clear" w:color="auto" w:fill="FFFFFF" w:themeFill="background1"/>
        </w:rPr>
        <w:t xml:space="preserve">associated </w:t>
      </w:r>
      <w:r w:rsidRPr="00722443" w:rsidR="009141EB">
        <w:rPr>
          <w:shd w:val="clear" w:color="auto" w:fill="FFFFFF" w:themeFill="background1"/>
        </w:rPr>
        <w:t>Supporting Statement</w:t>
      </w:r>
      <w:r w:rsidRPr="00722443" w:rsidR="00321AE6">
        <w:rPr>
          <w:shd w:val="clear" w:color="auto" w:fill="FFFFFF" w:themeFill="background1"/>
        </w:rPr>
        <w:t xml:space="preserve"> t</w:t>
      </w:r>
      <w:r w:rsidRPr="00722443" w:rsidR="006151BF">
        <w:rPr>
          <w:shd w:val="clear" w:color="auto" w:fill="FFFFFF" w:themeFill="background1"/>
        </w:rPr>
        <w:t>emplate</w:t>
      </w:r>
      <w:r w:rsidRPr="00722443" w:rsidR="004D1D5D">
        <w:rPr>
          <w:shd w:val="clear" w:color="auto" w:fill="FFFFFF" w:themeFill="background1"/>
        </w:rPr>
        <w:t xml:space="preserve"> </w:t>
      </w:r>
      <w:r w:rsidRPr="00722443" w:rsidR="00945AC0">
        <w:rPr>
          <w:shd w:val="clear" w:color="auto" w:fill="FFFFFF" w:themeFill="background1"/>
        </w:rPr>
        <w:t>that were</w:t>
      </w:r>
      <w:r w:rsidRPr="00722443" w:rsidR="00945AC0">
        <w:t xml:space="preserve"> </w:t>
      </w:r>
      <w:r w:rsidRPr="00722443" w:rsidR="004D1D5D">
        <w:t>i</w:t>
      </w:r>
      <w:r w:rsidRPr="00722443" w:rsidR="002713CD">
        <w:t>ssued after previous collection</w:t>
      </w:r>
      <w:r w:rsidRPr="00722443" w:rsidR="004D1D5D">
        <w:t>.</w:t>
      </w:r>
    </w:p>
    <w:p w:rsidR="00997336" w:rsidRPr="00722443" w:rsidP="00DD050C" w14:paraId="5B0A2D3A" w14:textId="6A7B6B08">
      <w:pPr>
        <w:pStyle w:val="ListParagraph"/>
        <w:numPr>
          <w:ilvl w:val="0"/>
          <w:numId w:val="3"/>
        </w:numPr>
        <w:shd w:val="clear" w:color="auto" w:fill="FFFFFF" w:themeFill="background1"/>
        <w:spacing w:before="120" w:after="120"/>
        <w:contextualSpacing w:val="0"/>
      </w:pPr>
      <w:r w:rsidRPr="00722443">
        <w:t xml:space="preserve">Minor editorial changes </w:t>
      </w:r>
      <w:r w:rsidRPr="00722443" w:rsidR="006C0F0C">
        <w:t xml:space="preserve">and non-material or non-substantive changes </w:t>
      </w:r>
      <w:r w:rsidRPr="00722443" w:rsidR="00677699">
        <w:t xml:space="preserve">(e.g., </w:t>
      </w:r>
      <w:r w:rsidRPr="00722443" w:rsidR="00D120EB">
        <w:t xml:space="preserve">this involved </w:t>
      </w:r>
      <w:r w:rsidRPr="00722443">
        <w:t xml:space="preserve">correcting </w:t>
      </w:r>
      <w:r w:rsidRPr="00722443" w:rsidR="00EE34A8">
        <w:t xml:space="preserve">typos, </w:t>
      </w:r>
      <w:r w:rsidRPr="00722443" w:rsidR="00974536">
        <w:t>spelling,</w:t>
      </w:r>
      <w:r w:rsidRPr="00722443">
        <w:t xml:space="preserve"> or grammar</w:t>
      </w:r>
      <w:r w:rsidRPr="00722443" w:rsidR="00945AC0">
        <w:t>) were made</w:t>
      </w:r>
      <w:r w:rsidRPr="00722443" w:rsidR="004B39C4">
        <w:t xml:space="preserve"> </w:t>
      </w:r>
      <w:r w:rsidRPr="00722443">
        <w:t xml:space="preserve">throughout. </w:t>
      </w:r>
      <w:r w:rsidRPr="00722443" w:rsidR="00172B0B">
        <w:t xml:space="preserve">However, there were </w:t>
      </w:r>
      <w:r w:rsidRPr="00974536" w:rsidR="00172B0B">
        <w:rPr>
          <w:i/>
          <w:iCs/>
        </w:rPr>
        <w:t xml:space="preserve">no </w:t>
      </w:r>
      <w:r w:rsidRPr="00722443" w:rsidR="00172B0B">
        <w:t xml:space="preserve">program </w:t>
      </w:r>
      <w:r w:rsidRPr="00722443" w:rsidR="00340F41">
        <w:t xml:space="preserve">level </w:t>
      </w:r>
      <w:r w:rsidRPr="00722443" w:rsidR="00172B0B">
        <w:t xml:space="preserve">changes. The </w:t>
      </w:r>
      <w:r w:rsidRPr="00722443" w:rsidR="00712056">
        <w:t>legal requirements for the program and</w:t>
      </w:r>
      <w:r w:rsidRPr="00722443" w:rsidR="00172B0B">
        <w:t xml:space="preserve"> the </w:t>
      </w:r>
      <w:r w:rsidRPr="00722443" w:rsidR="002713CD">
        <w:t xml:space="preserve">type of </w:t>
      </w:r>
      <w:r w:rsidRPr="00722443" w:rsidR="00172B0B">
        <w:t xml:space="preserve">information collected </w:t>
      </w:r>
      <w:r w:rsidRPr="00722443" w:rsidR="00974536">
        <w:t>have</w:t>
      </w:r>
      <w:r w:rsidRPr="00722443" w:rsidR="00340F41">
        <w:t xml:space="preserve"> not change</w:t>
      </w:r>
      <w:r w:rsidRPr="00722443" w:rsidR="00945AC0">
        <w:t>d since the previous collection</w:t>
      </w:r>
      <w:r w:rsidRPr="00722443" w:rsidR="00172B0B">
        <w:t xml:space="preserve">. </w:t>
      </w:r>
    </w:p>
    <w:p w:rsidR="00262460" w:rsidRPr="00722443" w:rsidP="00DD050C" w14:paraId="3E58BD8C" w14:textId="72C9541B">
      <w:pPr>
        <w:shd w:val="clear" w:color="auto" w:fill="FFFFFF" w:themeFill="background1"/>
        <w:spacing w:before="120" w:after="120"/>
      </w:pPr>
      <w:r w:rsidRPr="00722443">
        <w:t>Justification:</w:t>
      </w:r>
    </w:p>
    <w:p w:rsidR="004D0917" w:rsidRPr="00722443" w:rsidP="00DD050C" w14:paraId="096A7441" w14:textId="77777777">
      <w:pPr>
        <w:pStyle w:val="BodyText3"/>
        <w:numPr>
          <w:ilvl w:val="0"/>
          <w:numId w:val="0"/>
        </w:numPr>
        <w:shd w:val="clear" w:color="auto" w:fill="FFFFFF" w:themeFill="background1"/>
        <w:spacing w:before="120" w:after="120"/>
        <w:rPr>
          <w:spacing w:val="-5"/>
          <w:szCs w:val="24"/>
        </w:rPr>
      </w:pPr>
      <w:r w:rsidRPr="00722443">
        <w:rPr>
          <w:spacing w:val="-5"/>
          <w:szCs w:val="24"/>
        </w:rPr>
        <w:t>1.</w:t>
      </w:r>
      <w:r w:rsidRPr="00722443">
        <w:rPr>
          <w:spacing w:val="-5"/>
          <w:szCs w:val="24"/>
        </w:rPr>
        <w:tab/>
      </w:r>
      <w:r w:rsidRPr="00722443">
        <w:rPr>
          <w:b/>
          <w:spacing w:val="-5"/>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B5AD6" w:rsidRPr="00722443" w:rsidP="00DD050C" w14:paraId="06AAB021" w14:textId="5D2426BA">
      <w:pPr>
        <w:shd w:val="clear" w:color="auto" w:fill="FFFFFF" w:themeFill="background1"/>
        <w:tabs>
          <w:tab w:val="left" w:pos="8280"/>
        </w:tabs>
        <w:spacing w:before="120" w:after="120"/>
        <w:ind w:firstLine="720"/>
      </w:pPr>
      <w:r w:rsidRPr="00722443">
        <w:t xml:space="preserve">Congress directed the </w:t>
      </w:r>
      <w:r w:rsidRPr="00722443">
        <w:t xml:space="preserve">Department of Transportation </w:t>
      </w:r>
      <w:r w:rsidRPr="00722443">
        <w:t>to implement regulation</w:t>
      </w:r>
      <w:r w:rsidRPr="00722443" w:rsidR="00A96794">
        <w:t>s</w:t>
      </w:r>
      <w:r w:rsidRPr="00722443">
        <w:t xml:space="preserve"> </w:t>
      </w:r>
      <w:r w:rsidRPr="00722443" w:rsidR="004B39C4">
        <w:t xml:space="preserve">pursuant to the </w:t>
      </w:r>
      <w:r w:rsidRPr="00722443" w:rsidR="00275FBF">
        <w:t xml:space="preserve">Aviation Safety and Noise Abatement Act </w:t>
      </w:r>
      <w:r w:rsidRPr="00722443" w:rsidR="00154EBD">
        <w:t xml:space="preserve">(ASNA) </w:t>
      </w:r>
      <w:r w:rsidRPr="00722443" w:rsidR="00275FBF">
        <w:t>of 1979, Pub</w:t>
      </w:r>
      <w:r w:rsidRPr="00722443" w:rsidR="00A75159">
        <w:t>lic</w:t>
      </w:r>
      <w:r w:rsidRPr="00722443" w:rsidR="00275FBF">
        <w:t xml:space="preserve"> L</w:t>
      </w:r>
      <w:r w:rsidRPr="00722443" w:rsidR="00A75159">
        <w:t>aw</w:t>
      </w:r>
      <w:r w:rsidRPr="00722443" w:rsidR="00275FBF">
        <w:t xml:space="preserve"> No. 96-193</w:t>
      </w:r>
      <w:r w:rsidRPr="00722443">
        <w:t xml:space="preserve"> </w:t>
      </w:r>
      <w:r w:rsidRPr="00722443" w:rsidR="00D120EB">
        <w:t xml:space="preserve">to, among other things, </w:t>
      </w:r>
      <w:r w:rsidRPr="00722443" w:rsidR="0059288E">
        <w:t xml:space="preserve">enable </w:t>
      </w:r>
      <w:r w:rsidRPr="00722443" w:rsidR="00A73B40">
        <w:t>Airport Sponsors or Operator</w:t>
      </w:r>
      <w:r w:rsidRPr="00722443" w:rsidR="005F5993">
        <w:t>s</w:t>
      </w:r>
      <w:r w:rsidRPr="00722443" w:rsidR="004B7A79">
        <w:t xml:space="preserve"> </w:t>
      </w:r>
      <w:r w:rsidRPr="00722443" w:rsidR="00A75159">
        <w:t xml:space="preserve">to voluntarily </w:t>
      </w:r>
      <w:r w:rsidRPr="00722443">
        <w:t xml:space="preserve">submit noise exposure maps and noise compatibility programs to the </w:t>
      </w:r>
      <w:r w:rsidRPr="00722443">
        <w:t>Federal Aviation Administration (</w:t>
      </w:r>
      <w:r w:rsidRPr="00722443">
        <w:t>FAA</w:t>
      </w:r>
      <w:r w:rsidRPr="00722443">
        <w:t>)</w:t>
      </w:r>
      <w:r w:rsidRPr="00722443">
        <w:t xml:space="preserve"> after </w:t>
      </w:r>
      <w:r w:rsidRPr="00722443" w:rsidR="006B4F44">
        <w:t xml:space="preserve">public </w:t>
      </w:r>
      <w:r w:rsidRPr="00722443">
        <w:t>consultation</w:t>
      </w:r>
      <w:r w:rsidRPr="00722443" w:rsidR="00B66847">
        <w:t xml:space="preserve">. </w:t>
      </w:r>
      <w:r w:rsidRPr="00722443">
        <w:t>To implement the requirements established under the</w:t>
      </w:r>
      <w:r w:rsidRPr="00722443" w:rsidR="00154EBD">
        <w:t xml:space="preserve"> ASNA</w:t>
      </w:r>
      <w:r w:rsidRPr="00722443">
        <w:t xml:space="preserve">, the FAA published Title 14 Code of Federal Regulations (CFR) </w:t>
      </w:r>
      <w:r w:rsidRPr="00722443" w:rsidR="00AF1650">
        <w:t>Part 150</w:t>
      </w:r>
      <w:r w:rsidRPr="00722443">
        <w:t xml:space="preserve">. This regulation describes standards, procedures, and methodologies </w:t>
      </w:r>
      <w:r w:rsidRPr="00722443" w:rsidR="00A75159">
        <w:t xml:space="preserve">for </w:t>
      </w:r>
      <w:r w:rsidRPr="00722443">
        <w:t>the development, submission, and review of noise exposure maps</w:t>
      </w:r>
      <w:r w:rsidRPr="00722443" w:rsidR="00154EBD">
        <w:t xml:space="preserve"> and noise compatibility programs. This regulation also provides a structured approach for collaboration between the </w:t>
      </w:r>
      <w:r w:rsidR="001D108F">
        <w:rPr>
          <w:bCs/>
        </w:rPr>
        <w:t xml:space="preserve">airport sponsors or operators, airlines, pilots, </w:t>
      </w:r>
      <w:r w:rsidRPr="00F20640" w:rsidR="001D108F">
        <w:rPr>
          <w:bCs/>
        </w:rPr>
        <w:t xml:space="preserve">neighboring communities, </w:t>
      </w:r>
      <w:r w:rsidR="001D108F">
        <w:rPr>
          <w:bCs/>
        </w:rPr>
        <w:t xml:space="preserve">FAA, other federal, state, and local agencies, </w:t>
      </w:r>
      <w:r w:rsidRPr="00F20640" w:rsidR="001D108F">
        <w:rPr>
          <w:bCs/>
        </w:rPr>
        <w:t xml:space="preserve">and </w:t>
      </w:r>
      <w:r w:rsidR="001D108F">
        <w:rPr>
          <w:bCs/>
        </w:rPr>
        <w:t>other stakeholders t</w:t>
      </w:r>
      <w:r w:rsidRPr="00F20640" w:rsidR="001D108F">
        <w:rPr>
          <w:bCs/>
        </w:rPr>
        <w:t xml:space="preserve">o </w:t>
      </w:r>
      <w:r w:rsidR="001D108F">
        <w:rPr>
          <w:bCs/>
        </w:rPr>
        <w:t xml:space="preserve">collaborate on efforts to </w:t>
      </w:r>
      <w:r w:rsidRPr="00F20640" w:rsidR="001D108F">
        <w:rPr>
          <w:bCs/>
        </w:rPr>
        <w:t xml:space="preserve">reduce </w:t>
      </w:r>
      <w:r w:rsidR="001D108F">
        <w:rPr>
          <w:bCs/>
        </w:rPr>
        <w:t xml:space="preserve">impacts to </w:t>
      </w:r>
      <w:r w:rsidRPr="00F20640" w:rsidR="001D108F">
        <w:rPr>
          <w:bCs/>
        </w:rPr>
        <w:t>people who live in significantly noise-impacted areas</w:t>
      </w:r>
      <w:r w:rsidR="001D108F">
        <w:rPr>
          <w:bCs/>
        </w:rPr>
        <w:t xml:space="preserve"> </w:t>
      </w:r>
      <w:r w:rsidRPr="00722443" w:rsidR="00AF1650">
        <w:t>(</w:t>
      </w:r>
      <w:r w:rsidRPr="00722443" w:rsidR="00677699">
        <w:t xml:space="preserve">herein the </w:t>
      </w:r>
      <w:r w:rsidRPr="00722443" w:rsidR="00AF1650">
        <w:t>“Part 150 process”)</w:t>
      </w:r>
      <w:r w:rsidRPr="00722443" w:rsidR="00154EBD">
        <w:t>.</w:t>
      </w:r>
      <w:r w:rsidRPr="00722443" w:rsidR="00AF1650">
        <w:t xml:space="preserve"> </w:t>
      </w:r>
      <w:r w:rsidRPr="00722443" w:rsidR="00A75159">
        <w:t>Legal requirements associated with this information collection:</w:t>
      </w:r>
    </w:p>
    <w:p w:rsidR="00F75E35" w:rsidRPr="00722443" w:rsidP="00DD050C" w14:paraId="3CFE20E5" w14:textId="072FFFB4">
      <w:pPr>
        <w:shd w:val="clear" w:color="auto" w:fill="FFFFFF" w:themeFill="background1"/>
        <w:tabs>
          <w:tab w:val="left" w:pos="8280"/>
        </w:tabs>
        <w:spacing w:before="120" w:after="120"/>
        <w:ind w:firstLine="720"/>
        <w:rPr>
          <w:color w:val="333333"/>
        </w:rPr>
      </w:pPr>
      <w:r w:rsidRPr="00722443">
        <w:t>Per 49 U.S.C. 47503(a)(1)-(2)</w:t>
      </w:r>
      <w:r w:rsidRPr="00722443" w:rsidR="00C02400">
        <w:t xml:space="preserve">, </w:t>
      </w:r>
      <w:r w:rsidRPr="00722443" w:rsidR="00A73B40">
        <w:t>Airport Sponsors or Operator</w:t>
      </w:r>
      <w:r w:rsidRPr="00722443">
        <w:t xml:space="preserve">s who voluntarily </w:t>
      </w:r>
      <w:r w:rsidRPr="00722443" w:rsidR="00A96794">
        <w:t>submit</w:t>
      </w:r>
      <w:r w:rsidRPr="00722443">
        <w:t xml:space="preserve"> </w:t>
      </w:r>
      <w:r w:rsidRPr="00722443" w:rsidR="00A96794">
        <w:t xml:space="preserve">a noise exposure map </w:t>
      </w:r>
      <w:r w:rsidRPr="00722443" w:rsidR="00E4685E">
        <w:t xml:space="preserve">to the FAA </w:t>
      </w:r>
      <w:r w:rsidRPr="00722443">
        <w:t>shall</w:t>
      </w:r>
      <w:r w:rsidRPr="00722443" w:rsidR="00CB5AD6">
        <w:t xml:space="preserve">: </w:t>
      </w:r>
      <w:r w:rsidRPr="00722443" w:rsidR="000D29A1">
        <w:t xml:space="preserve">depict </w:t>
      </w:r>
      <w:r w:rsidRPr="00722443" w:rsidR="00CB5AD6">
        <w:t>all</w:t>
      </w:r>
      <w:r w:rsidRPr="00722443" w:rsidR="00A96794">
        <w:t xml:space="preserve"> non-compatible uses in each area of the map on the date the map is submitted, descri</w:t>
      </w:r>
      <w:r w:rsidRPr="00722443" w:rsidR="000D29A1">
        <w:t xml:space="preserve">be </w:t>
      </w:r>
      <w:r w:rsidRPr="00722443" w:rsidR="00A96794">
        <w:t xml:space="preserve">estimated aircraft operations during a forecast period that is at least five years in the future and how those operations will affect the map. </w:t>
      </w:r>
      <w:r w:rsidRPr="00722443" w:rsidR="000D29A1">
        <w:t>In addition, a</w:t>
      </w:r>
      <w:r w:rsidRPr="00722443" w:rsidR="00A96794">
        <w:t xml:space="preserve">ll noise exposure maps shall be </w:t>
      </w:r>
      <w:bookmarkStart w:id="0" w:name="a_1"/>
      <w:bookmarkEnd w:id="0"/>
      <w:r w:rsidRPr="00722443" w:rsidR="00A96794">
        <w:rPr>
          <w:color w:val="333333"/>
        </w:rPr>
        <w:t>prepared in consultation with public agencies and planning authorit</w:t>
      </w:r>
      <w:r w:rsidRPr="00722443" w:rsidR="00997336">
        <w:rPr>
          <w:color w:val="333333"/>
        </w:rPr>
        <w:t xml:space="preserve">ies in the area </w:t>
      </w:r>
      <w:r w:rsidRPr="00722443" w:rsidR="00997336">
        <w:rPr>
          <w:color w:val="333333"/>
        </w:rPr>
        <w:t xml:space="preserve">surrounding the </w:t>
      </w:r>
      <w:r w:rsidRPr="00722443" w:rsidR="00A96794">
        <w:rPr>
          <w:color w:val="333333"/>
        </w:rPr>
        <w:t>airport and</w:t>
      </w:r>
      <w:bookmarkStart w:id="1" w:name="a_2"/>
      <w:bookmarkEnd w:id="1"/>
      <w:r w:rsidRPr="00722443" w:rsidR="00A96794">
        <w:rPr>
          <w:color w:val="333333"/>
        </w:rPr>
        <w:t xml:space="preserve"> comply with regulations </w:t>
      </w:r>
      <w:r w:rsidRPr="00722443">
        <w:rPr>
          <w:color w:val="333333"/>
        </w:rPr>
        <w:t xml:space="preserve">established </w:t>
      </w:r>
      <w:r w:rsidRPr="00722443" w:rsidR="007C7B78">
        <w:rPr>
          <w:color w:val="333333"/>
        </w:rPr>
        <w:t xml:space="preserve">under </w:t>
      </w:r>
      <w:r w:rsidRPr="00722443">
        <w:rPr>
          <w:color w:val="333333"/>
        </w:rPr>
        <w:t>49 U.S.C 47502.</w:t>
      </w:r>
      <w:r w:rsidRPr="00722443" w:rsidR="00E4685E">
        <w:rPr>
          <w:color w:val="333333"/>
        </w:rPr>
        <w:t xml:space="preserve"> </w:t>
      </w:r>
    </w:p>
    <w:p w:rsidR="00F610F3" w:rsidRPr="00722443" w:rsidP="00DD050C" w14:paraId="01B11EAA" w14:textId="7F8EEC68">
      <w:pPr>
        <w:shd w:val="clear" w:color="auto" w:fill="FFFFFF" w:themeFill="background1"/>
        <w:tabs>
          <w:tab w:val="left" w:pos="8280"/>
        </w:tabs>
        <w:spacing w:before="120" w:after="120"/>
        <w:ind w:firstLine="720"/>
      </w:pPr>
      <w:r w:rsidRPr="00722443">
        <w:t>Per 49 U.S.C. 47503(b)(1)</w:t>
      </w:r>
      <w:r w:rsidRPr="00722443" w:rsidR="00326B1A">
        <w:t>and (b)</w:t>
      </w:r>
      <w:r w:rsidRPr="00722443" w:rsidR="007C7B78">
        <w:t>(2)(A)-(B)</w:t>
      </w:r>
      <w:r w:rsidRPr="00722443">
        <w:t xml:space="preserve">, </w:t>
      </w:r>
      <w:r w:rsidRPr="00722443" w:rsidR="00F436F3">
        <w:t xml:space="preserve">Airport </w:t>
      </w:r>
      <w:r w:rsidR="004D06BE">
        <w:t>S</w:t>
      </w:r>
      <w:r w:rsidRPr="00722443" w:rsidR="00F436F3">
        <w:t xml:space="preserve">ponsors </w:t>
      </w:r>
      <w:r w:rsidR="004D06BE">
        <w:t xml:space="preserve">or Operators </w:t>
      </w:r>
      <w:r w:rsidRPr="00722443" w:rsidR="00F436F3">
        <w:t xml:space="preserve">who voluntarily submitted a noise exposure map to the FAA </w:t>
      </w:r>
      <w:r w:rsidRPr="00722443" w:rsidR="00A75159">
        <w:t xml:space="preserve">may </w:t>
      </w:r>
      <w:r w:rsidRPr="00722443" w:rsidR="004D0917">
        <w:t>revise and res</w:t>
      </w:r>
      <w:r w:rsidRPr="00722443" w:rsidR="00E74A05">
        <w:t xml:space="preserve">ubmit the noise exposure map if, in an area surrounding </w:t>
      </w:r>
      <w:r w:rsidRPr="00722443">
        <w:t>the</w:t>
      </w:r>
      <w:r w:rsidRPr="00722443" w:rsidR="00A75159">
        <w:t xml:space="preserve"> </w:t>
      </w:r>
      <w:r w:rsidRPr="00722443" w:rsidR="00E74A05">
        <w:t>airport,</w:t>
      </w:r>
      <w:r w:rsidRPr="00722443" w:rsidR="00A75159">
        <w:t xml:space="preserve"> </w:t>
      </w:r>
      <w:r w:rsidRPr="00722443" w:rsidR="004D0917">
        <w:t xml:space="preserve">any change in the operation of the airport would create </w:t>
      </w:r>
      <w:r w:rsidRPr="00722443">
        <w:t xml:space="preserve">a </w:t>
      </w:r>
      <w:r w:rsidRPr="00722443" w:rsidR="004D0917">
        <w:t>substantial new non</w:t>
      </w:r>
      <w:r w:rsidRPr="00722443" w:rsidR="0059288E">
        <w:t>-</w:t>
      </w:r>
      <w:r w:rsidRPr="00722443" w:rsidR="004D0917">
        <w:t>compatible use in any area surrounding the airport or there is a significant reduction in noise generated at the airport</w:t>
      </w:r>
      <w:r w:rsidRPr="00722443" w:rsidR="00E74A05">
        <w:t xml:space="preserve"> </w:t>
      </w:r>
      <w:r w:rsidRPr="00722443">
        <w:t>that is not reflected in ei</w:t>
      </w:r>
      <w:r w:rsidRPr="00722443" w:rsidR="00E74A05">
        <w:t xml:space="preserve">ther the existing conditions or forecast </w:t>
      </w:r>
      <w:r w:rsidRPr="00722443">
        <w:t>currently on file with the</w:t>
      </w:r>
      <w:r w:rsidRPr="00722443" w:rsidR="00A75159">
        <w:t xml:space="preserve"> </w:t>
      </w:r>
      <w:r w:rsidRPr="00722443" w:rsidR="00E74A05">
        <w:t>FAA</w:t>
      </w:r>
      <w:r w:rsidRPr="00722443">
        <w:t>.</w:t>
      </w:r>
      <w:r w:rsidRPr="00722443" w:rsidR="00E74A05">
        <w:t xml:space="preserve"> In addition, </w:t>
      </w:r>
      <w:bookmarkStart w:id="2" w:name="b_2"/>
      <w:bookmarkEnd w:id="2"/>
      <w:r w:rsidRPr="00722443" w:rsidR="00E74A05">
        <w:t xml:space="preserve">a </w:t>
      </w:r>
      <w:r w:rsidRPr="00722443">
        <w:rPr>
          <w:rStyle w:val="chapeau"/>
          <w:color w:val="333333"/>
        </w:rPr>
        <w:t>submission</w:t>
      </w:r>
      <w:r w:rsidRPr="00722443" w:rsidR="0097452C">
        <w:rPr>
          <w:rStyle w:val="chapeau"/>
          <w:color w:val="333333"/>
        </w:rPr>
        <w:t xml:space="preserve"> </w:t>
      </w:r>
      <w:r w:rsidRPr="00722443">
        <w:rPr>
          <w:rStyle w:val="chapeau"/>
          <w:color w:val="333333"/>
        </w:rPr>
        <w:t xml:space="preserve">of a </w:t>
      </w:r>
      <w:r w:rsidRPr="00722443" w:rsidR="0097452C">
        <w:rPr>
          <w:rStyle w:val="chapeau"/>
          <w:color w:val="333333"/>
        </w:rPr>
        <w:t>revised noise exposure map</w:t>
      </w:r>
      <w:r w:rsidRPr="00722443">
        <w:rPr>
          <w:rStyle w:val="chapeau"/>
          <w:color w:val="333333"/>
        </w:rPr>
        <w:t xml:space="preserve"> </w:t>
      </w:r>
      <w:r w:rsidRPr="00722443">
        <w:rPr>
          <w:rStyle w:val="chapeau"/>
          <w:color w:val="333333"/>
        </w:rPr>
        <w:t xml:space="preserve">per </w:t>
      </w:r>
      <w:r w:rsidRPr="00722443" w:rsidR="00E74A05">
        <w:rPr>
          <w:rStyle w:val="chapeau"/>
          <w:color w:val="333333"/>
        </w:rPr>
        <w:t>subsection (b)</w:t>
      </w:r>
      <w:r w:rsidRPr="00722443" w:rsidR="0097452C">
        <w:rPr>
          <w:rStyle w:val="chapeau"/>
          <w:color w:val="333333"/>
        </w:rPr>
        <w:t xml:space="preserve"> paragraph </w:t>
      </w:r>
      <w:r w:rsidRPr="00722443">
        <w:rPr>
          <w:rStyle w:val="chapeau"/>
          <w:color w:val="333333"/>
        </w:rPr>
        <w:t>(1) shall be required only if the relevant change in the operation of the</w:t>
      </w:r>
      <w:r w:rsidRPr="00722443" w:rsidR="00A75159">
        <w:rPr>
          <w:rStyle w:val="chapeau"/>
          <w:color w:val="333333"/>
        </w:rPr>
        <w:t xml:space="preserve"> </w:t>
      </w:r>
      <w:r w:rsidRPr="00722443">
        <w:rPr>
          <w:rStyle w:val="chapeau"/>
          <w:color w:val="333333"/>
        </w:rPr>
        <w:t>airport</w:t>
      </w:r>
      <w:r w:rsidRPr="00722443" w:rsidR="00A75159">
        <w:rPr>
          <w:rStyle w:val="chapeau"/>
          <w:color w:val="333333"/>
        </w:rPr>
        <w:t xml:space="preserve"> </w:t>
      </w:r>
      <w:r w:rsidRPr="00722443">
        <w:rPr>
          <w:rStyle w:val="chapeau"/>
          <w:color w:val="333333"/>
        </w:rPr>
        <w:t>occurs during</w:t>
      </w:r>
      <w:r w:rsidRPr="00722443" w:rsidR="00154EBD">
        <w:rPr>
          <w:rStyle w:val="chapeau"/>
          <w:color w:val="333333"/>
        </w:rPr>
        <w:t xml:space="preserve"> </w:t>
      </w:r>
      <w:bookmarkStart w:id="3" w:name="b_2_A"/>
      <w:bookmarkEnd w:id="3"/>
      <w:r w:rsidRPr="00722443">
        <w:t>the forecast period of th</w:t>
      </w:r>
      <w:r w:rsidRPr="00722443">
        <w:t xml:space="preserve">e applicable noise exposure map </w:t>
      </w:r>
      <w:r w:rsidRPr="00722443">
        <w:t>submitted by an</w:t>
      </w:r>
      <w:r w:rsidRPr="00722443" w:rsidR="00A75159">
        <w:t xml:space="preserve"> </w:t>
      </w:r>
      <w:r w:rsidRPr="00722443">
        <w:t xml:space="preserve">airport </w:t>
      </w:r>
      <w:r w:rsidRPr="00722443" w:rsidR="00E74A05">
        <w:t xml:space="preserve">sponsor </w:t>
      </w:r>
      <w:r w:rsidRPr="00722443">
        <w:t xml:space="preserve">under </w:t>
      </w:r>
      <w:r w:rsidRPr="00722443" w:rsidR="00E74A05">
        <w:t xml:space="preserve">subsection </w:t>
      </w:r>
      <w:r w:rsidRPr="00722443">
        <w:t>(a)</w:t>
      </w:r>
      <w:r w:rsidRPr="00722443" w:rsidR="00E74A05">
        <w:t xml:space="preserve"> </w:t>
      </w:r>
      <w:r w:rsidRPr="00722443">
        <w:t>or</w:t>
      </w:r>
      <w:bookmarkStart w:id="4" w:name="b_2_B"/>
      <w:bookmarkEnd w:id="4"/>
      <w:r w:rsidRPr="00722443" w:rsidR="00154EBD">
        <w:t xml:space="preserve"> </w:t>
      </w:r>
      <w:r w:rsidRPr="00722443" w:rsidR="0097452C">
        <w:t xml:space="preserve">during </w:t>
      </w:r>
      <w:r w:rsidRPr="00722443">
        <w:t>the implementation period of the</w:t>
      </w:r>
      <w:r w:rsidRPr="00722443" w:rsidR="00A75159">
        <w:t xml:space="preserve"> a</w:t>
      </w:r>
      <w:r w:rsidRPr="00722443" w:rsidR="00E74A05">
        <w:t>irport sponsors</w:t>
      </w:r>
      <w:r w:rsidRPr="00722443">
        <w:t xml:space="preserve"> noise compatibility program.</w:t>
      </w:r>
    </w:p>
    <w:p w:rsidR="00DB434B" w:rsidRPr="00722443" w:rsidP="00DD050C" w14:paraId="19CEEB93" w14:textId="1E5DA56D">
      <w:pPr>
        <w:shd w:val="clear" w:color="auto" w:fill="FFFFFF" w:themeFill="background1"/>
        <w:tabs>
          <w:tab w:val="left" w:pos="8280"/>
        </w:tabs>
        <w:spacing w:before="120" w:after="120"/>
        <w:ind w:firstLine="720"/>
        <w:rPr>
          <w:rStyle w:val="chapeau"/>
          <w:color w:val="333333"/>
        </w:rPr>
      </w:pPr>
      <w:r w:rsidRPr="00722443">
        <w:t>Per 49 U.S.C 47504</w:t>
      </w:r>
      <w:r w:rsidRPr="00722443">
        <w:t xml:space="preserve"> (a)(1)-(2), An </w:t>
      </w:r>
      <w:r w:rsidRPr="00722443" w:rsidR="00A73B40">
        <w:t>Airport Sponsor or Operator</w:t>
      </w:r>
      <w:r w:rsidRPr="00722443">
        <w:t xml:space="preserve"> that </w:t>
      </w:r>
      <w:r w:rsidRPr="00722443">
        <w:rPr>
          <w:rStyle w:val="chapeau"/>
          <w:color w:val="333333"/>
        </w:rPr>
        <w:t xml:space="preserve">submitted a noise exposure map </w:t>
      </w:r>
      <w:r w:rsidRPr="00722443">
        <w:rPr>
          <w:rStyle w:val="chapeau"/>
          <w:color w:val="333333"/>
        </w:rPr>
        <w:t xml:space="preserve">may </w:t>
      </w:r>
      <w:r w:rsidRPr="00722443">
        <w:rPr>
          <w:rStyle w:val="chapeau"/>
          <w:color w:val="333333"/>
        </w:rPr>
        <w:t xml:space="preserve">submit a noise compatibility program </w:t>
      </w:r>
      <w:bookmarkStart w:id="5" w:name="a_1_A"/>
      <w:bookmarkEnd w:id="5"/>
      <w:r w:rsidRPr="00722443">
        <w:rPr>
          <w:rStyle w:val="chapeau"/>
          <w:color w:val="333333"/>
        </w:rPr>
        <w:t>after completing the following: co</w:t>
      </w:r>
      <w:r w:rsidRPr="00722443">
        <w:rPr>
          <w:color w:val="333333"/>
        </w:rPr>
        <w:t xml:space="preserve">nsulting with public agencies and planning authorities in the area </w:t>
      </w:r>
      <w:r w:rsidRPr="00722443" w:rsidR="00E86192">
        <w:rPr>
          <w:color w:val="333333"/>
        </w:rPr>
        <w:t xml:space="preserve">surrounding the </w:t>
      </w:r>
      <w:r w:rsidRPr="00722443">
        <w:rPr>
          <w:color w:val="333333"/>
        </w:rPr>
        <w:t xml:space="preserve">airport, </w:t>
      </w:r>
      <w:r w:rsidRPr="00722443">
        <w:rPr>
          <w:color w:val="333333"/>
        </w:rPr>
        <w:t>U.S. g</w:t>
      </w:r>
      <w:r w:rsidRPr="00722443">
        <w:rPr>
          <w:color w:val="333333"/>
        </w:rPr>
        <w:t xml:space="preserve">overnment officials having local responsibility for the airport, </w:t>
      </w:r>
      <w:r w:rsidRPr="00722443" w:rsidR="00677699">
        <w:rPr>
          <w:color w:val="333333"/>
        </w:rPr>
        <w:t xml:space="preserve">and </w:t>
      </w:r>
      <w:r w:rsidRPr="00722443" w:rsidR="00E86192">
        <w:rPr>
          <w:color w:val="333333"/>
        </w:rPr>
        <w:t xml:space="preserve">air carriers using the </w:t>
      </w:r>
      <w:r w:rsidRPr="00722443" w:rsidR="00326B1A">
        <w:rPr>
          <w:color w:val="333333"/>
        </w:rPr>
        <w:t>airport</w:t>
      </w:r>
      <w:r w:rsidRPr="00722443">
        <w:rPr>
          <w:color w:val="333333"/>
        </w:rPr>
        <w:t xml:space="preserve"> and</w:t>
      </w:r>
      <w:r w:rsidRPr="00722443">
        <w:rPr>
          <w:color w:val="333333"/>
        </w:rPr>
        <w:t xml:space="preserve"> </w:t>
      </w:r>
      <w:bookmarkStart w:id="6" w:name="a_1_B"/>
      <w:bookmarkEnd w:id="6"/>
      <w:r w:rsidRPr="00722443" w:rsidR="00677699">
        <w:rPr>
          <w:color w:val="333333"/>
        </w:rPr>
        <w:t xml:space="preserve">allowing for </w:t>
      </w:r>
      <w:r w:rsidRPr="00722443" w:rsidR="00326B1A">
        <w:rPr>
          <w:color w:val="333333"/>
        </w:rPr>
        <w:t xml:space="preserve">public </w:t>
      </w:r>
      <w:r w:rsidRPr="00722443">
        <w:rPr>
          <w:color w:val="333333"/>
        </w:rPr>
        <w:t>n</w:t>
      </w:r>
      <w:r w:rsidRPr="00722443">
        <w:rPr>
          <w:color w:val="333333"/>
        </w:rPr>
        <w:t>otice and opportunity for a public hearing.</w:t>
      </w:r>
      <w:r w:rsidRPr="00722443">
        <w:rPr>
          <w:color w:val="333333"/>
        </w:rPr>
        <w:t xml:space="preserve"> A noise compatibility program shall describe the </w:t>
      </w:r>
      <w:r w:rsidRPr="00722443">
        <w:rPr>
          <w:rStyle w:val="chapeau"/>
          <w:color w:val="333333"/>
        </w:rPr>
        <w:t>measures the</w:t>
      </w:r>
      <w:r w:rsidRPr="00722443">
        <w:rPr>
          <w:rStyle w:val="chapeau"/>
          <w:color w:val="333333"/>
        </w:rPr>
        <w:t xml:space="preserve"> </w:t>
      </w:r>
      <w:r w:rsidRPr="00722443" w:rsidR="00A73B40">
        <w:rPr>
          <w:rStyle w:val="chapeau"/>
          <w:color w:val="333333"/>
        </w:rPr>
        <w:t>Airport Sponsor or Operator</w:t>
      </w:r>
      <w:r w:rsidRPr="00722443">
        <w:rPr>
          <w:rStyle w:val="chapeau"/>
          <w:color w:val="333333"/>
        </w:rPr>
        <w:t xml:space="preserve"> </w:t>
      </w:r>
      <w:r w:rsidRPr="00722443">
        <w:rPr>
          <w:rStyle w:val="chapeau"/>
          <w:color w:val="333333"/>
        </w:rPr>
        <w:t xml:space="preserve">has </w:t>
      </w:r>
      <w:r w:rsidRPr="00722443">
        <w:rPr>
          <w:rStyle w:val="chapeau"/>
          <w:color w:val="333333"/>
        </w:rPr>
        <w:t xml:space="preserve">taken </w:t>
      </w:r>
      <w:r w:rsidRPr="00722443">
        <w:rPr>
          <w:rStyle w:val="chapeau"/>
          <w:color w:val="333333"/>
        </w:rPr>
        <w:t>or proposes to take to reduce existing non</w:t>
      </w:r>
      <w:r w:rsidRPr="00722443">
        <w:rPr>
          <w:rStyle w:val="chapeau"/>
          <w:color w:val="333333"/>
        </w:rPr>
        <w:t>-</w:t>
      </w:r>
      <w:r w:rsidRPr="00722443">
        <w:rPr>
          <w:rStyle w:val="chapeau"/>
          <w:color w:val="333333"/>
        </w:rPr>
        <w:t>compatible uses and prevent introducing additional non</w:t>
      </w:r>
      <w:r w:rsidRPr="00722443">
        <w:rPr>
          <w:rStyle w:val="chapeau"/>
          <w:color w:val="333333"/>
        </w:rPr>
        <w:t>-</w:t>
      </w:r>
      <w:r w:rsidRPr="00722443">
        <w:rPr>
          <w:rStyle w:val="chapeau"/>
          <w:color w:val="333333"/>
        </w:rPr>
        <w:t xml:space="preserve">compatible uses in the area covered by the </w:t>
      </w:r>
      <w:r w:rsidRPr="00722443">
        <w:rPr>
          <w:rStyle w:val="chapeau"/>
          <w:color w:val="333333"/>
        </w:rPr>
        <w:t>noise exposure map</w:t>
      </w:r>
      <w:r w:rsidRPr="00722443">
        <w:rPr>
          <w:rStyle w:val="chapeau"/>
          <w:color w:val="333333"/>
        </w:rPr>
        <w:t xml:space="preserve">. </w:t>
      </w:r>
      <w:bookmarkStart w:id="7" w:name="b"/>
      <w:bookmarkEnd w:id="7"/>
    </w:p>
    <w:p w:rsidR="00DB434B" w:rsidRPr="00722443" w:rsidP="00DD050C" w14:paraId="2ADBFFD1" w14:textId="29105CED">
      <w:pPr>
        <w:shd w:val="clear" w:color="auto" w:fill="FFFFFF" w:themeFill="background1"/>
        <w:tabs>
          <w:tab w:val="left" w:pos="8280"/>
        </w:tabs>
        <w:spacing w:before="120" w:after="120"/>
        <w:ind w:firstLine="720"/>
        <w:rPr>
          <w:color w:val="333333"/>
        </w:rPr>
      </w:pPr>
      <w:r w:rsidRPr="00722443">
        <w:t>Per 49 U.S.C. 47504 (b)(1)</w:t>
      </w:r>
      <w:r w:rsidRPr="00722443" w:rsidR="00326B1A">
        <w:t>-(2)</w:t>
      </w:r>
      <w:r w:rsidRPr="00722443">
        <w:t xml:space="preserve">, </w:t>
      </w:r>
      <w:r w:rsidRPr="00722443" w:rsidR="00677699">
        <w:t>N</w:t>
      </w:r>
      <w:r w:rsidRPr="00722443">
        <w:t>oise compatibility program</w:t>
      </w:r>
      <w:r w:rsidRPr="00722443" w:rsidR="00677699">
        <w:t>s</w:t>
      </w:r>
      <w:r w:rsidRPr="00722443">
        <w:t xml:space="preserve"> submitted to the FAA by </w:t>
      </w:r>
      <w:r w:rsidRPr="00722443" w:rsidR="00A73B40">
        <w:t>Airport Sponsors or Operator</w:t>
      </w:r>
      <w:r w:rsidRPr="00722443" w:rsidR="00677699">
        <w:t>s</w:t>
      </w:r>
      <w:r w:rsidRPr="00722443">
        <w:t xml:space="preserve"> for approval must not </w:t>
      </w:r>
      <w:r w:rsidRPr="00722443">
        <w:rPr>
          <w:color w:val="333333"/>
        </w:rPr>
        <w:t xml:space="preserve">place an unreasonable burden on interstate or foreign commerce, must be </w:t>
      </w:r>
      <w:bookmarkStart w:id="8" w:name="b_1_A"/>
      <w:bookmarkStart w:id="9" w:name="b_1_B"/>
      <w:bookmarkEnd w:id="8"/>
      <w:bookmarkEnd w:id="9"/>
      <w:r w:rsidRPr="00722443">
        <w:rPr>
          <w:color w:val="333333"/>
        </w:rPr>
        <w:t>reasonably consistent with achieving the goal of reducing non-compatible uses and preventing the introduction of additional non-compatible uses, and</w:t>
      </w:r>
      <w:bookmarkStart w:id="10" w:name="b_1_C"/>
      <w:bookmarkEnd w:id="10"/>
      <w:r w:rsidRPr="00722443">
        <w:rPr>
          <w:color w:val="333333"/>
        </w:rPr>
        <w:t xml:space="preserve"> provide for necessary revisions because of a revised noise exposure</w:t>
      </w:r>
      <w:r w:rsidRPr="00722443" w:rsidR="008D0A25">
        <w:rPr>
          <w:color w:val="333333"/>
        </w:rPr>
        <w:t xml:space="preserve"> map submitted under </w:t>
      </w:r>
      <w:r w:rsidRPr="00722443">
        <w:rPr>
          <w:color w:val="333333"/>
        </w:rPr>
        <w:t xml:space="preserve">49 U.S.C 47503(b). The FAA </w:t>
      </w:r>
      <w:r w:rsidRPr="00722443" w:rsidR="00326B1A">
        <w:rPr>
          <w:color w:val="333333"/>
        </w:rPr>
        <w:t xml:space="preserve">must act by approving or disapproving a noise compatibility program submitted by an </w:t>
      </w:r>
      <w:r w:rsidRPr="00722443" w:rsidR="00A73B40">
        <w:rPr>
          <w:color w:val="333333"/>
        </w:rPr>
        <w:t>Airport Sponsor or Operator</w:t>
      </w:r>
      <w:r w:rsidRPr="00722443" w:rsidR="00326B1A">
        <w:rPr>
          <w:color w:val="333333"/>
        </w:rPr>
        <w:t xml:space="preserve"> within 180-days or the program will be deemed approved. </w:t>
      </w:r>
    </w:p>
    <w:p w:rsidR="00F610F3" w:rsidRPr="00722443" w:rsidP="00DD050C" w14:paraId="17332331" w14:textId="540BC855">
      <w:pPr>
        <w:shd w:val="clear" w:color="auto" w:fill="FFFFFF" w:themeFill="background1"/>
        <w:tabs>
          <w:tab w:val="left" w:pos="8280"/>
        </w:tabs>
        <w:spacing w:before="120" w:after="120"/>
        <w:ind w:firstLine="720"/>
      </w:pPr>
      <w:bookmarkStart w:id="11" w:name="b_1"/>
      <w:bookmarkEnd w:id="11"/>
      <w:r w:rsidRPr="00722443">
        <w:t>14 CFR 150.21 and 14 CFR</w:t>
      </w:r>
      <w:r w:rsidRPr="00722443" w:rsidR="005614F6">
        <w:t xml:space="preserve"> </w:t>
      </w:r>
      <w:r w:rsidRPr="00722443">
        <w:t xml:space="preserve">150.23 are the corresponding sections in the regulations </w:t>
      </w:r>
      <w:r w:rsidRPr="00722443" w:rsidR="005614F6">
        <w:t xml:space="preserve">for </w:t>
      </w:r>
      <w:r w:rsidRPr="00722443">
        <w:t>implementing the statutory requirements described above</w:t>
      </w:r>
      <w:r w:rsidRPr="00722443" w:rsidR="005614F6">
        <w:t xml:space="preserve">, which </w:t>
      </w:r>
      <w:r w:rsidRPr="00722443">
        <w:t>further details and clarifies their intent.</w:t>
      </w:r>
    </w:p>
    <w:p w:rsidR="00A10E04" w:rsidRPr="00722443" w:rsidP="00DD050C" w14:paraId="676C999B" w14:textId="1B5B3BA5">
      <w:pPr>
        <w:shd w:val="clear" w:color="auto" w:fill="FFFFFF" w:themeFill="background1"/>
        <w:spacing w:before="120" w:after="120"/>
        <w:ind w:firstLine="720"/>
      </w:pPr>
      <w:r w:rsidRPr="00722443">
        <w:t>In addition to the above legislative and regulatory requirements that necessitate this information collection, t</w:t>
      </w:r>
      <w:r w:rsidRPr="00722443">
        <w:t>he ASNA</w:t>
      </w:r>
      <w:r w:rsidRPr="00722443" w:rsidR="003E0635">
        <w:t xml:space="preserve"> </w:t>
      </w:r>
      <w:r w:rsidRPr="00722443">
        <w:t xml:space="preserve">also authorizes FAA to provide financial assistance to Airport Sponsors or Operators for noise compatibility planning. FAA’s Airport Improvement Program (AIP) includes a funding allocation specifically to provide airports financial assistance via grants to undertake noise compatibility planning and implement mitigation </w:t>
      </w:r>
      <w:r w:rsidRPr="00722443" w:rsidR="003E0635">
        <w:t>projects</w:t>
      </w:r>
      <w:r w:rsidRPr="00722443">
        <w:t xml:space="preserve">. </w:t>
      </w:r>
      <w:r w:rsidRPr="00722443" w:rsidR="00D01EBF">
        <w:t xml:space="preserve">One of the primary </w:t>
      </w:r>
      <w:r w:rsidRPr="00722443">
        <w:t>requirements for Airport Sponsors</w:t>
      </w:r>
      <w:r w:rsidRPr="00722443" w:rsidR="003E0635">
        <w:t xml:space="preserve"> or Operators</w:t>
      </w:r>
      <w:r w:rsidRPr="00722443">
        <w:t xml:space="preserve"> </w:t>
      </w:r>
      <w:r w:rsidRPr="00722443" w:rsidR="00F46EE5">
        <w:t>seeking</w:t>
      </w:r>
      <w:r w:rsidRPr="00722443">
        <w:t xml:space="preserve"> financial assistance from </w:t>
      </w:r>
      <w:r w:rsidRPr="00722443" w:rsidR="00F46EE5">
        <w:t xml:space="preserve">the </w:t>
      </w:r>
      <w:r w:rsidRPr="00722443">
        <w:t>FAA for noise compatibility planning</w:t>
      </w:r>
      <w:r w:rsidRPr="00722443">
        <w:t xml:space="preserve"> and mitigation projects</w:t>
      </w:r>
      <w:r w:rsidRPr="00722443">
        <w:t xml:space="preserve"> is to have </w:t>
      </w:r>
      <w:r w:rsidRPr="00722443" w:rsidR="002D4D79">
        <w:t xml:space="preserve">a current </w:t>
      </w:r>
      <w:r w:rsidRPr="00722443" w:rsidR="00F46EE5">
        <w:t>no</w:t>
      </w:r>
      <w:r w:rsidRPr="00722443" w:rsidR="002D4D79">
        <w:t>i</w:t>
      </w:r>
      <w:r w:rsidRPr="00722443" w:rsidR="00F46EE5">
        <w:t xml:space="preserve">se exposure map and noise compatibility program </w:t>
      </w:r>
      <w:r w:rsidRPr="00722443">
        <w:t>accepted and approved, respectively, by FAA.</w:t>
      </w:r>
      <w:r w:rsidRPr="00722443" w:rsidR="00BA09EE">
        <w:t xml:space="preserve"> </w:t>
      </w:r>
    </w:p>
    <w:p w:rsidR="004D0917" w:rsidRPr="00722443" w:rsidP="00DD050C" w14:paraId="710630AE" w14:textId="77777777">
      <w:pPr>
        <w:keepNext/>
        <w:shd w:val="clear" w:color="auto" w:fill="FFFFFF" w:themeFill="background1"/>
        <w:spacing w:before="120" w:after="120"/>
      </w:pPr>
      <w:r w:rsidRPr="00722443">
        <w:t>2.</w:t>
      </w:r>
      <w:r w:rsidRPr="00722443">
        <w:tab/>
      </w:r>
      <w:r w:rsidRPr="00722443">
        <w:rPr>
          <w:b/>
        </w:rPr>
        <w:t>Indicate how, by whom, and for what purpose the information is to be used.  Except for a new collection, indicate the actual use the agency has made of the information received from the current collection.</w:t>
      </w:r>
    </w:p>
    <w:p w:rsidR="00AE471B" w:rsidRPr="00722443" w:rsidP="00DD050C" w14:paraId="6A7E6179" w14:textId="25F8AA31">
      <w:pPr>
        <w:shd w:val="clear" w:color="auto" w:fill="FFFFFF" w:themeFill="background1"/>
        <w:spacing w:before="120" w:after="120"/>
        <w:ind w:firstLine="720"/>
      </w:pPr>
      <w:r w:rsidRPr="00722443">
        <w:t xml:space="preserve">The respondents for this </w:t>
      </w:r>
      <w:r>
        <w:t xml:space="preserve">information </w:t>
      </w:r>
      <w:r w:rsidRPr="00722443">
        <w:t>collection are the Airport Sponsors or Operators of public use airports</w:t>
      </w:r>
      <w:r>
        <w:t>.</w:t>
      </w:r>
      <w:r w:rsidRPr="00722443">
        <w:t xml:space="preserve"> </w:t>
      </w:r>
      <w:r w:rsidRPr="00722443" w:rsidR="00735F4D">
        <w:t xml:space="preserve">The </w:t>
      </w:r>
      <w:r w:rsidRPr="00722443" w:rsidR="00A73B40">
        <w:t>Airport Sponsors or Operator</w:t>
      </w:r>
      <w:r w:rsidRPr="00722443" w:rsidR="000A45E7">
        <w:t xml:space="preserve">s </w:t>
      </w:r>
      <w:r w:rsidRPr="00722443" w:rsidR="00DB0E12">
        <w:t xml:space="preserve">(respondents) </w:t>
      </w:r>
      <w:r w:rsidRPr="00722443" w:rsidR="000A45E7">
        <w:t>of public</w:t>
      </w:r>
      <w:r w:rsidRPr="00722443" w:rsidR="000A45E7">
        <w:rPr>
          <w:color w:val="000000"/>
          <w:shd w:val="clear" w:color="auto" w:fill="FFFFFF"/>
        </w:rPr>
        <w:t xml:space="preserve"> </w:t>
      </w:r>
      <w:r w:rsidRPr="00722443" w:rsidR="000A45E7">
        <w:t>use airports</w:t>
      </w:r>
      <w:r w:rsidRPr="00722443" w:rsidR="007B6862">
        <w:t>, including heliports</w:t>
      </w:r>
      <w:r w:rsidRPr="00722443">
        <w:t>, and the FAA use this information collection for noise compatibility planning</w:t>
      </w:r>
      <w:r w:rsidRPr="00722443" w:rsidR="00484CE9">
        <w:t xml:space="preserve"> per statutory and regulatory requirements explained in item 1 of this document. The following </w:t>
      </w:r>
      <w:r w:rsidRPr="00722443" w:rsidR="008D2523">
        <w:t xml:space="preserve">explanations </w:t>
      </w:r>
      <w:r w:rsidRPr="00722443" w:rsidR="00484CE9">
        <w:t>provide additional details on the purpose of and how this information collected is used</w:t>
      </w:r>
      <w:r w:rsidRPr="00722443" w:rsidR="008D2523">
        <w:t xml:space="preserve"> by </w:t>
      </w:r>
      <w:r w:rsidR="004D06BE">
        <w:t>Airport Sponsors or Operators (respondents)</w:t>
      </w:r>
      <w:r w:rsidRPr="00722443" w:rsidR="008D2523">
        <w:t xml:space="preserve"> and FAA.</w:t>
      </w:r>
      <w:r w:rsidRPr="00722443" w:rsidR="00484CE9">
        <w:t xml:space="preserve"> </w:t>
      </w:r>
    </w:p>
    <w:p w:rsidR="008D2523" w:rsidRPr="00722443" w:rsidP="00DD050C" w14:paraId="11AC46B0" w14:textId="6B01DD1F">
      <w:pPr>
        <w:shd w:val="clear" w:color="auto" w:fill="FFFFFF" w:themeFill="background1"/>
        <w:spacing w:before="120" w:after="120"/>
        <w:ind w:firstLine="720"/>
      </w:pPr>
      <w:r>
        <w:t>Airport Sponsors or Operators (respondents)</w:t>
      </w:r>
      <w:r w:rsidRPr="00722443" w:rsidR="00AE471B">
        <w:t xml:space="preserve"> </w:t>
      </w:r>
      <w:r w:rsidRPr="00722443" w:rsidR="002D4D79">
        <w:t xml:space="preserve">who </w:t>
      </w:r>
      <w:r w:rsidRPr="00722443" w:rsidR="008864D3">
        <w:t xml:space="preserve">voluntarily </w:t>
      </w:r>
      <w:r w:rsidRPr="00722443" w:rsidR="0006062D">
        <w:t xml:space="preserve">participate in the Part 150 process and </w:t>
      </w:r>
      <w:r w:rsidRPr="00722443" w:rsidR="008864D3">
        <w:t>submit</w:t>
      </w:r>
      <w:r w:rsidRPr="00722443" w:rsidR="00735F4D">
        <w:t xml:space="preserve"> </w:t>
      </w:r>
      <w:r w:rsidRPr="00722443" w:rsidR="004D0917">
        <w:t>noise exposure maps and noise compatibility progr</w:t>
      </w:r>
      <w:r w:rsidRPr="00722443" w:rsidR="007B6862">
        <w:t xml:space="preserve">ams or </w:t>
      </w:r>
      <w:r w:rsidRPr="00722443" w:rsidR="008864D3">
        <w:t>revisions</w:t>
      </w:r>
      <w:r w:rsidRPr="00722443" w:rsidR="00D120EB">
        <w:t xml:space="preserve"> of these</w:t>
      </w:r>
      <w:r w:rsidRPr="00722443" w:rsidR="00B1707B">
        <w:t xml:space="preserve"> to the FAA</w:t>
      </w:r>
      <w:r w:rsidRPr="00722443" w:rsidR="00AE471B">
        <w:t>, use t</w:t>
      </w:r>
      <w:r w:rsidRPr="00722443" w:rsidR="0006062D">
        <w:t>h</w:t>
      </w:r>
      <w:r w:rsidRPr="00722443" w:rsidR="00781B9A">
        <w:t>e</w:t>
      </w:r>
      <w:r w:rsidRPr="00722443" w:rsidR="0006062D">
        <w:t xml:space="preserve"> information </w:t>
      </w:r>
      <w:r w:rsidRPr="00722443" w:rsidR="00781B9A">
        <w:t xml:space="preserve">collected </w:t>
      </w:r>
      <w:r w:rsidRPr="00722443" w:rsidR="0006062D">
        <w:t>to determine noise exposure levels</w:t>
      </w:r>
      <w:r w:rsidRPr="00722443" w:rsidR="00484CE9">
        <w:t xml:space="preserve">, </w:t>
      </w:r>
      <w:r w:rsidRPr="00722443" w:rsidR="00F37288">
        <w:t xml:space="preserve">analyze </w:t>
      </w:r>
      <w:r w:rsidRPr="00722443" w:rsidR="0006062D">
        <w:t xml:space="preserve">impacts of </w:t>
      </w:r>
      <w:r w:rsidRPr="00722443" w:rsidR="00F37288">
        <w:t>aviation noise from airport operations</w:t>
      </w:r>
      <w:r w:rsidRPr="00722443" w:rsidR="00484CE9">
        <w:t>,</w:t>
      </w:r>
      <w:r w:rsidRPr="00722443" w:rsidR="0006062D">
        <w:t xml:space="preserve"> and identify mitigation measures to minimize the impacts of aviation noise</w:t>
      </w:r>
      <w:r w:rsidRPr="00722443" w:rsidR="00171DAD">
        <w:t xml:space="preserve"> based on </w:t>
      </w:r>
      <w:r w:rsidRPr="00722443" w:rsidR="00F37288">
        <w:t xml:space="preserve">noise </w:t>
      </w:r>
      <w:r w:rsidRPr="00722443" w:rsidR="00171DAD">
        <w:t>exposure levels</w:t>
      </w:r>
      <w:r w:rsidRPr="00722443" w:rsidR="0006062D">
        <w:t xml:space="preserve">. </w:t>
      </w:r>
      <w:r w:rsidRPr="00722443" w:rsidR="00735F4D">
        <w:t>The basic information is required to be collected only once, and only if the Airport Sponsor or Operator voluntarily participates in the Part 150 process. Thereafter, information is required to be collected as needed. Typically, this is only when there is a change in airport operations that create a substantial</w:t>
      </w:r>
      <w:r w:rsidRPr="00722443" w:rsidR="00171DAD">
        <w:t>,</w:t>
      </w:r>
      <w:r w:rsidRPr="00722443" w:rsidR="00735F4D">
        <w:t xml:space="preserve"> new non-compatible use or a substantial reduction in the noise generated by airport operations in an area depicted on the noise exposure map</w:t>
      </w:r>
      <w:r w:rsidRPr="00722443" w:rsidR="00171DAD">
        <w:t xml:space="preserve"> previously prepared</w:t>
      </w:r>
      <w:r w:rsidRPr="00722443" w:rsidR="00735F4D">
        <w:t>. These events trigger a required revision of the noise exposure map and possibly a revision of the noise compatibility program, and only for the information that has changed (e.g., only information that changed is updated in the noise compatibility program</w:t>
      </w:r>
      <w:r w:rsidRPr="00722443" w:rsidR="002D4D79">
        <w:t xml:space="preserve"> since the initial documents were prepared</w:t>
      </w:r>
      <w:r w:rsidRPr="00722443" w:rsidR="00735F4D">
        <w:t>).</w:t>
      </w:r>
      <w:r w:rsidRPr="00722443" w:rsidR="00171DAD">
        <w:t xml:space="preserve"> </w:t>
      </w:r>
    </w:p>
    <w:p w:rsidR="00762F0D" w:rsidRPr="00722443" w:rsidP="00DD050C" w14:paraId="0EE7C86C" w14:textId="02238413">
      <w:pPr>
        <w:shd w:val="clear" w:color="auto" w:fill="FFFFFF" w:themeFill="background1"/>
        <w:spacing w:before="120" w:after="120"/>
        <w:ind w:firstLine="720"/>
      </w:pPr>
      <w:r w:rsidRPr="00722443">
        <w:t>T</w:t>
      </w:r>
      <w:r w:rsidRPr="00722443" w:rsidR="00171DAD">
        <w:t xml:space="preserve">his information collection is about noise </w:t>
      </w:r>
      <w:r w:rsidRPr="00722443" w:rsidR="00405A42">
        <w:t xml:space="preserve">compatibility planning </w:t>
      </w:r>
      <w:r w:rsidRPr="00722443" w:rsidR="00DB0E12">
        <w:t xml:space="preserve">that can benefit </w:t>
      </w:r>
      <w:r w:rsidRPr="00722443" w:rsidR="00405A42">
        <w:t xml:space="preserve">communities surrounding public use airports, </w:t>
      </w:r>
      <w:r w:rsidRPr="00722443">
        <w:t xml:space="preserve">thus </w:t>
      </w:r>
      <w:r w:rsidRPr="00722443" w:rsidR="00171DAD">
        <w:t xml:space="preserve">the information collected </w:t>
      </w:r>
      <w:r w:rsidRPr="00722443">
        <w:t xml:space="preserve">and reported is </w:t>
      </w:r>
      <w:r w:rsidRPr="00722443" w:rsidR="00171DAD">
        <w:t>specific</w:t>
      </w:r>
      <w:r w:rsidRPr="00722443">
        <w:t xml:space="preserve"> to </w:t>
      </w:r>
      <w:r w:rsidRPr="00722443" w:rsidR="00171DAD">
        <w:t xml:space="preserve">depicting non-compatible </w:t>
      </w:r>
      <w:r w:rsidRPr="00722443" w:rsidR="00405A42">
        <w:t xml:space="preserve">land </w:t>
      </w:r>
      <w:r w:rsidRPr="00722443" w:rsidR="00171DAD">
        <w:t xml:space="preserve">uses </w:t>
      </w:r>
      <w:r w:rsidRPr="00722443" w:rsidR="00405A42">
        <w:t>and the associated</w:t>
      </w:r>
      <w:r w:rsidRPr="00722443">
        <w:t xml:space="preserve"> noise contours </w:t>
      </w:r>
      <w:r w:rsidRPr="00722443" w:rsidR="00405A42">
        <w:t>on a map</w:t>
      </w:r>
      <w:r w:rsidRPr="00722443" w:rsidR="00171DAD">
        <w:t>, providing estimated aircraft operations during a forecast period that is at least five years in the future</w:t>
      </w:r>
      <w:r w:rsidRPr="00722443" w:rsidR="008D2523">
        <w:t>,</w:t>
      </w:r>
      <w:r w:rsidRPr="00722443" w:rsidR="00171DAD">
        <w:t xml:space="preserve"> and how thos</w:t>
      </w:r>
      <w:r w:rsidRPr="00722443" w:rsidR="00405A42">
        <w:t xml:space="preserve">e operations </w:t>
      </w:r>
      <w:r w:rsidRPr="00722443" w:rsidR="008D2523">
        <w:t>will a</w:t>
      </w:r>
      <w:r w:rsidRPr="00722443" w:rsidR="00405A42">
        <w:t>ffect the noise exposure levels and land uses.</w:t>
      </w:r>
      <w:r w:rsidRPr="00722443" w:rsidR="00B57D0F">
        <w:t xml:space="preserve"> The </w:t>
      </w:r>
      <w:r w:rsidRPr="00722443" w:rsidR="00484CE9">
        <w:t xml:space="preserve">noise compatibility planning associated with this </w:t>
      </w:r>
      <w:r w:rsidRPr="00722443" w:rsidR="00405A42">
        <w:t xml:space="preserve">information </w:t>
      </w:r>
      <w:r w:rsidRPr="00722443" w:rsidR="00484CE9">
        <w:t>collection is ongoing</w:t>
      </w:r>
      <w:r w:rsidRPr="00722443">
        <w:t xml:space="preserve"> and varies annually. </w:t>
      </w:r>
      <w:r w:rsidRPr="00722443" w:rsidR="00B57D0F">
        <w:t>For example, all public use airports initiate and update this information at different times and the average time to complete the Part 150 process ranges from two-five years</w:t>
      </w:r>
      <w:r w:rsidRPr="00722443" w:rsidR="003C5F16">
        <w:t>, depending on the program category and extent of non-compatible land uses</w:t>
      </w:r>
      <w:r w:rsidRPr="00722443" w:rsidR="00B57D0F">
        <w:t xml:space="preserve">. Once planning </w:t>
      </w:r>
      <w:r w:rsidRPr="00722443" w:rsidR="003C5F16">
        <w:t xml:space="preserve">documentation </w:t>
      </w:r>
      <w:r w:rsidRPr="00722443" w:rsidR="00B57D0F">
        <w:t xml:space="preserve">is complete, the implementation of mitigation </w:t>
      </w:r>
      <w:r w:rsidRPr="00722443" w:rsidR="003C5F16">
        <w:t>o</w:t>
      </w:r>
      <w:r w:rsidRPr="00722443" w:rsidR="00B57D0F">
        <w:t xml:space="preserve">utlined </w:t>
      </w:r>
      <w:r w:rsidRPr="00722443" w:rsidR="00F37288">
        <w:t xml:space="preserve">in </w:t>
      </w:r>
      <w:r w:rsidRPr="00722443" w:rsidR="003C5F16">
        <w:t>noise compatibility plans</w:t>
      </w:r>
      <w:r w:rsidRPr="00722443" w:rsidR="00B57D0F">
        <w:t xml:space="preserve"> occurs in phases, over multiple years. For airports with extensive non-compatible land uses, this occurs</w:t>
      </w:r>
      <w:r w:rsidRPr="00722443" w:rsidR="00F37288">
        <w:t xml:space="preserve"> over decades and another reason why</w:t>
      </w:r>
      <w:r w:rsidR="00DD050C">
        <w:t>.</w:t>
      </w:r>
    </w:p>
    <w:p w:rsidR="00F968DB" w:rsidRPr="00722443" w:rsidP="00DD050C" w14:paraId="44C20F6D" w14:textId="61A4D00F">
      <w:pPr>
        <w:shd w:val="clear" w:color="auto" w:fill="FFFFFF" w:themeFill="background1"/>
        <w:spacing w:before="120" w:after="120"/>
        <w:ind w:firstLine="720"/>
      </w:pPr>
      <w:r w:rsidRPr="00722443">
        <w:rPr>
          <w:bCs/>
        </w:rPr>
        <w:t xml:space="preserve">FAA </w:t>
      </w:r>
      <w:r w:rsidRPr="00722443" w:rsidR="00B57D0F">
        <w:rPr>
          <w:bCs/>
        </w:rPr>
        <w:t xml:space="preserve">receives and </w:t>
      </w:r>
      <w:r w:rsidRPr="00722443" w:rsidR="00AE471B">
        <w:rPr>
          <w:bCs/>
        </w:rPr>
        <w:t xml:space="preserve">uses this information collection because it </w:t>
      </w:r>
      <w:r w:rsidRPr="00722443" w:rsidR="00A10E04">
        <w:rPr>
          <w:bCs/>
        </w:rPr>
        <w:t xml:space="preserve">manages the Noise Compatibly Program pursuant to the </w:t>
      </w:r>
      <w:r w:rsidRPr="00722443" w:rsidR="00F37288">
        <w:rPr>
          <w:bCs/>
        </w:rPr>
        <w:t>ASNA</w:t>
      </w:r>
      <w:r w:rsidRPr="00722443" w:rsidR="00A10E04">
        <w:rPr>
          <w:bCs/>
        </w:rPr>
        <w:t xml:space="preserve"> and 14 CFR Part 150</w:t>
      </w:r>
      <w:r w:rsidRPr="00722443" w:rsidR="00AE471B">
        <w:rPr>
          <w:bCs/>
        </w:rPr>
        <w:t xml:space="preserve"> </w:t>
      </w:r>
      <w:r w:rsidRPr="00722443" w:rsidR="002D4D79">
        <w:rPr>
          <w:bCs/>
        </w:rPr>
        <w:t xml:space="preserve">and </w:t>
      </w:r>
      <w:r w:rsidRPr="00722443" w:rsidR="00AE471B">
        <w:rPr>
          <w:bCs/>
        </w:rPr>
        <w:t xml:space="preserve">FAA’s </w:t>
      </w:r>
      <w:r w:rsidRPr="00722443" w:rsidR="00A10E04">
        <w:rPr>
          <w:bCs/>
        </w:rPr>
        <w:t xml:space="preserve">role involves </w:t>
      </w:r>
      <w:r w:rsidRPr="00722443">
        <w:rPr>
          <w:bCs/>
        </w:rPr>
        <w:t>oversight</w:t>
      </w:r>
      <w:r w:rsidRPr="00722443" w:rsidR="00A10E04">
        <w:rPr>
          <w:bCs/>
        </w:rPr>
        <w:t xml:space="preserve"> and providing funding</w:t>
      </w:r>
      <w:r w:rsidRPr="00722443">
        <w:rPr>
          <w:bCs/>
        </w:rPr>
        <w:t xml:space="preserve"> </w:t>
      </w:r>
      <w:r w:rsidRPr="00722443" w:rsidR="00F37288">
        <w:rPr>
          <w:bCs/>
        </w:rPr>
        <w:t xml:space="preserve">via </w:t>
      </w:r>
      <w:r w:rsidRPr="00722443" w:rsidR="00171DAD">
        <w:rPr>
          <w:bCs/>
        </w:rPr>
        <w:t>grants to airports</w:t>
      </w:r>
      <w:r w:rsidRPr="00722443" w:rsidR="008D2523">
        <w:rPr>
          <w:bCs/>
        </w:rPr>
        <w:t xml:space="preserve">, </w:t>
      </w:r>
      <w:r w:rsidRPr="00722443" w:rsidR="00AE471B">
        <w:rPr>
          <w:bCs/>
        </w:rPr>
        <w:t xml:space="preserve">however, </w:t>
      </w:r>
      <w:r w:rsidRPr="00722443" w:rsidR="00A10E04">
        <w:rPr>
          <w:bCs/>
        </w:rPr>
        <w:t>FAA does not implement noise compa</w:t>
      </w:r>
      <w:r w:rsidRPr="00722443" w:rsidR="003C5F16">
        <w:rPr>
          <w:bCs/>
        </w:rPr>
        <w:t xml:space="preserve">tibility programs </w:t>
      </w:r>
      <w:r w:rsidRPr="00722443" w:rsidR="00A10E04">
        <w:rPr>
          <w:bCs/>
        </w:rPr>
        <w:t xml:space="preserve">for airports. </w:t>
      </w:r>
      <w:r w:rsidRPr="00722443">
        <w:rPr>
          <w:bCs/>
        </w:rPr>
        <w:t xml:space="preserve">Thus, </w:t>
      </w:r>
      <w:r w:rsidRPr="00722443" w:rsidR="00A10E04">
        <w:rPr>
          <w:bCs/>
        </w:rPr>
        <w:t xml:space="preserve">FAA involvement in </w:t>
      </w:r>
      <w:r w:rsidRPr="00722443" w:rsidR="00F37288">
        <w:rPr>
          <w:bCs/>
        </w:rPr>
        <w:t xml:space="preserve">the </w:t>
      </w:r>
      <w:r w:rsidRPr="00722443" w:rsidR="00A10E04">
        <w:rPr>
          <w:bCs/>
        </w:rPr>
        <w:t xml:space="preserve">noise compatibly planning starts when </w:t>
      </w:r>
      <w:r w:rsidRPr="00722443" w:rsidR="00F37288">
        <w:rPr>
          <w:bCs/>
        </w:rPr>
        <w:t>the A</w:t>
      </w:r>
      <w:r w:rsidRPr="00722443" w:rsidR="00A10E04">
        <w:rPr>
          <w:bCs/>
        </w:rPr>
        <w:t>irport</w:t>
      </w:r>
      <w:r w:rsidRPr="00722443" w:rsidR="00F37288">
        <w:rPr>
          <w:bCs/>
        </w:rPr>
        <w:t xml:space="preserve"> S</w:t>
      </w:r>
      <w:r w:rsidRPr="00722443" w:rsidR="00A10E04">
        <w:rPr>
          <w:bCs/>
        </w:rPr>
        <w:t>ponsor</w:t>
      </w:r>
      <w:r w:rsidRPr="00722443" w:rsidR="00F37288">
        <w:rPr>
          <w:bCs/>
        </w:rPr>
        <w:t xml:space="preserve"> or Operator (respondents) </w:t>
      </w:r>
      <w:r w:rsidRPr="00722443" w:rsidR="00A10E04">
        <w:rPr>
          <w:bCs/>
        </w:rPr>
        <w:t>identifies potential impacts from aviation noise resulting in non-compatible land use</w:t>
      </w:r>
      <w:r w:rsidRPr="00722443" w:rsidR="00102029">
        <w:rPr>
          <w:bCs/>
        </w:rPr>
        <w:t>s</w:t>
      </w:r>
      <w:r w:rsidRPr="00722443" w:rsidR="00A10E04">
        <w:rPr>
          <w:bCs/>
        </w:rPr>
        <w:t xml:space="preserve"> and develops recommended mitigation measures</w:t>
      </w:r>
      <w:r w:rsidRPr="00722443">
        <w:rPr>
          <w:bCs/>
        </w:rPr>
        <w:t xml:space="preserve">, which </w:t>
      </w:r>
      <w:r w:rsidRPr="00722443">
        <w:rPr>
          <w:bCs/>
        </w:rPr>
        <w:t>a</w:t>
      </w:r>
      <w:r w:rsidRPr="00722443" w:rsidR="00A10E04">
        <w:rPr>
          <w:bCs/>
        </w:rPr>
        <w:t>irport</w:t>
      </w:r>
      <w:r w:rsidRPr="00722443">
        <w:rPr>
          <w:bCs/>
        </w:rPr>
        <w:t>s</w:t>
      </w:r>
      <w:r w:rsidRPr="00722443" w:rsidR="00A10E04">
        <w:rPr>
          <w:bCs/>
        </w:rPr>
        <w:t xml:space="preserve"> </w:t>
      </w:r>
      <w:r w:rsidRPr="00722443" w:rsidR="00AE471B">
        <w:rPr>
          <w:bCs/>
        </w:rPr>
        <w:t xml:space="preserve">do </w:t>
      </w:r>
      <w:r w:rsidRPr="00722443" w:rsidR="00A10E04">
        <w:rPr>
          <w:bCs/>
        </w:rPr>
        <w:t xml:space="preserve">through </w:t>
      </w:r>
      <w:r w:rsidRPr="00722443">
        <w:rPr>
          <w:bCs/>
        </w:rPr>
        <w:t xml:space="preserve">voluntarily </w:t>
      </w:r>
      <w:r w:rsidRPr="00722443" w:rsidR="00A10E04">
        <w:rPr>
          <w:bCs/>
        </w:rPr>
        <w:t xml:space="preserve">undertaking a </w:t>
      </w:r>
      <w:r w:rsidRPr="00722443" w:rsidR="00A10E04">
        <w:t>Part 150 study</w:t>
      </w:r>
      <w:r w:rsidRPr="00722443">
        <w:t xml:space="preserve">. </w:t>
      </w:r>
      <w:r w:rsidRPr="00722443" w:rsidR="008864D3">
        <w:t>FAA</w:t>
      </w:r>
      <w:r w:rsidRPr="00722443" w:rsidR="004D0917">
        <w:t xml:space="preserve"> </w:t>
      </w:r>
      <w:r w:rsidRPr="00722443" w:rsidR="008D2523">
        <w:t>r</w:t>
      </w:r>
      <w:r w:rsidRPr="00722443" w:rsidR="00AE471B">
        <w:t>eview</w:t>
      </w:r>
      <w:r w:rsidRPr="00722443" w:rsidR="008D2523">
        <w:t>s</w:t>
      </w:r>
      <w:r w:rsidRPr="00722443" w:rsidR="004D0917">
        <w:t xml:space="preserve"> the </w:t>
      </w:r>
      <w:r w:rsidRPr="00722443" w:rsidR="00735F4D">
        <w:t xml:space="preserve">Airport Sponsor or Operators </w:t>
      </w:r>
      <w:r w:rsidRPr="00722443" w:rsidR="004D0917">
        <w:t xml:space="preserve">submissions to determine if </w:t>
      </w:r>
      <w:r w:rsidRPr="00722443" w:rsidR="00422729">
        <w:t xml:space="preserve">the </w:t>
      </w:r>
      <w:r w:rsidRPr="00722443" w:rsidR="00D120EB">
        <w:t xml:space="preserve">noise exposure maps depict the appropriate noise contours and </w:t>
      </w:r>
      <w:r w:rsidRPr="00722443" w:rsidR="008D2523">
        <w:t xml:space="preserve">land uses, </w:t>
      </w:r>
      <w:r w:rsidRPr="00722443" w:rsidR="00D120EB">
        <w:t xml:space="preserve">that the </w:t>
      </w:r>
      <w:r w:rsidRPr="00722443" w:rsidR="004D0917">
        <w:t xml:space="preserve">noise compatibility program </w:t>
      </w:r>
      <w:r w:rsidRPr="00722443" w:rsidR="00422729">
        <w:t xml:space="preserve">recommendations </w:t>
      </w:r>
      <w:r w:rsidRPr="00722443" w:rsidR="00376D1E">
        <w:t xml:space="preserve">will reduce land uses that are incompatible with airport </w:t>
      </w:r>
      <w:r w:rsidRPr="00722443" w:rsidR="008D2523">
        <w:t xml:space="preserve">operations (aviation noise), and if the Airport Sponsor or Operator </w:t>
      </w:r>
      <w:r w:rsidRPr="00722443" w:rsidR="00677699">
        <w:t>would be eligible</w:t>
      </w:r>
      <w:r w:rsidRPr="00722443" w:rsidR="004D0917">
        <w:t xml:space="preserve"> for </w:t>
      </w:r>
      <w:r w:rsidRPr="00722443" w:rsidR="00FB3D58">
        <w:t>f</w:t>
      </w:r>
      <w:r w:rsidRPr="00722443" w:rsidR="004D0917">
        <w:t xml:space="preserve">ederal </w:t>
      </w:r>
      <w:r w:rsidRPr="00722443" w:rsidR="00FB3D58">
        <w:t xml:space="preserve">financial assistance </w:t>
      </w:r>
      <w:r w:rsidRPr="00722443">
        <w:t>from the FAA.</w:t>
      </w:r>
      <w:r w:rsidRPr="00722443" w:rsidR="008D2523">
        <w:t xml:space="preserve"> </w:t>
      </w:r>
      <w:r w:rsidRPr="00722443" w:rsidR="00102029">
        <w:t xml:space="preserve">Since </w:t>
      </w:r>
      <w:r w:rsidRPr="00722443" w:rsidR="00DD050C">
        <w:t>the</w:t>
      </w:r>
      <w:r w:rsidRPr="00722443" w:rsidR="00102029">
        <w:t xml:space="preserve"> airports implementation of mitigation measures occurs over time, FAA refers to the initial or updated noise exposure maps and noise compatibility programs</w:t>
      </w:r>
      <w:r w:rsidRPr="00722443" w:rsidR="00A60FE7">
        <w:t xml:space="preserve"> when reviewing request</w:t>
      </w:r>
      <w:r w:rsidRPr="00722443" w:rsidR="00E10134">
        <w:t>s</w:t>
      </w:r>
      <w:r w:rsidRPr="00722443" w:rsidR="00A60FE7">
        <w:t xml:space="preserve"> for financial assistance for specific noise mitigation projects. </w:t>
      </w:r>
      <w:r w:rsidRPr="00722443">
        <w:t xml:space="preserve">If </w:t>
      </w:r>
      <w:r w:rsidR="004D06BE">
        <w:t>Airport Sponsors or Operators (respondents)</w:t>
      </w:r>
      <w:r w:rsidRPr="00722443">
        <w:t xml:space="preserve"> did not voluntarily submit noise exposure maps and noise compatibility programs for FAA review and approval, the Airport Sponsor or Operator would not be eligible for federal financial assistance. </w:t>
      </w:r>
      <w:r w:rsidR="004D06BE">
        <w:t>Airport Sponsors or Operators (respondents)</w:t>
      </w:r>
      <w:r w:rsidRPr="00722443" w:rsidR="00526BD9">
        <w:t xml:space="preserve"> could also lose their eligibility for federal financial assistance if the noise at the airport has either significantly increased or significantly </w:t>
      </w:r>
      <w:r w:rsidRPr="00722443" w:rsidR="00DD050C">
        <w:t>decreased,</w:t>
      </w:r>
      <w:r w:rsidRPr="00722443" w:rsidR="00526BD9">
        <w:t xml:space="preserve"> and they did not </w:t>
      </w:r>
      <w:r w:rsidRPr="00722443">
        <w:t xml:space="preserve">submit required updates </w:t>
      </w:r>
      <w:r w:rsidRPr="00722443" w:rsidR="00526BD9">
        <w:t xml:space="preserve">to </w:t>
      </w:r>
      <w:r w:rsidRPr="00722443">
        <w:t>FAA approved programs</w:t>
      </w:r>
      <w:r w:rsidRPr="00722443" w:rsidR="00526BD9">
        <w:t>.</w:t>
      </w:r>
      <w:r w:rsidRPr="00722443" w:rsidR="00102029">
        <w:t xml:space="preserve">  </w:t>
      </w:r>
    </w:p>
    <w:p w:rsidR="00AE471B" w:rsidRPr="00722443" w:rsidP="00DD050C" w14:paraId="4515B660" w14:textId="2F38758C">
      <w:pPr>
        <w:shd w:val="clear" w:color="auto" w:fill="FFFFFF" w:themeFill="background1"/>
        <w:spacing w:before="120" w:after="120"/>
        <w:ind w:firstLine="720"/>
      </w:pPr>
      <w:r w:rsidRPr="00722443">
        <w:t xml:space="preserve">In addition to reviewing </w:t>
      </w:r>
      <w:r w:rsidRPr="00722443" w:rsidR="00B57D0F">
        <w:t xml:space="preserve">noise exposure maps and noise compatibility programs submitted by </w:t>
      </w:r>
      <w:r w:rsidR="004D06BE">
        <w:t>Airport Sponsors or Operators (respondents)</w:t>
      </w:r>
      <w:r w:rsidRPr="00722443" w:rsidR="00B57D0F">
        <w:t xml:space="preserve">, </w:t>
      </w:r>
      <w:r w:rsidRPr="00722443">
        <w:t xml:space="preserve">the FAA </w:t>
      </w:r>
      <w:r w:rsidRPr="00722443" w:rsidR="00102029">
        <w:t xml:space="preserve">continues to respond </w:t>
      </w:r>
      <w:r w:rsidRPr="00722443">
        <w:t xml:space="preserve">to requests from Congress, aviation industry groups, colleges or universities, special interest groups and the public for statistical, federal funding, and other information about noise compatibility programs, noise exposure, and mitigation proposed or implemented </w:t>
      </w:r>
      <w:r w:rsidRPr="00722443">
        <w:t xml:space="preserve">to </w:t>
      </w:r>
      <w:r w:rsidRPr="00722443">
        <w:t>reduc</w:t>
      </w:r>
      <w:r w:rsidRPr="00722443">
        <w:t>e</w:t>
      </w:r>
      <w:r w:rsidRPr="00722443">
        <w:t xml:space="preserve"> impacts of aviation noise at public use airports</w:t>
      </w:r>
      <w:r w:rsidRPr="00722443">
        <w:t xml:space="preserve">. Since this information </w:t>
      </w:r>
      <w:r w:rsidRPr="00722443">
        <w:t xml:space="preserve">is available from the noise exposure maps and noise compatibility program submittals to the FAA by </w:t>
      </w:r>
      <w:r w:rsidR="004D06BE">
        <w:t>Airport Sponsors or Operators (respondents)</w:t>
      </w:r>
      <w:r w:rsidRPr="00722443">
        <w:t>, FAA use</w:t>
      </w:r>
      <w:r w:rsidRPr="00722443" w:rsidR="00102029">
        <w:t>s</w:t>
      </w:r>
      <w:r w:rsidRPr="00722443">
        <w:t xml:space="preserve"> this information collection to respond to such requests</w:t>
      </w:r>
      <w:r w:rsidRPr="00722443">
        <w:t xml:space="preserve">. </w:t>
      </w:r>
      <w:r w:rsidRPr="00722443" w:rsidR="00102029">
        <w:t>FAA also</w:t>
      </w:r>
      <w:r w:rsidRPr="00722443">
        <w:t xml:space="preserve"> provides statistical information in its annual reports to Congress regarding the number of airports participating in the Part 150 process </w:t>
      </w:r>
      <w:r w:rsidRPr="00722443" w:rsidR="00102029">
        <w:t xml:space="preserve">and federal </w:t>
      </w:r>
      <w:r w:rsidRPr="00722443">
        <w:t xml:space="preserve">financial assistance issued to airports associated with their participation in the Part 150 process and </w:t>
      </w:r>
      <w:r w:rsidRPr="00722443" w:rsidR="00102029">
        <w:t xml:space="preserve">makes this information available on </w:t>
      </w:r>
      <w:r w:rsidRPr="00722443">
        <w:t xml:space="preserve">the Internet.  FAA </w:t>
      </w:r>
      <w:r w:rsidRPr="00722443">
        <w:t xml:space="preserve">posts </w:t>
      </w:r>
      <w:r w:rsidRPr="00722443">
        <w:t xml:space="preserve">information about </w:t>
      </w:r>
      <w:r w:rsidRPr="00722443" w:rsidR="00CD7B31">
        <w:t xml:space="preserve">noise compatibility planning nation-wide, </w:t>
      </w:r>
      <w:r w:rsidRPr="00722443">
        <w:t>airport noise</w:t>
      </w:r>
      <w:r w:rsidRPr="00722443" w:rsidR="00CD7B31">
        <w:t>,</w:t>
      </w:r>
      <w:r w:rsidRPr="00722443">
        <w:t xml:space="preserve"> and land use</w:t>
      </w:r>
      <w:r w:rsidRPr="00722443">
        <w:t xml:space="preserve"> on the Internet</w:t>
      </w:r>
      <w:r w:rsidRPr="00722443">
        <w:t xml:space="preserve"> based on data from this information collection prepared by Airport Sponsors or Operations </w:t>
      </w:r>
      <w:r w:rsidRPr="00722443" w:rsidR="00CD7B31">
        <w:t>(respondents)</w:t>
      </w:r>
      <w:r w:rsidRPr="00722443">
        <w:t xml:space="preserve">. </w:t>
      </w:r>
      <w:r w:rsidRPr="00722443">
        <w:t xml:space="preserve">This service </w:t>
      </w:r>
      <w:r w:rsidRPr="00722443" w:rsidR="00CD7B31">
        <w:t xml:space="preserve">educates and </w:t>
      </w:r>
      <w:r w:rsidRPr="00722443">
        <w:t>helps the public make informed decisions when purchasing property near airports.</w:t>
      </w:r>
    </w:p>
    <w:p w:rsidR="00AE471B" w:rsidRPr="00722443" w:rsidP="00DD050C" w14:paraId="6D026953" w14:textId="24B6EA77">
      <w:pPr>
        <w:shd w:val="clear" w:color="auto" w:fill="FFFFFF" w:themeFill="background1"/>
        <w:spacing w:before="120" w:after="120"/>
        <w:ind w:firstLine="720"/>
      </w:pPr>
      <w:r w:rsidRPr="00722443">
        <w:t xml:space="preserve">As indicated above, the information collected is disseminated to the public or used to support publicly disseminated information. In addition, the Part 150 program requires members of the public have an opportunity </w:t>
      </w:r>
      <w:r w:rsidR="00ED1AC7">
        <w:t xml:space="preserve">to </w:t>
      </w:r>
      <w:r w:rsidRPr="00722443">
        <w:t>participat</w:t>
      </w:r>
      <w:r w:rsidR="00ED1AC7">
        <w:t>e</w:t>
      </w:r>
      <w:r w:rsidRPr="00722443">
        <w:t xml:space="preserve"> in the Part 150 process. </w:t>
      </w:r>
      <w:r w:rsidRPr="00722443" w:rsidR="00715475">
        <w:t xml:space="preserve">All information collected is necessary for </w:t>
      </w:r>
      <w:r w:rsidRPr="00722443">
        <w:t xml:space="preserve">achieving noise compatibility planning requirements outlined in item 1 of this document. FAA also believes </w:t>
      </w:r>
      <w:r w:rsidRPr="00722443">
        <w:t xml:space="preserve">continuing the information collection for the Part 150 process is valuable </w:t>
      </w:r>
      <w:r w:rsidRPr="00722443" w:rsidR="00B57D0F">
        <w:t xml:space="preserve">and beneficial </w:t>
      </w:r>
      <w:r w:rsidRPr="00722443">
        <w:t>because this information would not be available apart from the present, minimal reporting burden on Airport Sponsors or Operators</w:t>
      </w:r>
      <w:r w:rsidRPr="00722443">
        <w:t xml:space="preserve"> (respondents)</w:t>
      </w:r>
      <w:r w:rsidRPr="00722443">
        <w:t xml:space="preserve">. </w:t>
      </w:r>
    </w:p>
    <w:p w:rsidR="004D0917" w:rsidRPr="00722443" w:rsidP="00DD050C" w14:paraId="4B061C7D" w14:textId="77777777">
      <w:pPr>
        <w:shd w:val="clear" w:color="auto" w:fill="FFFFFF" w:themeFill="background1"/>
        <w:spacing w:before="120" w:after="120"/>
      </w:pPr>
      <w:r w:rsidRPr="00722443">
        <w:t>3.</w:t>
      </w:r>
      <w:r w:rsidRPr="00722443">
        <w:tab/>
      </w:r>
      <w:r w:rsidRPr="00722443">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w:t>
      </w:r>
      <w:r w:rsidRPr="00722443">
        <w:rPr>
          <w:b/>
        </w:rPr>
        <w:t>this means of collection.  Also describe any consideration of using information technology to reduce burden.</w:t>
      </w:r>
    </w:p>
    <w:p w:rsidR="004D0917" w:rsidRPr="00722443" w:rsidP="00DD050C" w14:paraId="05732527" w14:textId="3889ADC5">
      <w:pPr>
        <w:shd w:val="clear" w:color="auto" w:fill="FFFFFF" w:themeFill="background1"/>
        <w:spacing w:before="120" w:after="120"/>
        <w:ind w:firstLine="720"/>
      </w:pPr>
      <w:r w:rsidRPr="00722443">
        <w:t>The Aviation Environmental Design Tool (AEDT) is the</w:t>
      </w:r>
      <w:r w:rsidRPr="00722443" w:rsidR="0059288E">
        <w:t xml:space="preserve"> </w:t>
      </w:r>
      <w:r w:rsidRPr="00722443">
        <w:t xml:space="preserve">tool </w:t>
      </w:r>
      <w:r w:rsidRPr="00722443" w:rsidR="00345C2D">
        <w:t xml:space="preserve">used </w:t>
      </w:r>
      <w:r w:rsidRPr="00722443">
        <w:t>for determining which land areas are</w:t>
      </w:r>
      <w:r w:rsidRPr="00722443" w:rsidR="00345C2D">
        <w:t xml:space="preserve"> or </w:t>
      </w:r>
      <w:r w:rsidRPr="00722443">
        <w:t>will be subjected to the various levels of airport noise</w:t>
      </w:r>
      <w:r w:rsidRPr="00722443" w:rsidR="00262460">
        <w:t xml:space="preserve"> and depicting noise contours</w:t>
      </w:r>
      <w:r w:rsidRPr="00722443" w:rsidR="00B04DF5">
        <w:t xml:space="preserve">. </w:t>
      </w:r>
      <w:r w:rsidRPr="00722443">
        <w:t>This</w:t>
      </w:r>
      <w:r w:rsidRPr="00722443">
        <w:t xml:space="preserve"> noise model</w:t>
      </w:r>
      <w:r w:rsidRPr="00722443" w:rsidR="00D120EB">
        <w:t>ing tool</w:t>
      </w:r>
      <w:r w:rsidRPr="00722443">
        <w:t xml:space="preserve"> </w:t>
      </w:r>
      <w:r w:rsidRPr="00722443">
        <w:t xml:space="preserve">is </w:t>
      </w:r>
      <w:r w:rsidRPr="00722443" w:rsidR="00262460">
        <w:t>available to airport</w:t>
      </w:r>
      <w:r w:rsidRPr="00722443">
        <w:t xml:space="preserve"> </w:t>
      </w:r>
      <w:r w:rsidRPr="00722443" w:rsidR="00D120EB">
        <w:t xml:space="preserve">sponsors </w:t>
      </w:r>
      <w:r w:rsidRPr="00722443" w:rsidR="00F43F07">
        <w:t xml:space="preserve">or operators </w:t>
      </w:r>
      <w:r w:rsidRPr="00722443">
        <w:t xml:space="preserve">and their consultants for use </w:t>
      </w:r>
      <w:r w:rsidRPr="00722443" w:rsidR="00235B78">
        <w:t>on personal</w:t>
      </w:r>
      <w:r w:rsidRPr="00722443">
        <w:t xml:space="preserve"> computers</w:t>
      </w:r>
      <w:r w:rsidRPr="00722443" w:rsidR="00673447">
        <w:t xml:space="preserve"> with Microsoft Windows operating systems</w:t>
      </w:r>
      <w:r w:rsidRPr="00722443" w:rsidR="00FE1ADF">
        <w:t>.</w:t>
      </w:r>
      <w:r w:rsidRPr="00722443" w:rsidR="00F43F07">
        <w:t xml:space="preserve"> The information collected about airport operations is entered into AEDT to develop the noise contour maps.  </w:t>
      </w:r>
    </w:p>
    <w:p w:rsidR="004D0917" w:rsidRPr="00722443" w:rsidP="00DD050C" w14:paraId="17E6847A" w14:textId="387D284F">
      <w:pPr>
        <w:shd w:val="clear" w:color="auto" w:fill="FFFFFF" w:themeFill="background1"/>
        <w:spacing w:before="120" w:after="120"/>
        <w:ind w:firstLine="720"/>
      </w:pPr>
      <w:r w:rsidRPr="00722443">
        <w:t>Currently</w:t>
      </w:r>
      <w:r w:rsidRPr="00722443">
        <w:t>, in accordance with the Government Paperwork Elimination Act, it is not practicable to incorporate electronic signatures</w:t>
      </w:r>
      <w:r w:rsidRPr="00722443" w:rsidR="00345C2D">
        <w:t xml:space="preserve"> or </w:t>
      </w:r>
      <w:r w:rsidRPr="00722443">
        <w:t xml:space="preserve">electronically post the complex graphics that are a key component of </w:t>
      </w:r>
      <w:r w:rsidRPr="00722443" w:rsidR="00D120EB">
        <w:t xml:space="preserve">14 CFR </w:t>
      </w:r>
      <w:r w:rsidRPr="00722443" w:rsidR="00F209C8">
        <w:t>p</w:t>
      </w:r>
      <w:r w:rsidRPr="00722443" w:rsidR="00AF1650">
        <w:t>art 150</w:t>
      </w:r>
      <w:r w:rsidRPr="00722443">
        <w:t xml:space="preserve"> submissions</w:t>
      </w:r>
      <w:r w:rsidRPr="00722443" w:rsidR="00D120EB">
        <w:t xml:space="preserve"> (</w:t>
      </w:r>
      <w:r w:rsidRPr="00722443" w:rsidR="00554322">
        <w:t>i.e</w:t>
      </w:r>
      <w:r w:rsidRPr="00722443" w:rsidR="00D120EB">
        <w:t>.</w:t>
      </w:r>
      <w:r w:rsidRPr="00722443" w:rsidR="00554322">
        <w:t>,</w:t>
      </w:r>
      <w:r w:rsidRPr="00722443" w:rsidR="00D120EB">
        <w:t xml:space="preserve"> noise exposure maps and noise compatibility programs)</w:t>
      </w:r>
      <w:r w:rsidRPr="00722443" w:rsidR="00DC3D9C">
        <w:t>.</w:t>
      </w:r>
      <w:r w:rsidRPr="00722443">
        <w:t xml:space="preserve"> This is because there are limitations inherent with the requirement for the Federal government to comply with </w:t>
      </w:r>
      <w:r w:rsidRPr="00722443" w:rsidR="00D120EB">
        <w:t>S</w:t>
      </w:r>
      <w:r w:rsidRPr="00722443">
        <w:t>ection 508 of the Rehabilitation Act, allowing only text and simple graphics to be readily distributed for use by pers</w:t>
      </w:r>
      <w:r w:rsidRPr="00722443" w:rsidR="00262460">
        <w:t>ons with certain disabilities.</w:t>
      </w:r>
    </w:p>
    <w:p w:rsidR="004D0917" w:rsidRPr="00722443" w:rsidP="00DD050C" w14:paraId="7EA470D4" w14:textId="77777777">
      <w:pPr>
        <w:keepNext/>
        <w:shd w:val="clear" w:color="auto" w:fill="FFFFFF" w:themeFill="background1"/>
        <w:spacing w:before="120" w:after="120"/>
      </w:pPr>
      <w:r w:rsidRPr="00722443">
        <w:t>4.</w:t>
      </w:r>
      <w:r w:rsidRPr="00722443">
        <w:tab/>
      </w:r>
      <w:r w:rsidRPr="00722443">
        <w:rPr>
          <w:b/>
        </w:rPr>
        <w:t>Describe efforts to identify duplication.  Show specifically why any similar information already available cannot be used or modified for use for the purposes described in Item 2 above.</w:t>
      </w:r>
    </w:p>
    <w:p w:rsidR="003E0635" w:rsidRPr="00722443" w:rsidP="00DD050C" w14:paraId="272642E6" w14:textId="36509471">
      <w:pPr>
        <w:shd w:val="clear" w:color="auto" w:fill="FFFFFF" w:themeFill="background1"/>
        <w:spacing w:before="120" w:after="120"/>
        <w:ind w:firstLine="720"/>
      </w:pPr>
      <w:r w:rsidRPr="00722443">
        <w:t>The information collection is required by Federal law (</w:t>
      </w:r>
      <w:r w:rsidRPr="00722443" w:rsidR="00554322">
        <w:t xml:space="preserve">see </w:t>
      </w:r>
      <w:r w:rsidRPr="00722443">
        <w:t>49 U.S.C. 47501-47510)</w:t>
      </w:r>
      <w:r w:rsidRPr="00722443" w:rsidR="00C91549">
        <w:t xml:space="preserve"> and is the reason this information is collected</w:t>
      </w:r>
      <w:r w:rsidRPr="00722443">
        <w:t xml:space="preserve">. </w:t>
      </w:r>
      <w:r w:rsidRPr="00722443" w:rsidR="00C91549">
        <w:t>However, t</w:t>
      </w:r>
      <w:r w:rsidRPr="00722443">
        <w:t xml:space="preserve">he FAA </w:t>
      </w:r>
      <w:r w:rsidRPr="00722443" w:rsidR="00C91549">
        <w:t xml:space="preserve">allows </w:t>
      </w:r>
      <w:r w:rsidRPr="00722443">
        <w:t xml:space="preserve">Airport Operators (respondents) to use the </w:t>
      </w:r>
      <w:r w:rsidRPr="00722443">
        <w:t xml:space="preserve">noise analyses and public consultation </w:t>
      </w:r>
      <w:r w:rsidRPr="00722443" w:rsidR="00554322">
        <w:t xml:space="preserve">developed under the Part 150 process </w:t>
      </w:r>
      <w:r w:rsidRPr="00722443">
        <w:t>to be used for other parallel planning processes, such as master planning or environmental analyses</w:t>
      </w:r>
      <w:r w:rsidRPr="00722443" w:rsidR="00FB3D58">
        <w:t xml:space="preserve"> </w:t>
      </w:r>
      <w:r w:rsidRPr="00722443" w:rsidR="00554322">
        <w:t xml:space="preserve">under </w:t>
      </w:r>
      <w:r w:rsidRPr="00722443" w:rsidR="009B1A68">
        <w:t xml:space="preserve">the </w:t>
      </w:r>
      <w:r w:rsidRPr="00722443" w:rsidR="00FB3D58">
        <w:t>N</w:t>
      </w:r>
      <w:r w:rsidRPr="00722443" w:rsidR="009B1A68">
        <w:t>ational Environmental Policy Act</w:t>
      </w:r>
      <w:r w:rsidRPr="00722443" w:rsidR="00C91549">
        <w:t xml:space="preserve">, </w:t>
      </w:r>
      <w:r w:rsidRPr="00722443" w:rsidR="00DD050C">
        <w:t>to</w:t>
      </w:r>
      <w:r w:rsidRPr="00722443" w:rsidR="00C91549">
        <w:t xml:space="preserve"> minimize duplication</w:t>
      </w:r>
      <w:r w:rsidRPr="00722443">
        <w:t xml:space="preserve">. In addition, the </w:t>
      </w:r>
      <w:r w:rsidRPr="00722443" w:rsidR="00A73B40">
        <w:t>Airport Sponsors or Operator</w:t>
      </w:r>
      <w:r w:rsidRPr="00722443">
        <w:t xml:space="preserve">s </w:t>
      </w:r>
      <w:r w:rsidRPr="00722443">
        <w:t xml:space="preserve">(respondents) </w:t>
      </w:r>
      <w:r w:rsidRPr="00722443">
        <w:t>will conduct these studies at the same time, taking advantage of the opportunity to combine similar requirements of separate Federal programs</w:t>
      </w:r>
      <w:r w:rsidRPr="00722443" w:rsidR="00321AE6">
        <w:t xml:space="preserve"> required by law</w:t>
      </w:r>
      <w:r w:rsidRPr="00722443">
        <w:t xml:space="preserve">. </w:t>
      </w:r>
    </w:p>
    <w:p w:rsidR="003E0635" w:rsidRPr="00722443" w:rsidP="00DD050C" w14:paraId="0BF49612" w14:textId="17658C31">
      <w:pPr>
        <w:shd w:val="clear" w:color="auto" w:fill="FFFFFF" w:themeFill="background1"/>
        <w:spacing w:before="120" w:after="120"/>
        <w:ind w:firstLine="720"/>
      </w:pPr>
      <w:r w:rsidRPr="00722443">
        <w:t xml:space="preserve">The </w:t>
      </w:r>
      <w:r w:rsidRPr="00722443" w:rsidR="009B1A68">
        <w:t xml:space="preserve">FAA’s implementing </w:t>
      </w:r>
      <w:r w:rsidRPr="00722443">
        <w:t>regulation</w:t>
      </w:r>
      <w:r w:rsidRPr="00722443" w:rsidR="009B1A68">
        <w:t>s also</w:t>
      </w:r>
      <w:r w:rsidRPr="00722443">
        <w:t xml:space="preserve"> allow</w:t>
      </w:r>
      <w:r w:rsidRPr="00722443" w:rsidR="00DF05E8">
        <w:t>s</w:t>
      </w:r>
      <w:r w:rsidRPr="00722443">
        <w:t xml:space="preserve"> </w:t>
      </w:r>
      <w:r w:rsidR="004D06BE">
        <w:t>Airport Sponsors or Operators (respondents)</w:t>
      </w:r>
      <w:r w:rsidRPr="00722443">
        <w:t xml:space="preserve"> to </w:t>
      </w:r>
      <w:r w:rsidRPr="00722443" w:rsidR="003B758A">
        <w:t>align the</w:t>
      </w:r>
      <w:r w:rsidRPr="00722443">
        <w:t xml:space="preserve"> </w:t>
      </w:r>
      <w:r w:rsidRPr="00722443">
        <w:t xml:space="preserve">information collection for the </w:t>
      </w:r>
      <w:r w:rsidRPr="00722443" w:rsidR="00AF1650">
        <w:t>Part 150</w:t>
      </w:r>
      <w:r w:rsidRPr="00722443" w:rsidR="009B1A68">
        <w:t xml:space="preserve"> process </w:t>
      </w:r>
      <w:r w:rsidRPr="00722443" w:rsidR="003B758A">
        <w:t>to</w:t>
      </w:r>
      <w:r w:rsidRPr="00722443">
        <w:t xml:space="preserve"> local planning </w:t>
      </w:r>
      <w:r w:rsidRPr="00722443" w:rsidR="00164E18">
        <w:t>processes such</w:t>
      </w:r>
      <w:r w:rsidRPr="00722443" w:rsidR="00A115BB">
        <w:t xml:space="preserve"> as </w:t>
      </w:r>
      <w:r w:rsidRPr="00722443" w:rsidR="00326E7B">
        <w:t>planned land use changes</w:t>
      </w:r>
      <w:r w:rsidRPr="00722443" w:rsidR="00A115BB">
        <w:t xml:space="preserve"> and demographic changes in the surrounding areas</w:t>
      </w:r>
      <w:r w:rsidRPr="00722443" w:rsidR="00321AE6">
        <w:t xml:space="preserve"> to minimize duplication of efforts.</w:t>
      </w:r>
      <w:r w:rsidRPr="00722443">
        <w:t xml:space="preserve"> </w:t>
      </w:r>
    </w:p>
    <w:p w:rsidR="004D0917" w:rsidRPr="00722443" w:rsidP="00DD050C" w14:paraId="2661E79D" w14:textId="77777777">
      <w:pPr>
        <w:pStyle w:val="BodyText3"/>
        <w:keepNext/>
        <w:numPr>
          <w:ilvl w:val="0"/>
          <w:numId w:val="0"/>
        </w:numPr>
        <w:shd w:val="clear" w:color="auto" w:fill="FFFFFF" w:themeFill="background1"/>
        <w:spacing w:before="120" w:after="120"/>
        <w:rPr>
          <w:spacing w:val="-5"/>
          <w:szCs w:val="24"/>
        </w:rPr>
      </w:pPr>
      <w:r w:rsidRPr="00722443">
        <w:rPr>
          <w:spacing w:val="-5"/>
          <w:szCs w:val="24"/>
        </w:rPr>
        <w:t>5.</w:t>
      </w:r>
      <w:r w:rsidRPr="00722443">
        <w:rPr>
          <w:spacing w:val="-5"/>
          <w:szCs w:val="24"/>
        </w:rPr>
        <w:tab/>
      </w:r>
      <w:r w:rsidRPr="00722443">
        <w:rPr>
          <w:b/>
          <w:spacing w:val="-5"/>
          <w:szCs w:val="24"/>
        </w:rPr>
        <w:t>If the collection of information impacts small businesses or other small entities (Item 5 of OMB Form 83-1), describe any methods used to minimize burden.</w:t>
      </w:r>
    </w:p>
    <w:p w:rsidR="004D0917" w:rsidRPr="00722443" w:rsidP="00DD050C" w14:paraId="20BB45CD" w14:textId="289BC48E">
      <w:pPr>
        <w:shd w:val="clear" w:color="auto" w:fill="FFFFFF" w:themeFill="background1"/>
        <w:spacing w:before="120" w:after="120"/>
        <w:ind w:firstLine="720"/>
      </w:pPr>
      <w:r w:rsidRPr="00722443">
        <w:rPr>
          <w:color w:val="000000"/>
        </w:rPr>
        <w:t>T</w:t>
      </w:r>
      <w:r w:rsidRPr="00722443" w:rsidR="009B1A68">
        <w:t xml:space="preserve">he FAA determined that this information collection associated with noise exposure maps and noise compatibility </w:t>
      </w:r>
      <w:r w:rsidRPr="00722443">
        <w:t>program</w:t>
      </w:r>
      <w:r w:rsidRPr="00722443" w:rsidR="009B1A68">
        <w:t>s</w:t>
      </w:r>
      <w:r w:rsidRPr="00722443">
        <w:t xml:space="preserve"> will not have a significant impact on a substantial number of small businesses or other small entities.</w:t>
      </w:r>
      <w:r w:rsidRPr="00722443" w:rsidR="008D5F39">
        <w:t xml:space="preserve"> The </w:t>
      </w:r>
      <w:r w:rsidRPr="00722443" w:rsidR="009B1A68">
        <w:t>P</w:t>
      </w:r>
      <w:r w:rsidRPr="00722443" w:rsidR="008D5F39">
        <w:t xml:space="preserve">art 150 </w:t>
      </w:r>
      <w:r w:rsidRPr="00722443" w:rsidR="009B1A68">
        <w:t xml:space="preserve">process </w:t>
      </w:r>
      <w:r w:rsidRPr="00722443" w:rsidR="008D5F39">
        <w:t xml:space="preserve">seeks to foster land uses that are compatible with </w:t>
      </w:r>
      <w:r w:rsidRPr="00722443" w:rsidR="00A94354">
        <w:t xml:space="preserve">airport operations </w:t>
      </w:r>
      <w:r w:rsidRPr="00722443" w:rsidR="008D5F39">
        <w:t xml:space="preserve">through coordination with local </w:t>
      </w:r>
      <w:r w:rsidRPr="00722443" w:rsidR="0084100D">
        <w:t xml:space="preserve">land use </w:t>
      </w:r>
      <w:r w:rsidRPr="00722443" w:rsidR="008D5F39">
        <w:t>authorities</w:t>
      </w:r>
      <w:r w:rsidRPr="00722443" w:rsidR="009B1A68">
        <w:t xml:space="preserve"> and the neighboring communities</w:t>
      </w:r>
      <w:r w:rsidRPr="00722443" w:rsidR="008D5F39">
        <w:t>.</w:t>
      </w:r>
    </w:p>
    <w:p w:rsidR="004D0917" w:rsidRPr="00722443" w:rsidP="00DD050C" w14:paraId="5C6BA118" w14:textId="77777777">
      <w:pPr>
        <w:pStyle w:val="BodyText3"/>
        <w:numPr>
          <w:ilvl w:val="0"/>
          <w:numId w:val="0"/>
        </w:numPr>
        <w:shd w:val="clear" w:color="auto" w:fill="FFFFFF" w:themeFill="background1"/>
        <w:spacing w:before="120" w:after="120"/>
        <w:rPr>
          <w:spacing w:val="-5"/>
          <w:szCs w:val="24"/>
        </w:rPr>
      </w:pPr>
      <w:r w:rsidRPr="00722443">
        <w:rPr>
          <w:spacing w:val="-5"/>
          <w:szCs w:val="24"/>
        </w:rPr>
        <w:t>6.</w:t>
      </w:r>
      <w:r w:rsidRPr="00722443">
        <w:rPr>
          <w:spacing w:val="-5"/>
          <w:szCs w:val="24"/>
        </w:rPr>
        <w:tab/>
      </w:r>
      <w:r w:rsidRPr="00722443">
        <w:rPr>
          <w:b/>
          <w:spacing w:val="-5"/>
          <w:szCs w:val="24"/>
        </w:rPr>
        <w:t>Describe the consequences to federal program or policy activities if the collection is not conducted or is conducted less frequently, as well as any technical or legal obstacles to reducing burden.</w:t>
      </w:r>
    </w:p>
    <w:p w:rsidR="00A94354" w:rsidRPr="00722443" w:rsidP="00DD050C" w14:paraId="11814EE5" w14:textId="33FD67E5">
      <w:pPr>
        <w:pStyle w:val="BodyTextIndent2"/>
        <w:shd w:val="clear" w:color="auto" w:fill="FFFFFF" w:themeFill="background1"/>
        <w:spacing w:before="120" w:after="120"/>
        <w:ind w:left="0" w:firstLine="720"/>
        <w:rPr>
          <w:szCs w:val="24"/>
        </w:rPr>
      </w:pPr>
      <w:r w:rsidRPr="00722443">
        <w:rPr>
          <w:szCs w:val="24"/>
        </w:rPr>
        <w:t xml:space="preserve">This information is collected when </w:t>
      </w:r>
      <w:r w:rsidR="004D06BE">
        <w:rPr>
          <w:szCs w:val="24"/>
        </w:rPr>
        <w:t>Airport Sponsors or Operators (respondents)</w:t>
      </w:r>
      <w:r w:rsidRPr="00722443">
        <w:rPr>
          <w:szCs w:val="24"/>
        </w:rPr>
        <w:t xml:space="preserve"> voluntarily </w:t>
      </w:r>
      <w:r w:rsidRPr="00722443" w:rsidR="00200AF0">
        <w:rPr>
          <w:szCs w:val="24"/>
        </w:rPr>
        <w:t xml:space="preserve">participate in </w:t>
      </w:r>
      <w:r w:rsidRPr="00722443" w:rsidR="00FA7194">
        <w:rPr>
          <w:szCs w:val="24"/>
        </w:rPr>
        <w:t xml:space="preserve">the </w:t>
      </w:r>
      <w:r w:rsidRPr="00722443" w:rsidR="009B1A68">
        <w:rPr>
          <w:szCs w:val="24"/>
        </w:rPr>
        <w:t>Part</w:t>
      </w:r>
      <w:r w:rsidRPr="00722443" w:rsidR="00200AF0">
        <w:rPr>
          <w:szCs w:val="24"/>
        </w:rPr>
        <w:t xml:space="preserve"> 150 </w:t>
      </w:r>
      <w:r w:rsidRPr="00722443" w:rsidR="009B1A68">
        <w:rPr>
          <w:szCs w:val="24"/>
        </w:rPr>
        <w:t>process</w:t>
      </w:r>
      <w:r w:rsidRPr="00722443" w:rsidR="00A45DCA">
        <w:rPr>
          <w:szCs w:val="24"/>
        </w:rPr>
        <w:t xml:space="preserve"> </w:t>
      </w:r>
      <w:r w:rsidRPr="00722443" w:rsidR="00DC3FA9">
        <w:rPr>
          <w:szCs w:val="24"/>
        </w:rPr>
        <w:t xml:space="preserve">to </w:t>
      </w:r>
      <w:r w:rsidRPr="00722443" w:rsidR="00FA7194">
        <w:rPr>
          <w:szCs w:val="24"/>
        </w:rPr>
        <w:t xml:space="preserve">determine </w:t>
      </w:r>
      <w:r w:rsidRPr="00722443" w:rsidR="00BA0282">
        <w:rPr>
          <w:szCs w:val="24"/>
        </w:rPr>
        <w:t>noise exposure</w:t>
      </w:r>
      <w:r w:rsidRPr="00722443">
        <w:rPr>
          <w:szCs w:val="24"/>
        </w:rPr>
        <w:t xml:space="preserve"> to communities </w:t>
      </w:r>
      <w:r w:rsidRPr="00722443">
        <w:rPr>
          <w:szCs w:val="24"/>
        </w:rPr>
        <w:t>surrounding the airport</w:t>
      </w:r>
      <w:r w:rsidRPr="00722443" w:rsidR="00BA0282">
        <w:rPr>
          <w:szCs w:val="24"/>
        </w:rPr>
        <w:t xml:space="preserve">, </w:t>
      </w:r>
      <w:r w:rsidRPr="00722443" w:rsidR="00FA7194">
        <w:rPr>
          <w:szCs w:val="24"/>
        </w:rPr>
        <w:t xml:space="preserve">develop </w:t>
      </w:r>
      <w:r w:rsidRPr="00722443" w:rsidR="00BA0282">
        <w:rPr>
          <w:szCs w:val="24"/>
        </w:rPr>
        <w:t>noise compatibility programs</w:t>
      </w:r>
      <w:r w:rsidRPr="00722443" w:rsidR="00FA7194">
        <w:rPr>
          <w:szCs w:val="24"/>
        </w:rPr>
        <w:t>,</w:t>
      </w:r>
      <w:r w:rsidRPr="00722443" w:rsidR="00BA0282">
        <w:rPr>
          <w:szCs w:val="24"/>
        </w:rPr>
        <w:t xml:space="preserve"> and </w:t>
      </w:r>
      <w:r w:rsidRPr="00722443" w:rsidR="00DC3FA9">
        <w:rPr>
          <w:szCs w:val="24"/>
        </w:rPr>
        <w:t xml:space="preserve">implement projects to </w:t>
      </w:r>
      <w:r w:rsidRPr="00722443" w:rsidR="004D0917">
        <w:rPr>
          <w:szCs w:val="24"/>
        </w:rPr>
        <w:t xml:space="preserve">reduce or prevent </w:t>
      </w:r>
      <w:r w:rsidRPr="00722443" w:rsidR="00DC3FA9">
        <w:rPr>
          <w:szCs w:val="24"/>
        </w:rPr>
        <w:t xml:space="preserve">airport </w:t>
      </w:r>
      <w:r w:rsidRPr="00722443" w:rsidR="004D0917">
        <w:rPr>
          <w:szCs w:val="24"/>
        </w:rPr>
        <w:t>noise impacts</w:t>
      </w:r>
      <w:r w:rsidRPr="00722443">
        <w:rPr>
          <w:szCs w:val="24"/>
        </w:rPr>
        <w:t xml:space="preserve"> of aviation noise</w:t>
      </w:r>
      <w:r w:rsidRPr="00722443" w:rsidR="004D0917">
        <w:rPr>
          <w:szCs w:val="24"/>
        </w:rPr>
        <w:t xml:space="preserve"> </w:t>
      </w:r>
      <w:r w:rsidRPr="00722443">
        <w:rPr>
          <w:szCs w:val="24"/>
        </w:rPr>
        <w:t xml:space="preserve">to the </w:t>
      </w:r>
      <w:r w:rsidRPr="00722443" w:rsidR="00546D12">
        <w:rPr>
          <w:szCs w:val="24"/>
        </w:rPr>
        <w:t>surrounding</w:t>
      </w:r>
      <w:r w:rsidRPr="00722443" w:rsidR="00D97A80">
        <w:rPr>
          <w:szCs w:val="24"/>
        </w:rPr>
        <w:t xml:space="preserve"> communities</w:t>
      </w:r>
      <w:r w:rsidRPr="00722443" w:rsidR="004D0917">
        <w:rPr>
          <w:szCs w:val="24"/>
        </w:rPr>
        <w:t xml:space="preserve">.  </w:t>
      </w:r>
      <w:r w:rsidRPr="00722443">
        <w:rPr>
          <w:szCs w:val="24"/>
        </w:rPr>
        <w:t xml:space="preserve">If the information is not collected for the development of noise exposure maps and programs or this information is not revised when required, </w:t>
      </w:r>
      <w:r w:rsidRPr="00722443" w:rsidR="0007458E">
        <w:rPr>
          <w:szCs w:val="24"/>
        </w:rPr>
        <w:t>the</w:t>
      </w:r>
      <w:r w:rsidRPr="00722443">
        <w:rPr>
          <w:szCs w:val="24"/>
        </w:rPr>
        <w:t xml:space="preserve"> Airport Sponsor or Operator </w:t>
      </w:r>
      <w:r w:rsidRPr="00722443" w:rsidR="0007458E">
        <w:rPr>
          <w:szCs w:val="24"/>
        </w:rPr>
        <w:t xml:space="preserve">that </w:t>
      </w:r>
      <w:r w:rsidRPr="00722443">
        <w:rPr>
          <w:szCs w:val="24"/>
        </w:rPr>
        <w:t xml:space="preserve">could lose its eligibility for federal financial assistance </w:t>
      </w:r>
      <w:r w:rsidRPr="00722443" w:rsidR="0007458E">
        <w:rPr>
          <w:szCs w:val="24"/>
        </w:rPr>
        <w:t>or o</w:t>
      </w:r>
      <w:r w:rsidRPr="00722443">
        <w:rPr>
          <w:szCs w:val="24"/>
        </w:rPr>
        <w:t>ther benefits derivable from having FAA approved maps and programs (e.g., protection from landowner suits and eligibility for funds from the AIP noise set aside).</w:t>
      </w:r>
      <w:r w:rsidRPr="00722443" w:rsidR="00FF6499">
        <w:rPr>
          <w:szCs w:val="24"/>
        </w:rPr>
        <w:t xml:space="preserve"> </w:t>
      </w:r>
    </w:p>
    <w:p w:rsidR="00BA09EE" w:rsidRPr="00722443" w:rsidP="00DD050C" w14:paraId="08697A8E" w14:textId="1B877A9C">
      <w:pPr>
        <w:shd w:val="clear" w:color="auto" w:fill="FFFFFF" w:themeFill="background1"/>
        <w:spacing w:before="120" w:after="120"/>
        <w:ind w:firstLine="720"/>
      </w:pPr>
      <w:r w:rsidRPr="00722443">
        <w:t xml:space="preserve">Since </w:t>
      </w:r>
      <w:r w:rsidRPr="00722443" w:rsidR="00FF6499">
        <w:t xml:space="preserve">the FAA frequently responds to requests </w:t>
      </w:r>
      <w:r w:rsidRPr="00722443">
        <w:t>from Congress, aviation industry groups, college</w:t>
      </w:r>
      <w:r w:rsidRPr="00722443" w:rsidR="00321AE6">
        <w:t>s or universities</w:t>
      </w:r>
      <w:r w:rsidRPr="00722443">
        <w:t xml:space="preserve">, </w:t>
      </w:r>
      <w:r w:rsidRPr="00722443" w:rsidR="00FE77D8">
        <w:t xml:space="preserve">special interest groups and </w:t>
      </w:r>
      <w:r w:rsidRPr="00722443">
        <w:t>the public</w:t>
      </w:r>
      <w:r w:rsidRPr="00722443" w:rsidR="00FE77D8">
        <w:t xml:space="preserve"> for </w:t>
      </w:r>
      <w:r w:rsidRPr="00722443" w:rsidR="00FF6499">
        <w:t>statistical</w:t>
      </w:r>
      <w:r w:rsidRPr="00722443" w:rsidR="00FE77D8">
        <w:t xml:space="preserve">, </w:t>
      </w:r>
      <w:r w:rsidRPr="00722443" w:rsidR="00321AE6">
        <w:t xml:space="preserve">federal </w:t>
      </w:r>
      <w:r w:rsidRPr="00722443" w:rsidR="00FE77D8">
        <w:t xml:space="preserve">funding, and other </w:t>
      </w:r>
      <w:r w:rsidRPr="00722443" w:rsidR="00FF6499">
        <w:t>information about noise compatibility programs</w:t>
      </w:r>
      <w:r w:rsidRPr="00722443" w:rsidR="00FE77D8">
        <w:t xml:space="preserve">, </w:t>
      </w:r>
      <w:r w:rsidRPr="00722443" w:rsidR="00FF6499">
        <w:t>noise exposure</w:t>
      </w:r>
      <w:r w:rsidRPr="00722443" w:rsidR="00321AE6">
        <w:t>,</w:t>
      </w:r>
      <w:r w:rsidRPr="00722443" w:rsidR="00FF6499">
        <w:t xml:space="preserve"> and mitigation measures proposed or implemented for redu</w:t>
      </w:r>
      <w:r w:rsidRPr="00722443" w:rsidR="00FE77D8">
        <w:t xml:space="preserve">cing impacts of aviation noise at public use </w:t>
      </w:r>
      <w:r w:rsidRPr="00722443" w:rsidR="00FF6499">
        <w:t>airports</w:t>
      </w:r>
      <w:r w:rsidRPr="00722443" w:rsidR="00F968DB">
        <w:t>. Thus,</w:t>
      </w:r>
      <w:r w:rsidRPr="00722443" w:rsidR="009B48EB">
        <w:t xml:space="preserve"> FAA relies on</w:t>
      </w:r>
      <w:r w:rsidRPr="00722443" w:rsidR="00321AE6">
        <w:t xml:space="preserve"> the</w:t>
      </w:r>
      <w:r w:rsidRPr="00722443" w:rsidR="009B48EB">
        <w:t xml:space="preserve"> information coll</w:t>
      </w:r>
      <w:r w:rsidRPr="00722443" w:rsidR="00321AE6">
        <w:t xml:space="preserve">ection </w:t>
      </w:r>
      <w:r w:rsidRPr="00722443" w:rsidR="00F968DB">
        <w:t xml:space="preserve">resulting from the </w:t>
      </w:r>
      <w:r w:rsidRPr="00722443" w:rsidR="00321AE6">
        <w:t>Part 150 process</w:t>
      </w:r>
      <w:r w:rsidRPr="00722443" w:rsidR="00F968DB">
        <w:t xml:space="preserve"> to provide this information</w:t>
      </w:r>
      <w:r w:rsidRPr="00722443" w:rsidR="00321AE6">
        <w:t xml:space="preserve">, </w:t>
      </w:r>
      <w:r w:rsidRPr="00722443" w:rsidR="009B48EB">
        <w:t xml:space="preserve">which would not be available apart from the present, minimal reporting burden on </w:t>
      </w:r>
      <w:r w:rsidR="004D06BE">
        <w:t>Airport Sponsors or Operators (respondents)</w:t>
      </w:r>
      <w:r w:rsidRPr="00722443">
        <w:t xml:space="preserve">. </w:t>
      </w:r>
    </w:p>
    <w:p w:rsidR="005D0B19" w:rsidRPr="00722443" w:rsidP="00DD050C" w14:paraId="4BADD321" w14:textId="77777777">
      <w:pPr>
        <w:shd w:val="clear" w:color="auto" w:fill="FFFFFF" w:themeFill="background1"/>
        <w:spacing w:before="120" w:after="120"/>
        <w:rPr>
          <w:b/>
        </w:rPr>
      </w:pPr>
      <w:r w:rsidRPr="00722443">
        <w:t>7.</w:t>
      </w:r>
      <w:r w:rsidRPr="00722443">
        <w:tab/>
      </w:r>
      <w:r w:rsidRPr="00722443">
        <w:rPr>
          <w:b/>
        </w:rPr>
        <w:t>Explain any special circumstances that would cause an information collection to be conducted in a manner</w:t>
      </w:r>
      <w:r w:rsidRPr="00722443">
        <w:rPr>
          <w:b/>
        </w:rPr>
        <w:t>:</w:t>
      </w:r>
      <w:r w:rsidRPr="00722443">
        <w:rPr>
          <w:b/>
        </w:rPr>
        <w:t xml:space="preserve"> </w:t>
      </w:r>
    </w:p>
    <w:p w:rsidR="004A5420" w:rsidRPr="00722443" w:rsidP="00DD050C" w14:paraId="783951CE" w14:textId="04AB07E3">
      <w:pPr>
        <w:shd w:val="clear" w:color="auto" w:fill="FFFFFF" w:themeFill="background1"/>
        <w:spacing w:before="120" w:after="120"/>
        <w:ind w:right="540" w:firstLine="360"/>
      </w:pPr>
      <w:r w:rsidRPr="00722443">
        <w:t>This information collection is conducted in a manner cons</w:t>
      </w:r>
      <w:r w:rsidRPr="00722443">
        <w:t xml:space="preserve">istent with </w:t>
      </w:r>
      <w:r w:rsidRPr="00722443" w:rsidR="009F0081">
        <w:t xml:space="preserve">5 </w:t>
      </w:r>
      <w:r w:rsidRPr="00722443">
        <w:t xml:space="preserve">CFR 1320.5(d)(2)(i)-(viii) and </w:t>
      </w:r>
      <w:r w:rsidRPr="00722443" w:rsidR="00241922">
        <w:t>is not conducted in manner that</w:t>
      </w:r>
      <w:r w:rsidRPr="00722443">
        <w:t>:</w:t>
      </w:r>
    </w:p>
    <w:p w:rsidR="004A5420" w:rsidRPr="00722443" w:rsidP="00DD050C" w14:paraId="6228A8D8" w14:textId="305A3B60">
      <w:pPr>
        <w:pStyle w:val="ListParagraph"/>
        <w:numPr>
          <w:ilvl w:val="0"/>
          <w:numId w:val="8"/>
        </w:numPr>
        <w:shd w:val="clear" w:color="auto" w:fill="FFFFFF" w:themeFill="background1"/>
        <w:spacing w:before="120" w:after="120"/>
        <w:contextualSpacing w:val="0"/>
      </w:pPr>
      <w:r w:rsidRPr="00722443">
        <w:t>Require</w:t>
      </w:r>
      <w:r w:rsidRPr="00722443" w:rsidR="00241922">
        <w:t>s</w:t>
      </w:r>
      <w:r w:rsidRPr="00722443">
        <w:t xml:space="preserve"> respondents to report information to FAA more often than quarterly; the information is collected once initially and then as needed if there is a change in airport operations that create a substantial, new non-compatible use or a substantial reduction in the noise generated by airport operations in an area depicted on the noise exposure map previously prepared. [5 CFR 1320.5(d)(2)(i)]</w:t>
      </w:r>
    </w:p>
    <w:p w:rsidR="004A5420" w:rsidRPr="00722443" w:rsidP="00DD050C" w14:paraId="4CE24DCB" w14:textId="10A4964A">
      <w:pPr>
        <w:pStyle w:val="ListParagraph"/>
        <w:numPr>
          <w:ilvl w:val="0"/>
          <w:numId w:val="8"/>
        </w:numPr>
        <w:shd w:val="clear" w:color="auto" w:fill="FFFFFF" w:themeFill="background1"/>
        <w:spacing w:before="120" w:after="120"/>
        <w:contextualSpacing w:val="0"/>
      </w:pPr>
      <w:r w:rsidRPr="00722443">
        <w:t>Require</w:t>
      </w:r>
      <w:r w:rsidRPr="00722443" w:rsidR="00241922">
        <w:t>s</w:t>
      </w:r>
      <w:r w:rsidRPr="00722443">
        <w:t xml:space="preserve"> respondents to prepare a written response to a collection of information in fewer than 30 days after receipt of it. 5 CFR 1320.5(d)(2) (ii)</w:t>
      </w:r>
    </w:p>
    <w:p w:rsidR="004A5420" w:rsidRPr="00722443" w:rsidP="00DD050C" w14:paraId="20CF5118" w14:textId="15264224">
      <w:pPr>
        <w:pStyle w:val="ListParagraph"/>
        <w:numPr>
          <w:ilvl w:val="0"/>
          <w:numId w:val="8"/>
        </w:numPr>
        <w:shd w:val="clear" w:color="auto" w:fill="FFFFFF" w:themeFill="background1"/>
        <w:spacing w:before="120" w:after="120"/>
        <w:contextualSpacing w:val="0"/>
      </w:pPr>
      <w:r w:rsidRPr="00722443">
        <w:t>Require</w:t>
      </w:r>
      <w:r w:rsidRPr="00722443" w:rsidR="00241922">
        <w:t>s</w:t>
      </w:r>
      <w:r w:rsidRPr="00722443">
        <w:t xml:space="preserve"> respondents to submit more than an original and two copies of any document. [5 CFR 1320.5(d)(2) (iii)]</w:t>
      </w:r>
    </w:p>
    <w:p w:rsidR="004A5420" w:rsidRPr="00722443" w:rsidP="00DD050C" w14:paraId="4C66D238" w14:textId="77C42DD3">
      <w:pPr>
        <w:pStyle w:val="ListParagraph"/>
        <w:numPr>
          <w:ilvl w:val="0"/>
          <w:numId w:val="8"/>
        </w:numPr>
        <w:shd w:val="clear" w:color="auto" w:fill="FFFFFF" w:themeFill="background1"/>
        <w:spacing w:before="120" w:after="120"/>
        <w:contextualSpacing w:val="0"/>
      </w:pPr>
      <w:r w:rsidRPr="00722443">
        <w:t>Require</w:t>
      </w:r>
      <w:r w:rsidRPr="00722443" w:rsidR="00241922">
        <w:t>s</w:t>
      </w:r>
      <w:r w:rsidRPr="00722443">
        <w:t xml:space="preserve"> respondents to retain records, other than health, medical, government contract, grant-in-aid, or tax records, for more than three years. [5 CFR 1320.5(d)(2) (iv)]</w:t>
      </w:r>
    </w:p>
    <w:p w:rsidR="004A5420" w:rsidRPr="00722443" w:rsidP="00DD050C" w14:paraId="1F9B99A5" w14:textId="05DB4A59">
      <w:pPr>
        <w:pStyle w:val="ListParagraph"/>
        <w:numPr>
          <w:ilvl w:val="0"/>
          <w:numId w:val="9"/>
        </w:numPr>
        <w:shd w:val="clear" w:color="auto" w:fill="FFFFFF" w:themeFill="background1"/>
        <w:spacing w:before="120" w:after="120"/>
        <w:contextualSpacing w:val="0"/>
      </w:pPr>
      <w:r w:rsidRPr="00722443">
        <w:t xml:space="preserve">This information collection is not connected to a statistical survey that is not designed to produce valid and reliable results that can be generalized to the universe of study. </w:t>
      </w:r>
      <w:r w:rsidRPr="00722443" w:rsidR="00241922">
        <w:t>[</w:t>
      </w:r>
      <w:r w:rsidRPr="00722443">
        <w:t>5 CFR 1320.5(d)(2) (v)</w:t>
      </w:r>
      <w:r w:rsidRPr="00722443" w:rsidR="00241922">
        <w:t>]</w:t>
      </w:r>
    </w:p>
    <w:p w:rsidR="004A5420" w:rsidRPr="00722443" w:rsidP="00DD050C" w14:paraId="2F62069D" w14:textId="5E052CE4">
      <w:pPr>
        <w:pStyle w:val="ListParagraph"/>
        <w:numPr>
          <w:ilvl w:val="0"/>
          <w:numId w:val="9"/>
        </w:numPr>
        <w:shd w:val="clear" w:color="auto" w:fill="FFFFFF" w:themeFill="background1"/>
        <w:spacing w:before="120" w:after="120"/>
        <w:contextualSpacing w:val="0"/>
      </w:pPr>
      <w:r w:rsidRPr="00722443">
        <w:t>Require</w:t>
      </w:r>
      <w:r w:rsidRPr="00722443" w:rsidR="00241922">
        <w:t>s</w:t>
      </w:r>
      <w:r w:rsidRPr="00722443">
        <w:t xml:space="preserve"> use of a statistical data classification that has not been reviewed and approved by OMB. </w:t>
      </w:r>
      <w:r w:rsidRPr="00722443" w:rsidR="00241922">
        <w:t>[</w:t>
      </w:r>
      <w:r w:rsidRPr="00722443">
        <w:t>5 CFR 1320.5(d)(2) (vi)</w:t>
      </w:r>
      <w:r w:rsidRPr="00722443" w:rsidR="00241922">
        <w:t>]</w:t>
      </w:r>
    </w:p>
    <w:p w:rsidR="004A5420" w:rsidRPr="00722443" w:rsidP="00DD050C" w14:paraId="5EA48D4D" w14:textId="37B3655F">
      <w:pPr>
        <w:pStyle w:val="ListParagraph"/>
        <w:numPr>
          <w:ilvl w:val="0"/>
          <w:numId w:val="9"/>
        </w:numPr>
        <w:shd w:val="clear" w:color="auto" w:fill="FFFFFF" w:themeFill="background1"/>
        <w:spacing w:before="120" w:after="120"/>
        <w:contextualSpacing w:val="0"/>
      </w:pPr>
      <w:r w:rsidRPr="00722443">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722443" w:rsidR="00241922">
        <w:t>[</w:t>
      </w:r>
      <w:r w:rsidRPr="00722443">
        <w:t>5 CFR 1320.5(d)(2) (vii)</w:t>
      </w:r>
      <w:r w:rsidRPr="00722443" w:rsidR="00241922">
        <w:t>]</w:t>
      </w:r>
    </w:p>
    <w:p w:rsidR="004A5420" w:rsidRPr="00722443" w:rsidP="00DD050C" w14:paraId="69CD9BC3" w14:textId="0797FF06">
      <w:pPr>
        <w:pStyle w:val="ListParagraph"/>
        <w:numPr>
          <w:ilvl w:val="0"/>
          <w:numId w:val="9"/>
        </w:numPr>
        <w:shd w:val="clear" w:color="auto" w:fill="FFFFFF" w:themeFill="background1"/>
        <w:spacing w:before="120" w:after="120"/>
        <w:contextualSpacing w:val="0"/>
      </w:pPr>
      <w:r w:rsidRPr="00722443">
        <w:t>Require</w:t>
      </w:r>
      <w:r w:rsidRPr="00722443" w:rsidR="00241922">
        <w:t>s</w:t>
      </w:r>
      <w:r w:rsidRPr="00722443">
        <w:t xml:space="preserve"> respondents to submit proprietary, trade secret, or other confidential information unless the agency can demonstrate that it has instituted procedures to protect the information confidentiality to the extent permitted by law. </w:t>
      </w:r>
      <w:r w:rsidRPr="00722443" w:rsidR="00241922">
        <w:t>[</w:t>
      </w:r>
      <w:r w:rsidRPr="00722443">
        <w:t>5 CFR 1320.5(d)(2) (viii)</w:t>
      </w:r>
      <w:r w:rsidRPr="00722443" w:rsidR="00241922">
        <w:t>]</w:t>
      </w:r>
    </w:p>
    <w:p w:rsidR="004D0917" w:rsidRPr="00722443" w:rsidP="00DD050C" w14:paraId="282DD14B" w14:textId="77777777">
      <w:pPr>
        <w:shd w:val="clear" w:color="auto" w:fill="FFFFFF" w:themeFill="background1"/>
        <w:spacing w:before="120" w:after="120"/>
      </w:pPr>
      <w:r w:rsidRPr="00722443">
        <w:t xml:space="preserve">8. </w:t>
      </w:r>
      <w:r w:rsidRPr="00722443">
        <w:tab/>
      </w:r>
      <w:r w:rsidRPr="00722443">
        <w:rPr>
          <w:b/>
        </w:rPr>
        <w:t>Provide a citation of the FEDERAL REGISTER document soliciting comments on the conduct of the collection of information, a summary of all public comments responding to the notice, and a description of the agency’s actions in response to the comments.  Describe efforts to consult with persons outside the agency to obtain their views.</w:t>
      </w:r>
    </w:p>
    <w:p w:rsidR="008711F8" w:rsidP="00DD050C" w14:paraId="78A91EB5" w14:textId="52FD9E34">
      <w:pPr>
        <w:shd w:val="clear" w:color="auto" w:fill="FFFFFF" w:themeFill="background1"/>
        <w:spacing w:before="120" w:after="120"/>
        <w:ind w:firstLine="720"/>
        <w:rPr>
          <w:color w:val="000000"/>
        </w:rPr>
      </w:pPr>
      <w:r w:rsidRPr="00722443">
        <w:rPr>
          <w:color w:val="000000"/>
        </w:rPr>
        <w:t xml:space="preserve">A Federal Register Notice published on </w:t>
      </w:r>
      <w:r w:rsidR="00267115">
        <w:rPr>
          <w:color w:val="000000"/>
        </w:rPr>
        <w:t>August 5</w:t>
      </w:r>
      <w:r w:rsidRPr="00722443">
        <w:rPr>
          <w:color w:val="000000"/>
        </w:rPr>
        <w:t>, 202</w:t>
      </w:r>
      <w:r w:rsidR="00D93467">
        <w:rPr>
          <w:color w:val="000000"/>
        </w:rPr>
        <w:t>4</w:t>
      </w:r>
      <w:r w:rsidRPr="00722443">
        <w:rPr>
          <w:color w:val="000000"/>
        </w:rPr>
        <w:t xml:space="preserve"> (8</w:t>
      </w:r>
      <w:r w:rsidR="00267115">
        <w:rPr>
          <w:color w:val="000000"/>
        </w:rPr>
        <w:t>9</w:t>
      </w:r>
      <w:r w:rsidRPr="00722443">
        <w:rPr>
          <w:color w:val="000000"/>
        </w:rPr>
        <w:t xml:space="preserve"> FR </w:t>
      </w:r>
      <w:r w:rsidR="00267115">
        <w:rPr>
          <w:color w:val="000000"/>
        </w:rPr>
        <w:t>63466</w:t>
      </w:r>
      <w:r w:rsidRPr="00722443">
        <w:rPr>
          <w:color w:val="000000"/>
        </w:rPr>
        <w:t xml:space="preserve">) </w:t>
      </w:r>
      <w:r w:rsidRPr="00722443" w:rsidR="0038454F">
        <w:rPr>
          <w:color w:val="000000"/>
        </w:rPr>
        <w:t>requesting comments on the renewal of the current airport noise exposure maps and airport noise compatibility programs C</w:t>
      </w:r>
      <w:r w:rsidRPr="00722443">
        <w:rPr>
          <w:color w:val="000000"/>
        </w:rPr>
        <w:t>ollection Control No. 2120-0517. N</w:t>
      </w:r>
      <w:r w:rsidRPr="00722443" w:rsidR="00A94354">
        <w:rPr>
          <w:color w:val="000000"/>
        </w:rPr>
        <w:t>o public comments were received.</w:t>
      </w:r>
      <w:r w:rsidRPr="00722443">
        <w:rPr>
          <w:color w:val="000000"/>
        </w:rPr>
        <w:t xml:space="preserve"> </w:t>
      </w:r>
    </w:p>
    <w:p w:rsidR="008555D7" w:rsidRPr="00722443" w:rsidP="00DD050C" w14:paraId="5D2881C1" w14:textId="1B93F04A">
      <w:pPr>
        <w:shd w:val="clear" w:color="auto" w:fill="FFFFFF" w:themeFill="background1"/>
        <w:spacing w:before="120" w:after="120"/>
        <w:ind w:firstLine="720"/>
        <w:rPr>
          <w:color w:val="000000"/>
        </w:rPr>
      </w:pPr>
      <w:r w:rsidRPr="00722443">
        <w:rPr>
          <w:color w:val="000000"/>
        </w:rPr>
        <w:t xml:space="preserve">In addition, the </w:t>
      </w:r>
      <w:r w:rsidRPr="00722443">
        <w:t>Part 150 process gives members of the public the opportunity for active participation in the process through public meetings and hearings and to provide comments in response to required public notices, including local newspapers, when the Airport Sponsors or Operators (respondents) prepare initial or updated noise exposure maps and noise compatibility programs</w:t>
      </w:r>
      <w:r w:rsidRPr="00722443">
        <w:rPr>
          <w:color w:val="000000"/>
        </w:rPr>
        <w:t xml:space="preserve">. </w:t>
      </w:r>
      <w:r w:rsidRPr="00722443" w:rsidR="008C18D6">
        <w:t xml:space="preserve">During this </w:t>
      </w:r>
      <w:r w:rsidRPr="00722443" w:rsidR="00BA09EE">
        <w:t xml:space="preserve">Part 150 </w:t>
      </w:r>
      <w:r w:rsidRPr="00722443" w:rsidR="008C18D6">
        <w:t xml:space="preserve">process </w:t>
      </w:r>
      <w:r w:rsidR="004D06BE">
        <w:t>Airport Sponsors or Operators (respondents)</w:t>
      </w:r>
      <w:r w:rsidRPr="00722443" w:rsidR="005A471B">
        <w:t xml:space="preserve"> m</w:t>
      </w:r>
      <w:r w:rsidRPr="00722443" w:rsidR="008C18D6">
        <w:t xml:space="preserve">ake publicly available the noise condition by publishing </w:t>
      </w:r>
      <w:r w:rsidRPr="00722443" w:rsidR="00BA09EE">
        <w:t>noise exposure maps</w:t>
      </w:r>
      <w:r w:rsidRPr="00722443" w:rsidR="005A471B">
        <w:t xml:space="preserve"> and i</w:t>
      </w:r>
      <w:r w:rsidRPr="00722443" w:rsidR="008C18D6">
        <w:t>nvit</w:t>
      </w:r>
      <w:r w:rsidRPr="00722443">
        <w:t>ing</w:t>
      </w:r>
      <w:r w:rsidRPr="00722443" w:rsidR="008C18D6">
        <w:t xml:space="preserve"> consultation by the public, land use authorities in the 65, 70 and 75 decibel </w:t>
      </w:r>
      <w:r w:rsidRPr="00722443">
        <w:t xml:space="preserve">(dB) </w:t>
      </w:r>
      <w:r w:rsidRPr="00722443" w:rsidR="008C18D6">
        <w:t>noise contours, Federal agencies</w:t>
      </w:r>
      <w:r w:rsidRPr="00722443" w:rsidR="00BA09EE">
        <w:t>,</w:t>
      </w:r>
      <w:r w:rsidRPr="00722443" w:rsidR="008C18D6">
        <w:t xml:space="preserve"> and aircraft user groups at the airport to review and comment on noise mitigation measures identified and </w:t>
      </w:r>
      <w:r w:rsidRPr="00722443">
        <w:t>studied. The Part 150 program also provides opportunities for people living in noise impacted areas to participate on technical committees and general committees.</w:t>
      </w:r>
    </w:p>
    <w:p w:rsidR="004D0917" w:rsidRPr="00722443" w:rsidP="00DD050C" w14:paraId="36C9AE3A" w14:textId="77777777">
      <w:pPr>
        <w:keepNext/>
        <w:shd w:val="clear" w:color="auto" w:fill="FFFFFF" w:themeFill="background1"/>
        <w:spacing w:before="120" w:after="120"/>
      </w:pPr>
      <w:r w:rsidRPr="00722443">
        <w:t>9.</w:t>
      </w:r>
      <w:r w:rsidRPr="00722443">
        <w:tab/>
      </w:r>
      <w:r w:rsidRPr="00722443">
        <w:rPr>
          <w:b/>
        </w:rPr>
        <w:t>Explain any decision to provide any payment or gift to respondents, other than remuneration of contractors or grantees.</w:t>
      </w:r>
    </w:p>
    <w:p w:rsidR="004D0917" w:rsidRPr="00722443" w:rsidP="00DD050C" w14:paraId="5EB64EAE" w14:textId="58482C69">
      <w:pPr>
        <w:pStyle w:val="BodyText3"/>
        <w:numPr>
          <w:ilvl w:val="0"/>
          <w:numId w:val="0"/>
        </w:numPr>
        <w:shd w:val="clear" w:color="auto" w:fill="FFFFFF" w:themeFill="background1"/>
        <w:spacing w:before="120" w:after="120"/>
        <w:ind w:firstLine="720"/>
        <w:rPr>
          <w:spacing w:val="-5"/>
          <w:szCs w:val="24"/>
        </w:rPr>
      </w:pPr>
      <w:r w:rsidRPr="00722443">
        <w:rPr>
          <w:spacing w:val="-5"/>
          <w:szCs w:val="24"/>
        </w:rPr>
        <w:t>There is no payment or gift to respondents.</w:t>
      </w:r>
    </w:p>
    <w:p w:rsidR="004D0917" w:rsidRPr="00722443" w:rsidP="00DD050C" w14:paraId="677E8B5B" w14:textId="77777777">
      <w:pPr>
        <w:keepNext/>
        <w:shd w:val="clear" w:color="auto" w:fill="FFFFFF" w:themeFill="background1"/>
        <w:spacing w:before="120" w:after="120"/>
      </w:pPr>
      <w:r w:rsidRPr="00722443">
        <w:t>10.</w:t>
      </w:r>
      <w:r w:rsidRPr="00722443">
        <w:tab/>
      </w:r>
      <w:r w:rsidRPr="00722443">
        <w:rPr>
          <w:b/>
        </w:rPr>
        <w:t>Describe any assurance of confidentiality provided to respondents and the basis for the assurance in statute, regulation, or agency policy.</w:t>
      </w:r>
    </w:p>
    <w:p w:rsidR="004D0917" w:rsidRPr="00722443" w:rsidP="00DD050C" w14:paraId="1E929912" w14:textId="2403B23E">
      <w:pPr>
        <w:shd w:val="clear" w:color="auto" w:fill="FFFFFF" w:themeFill="background1"/>
        <w:spacing w:before="120" w:after="120"/>
        <w:ind w:firstLine="720"/>
      </w:pPr>
      <w:r w:rsidRPr="00722443">
        <w:t>Respondents are given no assurance of confidentiality</w:t>
      </w:r>
      <w:r w:rsidRPr="00722443" w:rsidR="00B37835">
        <w:t>.</w:t>
      </w:r>
    </w:p>
    <w:p w:rsidR="004D0917" w:rsidRPr="00722443" w:rsidP="00DD050C" w14:paraId="7906FC6F" w14:textId="05D530C1">
      <w:pPr>
        <w:pStyle w:val="BodyText3"/>
        <w:numPr>
          <w:ilvl w:val="0"/>
          <w:numId w:val="0"/>
        </w:numPr>
        <w:shd w:val="clear" w:color="auto" w:fill="FFFFFF" w:themeFill="background1"/>
        <w:spacing w:before="120" w:after="120"/>
        <w:rPr>
          <w:b/>
          <w:spacing w:val="-5"/>
          <w:szCs w:val="24"/>
        </w:rPr>
      </w:pPr>
      <w:r w:rsidRPr="00722443">
        <w:rPr>
          <w:spacing w:val="-5"/>
          <w:szCs w:val="24"/>
        </w:rPr>
        <w:t>11.</w:t>
      </w:r>
      <w:r w:rsidRPr="00722443">
        <w:rPr>
          <w:spacing w:val="-5"/>
          <w:szCs w:val="24"/>
        </w:rPr>
        <w:tab/>
      </w:r>
      <w:r w:rsidRPr="00722443">
        <w:rPr>
          <w:b/>
          <w:spacing w:val="-5"/>
          <w:szCs w:val="24"/>
        </w:rPr>
        <w:t>Provide additional justification for any questions of a sensitive nature</w:t>
      </w:r>
      <w:r w:rsidRPr="00722443" w:rsidR="00FC2CCD">
        <w:rPr>
          <w:b/>
          <w:spacing w:val="-5"/>
          <w:szCs w:val="24"/>
        </w:rPr>
        <w:t>, such as sexual behavior and attitudes, religious beliefs, and other matters that are commonly considered private</w:t>
      </w:r>
      <w:r w:rsidRPr="00722443">
        <w:rPr>
          <w:b/>
          <w:spacing w:val="-5"/>
          <w:szCs w:val="24"/>
        </w:rPr>
        <w:t>.</w:t>
      </w:r>
    </w:p>
    <w:p w:rsidR="004D0917" w:rsidRPr="00722443" w:rsidP="00DD050C" w14:paraId="0ED77304" w14:textId="3DCC858D">
      <w:pPr>
        <w:shd w:val="clear" w:color="auto" w:fill="FFFFFF" w:themeFill="background1"/>
        <w:spacing w:before="120" w:after="120"/>
        <w:ind w:right="2160" w:firstLine="720"/>
      </w:pPr>
      <w:r w:rsidRPr="00722443">
        <w:t>There are no questions of a sensitive nature.</w:t>
      </w:r>
    </w:p>
    <w:p w:rsidR="004D0917" w:rsidRPr="00722443" w:rsidP="00DD050C" w14:paraId="6CBC3EDD" w14:textId="17E5B279">
      <w:pPr>
        <w:shd w:val="clear" w:color="auto" w:fill="FFFFFF" w:themeFill="background1"/>
        <w:spacing w:before="120" w:after="120"/>
        <w:rPr>
          <w:b/>
        </w:rPr>
      </w:pPr>
      <w:r w:rsidRPr="00722443">
        <w:t>12.</w:t>
      </w:r>
      <w:r w:rsidRPr="00722443">
        <w:tab/>
      </w:r>
      <w:r w:rsidRPr="00722443">
        <w:rPr>
          <w:b/>
        </w:rPr>
        <w:t xml:space="preserve">Provide estimates of the hour burden of </w:t>
      </w:r>
      <w:r w:rsidRPr="00722443" w:rsidR="00E50995">
        <w:rPr>
          <w:b/>
        </w:rPr>
        <w:t xml:space="preserve">the collection of information. </w:t>
      </w:r>
      <w:r w:rsidRPr="00722443">
        <w:rPr>
          <w:b/>
        </w:rPr>
        <w:t>The statement should:</w:t>
      </w:r>
    </w:p>
    <w:p w:rsidR="004D0917" w:rsidRPr="00722443" w:rsidP="00DD050C" w14:paraId="6BB6C5E2" w14:textId="6D3F2197">
      <w:pPr>
        <w:numPr>
          <w:ilvl w:val="0"/>
          <w:numId w:val="1"/>
        </w:numPr>
        <w:shd w:val="clear" w:color="auto" w:fill="FFFFFF" w:themeFill="background1"/>
        <w:spacing w:before="120" w:after="120"/>
        <w:rPr>
          <w:b/>
        </w:rPr>
      </w:pPr>
      <w:r w:rsidRPr="00722443">
        <w:rPr>
          <w:b/>
        </w:rPr>
        <w:t>Indicate the number of respondents, frequency of response, annual hour burden, and an explanation of how the burden was estimated.</w:t>
      </w:r>
    </w:p>
    <w:p w:rsidR="005A5C75" w:rsidRPr="00722443" w:rsidP="00DD050C" w14:paraId="76FD4601" w14:textId="0D87E975">
      <w:pPr>
        <w:pStyle w:val="BlockText"/>
        <w:shd w:val="clear" w:color="auto" w:fill="FFFFFF" w:themeFill="background1"/>
        <w:tabs>
          <w:tab w:val="left" w:pos="8280"/>
        </w:tabs>
        <w:spacing w:before="120" w:after="120"/>
        <w:ind w:left="0" w:right="0" w:firstLine="720"/>
        <w:rPr>
          <w:rFonts w:ascii="Times New Roman" w:hAnsi="Times New Roman"/>
          <w:szCs w:val="24"/>
        </w:rPr>
      </w:pPr>
      <w:r w:rsidRPr="00722443">
        <w:rPr>
          <w:rFonts w:ascii="Times New Roman" w:hAnsi="Times New Roman"/>
          <w:szCs w:val="24"/>
        </w:rPr>
        <w:t xml:space="preserve">The respondents for this collection are the </w:t>
      </w:r>
      <w:r w:rsidRPr="00722443" w:rsidR="00262460">
        <w:rPr>
          <w:rFonts w:ascii="Times New Roman" w:hAnsi="Times New Roman"/>
          <w:szCs w:val="24"/>
        </w:rPr>
        <w:t>Airport Sponsors or</w:t>
      </w:r>
      <w:r w:rsidRPr="00722443" w:rsidR="0055391A">
        <w:rPr>
          <w:rFonts w:ascii="Times New Roman" w:hAnsi="Times New Roman"/>
          <w:szCs w:val="24"/>
        </w:rPr>
        <w:t xml:space="preserve"> Operators</w:t>
      </w:r>
      <w:r w:rsidRPr="00722443" w:rsidR="00262460">
        <w:rPr>
          <w:rFonts w:ascii="Times New Roman" w:hAnsi="Times New Roman"/>
          <w:szCs w:val="24"/>
        </w:rPr>
        <w:t xml:space="preserve"> </w:t>
      </w:r>
      <w:r w:rsidRPr="00722443" w:rsidR="00C853DC">
        <w:rPr>
          <w:rFonts w:ascii="Times New Roman" w:hAnsi="Times New Roman"/>
          <w:szCs w:val="24"/>
        </w:rPr>
        <w:t xml:space="preserve">of public use airports </w:t>
      </w:r>
      <w:r w:rsidRPr="00722443" w:rsidR="00934351">
        <w:rPr>
          <w:rFonts w:ascii="Times New Roman" w:hAnsi="Times New Roman"/>
          <w:szCs w:val="24"/>
        </w:rPr>
        <w:t>and t</w:t>
      </w:r>
      <w:r w:rsidRPr="00722443">
        <w:rPr>
          <w:rFonts w:ascii="Times New Roman" w:hAnsi="Times New Roman"/>
          <w:szCs w:val="24"/>
        </w:rPr>
        <w:t xml:space="preserve">hey are responsible for adhering to the requirements </w:t>
      </w:r>
      <w:r w:rsidRPr="00722443">
        <w:rPr>
          <w:rFonts w:ascii="Times New Roman" w:hAnsi="Times New Roman"/>
          <w:szCs w:val="24"/>
        </w:rPr>
        <w:t xml:space="preserve">established in FAA’s implementing regulations described in </w:t>
      </w:r>
      <w:r w:rsidR="00ED1AC7">
        <w:rPr>
          <w:rFonts w:ascii="Times New Roman" w:hAnsi="Times New Roman"/>
          <w:szCs w:val="24"/>
        </w:rPr>
        <w:t xml:space="preserve">item 1 </w:t>
      </w:r>
      <w:r w:rsidRPr="00722443" w:rsidR="003C5F16">
        <w:rPr>
          <w:rFonts w:ascii="Times New Roman" w:hAnsi="Times New Roman"/>
          <w:szCs w:val="24"/>
        </w:rPr>
        <w:t xml:space="preserve">of this document </w:t>
      </w:r>
      <w:r w:rsidRPr="00722443">
        <w:rPr>
          <w:rFonts w:ascii="Times New Roman" w:hAnsi="Times New Roman"/>
          <w:szCs w:val="24"/>
        </w:rPr>
        <w:t xml:space="preserve">should they chose to voluntarily participate in the Part 150 process </w:t>
      </w:r>
      <w:r w:rsidRPr="00722443" w:rsidR="00DC3D9C">
        <w:rPr>
          <w:rFonts w:ascii="Times New Roman" w:hAnsi="Times New Roman"/>
          <w:szCs w:val="24"/>
        </w:rPr>
        <w:t xml:space="preserve">for </w:t>
      </w:r>
      <w:r w:rsidRPr="00722443">
        <w:rPr>
          <w:rFonts w:ascii="Times New Roman" w:hAnsi="Times New Roman"/>
          <w:szCs w:val="24"/>
        </w:rPr>
        <w:t>develop</w:t>
      </w:r>
      <w:r w:rsidRPr="00722443" w:rsidR="00DC3D9C">
        <w:rPr>
          <w:rFonts w:ascii="Times New Roman" w:hAnsi="Times New Roman"/>
          <w:szCs w:val="24"/>
        </w:rPr>
        <w:t xml:space="preserve">ing </w:t>
      </w:r>
      <w:r w:rsidRPr="00722443">
        <w:rPr>
          <w:rFonts w:ascii="Times New Roman" w:hAnsi="Times New Roman"/>
          <w:szCs w:val="24"/>
        </w:rPr>
        <w:t>a noise compatibility program</w:t>
      </w:r>
      <w:r w:rsidRPr="00722443" w:rsidR="00C83A07">
        <w:rPr>
          <w:rFonts w:ascii="Times New Roman" w:hAnsi="Times New Roman"/>
          <w:szCs w:val="24"/>
        </w:rPr>
        <w:t xml:space="preserve"> (NCP)</w:t>
      </w:r>
      <w:r w:rsidRPr="00722443">
        <w:rPr>
          <w:rFonts w:ascii="Times New Roman" w:hAnsi="Times New Roman"/>
          <w:szCs w:val="24"/>
        </w:rPr>
        <w:t>. The average time to comp</w:t>
      </w:r>
      <w:r w:rsidRPr="00722443" w:rsidR="00DC3D9C">
        <w:rPr>
          <w:rFonts w:ascii="Times New Roman" w:hAnsi="Times New Roman"/>
          <w:szCs w:val="24"/>
        </w:rPr>
        <w:t>lete the P</w:t>
      </w:r>
      <w:r w:rsidRPr="00722443">
        <w:rPr>
          <w:rFonts w:ascii="Times New Roman" w:hAnsi="Times New Roman"/>
          <w:szCs w:val="24"/>
        </w:rPr>
        <w:t xml:space="preserve">art 150 process </w:t>
      </w:r>
      <w:r w:rsidRPr="00722443" w:rsidR="00DC3D9C">
        <w:rPr>
          <w:rFonts w:ascii="Times New Roman" w:hAnsi="Times New Roman"/>
          <w:szCs w:val="24"/>
        </w:rPr>
        <w:t xml:space="preserve">to </w:t>
      </w:r>
      <w:r w:rsidRPr="00722443">
        <w:rPr>
          <w:rFonts w:ascii="Times New Roman" w:hAnsi="Times New Roman"/>
          <w:szCs w:val="24"/>
        </w:rPr>
        <w:t>develop</w:t>
      </w:r>
      <w:r w:rsidRPr="00722443" w:rsidR="00DC3D9C">
        <w:rPr>
          <w:rFonts w:ascii="Times New Roman" w:hAnsi="Times New Roman"/>
          <w:szCs w:val="24"/>
        </w:rPr>
        <w:t xml:space="preserve"> </w:t>
      </w:r>
      <w:r w:rsidRPr="00722443">
        <w:rPr>
          <w:rFonts w:ascii="Times New Roman" w:hAnsi="Times New Roman"/>
          <w:szCs w:val="24"/>
        </w:rPr>
        <w:t>a NCP ranges from two-five years, depending on</w:t>
      </w:r>
      <w:r w:rsidRPr="00722443" w:rsidR="00934351">
        <w:rPr>
          <w:rFonts w:ascii="Times New Roman" w:hAnsi="Times New Roman"/>
          <w:szCs w:val="24"/>
        </w:rPr>
        <w:t xml:space="preserve"> the program category </w:t>
      </w:r>
      <w:r w:rsidR="00AE5ED2">
        <w:rPr>
          <w:rFonts w:ascii="Times New Roman" w:hAnsi="Times New Roman"/>
          <w:szCs w:val="24"/>
        </w:rPr>
        <w:t xml:space="preserve">explained </w:t>
      </w:r>
      <w:r w:rsidRPr="00722443">
        <w:rPr>
          <w:rFonts w:ascii="Times New Roman" w:hAnsi="Times New Roman"/>
          <w:szCs w:val="24"/>
        </w:rPr>
        <w:t xml:space="preserve">below. Once planning is complete, the implementation of mitigation measures outlined in </w:t>
      </w:r>
      <w:r w:rsidRPr="00722443" w:rsidR="0055391A">
        <w:rPr>
          <w:rFonts w:ascii="Times New Roman" w:hAnsi="Times New Roman"/>
          <w:szCs w:val="24"/>
        </w:rPr>
        <w:t xml:space="preserve">a final </w:t>
      </w:r>
      <w:r w:rsidRPr="00722443">
        <w:rPr>
          <w:rFonts w:ascii="Times New Roman" w:hAnsi="Times New Roman"/>
          <w:szCs w:val="24"/>
        </w:rPr>
        <w:t xml:space="preserve">NCP occurs in phases, over multiple years. For airports with extensive non-compatible land uses, this occurs over decades and may require </w:t>
      </w:r>
      <w:r w:rsidRPr="00722443" w:rsidR="00DC3D9C">
        <w:rPr>
          <w:rFonts w:ascii="Times New Roman" w:hAnsi="Times New Roman"/>
          <w:szCs w:val="24"/>
        </w:rPr>
        <w:t>re</w:t>
      </w:r>
      <w:r w:rsidRPr="00722443">
        <w:rPr>
          <w:rFonts w:ascii="Times New Roman" w:hAnsi="Times New Roman"/>
          <w:szCs w:val="24"/>
        </w:rPr>
        <w:t>v</w:t>
      </w:r>
      <w:r w:rsidRPr="00722443" w:rsidR="00BC3658">
        <w:rPr>
          <w:rFonts w:ascii="Times New Roman" w:hAnsi="Times New Roman"/>
          <w:szCs w:val="24"/>
        </w:rPr>
        <w:t>ision</w:t>
      </w:r>
      <w:r w:rsidRPr="00722443" w:rsidR="00934351">
        <w:rPr>
          <w:rFonts w:ascii="Times New Roman" w:hAnsi="Times New Roman"/>
          <w:szCs w:val="24"/>
        </w:rPr>
        <w:t>s</w:t>
      </w:r>
      <w:r w:rsidRPr="00722443" w:rsidR="00C83A07">
        <w:rPr>
          <w:rFonts w:ascii="Times New Roman" w:hAnsi="Times New Roman"/>
          <w:szCs w:val="24"/>
        </w:rPr>
        <w:t xml:space="preserve"> to </w:t>
      </w:r>
      <w:r w:rsidRPr="00722443" w:rsidR="00934351">
        <w:rPr>
          <w:rFonts w:ascii="Times New Roman" w:hAnsi="Times New Roman"/>
          <w:szCs w:val="24"/>
        </w:rPr>
        <w:t>NEMs/</w:t>
      </w:r>
      <w:r w:rsidRPr="00722443" w:rsidR="00C83A07">
        <w:rPr>
          <w:rFonts w:ascii="Times New Roman" w:hAnsi="Times New Roman"/>
          <w:szCs w:val="24"/>
        </w:rPr>
        <w:t>NCPs if there are any changes to airport operations as</w:t>
      </w:r>
      <w:r w:rsidRPr="00722443" w:rsidR="00BC3658">
        <w:rPr>
          <w:rFonts w:ascii="Times New Roman" w:hAnsi="Times New Roman"/>
          <w:szCs w:val="24"/>
        </w:rPr>
        <w:t xml:space="preserve"> explained in </w:t>
      </w:r>
      <w:r w:rsidR="00ED1AC7">
        <w:rPr>
          <w:rFonts w:ascii="Times New Roman" w:hAnsi="Times New Roman"/>
          <w:szCs w:val="24"/>
        </w:rPr>
        <w:t>item</w:t>
      </w:r>
      <w:r w:rsidRPr="00722443" w:rsidR="00ED1AC7">
        <w:rPr>
          <w:rFonts w:ascii="Times New Roman" w:hAnsi="Times New Roman"/>
          <w:szCs w:val="24"/>
        </w:rPr>
        <w:t xml:space="preserve"> </w:t>
      </w:r>
      <w:r w:rsidRPr="00722443">
        <w:rPr>
          <w:rFonts w:ascii="Times New Roman" w:hAnsi="Times New Roman"/>
          <w:szCs w:val="24"/>
        </w:rPr>
        <w:t>1</w:t>
      </w:r>
      <w:r w:rsidR="00ED1AC7">
        <w:rPr>
          <w:rFonts w:ascii="Times New Roman" w:hAnsi="Times New Roman"/>
          <w:szCs w:val="24"/>
        </w:rPr>
        <w:t xml:space="preserve"> of this document</w:t>
      </w:r>
      <w:r w:rsidRPr="00722443">
        <w:rPr>
          <w:rFonts w:ascii="Times New Roman" w:hAnsi="Times New Roman"/>
          <w:szCs w:val="24"/>
        </w:rPr>
        <w:t xml:space="preserve">. </w:t>
      </w:r>
    </w:p>
    <w:p w:rsidR="004D0917" w:rsidRPr="00722443" w:rsidP="00DD050C" w14:paraId="6B2A8A7E" w14:textId="5219119C">
      <w:pPr>
        <w:pStyle w:val="BlockText"/>
        <w:shd w:val="clear" w:color="auto" w:fill="FFFFFF" w:themeFill="background1"/>
        <w:tabs>
          <w:tab w:val="left" w:pos="8280"/>
        </w:tabs>
        <w:spacing w:before="120" w:after="120"/>
        <w:ind w:left="0" w:right="0" w:firstLine="720"/>
        <w:rPr>
          <w:rFonts w:ascii="Times New Roman" w:hAnsi="Times New Roman"/>
          <w:szCs w:val="24"/>
        </w:rPr>
      </w:pPr>
      <w:r w:rsidRPr="00722443">
        <w:rPr>
          <w:rFonts w:ascii="Times New Roman" w:hAnsi="Times New Roman"/>
          <w:szCs w:val="24"/>
        </w:rPr>
        <w:t>B</w:t>
      </w:r>
      <w:r w:rsidRPr="00722443">
        <w:rPr>
          <w:rFonts w:ascii="Times New Roman" w:hAnsi="Times New Roman"/>
          <w:szCs w:val="24"/>
        </w:rPr>
        <w:t xml:space="preserve">ased on a review of FAA records </w:t>
      </w:r>
      <w:r w:rsidRPr="00722443" w:rsidR="006E669B">
        <w:rPr>
          <w:rFonts w:ascii="Times New Roman" w:hAnsi="Times New Roman"/>
          <w:szCs w:val="24"/>
        </w:rPr>
        <w:t>for NCP</w:t>
      </w:r>
      <w:r w:rsidRPr="00722443" w:rsidR="005A5C75">
        <w:rPr>
          <w:rFonts w:ascii="Times New Roman" w:hAnsi="Times New Roman"/>
          <w:szCs w:val="24"/>
        </w:rPr>
        <w:t>s</w:t>
      </w:r>
      <w:r w:rsidRPr="00722443" w:rsidR="006E669B">
        <w:rPr>
          <w:rFonts w:ascii="Times New Roman" w:hAnsi="Times New Roman"/>
          <w:szCs w:val="24"/>
        </w:rPr>
        <w:t xml:space="preserve"> </w:t>
      </w:r>
      <w:r w:rsidRPr="00722443">
        <w:rPr>
          <w:rFonts w:ascii="Times New Roman" w:hAnsi="Times New Roman"/>
          <w:szCs w:val="24"/>
        </w:rPr>
        <w:t xml:space="preserve">and the </w:t>
      </w:r>
      <w:r w:rsidRPr="00722443" w:rsidR="00014BCE">
        <w:rPr>
          <w:rFonts w:ascii="Times New Roman" w:hAnsi="Times New Roman"/>
          <w:szCs w:val="24"/>
        </w:rPr>
        <w:t>P</w:t>
      </w:r>
      <w:r w:rsidRPr="00722443">
        <w:rPr>
          <w:rFonts w:ascii="Times New Roman" w:hAnsi="Times New Roman"/>
          <w:szCs w:val="24"/>
        </w:rPr>
        <w:t xml:space="preserve">aperwork </w:t>
      </w:r>
      <w:r w:rsidRPr="00722443" w:rsidR="00014BCE">
        <w:rPr>
          <w:rFonts w:ascii="Times New Roman" w:hAnsi="Times New Roman"/>
          <w:szCs w:val="24"/>
        </w:rPr>
        <w:t>R</w:t>
      </w:r>
      <w:r w:rsidRPr="00722443">
        <w:rPr>
          <w:rFonts w:ascii="Times New Roman" w:hAnsi="Times New Roman"/>
          <w:szCs w:val="24"/>
        </w:rPr>
        <w:t xml:space="preserve">eduction </w:t>
      </w:r>
      <w:r w:rsidRPr="00722443" w:rsidR="00014BCE">
        <w:rPr>
          <w:rFonts w:ascii="Times New Roman" w:hAnsi="Times New Roman"/>
          <w:szCs w:val="24"/>
        </w:rPr>
        <w:t>A</w:t>
      </w:r>
      <w:r w:rsidRPr="00722443">
        <w:rPr>
          <w:rFonts w:ascii="Times New Roman" w:hAnsi="Times New Roman"/>
          <w:szCs w:val="24"/>
        </w:rPr>
        <w:t xml:space="preserve">ct submission at OMB Control No. 2120-0517, and assuming </w:t>
      </w:r>
      <w:r w:rsidRPr="00722443" w:rsidR="00EC094F">
        <w:rPr>
          <w:rFonts w:ascii="Times New Roman" w:hAnsi="Times New Roman"/>
          <w:szCs w:val="24"/>
        </w:rPr>
        <w:t>a</w:t>
      </w:r>
      <w:r w:rsidRPr="00722443">
        <w:rPr>
          <w:rFonts w:ascii="Times New Roman" w:hAnsi="Times New Roman"/>
          <w:szCs w:val="24"/>
        </w:rPr>
        <w:t xml:space="preserve"> </w:t>
      </w:r>
      <w:r w:rsidRPr="00722443" w:rsidR="00DD050C">
        <w:rPr>
          <w:rFonts w:ascii="Times New Roman" w:hAnsi="Times New Roman"/>
          <w:szCs w:val="24"/>
        </w:rPr>
        <w:t>2,080-hour</w:t>
      </w:r>
      <w:r w:rsidRPr="00722443">
        <w:rPr>
          <w:rFonts w:ascii="Times New Roman" w:hAnsi="Times New Roman"/>
          <w:szCs w:val="24"/>
        </w:rPr>
        <w:t xml:space="preserve"> person-year (PY), we estimate the following</w:t>
      </w:r>
      <w:r w:rsidRPr="00722443" w:rsidR="004B39C4">
        <w:rPr>
          <w:rFonts w:ascii="Times New Roman" w:hAnsi="Times New Roman"/>
          <w:szCs w:val="24"/>
        </w:rPr>
        <w:t xml:space="preserve"> hour burden</w:t>
      </w:r>
      <w:r w:rsidRPr="00722443" w:rsidR="003F5C49">
        <w:rPr>
          <w:rFonts w:ascii="Times New Roman" w:hAnsi="Times New Roman"/>
          <w:szCs w:val="24"/>
        </w:rPr>
        <w:t xml:space="preserve"> per collection </w:t>
      </w:r>
      <w:r w:rsidRPr="00722443" w:rsidR="00054F15">
        <w:rPr>
          <w:rFonts w:ascii="Times New Roman" w:hAnsi="Times New Roman"/>
          <w:szCs w:val="24"/>
        </w:rPr>
        <w:t xml:space="preserve">category </w:t>
      </w:r>
      <w:r w:rsidRPr="00722443" w:rsidR="006E669B">
        <w:rPr>
          <w:rFonts w:ascii="Times New Roman" w:hAnsi="Times New Roman"/>
          <w:szCs w:val="24"/>
        </w:rPr>
        <w:t xml:space="preserve">(i.e., highly controversial NCP, </w:t>
      </w:r>
      <w:r w:rsidRPr="00722443" w:rsidR="006E669B">
        <w:rPr>
          <w:rFonts w:ascii="Times New Roman" w:hAnsi="Times New Roman"/>
          <w:color w:val="000000"/>
          <w:szCs w:val="24"/>
        </w:rPr>
        <w:t>non-controversial but complex NCP, and simple, non-controversial NCP</w:t>
      </w:r>
      <w:r w:rsidRPr="00722443" w:rsidR="006E669B">
        <w:rPr>
          <w:rFonts w:ascii="Times New Roman" w:hAnsi="Times New Roman"/>
          <w:szCs w:val="24"/>
        </w:rPr>
        <w:t>)</w:t>
      </w:r>
      <w:r w:rsidRPr="00722443" w:rsidR="00FB28AB">
        <w:rPr>
          <w:rFonts w:ascii="Times New Roman" w:hAnsi="Times New Roman"/>
          <w:szCs w:val="24"/>
        </w:rPr>
        <w:t xml:space="preserve">. </w:t>
      </w:r>
    </w:p>
    <w:p w:rsidR="00C8660F" w:rsidP="00DD050C" w14:paraId="25FA8896" w14:textId="068B7747">
      <w:pPr>
        <w:numPr>
          <w:ilvl w:val="12"/>
          <w:numId w:val="0"/>
        </w:numPr>
        <w:shd w:val="clear" w:color="auto" w:fill="FFFFFF" w:themeFill="background1"/>
        <w:spacing w:before="120" w:after="120"/>
        <w:ind w:firstLine="720"/>
        <w:rPr>
          <w:color w:val="000000"/>
        </w:rPr>
      </w:pPr>
      <w:r w:rsidRPr="00722443">
        <w:rPr>
          <w:color w:val="000000"/>
        </w:rPr>
        <w:t xml:space="preserve">For programs that are </w:t>
      </w:r>
      <w:r w:rsidRPr="00722443">
        <w:rPr>
          <w:b/>
          <w:color w:val="000000"/>
        </w:rPr>
        <w:t>highly controversial</w:t>
      </w:r>
      <w:r w:rsidRPr="00722443" w:rsidR="00BC3658">
        <w:rPr>
          <w:color w:val="000000"/>
        </w:rPr>
        <w:t xml:space="preserve"> or contain an airport noise or </w:t>
      </w:r>
      <w:r w:rsidRPr="00722443">
        <w:rPr>
          <w:color w:val="000000"/>
        </w:rPr>
        <w:t xml:space="preserve">access restriction, </w:t>
      </w:r>
      <w:r w:rsidRPr="00722443" w:rsidR="00FC4DDB">
        <w:rPr>
          <w:color w:val="000000"/>
        </w:rPr>
        <w:t xml:space="preserve">we estimate that up to </w:t>
      </w:r>
      <w:r w:rsidRPr="00722443">
        <w:rPr>
          <w:color w:val="000000"/>
        </w:rPr>
        <w:t>two</w:t>
      </w:r>
      <w:r w:rsidRPr="00722443" w:rsidR="005947B4">
        <w:rPr>
          <w:color w:val="000000"/>
        </w:rPr>
        <w:t xml:space="preserve"> </w:t>
      </w:r>
      <w:r w:rsidRPr="00722443" w:rsidR="00282F7C">
        <w:rPr>
          <w:color w:val="000000"/>
        </w:rPr>
        <w:t xml:space="preserve">airports </w:t>
      </w:r>
      <w:r w:rsidRPr="00722443" w:rsidR="00DF791B">
        <w:rPr>
          <w:color w:val="000000"/>
        </w:rPr>
        <w:t>per y</w:t>
      </w:r>
      <w:r w:rsidRPr="00722443" w:rsidR="00FC4DDB">
        <w:rPr>
          <w:color w:val="000000"/>
        </w:rPr>
        <w:t>ear will fall into this</w:t>
      </w:r>
      <w:r w:rsidRPr="00722443" w:rsidR="00900DFA">
        <w:rPr>
          <w:color w:val="000000"/>
        </w:rPr>
        <w:t xml:space="preserve"> category </w:t>
      </w:r>
      <w:r w:rsidRPr="00722443" w:rsidR="00FC4DDB">
        <w:rPr>
          <w:color w:val="000000"/>
        </w:rPr>
        <w:t>depending on w</w:t>
      </w:r>
      <w:r w:rsidRPr="00722443" w:rsidR="00924AF5">
        <w:rPr>
          <w:color w:val="000000"/>
        </w:rPr>
        <w:t>he</w:t>
      </w:r>
      <w:r w:rsidRPr="00722443" w:rsidR="00FC4DDB">
        <w:rPr>
          <w:color w:val="000000"/>
        </w:rPr>
        <w:t xml:space="preserve">ther an airport implemented a noise compatibility program that particular year. </w:t>
      </w:r>
      <w:r w:rsidRPr="00722443" w:rsidR="00270097">
        <w:rPr>
          <w:color w:val="000000"/>
        </w:rPr>
        <w:t xml:space="preserve">This means </w:t>
      </w:r>
      <w:r w:rsidR="00270097">
        <w:rPr>
          <w:color w:val="000000"/>
        </w:rPr>
        <w:t>the maximum number of respondents is</w:t>
      </w:r>
      <w:r w:rsidRPr="00722443" w:rsidR="00270097">
        <w:rPr>
          <w:color w:val="000000"/>
        </w:rPr>
        <w:t xml:space="preserve"> </w:t>
      </w:r>
      <w:r w:rsidR="00270097">
        <w:rPr>
          <w:color w:val="000000"/>
        </w:rPr>
        <w:t xml:space="preserve">two airports that would </w:t>
      </w:r>
      <w:r w:rsidRPr="00722443" w:rsidR="008C213E">
        <w:rPr>
          <w:color w:val="000000"/>
        </w:rPr>
        <w:t xml:space="preserve">prepare a new or revised program </w:t>
      </w:r>
      <w:r w:rsidRPr="00722443" w:rsidR="00AA7C7B">
        <w:rPr>
          <w:color w:val="000000"/>
        </w:rPr>
        <w:t xml:space="preserve">and that </w:t>
      </w:r>
      <w:r w:rsidRPr="00722443" w:rsidR="0097791B">
        <w:rPr>
          <w:color w:val="000000"/>
        </w:rPr>
        <w:t>this type of program w</w:t>
      </w:r>
      <w:r w:rsidRPr="00722443">
        <w:rPr>
          <w:color w:val="000000"/>
        </w:rPr>
        <w:t xml:space="preserve">ill </w:t>
      </w:r>
      <w:r w:rsidRPr="00722443" w:rsidR="0097791B">
        <w:rPr>
          <w:color w:val="000000"/>
        </w:rPr>
        <w:t xml:space="preserve">take approximately </w:t>
      </w:r>
      <w:r w:rsidR="005A63B7">
        <w:rPr>
          <w:color w:val="000000"/>
        </w:rPr>
        <w:t>1</w:t>
      </w:r>
      <w:r w:rsidRPr="00722443">
        <w:rPr>
          <w:color w:val="000000"/>
        </w:rPr>
        <w:t>PY</w:t>
      </w:r>
      <w:r w:rsidRPr="00722443" w:rsidR="00282F7C">
        <w:rPr>
          <w:color w:val="000000"/>
        </w:rPr>
        <w:t xml:space="preserve"> </w:t>
      </w:r>
      <w:r w:rsidRPr="00722443" w:rsidR="00D8186B">
        <w:t>of an Airport Sponsor or Operator’s time per program</w:t>
      </w:r>
      <w:r w:rsidRPr="00722443" w:rsidR="005947B4">
        <w:rPr>
          <w:color w:val="000000"/>
        </w:rPr>
        <w:t>.</w:t>
      </w:r>
      <w:r w:rsidRPr="00722443" w:rsidR="001A201D">
        <w:rPr>
          <w:color w:val="000000"/>
        </w:rPr>
        <w:t xml:space="preserve"> </w:t>
      </w:r>
      <w:r w:rsidRPr="00722443">
        <w:rPr>
          <w:color w:val="000000"/>
        </w:rPr>
        <w:t xml:space="preserve">Thus, we estimate a total of </w:t>
      </w:r>
      <w:r w:rsidR="000514F6">
        <w:rPr>
          <w:color w:val="000000"/>
        </w:rPr>
        <w:t>4,160</w:t>
      </w:r>
      <w:r w:rsidRPr="00722443">
        <w:rPr>
          <w:color w:val="000000"/>
        </w:rPr>
        <w:t xml:space="preserve"> person-hours (PH) </w:t>
      </w:r>
      <w:r w:rsidRPr="00722443" w:rsidR="003C337C">
        <w:rPr>
          <w:color w:val="000000"/>
        </w:rPr>
        <w:t xml:space="preserve">(i.e., </w:t>
      </w:r>
      <w:r w:rsidR="00701BBC">
        <w:rPr>
          <w:color w:val="000000"/>
        </w:rPr>
        <w:t>1</w:t>
      </w:r>
      <w:r w:rsidRPr="00722443" w:rsidR="003C337C">
        <w:rPr>
          <w:color w:val="000000"/>
        </w:rPr>
        <w:t>PY*2080 hours</w:t>
      </w:r>
      <w:r w:rsidRPr="00722443" w:rsidR="00FE0B1B">
        <w:rPr>
          <w:color w:val="000000"/>
        </w:rPr>
        <w:t>*2 programs/year</w:t>
      </w:r>
      <w:r w:rsidRPr="00722443" w:rsidR="003C337C">
        <w:rPr>
          <w:color w:val="000000"/>
        </w:rPr>
        <w:t xml:space="preserve">) </w:t>
      </w:r>
      <w:r w:rsidRPr="00722443" w:rsidR="0064706B">
        <w:rPr>
          <w:color w:val="000000"/>
        </w:rPr>
        <w:t xml:space="preserve">over the </w:t>
      </w:r>
      <w:r w:rsidRPr="00722443" w:rsidR="00773A4C">
        <w:rPr>
          <w:color w:val="000000"/>
        </w:rPr>
        <w:t>three-year</w:t>
      </w:r>
      <w:r w:rsidRPr="00722443" w:rsidR="0064706B">
        <w:rPr>
          <w:color w:val="000000"/>
        </w:rPr>
        <w:t xml:space="preserve"> period </w:t>
      </w:r>
      <w:r w:rsidRPr="00722443">
        <w:rPr>
          <w:color w:val="000000"/>
        </w:rPr>
        <w:t xml:space="preserve">for highly controversial </w:t>
      </w:r>
      <w:r w:rsidRPr="00722443" w:rsidR="003F5C49">
        <w:rPr>
          <w:color w:val="000000"/>
        </w:rPr>
        <w:t>NCPs</w:t>
      </w:r>
      <w:r w:rsidRPr="00722443">
        <w:rPr>
          <w:color w:val="000000"/>
        </w:rPr>
        <w:t>.</w:t>
      </w:r>
    </w:p>
    <w:p w:rsidR="005A63B7" w:rsidRPr="00722443" w:rsidP="00DD050C" w14:paraId="518B771B" w14:textId="77777777">
      <w:pPr>
        <w:numPr>
          <w:ilvl w:val="12"/>
          <w:numId w:val="0"/>
        </w:numPr>
        <w:shd w:val="clear" w:color="auto" w:fill="FFFFFF" w:themeFill="background1"/>
        <w:spacing w:before="120" w:after="120"/>
        <w:ind w:firstLine="720"/>
        <w:rPr>
          <w:color w:val="000000"/>
        </w:rPr>
      </w:pP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35"/>
        <w:gridCol w:w="1350"/>
        <w:gridCol w:w="1980"/>
        <w:gridCol w:w="1350"/>
      </w:tblGrid>
      <w:tr w14:paraId="18F9D9C6" w14:textId="77777777" w:rsidTr="00597BFC">
        <w:tblPrEx>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5"/>
        </w:trPr>
        <w:tc>
          <w:tcPr>
            <w:tcW w:w="7915" w:type="dxa"/>
            <w:gridSpan w:val="4"/>
            <w:noWrap/>
            <w:tcMar>
              <w:top w:w="0" w:type="dxa"/>
              <w:left w:w="108" w:type="dxa"/>
              <w:bottom w:w="0" w:type="dxa"/>
              <w:right w:w="108" w:type="dxa"/>
            </w:tcMar>
            <w:vAlign w:val="center"/>
          </w:tcPr>
          <w:p w:rsidR="006C33AF" w:rsidRPr="00722443" w:rsidP="00DD050C" w14:paraId="1BFECC8C" w14:textId="624D2C37">
            <w:pPr>
              <w:shd w:val="clear" w:color="auto" w:fill="FFFFFF" w:themeFill="background1"/>
              <w:jc w:val="center"/>
              <w:rPr>
                <w:b/>
              </w:rPr>
            </w:pPr>
            <w:r w:rsidRPr="00722443">
              <w:rPr>
                <w:b/>
              </w:rPr>
              <w:t>Highly Controversial NCP</w:t>
            </w:r>
          </w:p>
        </w:tc>
      </w:tr>
      <w:tr w14:paraId="76A4BDEC" w14:textId="77777777" w:rsidTr="00597BFC">
        <w:tblPrEx>
          <w:tblW w:w="7915" w:type="dxa"/>
          <w:tblCellMar>
            <w:left w:w="0" w:type="dxa"/>
            <w:right w:w="0" w:type="dxa"/>
          </w:tblCellMar>
          <w:tblLook w:val="04A0"/>
        </w:tblPrEx>
        <w:trPr>
          <w:trHeight w:val="305"/>
        </w:trPr>
        <w:tc>
          <w:tcPr>
            <w:tcW w:w="3235" w:type="dxa"/>
            <w:noWrap/>
            <w:tcMar>
              <w:top w:w="0" w:type="dxa"/>
              <w:left w:w="108" w:type="dxa"/>
              <w:bottom w:w="0" w:type="dxa"/>
              <w:right w:w="108" w:type="dxa"/>
            </w:tcMar>
            <w:vAlign w:val="center"/>
            <w:hideMark/>
          </w:tcPr>
          <w:p w:rsidR="006C33AF" w:rsidRPr="00722443" w:rsidP="00DD050C" w14:paraId="6C423489" w14:textId="65E66EBA">
            <w:pPr>
              <w:shd w:val="clear" w:color="auto" w:fill="FFFFFF" w:themeFill="background1"/>
              <w:jc w:val="center"/>
              <w:rPr>
                <w:b/>
              </w:rPr>
            </w:pPr>
            <w:r w:rsidRPr="00722443">
              <w:rPr>
                <w:b/>
              </w:rPr>
              <w:t>Respondents</w:t>
            </w:r>
          </w:p>
        </w:tc>
        <w:tc>
          <w:tcPr>
            <w:tcW w:w="1350" w:type="dxa"/>
            <w:noWrap/>
            <w:tcMar>
              <w:top w:w="0" w:type="dxa"/>
              <w:left w:w="108" w:type="dxa"/>
              <w:bottom w:w="0" w:type="dxa"/>
              <w:right w:w="108" w:type="dxa"/>
            </w:tcMar>
            <w:vAlign w:val="center"/>
            <w:hideMark/>
          </w:tcPr>
          <w:p w:rsidR="006C33AF" w:rsidRPr="00722443" w:rsidP="00DD050C" w14:paraId="42E65019" w14:textId="77777777">
            <w:pPr>
              <w:shd w:val="clear" w:color="auto" w:fill="FFFFFF" w:themeFill="background1"/>
              <w:jc w:val="center"/>
              <w:rPr>
                <w:b/>
              </w:rPr>
            </w:pPr>
            <w:r w:rsidRPr="00722443">
              <w:rPr>
                <w:b/>
              </w:rPr>
              <w:t>Reporting</w:t>
            </w:r>
          </w:p>
        </w:tc>
        <w:tc>
          <w:tcPr>
            <w:tcW w:w="1980" w:type="dxa"/>
            <w:noWrap/>
            <w:tcMar>
              <w:top w:w="0" w:type="dxa"/>
              <w:left w:w="108" w:type="dxa"/>
              <w:bottom w:w="0" w:type="dxa"/>
              <w:right w:w="108" w:type="dxa"/>
            </w:tcMar>
            <w:vAlign w:val="center"/>
            <w:hideMark/>
          </w:tcPr>
          <w:p w:rsidR="006C33AF" w:rsidRPr="00722443" w:rsidP="00DD050C" w14:paraId="189BB151" w14:textId="77777777">
            <w:pPr>
              <w:shd w:val="clear" w:color="auto" w:fill="FFFFFF" w:themeFill="background1"/>
              <w:jc w:val="center"/>
              <w:rPr>
                <w:b/>
              </w:rPr>
            </w:pPr>
            <w:r w:rsidRPr="00722443">
              <w:rPr>
                <w:b/>
              </w:rPr>
              <w:t>Recordkeeping</w:t>
            </w:r>
          </w:p>
        </w:tc>
        <w:tc>
          <w:tcPr>
            <w:tcW w:w="1350" w:type="dxa"/>
            <w:tcMar>
              <w:top w:w="0" w:type="dxa"/>
              <w:left w:w="108" w:type="dxa"/>
              <w:bottom w:w="0" w:type="dxa"/>
              <w:right w:w="108" w:type="dxa"/>
            </w:tcMar>
            <w:vAlign w:val="center"/>
            <w:hideMark/>
          </w:tcPr>
          <w:p w:rsidR="006C33AF" w:rsidRPr="00722443" w:rsidP="00DD050C" w14:paraId="27EE28EC" w14:textId="77777777">
            <w:pPr>
              <w:shd w:val="clear" w:color="auto" w:fill="FFFFFF" w:themeFill="background1"/>
              <w:jc w:val="center"/>
              <w:rPr>
                <w:b/>
              </w:rPr>
            </w:pPr>
            <w:r w:rsidRPr="00722443">
              <w:rPr>
                <w:b/>
              </w:rPr>
              <w:t>Disclosure</w:t>
            </w:r>
          </w:p>
        </w:tc>
      </w:tr>
      <w:tr w14:paraId="00B743E6" w14:textId="77777777" w:rsidTr="00597BFC">
        <w:tblPrEx>
          <w:tblW w:w="7915" w:type="dxa"/>
          <w:tblCellMar>
            <w:left w:w="0" w:type="dxa"/>
            <w:right w:w="0" w:type="dxa"/>
          </w:tblCellMar>
          <w:tblLook w:val="04A0"/>
        </w:tblPrEx>
        <w:trPr>
          <w:trHeight w:val="251"/>
        </w:trPr>
        <w:tc>
          <w:tcPr>
            <w:tcW w:w="3235" w:type="dxa"/>
            <w:noWrap/>
            <w:tcMar>
              <w:top w:w="0" w:type="dxa"/>
              <w:left w:w="108" w:type="dxa"/>
              <w:bottom w:w="0" w:type="dxa"/>
              <w:right w:w="108" w:type="dxa"/>
            </w:tcMar>
            <w:hideMark/>
          </w:tcPr>
          <w:p w:rsidR="006C33AF" w:rsidRPr="00722443" w:rsidP="00DD050C" w14:paraId="2916FEEC" w14:textId="77777777">
            <w:pPr>
              <w:shd w:val="clear" w:color="auto" w:fill="FFFFFF" w:themeFill="background1"/>
            </w:pPr>
            <w:r w:rsidRPr="00722443">
              <w:t xml:space="preserve"># of Respondents </w:t>
            </w:r>
          </w:p>
        </w:tc>
        <w:tc>
          <w:tcPr>
            <w:tcW w:w="1350" w:type="dxa"/>
            <w:noWrap/>
            <w:tcMar>
              <w:top w:w="0" w:type="dxa"/>
              <w:left w:w="108" w:type="dxa"/>
              <w:bottom w:w="0" w:type="dxa"/>
              <w:right w:w="108" w:type="dxa"/>
            </w:tcMar>
            <w:vAlign w:val="center"/>
          </w:tcPr>
          <w:p w:rsidR="006C33AF" w:rsidRPr="000514F6" w:rsidP="00DD050C" w14:paraId="723E64B2" w14:textId="6148A8BB">
            <w:pPr>
              <w:shd w:val="clear" w:color="auto" w:fill="FFFFFF" w:themeFill="background1"/>
              <w:jc w:val="center"/>
            </w:pPr>
            <w:r w:rsidRPr="000514F6">
              <w:t>1</w:t>
            </w:r>
          </w:p>
        </w:tc>
        <w:tc>
          <w:tcPr>
            <w:tcW w:w="1980" w:type="dxa"/>
            <w:noWrap/>
            <w:tcMar>
              <w:top w:w="0" w:type="dxa"/>
              <w:left w:w="108" w:type="dxa"/>
              <w:bottom w:w="0" w:type="dxa"/>
              <w:right w:w="108" w:type="dxa"/>
            </w:tcMar>
            <w:vAlign w:val="center"/>
          </w:tcPr>
          <w:p w:rsidR="006C33AF" w:rsidRPr="00722443" w:rsidP="00DD050C" w14:paraId="5EA9ED02" w14:textId="77777777">
            <w:pPr>
              <w:shd w:val="clear" w:color="auto" w:fill="FFFFFF" w:themeFill="background1"/>
              <w:jc w:val="center"/>
            </w:pPr>
            <w:r w:rsidRPr="00722443">
              <w:t>NA</w:t>
            </w:r>
          </w:p>
        </w:tc>
        <w:tc>
          <w:tcPr>
            <w:tcW w:w="1350" w:type="dxa"/>
            <w:tcMar>
              <w:top w:w="0" w:type="dxa"/>
              <w:left w:w="108" w:type="dxa"/>
              <w:bottom w:w="0" w:type="dxa"/>
              <w:right w:w="108" w:type="dxa"/>
            </w:tcMar>
            <w:vAlign w:val="center"/>
          </w:tcPr>
          <w:p w:rsidR="006C33AF" w:rsidRPr="00722443" w:rsidP="00DD050C" w14:paraId="37F658BE" w14:textId="77777777">
            <w:pPr>
              <w:shd w:val="clear" w:color="auto" w:fill="FFFFFF" w:themeFill="background1"/>
              <w:jc w:val="center"/>
            </w:pPr>
            <w:r w:rsidRPr="00722443">
              <w:t>NA</w:t>
            </w:r>
          </w:p>
        </w:tc>
      </w:tr>
      <w:tr w14:paraId="73502F74" w14:textId="77777777" w:rsidTr="00597BFC">
        <w:tblPrEx>
          <w:tblW w:w="7915" w:type="dxa"/>
          <w:tblCellMar>
            <w:left w:w="0" w:type="dxa"/>
            <w:right w:w="0" w:type="dxa"/>
          </w:tblCellMar>
          <w:tblLook w:val="04A0"/>
        </w:tblPrEx>
        <w:trPr>
          <w:trHeight w:val="260"/>
        </w:trPr>
        <w:tc>
          <w:tcPr>
            <w:tcW w:w="3235" w:type="dxa"/>
            <w:noWrap/>
            <w:tcMar>
              <w:top w:w="0" w:type="dxa"/>
              <w:left w:w="108" w:type="dxa"/>
              <w:bottom w:w="0" w:type="dxa"/>
              <w:right w:w="108" w:type="dxa"/>
            </w:tcMar>
            <w:hideMark/>
          </w:tcPr>
          <w:p w:rsidR="006C33AF" w:rsidRPr="00722443" w:rsidP="00DD050C" w14:paraId="11B47DFD" w14:textId="2DC026BA">
            <w:pPr>
              <w:shd w:val="clear" w:color="auto" w:fill="FFFFFF" w:themeFill="background1"/>
            </w:pPr>
            <w:r w:rsidRPr="00722443">
              <w:t xml:space="preserve"># of Responses </w:t>
            </w:r>
            <w:r w:rsidRPr="00722443" w:rsidR="00597BFC">
              <w:t>per respondent</w:t>
            </w:r>
          </w:p>
        </w:tc>
        <w:tc>
          <w:tcPr>
            <w:tcW w:w="1350" w:type="dxa"/>
            <w:noWrap/>
            <w:tcMar>
              <w:top w:w="0" w:type="dxa"/>
              <w:left w:w="108" w:type="dxa"/>
              <w:bottom w:w="0" w:type="dxa"/>
              <w:right w:w="108" w:type="dxa"/>
            </w:tcMar>
            <w:vAlign w:val="center"/>
          </w:tcPr>
          <w:p w:rsidR="006C33AF" w:rsidRPr="00722443" w:rsidP="00DD050C" w14:paraId="54520590" w14:textId="362DECF6">
            <w:pPr>
              <w:shd w:val="clear" w:color="auto" w:fill="FFFFFF" w:themeFill="background1"/>
              <w:jc w:val="center"/>
            </w:pPr>
            <w:r>
              <w:t>2</w:t>
            </w:r>
          </w:p>
        </w:tc>
        <w:tc>
          <w:tcPr>
            <w:tcW w:w="1980" w:type="dxa"/>
            <w:noWrap/>
            <w:tcMar>
              <w:top w:w="0" w:type="dxa"/>
              <w:left w:w="108" w:type="dxa"/>
              <w:bottom w:w="0" w:type="dxa"/>
              <w:right w:w="108" w:type="dxa"/>
            </w:tcMar>
            <w:vAlign w:val="center"/>
          </w:tcPr>
          <w:p w:rsidR="006C33AF" w:rsidRPr="00722443" w:rsidP="00DD050C" w14:paraId="69AC428F" w14:textId="77777777">
            <w:pPr>
              <w:shd w:val="clear" w:color="auto" w:fill="FFFFFF" w:themeFill="background1"/>
              <w:jc w:val="center"/>
            </w:pPr>
            <w:r w:rsidRPr="00722443">
              <w:t>NA</w:t>
            </w:r>
          </w:p>
        </w:tc>
        <w:tc>
          <w:tcPr>
            <w:tcW w:w="1350" w:type="dxa"/>
            <w:tcMar>
              <w:top w:w="0" w:type="dxa"/>
              <w:left w:w="108" w:type="dxa"/>
              <w:bottom w:w="0" w:type="dxa"/>
              <w:right w:w="108" w:type="dxa"/>
            </w:tcMar>
            <w:vAlign w:val="center"/>
          </w:tcPr>
          <w:p w:rsidR="006C33AF" w:rsidRPr="00722443" w:rsidP="00DD050C" w14:paraId="108256FF" w14:textId="77777777">
            <w:pPr>
              <w:shd w:val="clear" w:color="auto" w:fill="FFFFFF" w:themeFill="background1"/>
              <w:jc w:val="center"/>
            </w:pPr>
            <w:r w:rsidRPr="00722443">
              <w:t>NA</w:t>
            </w:r>
          </w:p>
        </w:tc>
      </w:tr>
      <w:tr w14:paraId="53E200AF" w14:textId="77777777" w:rsidTr="00597BFC">
        <w:tblPrEx>
          <w:tblW w:w="7915" w:type="dxa"/>
          <w:tblCellMar>
            <w:left w:w="0" w:type="dxa"/>
            <w:right w:w="0" w:type="dxa"/>
          </w:tblCellMar>
          <w:tblLook w:val="04A0"/>
        </w:tblPrEx>
        <w:trPr>
          <w:trHeight w:val="330"/>
        </w:trPr>
        <w:tc>
          <w:tcPr>
            <w:tcW w:w="3235" w:type="dxa"/>
            <w:noWrap/>
            <w:tcMar>
              <w:top w:w="0" w:type="dxa"/>
              <w:left w:w="108" w:type="dxa"/>
              <w:bottom w:w="0" w:type="dxa"/>
              <w:right w:w="108" w:type="dxa"/>
            </w:tcMar>
            <w:hideMark/>
          </w:tcPr>
          <w:p w:rsidR="006C33AF" w:rsidRPr="00722443" w:rsidP="00DD050C" w14:paraId="66396588" w14:textId="77777777">
            <w:pPr>
              <w:shd w:val="clear" w:color="auto" w:fill="FFFFFF" w:themeFill="background1"/>
            </w:pPr>
            <w:r w:rsidRPr="00722443">
              <w:t>Time per Response</w:t>
            </w:r>
          </w:p>
        </w:tc>
        <w:tc>
          <w:tcPr>
            <w:tcW w:w="1350" w:type="dxa"/>
            <w:noWrap/>
            <w:tcMar>
              <w:top w:w="0" w:type="dxa"/>
              <w:left w:w="108" w:type="dxa"/>
              <w:bottom w:w="0" w:type="dxa"/>
              <w:right w:w="108" w:type="dxa"/>
            </w:tcMar>
            <w:vAlign w:val="center"/>
          </w:tcPr>
          <w:p w:rsidR="006C33AF" w:rsidRPr="00722443" w:rsidP="00DD050C" w14:paraId="42F8FDEE" w14:textId="4A8D82E7">
            <w:pPr>
              <w:shd w:val="clear" w:color="auto" w:fill="FFFFFF" w:themeFill="background1"/>
              <w:jc w:val="center"/>
            </w:pPr>
            <w:r w:rsidRPr="00722443">
              <w:t>2080</w:t>
            </w:r>
          </w:p>
        </w:tc>
        <w:tc>
          <w:tcPr>
            <w:tcW w:w="1980" w:type="dxa"/>
            <w:noWrap/>
            <w:tcMar>
              <w:top w:w="0" w:type="dxa"/>
              <w:left w:w="108" w:type="dxa"/>
              <w:bottom w:w="0" w:type="dxa"/>
              <w:right w:w="108" w:type="dxa"/>
            </w:tcMar>
            <w:vAlign w:val="center"/>
          </w:tcPr>
          <w:p w:rsidR="006C33AF" w:rsidRPr="00722443" w:rsidP="00DD050C" w14:paraId="65326009" w14:textId="77777777">
            <w:pPr>
              <w:shd w:val="clear" w:color="auto" w:fill="FFFFFF" w:themeFill="background1"/>
              <w:jc w:val="center"/>
            </w:pPr>
            <w:r w:rsidRPr="00722443">
              <w:t>NA</w:t>
            </w:r>
          </w:p>
        </w:tc>
        <w:tc>
          <w:tcPr>
            <w:tcW w:w="1350" w:type="dxa"/>
            <w:tcMar>
              <w:top w:w="0" w:type="dxa"/>
              <w:left w:w="108" w:type="dxa"/>
              <w:bottom w:w="0" w:type="dxa"/>
              <w:right w:w="108" w:type="dxa"/>
            </w:tcMar>
            <w:vAlign w:val="center"/>
          </w:tcPr>
          <w:p w:rsidR="006C33AF" w:rsidRPr="00722443" w:rsidP="00DD050C" w14:paraId="589B2B89" w14:textId="77777777">
            <w:pPr>
              <w:shd w:val="clear" w:color="auto" w:fill="FFFFFF" w:themeFill="background1"/>
              <w:jc w:val="center"/>
            </w:pPr>
            <w:r w:rsidRPr="00722443">
              <w:t>NA</w:t>
            </w:r>
          </w:p>
        </w:tc>
      </w:tr>
      <w:tr w14:paraId="18EA83B4" w14:textId="77777777" w:rsidTr="00597BFC">
        <w:tblPrEx>
          <w:tblW w:w="7915" w:type="dxa"/>
          <w:tblCellMar>
            <w:left w:w="0" w:type="dxa"/>
            <w:right w:w="0" w:type="dxa"/>
          </w:tblCellMar>
          <w:tblLook w:val="04A0"/>
        </w:tblPrEx>
        <w:trPr>
          <w:trHeight w:val="330"/>
        </w:trPr>
        <w:tc>
          <w:tcPr>
            <w:tcW w:w="3235" w:type="dxa"/>
            <w:noWrap/>
            <w:tcMar>
              <w:top w:w="0" w:type="dxa"/>
              <w:left w:w="108" w:type="dxa"/>
              <w:bottom w:w="0" w:type="dxa"/>
              <w:right w:w="108" w:type="dxa"/>
            </w:tcMar>
            <w:hideMark/>
          </w:tcPr>
          <w:p w:rsidR="006C33AF" w:rsidRPr="00722443" w:rsidP="00DD050C" w14:paraId="07CB0187" w14:textId="77777777">
            <w:pPr>
              <w:shd w:val="clear" w:color="auto" w:fill="FFFFFF" w:themeFill="background1"/>
              <w:jc w:val="right"/>
              <w:rPr>
                <w:b/>
              </w:rPr>
            </w:pPr>
            <w:r w:rsidRPr="00722443">
              <w:rPr>
                <w:b/>
              </w:rPr>
              <w:t>Total burden (hours)</w:t>
            </w:r>
          </w:p>
        </w:tc>
        <w:tc>
          <w:tcPr>
            <w:tcW w:w="4680" w:type="dxa"/>
            <w:gridSpan w:val="3"/>
            <w:noWrap/>
            <w:tcMar>
              <w:top w:w="0" w:type="dxa"/>
              <w:left w:w="108" w:type="dxa"/>
              <w:bottom w:w="0" w:type="dxa"/>
              <w:right w:w="108" w:type="dxa"/>
            </w:tcMar>
          </w:tcPr>
          <w:p w:rsidR="006C33AF" w:rsidRPr="00722443" w:rsidP="00DD050C" w14:paraId="12065B55" w14:textId="29A6FF5C">
            <w:pPr>
              <w:shd w:val="clear" w:color="auto" w:fill="FFFFFF" w:themeFill="background1"/>
              <w:rPr>
                <w:b/>
              </w:rPr>
            </w:pPr>
            <w:r w:rsidRPr="00DD050C">
              <w:rPr>
                <w:b/>
                <w:bCs/>
              </w:rPr>
              <w:t>4,160</w:t>
            </w:r>
            <w:r w:rsidR="00311D1D">
              <w:t xml:space="preserve"> </w:t>
            </w:r>
            <w:r w:rsidRPr="00722443">
              <w:t>is the total number of estimated burden hours for this collection</w:t>
            </w:r>
          </w:p>
        </w:tc>
      </w:tr>
    </w:tbl>
    <w:p w:rsidR="00A60F81" w:rsidP="00DD050C" w14:paraId="77D3AB2B" w14:textId="2CF21100">
      <w:pPr>
        <w:numPr>
          <w:ilvl w:val="12"/>
          <w:numId w:val="0"/>
        </w:numPr>
        <w:shd w:val="clear" w:color="auto" w:fill="FFFFFF" w:themeFill="background1"/>
        <w:spacing w:before="120" w:after="120"/>
        <w:ind w:firstLine="720"/>
        <w:rPr>
          <w:color w:val="000000"/>
        </w:rPr>
      </w:pPr>
      <w:r w:rsidRPr="00722443">
        <w:rPr>
          <w:color w:val="000000"/>
        </w:rPr>
        <w:t xml:space="preserve">For programs that are </w:t>
      </w:r>
      <w:r w:rsidRPr="00722443">
        <w:rPr>
          <w:b/>
          <w:color w:val="000000"/>
        </w:rPr>
        <w:t>non-controversial but complex</w:t>
      </w:r>
      <w:r w:rsidRPr="00722443">
        <w:rPr>
          <w:color w:val="000000"/>
        </w:rPr>
        <w:t xml:space="preserve">, </w:t>
      </w:r>
      <w:r w:rsidRPr="00722443" w:rsidR="00DC3FA9">
        <w:rPr>
          <w:color w:val="000000"/>
        </w:rPr>
        <w:t xml:space="preserve">we estimate that </w:t>
      </w:r>
      <w:r w:rsidRPr="00722443" w:rsidR="006E10AB">
        <w:rPr>
          <w:color w:val="000000"/>
        </w:rPr>
        <w:t xml:space="preserve">up to </w:t>
      </w:r>
      <w:r w:rsidRPr="00722443" w:rsidR="00DC3FA9">
        <w:rPr>
          <w:color w:val="000000"/>
        </w:rPr>
        <w:t xml:space="preserve">three </w:t>
      </w:r>
      <w:r w:rsidRPr="00722443" w:rsidR="00282F7C">
        <w:rPr>
          <w:color w:val="000000"/>
        </w:rPr>
        <w:t xml:space="preserve">airports </w:t>
      </w:r>
      <w:r w:rsidRPr="00722443" w:rsidR="006E10AB">
        <w:rPr>
          <w:color w:val="000000"/>
        </w:rPr>
        <w:t>per y</w:t>
      </w:r>
      <w:r w:rsidRPr="00722443" w:rsidR="00DC3FA9">
        <w:rPr>
          <w:color w:val="000000"/>
        </w:rPr>
        <w:t>ear will fall into this category</w:t>
      </w:r>
      <w:r w:rsidRPr="00722443" w:rsidR="009165A9">
        <w:rPr>
          <w:color w:val="000000"/>
        </w:rPr>
        <w:t xml:space="preserve"> </w:t>
      </w:r>
      <w:r w:rsidRPr="00722443" w:rsidR="00DC3FA9">
        <w:rPr>
          <w:color w:val="000000"/>
        </w:rPr>
        <w:t>depending on w</w:t>
      </w:r>
      <w:r w:rsidRPr="00722443" w:rsidR="009165A9">
        <w:rPr>
          <w:color w:val="000000"/>
        </w:rPr>
        <w:t>het</w:t>
      </w:r>
      <w:r w:rsidRPr="00722443" w:rsidR="00DC3FA9">
        <w:rPr>
          <w:color w:val="000000"/>
        </w:rPr>
        <w:t xml:space="preserve">her an airport implemented a noise compatibility program that particular year. </w:t>
      </w:r>
      <w:r w:rsidRPr="00722443" w:rsidR="00C83A07">
        <w:rPr>
          <w:color w:val="000000"/>
        </w:rPr>
        <w:t xml:space="preserve">This means </w:t>
      </w:r>
      <w:r w:rsidR="00270097">
        <w:rPr>
          <w:color w:val="000000"/>
        </w:rPr>
        <w:t xml:space="preserve">the maximum number of respondents is </w:t>
      </w:r>
      <w:r w:rsidRPr="00722443" w:rsidR="00C83A07">
        <w:rPr>
          <w:color w:val="000000"/>
        </w:rPr>
        <w:t xml:space="preserve">three airports </w:t>
      </w:r>
      <w:r w:rsidR="00270097">
        <w:rPr>
          <w:color w:val="000000"/>
        </w:rPr>
        <w:t xml:space="preserve">that would </w:t>
      </w:r>
      <w:r w:rsidRPr="00722443" w:rsidR="00C83A07">
        <w:rPr>
          <w:color w:val="000000"/>
        </w:rPr>
        <w:t xml:space="preserve">prepare a new or revised program and that this type of program will take approximately </w:t>
      </w:r>
      <w:r w:rsidR="00701BBC">
        <w:rPr>
          <w:color w:val="000000"/>
        </w:rPr>
        <w:t>1</w:t>
      </w:r>
      <w:r w:rsidRPr="00722443" w:rsidR="001A7540">
        <w:rPr>
          <w:color w:val="000000"/>
        </w:rPr>
        <w:t xml:space="preserve"> </w:t>
      </w:r>
      <w:r w:rsidRPr="00722443" w:rsidR="00FF3122">
        <w:rPr>
          <w:color w:val="000000"/>
        </w:rPr>
        <w:t xml:space="preserve">PY </w:t>
      </w:r>
      <w:r w:rsidRPr="00722443" w:rsidR="00D8186B">
        <w:rPr>
          <w:color w:val="000000"/>
        </w:rPr>
        <w:t xml:space="preserve">of an </w:t>
      </w:r>
      <w:r w:rsidRPr="00722443" w:rsidR="00A73B40">
        <w:rPr>
          <w:color w:val="000000"/>
        </w:rPr>
        <w:t>Airport Sponsor or Operator</w:t>
      </w:r>
      <w:r w:rsidRPr="00722443" w:rsidR="005F5993">
        <w:rPr>
          <w:color w:val="000000"/>
        </w:rPr>
        <w:t>s</w:t>
      </w:r>
      <w:r w:rsidRPr="00722443" w:rsidR="004B7A79">
        <w:rPr>
          <w:color w:val="000000"/>
        </w:rPr>
        <w:t xml:space="preserve"> </w:t>
      </w:r>
      <w:r w:rsidRPr="00722443" w:rsidR="00D8186B">
        <w:rPr>
          <w:color w:val="000000"/>
        </w:rPr>
        <w:t xml:space="preserve">time </w:t>
      </w:r>
      <w:r w:rsidRPr="00722443" w:rsidR="00030EA7">
        <w:rPr>
          <w:color w:val="000000"/>
        </w:rPr>
        <w:t>per program</w:t>
      </w:r>
      <w:r w:rsidRPr="00722443" w:rsidR="003F5C49">
        <w:rPr>
          <w:color w:val="000000"/>
        </w:rPr>
        <w:t xml:space="preserve">. </w:t>
      </w:r>
      <w:r w:rsidRPr="00722443" w:rsidR="006E10AB">
        <w:rPr>
          <w:color w:val="000000"/>
        </w:rPr>
        <w:t>T</w:t>
      </w:r>
      <w:r w:rsidRPr="00722443" w:rsidR="0097791B">
        <w:rPr>
          <w:color w:val="000000"/>
        </w:rPr>
        <w:t>hu</w:t>
      </w:r>
      <w:r w:rsidRPr="00722443" w:rsidR="006E10AB">
        <w:rPr>
          <w:color w:val="000000"/>
        </w:rPr>
        <w:t>s, we</w:t>
      </w:r>
      <w:r w:rsidRPr="00722443" w:rsidR="008C5D3C">
        <w:rPr>
          <w:color w:val="000000"/>
        </w:rPr>
        <w:t xml:space="preserve"> estimate a total </w:t>
      </w:r>
      <w:r w:rsidR="000514F6">
        <w:rPr>
          <w:color w:val="000000"/>
        </w:rPr>
        <w:t>6,</w:t>
      </w:r>
      <w:r w:rsidR="00DD050C">
        <w:rPr>
          <w:color w:val="000000"/>
        </w:rPr>
        <w:t xml:space="preserve"> </w:t>
      </w:r>
      <w:r w:rsidR="000514F6">
        <w:rPr>
          <w:color w:val="000000"/>
        </w:rPr>
        <w:t>240</w:t>
      </w:r>
      <w:r w:rsidRPr="00722443" w:rsidR="00282F7C">
        <w:rPr>
          <w:color w:val="000000"/>
        </w:rPr>
        <w:t xml:space="preserve"> </w:t>
      </w:r>
      <w:r w:rsidRPr="00722443" w:rsidR="0097791B">
        <w:rPr>
          <w:color w:val="000000"/>
        </w:rPr>
        <w:t>PH (</w:t>
      </w:r>
      <w:r w:rsidRPr="00722443" w:rsidR="00900DFA">
        <w:rPr>
          <w:color w:val="000000"/>
        </w:rPr>
        <w:t xml:space="preserve">i.e., </w:t>
      </w:r>
      <w:r w:rsidR="000514F6">
        <w:rPr>
          <w:color w:val="000000"/>
        </w:rPr>
        <w:t>1</w:t>
      </w:r>
      <w:r w:rsidRPr="00722443" w:rsidR="001A201D">
        <w:rPr>
          <w:color w:val="000000"/>
        </w:rPr>
        <w:t>PY</w:t>
      </w:r>
      <w:r w:rsidRPr="00722443" w:rsidR="00FE0B1B">
        <w:rPr>
          <w:color w:val="000000"/>
        </w:rPr>
        <w:t>*2080</w:t>
      </w:r>
      <w:r w:rsidRPr="00722443" w:rsidR="0097791B">
        <w:rPr>
          <w:color w:val="000000"/>
        </w:rPr>
        <w:t>*</w:t>
      </w:r>
      <w:r w:rsidRPr="00722443" w:rsidR="00F57DCA">
        <w:rPr>
          <w:color w:val="000000"/>
        </w:rPr>
        <w:t>3 programs</w:t>
      </w:r>
      <w:r w:rsidRPr="00722443" w:rsidR="003F5C49">
        <w:rPr>
          <w:color w:val="000000"/>
        </w:rPr>
        <w:t>/</w:t>
      </w:r>
      <w:r w:rsidRPr="00722443" w:rsidR="00F57DCA">
        <w:rPr>
          <w:color w:val="000000"/>
        </w:rPr>
        <w:t>year</w:t>
      </w:r>
      <w:r w:rsidRPr="00722443" w:rsidR="0097791B">
        <w:rPr>
          <w:color w:val="000000"/>
        </w:rPr>
        <w:t xml:space="preserve">) </w:t>
      </w:r>
      <w:r w:rsidRPr="00722443" w:rsidR="00030EA7">
        <w:rPr>
          <w:color w:val="000000"/>
        </w:rPr>
        <w:t>over the three</w:t>
      </w:r>
      <w:r w:rsidR="00773A4C">
        <w:rPr>
          <w:color w:val="000000"/>
        </w:rPr>
        <w:t>-</w:t>
      </w:r>
      <w:r w:rsidRPr="00722443" w:rsidR="00030EA7">
        <w:rPr>
          <w:color w:val="000000"/>
        </w:rPr>
        <w:t>year period</w:t>
      </w:r>
      <w:r w:rsidRPr="00722443" w:rsidR="00C8660F">
        <w:rPr>
          <w:color w:val="000000"/>
        </w:rPr>
        <w:t xml:space="preserve"> </w:t>
      </w:r>
      <w:r w:rsidRPr="00722443" w:rsidR="0097791B">
        <w:rPr>
          <w:color w:val="000000"/>
        </w:rPr>
        <w:t>for</w:t>
      </w:r>
      <w:r w:rsidRPr="00722443" w:rsidR="0097791B">
        <w:rPr>
          <w:b/>
          <w:color w:val="000000"/>
        </w:rPr>
        <w:t xml:space="preserve"> </w:t>
      </w:r>
      <w:r w:rsidRPr="00722443" w:rsidR="0097791B">
        <w:rPr>
          <w:color w:val="000000"/>
        </w:rPr>
        <w:t xml:space="preserve">non-controversial but complex </w:t>
      </w:r>
      <w:r w:rsidRPr="00722443" w:rsidR="003F5C49">
        <w:rPr>
          <w:color w:val="000000"/>
        </w:rPr>
        <w:t>NCPs</w:t>
      </w:r>
      <w:r w:rsidRPr="00722443" w:rsidR="0097791B">
        <w:rPr>
          <w:color w:val="000000"/>
        </w:rPr>
        <w:t>.</w:t>
      </w:r>
      <w:r w:rsidRPr="00722443" w:rsidR="008C5D3C">
        <w:rPr>
          <w:color w:val="000000"/>
        </w:rPr>
        <w:t xml:space="preserve">  </w:t>
      </w:r>
    </w:p>
    <w:p w:rsidR="00DD050C" w:rsidP="00DD050C" w14:paraId="6AA6A3BE" w14:textId="77777777">
      <w:pPr>
        <w:numPr>
          <w:ilvl w:val="12"/>
          <w:numId w:val="0"/>
        </w:numPr>
        <w:shd w:val="clear" w:color="auto" w:fill="FFFFFF" w:themeFill="background1"/>
        <w:spacing w:before="120" w:after="120"/>
        <w:ind w:firstLine="720"/>
        <w:rPr>
          <w:color w:val="000000"/>
        </w:rPr>
      </w:pPr>
    </w:p>
    <w:tbl>
      <w:tblPr>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35"/>
        <w:gridCol w:w="1350"/>
        <w:gridCol w:w="1763"/>
        <w:gridCol w:w="1577"/>
      </w:tblGrid>
      <w:tr w14:paraId="74B514AA" w14:textId="77777777" w:rsidTr="00AE5ED2">
        <w:tblPrEx>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5"/>
        </w:trPr>
        <w:tc>
          <w:tcPr>
            <w:tcW w:w="7925" w:type="dxa"/>
            <w:gridSpan w:val="4"/>
            <w:noWrap/>
            <w:tcMar>
              <w:top w:w="0" w:type="dxa"/>
              <w:left w:w="108" w:type="dxa"/>
              <w:bottom w:w="0" w:type="dxa"/>
              <w:right w:w="108" w:type="dxa"/>
            </w:tcMar>
          </w:tcPr>
          <w:p w:rsidR="006C33AF" w:rsidRPr="00722443" w:rsidP="00DD050C" w14:paraId="42849E2E" w14:textId="609EA9CA">
            <w:pPr>
              <w:shd w:val="clear" w:color="auto" w:fill="FFFFFF" w:themeFill="background1"/>
              <w:jc w:val="center"/>
              <w:rPr>
                <w:b/>
              </w:rPr>
            </w:pPr>
            <w:r w:rsidRPr="00722443">
              <w:rPr>
                <w:b/>
                <w:color w:val="000000"/>
              </w:rPr>
              <w:t>Non-Controversial But Complex</w:t>
            </w:r>
            <w:r w:rsidRPr="00722443">
              <w:rPr>
                <w:b/>
              </w:rPr>
              <w:t xml:space="preserve"> NCP</w:t>
            </w:r>
          </w:p>
        </w:tc>
      </w:tr>
      <w:tr w14:paraId="26A58FC8" w14:textId="77777777" w:rsidTr="00EB2938">
        <w:tblPrEx>
          <w:tblW w:w="7925" w:type="dxa"/>
          <w:tblCellMar>
            <w:left w:w="0" w:type="dxa"/>
            <w:right w:w="0" w:type="dxa"/>
          </w:tblCellMar>
          <w:tblLook w:val="04A0"/>
        </w:tblPrEx>
        <w:trPr>
          <w:trHeight w:val="305"/>
        </w:trPr>
        <w:tc>
          <w:tcPr>
            <w:tcW w:w="3235" w:type="dxa"/>
            <w:noWrap/>
            <w:tcMar>
              <w:top w:w="0" w:type="dxa"/>
              <w:left w:w="108" w:type="dxa"/>
              <w:bottom w:w="0" w:type="dxa"/>
              <w:right w:w="108" w:type="dxa"/>
            </w:tcMar>
            <w:hideMark/>
          </w:tcPr>
          <w:p w:rsidR="006C33AF" w:rsidRPr="00722443" w:rsidP="00DD050C" w14:paraId="61E6A24F" w14:textId="2F895910">
            <w:pPr>
              <w:shd w:val="clear" w:color="auto" w:fill="FFFFFF" w:themeFill="background1"/>
              <w:jc w:val="center"/>
              <w:rPr>
                <w:b/>
              </w:rPr>
            </w:pPr>
            <w:r w:rsidRPr="00722443">
              <w:rPr>
                <w:b/>
              </w:rPr>
              <w:t>Respondents</w:t>
            </w:r>
          </w:p>
        </w:tc>
        <w:tc>
          <w:tcPr>
            <w:tcW w:w="1350" w:type="dxa"/>
            <w:noWrap/>
            <w:tcMar>
              <w:top w:w="0" w:type="dxa"/>
              <w:left w:w="108" w:type="dxa"/>
              <w:bottom w:w="0" w:type="dxa"/>
              <w:right w:w="108" w:type="dxa"/>
            </w:tcMar>
            <w:hideMark/>
          </w:tcPr>
          <w:p w:rsidR="006C33AF" w:rsidRPr="00722443" w:rsidP="00DD050C" w14:paraId="67EDA7E8" w14:textId="77777777">
            <w:pPr>
              <w:shd w:val="clear" w:color="auto" w:fill="FFFFFF" w:themeFill="background1"/>
              <w:jc w:val="center"/>
              <w:rPr>
                <w:b/>
              </w:rPr>
            </w:pPr>
            <w:r w:rsidRPr="00722443">
              <w:rPr>
                <w:b/>
              </w:rPr>
              <w:t>Reporting</w:t>
            </w:r>
          </w:p>
        </w:tc>
        <w:tc>
          <w:tcPr>
            <w:tcW w:w="1763" w:type="dxa"/>
            <w:noWrap/>
            <w:tcMar>
              <w:top w:w="0" w:type="dxa"/>
              <w:left w:w="108" w:type="dxa"/>
              <w:bottom w:w="0" w:type="dxa"/>
              <w:right w:w="108" w:type="dxa"/>
            </w:tcMar>
            <w:hideMark/>
          </w:tcPr>
          <w:p w:rsidR="006C33AF" w:rsidRPr="00722443" w:rsidP="00DD050C" w14:paraId="234F6F1C" w14:textId="77777777">
            <w:pPr>
              <w:shd w:val="clear" w:color="auto" w:fill="FFFFFF" w:themeFill="background1"/>
              <w:jc w:val="center"/>
              <w:rPr>
                <w:b/>
              </w:rPr>
            </w:pPr>
            <w:r w:rsidRPr="00722443">
              <w:rPr>
                <w:b/>
              </w:rPr>
              <w:t>Recordkeeping</w:t>
            </w:r>
          </w:p>
        </w:tc>
        <w:tc>
          <w:tcPr>
            <w:tcW w:w="1577" w:type="dxa"/>
            <w:tcMar>
              <w:top w:w="0" w:type="dxa"/>
              <w:left w:w="108" w:type="dxa"/>
              <w:bottom w:w="0" w:type="dxa"/>
              <w:right w:w="108" w:type="dxa"/>
            </w:tcMar>
            <w:hideMark/>
          </w:tcPr>
          <w:p w:rsidR="006C33AF" w:rsidRPr="00722443" w:rsidP="00DD050C" w14:paraId="39665A5E" w14:textId="77777777">
            <w:pPr>
              <w:shd w:val="clear" w:color="auto" w:fill="FFFFFF" w:themeFill="background1"/>
              <w:jc w:val="center"/>
              <w:rPr>
                <w:b/>
              </w:rPr>
            </w:pPr>
            <w:r w:rsidRPr="00722443">
              <w:rPr>
                <w:b/>
              </w:rPr>
              <w:t>Disclosure</w:t>
            </w:r>
          </w:p>
        </w:tc>
      </w:tr>
      <w:tr w14:paraId="658D35F6" w14:textId="77777777" w:rsidTr="00EB2938">
        <w:tblPrEx>
          <w:tblW w:w="7925" w:type="dxa"/>
          <w:tblCellMar>
            <w:left w:w="0" w:type="dxa"/>
            <w:right w:w="0" w:type="dxa"/>
          </w:tblCellMar>
          <w:tblLook w:val="04A0"/>
        </w:tblPrEx>
        <w:trPr>
          <w:trHeight w:val="251"/>
        </w:trPr>
        <w:tc>
          <w:tcPr>
            <w:tcW w:w="3235" w:type="dxa"/>
            <w:noWrap/>
            <w:tcMar>
              <w:top w:w="0" w:type="dxa"/>
              <w:left w:w="108" w:type="dxa"/>
              <w:bottom w:w="0" w:type="dxa"/>
              <w:right w:w="108" w:type="dxa"/>
            </w:tcMar>
            <w:hideMark/>
          </w:tcPr>
          <w:p w:rsidR="006C33AF" w:rsidRPr="00722443" w:rsidP="00DD050C" w14:paraId="3889B802" w14:textId="77777777">
            <w:pPr>
              <w:shd w:val="clear" w:color="auto" w:fill="FFFFFF" w:themeFill="background1"/>
            </w:pPr>
            <w:r w:rsidRPr="00722443">
              <w:t xml:space="preserve"># of Respondents </w:t>
            </w:r>
          </w:p>
        </w:tc>
        <w:tc>
          <w:tcPr>
            <w:tcW w:w="1350" w:type="dxa"/>
            <w:noWrap/>
            <w:tcMar>
              <w:top w:w="0" w:type="dxa"/>
              <w:left w:w="108" w:type="dxa"/>
              <w:bottom w:w="0" w:type="dxa"/>
              <w:right w:w="108" w:type="dxa"/>
            </w:tcMar>
            <w:vAlign w:val="center"/>
          </w:tcPr>
          <w:p w:rsidR="006C33AF" w:rsidRPr="00722443" w:rsidP="00DD050C" w14:paraId="16650217" w14:textId="6BA8BDA5">
            <w:pPr>
              <w:shd w:val="clear" w:color="auto" w:fill="FFFFFF" w:themeFill="background1"/>
              <w:jc w:val="center"/>
            </w:pPr>
            <w:r>
              <w:t>1</w:t>
            </w:r>
          </w:p>
        </w:tc>
        <w:tc>
          <w:tcPr>
            <w:tcW w:w="1763" w:type="dxa"/>
            <w:noWrap/>
            <w:tcMar>
              <w:top w:w="0" w:type="dxa"/>
              <w:left w:w="108" w:type="dxa"/>
              <w:bottom w:w="0" w:type="dxa"/>
              <w:right w:w="108" w:type="dxa"/>
            </w:tcMar>
            <w:vAlign w:val="center"/>
          </w:tcPr>
          <w:p w:rsidR="006C33AF" w:rsidRPr="00722443" w:rsidP="00DD050C" w14:paraId="3C0DEC45" w14:textId="77777777">
            <w:pPr>
              <w:shd w:val="clear" w:color="auto" w:fill="FFFFFF" w:themeFill="background1"/>
              <w:jc w:val="center"/>
            </w:pPr>
            <w:r w:rsidRPr="00722443">
              <w:t>NA</w:t>
            </w:r>
          </w:p>
        </w:tc>
        <w:tc>
          <w:tcPr>
            <w:tcW w:w="1577" w:type="dxa"/>
            <w:tcMar>
              <w:top w:w="0" w:type="dxa"/>
              <w:left w:w="108" w:type="dxa"/>
              <w:bottom w:w="0" w:type="dxa"/>
              <w:right w:w="108" w:type="dxa"/>
            </w:tcMar>
            <w:vAlign w:val="center"/>
          </w:tcPr>
          <w:p w:rsidR="006C33AF" w:rsidRPr="00722443" w:rsidP="00DD050C" w14:paraId="7D2DEA94" w14:textId="77777777">
            <w:pPr>
              <w:shd w:val="clear" w:color="auto" w:fill="FFFFFF" w:themeFill="background1"/>
              <w:jc w:val="center"/>
            </w:pPr>
            <w:r w:rsidRPr="00722443">
              <w:t>NA</w:t>
            </w:r>
          </w:p>
        </w:tc>
      </w:tr>
      <w:tr w14:paraId="25FE1144" w14:textId="77777777" w:rsidTr="00EB2938">
        <w:tblPrEx>
          <w:tblW w:w="7925" w:type="dxa"/>
          <w:tblCellMar>
            <w:left w:w="0" w:type="dxa"/>
            <w:right w:w="0" w:type="dxa"/>
          </w:tblCellMar>
          <w:tblLook w:val="04A0"/>
        </w:tblPrEx>
        <w:trPr>
          <w:trHeight w:val="260"/>
        </w:trPr>
        <w:tc>
          <w:tcPr>
            <w:tcW w:w="3235" w:type="dxa"/>
            <w:noWrap/>
            <w:tcMar>
              <w:top w:w="0" w:type="dxa"/>
              <w:left w:w="108" w:type="dxa"/>
              <w:bottom w:w="0" w:type="dxa"/>
              <w:right w:w="108" w:type="dxa"/>
            </w:tcMar>
            <w:hideMark/>
          </w:tcPr>
          <w:p w:rsidR="00597BFC" w:rsidRPr="00722443" w:rsidP="00DD050C" w14:paraId="755C047E" w14:textId="1857A6AE">
            <w:pPr>
              <w:shd w:val="clear" w:color="auto" w:fill="FFFFFF" w:themeFill="background1"/>
            </w:pPr>
            <w:r w:rsidRPr="00722443">
              <w:t># of Responses per respondent</w:t>
            </w:r>
          </w:p>
        </w:tc>
        <w:tc>
          <w:tcPr>
            <w:tcW w:w="1350" w:type="dxa"/>
            <w:noWrap/>
            <w:tcMar>
              <w:top w:w="0" w:type="dxa"/>
              <w:left w:w="108" w:type="dxa"/>
              <w:bottom w:w="0" w:type="dxa"/>
              <w:right w:w="108" w:type="dxa"/>
            </w:tcMar>
            <w:vAlign w:val="center"/>
          </w:tcPr>
          <w:p w:rsidR="00597BFC" w:rsidRPr="00722443" w:rsidP="00DD050C" w14:paraId="662545B7" w14:textId="0DBB3642">
            <w:pPr>
              <w:shd w:val="clear" w:color="auto" w:fill="FFFFFF" w:themeFill="background1"/>
              <w:jc w:val="center"/>
            </w:pPr>
            <w:r>
              <w:t>3</w:t>
            </w:r>
          </w:p>
        </w:tc>
        <w:tc>
          <w:tcPr>
            <w:tcW w:w="1763" w:type="dxa"/>
            <w:noWrap/>
            <w:tcMar>
              <w:top w:w="0" w:type="dxa"/>
              <w:left w:w="108" w:type="dxa"/>
              <w:bottom w:w="0" w:type="dxa"/>
              <w:right w:w="108" w:type="dxa"/>
            </w:tcMar>
            <w:vAlign w:val="center"/>
          </w:tcPr>
          <w:p w:rsidR="00597BFC" w:rsidRPr="00722443" w:rsidP="00DD050C" w14:paraId="3EF065B5" w14:textId="77777777">
            <w:pPr>
              <w:shd w:val="clear" w:color="auto" w:fill="FFFFFF" w:themeFill="background1"/>
              <w:jc w:val="center"/>
            </w:pPr>
            <w:r w:rsidRPr="00722443">
              <w:t>NA</w:t>
            </w:r>
          </w:p>
        </w:tc>
        <w:tc>
          <w:tcPr>
            <w:tcW w:w="1577" w:type="dxa"/>
            <w:tcMar>
              <w:top w:w="0" w:type="dxa"/>
              <w:left w:w="108" w:type="dxa"/>
              <w:bottom w:w="0" w:type="dxa"/>
              <w:right w:w="108" w:type="dxa"/>
            </w:tcMar>
            <w:vAlign w:val="center"/>
          </w:tcPr>
          <w:p w:rsidR="00597BFC" w:rsidRPr="00722443" w:rsidP="00DD050C" w14:paraId="277A9DA2" w14:textId="77777777">
            <w:pPr>
              <w:shd w:val="clear" w:color="auto" w:fill="FFFFFF" w:themeFill="background1"/>
              <w:jc w:val="center"/>
            </w:pPr>
            <w:r w:rsidRPr="00722443">
              <w:t>NA</w:t>
            </w:r>
          </w:p>
        </w:tc>
      </w:tr>
      <w:tr w14:paraId="4561161C" w14:textId="77777777" w:rsidTr="00EB2938">
        <w:tblPrEx>
          <w:tblW w:w="7925" w:type="dxa"/>
          <w:tblCellMar>
            <w:left w:w="0" w:type="dxa"/>
            <w:right w:w="0" w:type="dxa"/>
          </w:tblCellMar>
          <w:tblLook w:val="04A0"/>
        </w:tblPrEx>
        <w:trPr>
          <w:trHeight w:val="330"/>
        </w:trPr>
        <w:tc>
          <w:tcPr>
            <w:tcW w:w="3235" w:type="dxa"/>
            <w:noWrap/>
            <w:tcMar>
              <w:top w:w="0" w:type="dxa"/>
              <w:left w:w="108" w:type="dxa"/>
              <w:bottom w:w="0" w:type="dxa"/>
              <w:right w:w="108" w:type="dxa"/>
            </w:tcMar>
            <w:hideMark/>
          </w:tcPr>
          <w:p w:rsidR="00597BFC" w:rsidRPr="00722443" w:rsidP="00DD050C" w14:paraId="1EE92723" w14:textId="77777777">
            <w:pPr>
              <w:shd w:val="clear" w:color="auto" w:fill="FFFFFF" w:themeFill="background1"/>
            </w:pPr>
            <w:r w:rsidRPr="00722443">
              <w:t>Time per Response</w:t>
            </w:r>
          </w:p>
        </w:tc>
        <w:tc>
          <w:tcPr>
            <w:tcW w:w="1350" w:type="dxa"/>
            <w:noWrap/>
            <w:tcMar>
              <w:top w:w="0" w:type="dxa"/>
              <w:left w:w="108" w:type="dxa"/>
              <w:bottom w:w="0" w:type="dxa"/>
              <w:right w:w="108" w:type="dxa"/>
            </w:tcMar>
            <w:vAlign w:val="center"/>
          </w:tcPr>
          <w:p w:rsidR="00597BFC" w:rsidRPr="00722443" w:rsidP="00DD050C" w14:paraId="718F1D7D" w14:textId="1A3CD8E3">
            <w:pPr>
              <w:shd w:val="clear" w:color="auto" w:fill="FFFFFF" w:themeFill="background1"/>
              <w:jc w:val="center"/>
            </w:pPr>
            <w:r>
              <w:t>2080</w:t>
            </w:r>
            <w:r w:rsidRPr="00722443">
              <w:t xml:space="preserve"> </w:t>
            </w:r>
          </w:p>
        </w:tc>
        <w:tc>
          <w:tcPr>
            <w:tcW w:w="1763" w:type="dxa"/>
            <w:noWrap/>
            <w:tcMar>
              <w:top w:w="0" w:type="dxa"/>
              <w:left w:w="108" w:type="dxa"/>
              <w:bottom w:w="0" w:type="dxa"/>
              <w:right w:w="108" w:type="dxa"/>
            </w:tcMar>
            <w:vAlign w:val="center"/>
          </w:tcPr>
          <w:p w:rsidR="00597BFC" w:rsidRPr="00722443" w:rsidP="00DD050C" w14:paraId="1A6B31F5" w14:textId="77777777">
            <w:pPr>
              <w:shd w:val="clear" w:color="auto" w:fill="FFFFFF" w:themeFill="background1"/>
              <w:jc w:val="center"/>
            </w:pPr>
            <w:r w:rsidRPr="00722443">
              <w:t>NA</w:t>
            </w:r>
          </w:p>
        </w:tc>
        <w:tc>
          <w:tcPr>
            <w:tcW w:w="1577" w:type="dxa"/>
            <w:tcMar>
              <w:top w:w="0" w:type="dxa"/>
              <w:left w:w="108" w:type="dxa"/>
              <w:bottom w:w="0" w:type="dxa"/>
              <w:right w:w="108" w:type="dxa"/>
            </w:tcMar>
            <w:vAlign w:val="center"/>
          </w:tcPr>
          <w:p w:rsidR="00597BFC" w:rsidRPr="00722443" w:rsidP="00DD050C" w14:paraId="1D684D10" w14:textId="77777777">
            <w:pPr>
              <w:shd w:val="clear" w:color="auto" w:fill="FFFFFF" w:themeFill="background1"/>
              <w:jc w:val="center"/>
            </w:pPr>
            <w:r w:rsidRPr="00722443">
              <w:t>NA</w:t>
            </w:r>
          </w:p>
        </w:tc>
      </w:tr>
      <w:tr w14:paraId="273398F1" w14:textId="77777777" w:rsidTr="00AE5ED2">
        <w:tblPrEx>
          <w:tblW w:w="7925" w:type="dxa"/>
          <w:tblCellMar>
            <w:left w:w="0" w:type="dxa"/>
            <w:right w:w="0" w:type="dxa"/>
          </w:tblCellMar>
          <w:tblLook w:val="04A0"/>
        </w:tblPrEx>
        <w:trPr>
          <w:trHeight w:val="330"/>
        </w:trPr>
        <w:tc>
          <w:tcPr>
            <w:tcW w:w="3235" w:type="dxa"/>
            <w:noWrap/>
            <w:tcMar>
              <w:top w:w="0" w:type="dxa"/>
              <w:left w:w="108" w:type="dxa"/>
              <w:bottom w:w="0" w:type="dxa"/>
              <w:right w:w="108" w:type="dxa"/>
            </w:tcMar>
            <w:hideMark/>
          </w:tcPr>
          <w:p w:rsidR="00597BFC" w:rsidRPr="00722443" w:rsidP="00DD050C" w14:paraId="4EBE395A" w14:textId="77777777">
            <w:pPr>
              <w:shd w:val="clear" w:color="auto" w:fill="FFFFFF" w:themeFill="background1"/>
              <w:jc w:val="right"/>
              <w:rPr>
                <w:b/>
              </w:rPr>
            </w:pPr>
            <w:r w:rsidRPr="00722443">
              <w:rPr>
                <w:b/>
              </w:rPr>
              <w:t>Total burden (hours)</w:t>
            </w:r>
          </w:p>
        </w:tc>
        <w:tc>
          <w:tcPr>
            <w:tcW w:w="4690" w:type="dxa"/>
            <w:gridSpan w:val="3"/>
            <w:noWrap/>
            <w:tcMar>
              <w:top w:w="0" w:type="dxa"/>
              <w:left w:w="108" w:type="dxa"/>
              <w:bottom w:w="0" w:type="dxa"/>
              <w:right w:w="108" w:type="dxa"/>
            </w:tcMar>
          </w:tcPr>
          <w:p w:rsidR="00597BFC" w:rsidRPr="00722443" w:rsidP="00DD050C" w14:paraId="72AB0D8C" w14:textId="3EF06B05">
            <w:pPr>
              <w:shd w:val="clear" w:color="auto" w:fill="FFFFFF" w:themeFill="background1"/>
              <w:rPr>
                <w:b/>
              </w:rPr>
            </w:pPr>
            <w:r>
              <w:rPr>
                <w:b/>
              </w:rPr>
              <w:t>6,240</w:t>
            </w:r>
            <w:r w:rsidRPr="00722443">
              <w:rPr>
                <w:b/>
              </w:rPr>
              <w:t xml:space="preserve"> </w:t>
            </w:r>
            <w:r w:rsidRPr="00722443">
              <w:t>is the total number of estimated burden hours for this collection category</w:t>
            </w:r>
          </w:p>
        </w:tc>
      </w:tr>
    </w:tbl>
    <w:p w:rsidR="00FF3122" w:rsidP="00DD050C" w14:paraId="05C0E23D" w14:textId="7D8AC0BD">
      <w:pPr>
        <w:numPr>
          <w:ilvl w:val="12"/>
          <w:numId w:val="0"/>
        </w:numPr>
        <w:shd w:val="clear" w:color="auto" w:fill="FFFFFF" w:themeFill="background1"/>
        <w:spacing w:before="120" w:after="120"/>
        <w:ind w:firstLine="720"/>
        <w:rPr>
          <w:color w:val="000000"/>
        </w:rPr>
      </w:pPr>
      <w:r w:rsidRPr="00722443">
        <w:rPr>
          <w:color w:val="000000"/>
        </w:rPr>
        <w:t xml:space="preserve">For programs that are </w:t>
      </w:r>
      <w:r w:rsidRPr="00722443">
        <w:rPr>
          <w:b/>
          <w:color w:val="000000"/>
        </w:rPr>
        <w:t>simple and non-controversial</w:t>
      </w:r>
      <w:r w:rsidRPr="00722443" w:rsidR="008C5D3C">
        <w:rPr>
          <w:color w:val="000000"/>
        </w:rPr>
        <w:t xml:space="preserve">, </w:t>
      </w:r>
      <w:r w:rsidRPr="00722443">
        <w:rPr>
          <w:color w:val="000000"/>
        </w:rPr>
        <w:t xml:space="preserve">we estimate that up to 10 </w:t>
      </w:r>
      <w:r w:rsidRPr="00722443" w:rsidR="00282F7C">
        <w:rPr>
          <w:color w:val="000000"/>
        </w:rPr>
        <w:t xml:space="preserve">airports </w:t>
      </w:r>
      <w:r w:rsidRPr="00722443">
        <w:rPr>
          <w:color w:val="000000"/>
        </w:rPr>
        <w:t>per year will fall into this category</w:t>
      </w:r>
      <w:r w:rsidRPr="00722443" w:rsidR="009165A9">
        <w:rPr>
          <w:color w:val="000000"/>
        </w:rPr>
        <w:t xml:space="preserve"> depending on whether an airport implemented a noise compatibility program that particular year</w:t>
      </w:r>
      <w:r w:rsidRPr="00722443">
        <w:rPr>
          <w:color w:val="000000"/>
        </w:rPr>
        <w:t xml:space="preserve">. </w:t>
      </w:r>
      <w:r w:rsidRPr="00722443" w:rsidR="00270097">
        <w:rPr>
          <w:color w:val="000000"/>
        </w:rPr>
        <w:t xml:space="preserve">This means </w:t>
      </w:r>
      <w:r w:rsidR="00270097">
        <w:rPr>
          <w:color w:val="000000"/>
        </w:rPr>
        <w:t>the maximum number of respondents is</w:t>
      </w:r>
      <w:r w:rsidRPr="00722443" w:rsidR="00BF29B6">
        <w:rPr>
          <w:color w:val="000000"/>
        </w:rPr>
        <w:t xml:space="preserve"> 10</w:t>
      </w:r>
      <w:r w:rsidRPr="00722443" w:rsidR="00D8186B">
        <w:rPr>
          <w:color w:val="000000"/>
        </w:rPr>
        <w:t xml:space="preserve"> airports </w:t>
      </w:r>
      <w:r w:rsidR="00270097">
        <w:rPr>
          <w:color w:val="000000"/>
        </w:rPr>
        <w:t xml:space="preserve">that would </w:t>
      </w:r>
      <w:r w:rsidRPr="00722443" w:rsidR="00D8186B">
        <w:rPr>
          <w:color w:val="000000"/>
        </w:rPr>
        <w:t xml:space="preserve">prepare a new or revised program and that this type of program will take approximately </w:t>
      </w:r>
      <w:r w:rsidR="00AE5ED2">
        <w:rPr>
          <w:color w:val="000000"/>
        </w:rPr>
        <w:t>1</w:t>
      </w:r>
      <w:r w:rsidRPr="00722443" w:rsidR="00D8186B">
        <w:rPr>
          <w:color w:val="000000"/>
        </w:rPr>
        <w:t xml:space="preserve">PY of an Airport Sponsor or Operators time per program. </w:t>
      </w:r>
      <w:r w:rsidRPr="00722443">
        <w:rPr>
          <w:color w:val="000000"/>
        </w:rPr>
        <w:t xml:space="preserve">Thus, we estimate a total of </w:t>
      </w:r>
      <w:r w:rsidR="000514F6">
        <w:rPr>
          <w:color w:val="000000"/>
        </w:rPr>
        <w:t>20,800</w:t>
      </w:r>
      <w:r w:rsidRPr="00722443" w:rsidR="00D8186B">
        <w:rPr>
          <w:color w:val="000000"/>
        </w:rPr>
        <w:t xml:space="preserve"> </w:t>
      </w:r>
      <w:r w:rsidRPr="00722443">
        <w:rPr>
          <w:color w:val="000000"/>
        </w:rPr>
        <w:t>PH</w:t>
      </w:r>
      <w:r w:rsidRPr="00722443" w:rsidR="00332FB7">
        <w:rPr>
          <w:color w:val="000000"/>
        </w:rPr>
        <w:t xml:space="preserve"> (</w:t>
      </w:r>
      <w:r w:rsidR="00AE5ED2">
        <w:rPr>
          <w:color w:val="000000"/>
        </w:rPr>
        <w:t>1P</w:t>
      </w:r>
      <w:r w:rsidRPr="00722443" w:rsidR="00332FB7">
        <w:rPr>
          <w:color w:val="000000"/>
        </w:rPr>
        <w:t>Y</w:t>
      </w:r>
      <w:r w:rsidRPr="00722443" w:rsidR="00FE0B1B">
        <w:rPr>
          <w:color w:val="000000"/>
        </w:rPr>
        <w:t>*2080</w:t>
      </w:r>
      <w:r w:rsidRPr="00722443" w:rsidR="00332FB7">
        <w:rPr>
          <w:color w:val="000000"/>
        </w:rPr>
        <w:t>*10 programs</w:t>
      </w:r>
      <w:r w:rsidRPr="00722443" w:rsidR="009165A9">
        <w:rPr>
          <w:color w:val="000000"/>
        </w:rPr>
        <w:t>/</w:t>
      </w:r>
      <w:r w:rsidRPr="00722443" w:rsidR="00332FB7">
        <w:rPr>
          <w:color w:val="000000"/>
        </w:rPr>
        <w:t>year)</w:t>
      </w:r>
      <w:r w:rsidRPr="00722443" w:rsidR="00C8660F">
        <w:rPr>
          <w:color w:val="000000"/>
        </w:rPr>
        <w:t xml:space="preserve"> </w:t>
      </w:r>
      <w:r w:rsidRPr="00722443" w:rsidR="00030EA7">
        <w:rPr>
          <w:color w:val="000000"/>
        </w:rPr>
        <w:t xml:space="preserve">over the </w:t>
      </w:r>
      <w:r w:rsidRPr="00722443" w:rsidR="009C4F9B">
        <w:rPr>
          <w:color w:val="000000"/>
        </w:rPr>
        <w:t>three-year</w:t>
      </w:r>
      <w:r w:rsidRPr="00722443" w:rsidR="00030EA7">
        <w:rPr>
          <w:color w:val="000000"/>
        </w:rPr>
        <w:t xml:space="preserve"> period </w:t>
      </w:r>
      <w:r w:rsidRPr="00722443" w:rsidR="00C8660F">
        <w:rPr>
          <w:color w:val="000000"/>
        </w:rPr>
        <w:t>for simple, non-controversial</w:t>
      </w:r>
      <w:r w:rsidRPr="00722443" w:rsidR="009165A9">
        <w:rPr>
          <w:color w:val="000000"/>
        </w:rPr>
        <w:t xml:space="preserve"> NCPs</w:t>
      </w:r>
      <w:r w:rsidRPr="00722443">
        <w:rPr>
          <w:color w:val="000000"/>
        </w:rPr>
        <w:t>.</w:t>
      </w:r>
    </w:p>
    <w:p w:rsidR="00DD050C" w:rsidP="00DD050C" w14:paraId="52DE5F41" w14:textId="77777777">
      <w:pPr>
        <w:numPr>
          <w:ilvl w:val="12"/>
          <w:numId w:val="0"/>
        </w:numPr>
        <w:shd w:val="clear" w:color="auto" w:fill="FFFFFF" w:themeFill="background1"/>
        <w:spacing w:before="120" w:after="120"/>
        <w:ind w:firstLine="720"/>
        <w:rPr>
          <w:color w:val="000000"/>
        </w:rPr>
      </w:pPr>
    </w:p>
    <w:tbl>
      <w:tblPr>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35"/>
        <w:gridCol w:w="1710"/>
        <w:gridCol w:w="1763"/>
        <w:gridCol w:w="1567"/>
        <w:gridCol w:w="6"/>
      </w:tblGrid>
      <w:tr w14:paraId="381A9E3E" w14:textId="77777777" w:rsidTr="000D6923">
        <w:tblPrEx>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5"/>
        </w:trPr>
        <w:tc>
          <w:tcPr>
            <w:tcW w:w="8281" w:type="dxa"/>
            <w:gridSpan w:val="5"/>
            <w:noWrap/>
            <w:tcMar>
              <w:top w:w="0" w:type="dxa"/>
              <w:left w:w="108" w:type="dxa"/>
              <w:bottom w:w="0" w:type="dxa"/>
              <w:right w:w="108" w:type="dxa"/>
            </w:tcMar>
          </w:tcPr>
          <w:p w:rsidR="006C33AF" w:rsidRPr="00722443" w:rsidP="00DD050C" w14:paraId="09F28666" w14:textId="6B0E9442">
            <w:pPr>
              <w:shd w:val="clear" w:color="auto" w:fill="FFFFFF" w:themeFill="background1"/>
              <w:jc w:val="center"/>
              <w:rPr>
                <w:b/>
                <w:color w:val="000000"/>
              </w:rPr>
            </w:pPr>
            <w:r w:rsidRPr="00722443">
              <w:rPr>
                <w:b/>
                <w:color w:val="000000"/>
              </w:rPr>
              <w:t xml:space="preserve">Simple, </w:t>
            </w:r>
            <w:r w:rsidRPr="00722443">
              <w:rPr>
                <w:b/>
                <w:color w:val="000000"/>
              </w:rPr>
              <w:t>Non-controversial NCP</w:t>
            </w:r>
          </w:p>
        </w:tc>
      </w:tr>
      <w:tr w14:paraId="2F11D3D1" w14:textId="77777777" w:rsidTr="000D6923">
        <w:tblPrEx>
          <w:tblW w:w="8281" w:type="dxa"/>
          <w:tblCellMar>
            <w:left w:w="0" w:type="dxa"/>
            <w:right w:w="0" w:type="dxa"/>
          </w:tblCellMar>
          <w:tblLook w:val="04A0"/>
        </w:tblPrEx>
        <w:trPr>
          <w:gridAfter w:val="1"/>
          <w:wAfter w:w="6" w:type="dxa"/>
          <w:trHeight w:val="305"/>
        </w:trPr>
        <w:tc>
          <w:tcPr>
            <w:tcW w:w="3235" w:type="dxa"/>
            <w:noWrap/>
            <w:tcMar>
              <w:top w:w="0" w:type="dxa"/>
              <w:left w:w="108" w:type="dxa"/>
              <w:bottom w:w="0" w:type="dxa"/>
              <w:right w:w="108" w:type="dxa"/>
            </w:tcMar>
            <w:hideMark/>
          </w:tcPr>
          <w:p w:rsidR="00C00A5E" w:rsidRPr="00722443" w:rsidP="00DD050C" w14:paraId="73B571F4" w14:textId="30CDBFB4">
            <w:pPr>
              <w:shd w:val="clear" w:color="auto" w:fill="FFFFFF" w:themeFill="background1"/>
              <w:jc w:val="center"/>
              <w:rPr>
                <w:b/>
              </w:rPr>
            </w:pPr>
            <w:r w:rsidRPr="00722443">
              <w:rPr>
                <w:b/>
              </w:rPr>
              <w:t xml:space="preserve">Respondents </w:t>
            </w:r>
          </w:p>
        </w:tc>
        <w:tc>
          <w:tcPr>
            <w:tcW w:w="1710" w:type="dxa"/>
            <w:noWrap/>
            <w:tcMar>
              <w:top w:w="0" w:type="dxa"/>
              <w:left w:w="108" w:type="dxa"/>
              <w:bottom w:w="0" w:type="dxa"/>
              <w:right w:w="108" w:type="dxa"/>
            </w:tcMar>
            <w:hideMark/>
          </w:tcPr>
          <w:p w:rsidR="00C00A5E" w:rsidRPr="00722443" w:rsidP="00DD050C" w14:paraId="12E19B4C" w14:textId="77777777">
            <w:pPr>
              <w:shd w:val="clear" w:color="auto" w:fill="FFFFFF" w:themeFill="background1"/>
              <w:jc w:val="center"/>
              <w:rPr>
                <w:b/>
              </w:rPr>
            </w:pPr>
            <w:r w:rsidRPr="00722443">
              <w:rPr>
                <w:b/>
              </w:rPr>
              <w:t>Reporting</w:t>
            </w:r>
          </w:p>
        </w:tc>
        <w:tc>
          <w:tcPr>
            <w:tcW w:w="1763" w:type="dxa"/>
            <w:noWrap/>
            <w:tcMar>
              <w:top w:w="0" w:type="dxa"/>
              <w:left w:w="108" w:type="dxa"/>
              <w:bottom w:w="0" w:type="dxa"/>
              <w:right w:w="108" w:type="dxa"/>
            </w:tcMar>
            <w:hideMark/>
          </w:tcPr>
          <w:p w:rsidR="00C00A5E" w:rsidRPr="00722443" w:rsidP="00DD050C" w14:paraId="740F7D9C" w14:textId="77777777">
            <w:pPr>
              <w:shd w:val="clear" w:color="auto" w:fill="FFFFFF" w:themeFill="background1"/>
              <w:jc w:val="center"/>
              <w:rPr>
                <w:b/>
              </w:rPr>
            </w:pPr>
            <w:r w:rsidRPr="00722443">
              <w:rPr>
                <w:b/>
              </w:rPr>
              <w:t>Recordkeeping</w:t>
            </w:r>
          </w:p>
        </w:tc>
        <w:tc>
          <w:tcPr>
            <w:tcW w:w="1567" w:type="dxa"/>
            <w:tcMar>
              <w:top w:w="0" w:type="dxa"/>
              <w:left w:w="108" w:type="dxa"/>
              <w:bottom w:w="0" w:type="dxa"/>
              <w:right w:w="108" w:type="dxa"/>
            </w:tcMar>
            <w:hideMark/>
          </w:tcPr>
          <w:p w:rsidR="00C00A5E" w:rsidRPr="00722443" w:rsidP="00DD050C" w14:paraId="1152C30F" w14:textId="77777777">
            <w:pPr>
              <w:shd w:val="clear" w:color="auto" w:fill="FFFFFF" w:themeFill="background1"/>
              <w:jc w:val="center"/>
              <w:rPr>
                <w:b/>
              </w:rPr>
            </w:pPr>
            <w:r w:rsidRPr="00722443">
              <w:rPr>
                <w:b/>
              </w:rPr>
              <w:t>Disclosure</w:t>
            </w:r>
          </w:p>
        </w:tc>
      </w:tr>
      <w:tr w14:paraId="41EE7111" w14:textId="77777777" w:rsidTr="000D6923">
        <w:tblPrEx>
          <w:tblW w:w="8281" w:type="dxa"/>
          <w:tblCellMar>
            <w:left w:w="0" w:type="dxa"/>
            <w:right w:w="0" w:type="dxa"/>
          </w:tblCellMar>
          <w:tblLook w:val="04A0"/>
        </w:tblPrEx>
        <w:trPr>
          <w:gridAfter w:val="1"/>
          <w:wAfter w:w="6" w:type="dxa"/>
          <w:trHeight w:val="251"/>
        </w:trPr>
        <w:tc>
          <w:tcPr>
            <w:tcW w:w="3235" w:type="dxa"/>
            <w:noWrap/>
            <w:tcMar>
              <w:top w:w="0" w:type="dxa"/>
              <w:left w:w="108" w:type="dxa"/>
              <w:bottom w:w="0" w:type="dxa"/>
              <w:right w:w="108" w:type="dxa"/>
            </w:tcMar>
            <w:hideMark/>
          </w:tcPr>
          <w:p w:rsidR="00C00A5E" w:rsidRPr="00722443" w:rsidP="00DD050C" w14:paraId="59F7C9B2" w14:textId="4CD7B2D9">
            <w:pPr>
              <w:shd w:val="clear" w:color="auto" w:fill="FFFFFF" w:themeFill="background1"/>
            </w:pPr>
            <w:r w:rsidRPr="00722443">
              <w:t># of Respondents</w:t>
            </w:r>
            <w:r w:rsidRPr="00722443" w:rsidR="00B2774B">
              <w:t xml:space="preserve"> </w:t>
            </w:r>
          </w:p>
        </w:tc>
        <w:tc>
          <w:tcPr>
            <w:tcW w:w="1710" w:type="dxa"/>
            <w:noWrap/>
            <w:tcMar>
              <w:top w:w="0" w:type="dxa"/>
              <w:left w:w="108" w:type="dxa"/>
              <w:bottom w:w="0" w:type="dxa"/>
              <w:right w:w="108" w:type="dxa"/>
            </w:tcMar>
            <w:vAlign w:val="center"/>
          </w:tcPr>
          <w:p w:rsidR="00C00A5E" w:rsidRPr="00722443" w:rsidP="00DD050C" w14:paraId="1201AA87" w14:textId="5BF98672">
            <w:pPr>
              <w:shd w:val="clear" w:color="auto" w:fill="FFFFFF" w:themeFill="background1"/>
              <w:jc w:val="center"/>
            </w:pPr>
            <w:r>
              <w:t>1</w:t>
            </w:r>
          </w:p>
        </w:tc>
        <w:tc>
          <w:tcPr>
            <w:tcW w:w="1763" w:type="dxa"/>
            <w:noWrap/>
            <w:tcMar>
              <w:top w:w="0" w:type="dxa"/>
              <w:left w:w="108" w:type="dxa"/>
              <w:bottom w:w="0" w:type="dxa"/>
              <w:right w:w="108" w:type="dxa"/>
            </w:tcMar>
            <w:vAlign w:val="center"/>
          </w:tcPr>
          <w:p w:rsidR="00C00A5E" w:rsidRPr="00722443" w:rsidP="00DD050C" w14:paraId="64F7AFFE" w14:textId="77777777">
            <w:pPr>
              <w:shd w:val="clear" w:color="auto" w:fill="FFFFFF" w:themeFill="background1"/>
              <w:jc w:val="center"/>
            </w:pPr>
            <w:r w:rsidRPr="00722443">
              <w:t>NA</w:t>
            </w:r>
          </w:p>
        </w:tc>
        <w:tc>
          <w:tcPr>
            <w:tcW w:w="1567" w:type="dxa"/>
            <w:tcMar>
              <w:top w:w="0" w:type="dxa"/>
              <w:left w:w="108" w:type="dxa"/>
              <w:bottom w:w="0" w:type="dxa"/>
              <w:right w:w="108" w:type="dxa"/>
            </w:tcMar>
            <w:vAlign w:val="center"/>
          </w:tcPr>
          <w:p w:rsidR="00C00A5E" w:rsidRPr="00722443" w:rsidP="00DD050C" w14:paraId="0D2790E6" w14:textId="77777777">
            <w:pPr>
              <w:shd w:val="clear" w:color="auto" w:fill="FFFFFF" w:themeFill="background1"/>
              <w:jc w:val="center"/>
            </w:pPr>
            <w:r w:rsidRPr="00722443">
              <w:t>NA</w:t>
            </w:r>
          </w:p>
        </w:tc>
      </w:tr>
      <w:tr w14:paraId="13CCF8DC" w14:textId="77777777" w:rsidTr="000D6923">
        <w:tblPrEx>
          <w:tblW w:w="8281" w:type="dxa"/>
          <w:tblCellMar>
            <w:left w:w="0" w:type="dxa"/>
            <w:right w:w="0" w:type="dxa"/>
          </w:tblCellMar>
          <w:tblLook w:val="04A0"/>
        </w:tblPrEx>
        <w:trPr>
          <w:gridAfter w:val="1"/>
          <w:wAfter w:w="6" w:type="dxa"/>
          <w:trHeight w:val="260"/>
        </w:trPr>
        <w:tc>
          <w:tcPr>
            <w:tcW w:w="3235" w:type="dxa"/>
            <w:noWrap/>
            <w:tcMar>
              <w:top w:w="0" w:type="dxa"/>
              <w:left w:w="108" w:type="dxa"/>
              <w:bottom w:w="0" w:type="dxa"/>
              <w:right w:w="108" w:type="dxa"/>
            </w:tcMar>
            <w:hideMark/>
          </w:tcPr>
          <w:p w:rsidR="00597BFC" w:rsidRPr="00722443" w:rsidP="00DD050C" w14:paraId="737464C7" w14:textId="48BEF2E2">
            <w:pPr>
              <w:shd w:val="clear" w:color="auto" w:fill="FFFFFF" w:themeFill="background1"/>
            </w:pPr>
            <w:r w:rsidRPr="00722443">
              <w:t># of Responses per respondent</w:t>
            </w:r>
          </w:p>
        </w:tc>
        <w:tc>
          <w:tcPr>
            <w:tcW w:w="1710" w:type="dxa"/>
            <w:noWrap/>
            <w:tcMar>
              <w:top w:w="0" w:type="dxa"/>
              <w:left w:w="108" w:type="dxa"/>
              <w:bottom w:w="0" w:type="dxa"/>
              <w:right w:w="108" w:type="dxa"/>
            </w:tcMar>
            <w:vAlign w:val="center"/>
          </w:tcPr>
          <w:p w:rsidR="00597BFC" w:rsidRPr="00722443" w:rsidP="00DD050C" w14:paraId="534B0AB2" w14:textId="1951293F">
            <w:pPr>
              <w:shd w:val="clear" w:color="auto" w:fill="FFFFFF" w:themeFill="background1"/>
              <w:jc w:val="center"/>
            </w:pPr>
            <w:r>
              <w:t>1</w:t>
            </w:r>
            <w:r w:rsidR="00773A4C">
              <w:t>0</w:t>
            </w:r>
          </w:p>
        </w:tc>
        <w:tc>
          <w:tcPr>
            <w:tcW w:w="1763" w:type="dxa"/>
            <w:noWrap/>
            <w:tcMar>
              <w:top w:w="0" w:type="dxa"/>
              <w:left w:w="108" w:type="dxa"/>
              <w:bottom w:w="0" w:type="dxa"/>
              <w:right w:w="108" w:type="dxa"/>
            </w:tcMar>
            <w:vAlign w:val="center"/>
          </w:tcPr>
          <w:p w:rsidR="00597BFC" w:rsidRPr="00722443" w:rsidP="00DD050C" w14:paraId="00E637CB" w14:textId="77777777">
            <w:pPr>
              <w:shd w:val="clear" w:color="auto" w:fill="FFFFFF" w:themeFill="background1"/>
              <w:jc w:val="center"/>
            </w:pPr>
            <w:r w:rsidRPr="00722443">
              <w:t>NA</w:t>
            </w:r>
          </w:p>
        </w:tc>
        <w:tc>
          <w:tcPr>
            <w:tcW w:w="1567" w:type="dxa"/>
            <w:tcMar>
              <w:top w:w="0" w:type="dxa"/>
              <w:left w:w="108" w:type="dxa"/>
              <w:bottom w:w="0" w:type="dxa"/>
              <w:right w:w="108" w:type="dxa"/>
            </w:tcMar>
            <w:vAlign w:val="center"/>
          </w:tcPr>
          <w:p w:rsidR="00597BFC" w:rsidRPr="00722443" w:rsidP="00DD050C" w14:paraId="1AF71428" w14:textId="77777777">
            <w:pPr>
              <w:shd w:val="clear" w:color="auto" w:fill="FFFFFF" w:themeFill="background1"/>
              <w:jc w:val="center"/>
            </w:pPr>
            <w:r w:rsidRPr="00722443">
              <w:t>NA</w:t>
            </w:r>
          </w:p>
        </w:tc>
      </w:tr>
      <w:tr w14:paraId="5DE37363" w14:textId="77777777" w:rsidTr="000D6923">
        <w:tblPrEx>
          <w:tblW w:w="8281" w:type="dxa"/>
          <w:tblCellMar>
            <w:left w:w="0" w:type="dxa"/>
            <w:right w:w="0" w:type="dxa"/>
          </w:tblCellMar>
          <w:tblLook w:val="04A0"/>
        </w:tblPrEx>
        <w:trPr>
          <w:gridAfter w:val="1"/>
          <w:wAfter w:w="6" w:type="dxa"/>
          <w:trHeight w:val="330"/>
        </w:trPr>
        <w:tc>
          <w:tcPr>
            <w:tcW w:w="3235" w:type="dxa"/>
            <w:noWrap/>
            <w:tcMar>
              <w:top w:w="0" w:type="dxa"/>
              <w:left w:w="108" w:type="dxa"/>
              <w:bottom w:w="0" w:type="dxa"/>
              <w:right w:w="108" w:type="dxa"/>
            </w:tcMar>
            <w:hideMark/>
          </w:tcPr>
          <w:p w:rsidR="00597BFC" w:rsidRPr="00722443" w:rsidP="00DD050C" w14:paraId="3973C2FC" w14:textId="77777777">
            <w:pPr>
              <w:shd w:val="clear" w:color="auto" w:fill="FFFFFF" w:themeFill="background1"/>
            </w:pPr>
            <w:r w:rsidRPr="00722443">
              <w:t>Time per Response</w:t>
            </w:r>
          </w:p>
        </w:tc>
        <w:tc>
          <w:tcPr>
            <w:tcW w:w="1710" w:type="dxa"/>
            <w:noWrap/>
            <w:tcMar>
              <w:top w:w="0" w:type="dxa"/>
              <w:left w:w="108" w:type="dxa"/>
              <w:bottom w:w="0" w:type="dxa"/>
              <w:right w:w="108" w:type="dxa"/>
            </w:tcMar>
            <w:vAlign w:val="center"/>
          </w:tcPr>
          <w:p w:rsidR="00597BFC" w:rsidRPr="00722443" w:rsidP="00DD050C" w14:paraId="290C2271" w14:textId="461C01CC">
            <w:pPr>
              <w:shd w:val="clear" w:color="auto" w:fill="FFFFFF" w:themeFill="background1"/>
              <w:jc w:val="center"/>
            </w:pPr>
            <w:r>
              <w:t>2080</w:t>
            </w:r>
          </w:p>
        </w:tc>
        <w:tc>
          <w:tcPr>
            <w:tcW w:w="1763" w:type="dxa"/>
            <w:noWrap/>
            <w:tcMar>
              <w:top w:w="0" w:type="dxa"/>
              <w:left w:w="108" w:type="dxa"/>
              <w:bottom w:w="0" w:type="dxa"/>
              <w:right w:w="108" w:type="dxa"/>
            </w:tcMar>
            <w:vAlign w:val="center"/>
          </w:tcPr>
          <w:p w:rsidR="00597BFC" w:rsidRPr="00722443" w:rsidP="00DD050C" w14:paraId="5191FF99" w14:textId="77777777">
            <w:pPr>
              <w:shd w:val="clear" w:color="auto" w:fill="FFFFFF" w:themeFill="background1"/>
              <w:jc w:val="center"/>
            </w:pPr>
            <w:r w:rsidRPr="00722443">
              <w:t>NA</w:t>
            </w:r>
          </w:p>
        </w:tc>
        <w:tc>
          <w:tcPr>
            <w:tcW w:w="1567" w:type="dxa"/>
            <w:tcMar>
              <w:top w:w="0" w:type="dxa"/>
              <w:left w:w="108" w:type="dxa"/>
              <w:bottom w:w="0" w:type="dxa"/>
              <w:right w:w="108" w:type="dxa"/>
            </w:tcMar>
            <w:vAlign w:val="center"/>
          </w:tcPr>
          <w:p w:rsidR="00597BFC" w:rsidRPr="00722443" w:rsidP="00DD050C" w14:paraId="69077369" w14:textId="77777777">
            <w:pPr>
              <w:shd w:val="clear" w:color="auto" w:fill="FFFFFF" w:themeFill="background1"/>
              <w:jc w:val="center"/>
            </w:pPr>
            <w:r w:rsidRPr="00722443">
              <w:t>NA</w:t>
            </w:r>
          </w:p>
        </w:tc>
      </w:tr>
      <w:tr w14:paraId="2DA88ABF" w14:textId="77777777" w:rsidTr="000D6923">
        <w:tblPrEx>
          <w:tblW w:w="8281" w:type="dxa"/>
          <w:tblCellMar>
            <w:left w:w="0" w:type="dxa"/>
            <w:right w:w="0" w:type="dxa"/>
          </w:tblCellMar>
          <w:tblLook w:val="04A0"/>
        </w:tblPrEx>
        <w:trPr>
          <w:trHeight w:val="330"/>
        </w:trPr>
        <w:tc>
          <w:tcPr>
            <w:tcW w:w="3235" w:type="dxa"/>
            <w:noWrap/>
            <w:tcMar>
              <w:top w:w="0" w:type="dxa"/>
              <w:left w:w="108" w:type="dxa"/>
              <w:bottom w:w="0" w:type="dxa"/>
              <w:right w:w="108" w:type="dxa"/>
            </w:tcMar>
            <w:hideMark/>
          </w:tcPr>
          <w:p w:rsidR="00597BFC" w:rsidRPr="00722443" w:rsidP="00DD050C" w14:paraId="74758738" w14:textId="703BCE9D">
            <w:pPr>
              <w:shd w:val="clear" w:color="auto" w:fill="FFFFFF" w:themeFill="background1"/>
              <w:jc w:val="right"/>
              <w:rPr>
                <w:b/>
              </w:rPr>
            </w:pPr>
            <w:r w:rsidRPr="00722443">
              <w:rPr>
                <w:b/>
              </w:rPr>
              <w:t>Total burden (hours)</w:t>
            </w:r>
          </w:p>
        </w:tc>
        <w:tc>
          <w:tcPr>
            <w:tcW w:w="5046" w:type="dxa"/>
            <w:gridSpan w:val="4"/>
            <w:noWrap/>
            <w:tcMar>
              <w:top w:w="0" w:type="dxa"/>
              <w:left w:w="108" w:type="dxa"/>
              <w:bottom w:w="0" w:type="dxa"/>
              <w:right w:w="108" w:type="dxa"/>
            </w:tcMar>
          </w:tcPr>
          <w:p w:rsidR="00597BFC" w:rsidRPr="00722443" w:rsidP="00DD050C" w14:paraId="79FE58FB" w14:textId="6B85861C">
            <w:pPr>
              <w:shd w:val="clear" w:color="auto" w:fill="FFFFFF" w:themeFill="background1"/>
              <w:rPr>
                <w:b/>
              </w:rPr>
            </w:pPr>
            <w:r>
              <w:rPr>
                <w:b/>
              </w:rPr>
              <w:t>20,800</w:t>
            </w:r>
            <w:r w:rsidRPr="00722443">
              <w:rPr>
                <w:b/>
              </w:rPr>
              <w:t xml:space="preserve"> </w:t>
            </w:r>
            <w:r w:rsidRPr="00722443">
              <w:t>is the total number of estimated burden hours for this collection category</w:t>
            </w:r>
          </w:p>
        </w:tc>
      </w:tr>
    </w:tbl>
    <w:p w:rsidR="006C33AF" w:rsidRPr="00722443" w:rsidP="00DD050C" w14:paraId="4EB9E8EB" w14:textId="4D29698C">
      <w:pPr>
        <w:shd w:val="clear" w:color="auto" w:fill="FFFFFF" w:themeFill="background1"/>
        <w:spacing w:before="120" w:after="120"/>
        <w:ind w:left="360"/>
        <w:rPr>
          <w:b/>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15"/>
        <w:gridCol w:w="1523"/>
        <w:gridCol w:w="2337"/>
      </w:tblGrid>
      <w:tr w14:paraId="64D1607C" w14:textId="77777777" w:rsidTr="00DD050C">
        <w:tblPrEx>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5"/>
          <w:jc w:val="center"/>
        </w:trPr>
        <w:tc>
          <w:tcPr>
            <w:tcW w:w="8275" w:type="dxa"/>
            <w:gridSpan w:val="3"/>
            <w:noWrap/>
            <w:tcMar>
              <w:top w:w="0" w:type="dxa"/>
              <w:left w:w="108" w:type="dxa"/>
              <w:bottom w:w="0" w:type="dxa"/>
              <w:right w:w="108" w:type="dxa"/>
            </w:tcMar>
          </w:tcPr>
          <w:p w:rsidR="00B31803" w:rsidRPr="00722443" w:rsidP="00DD050C" w14:paraId="332D1D7F" w14:textId="609B7DA1">
            <w:pPr>
              <w:shd w:val="clear" w:color="auto" w:fill="FFFFFF" w:themeFill="background1"/>
              <w:jc w:val="center"/>
              <w:rPr>
                <w:b/>
                <w:color w:val="000000"/>
              </w:rPr>
            </w:pPr>
            <w:r w:rsidRPr="00722443">
              <w:rPr>
                <w:b/>
                <w:color w:val="000000"/>
              </w:rPr>
              <w:t>NCP</w:t>
            </w:r>
            <w:r w:rsidRPr="00722443" w:rsidR="007854BE">
              <w:rPr>
                <w:b/>
                <w:color w:val="000000"/>
              </w:rPr>
              <w:t xml:space="preserve"> IC </w:t>
            </w:r>
            <w:r w:rsidRPr="00722443" w:rsidR="006E669B">
              <w:rPr>
                <w:b/>
                <w:color w:val="000000"/>
              </w:rPr>
              <w:t xml:space="preserve">Total Burden </w:t>
            </w:r>
            <w:r w:rsidRPr="00722443" w:rsidR="007854BE">
              <w:rPr>
                <w:b/>
                <w:color w:val="000000"/>
              </w:rPr>
              <w:t xml:space="preserve">Summary </w:t>
            </w:r>
          </w:p>
        </w:tc>
      </w:tr>
      <w:tr w14:paraId="15CAFF8D" w14:textId="77777777" w:rsidTr="00DD050C">
        <w:tblPrEx>
          <w:tblW w:w="8275" w:type="dxa"/>
          <w:jc w:val="center"/>
          <w:tblCellMar>
            <w:left w:w="0" w:type="dxa"/>
            <w:right w:w="0" w:type="dxa"/>
          </w:tblCellMar>
          <w:tblLook w:val="04A0"/>
        </w:tblPrEx>
        <w:trPr>
          <w:trHeight w:val="305"/>
          <w:jc w:val="center"/>
        </w:trPr>
        <w:tc>
          <w:tcPr>
            <w:tcW w:w="4415" w:type="dxa"/>
            <w:noWrap/>
            <w:tcMar>
              <w:top w:w="0" w:type="dxa"/>
              <w:left w:w="108" w:type="dxa"/>
              <w:bottom w:w="0" w:type="dxa"/>
              <w:right w:w="108" w:type="dxa"/>
            </w:tcMar>
            <w:hideMark/>
          </w:tcPr>
          <w:p w:rsidR="00FA7194" w:rsidRPr="00722443" w:rsidP="00DD050C" w14:paraId="4F6F5C99" w14:textId="4B46720B">
            <w:pPr>
              <w:shd w:val="clear" w:color="auto" w:fill="FFFFFF" w:themeFill="background1"/>
              <w:jc w:val="center"/>
              <w:rPr>
                <w:b/>
              </w:rPr>
            </w:pPr>
            <w:r w:rsidRPr="00722443">
              <w:rPr>
                <w:b/>
              </w:rPr>
              <w:t>IC Category</w:t>
            </w:r>
          </w:p>
        </w:tc>
        <w:tc>
          <w:tcPr>
            <w:tcW w:w="1523" w:type="dxa"/>
            <w:noWrap/>
            <w:tcMar>
              <w:top w:w="0" w:type="dxa"/>
              <w:left w:w="108" w:type="dxa"/>
              <w:bottom w:w="0" w:type="dxa"/>
              <w:right w:w="108" w:type="dxa"/>
            </w:tcMar>
            <w:hideMark/>
          </w:tcPr>
          <w:p w:rsidR="00FA7194" w:rsidRPr="00722443" w:rsidP="00DD050C" w14:paraId="7E403477" w14:textId="085363A8">
            <w:pPr>
              <w:shd w:val="clear" w:color="auto" w:fill="FFFFFF" w:themeFill="background1"/>
              <w:jc w:val="center"/>
              <w:rPr>
                <w:b/>
              </w:rPr>
            </w:pPr>
            <w:r w:rsidRPr="00722443">
              <w:rPr>
                <w:b/>
              </w:rPr>
              <w:t xml:space="preserve">Respondents </w:t>
            </w:r>
            <w:r w:rsidRPr="00722443">
              <w:rPr>
                <w:b/>
              </w:rPr>
              <w:t>Reporting</w:t>
            </w:r>
          </w:p>
        </w:tc>
        <w:tc>
          <w:tcPr>
            <w:tcW w:w="2337" w:type="dxa"/>
            <w:noWrap/>
            <w:tcMar>
              <w:top w:w="0" w:type="dxa"/>
              <w:left w:w="108" w:type="dxa"/>
              <w:bottom w:w="0" w:type="dxa"/>
              <w:right w:w="108" w:type="dxa"/>
            </w:tcMar>
            <w:hideMark/>
          </w:tcPr>
          <w:p w:rsidR="00FA7194" w:rsidRPr="00722443" w:rsidP="00DD050C" w14:paraId="5DA17323" w14:textId="74A92768">
            <w:pPr>
              <w:shd w:val="clear" w:color="auto" w:fill="FFFFFF" w:themeFill="background1"/>
              <w:jc w:val="center"/>
              <w:rPr>
                <w:b/>
              </w:rPr>
            </w:pPr>
            <w:r w:rsidRPr="00722443">
              <w:rPr>
                <w:b/>
              </w:rPr>
              <w:t xml:space="preserve">Burden Hour Totals </w:t>
            </w:r>
          </w:p>
        </w:tc>
      </w:tr>
      <w:tr w14:paraId="4210535D" w14:textId="77777777" w:rsidTr="00DD050C">
        <w:tblPrEx>
          <w:tblW w:w="8275" w:type="dxa"/>
          <w:jc w:val="center"/>
          <w:tblCellMar>
            <w:left w:w="0" w:type="dxa"/>
            <w:right w:w="0" w:type="dxa"/>
          </w:tblCellMar>
          <w:tblLook w:val="04A0"/>
        </w:tblPrEx>
        <w:trPr>
          <w:trHeight w:val="251"/>
          <w:jc w:val="center"/>
        </w:trPr>
        <w:tc>
          <w:tcPr>
            <w:tcW w:w="4415" w:type="dxa"/>
            <w:noWrap/>
            <w:tcMar>
              <w:top w:w="0" w:type="dxa"/>
              <w:left w:w="108" w:type="dxa"/>
              <w:bottom w:w="0" w:type="dxa"/>
              <w:right w:w="108" w:type="dxa"/>
            </w:tcMar>
          </w:tcPr>
          <w:p w:rsidR="00FA7194" w:rsidRPr="00722443" w:rsidP="00DD050C" w14:paraId="27BA936C" w14:textId="45FB22F0">
            <w:pPr>
              <w:shd w:val="clear" w:color="auto" w:fill="FFFFFF" w:themeFill="background1"/>
            </w:pPr>
            <w:r w:rsidRPr="00722443">
              <w:t>Highly Controversial NCP</w:t>
            </w:r>
          </w:p>
        </w:tc>
        <w:tc>
          <w:tcPr>
            <w:tcW w:w="1523" w:type="dxa"/>
            <w:noWrap/>
            <w:tcMar>
              <w:top w:w="0" w:type="dxa"/>
              <w:left w:w="108" w:type="dxa"/>
              <w:bottom w:w="0" w:type="dxa"/>
              <w:right w:w="108" w:type="dxa"/>
            </w:tcMar>
          </w:tcPr>
          <w:p w:rsidR="00FA7194" w:rsidRPr="00722443" w:rsidP="00DD050C" w14:paraId="3BB66FD9" w14:textId="1BE5BA25">
            <w:pPr>
              <w:shd w:val="clear" w:color="auto" w:fill="FFFFFF" w:themeFill="background1"/>
              <w:jc w:val="center"/>
            </w:pPr>
            <w:r w:rsidRPr="00722443">
              <w:t>2</w:t>
            </w:r>
          </w:p>
        </w:tc>
        <w:tc>
          <w:tcPr>
            <w:tcW w:w="2337" w:type="dxa"/>
            <w:noWrap/>
            <w:tcMar>
              <w:top w:w="0" w:type="dxa"/>
              <w:left w:w="108" w:type="dxa"/>
              <w:bottom w:w="0" w:type="dxa"/>
              <w:right w:w="108" w:type="dxa"/>
            </w:tcMar>
          </w:tcPr>
          <w:p w:rsidR="00FA7194" w:rsidRPr="00722443" w:rsidP="00DD050C" w14:paraId="1B2A551F" w14:textId="6D7BEF18">
            <w:pPr>
              <w:shd w:val="clear" w:color="auto" w:fill="FFFFFF" w:themeFill="background1"/>
              <w:jc w:val="center"/>
            </w:pPr>
            <w:r>
              <w:t>4,160</w:t>
            </w:r>
          </w:p>
        </w:tc>
      </w:tr>
      <w:tr w14:paraId="64DB96FA" w14:textId="77777777" w:rsidTr="00DD050C">
        <w:tblPrEx>
          <w:tblW w:w="8275" w:type="dxa"/>
          <w:jc w:val="center"/>
          <w:tblCellMar>
            <w:left w:w="0" w:type="dxa"/>
            <w:right w:w="0" w:type="dxa"/>
          </w:tblCellMar>
          <w:tblLook w:val="04A0"/>
        </w:tblPrEx>
        <w:trPr>
          <w:trHeight w:val="260"/>
          <w:jc w:val="center"/>
        </w:trPr>
        <w:tc>
          <w:tcPr>
            <w:tcW w:w="4415" w:type="dxa"/>
            <w:noWrap/>
            <w:tcMar>
              <w:top w:w="0" w:type="dxa"/>
              <w:left w:w="108" w:type="dxa"/>
              <w:bottom w:w="0" w:type="dxa"/>
              <w:right w:w="108" w:type="dxa"/>
            </w:tcMar>
          </w:tcPr>
          <w:p w:rsidR="00FA7194" w:rsidRPr="00722443" w:rsidP="00DD050C" w14:paraId="075AED1B" w14:textId="7BA5760F">
            <w:pPr>
              <w:shd w:val="clear" w:color="auto" w:fill="FFFFFF" w:themeFill="background1"/>
            </w:pPr>
            <w:r w:rsidRPr="00722443">
              <w:rPr>
                <w:color w:val="000000"/>
              </w:rPr>
              <w:t>Non-controversial But Complex</w:t>
            </w:r>
            <w:r w:rsidRPr="00722443">
              <w:t xml:space="preserve"> NCP</w:t>
            </w:r>
          </w:p>
        </w:tc>
        <w:tc>
          <w:tcPr>
            <w:tcW w:w="1523" w:type="dxa"/>
            <w:noWrap/>
            <w:tcMar>
              <w:top w:w="0" w:type="dxa"/>
              <w:left w:w="108" w:type="dxa"/>
              <w:bottom w:w="0" w:type="dxa"/>
              <w:right w:w="108" w:type="dxa"/>
            </w:tcMar>
          </w:tcPr>
          <w:p w:rsidR="00FA7194" w:rsidRPr="00722443" w:rsidP="00DD050C" w14:paraId="4646E1E0" w14:textId="5722DC88">
            <w:pPr>
              <w:shd w:val="clear" w:color="auto" w:fill="FFFFFF" w:themeFill="background1"/>
              <w:jc w:val="center"/>
            </w:pPr>
            <w:r w:rsidRPr="00722443">
              <w:t>3</w:t>
            </w:r>
          </w:p>
        </w:tc>
        <w:tc>
          <w:tcPr>
            <w:tcW w:w="2337" w:type="dxa"/>
            <w:noWrap/>
            <w:tcMar>
              <w:top w:w="0" w:type="dxa"/>
              <w:left w:w="108" w:type="dxa"/>
              <w:bottom w:w="0" w:type="dxa"/>
              <w:right w:w="108" w:type="dxa"/>
            </w:tcMar>
          </w:tcPr>
          <w:p w:rsidR="00FA7194" w:rsidRPr="00722443" w:rsidP="00DD050C" w14:paraId="3FCE3532" w14:textId="6D0C3660">
            <w:pPr>
              <w:shd w:val="clear" w:color="auto" w:fill="FFFFFF" w:themeFill="background1"/>
              <w:jc w:val="center"/>
            </w:pPr>
            <w:r>
              <w:t>6,240</w:t>
            </w:r>
          </w:p>
        </w:tc>
      </w:tr>
      <w:tr w14:paraId="1DEA4875" w14:textId="77777777" w:rsidTr="00DD050C">
        <w:tblPrEx>
          <w:tblW w:w="8275" w:type="dxa"/>
          <w:jc w:val="center"/>
          <w:tblCellMar>
            <w:left w:w="0" w:type="dxa"/>
            <w:right w:w="0" w:type="dxa"/>
          </w:tblCellMar>
          <w:tblLook w:val="04A0"/>
        </w:tblPrEx>
        <w:trPr>
          <w:trHeight w:val="330"/>
          <w:jc w:val="center"/>
        </w:trPr>
        <w:tc>
          <w:tcPr>
            <w:tcW w:w="4415" w:type="dxa"/>
            <w:noWrap/>
            <w:tcMar>
              <w:top w:w="0" w:type="dxa"/>
              <w:left w:w="108" w:type="dxa"/>
              <w:bottom w:w="0" w:type="dxa"/>
              <w:right w:w="108" w:type="dxa"/>
            </w:tcMar>
          </w:tcPr>
          <w:p w:rsidR="00FA7194" w:rsidRPr="00722443" w:rsidP="00DD050C" w14:paraId="573BF087" w14:textId="25CE5C8C">
            <w:pPr>
              <w:shd w:val="clear" w:color="auto" w:fill="FFFFFF" w:themeFill="background1"/>
            </w:pPr>
            <w:r w:rsidRPr="00722443">
              <w:rPr>
                <w:color w:val="000000"/>
              </w:rPr>
              <w:t>Simple, Non-controversial NCP</w:t>
            </w:r>
          </w:p>
        </w:tc>
        <w:tc>
          <w:tcPr>
            <w:tcW w:w="1523" w:type="dxa"/>
            <w:noWrap/>
            <w:tcMar>
              <w:top w:w="0" w:type="dxa"/>
              <w:left w:w="108" w:type="dxa"/>
              <w:bottom w:w="0" w:type="dxa"/>
              <w:right w:w="108" w:type="dxa"/>
            </w:tcMar>
          </w:tcPr>
          <w:p w:rsidR="00FA7194" w:rsidRPr="00722443" w:rsidP="00DD050C" w14:paraId="3187409D" w14:textId="754803FE">
            <w:pPr>
              <w:shd w:val="clear" w:color="auto" w:fill="FFFFFF" w:themeFill="background1"/>
              <w:jc w:val="center"/>
            </w:pPr>
            <w:r w:rsidRPr="00722443">
              <w:t>10</w:t>
            </w:r>
          </w:p>
        </w:tc>
        <w:tc>
          <w:tcPr>
            <w:tcW w:w="2337" w:type="dxa"/>
            <w:noWrap/>
            <w:tcMar>
              <w:top w:w="0" w:type="dxa"/>
              <w:left w:w="108" w:type="dxa"/>
              <w:bottom w:w="0" w:type="dxa"/>
              <w:right w:w="108" w:type="dxa"/>
            </w:tcMar>
          </w:tcPr>
          <w:p w:rsidR="00FA7194" w:rsidRPr="00722443" w:rsidP="00DD050C" w14:paraId="57D4E88D" w14:textId="765B53A8">
            <w:pPr>
              <w:shd w:val="clear" w:color="auto" w:fill="FFFFFF" w:themeFill="background1"/>
              <w:jc w:val="center"/>
            </w:pPr>
            <w:r>
              <w:t>20,800</w:t>
            </w:r>
          </w:p>
        </w:tc>
      </w:tr>
      <w:tr w14:paraId="1A1E9C15" w14:textId="77777777" w:rsidTr="00DD050C">
        <w:tblPrEx>
          <w:tblW w:w="8275" w:type="dxa"/>
          <w:jc w:val="center"/>
          <w:tblCellMar>
            <w:left w:w="0" w:type="dxa"/>
            <w:right w:w="0" w:type="dxa"/>
          </w:tblCellMar>
          <w:tblLook w:val="04A0"/>
        </w:tblPrEx>
        <w:trPr>
          <w:trHeight w:val="330"/>
          <w:jc w:val="center"/>
        </w:trPr>
        <w:tc>
          <w:tcPr>
            <w:tcW w:w="4415" w:type="dxa"/>
            <w:noWrap/>
            <w:tcMar>
              <w:top w:w="0" w:type="dxa"/>
              <w:left w:w="108" w:type="dxa"/>
              <w:bottom w:w="0" w:type="dxa"/>
              <w:right w:w="108" w:type="dxa"/>
            </w:tcMar>
            <w:vAlign w:val="center"/>
            <w:hideMark/>
          </w:tcPr>
          <w:p w:rsidR="00FA7194" w:rsidRPr="00722443" w:rsidP="00DD050C" w14:paraId="3FEA852C" w14:textId="5CBE9A61">
            <w:pPr>
              <w:shd w:val="clear" w:color="auto" w:fill="FFFFFF" w:themeFill="background1"/>
            </w:pPr>
            <w:r w:rsidRPr="00722443">
              <w:t>Total # of R</w:t>
            </w:r>
            <w:r w:rsidRPr="00722443">
              <w:t>esponses</w:t>
            </w:r>
          </w:p>
        </w:tc>
        <w:tc>
          <w:tcPr>
            <w:tcW w:w="1523" w:type="dxa"/>
            <w:noWrap/>
            <w:tcMar>
              <w:top w:w="0" w:type="dxa"/>
              <w:left w:w="108" w:type="dxa"/>
              <w:bottom w:w="0" w:type="dxa"/>
              <w:right w:w="108" w:type="dxa"/>
            </w:tcMar>
          </w:tcPr>
          <w:p w:rsidR="00FA7194" w:rsidRPr="00722443" w:rsidP="00DD050C" w14:paraId="2303CC91" w14:textId="21844EE6">
            <w:pPr>
              <w:shd w:val="clear" w:color="auto" w:fill="FFFFFF" w:themeFill="background1"/>
              <w:jc w:val="center"/>
            </w:pPr>
            <w:r w:rsidRPr="00722443">
              <w:t>15</w:t>
            </w:r>
          </w:p>
        </w:tc>
        <w:tc>
          <w:tcPr>
            <w:tcW w:w="2337" w:type="dxa"/>
            <w:noWrap/>
            <w:tcMar>
              <w:top w:w="0" w:type="dxa"/>
              <w:left w:w="108" w:type="dxa"/>
              <w:bottom w:w="0" w:type="dxa"/>
              <w:right w:w="108" w:type="dxa"/>
            </w:tcMar>
          </w:tcPr>
          <w:p w:rsidR="00FA7194" w:rsidRPr="00722443" w:rsidP="00DD050C" w14:paraId="14CD1155" w14:textId="1A20451D">
            <w:pPr>
              <w:shd w:val="clear" w:color="auto" w:fill="FFFFFF" w:themeFill="background1"/>
              <w:jc w:val="center"/>
            </w:pPr>
            <w:r w:rsidRPr="00722443">
              <w:t>-</w:t>
            </w:r>
          </w:p>
        </w:tc>
      </w:tr>
      <w:tr w14:paraId="01A512EF" w14:textId="77777777" w:rsidTr="00DD050C">
        <w:tblPrEx>
          <w:tblW w:w="8275" w:type="dxa"/>
          <w:jc w:val="center"/>
          <w:tblCellMar>
            <w:left w:w="0" w:type="dxa"/>
            <w:right w:w="0" w:type="dxa"/>
          </w:tblCellMar>
          <w:tblLook w:val="04A0"/>
        </w:tblPrEx>
        <w:trPr>
          <w:trHeight w:val="330"/>
          <w:jc w:val="center"/>
        </w:trPr>
        <w:tc>
          <w:tcPr>
            <w:tcW w:w="4415" w:type="dxa"/>
            <w:noWrap/>
            <w:tcMar>
              <w:top w:w="0" w:type="dxa"/>
              <w:left w:w="108" w:type="dxa"/>
              <w:bottom w:w="0" w:type="dxa"/>
              <w:right w:w="108" w:type="dxa"/>
            </w:tcMar>
            <w:hideMark/>
          </w:tcPr>
          <w:p w:rsidR="00B31803" w:rsidRPr="00722443" w:rsidP="00DD050C" w14:paraId="23569FEE" w14:textId="77777777">
            <w:pPr>
              <w:shd w:val="clear" w:color="auto" w:fill="FFFFFF" w:themeFill="background1"/>
              <w:jc w:val="right"/>
              <w:rPr>
                <w:b/>
              </w:rPr>
            </w:pPr>
            <w:r w:rsidRPr="00722443">
              <w:rPr>
                <w:b/>
              </w:rPr>
              <w:t>Total burden (hours)</w:t>
            </w:r>
          </w:p>
        </w:tc>
        <w:tc>
          <w:tcPr>
            <w:tcW w:w="3860" w:type="dxa"/>
            <w:gridSpan w:val="2"/>
            <w:noWrap/>
            <w:tcMar>
              <w:top w:w="0" w:type="dxa"/>
              <w:left w:w="108" w:type="dxa"/>
              <w:bottom w:w="0" w:type="dxa"/>
              <w:right w:w="108" w:type="dxa"/>
            </w:tcMar>
          </w:tcPr>
          <w:p w:rsidR="00B31803" w:rsidRPr="00722443" w:rsidP="00DD050C" w14:paraId="4D42402E" w14:textId="58E1EC73">
            <w:pPr>
              <w:shd w:val="clear" w:color="auto" w:fill="FFFFFF" w:themeFill="background1"/>
              <w:rPr>
                <w:b/>
              </w:rPr>
            </w:pPr>
            <w:r w:rsidRPr="000514F6">
              <w:rPr>
                <w:b/>
                <w:bCs/>
              </w:rPr>
              <w:t>31,200</w:t>
            </w:r>
            <w:r w:rsidR="00773A4C">
              <w:t xml:space="preserve"> </w:t>
            </w:r>
            <w:r w:rsidRPr="00722443">
              <w:t>is total number of estimated burden hours</w:t>
            </w:r>
            <w:r w:rsidRPr="00722443" w:rsidR="00775C2E">
              <w:t xml:space="preserve"> </w:t>
            </w:r>
            <w:r w:rsidRPr="00722443">
              <w:t xml:space="preserve">for </w:t>
            </w:r>
            <w:r w:rsidRPr="00722443" w:rsidR="007854BE">
              <w:t xml:space="preserve">all </w:t>
            </w:r>
            <w:r w:rsidRPr="00722443" w:rsidR="006E669B">
              <w:t xml:space="preserve">NCP </w:t>
            </w:r>
            <w:r w:rsidRPr="00722443" w:rsidR="007854BE">
              <w:t>information</w:t>
            </w:r>
            <w:r w:rsidRPr="00722443">
              <w:t xml:space="preserve"> collection</w:t>
            </w:r>
            <w:r w:rsidRPr="00722443" w:rsidR="00597BFC">
              <w:t xml:space="preserve"> categories</w:t>
            </w:r>
          </w:p>
        </w:tc>
      </w:tr>
    </w:tbl>
    <w:p w:rsidR="00773A4C" w:rsidP="00DD050C" w14:paraId="6F94968F" w14:textId="77777777">
      <w:pPr>
        <w:shd w:val="clear" w:color="auto" w:fill="FFFFFF" w:themeFill="background1"/>
        <w:spacing w:before="120" w:after="120"/>
        <w:ind w:left="360"/>
        <w:rPr>
          <w:b/>
        </w:rPr>
      </w:pPr>
    </w:p>
    <w:p w:rsidR="004D0917" w:rsidRPr="000C01C8" w:rsidP="00DD050C" w14:paraId="22C0A7E3" w14:textId="6AB652D5">
      <w:pPr>
        <w:numPr>
          <w:ilvl w:val="0"/>
          <w:numId w:val="1"/>
        </w:numPr>
        <w:shd w:val="clear" w:color="auto" w:fill="FFFFFF" w:themeFill="background1"/>
        <w:spacing w:before="120" w:after="120"/>
        <w:rPr>
          <w:b/>
        </w:rPr>
      </w:pPr>
      <w:r w:rsidRPr="000C01C8">
        <w:rPr>
          <w:b/>
        </w:rPr>
        <w:t>Provide estimates of annualized cost to respondents for the hour burdens for collections of information, identifying and using appropriate wage rate categories.</w:t>
      </w:r>
      <w:r w:rsidRPr="000C01C8" w:rsidR="00987576">
        <w:rPr>
          <w:noProof/>
        </w:rPr>
        <w:t xml:space="preserve"> </w:t>
      </w:r>
    </w:p>
    <w:p w:rsidR="00057225" w:rsidRPr="00722443" w:rsidP="00DD050C" w14:paraId="1B766250" w14:textId="23955793">
      <w:pPr>
        <w:shd w:val="clear" w:color="auto" w:fill="FFFFFF" w:themeFill="background1"/>
        <w:spacing w:before="120" w:after="120"/>
        <w:ind w:firstLine="720"/>
      </w:pPr>
      <w:r w:rsidRPr="00722443">
        <w:t xml:space="preserve">The </w:t>
      </w:r>
      <w:r w:rsidRPr="00722443" w:rsidR="00F83D2D">
        <w:t xml:space="preserve">annualized </w:t>
      </w:r>
      <w:r w:rsidRPr="00722443" w:rsidR="004477DD">
        <w:t xml:space="preserve">cost </w:t>
      </w:r>
      <w:r w:rsidRPr="00722443" w:rsidR="00F83D2D">
        <w:t xml:space="preserve">to </w:t>
      </w:r>
      <w:r w:rsidRPr="00722443" w:rsidR="004477DD">
        <w:t>these</w:t>
      </w:r>
      <w:r w:rsidRPr="00722443" w:rsidR="009A77A9">
        <w:t xml:space="preserve"> respondents </w:t>
      </w:r>
      <w:r w:rsidRPr="00722443" w:rsidR="004477DD">
        <w:t xml:space="preserve">described in </w:t>
      </w:r>
      <w:r w:rsidRPr="00722443" w:rsidR="00BF29B6">
        <w:t xml:space="preserve">item </w:t>
      </w:r>
      <w:r w:rsidRPr="00722443" w:rsidR="00F83D2D">
        <w:t>12</w:t>
      </w:r>
      <w:r w:rsidRPr="00722443" w:rsidR="00BF29B6">
        <w:t>.a</w:t>
      </w:r>
      <w:r w:rsidRPr="00722443" w:rsidR="00BC3658">
        <w:t xml:space="preserve"> </w:t>
      </w:r>
      <w:r w:rsidRPr="00722443" w:rsidR="009A77A9">
        <w:t xml:space="preserve">cannot be accurately determined since </w:t>
      </w:r>
      <w:r w:rsidR="004D06BE">
        <w:t>Airport Sponsors or Operators (respondents)</w:t>
      </w:r>
      <w:r w:rsidRPr="00722443">
        <w:t xml:space="preserve"> </w:t>
      </w:r>
      <w:r w:rsidRPr="00722443" w:rsidR="009A77A9">
        <w:t xml:space="preserve">salaries </w:t>
      </w:r>
      <w:r w:rsidRPr="00722443" w:rsidR="00F50483">
        <w:t xml:space="preserve">and noise compatibility programs </w:t>
      </w:r>
      <w:r w:rsidRPr="00722443" w:rsidR="009A77A9">
        <w:t>vary widely</w:t>
      </w:r>
      <w:r w:rsidRPr="00722443" w:rsidR="00437CB7">
        <w:t xml:space="preserve"> across the nation and</w:t>
      </w:r>
      <w:r w:rsidRPr="00722443" w:rsidR="00234619">
        <w:t xml:space="preserve"> is</w:t>
      </w:r>
      <w:r w:rsidRPr="00722443" w:rsidR="00437CB7">
        <w:t xml:space="preserve"> </w:t>
      </w:r>
      <w:r w:rsidRPr="00722443" w:rsidR="00924AF5">
        <w:t>dependent</w:t>
      </w:r>
      <w:r w:rsidRPr="00722443" w:rsidR="00437CB7">
        <w:t xml:space="preserve"> on several factors, including but not limited to, </w:t>
      </w:r>
      <w:r w:rsidRPr="00722443" w:rsidR="00665D15">
        <w:t xml:space="preserve">the </w:t>
      </w:r>
      <w:r w:rsidRPr="00722443" w:rsidR="00234619">
        <w:t xml:space="preserve">complexity of the analysis that will be needed, </w:t>
      </w:r>
      <w:r w:rsidRPr="00722443" w:rsidR="00437CB7">
        <w:t>airport location</w:t>
      </w:r>
      <w:r w:rsidRPr="00722443" w:rsidR="004477DD">
        <w:t>,</w:t>
      </w:r>
      <w:r w:rsidRPr="00722443" w:rsidR="00924AF5">
        <w:t xml:space="preserve"> and fleet mix</w:t>
      </w:r>
      <w:r w:rsidRPr="00722443" w:rsidR="009A77A9">
        <w:t>.</w:t>
      </w:r>
      <w:r w:rsidRPr="00722443" w:rsidR="00924AF5">
        <w:t xml:space="preserve"> </w:t>
      </w:r>
      <w:r w:rsidRPr="00722443" w:rsidR="00DE3B5D">
        <w:t xml:space="preserve">Based on a review of FAA records for NCPs </w:t>
      </w:r>
      <w:r w:rsidRPr="00722443" w:rsidR="00790454">
        <w:rPr>
          <w:color w:val="000000"/>
        </w:rPr>
        <w:t xml:space="preserve">an appropriate wage rate for calculating the respondents annualized </w:t>
      </w:r>
      <w:r w:rsidRPr="00722443" w:rsidR="00DB4B3D">
        <w:rPr>
          <w:color w:val="000000"/>
        </w:rPr>
        <w:t xml:space="preserve">cost </w:t>
      </w:r>
      <w:r w:rsidRPr="00722443" w:rsidR="00790454">
        <w:rPr>
          <w:color w:val="000000"/>
        </w:rPr>
        <w:t xml:space="preserve">for </w:t>
      </w:r>
      <w:r w:rsidRPr="00722443" w:rsidR="0096231F">
        <w:rPr>
          <w:color w:val="000000"/>
        </w:rPr>
        <w:t xml:space="preserve">the </w:t>
      </w:r>
      <w:r w:rsidRPr="00722443" w:rsidR="0096231F">
        <w:rPr>
          <w:color w:val="000000"/>
        </w:rPr>
        <w:t xml:space="preserve">information collection categories </w:t>
      </w:r>
      <w:r w:rsidRPr="00722443" w:rsidR="00790454">
        <w:rPr>
          <w:color w:val="000000"/>
        </w:rPr>
        <w:t>is $</w:t>
      </w:r>
      <w:r w:rsidR="009F45E8">
        <w:rPr>
          <w:color w:val="000000"/>
        </w:rPr>
        <w:t>58.70</w:t>
      </w:r>
      <w:r w:rsidRPr="00722443" w:rsidR="00790454">
        <w:rPr>
          <w:color w:val="000000"/>
        </w:rPr>
        <w:t xml:space="preserve">, </w:t>
      </w:r>
      <w:r w:rsidR="009F45E8">
        <w:rPr>
          <w:color w:val="000000"/>
        </w:rPr>
        <w:t xml:space="preserve">a </w:t>
      </w:r>
      <w:r w:rsidRPr="00D90668" w:rsidR="009F45E8">
        <w:rPr>
          <w:color w:val="000000"/>
        </w:rPr>
        <w:t xml:space="preserve">rate slightly above </w:t>
      </w:r>
      <w:r w:rsidRPr="00D90668" w:rsidR="00790454">
        <w:t xml:space="preserve">the median salary for an FAA FG-14, pay band J, Level </w:t>
      </w:r>
      <w:r w:rsidRPr="00D90668" w:rsidR="009F45E8">
        <w:t xml:space="preserve">4 </w:t>
      </w:r>
      <w:r w:rsidRPr="00D90668" w:rsidR="00790454">
        <w:t xml:space="preserve">in Fiscal Year (FY) </w:t>
      </w:r>
      <w:r w:rsidRPr="00D90668" w:rsidR="00D90668">
        <w:t>2024</w:t>
      </w:r>
      <w:r w:rsidRPr="00D90668" w:rsidR="009F45E8">
        <w:t xml:space="preserve"> </w:t>
      </w:r>
      <w:r w:rsidRPr="00D90668" w:rsidR="00790454">
        <w:t xml:space="preserve">dollars. </w:t>
      </w:r>
      <w:r w:rsidRPr="00D90668" w:rsidR="00DE3B5D">
        <w:t xml:space="preserve">NOTE:  </w:t>
      </w:r>
      <w:r w:rsidRPr="00D90668">
        <w:t xml:space="preserve">FAA salary </w:t>
      </w:r>
      <w:r w:rsidRPr="00D90668" w:rsidR="0096231F">
        <w:t>information is explained in the FAA Core Compen</w:t>
      </w:r>
      <w:r w:rsidRPr="00722443" w:rsidR="0096231F">
        <w:t>sation Plan (FV),</w:t>
      </w:r>
      <w:r w:rsidRPr="00722443" w:rsidR="009A65A5">
        <w:t xml:space="preserve"> </w:t>
      </w:r>
      <w:r w:rsidRPr="00722443" w:rsidR="0096231F">
        <w:t xml:space="preserve">excel file titled “Core Compensation Salary </w:t>
      </w:r>
      <w:r w:rsidRPr="00722443">
        <w:t>Table”</w:t>
      </w:r>
      <w:r w:rsidRPr="00722443" w:rsidR="00DE3B5D">
        <w:t>,</w:t>
      </w:r>
      <w:r w:rsidRPr="00722443">
        <w:t xml:space="preserve"> </w:t>
      </w:r>
      <w:r w:rsidRPr="00722443" w:rsidR="0096231F">
        <w:t xml:space="preserve">which is </w:t>
      </w:r>
      <w:r w:rsidRPr="00722443" w:rsidR="009A65A5">
        <w:t xml:space="preserve">available on the Internet </w:t>
      </w:r>
      <w:r w:rsidRPr="00722443" w:rsidR="0096231F">
        <w:t>at</w:t>
      </w:r>
      <w:r w:rsidRPr="00722443" w:rsidR="009A65A5">
        <w:t xml:space="preserve"> FAA’s Benefits and Pay website: </w:t>
      </w:r>
      <w:r w:rsidRPr="00722443" w:rsidR="0096231F">
        <w:t xml:space="preserve"> </w:t>
      </w:r>
      <w:r w:rsidRPr="009F45E8" w:rsidR="009F45E8">
        <w:t>https://www.faa.gov/jobs/working_here/benefits</w:t>
      </w:r>
      <w:hyperlink w:history="1"/>
      <w:r w:rsidRPr="00722443" w:rsidR="0096231F">
        <w:rPr>
          <w:rStyle w:val="Hyperlink"/>
          <w:color w:val="auto"/>
          <w:u w:val="none"/>
        </w:rPr>
        <w:t>.</w:t>
      </w:r>
      <w:r w:rsidRPr="00722443" w:rsidR="00DB4B3D">
        <w:t xml:space="preserve"> </w:t>
      </w:r>
      <w:r w:rsidRPr="00722443">
        <w:t xml:space="preserve"> </w:t>
      </w:r>
    </w:p>
    <w:p w:rsidR="00C853DC" w:rsidP="00DD050C" w14:paraId="40077AE0" w14:textId="4F92A1BC">
      <w:pPr>
        <w:shd w:val="clear" w:color="auto" w:fill="FFFFFF" w:themeFill="background1"/>
        <w:spacing w:before="120" w:after="120"/>
      </w:pPr>
      <w:r w:rsidRPr="00722443">
        <w:t>Based on the sources and assumptions</w:t>
      </w:r>
      <w:r w:rsidRPr="00722443" w:rsidR="009A65A5">
        <w:t xml:space="preserve"> explained above</w:t>
      </w:r>
      <w:r w:rsidRPr="00722443">
        <w:t>,</w:t>
      </w:r>
      <w:r w:rsidRPr="00722443" w:rsidR="00876951">
        <w:t xml:space="preserve"> and assuming </w:t>
      </w:r>
      <w:r w:rsidRPr="00722443" w:rsidR="00BF29B6">
        <w:t xml:space="preserve">the </w:t>
      </w:r>
      <w:r w:rsidRPr="00722443" w:rsidR="00DE4F34">
        <w:t xml:space="preserve">wage </w:t>
      </w:r>
      <w:r w:rsidRPr="00722443" w:rsidR="00876951">
        <w:t>rate includes base wage, fringe, and overhead,</w:t>
      </w:r>
      <w:r w:rsidRPr="00722443">
        <w:t xml:space="preserve"> we estimate the </w:t>
      </w:r>
      <w:r w:rsidRPr="00722443" w:rsidR="00DE4F34">
        <w:t>respondents (i.e., Airport Sponsor or Operator)</w:t>
      </w:r>
      <w:r w:rsidRPr="00722443">
        <w:t xml:space="preserve"> estimated annualized costs is approximately</w:t>
      </w:r>
      <w:r w:rsidRPr="00722443" w:rsidR="00BF29B6">
        <w:t xml:space="preserve"> </w:t>
      </w:r>
      <w:r w:rsidRPr="00722443" w:rsidR="00AE5ED2">
        <w:rPr>
          <w:b/>
          <w:bCs/>
          <w:color w:val="000000"/>
        </w:rPr>
        <w:t>$</w:t>
      </w:r>
      <w:r w:rsidR="000D1AF4">
        <w:rPr>
          <w:b/>
          <w:bCs/>
          <w:color w:val="000000"/>
        </w:rPr>
        <w:t>1,831,440</w:t>
      </w:r>
      <w:r w:rsidR="00D54506">
        <w:rPr>
          <w:b/>
          <w:bCs/>
          <w:color w:val="000000"/>
        </w:rPr>
        <w:t xml:space="preserve"> </w:t>
      </w:r>
      <w:r w:rsidRPr="00722443">
        <w:t xml:space="preserve">depicted </w:t>
      </w:r>
      <w:r w:rsidRPr="00722443" w:rsidR="0063254F">
        <w:t>in the table and explanations below</w:t>
      </w:r>
      <w:r w:rsidRPr="00722443">
        <w:t>:</w:t>
      </w:r>
      <w:r w:rsidRPr="00722443">
        <w:t xml:space="preserve"> </w:t>
      </w:r>
    </w:p>
    <w:p w:rsidR="000514F6" w:rsidRPr="00722443" w:rsidP="00DD050C" w14:paraId="68B47E18" w14:textId="77777777">
      <w:pPr>
        <w:shd w:val="clear" w:color="auto" w:fill="FFFFFF" w:themeFill="background1"/>
        <w:spacing w:before="120" w:after="120"/>
      </w:pP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2"/>
        <w:gridCol w:w="2872"/>
      </w:tblGrid>
      <w:tr w14:paraId="12C4F673" w14:textId="77777777" w:rsidTr="00DD050C">
        <w:tblPrEx>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8004" w:type="dxa"/>
            <w:gridSpan w:val="2"/>
            <w:shd w:val="clear" w:color="auto" w:fill="auto"/>
            <w:noWrap/>
            <w:vAlign w:val="center"/>
          </w:tcPr>
          <w:p w:rsidR="00AE5ED2" w:rsidRPr="00722443" w:rsidP="00DD050C" w14:paraId="79913533" w14:textId="77777777">
            <w:pPr>
              <w:shd w:val="clear" w:color="auto" w:fill="FFFFFF" w:themeFill="background1"/>
              <w:jc w:val="center"/>
              <w:rPr>
                <w:b/>
              </w:rPr>
            </w:pPr>
            <w:r w:rsidRPr="00722443">
              <w:rPr>
                <w:b/>
              </w:rPr>
              <w:t>Airport Sponsor or Operator Estimated Annualized Cost</w:t>
            </w:r>
          </w:p>
          <w:p w:rsidR="00AE5ED2" w:rsidRPr="00722443" w:rsidP="00DD050C" w14:paraId="7F73A66F" w14:textId="52B2D3BF">
            <w:pPr>
              <w:shd w:val="clear" w:color="auto" w:fill="FFFFFF" w:themeFill="background1"/>
              <w:jc w:val="center"/>
            </w:pPr>
            <w:r w:rsidRPr="00722443">
              <w:rPr>
                <w:b/>
              </w:rPr>
              <w:t>Summary Table</w:t>
            </w:r>
          </w:p>
        </w:tc>
      </w:tr>
      <w:tr w14:paraId="514F1B94" w14:textId="77777777" w:rsidTr="00DD050C">
        <w:tblPrEx>
          <w:tblW w:w="8004" w:type="dxa"/>
          <w:jc w:val="center"/>
          <w:tblLook w:val="04A0"/>
        </w:tblPrEx>
        <w:trPr>
          <w:trHeight w:val="315"/>
          <w:jc w:val="center"/>
        </w:trPr>
        <w:tc>
          <w:tcPr>
            <w:tcW w:w="5132" w:type="dxa"/>
            <w:shd w:val="clear" w:color="auto" w:fill="auto"/>
            <w:noWrap/>
            <w:hideMark/>
          </w:tcPr>
          <w:p w:rsidR="00C853DC" w:rsidRPr="00722443" w:rsidP="00DD050C" w14:paraId="00E4890A" w14:textId="746AC311">
            <w:pPr>
              <w:shd w:val="clear" w:color="auto" w:fill="FFFFFF" w:themeFill="background1"/>
            </w:pPr>
            <w:r w:rsidRPr="00722443">
              <w:t xml:space="preserve">NCP IC </w:t>
            </w:r>
            <w:r w:rsidRPr="00722443">
              <w:t>Category</w:t>
            </w:r>
          </w:p>
        </w:tc>
        <w:tc>
          <w:tcPr>
            <w:tcW w:w="2872" w:type="dxa"/>
            <w:shd w:val="clear" w:color="auto" w:fill="auto"/>
            <w:noWrap/>
            <w:hideMark/>
          </w:tcPr>
          <w:p w:rsidR="00C853DC" w:rsidRPr="00524B35" w:rsidP="00DD050C" w14:paraId="5A6A07B1" w14:textId="77777777">
            <w:pPr>
              <w:shd w:val="clear" w:color="auto" w:fill="FFFFFF" w:themeFill="background1"/>
            </w:pPr>
            <w:r w:rsidRPr="00524B35">
              <w:t>Airport Annualized Cost</w:t>
            </w:r>
          </w:p>
        </w:tc>
      </w:tr>
      <w:tr w14:paraId="474BDA90" w14:textId="77777777" w:rsidTr="00DD050C">
        <w:tblPrEx>
          <w:tblW w:w="8004" w:type="dxa"/>
          <w:jc w:val="center"/>
          <w:tblLook w:val="04A0"/>
        </w:tblPrEx>
        <w:trPr>
          <w:trHeight w:val="315"/>
          <w:jc w:val="center"/>
        </w:trPr>
        <w:tc>
          <w:tcPr>
            <w:tcW w:w="5132" w:type="dxa"/>
            <w:shd w:val="clear" w:color="auto" w:fill="auto"/>
            <w:noWrap/>
            <w:hideMark/>
          </w:tcPr>
          <w:p w:rsidR="00C853DC" w:rsidRPr="00722443" w:rsidP="00DD050C" w14:paraId="62E1EA89" w14:textId="77777777">
            <w:pPr>
              <w:shd w:val="clear" w:color="auto" w:fill="FFFFFF" w:themeFill="background1"/>
            </w:pPr>
            <w:r w:rsidRPr="00722443">
              <w:t>Highly Controversial NCP</w:t>
            </w:r>
          </w:p>
        </w:tc>
        <w:tc>
          <w:tcPr>
            <w:tcW w:w="2872" w:type="dxa"/>
            <w:shd w:val="clear" w:color="auto" w:fill="auto"/>
            <w:noWrap/>
          </w:tcPr>
          <w:p w:rsidR="00C853DC" w:rsidRPr="00524B35" w:rsidP="00DD050C" w14:paraId="0FEF6795" w14:textId="60EC9FEA">
            <w:pPr>
              <w:shd w:val="clear" w:color="auto" w:fill="FFFFFF" w:themeFill="background1"/>
            </w:pPr>
            <w:r w:rsidRPr="00524B35">
              <w:t>$</w:t>
            </w:r>
            <w:r w:rsidR="00170584">
              <w:t>244,192</w:t>
            </w:r>
          </w:p>
        </w:tc>
      </w:tr>
      <w:tr w14:paraId="4D12EB12" w14:textId="77777777" w:rsidTr="00DD050C">
        <w:tblPrEx>
          <w:tblW w:w="8004" w:type="dxa"/>
          <w:jc w:val="center"/>
          <w:tblLook w:val="04A0"/>
        </w:tblPrEx>
        <w:trPr>
          <w:trHeight w:val="315"/>
          <w:jc w:val="center"/>
        </w:trPr>
        <w:tc>
          <w:tcPr>
            <w:tcW w:w="5132" w:type="dxa"/>
            <w:shd w:val="clear" w:color="auto" w:fill="auto"/>
            <w:noWrap/>
            <w:hideMark/>
          </w:tcPr>
          <w:p w:rsidR="00C853DC" w:rsidRPr="00722443" w:rsidP="00DD050C" w14:paraId="440CA88B" w14:textId="77777777">
            <w:pPr>
              <w:shd w:val="clear" w:color="auto" w:fill="FFFFFF" w:themeFill="background1"/>
            </w:pPr>
            <w:r w:rsidRPr="00722443">
              <w:t>Non-controversial But Complex NCP</w:t>
            </w:r>
          </w:p>
        </w:tc>
        <w:tc>
          <w:tcPr>
            <w:tcW w:w="2872" w:type="dxa"/>
            <w:shd w:val="clear" w:color="auto" w:fill="auto"/>
            <w:noWrap/>
          </w:tcPr>
          <w:p w:rsidR="00C853DC" w:rsidRPr="00722443" w:rsidP="00DD050C" w14:paraId="34AABB5B" w14:textId="70A4FBE0">
            <w:pPr>
              <w:shd w:val="clear" w:color="auto" w:fill="FFFFFF" w:themeFill="background1"/>
            </w:pPr>
            <w:r w:rsidRPr="00722443">
              <w:t>$</w:t>
            </w:r>
            <w:r w:rsidR="00170584">
              <w:t>366,288</w:t>
            </w:r>
          </w:p>
        </w:tc>
      </w:tr>
      <w:tr w14:paraId="7DC100FD" w14:textId="77777777" w:rsidTr="00DD050C">
        <w:tblPrEx>
          <w:tblW w:w="8004" w:type="dxa"/>
          <w:jc w:val="center"/>
          <w:tblLook w:val="04A0"/>
        </w:tblPrEx>
        <w:trPr>
          <w:trHeight w:val="330"/>
          <w:jc w:val="center"/>
        </w:trPr>
        <w:tc>
          <w:tcPr>
            <w:tcW w:w="5132" w:type="dxa"/>
            <w:shd w:val="clear" w:color="auto" w:fill="auto"/>
            <w:noWrap/>
            <w:hideMark/>
          </w:tcPr>
          <w:p w:rsidR="00C853DC" w:rsidRPr="00722443" w:rsidP="00DD050C" w14:paraId="69D0F8DD" w14:textId="77777777">
            <w:pPr>
              <w:shd w:val="clear" w:color="auto" w:fill="FFFFFF" w:themeFill="background1"/>
            </w:pPr>
            <w:r w:rsidRPr="00722443">
              <w:t>Simple, Non-controversial NCP</w:t>
            </w:r>
          </w:p>
        </w:tc>
        <w:tc>
          <w:tcPr>
            <w:tcW w:w="2872" w:type="dxa"/>
            <w:shd w:val="clear" w:color="auto" w:fill="auto"/>
            <w:noWrap/>
          </w:tcPr>
          <w:p w:rsidR="00C853DC" w:rsidRPr="00722443" w:rsidP="00DD050C" w14:paraId="10E822A2" w14:textId="28B0BEC7">
            <w:pPr>
              <w:shd w:val="clear" w:color="auto" w:fill="FFFFFF" w:themeFill="background1"/>
            </w:pPr>
            <w:r w:rsidRPr="00722443">
              <w:t>$</w:t>
            </w:r>
            <w:r w:rsidR="00170584">
              <w:t>1,220,960</w:t>
            </w:r>
          </w:p>
        </w:tc>
      </w:tr>
      <w:tr w14:paraId="6F854B48" w14:textId="77777777" w:rsidTr="00DD050C">
        <w:tblPrEx>
          <w:tblW w:w="8004" w:type="dxa"/>
          <w:jc w:val="center"/>
          <w:tblLook w:val="04A0"/>
        </w:tblPrEx>
        <w:trPr>
          <w:trHeight w:val="315"/>
          <w:jc w:val="center"/>
        </w:trPr>
        <w:tc>
          <w:tcPr>
            <w:tcW w:w="5132" w:type="dxa"/>
            <w:shd w:val="clear" w:color="auto" w:fill="auto"/>
            <w:noWrap/>
            <w:hideMark/>
          </w:tcPr>
          <w:p w:rsidR="00C853DC" w:rsidRPr="00722443" w:rsidP="00DD050C" w14:paraId="704FEE4E" w14:textId="5D6003FD">
            <w:pPr>
              <w:shd w:val="clear" w:color="auto" w:fill="FFFFFF" w:themeFill="background1"/>
              <w:jc w:val="right"/>
              <w:rPr>
                <w:b/>
              </w:rPr>
            </w:pPr>
            <w:r w:rsidRPr="00722443">
              <w:rPr>
                <w:b/>
              </w:rPr>
              <w:t>Totals</w:t>
            </w:r>
          </w:p>
        </w:tc>
        <w:tc>
          <w:tcPr>
            <w:tcW w:w="2872" w:type="dxa"/>
            <w:shd w:val="clear" w:color="auto" w:fill="auto"/>
            <w:noWrap/>
            <w:hideMark/>
          </w:tcPr>
          <w:p w:rsidR="00C853DC" w:rsidRPr="00722443" w:rsidP="00DD050C" w14:paraId="4576250A" w14:textId="0980818D">
            <w:pPr>
              <w:shd w:val="clear" w:color="auto" w:fill="FFFFFF" w:themeFill="background1"/>
              <w:rPr>
                <w:b/>
              </w:rPr>
            </w:pPr>
            <w:r w:rsidRPr="00722443">
              <w:rPr>
                <w:b/>
                <w:bCs/>
                <w:color w:val="000000"/>
              </w:rPr>
              <w:t>$</w:t>
            </w:r>
            <w:r w:rsidR="00170584">
              <w:rPr>
                <w:b/>
                <w:bCs/>
                <w:color w:val="000000"/>
              </w:rPr>
              <w:t>1,831,440</w:t>
            </w:r>
          </w:p>
        </w:tc>
      </w:tr>
    </w:tbl>
    <w:p w:rsidR="000514F6" w:rsidP="00DD050C" w14:paraId="5A123421" w14:textId="77777777">
      <w:pPr>
        <w:shd w:val="clear" w:color="auto" w:fill="FFFFFF" w:themeFill="background1"/>
        <w:tabs>
          <w:tab w:val="left" w:pos="8280"/>
        </w:tabs>
        <w:spacing w:before="120" w:after="120"/>
      </w:pPr>
    </w:p>
    <w:p w:rsidR="007D1DB0" w:rsidRPr="00722443" w:rsidP="00DD050C" w14:paraId="581C6BD9" w14:textId="2778A5B2">
      <w:pPr>
        <w:shd w:val="clear" w:color="auto" w:fill="FFFFFF" w:themeFill="background1"/>
        <w:tabs>
          <w:tab w:val="left" w:pos="8280"/>
        </w:tabs>
        <w:spacing w:before="120" w:after="120"/>
        <w:ind w:firstLine="720"/>
        <w:rPr>
          <w:color w:val="000000"/>
        </w:rPr>
      </w:pPr>
      <w:r w:rsidRPr="00722443">
        <w:t>H</w:t>
      </w:r>
      <w:r w:rsidRPr="00722443">
        <w:t>ighly controversial program response</w:t>
      </w:r>
      <w:r w:rsidRPr="00722443" w:rsidR="00BC3658">
        <w:t>s</w:t>
      </w:r>
      <w:r w:rsidRPr="00722443">
        <w:t xml:space="preserve"> </w:t>
      </w:r>
      <w:r w:rsidRPr="00722443" w:rsidR="00D54506">
        <w:t>involve</w:t>
      </w:r>
      <w:r w:rsidR="00D54506">
        <w:t xml:space="preserve"> a </w:t>
      </w:r>
      <w:r w:rsidR="00170584">
        <w:t>one</w:t>
      </w:r>
      <w:r w:rsidRPr="00722443" w:rsidR="00B31F4B">
        <w:t xml:space="preserve"> </w:t>
      </w:r>
      <w:r w:rsidRPr="00722443">
        <w:t xml:space="preserve">person-year </w:t>
      </w:r>
      <w:r w:rsidR="00D54506">
        <w:t>(PY)</w:t>
      </w:r>
      <w:r w:rsidR="00170584">
        <w:t xml:space="preserve"> </w:t>
      </w:r>
      <w:r w:rsidRPr="00722443">
        <w:t xml:space="preserve">of </w:t>
      </w:r>
      <w:r w:rsidRPr="00722443" w:rsidR="00B31F4B">
        <w:t xml:space="preserve">an Airport Sponsor or Operator’s </w:t>
      </w:r>
      <w:r w:rsidRPr="00722443">
        <w:t xml:space="preserve">time per program and includes at least two programs per year or (i.e., </w:t>
      </w:r>
      <w:r w:rsidR="000514F6">
        <w:t>1</w:t>
      </w:r>
      <w:r w:rsidRPr="00722443">
        <w:t xml:space="preserve">PY*2 programs). </w:t>
      </w:r>
      <w:r w:rsidR="00170584">
        <w:t>1</w:t>
      </w:r>
      <w:r w:rsidRPr="00722443" w:rsidR="00B31F4B">
        <w:t xml:space="preserve">PY </w:t>
      </w:r>
      <w:r w:rsidRPr="00722443">
        <w:t xml:space="preserve">is equivalent to </w:t>
      </w:r>
      <w:r w:rsidR="00170584">
        <w:t>2080</w:t>
      </w:r>
      <w:r w:rsidRPr="00722443" w:rsidR="00B31F4B">
        <w:t xml:space="preserve"> </w:t>
      </w:r>
      <w:r w:rsidRPr="00722443">
        <w:t xml:space="preserve">PH of the </w:t>
      </w:r>
      <w:r w:rsidRPr="00722443" w:rsidR="00B31F4B">
        <w:t xml:space="preserve">Airport Operators </w:t>
      </w:r>
      <w:r w:rsidRPr="00722443">
        <w:t>time at $</w:t>
      </w:r>
      <w:r w:rsidR="000C01C8">
        <w:t>58.70</w:t>
      </w:r>
      <w:r w:rsidRPr="00722443">
        <w:t xml:space="preserve"> per hour, thus, we </w:t>
      </w:r>
      <w:r w:rsidRPr="00722443">
        <w:rPr>
          <w:color w:val="000000"/>
        </w:rPr>
        <w:t xml:space="preserve">estimate an annual total of $ </w:t>
      </w:r>
      <w:r w:rsidR="00170584">
        <w:rPr>
          <w:color w:val="000000"/>
        </w:rPr>
        <w:t xml:space="preserve">244,192 </w:t>
      </w:r>
      <w:r w:rsidRPr="00722443" w:rsidR="00D334FF">
        <w:rPr>
          <w:color w:val="000000"/>
        </w:rPr>
        <w:t xml:space="preserve">(i.e., </w:t>
      </w:r>
      <w:r w:rsidR="00170584">
        <w:rPr>
          <w:color w:val="000000"/>
        </w:rPr>
        <w:t>2080</w:t>
      </w:r>
      <w:r w:rsidRPr="00722443" w:rsidR="00D334FF">
        <w:rPr>
          <w:color w:val="000000"/>
        </w:rPr>
        <w:t xml:space="preserve"> PH*$</w:t>
      </w:r>
      <w:r w:rsidR="000C01C8">
        <w:rPr>
          <w:color w:val="000000"/>
        </w:rPr>
        <w:t>58.70</w:t>
      </w:r>
      <w:r w:rsidR="00170584">
        <w:rPr>
          <w:color w:val="000000"/>
        </w:rPr>
        <w:t>*2</w:t>
      </w:r>
      <w:r w:rsidRPr="00722443" w:rsidR="00D334FF">
        <w:rPr>
          <w:color w:val="000000"/>
        </w:rPr>
        <w:t>)</w:t>
      </w:r>
    </w:p>
    <w:p w:rsidR="007D1DB0" w:rsidRPr="00722443" w:rsidP="00DD050C" w14:paraId="556253A0" w14:textId="5A796BE3">
      <w:pPr>
        <w:shd w:val="clear" w:color="auto" w:fill="FFFFFF" w:themeFill="background1"/>
        <w:tabs>
          <w:tab w:val="left" w:pos="8280"/>
        </w:tabs>
        <w:spacing w:before="120" w:after="120"/>
        <w:ind w:firstLine="720"/>
      </w:pPr>
      <w:r w:rsidRPr="00722443">
        <w:t>N</w:t>
      </w:r>
      <w:r w:rsidRPr="00722443">
        <w:t>on-controversial but complex programs with involves</w:t>
      </w:r>
      <w:r w:rsidRPr="00722443" w:rsidR="00B31F4B">
        <w:t xml:space="preserve"> </w:t>
      </w:r>
      <w:r w:rsidR="00170584">
        <w:t>one</w:t>
      </w:r>
      <w:r w:rsidR="00D54506">
        <w:t xml:space="preserve"> </w:t>
      </w:r>
      <w:r w:rsidRPr="00722443" w:rsidR="00F349DF">
        <w:t xml:space="preserve">PY </w:t>
      </w:r>
      <w:r w:rsidRPr="00722443" w:rsidR="00B31F4B">
        <w:t xml:space="preserve">of an Airport Sponsor or Operator’s time per program and includes at least three programs per year or (i.e., </w:t>
      </w:r>
      <w:r w:rsidR="00170584">
        <w:t>1</w:t>
      </w:r>
      <w:r w:rsidRPr="00722443" w:rsidR="00B31F4B">
        <w:t xml:space="preserve">PY*3 programs). </w:t>
      </w:r>
      <w:r w:rsidR="00170584">
        <w:t>1</w:t>
      </w:r>
      <w:r w:rsidRPr="00722443" w:rsidR="00B31F4B">
        <w:t xml:space="preserve">PY is equivalent to </w:t>
      </w:r>
      <w:r w:rsidR="00170584">
        <w:t>2080</w:t>
      </w:r>
      <w:r w:rsidR="00D54506">
        <w:t xml:space="preserve"> </w:t>
      </w:r>
      <w:r w:rsidRPr="00722443" w:rsidR="00B31F4B">
        <w:t xml:space="preserve">PH of the Airport </w:t>
      </w:r>
      <w:r w:rsidRPr="00722443" w:rsidR="0055391A">
        <w:t xml:space="preserve">Sponsor or </w:t>
      </w:r>
      <w:r w:rsidRPr="00722443" w:rsidR="00B31F4B">
        <w:t>Operators time at $</w:t>
      </w:r>
      <w:r w:rsidR="000C01C8">
        <w:t>58.70</w:t>
      </w:r>
      <w:r w:rsidRPr="00722443" w:rsidR="00B31F4B">
        <w:t xml:space="preserve"> per hour, thus, we </w:t>
      </w:r>
      <w:r w:rsidRPr="00722443" w:rsidR="00B31F4B">
        <w:rPr>
          <w:color w:val="000000"/>
        </w:rPr>
        <w:t xml:space="preserve">estimate an annual total of </w:t>
      </w:r>
      <w:r w:rsidRPr="00722443" w:rsidR="00AE5ED2">
        <w:t>$</w:t>
      </w:r>
      <w:r w:rsidR="00170584">
        <w:t>366,288</w:t>
      </w:r>
      <w:r w:rsidRPr="00722443" w:rsidR="00D334FF">
        <w:rPr>
          <w:color w:val="000000"/>
        </w:rPr>
        <w:t xml:space="preserve"> (i.e.,</w:t>
      </w:r>
      <w:r w:rsidR="00170584">
        <w:rPr>
          <w:color w:val="000000"/>
        </w:rPr>
        <w:t>2080</w:t>
      </w:r>
      <w:r w:rsidRPr="00722443" w:rsidR="00D334FF">
        <w:rPr>
          <w:color w:val="000000"/>
        </w:rPr>
        <w:t xml:space="preserve"> PH*$</w:t>
      </w:r>
      <w:r w:rsidR="000C01C8">
        <w:rPr>
          <w:color w:val="000000"/>
        </w:rPr>
        <w:t>58.70</w:t>
      </w:r>
      <w:r w:rsidR="00170584">
        <w:rPr>
          <w:color w:val="000000"/>
        </w:rPr>
        <w:t>*3</w:t>
      </w:r>
      <w:r w:rsidRPr="00722443" w:rsidR="00D334FF">
        <w:rPr>
          <w:color w:val="000000"/>
        </w:rPr>
        <w:t>)</w:t>
      </w:r>
      <w:r w:rsidRPr="00722443" w:rsidR="00B31F4B">
        <w:t>.</w:t>
      </w:r>
    </w:p>
    <w:p w:rsidR="00262460" w:rsidP="00DD050C" w14:paraId="6AEF6104" w14:textId="760A811A">
      <w:pPr>
        <w:shd w:val="clear" w:color="auto" w:fill="FFFFFF" w:themeFill="background1"/>
        <w:spacing w:before="120" w:after="120"/>
        <w:ind w:firstLine="720"/>
      </w:pPr>
      <w:r w:rsidRPr="00722443">
        <w:t>N</w:t>
      </w:r>
      <w:r w:rsidRPr="00722443" w:rsidR="007D1DB0">
        <w:t>on-controversial and simple programs involve</w:t>
      </w:r>
      <w:r w:rsidRPr="00722443" w:rsidR="00B31F4B">
        <w:t xml:space="preserve"> </w:t>
      </w:r>
      <w:r w:rsidR="005C6D7E">
        <w:t xml:space="preserve">one </w:t>
      </w:r>
      <w:r w:rsidRPr="00722443" w:rsidR="00F349DF">
        <w:t>PY</w:t>
      </w:r>
      <w:r w:rsidR="00AE5ED2">
        <w:t xml:space="preserve"> of an Airport Sponsor </w:t>
      </w:r>
      <w:r w:rsidRPr="00722443" w:rsidR="00B31F4B">
        <w:t xml:space="preserve">or Operator’s time per program and includes at least 10 programs per year or (i.e., </w:t>
      </w:r>
      <w:r w:rsidR="00AE5ED2">
        <w:t>1</w:t>
      </w:r>
      <w:r w:rsidRPr="00722443" w:rsidR="00B31F4B">
        <w:t>PY*</w:t>
      </w:r>
      <w:r w:rsidR="00AE5ED2">
        <w:t>10</w:t>
      </w:r>
      <w:r w:rsidRPr="00722443" w:rsidR="00B31F4B">
        <w:t xml:space="preserve"> programs). </w:t>
      </w:r>
      <w:r w:rsidR="00170584">
        <w:t>1</w:t>
      </w:r>
      <w:r w:rsidRPr="00722443" w:rsidR="00B31F4B">
        <w:t xml:space="preserve">PY is equivalent to </w:t>
      </w:r>
      <w:r w:rsidR="00170584">
        <w:t>2080</w:t>
      </w:r>
      <w:r w:rsidR="004745C3">
        <w:t xml:space="preserve"> </w:t>
      </w:r>
      <w:r w:rsidRPr="00722443" w:rsidR="00B31F4B">
        <w:t>PH of the Airport Operators time at $</w:t>
      </w:r>
      <w:r w:rsidR="000C01C8">
        <w:t>58.70</w:t>
      </w:r>
      <w:r w:rsidRPr="00722443" w:rsidR="00B31F4B">
        <w:t xml:space="preserve"> per hour, thus, we </w:t>
      </w:r>
      <w:r w:rsidRPr="00722443" w:rsidR="00B31F4B">
        <w:rPr>
          <w:color w:val="000000"/>
        </w:rPr>
        <w:t xml:space="preserve">estimate an annual total of $ </w:t>
      </w:r>
      <w:r w:rsidR="00170584">
        <w:rPr>
          <w:color w:val="000000"/>
        </w:rPr>
        <w:t>1,220,960</w:t>
      </w:r>
      <w:r w:rsidR="0076235A">
        <w:rPr>
          <w:color w:val="000000"/>
        </w:rPr>
        <w:t xml:space="preserve"> </w:t>
      </w:r>
      <w:r w:rsidRPr="00722443" w:rsidR="00D334FF">
        <w:rPr>
          <w:color w:val="000000"/>
        </w:rPr>
        <w:t xml:space="preserve">(i.e., </w:t>
      </w:r>
      <w:r w:rsidR="00170584">
        <w:rPr>
          <w:color w:val="000000"/>
        </w:rPr>
        <w:t>20</w:t>
      </w:r>
      <w:r w:rsidR="000D1AF4">
        <w:rPr>
          <w:color w:val="000000"/>
        </w:rPr>
        <w:t>80</w:t>
      </w:r>
      <w:r w:rsidRPr="00722443" w:rsidR="00D334FF">
        <w:rPr>
          <w:color w:val="000000"/>
        </w:rPr>
        <w:t xml:space="preserve"> PH*$</w:t>
      </w:r>
      <w:r w:rsidR="000C01C8">
        <w:rPr>
          <w:color w:val="000000"/>
        </w:rPr>
        <w:t>58.70</w:t>
      </w:r>
      <w:r w:rsidR="000D1AF4">
        <w:rPr>
          <w:color w:val="000000"/>
        </w:rPr>
        <w:t>*10</w:t>
      </w:r>
      <w:r w:rsidRPr="00722443" w:rsidR="00D334FF">
        <w:rPr>
          <w:color w:val="000000"/>
        </w:rPr>
        <w:t>)</w:t>
      </w:r>
      <w:r w:rsidRPr="00722443" w:rsidR="00B31F4B">
        <w:t>.</w:t>
      </w:r>
    </w:p>
    <w:p w:rsidR="004D0917" w:rsidRPr="00722443" w:rsidP="00DD050C" w14:paraId="7769E14A" w14:textId="77777777">
      <w:pPr>
        <w:keepNext/>
        <w:shd w:val="clear" w:color="auto" w:fill="FFFFFF" w:themeFill="background1"/>
        <w:spacing w:before="120" w:after="120"/>
      </w:pPr>
      <w:r w:rsidRPr="00722443">
        <w:t>13.</w:t>
      </w:r>
      <w:r w:rsidRPr="00722443">
        <w:tab/>
      </w:r>
      <w:r w:rsidRPr="00722443">
        <w:rPr>
          <w:b/>
        </w:rPr>
        <w:t>Provide an estimate of the total annual cost burden to respondents or record keepers resulting from the collection of information.</w:t>
      </w:r>
    </w:p>
    <w:p w:rsidR="00A43091" w:rsidRPr="00722443" w:rsidP="00DD050C" w14:paraId="175CC474" w14:textId="1A9C7851">
      <w:pPr>
        <w:shd w:val="clear" w:color="auto" w:fill="FFFFFF" w:themeFill="background1"/>
        <w:spacing w:before="120" w:after="120"/>
        <w:ind w:firstLine="720"/>
      </w:pPr>
      <w:r w:rsidRPr="00722443">
        <w:t>The</w:t>
      </w:r>
      <w:r w:rsidRPr="00722443" w:rsidR="0055391A">
        <w:t xml:space="preserve"> annualized costs explained in </w:t>
      </w:r>
      <w:r w:rsidRPr="00722443" w:rsidR="00BF29B6">
        <w:t xml:space="preserve">item </w:t>
      </w:r>
      <w:r w:rsidRPr="00722443" w:rsidR="0055391A">
        <w:t xml:space="preserve">12.a. reflect the total annual cost burden to respondents and there </w:t>
      </w:r>
      <w:r w:rsidRPr="00722443">
        <w:t xml:space="preserve">are no </w:t>
      </w:r>
      <w:r w:rsidRPr="00722443" w:rsidR="0055391A">
        <w:t xml:space="preserve">other or </w:t>
      </w:r>
      <w:r w:rsidRPr="00722443">
        <w:t xml:space="preserve">additional costs to respondents resulting from </w:t>
      </w:r>
      <w:r w:rsidRPr="00722443" w:rsidR="00BF29B6">
        <w:t>this collection of information beyond base wage, fringe, and overhead.</w:t>
      </w:r>
    </w:p>
    <w:p w:rsidR="0001293A" w:rsidRPr="00722443" w:rsidP="00DD050C" w14:paraId="4F17EEC1" w14:textId="202B488D">
      <w:pPr>
        <w:keepNext/>
        <w:shd w:val="clear" w:color="auto" w:fill="FFFFFF" w:themeFill="background1"/>
        <w:spacing w:before="120" w:after="120"/>
        <w:rPr>
          <w:b/>
        </w:rPr>
      </w:pPr>
      <w:r w:rsidRPr="00722443">
        <w:t>14.</w:t>
      </w:r>
      <w:r w:rsidRPr="00722443">
        <w:tab/>
      </w:r>
      <w:r w:rsidRPr="00722443">
        <w:rPr>
          <w:b/>
        </w:rPr>
        <w:t xml:space="preserve">Provide estimates of annualized cost to the Federal government.  Also, provide a description of the method used to estimate cost, which should include </w:t>
      </w:r>
      <w:r w:rsidRPr="00722443">
        <w:rPr>
          <w:b/>
        </w:rPr>
        <w:t>quantification of hours, operational expenses, and any other expense that would not have been incurred without this collection of information.</w:t>
      </w:r>
    </w:p>
    <w:p w:rsidR="00E06CA2" w:rsidP="00DD050C" w14:paraId="4A25D42F" w14:textId="0C56AC12">
      <w:pPr>
        <w:pStyle w:val="NoSpacing"/>
        <w:shd w:val="clear" w:color="auto" w:fill="FFFFFF" w:themeFill="background1"/>
        <w:spacing w:before="120" w:after="120"/>
        <w:ind w:firstLine="720"/>
      </w:pPr>
      <w:r w:rsidRPr="00722443">
        <w:t xml:space="preserve">The annualized cost to the Federal government is based on federal employee </w:t>
      </w:r>
      <w:r w:rsidRPr="00722443" w:rsidR="00B9008D">
        <w:t>salaries</w:t>
      </w:r>
      <w:r w:rsidRPr="00722443" w:rsidR="00167DCF">
        <w:t>, specifically, the FAA Core Compensation Plan (FV) which is a performance-based plan where employees are assigned a pay band associated with a job category and level of responsibility. Most</w:t>
      </w:r>
      <w:r w:rsidRPr="00722443" w:rsidR="00B1343F">
        <w:t xml:space="preserve"> FAA </w:t>
      </w:r>
      <w:r w:rsidRPr="00722443" w:rsidR="00167DCF">
        <w:t>employees are on Core Compensation Plans and while FAA is not governed by the GS pay system,</w:t>
      </w:r>
      <w:r w:rsidRPr="00722443" w:rsidR="00B1343F">
        <w:t xml:space="preserve"> the</w:t>
      </w:r>
      <w:r w:rsidRPr="00722443" w:rsidR="00167DCF">
        <w:t xml:space="preserve"> FAA Core Compensation scale is comparable to the GS scale. </w:t>
      </w:r>
      <w:r w:rsidRPr="00722443" w:rsidR="00DE3B5D">
        <w:t xml:space="preserve">NOTE:  FAA salary information is explained in the FAA Core Compensation Plan (FV), excel file titled “Core Compensation Salary Table”, which is available on the Internet at FAA’s Benefits and Pay website:  </w:t>
      </w:r>
      <w:hyperlink r:id="rId5" w:history="1">
        <w:r w:rsidRPr="00E414EB" w:rsidR="009F45E8">
          <w:rPr>
            <w:rStyle w:val="Hyperlink"/>
          </w:rPr>
          <w:t>https://www.faa.gov/jobs/working_here/benefits</w:t>
        </w:r>
      </w:hyperlink>
      <w:r w:rsidR="009F45E8">
        <w:t xml:space="preserve"> </w:t>
      </w:r>
      <w:r w:rsidRPr="00722443" w:rsidR="00DE3B5D">
        <w:t xml:space="preserve">and the GS scale is </w:t>
      </w:r>
      <w:r w:rsidRPr="00722443" w:rsidR="0055391A">
        <w:t xml:space="preserve">also </w:t>
      </w:r>
      <w:r w:rsidRPr="00722443" w:rsidR="00DE3B5D">
        <w:t>available</w:t>
      </w:r>
      <w:r w:rsidRPr="00722443" w:rsidR="0055391A">
        <w:t xml:space="preserve"> on the Internet at </w:t>
      </w:r>
      <w:hyperlink r:id="rId6" w:history="1">
        <w:r w:rsidRPr="00E414EB">
          <w:rPr>
            <w:rStyle w:val="Hyperlink"/>
          </w:rPr>
          <w:t>https://www.opm.gov/policy-data-oversight/pay-leave/salaries-wages/salary-tables/pdf/2024/GS.pdf</w:t>
        </w:r>
      </w:hyperlink>
      <w:r>
        <w:t>.</w:t>
      </w:r>
    </w:p>
    <w:p w:rsidR="00A23B2C" w:rsidP="00DD050C" w14:paraId="64ED94E4" w14:textId="6827B145">
      <w:pPr>
        <w:pStyle w:val="NoSpacing"/>
        <w:shd w:val="clear" w:color="auto" w:fill="FFFFFF" w:themeFill="background1"/>
        <w:spacing w:before="120" w:after="120"/>
      </w:pPr>
      <w:r>
        <w:t>The total estimated annualized cost to the Federal government is $</w:t>
      </w:r>
      <w:r w:rsidR="00D90668">
        <w:t>313,445</w:t>
      </w:r>
      <w:r>
        <w:t>. This estimated annualized cost is explained below and is based on the following assumptions:</w:t>
      </w:r>
    </w:p>
    <w:p w:rsidR="00A23B2C" w:rsidP="00DD050C" w14:paraId="3ACDB72F" w14:textId="094CDA20">
      <w:pPr>
        <w:pStyle w:val="NoSpacing"/>
        <w:numPr>
          <w:ilvl w:val="0"/>
          <w:numId w:val="10"/>
        </w:numPr>
        <w:shd w:val="clear" w:color="auto" w:fill="FFFFFF" w:themeFill="background1"/>
        <w:spacing w:before="120" w:after="120"/>
      </w:pPr>
      <w:r>
        <w:t xml:space="preserve">An </w:t>
      </w:r>
      <w:r w:rsidRPr="00722443">
        <w:t>average hourly wage of $</w:t>
      </w:r>
      <w:r w:rsidR="00D90668">
        <w:t>56.99</w:t>
      </w:r>
      <w:r w:rsidRPr="00722443">
        <w:t xml:space="preserve">, based on the median salary for an FAA FG-14, pay band J, Level </w:t>
      </w:r>
      <w:r w:rsidR="00D90668">
        <w:t>4</w:t>
      </w:r>
      <w:r w:rsidRPr="00722443">
        <w:t xml:space="preserve"> (equivalent to GS-14 Step 5) in FY </w:t>
      </w:r>
      <w:r w:rsidR="00D90668">
        <w:t>2024</w:t>
      </w:r>
      <w:r w:rsidRPr="00722443">
        <w:t xml:space="preserve"> dollars and a </w:t>
      </w:r>
      <w:r w:rsidRPr="00722443" w:rsidR="00A80CE0">
        <w:t>2,080-hour</w:t>
      </w:r>
      <w:r w:rsidRPr="00722443">
        <w:t xml:space="preserve"> PY</w:t>
      </w:r>
      <w:r>
        <w:t xml:space="preserve">. </w:t>
      </w:r>
    </w:p>
    <w:p w:rsidR="00A23B2C" w:rsidRPr="00722443" w:rsidP="00DD050C" w14:paraId="49A4DDA5" w14:textId="48D37774">
      <w:pPr>
        <w:pStyle w:val="NoSpacing"/>
        <w:numPr>
          <w:ilvl w:val="0"/>
          <w:numId w:val="10"/>
        </w:numPr>
        <w:shd w:val="clear" w:color="auto" w:fill="FFFFFF" w:themeFill="background1"/>
        <w:spacing w:before="120" w:after="120"/>
      </w:pPr>
      <w:r>
        <w:t xml:space="preserve">The average hourly </w:t>
      </w:r>
      <w:r w:rsidRPr="00722443">
        <w:t xml:space="preserve">wage includes </w:t>
      </w:r>
      <w:r>
        <w:t xml:space="preserve">base wage, fringe, and overhead. </w:t>
      </w:r>
    </w:p>
    <w:p w:rsidR="009F0081" w:rsidRPr="00722443" w:rsidP="00DD050C" w14:paraId="4026E18C" w14:textId="018BEE9B">
      <w:pPr>
        <w:shd w:val="clear" w:color="auto" w:fill="FFFFFF" w:themeFill="background1"/>
        <w:spacing w:before="120" w:after="120"/>
        <w:ind w:firstLine="720"/>
      </w:pPr>
      <w:r w:rsidRPr="00722443">
        <w:t xml:space="preserve">The </w:t>
      </w:r>
      <w:r w:rsidRPr="00A23B2C" w:rsidR="00BE089F">
        <w:rPr>
          <w:b/>
        </w:rPr>
        <w:t xml:space="preserve">highly </w:t>
      </w:r>
      <w:r w:rsidRPr="00A23B2C">
        <w:rPr>
          <w:b/>
        </w:rPr>
        <w:t>controversial program</w:t>
      </w:r>
      <w:r w:rsidRPr="00A23B2C" w:rsidR="00096890">
        <w:rPr>
          <w:b/>
        </w:rPr>
        <w:t>s</w:t>
      </w:r>
      <w:r w:rsidRPr="00722443" w:rsidR="00BE089F">
        <w:t xml:space="preserve"> (</w:t>
      </w:r>
      <w:r w:rsidRPr="00722443" w:rsidR="00893883">
        <w:t xml:space="preserve">up to </w:t>
      </w:r>
      <w:r w:rsidRPr="00722443" w:rsidR="00BE089F">
        <w:t>two per year)</w:t>
      </w:r>
      <w:r w:rsidRPr="00722443">
        <w:t xml:space="preserve"> </w:t>
      </w:r>
      <w:r w:rsidRPr="00722443" w:rsidR="00BE089F">
        <w:t xml:space="preserve">is </w:t>
      </w:r>
      <w:r w:rsidRPr="00722443">
        <w:t xml:space="preserve">expected to take </w:t>
      </w:r>
      <w:r w:rsidRPr="00722443" w:rsidR="008D577A">
        <w:t xml:space="preserve">approximately </w:t>
      </w:r>
      <w:r w:rsidRPr="00722443" w:rsidR="00ED70C8">
        <w:t>800</w:t>
      </w:r>
      <w:r w:rsidRPr="00722443" w:rsidR="008D577A">
        <w:t xml:space="preserve"> </w:t>
      </w:r>
      <w:r w:rsidRPr="00722443">
        <w:t xml:space="preserve">PH per </w:t>
      </w:r>
      <w:r w:rsidRPr="00722443" w:rsidR="00BE089F">
        <w:t>program</w:t>
      </w:r>
      <w:r w:rsidRPr="00722443" w:rsidR="00EE009B">
        <w:t xml:space="preserve">, </w:t>
      </w:r>
      <w:r w:rsidRPr="00722443" w:rsidR="00BE4DAD">
        <w:t>(</w:t>
      </w:r>
      <w:r w:rsidRPr="00722443" w:rsidR="00775C2E">
        <w:t xml:space="preserve">i.e., </w:t>
      </w:r>
      <w:r w:rsidRPr="00722443" w:rsidR="00ED70C8">
        <w:t>400</w:t>
      </w:r>
      <w:r w:rsidRPr="00722443" w:rsidR="008D577A">
        <w:t xml:space="preserve"> PH </w:t>
      </w:r>
      <w:r w:rsidRPr="00722443">
        <w:t xml:space="preserve">for </w:t>
      </w:r>
      <w:r w:rsidRPr="00722443" w:rsidR="005A4128">
        <w:t>FAA R</w:t>
      </w:r>
      <w:r w:rsidRPr="00722443">
        <w:t xml:space="preserve">egional </w:t>
      </w:r>
      <w:r w:rsidRPr="00722443" w:rsidR="005A4128">
        <w:t>O</w:t>
      </w:r>
      <w:r w:rsidRPr="00722443">
        <w:t xml:space="preserve">ffice </w:t>
      </w:r>
      <w:r w:rsidRPr="00722443" w:rsidR="00E5624D">
        <w:t xml:space="preserve">personnel </w:t>
      </w:r>
      <w:r w:rsidRPr="00722443">
        <w:t xml:space="preserve">participation </w:t>
      </w:r>
      <w:r w:rsidRPr="00722443" w:rsidR="00542903">
        <w:t>plus</w:t>
      </w:r>
      <w:r w:rsidRPr="00722443" w:rsidR="00BE4DAD">
        <w:t xml:space="preserve"> </w:t>
      </w:r>
      <w:r w:rsidRPr="00722443" w:rsidR="00ED70C8">
        <w:t>400</w:t>
      </w:r>
      <w:r w:rsidRPr="00722443" w:rsidR="008D577A">
        <w:t xml:space="preserve"> PH </w:t>
      </w:r>
      <w:r w:rsidRPr="00722443">
        <w:t xml:space="preserve">for </w:t>
      </w:r>
      <w:r w:rsidRPr="00722443" w:rsidR="005A4128">
        <w:t>H</w:t>
      </w:r>
      <w:r w:rsidRPr="00722443">
        <w:t>eadquarters</w:t>
      </w:r>
      <w:r w:rsidRPr="00722443" w:rsidR="00E5624D">
        <w:t xml:space="preserve"> </w:t>
      </w:r>
      <w:r w:rsidRPr="00722443" w:rsidR="005A4128">
        <w:t>O</w:t>
      </w:r>
      <w:r w:rsidRPr="00722443" w:rsidR="00E5624D">
        <w:t>ffice</w:t>
      </w:r>
      <w:r w:rsidRPr="00722443">
        <w:t xml:space="preserve"> participation</w:t>
      </w:r>
      <w:r w:rsidRPr="00722443" w:rsidR="00BE4DAD">
        <w:t>, 400+400 = 800</w:t>
      </w:r>
      <w:r w:rsidRPr="00722443" w:rsidR="005D7A6E">
        <w:t>)</w:t>
      </w:r>
      <w:r w:rsidRPr="00722443" w:rsidR="008D577A">
        <w:t xml:space="preserve"> </w:t>
      </w:r>
      <w:r w:rsidRPr="00722443">
        <w:t>plus a contingency of another 100 PH for potentially unforeseen issues tha</w:t>
      </w:r>
      <w:r w:rsidRPr="00722443" w:rsidR="00054F15">
        <w:t xml:space="preserve">t may be difficult to resolve. </w:t>
      </w:r>
      <w:r w:rsidRPr="00722443" w:rsidR="00E5624D">
        <w:t>Thus</w:t>
      </w:r>
      <w:r w:rsidRPr="00722443" w:rsidR="00ED6BF4">
        <w:t>,</w:t>
      </w:r>
      <w:r w:rsidRPr="00722443" w:rsidR="00E5624D">
        <w:t xml:space="preserve"> the t</w:t>
      </w:r>
      <w:r w:rsidRPr="00722443">
        <w:t xml:space="preserve">otal </w:t>
      </w:r>
      <w:r w:rsidRPr="00722443" w:rsidR="008D577A">
        <w:t xml:space="preserve">estimated </w:t>
      </w:r>
      <w:r w:rsidRPr="00722443">
        <w:t xml:space="preserve">FAA PH </w:t>
      </w:r>
      <w:r w:rsidRPr="00722443" w:rsidR="00ED6BF4">
        <w:t>is 1</w:t>
      </w:r>
      <w:r w:rsidRPr="00722443" w:rsidR="00CF0BD9">
        <w:t>,</w:t>
      </w:r>
      <w:r w:rsidRPr="00722443" w:rsidR="00ED6BF4">
        <w:t xml:space="preserve">700 </w:t>
      </w:r>
      <w:r w:rsidRPr="00722443" w:rsidR="00BE4DAD">
        <w:t>(</w:t>
      </w:r>
      <w:r w:rsidRPr="00722443" w:rsidR="00775C2E">
        <w:t xml:space="preserve">i.e., </w:t>
      </w:r>
      <w:r w:rsidRPr="00722443" w:rsidR="00BE4DAD">
        <w:t>800 PH*2 programs</w:t>
      </w:r>
      <w:r w:rsidRPr="00722443" w:rsidR="00542903">
        <w:t>/</w:t>
      </w:r>
      <w:r w:rsidRPr="00722443" w:rsidR="00BE4DAD">
        <w:t xml:space="preserve">year +100 PH contingency) </w:t>
      </w:r>
      <w:r w:rsidRPr="00722443" w:rsidR="008E4378">
        <w:t xml:space="preserve">and </w:t>
      </w:r>
      <w:r w:rsidRPr="00722443" w:rsidR="00ED6BF4">
        <w:t xml:space="preserve">the total </w:t>
      </w:r>
      <w:r w:rsidRPr="00722443" w:rsidR="008E4378">
        <w:t xml:space="preserve">estimated cost </w:t>
      </w:r>
      <w:r w:rsidRPr="00722443" w:rsidR="00907B8C">
        <w:t>is $</w:t>
      </w:r>
      <w:r w:rsidR="00A80CE0">
        <w:t>96,833</w:t>
      </w:r>
      <w:r w:rsidRPr="00722443" w:rsidR="00907B8C">
        <w:t xml:space="preserve"> (</w:t>
      </w:r>
      <w:r w:rsidRPr="00722443" w:rsidR="00775C2E">
        <w:t xml:space="preserve">i.e., </w:t>
      </w:r>
      <w:r w:rsidRPr="00722443" w:rsidR="00907B8C">
        <w:t>1700 PH*</w:t>
      </w:r>
      <w:r w:rsidR="00A80CE0">
        <w:t>56.99</w:t>
      </w:r>
      <w:r w:rsidRPr="00722443" w:rsidR="00542903">
        <w:t>/hour</w:t>
      </w:r>
      <w:r w:rsidRPr="00722443" w:rsidR="00BE4DAD">
        <w:t xml:space="preserve">) </w:t>
      </w:r>
      <w:r w:rsidRPr="00722443">
        <w:t xml:space="preserve">for </w:t>
      </w:r>
      <w:r w:rsidRPr="00722443" w:rsidR="00BE089F">
        <w:t xml:space="preserve">highly </w:t>
      </w:r>
      <w:r w:rsidRPr="00722443">
        <w:t>con</w:t>
      </w:r>
      <w:r w:rsidRPr="00722443" w:rsidR="00ED6BF4">
        <w:t xml:space="preserve">troversial </w:t>
      </w:r>
      <w:r w:rsidRPr="00722443" w:rsidR="00542903">
        <w:t>NCPs</w:t>
      </w:r>
      <w:r w:rsidRPr="00722443" w:rsidR="00BE089F">
        <w:t xml:space="preserve"> </w:t>
      </w:r>
      <w:r w:rsidRPr="00722443" w:rsidR="00EE009B">
        <w:t>each</w:t>
      </w:r>
      <w:r w:rsidRPr="00722443" w:rsidR="00BE089F">
        <w:t xml:space="preserve"> year</w:t>
      </w:r>
      <w:r w:rsidRPr="00722443" w:rsidR="00ED6BF4">
        <w:t>.</w:t>
      </w:r>
    </w:p>
    <w:p w:rsidR="009F0081" w:rsidRPr="00722443" w:rsidP="00DD050C" w14:paraId="09B5FBD6" w14:textId="1E9A1F9F">
      <w:pPr>
        <w:shd w:val="clear" w:color="auto" w:fill="FFFFFF" w:themeFill="background1"/>
        <w:spacing w:before="120" w:after="120"/>
        <w:ind w:firstLine="720"/>
      </w:pPr>
      <w:r w:rsidRPr="00722443">
        <w:t xml:space="preserve">The </w:t>
      </w:r>
      <w:r w:rsidRPr="00A23B2C" w:rsidR="00096890">
        <w:rPr>
          <w:b/>
        </w:rPr>
        <w:t>non-controversial but complex</w:t>
      </w:r>
      <w:r w:rsidRPr="00A23B2C">
        <w:rPr>
          <w:b/>
        </w:rPr>
        <w:t xml:space="preserve"> programs</w:t>
      </w:r>
      <w:r w:rsidRPr="00722443" w:rsidR="00ED70C8">
        <w:t xml:space="preserve"> (</w:t>
      </w:r>
      <w:r w:rsidRPr="00722443" w:rsidR="00173577">
        <w:t xml:space="preserve">up to </w:t>
      </w:r>
      <w:r w:rsidRPr="00722443" w:rsidR="0001293A">
        <w:t xml:space="preserve">three </w:t>
      </w:r>
      <w:r w:rsidRPr="00722443" w:rsidR="00616899">
        <w:t>per year</w:t>
      </w:r>
      <w:r w:rsidRPr="00722443" w:rsidR="00ED70C8">
        <w:t xml:space="preserve">), while not controversial, are more involved and </w:t>
      </w:r>
      <w:r w:rsidRPr="00722443" w:rsidR="00096890">
        <w:t xml:space="preserve">expected to take </w:t>
      </w:r>
      <w:r w:rsidRPr="00722443" w:rsidR="003B49DA">
        <w:t xml:space="preserve">approximately </w:t>
      </w:r>
      <w:r w:rsidRPr="00722443" w:rsidR="005D7A6E">
        <w:t>4</w:t>
      </w:r>
      <w:r w:rsidRPr="00722443" w:rsidR="00EE009B">
        <w:t xml:space="preserve">00 PH per program, </w:t>
      </w:r>
      <w:r w:rsidRPr="00722443" w:rsidR="005D7A6E">
        <w:t>(</w:t>
      </w:r>
      <w:r w:rsidRPr="00722443" w:rsidR="00775C2E">
        <w:t xml:space="preserve">i.e., </w:t>
      </w:r>
      <w:r w:rsidRPr="00722443" w:rsidR="00ED70C8">
        <w:t>2</w:t>
      </w:r>
      <w:r w:rsidRPr="00722443" w:rsidR="005D7A6E">
        <w:t>0</w:t>
      </w:r>
      <w:r w:rsidRPr="00722443" w:rsidR="00096890">
        <w:t xml:space="preserve">0 PH </w:t>
      </w:r>
      <w:r w:rsidRPr="00722443" w:rsidR="00EE009B">
        <w:t>for</w:t>
      </w:r>
      <w:r w:rsidRPr="00722443" w:rsidR="00096890">
        <w:t xml:space="preserve"> </w:t>
      </w:r>
      <w:r w:rsidRPr="00722443" w:rsidR="005A4128">
        <w:t>FAA R</w:t>
      </w:r>
      <w:r w:rsidRPr="00722443">
        <w:t xml:space="preserve">egional </w:t>
      </w:r>
      <w:r w:rsidRPr="00722443" w:rsidR="005A4128">
        <w:t>O</w:t>
      </w:r>
      <w:r w:rsidRPr="00722443">
        <w:t>ffice</w:t>
      </w:r>
      <w:r w:rsidRPr="00722443" w:rsidR="00096890">
        <w:t xml:space="preserve"> personnel participation and </w:t>
      </w:r>
      <w:r w:rsidRPr="00722443" w:rsidR="005D7A6E">
        <w:t>2</w:t>
      </w:r>
      <w:r w:rsidRPr="00722443" w:rsidR="003B49DA">
        <w:t>00</w:t>
      </w:r>
      <w:r w:rsidRPr="00722443" w:rsidR="00096890">
        <w:t xml:space="preserve"> PH for </w:t>
      </w:r>
      <w:r w:rsidRPr="00722443" w:rsidR="005A4128">
        <w:t>H</w:t>
      </w:r>
      <w:r w:rsidRPr="00722443" w:rsidR="001F275C">
        <w:t xml:space="preserve">eadquarters </w:t>
      </w:r>
      <w:r w:rsidRPr="00722443" w:rsidR="005A4128">
        <w:t>O</w:t>
      </w:r>
      <w:r w:rsidRPr="00722443" w:rsidR="001F275C">
        <w:t>ffice</w:t>
      </w:r>
      <w:r w:rsidRPr="00722443" w:rsidR="00096890">
        <w:t xml:space="preserve"> personal participation</w:t>
      </w:r>
      <w:r w:rsidRPr="00722443" w:rsidR="00616899">
        <w:t>, 200+200 =</w:t>
      </w:r>
      <w:r w:rsidRPr="00722443" w:rsidR="00341814">
        <w:t xml:space="preserve"> </w:t>
      </w:r>
      <w:r w:rsidRPr="00722443" w:rsidR="00616899">
        <w:t>400)</w:t>
      </w:r>
      <w:r w:rsidRPr="00722443" w:rsidR="00ED6BF4">
        <w:t xml:space="preserve">, </w:t>
      </w:r>
      <w:r w:rsidRPr="00722443" w:rsidR="00ED70C8">
        <w:t xml:space="preserve">plus </w:t>
      </w:r>
      <w:r w:rsidRPr="00722443" w:rsidR="00ED6BF4">
        <w:t xml:space="preserve">a contingency of </w:t>
      </w:r>
      <w:r w:rsidRPr="00722443" w:rsidR="00616899">
        <w:t xml:space="preserve">another </w:t>
      </w:r>
      <w:r w:rsidRPr="00722443" w:rsidR="00ED6BF4">
        <w:t>1</w:t>
      </w:r>
      <w:r w:rsidRPr="00722443" w:rsidR="005A4128">
        <w:t>00</w:t>
      </w:r>
      <w:r w:rsidRPr="00722443" w:rsidR="00ED6BF4">
        <w:t xml:space="preserve"> PH for potentially un</w:t>
      </w:r>
      <w:r w:rsidRPr="00722443" w:rsidR="008D577A">
        <w:t>fore</w:t>
      </w:r>
      <w:r w:rsidRPr="00722443" w:rsidR="00ED6BF4">
        <w:t>seen issues that may be difficult to resolve</w:t>
      </w:r>
      <w:r w:rsidRPr="00722443">
        <w:t xml:space="preserve">. </w:t>
      </w:r>
      <w:r w:rsidRPr="00722443" w:rsidR="00ED6BF4">
        <w:t>Thus</w:t>
      </w:r>
      <w:r w:rsidRPr="00722443" w:rsidR="00096890">
        <w:t>,</w:t>
      </w:r>
      <w:r w:rsidRPr="00722443" w:rsidR="00ED6BF4">
        <w:t xml:space="preserve"> the total estimated FAA PH </w:t>
      </w:r>
      <w:r w:rsidRPr="00722443" w:rsidR="003B49DA">
        <w:t xml:space="preserve">is </w:t>
      </w:r>
      <w:r w:rsidRPr="00722443" w:rsidR="00C17B2F">
        <w:t>1,</w:t>
      </w:r>
      <w:r w:rsidRPr="00722443" w:rsidR="00542903">
        <w:t>30</w:t>
      </w:r>
      <w:r w:rsidRPr="00722443" w:rsidR="00C17B2F">
        <w:t xml:space="preserve">0 </w:t>
      </w:r>
      <w:r w:rsidRPr="00722443" w:rsidR="00616899">
        <w:t>(</w:t>
      </w:r>
      <w:r w:rsidRPr="00722443" w:rsidR="00775C2E">
        <w:t xml:space="preserve">i.e., </w:t>
      </w:r>
      <w:r w:rsidRPr="00722443" w:rsidR="00616899">
        <w:t>400 P</w:t>
      </w:r>
      <w:r w:rsidRPr="00722443" w:rsidR="00542903">
        <w:t>H</w:t>
      </w:r>
      <w:r w:rsidRPr="00722443" w:rsidR="00C17B2F">
        <w:t>*3 programs</w:t>
      </w:r>
      <w:r w:rsidRPr="00722443" w:rsidR="00542903">
        <w:t>/year + 100 PH contingency</w:t>
      </w:r>
      <w:r w:rsidRPr="00722443" w:rsidR="00616899">
        <w:t xml:space="preserve">) </w:t>
      </w:r>
      <w:r w:rsidRPr="00722443" w:rsidR="00ED6BF4">
        <w:t xml:space="preserve">and </w:t>
      </w:r>
      <w:r w:rsidRPr="00722443" w:rsidR="003B49DA">
        <w:t xml:space="preserve">the total estimated </w:t>
      </w:r>
      <w:r w:rsidRPr="00722443" w:rsidR="00ED6BF4">
        <w:t>cost is $</w:t>
      </w:r>
      <w:r w:rsidR="00A80CE0">
        <w:t>74,087</w:t>
      </w:r>
      <w:r w:rsidRPr="00722443" w:rsidR="003B49DA">
        <w:t xml:space="preserve"> </w:t>
      </w:r>
      <w:r w:rsidRPr="00722443" w:rsidR="00173577">
        <w:t>(</w:t>
      </w:r>
      <w:r w:rsidRPr="00722443" w:rsidR="00775C2E">
        <w:t xml:space="preserve">i.e., </w:t>
      </w:r>
      <w:r w:rsidRPr="00722443" w:rsidR="00907B8C">
        <w:t>1</w:t>
      </w:r>
      <w:r w:rsidRPr="00722443" w:rsidR="00893883">
        <w:t>3</w:t>
      </w:r>
      <w:r w:rsidRPr="00722443" w:rsidR="00173577">
        <w:t>00 PH*</w:t>
      </w:r>
      <w:r w:rsidR="00A80CE0">
        <w:t>56.99</w:t>
      </w:r>
      <w:r w:rsidRPr="00722443" w:rsidR="00893883">
        <w:t>/hour</w:t>
      </w:r>
      <w:r w:rsidRPr="00722443" w:rsidR="00616899">
        <w:t xml:space="preserve">) </w:t>
      </w:r>
      <w:r w:rsidRPr="00722443" w:rsidR="003B49DA">
        <w:t>for non-controversial but complex</w:t>
      </w:r>
      <w:r w:rsidRPr="00722443" w:rsidR="00C21C29">
        <w:t xml:space="preserve"> </w:t>
      </w:r>
      <w:r w:rsidRPr="00722443" w:rsidR="00907B8C">
        <w:t>NCP</w:t>
      </w:r>
      <w:r w:rsidRPr="00722443" w:rsidR="00C21C29">
        <w:t>s each year</w:t>
      </w:r>
      <w:r w:rsidRPr="00722443">
        <w:t>.</w:t>
      </w:r>
    </w:p>
    <w:p w:rsidR="00096890" w:rsidP="00DD050C" w14:paraId="0B15496E" w14:textId="53FF9B32">
      <w:pPr>
        <w:shd w:val="clear" w:color="auto" w:fill="FFFFFF" w:themeFill="background1"/>
        <w:spacing w:before="120" w:after="120"/>
        <w:ind w:firstLine="720"/>
      </w:pPr>
      <w:r w:rsidRPr="00722443">
        <w:rPr>
          <w:color w:val="000000"/>
        </w:rPr>
        <w:t xml:space="preserve">The </w:t>
      </w:r>
      <w:r w:rsidRPr="00A23B2C">
        <w:rPr>
          <w:b/>
          <w:color w:val="000000"/>
        </w:rPr>
        <w:t xml:space="preserve">simple, </w:t>
      </w:r>
      <w:r w:rsidRPr="00A23B2C" w:rsidR="00B71A7F">
        <w:rPr>
          <w:b/>
          <w:color w:val="000000"/>
        </w:rPr>
        <w:t xml:space="preserve">non-controversial </w:t>
      </w:r>
      <w:r w:rsidRPr="00A23B2C" w:rsidR="006E2BB2">
        <w:rPr>
          <w:b/>
          <w:color w:val="000000"/>
        </w:rPr>
        <w:t>programs</w:t>
      </w:r>
      <w:r w:rsidRPr="00722443" w:rsidR="006E2BB2">
        <w:rPr>
          <w:color w:val="000000"/>
        </w:rPr>
        <w:t xml:space="preserve"> (10 per year) is </w:t>
      </w:r>
      <w:r w:rsidRPr="00722443" w:rsidR="008D577A">
        <w:rPr>
          <w:color w:val="000000"/>
        </w:rPr>
        <w:t xml:space="preserve">expected to </w:t>
      </w:r>
      <w:r w:rsidRPr="00722443">
        <w:rPr>
          <w:color w:val="000000"/>
        </w:rPr>
        <w:t>take</w:t>
      </w:r>
      <w:r w:rsidRPr="00722443">
        <w:rPr>
          <w:color w:val="000000"/>
        </w:rPr>
        <w:t xml:space="preserve"> </w:t>
      </w:r>
      <w:r w:rsidRPr="00722443" w:rsidR="006E2BB2">
        <w:rPr>
          <w:color w:val="000000"/>
        </w:rPr>
        <w:t xml:space="preserve">approximately </w:t>
      </w:r>
      <w:r w:rsidRPr="00722443" w:rsidR="00AC70CA">
        <w:rPr>
          <w:color w:val="000000"/>
        </w:rPr>
        <w:t>2</w:t>
      </w:r>
      <w:r w:rsidRPr="00722443" w:rsidR="00C21C29">
        <w:rPr>
          <w:color w:val="000000"/>
        </w:rPr>
        <w:t>4</w:t>
      </w:r>
      <w:r w:rsidRPr="00722443" w:rsidR="00AC70CA">
        <w:rPr>
          <w:color w:val="000000"/>
        </w:rPr>
        <w:t>0</w:t>
      </w:r>
      <w:r w:rsidRPr="00722443" w:rsidR="006E2BB2">
        <w:rPr>
          <w:color w:val="000000"/>
        </w:rPr>
        <w:t xml:space="preserve"> PH per program, </w:t>
      </w:r>
      <w:r w:rsidRPr="00722443" w:rsidR="005D7A6E">
        <w:rPr>
          <w:color w:val="000000"/>
        </w:rPr>
        <w:t>(</w:t>
      </w:r>
      <w:r w:rsidRPr="00722443" w:rsidR="00775C2E">
        <w:rPr>
          <w:color w:val="000000"/>
        </w:rPr>
        <w:t xml:space="preserve">i.e., </w:t>
      </w:r>
      <w:r w:rsidRPr="00722443" w:rsidR="00AC70CA">
        <w:rPr>
          <w:color w:val="000000"/>
        </w:rPr>
        <w:t>1</w:t>
      </w:r>
      <w:r w:rsidRPr="00722443" w:rsidR="00C21C29">
        <w:rPr>
          <w:color w:val="000000"/>
        </w:rPr>
        <w:t>6</w:t>
      </w:r>
      <w:r w:rsidRPr="00722443" w:rsidR="00AC70CA">
        <w:rPr>
          <w:color w:val="000000"/>
        </w:rPr>
        <w:t>0</w:t>
      </w:r>
      <w:r w:rsidRPr="00722443" w:rsidR="006E2BB2">
        <w:rPr>
          <w:color w:val="000000"/>
        </w:rPr>
        <w:t xml:space="preserve"> PH</w:t>
      </w:r>
      <w:r w:rsidRPr="00722443" w:rsidR="008013E8">
        <w:rPr>
          <w:color w:val="000000"/>
        </w:rPr>
        <w:t xml:space="preserve"> </w:t>
      </w:r>
      <w:r w:rsidRPr="00722443" w:rsidR="008013E8">
        <w:t xml:space="preserve">for FAA Regional Office personnel participation </w:t>
      </w:r>
      <w:r w:rsidRPr="00722443" w:rsidR="00A52B87">
        <w:t xml:space="preserve">plus </w:t>
      </w:r>
      <w:r w:rsidRPr="00722443" w:rsidR="00AC70CA">
        <w:t>80</w:t>
      </w:r>
      <w:r w:rsidRPr="00722443" w:rsidR="006E2BB2">
        <w:t xml:space="preserve"> </w:t>
      </w:r>
      <w:r w:rsidRPr="00722443" w:rsidR="008013E8">
        <w:t>PH for Headquarters Office personal participation</w:t>
      </w:r>
      <w:r w:rsidRPr="00722443" w:rsidR="00341814">
        <w:t>, 160</w:t>
      </w:r>
      <w:r w:rsidRPr="00722443" w:rsidR="00664BED">
        <w:t>+</w:t>
      </w:r>
      <w:r w:rsidRPr="00722443" w:rsidR="00341814">
        <w:t>80 =</w:t>
      </w:r>
      <w:r w:rsidRPr="00722443" w:rsidR="00664BED">
        <w:t xml:space="preserve"> </w:t>
      </w:r>
      <w:r w:rsidRPr="00722443" w:rsidR="00341814">
        <w:t>240</w:t>
      </w:r>
      <w:r w:rsidRPr="00722443" w:rsidR="005D7A6E">
        <w:t>)</w:t>
      </w:r>
      <w:r w:rsidRPr="00722443" w:rsidR="008013E8">
        <w:t xml:space="preserve">, </w:t>
      </w:r>
      <w:r w:rsidRPr="00722443" w:rsidR="00C21C29">
        <w:t xml:space="preserve">plus </w:t>
      </w:r>
      <w:r w:rsidRPr="00722443" w:rsidR="008013E8">
        <w:t xml:space="preserve">a contingency of </w:t>
      </w:r>
      <w:r w:rsidRPr="00722443" w:rsidR="00341814">
        <w:t xml:space="preserve">another </w:t>
      </w:r>
      <w:r w:rsidRPr="00722443" w:rsidR="008013E8">
        <w:t>1</w:t>
      </w:r>
      <w:r w:rsidRPr="00722443" w:rsidR="006E2BB2">
        <w:t>00</w:t>
      </w:r>
      <w:r w:rsidRPr="00722443" w:rsidR="008013E8">
        <w:t xml:space="preserve"> PH for potentially unforeseen issues that may </w:t>
      </w:r>
      <w:r w:rsidRPr="00722443" w:rsidR="00C21C29">
        <w:t>take additional time to review or coordinate</w:t>
      </w:r>
      <w:r w:rsidRPr="00722443" w:rsidR="008013E8">
        <w:t xml:space="preserve">. Thus, the total estimated FAA PH is </w:t>
      </w:r>
      <w:r w:rsidRPr="00722443" w:rsidR="00907B8C">
        <w:t>2,500</w:t>
      </w:r>
      <w:r w:rsidRPr="00722443" w:rsidR="00AC70CA">
        <w:t xml:space="preserve"> </w:t>
      </w:r>
      <w:r w:rsidRPr="00722443" w:rsidR="00664BED">
        <w:t>(</w:t>
      </w:r>
      <w:r w:rsidRPr="00722443" w:rsidR="00775C2E">
        <w:t xml:space="preserve">i.e., </w:t>
      </w:r>
      <w:r w:rsidRPr="00722443" w:rsidR="00A52B87">
        <w:t>240 PH</w:t>
      </w:r>
      <w:r w:rsidRPr="00722443" w:rsidR="00664BED">
        <w:t xml:space="preserve"> </w:t>
      </w:r>
      <w:r w:rsidRPr="00722443" w:rsidR="003F5C49">
        <w:t>*1</w:t>
      </w:r>
      <w:r w:rsidRPr="00722443" w:rsidR="00A52B87">
        <w:t>0 programs</w:t>
      </w:r>
      <w:r w:rsidRPr="00722443" w:rsidR="00907B8C">
        <w:t>/year + 100 PH contingency</w:t>
      </w:r>
      <w:r w:rsidRPr="00722443" w:rsidR="00664BED">
        <w:t xml:space="preserve">) </w:t>
      </w:r>
      <w:r w:rsidRPr="00722443" w:rsidR="008013E8">
        <w:t>and the total estimated cost is $</w:t>
      </w:r>
      <w:r w:rsidR="00A80CE0">
        <w:t>142,475</w:t>
      </w:r>
      <w:r w:rsidRPr="00722443" w:rsidR="00C21C29">
        <w:t xml:space="preserve"> </w:t>
      </w:r>
      <w:r w:rsidRPr="00722443" w:rsidR="00907B8C">
        <w:t>(</w:t>
      </w:r>
      <w:r w:rsidRPr="00722443" w:rsidR="00775C2E">
        <w:t xml:space="preserve">i.e., </w:t>
      </w:r>
      <w:r w:rsidR="00A23B2C">
        <w:t>2,5</w:t>
      </w:r>
      <w:r w:rsidRPr="00722443" w:rsidR="00907B8C">
        <w:t>00 PH*</w:t>
      </w:r>
      <w:r w:rsidR="00A80CE0">
        <w:t>56.99</w:t>
      </w:r>
      <w:r w:rsidRPr="00722443" w:rsidR="00664BED">
        <w:t xml:space="preserve">) </w:t>
      </w:r>
      <w:r w:rsidRPr="00722443" w:rsidR="008013E8">
        <w:t xml:space="preserve">for simple, non-controversial </w:t>
      </w:r>
      <w:r w:rsidRPr="00722443" w:rsidR="00907B8C">
        <w:t xml:space="preserve">NCPs </w:t>
      </w:r>
      <w:r w:rsidRPr="00722443" w:rsidR="00C21C29">
        <w:t>each year.</w:t>
      </w:r>
    </w:p>
    <w:p w:rsidR="00D90668" w:rsidRPr="00722443" w:rsidP="00DD050C" w14:paraId="538295D7" w14:textId="77777777">
      <w:pPr>
        <w:shd w:val="clear" w:color="auto" w:fill="FFFFFF" w:themeFill="background1"/>
        <w:spacing w:before="120" w:after="120"/>
        <w:ind w:firstLine="72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60"/>
        <w:gridCol w:w="1620"/>
        <w:gridCol w:w="1800"/>
      </w:tblGrid>
      <w:tr w14:paraId="0287D977" w14:textId="77777777" w:rsidTr="00B27F54">
        <w:tblPrEx>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5"/>
          <w:jc w:val="center"/>
        </w:trPr>
        <w:tc>
          <w:tcPr>
            <w:tcW w:w="8280" w:type="dxa"/>
            <w:gridSpan w:val="3"/>
            <w:noWrap/>
            <w:tcMar>
              <w:top w:w="0" w:type="dxa"/>
              <w:left w:w="108" w:type="dxa"/>
              <w:bottom w:w="0" w:type="dxa"/>
              <w:right w:w="108" w:type="dxa"/>
            </w:tcMar>
            <w:vAlign w:val="center"/>
          </w:tcPr>
          <w:p w:rsidR="00A52B87" w:rsidRPr="00722443" w:rsidP="00B27F54" w14:paraId="698731A1" w14:textId="07231192">
            <w:pPr>
              <w:shd w:val="clear" w:color="auto" w:fill="FFFFFF" w:themeFill="background1"/>
              <w:jc w:val="center"/>
              <w:rPr>
                <w:b/>
                <w:color w:val="000000"/>
              </w:rPr>
            </w:pPr>
            <w:r w:rsidRPr="00722443">
              <w:rPr>
                <w:b/>
                <w:color w:val="000000"/>
              </w:rPr>
              <w:t xml:space="preserve">Federal Government Total </w:t>
            </w:r>
            <w:r w:rsidRPr="00722443">
              <w:rPr>
                <w:b/>
                <w:color w:val="000000"/>
              </w:rPr>
              <w:t>Burden Summary</w:t>
            </w:r>
          </w:p>
        </w:tc>
      </w:tr>
      <w:tr w14:paraId="0E5EE5E0" w14:textId="77777777" w:rsidTr="00B27F54">
        <w:tblPrEx>
          <w:tblW w:w="8280" w:type="dxa"/>
          <w:jc w:val="center"/>
          <w:tblCellMar>
            <w:left w:w="0" w:type="dxa"/>
            <w:right w:w="0" w:type="dxa"/>
          </w:tblCellMar>
          <w:tblLook w:val="04A0"/>
        </w:tblPrEx>
        <w:trPr>
          <w:trHeight w:val="305"/>
          <w:jc w:val="center"/>
        </w:trPr>
        <w:tc>
          <w:tcPr>
            <w:tcW w:w="4860" w:type="dxa"/>
            <w:noWrap/>
            <w:tcMar>
              <w:top w:w="0" w:type="dxa"/>
              <w:left w:w="108" w:type="dxa"/>
              <w:bottom w:w="0" w:type="dxa"/>
              <w:right w:w="108" w:type="dxa"/>
            </w:tcMar>
            <w:vAlign w:val="center"/>
            <w:hideMark/>
          </w:tcPr>
          <w:p w:rsidR="00A52B87" w:rsidRPr="00722443" w:rsidP="00B27F54" w14:paraId="30AE53E4" w14:textId="00380C52">
            <w:pPr>
              <w:shd w:val="clear" w:color="auto" w:fill="FFFFFF" w:themeFill="background1"/>
              <w:jc w:val="center"/>
              <w:rPr>
                <w:b/>
              </w:rPr>
            </w:pPr>
            <w:r>
              <w:rPr>
                <w:b/>
              </w:rPr>
              <w:t xml:space="preserve">NCP IC </w:t>
            </w:r>
            <w:r w:rsidRPr="00722443" w:rsidR="004B46A9">
              <w:rPr>
                <w:b/>
              </w:rPr>
              <w:t>Category</w:t>
            </w:r>
          </w:p>
        </w:tc>
        <w:tc>
          <w:tcPr>
            <w:tcW w:w="1620" w:type="dxa"/>
            <w:noWrap/>
            <w:tcMar>
              <w:top w:w="0" w:type="dxa"/>
              <w:left w:w="108" w:type="dxa"/>
              <w:bottom w:w="0" w:type="dxa"/>
              <w:right w:w="108" w:type="dxa"/>
            </w:tcMar>
            <w:vAlign w:val="center"/>
            <w:hideMark/>
          </w:tcPr>
          <w:p w:rsidR="00A52B87" w:rsidRPr="00722443" w:rsidP="00B27F54" w14:paraId="2AD52B5F" w14:textId="1BC1517E">
            <w:pPr>
              <w:shd w:val="clear" w:color="auto" w:fill="FFFFFF" w:themeFill="background1"/>
              <w:jc w:val="center"/>
              <w:rPr>
                <w:b/>
              </w:rPr>
            </w:pPr>
            <w:r w:rsidRPr="00722443">
              <w:rPr>
                <w:b/>
              </w:rPr>
              <w:t>Burden Hours</w:t>
            </w:r>
          </w:p>
        </w:tc>
        <w:tc>
          <w:tcPr>
            <w:tcW w:w="1800" w:type="dxa"/>
            <w:noWrap/>
            <w:tcMar>
              <w:top w:w="0" w:type="dxa"/>
              <w:left w:w="108" w:type="dxa"/>
              <w:bottom w:w="0" w:type="dxa"/>
              <w:right w:w="108" w:type="dxa"/>
            </w:tcMar>
            <w:vAlign w:val="center"/>
            <w:hideMark/>
          </w:tcPr>
          <w:p w:rsidR="00A52B87" w:rsidRPr="00722443" w:rsidP="00B27F54" w14:paraId="4EEDA850" w14:textId="04A126BB">
            <w:pPr>
              <w:shd w:val="clear" w:color="auto" w:fill="FFFFFF" w:themeFill="background1"/>
              <w:jc w:val="center"/>
              <w:rPr>
                <w:b/>
              </w:rPr>
            </w:pPr>
            <w:r>
              <w:rPr>
                <w:b/>
              </w:rPr>
              <w:t xml:space="preserve">Annualized </w:t>
            </w:r>
            <w:r w:rsidRPr="00722443" w:rsidR="004B46A9">
              <w:rPr>
                <w:b/>
              </w:rPr>
              <w:t>Cost</w:t>
            </w:r>
          </w:p>
        </w:tc>
      </w:tr>
      <w:tr w14:paraId="6845779A" w14:textId="77777777" w:rsidTr="00B27F54">
        <w:tblPrEx>
          <w:tblW w:w="8280" w:type="dxa"/>
          <w:jc w:val="center"/>
          <w:tblCellMar>
            <w:left w:w="0" w:type="dxa"/>
            <w:right w:w="0" w:type="dxa"/>
          </w:tblCellMar>
          <w:tblLook w:val="04A0"/>
        </w:tblPrEx>
        <w:trPr>
          <w:trHeight w:val="251"/>
          <w:jc w:val="center"/>
        </w:trPr>
        <w:tc>
          <w:tcPr>
            <w:tcW w:w="4860" w:type="dxa"/>
            <w:noWrap/>
            <w:tcMar>
              <w:top w:w="0" w:type="dxa"/>
              <w:left w:w="108" w:type="dxa"/>
              <w:bottom w:w="0" w:type="dxa"/>
              <w:right w:w="108" w:type="dxa"/>
            </w:tcMar>
            <w:vAlign w:val="center"/>
          </w:tcPr>
          <w:p w:rsidR="00A52B87" w:rsidRPr="00722443" w:rsidP="00B27F54" w14:paraId="69A5698F" w14:textId="77777777">
            <w:pPr>
              <w:shd w:val="clear" w:color="auto" w:fill="FFFFFF" w:themeFill="background1"/>
            </w:pPr>
            <w:r w:rsidRPr="00722443">
              <w:t>Highly Controversial NCP</w:t>
            </w:r>
          </w:p>
        </w:tc>
        <w:tc>
          <w:tcPr>
            <w:tcW w:w="1620" w:type="dxa"/>
            <w:noWrap/>
            <w:tcMar>
              <w:top w:w="0" w:type="dxa"/>
              <w:left w:w="108" w:type="dxa"/>
              <w:bottom w:w="0" w:type="dxa"/>
              <w:right w:w="108" w:type="dxa"/>
            </w:tcMar>
            <w:vAlign w:val="center"/>
          </w:tcPr>
          <w:p w:rsidR="00A52B87" w:rsidRPr="00722443" w:rsidP="00B27F54" w14:paraId="09CF9315" w14:textId="5460A1FA">
            <w:pPr>
              <w:shd w:val="clear" w:color="auto" w:fill="FFFFFF" w:themeFill="background1"/>
            </w:pPr>
            <w:r w:rsidRPr="00722443">
              <w:t>1700</w:t>
            </w:r>
          </w:p>
        </w:tc>
        <w:tc>
          <w:tcPr>
            <w:tcW w:w="1800" w:type="dxa"/>
            <w:noWrap/>
            <w:tcMar>
              <w:top w:w="0" w:type="dxa"/>
              <w:left w:w="108" w:type="dxa"/>
              <w:bottom w:w="0" w:type="dxa"/>
              <w:right w:w="108" w:type="dxa"/>
            </w:tcMar>
            <w:vAlign w:val="center"/>
          </w:tcPr>
          <w:p w:rsidR="00A52B87" w:rsidRPr="00722443" w:rsidP="00B27F54" w14:paraId="7B4A30F7" w14:textId="4C046ACB">
            <w:pPr>
              <w:shd w:val="clear" w:color="auto" w:fill="FFFFFF" w:themeFill="background1"/>
            </w:pPr>
            <w:r w:rsidRPr="00722443">
              <w:t>$</w:t>
            </w:r>
            <w:r w:rsidR="00D90668">
              <w:t>96,833</w:t>
            </w:r>
          </w:p>
        </w:tc>
      </w:tr>
      <w:tr w14:paraId="54D656E6" w14:textId="77777777" w:rsidTr="00B27F54">
        <w:tblPrEx>
          <w:tblW w:w="8280" w:type="dxa"/>
          <w:jc w:val="center"/>
          <w:tblCellMar>
            <w:left w:w="0" w:type="dxa"/>
            <w:right w:w="0" w:type="dxa"/>
          </w:tblCellMar>
          <w:tblLook w:val="04A0"/>
        </w:tblPrEx>
        <w:trPr>
          <w:trHeight w:val="260"/>
          <w:jc w:val="center"/>
        </w:trPr>
        <w:tc>
          <w:tcPr>
            <w:tcW w:w="4860" w:type="dxa"/>
            <w:noWrap/>
            <w:tcMar>
              <w:top w:w="0" w:type="dxa"/>
              <w:left w:w="108" w:type="dxa"/>
              <w:bottom w:w="0" w:type="dxa"/>
              <w:right w:w="108" w:type="dxa"/>
            </w:tcMar>
            <w:vAlign w:val="center"/>
          </w:tcPr>
          <w:p w:rsidR="00A52B87" w:rsidRPr="00722443" w:rsidP="00B27F54" w14:paraId="4C0A4329" w14:textId="77777777">
            <w:pPr>
              <w:shd w:val="clear" w:color="auto" w:fill="FFFFFF" w:themeFill="background1"/>
            </w:pPr>
            <w:r w:rsidRPr="00722443">
              <w:rPr>
                <w:color w:val="000000"/>
              </w:rPr>
              <w:t>Non-controversial But Complex</w:t>
            </w:r>
            <w:r w:rsidRPr="00722443">
              <w:t xml:space="preserve"> NCP</w:t>
            </w:r>
          </w:p>
        </w:tc>
        <w:tc>
          <w:tcPr>
            <w:tcW w:w="1620" w:type="dxa"/>
            <w:noWrap/>
            <w:tcMar>
              <w:top w:w="0" w:type="dxa"/>
              <w:left w:w="108" w:type="dxa"/>
              <w:bottom w:w="0" w:type="dxa"/>
              <w:right w:w="108" w:type="dxa"/>
            </w:tcMar>
            <w:vAlign w:val="center"/>
          </w:tcPr>
          <w:p w:rsidR="00A52B87" w:rsidRPr="00722443" w:rsidP="00B27F54" w14:paraId="40BF4B2B" w14:textId="66688FC7">
            <w:pPr>
              <w:shd w:val="clear" w:color="auto" w:fill="FFFFFF" w:themeFill="background1"/>
            </w:pPr>
            <w:r w:rsidRPr="00722443">
              <w:t>13</w:t>
            </w:r>
            <w:r w:rsidRPr="00722443" w:rsidR="004B46A9">
              <w:t>00</w:t>
            </w:r>
          </w:p>
        </w:tc>
        <w:tc>
          <w:tcPr>
            <w:tcW w:w="1800" w:type="dxa"/>
            <w:noWrap/>
            <w:tcMar>
              <w:top w:w="0" w:type="dxa"/>
              <w:left w:w="108" w:type="dxa"/>
              <w:bottom w:w="0" w:type="dxa"/>
              <w:right w:w="108" w:type="dxa"/>
            </w:tcMar>
            <w:vAlign w:val="center"/>
          </w:tcPr>
          <w:p w:rsidR="00A52B87" w:rsidRPr="00722443" w:rsidP="00B27F54" w14:paraId="05B39135" w14:textId="6D73CC36">
            <w:pPr>
              <w:shd w:val="clear" w:color="auto" w:fill="FFFFFF" w:themeFill="background1"/>
            </w:pPr>
            <w:r w:rsidRPr="00722443">
              <w:t>$</w:t>
            </w:r>
            <w:r w:rsidR="00D90668">
              <w:t>74,087</w:t>
            </w:r>
          </w:p>
        </w:tc>
      </w:tr>
      <w:tr w14:paraId="046951D5" w14:textId="77777777" w:rsidTr="00B27F54">
        <w:tblPrEx>
          <w:tblW w:w="8280" w:type="dxa"/>
          <w:jc w:val="center"/>
          <w:tblCellMar>
            <w:left w:w="0" w:type="dxa"/>
            <w:right w:w="0" w:type="dxa"/>
          </w:tblCellMar>
          <w:tblLook w:val="04A0"/>
        </w:tblPrEx>
        <w:trPr>
          <w:trHeight w:val="330"/>
          <w:jc w:val="center"/>
        </w:trPr>
        <w:tc>
          <w:tcPr>
            <w:tcW w:w="4860" w:type="dxa"/>
            <w:noWrap/>
            <w:tcMar>
              <w:top w:w="0" w:type="dxa"/>
              <w:left w:w="108" w:type="dxa"/>
              <w:bottom w:w="0" w:type="dxa"/>
              <w:right w:w="108" w:type="dxa"/>
            </w:tcMar>
            <w:vAlign w:val="center"/>
          </w:tcPr>
          <w:p w:rsidR="00A52B87" w:rsidRPr="00722443" w:rsidP="00B27F54" w14:paraId="3DD09BAF" w14:textId="77777777">
            <w:pPr>
              <w:shd w:val="clear" w:color="auto" w:fill="FFFFFF" w:themeFill="background1"/>
            </w:pPr>
            <w:r w:rsidRPr="00722443">
              <w:rPr>
                <w:color w:val="000000"/>
              </w:rPr>
              <w:t>Simple, Non-controversial NCP</w:t>
            </w:r>
          </w:p>
        </w:tc>
        <w:tc>
          <w:tcPr>
            <w:tcW w:w="1620" w:type="dxa"/>
            <w:noWrap/>
            <w:tcMar>
              <w:top w:w="0" w:type="dxa"/>
              <w:left w:w="108" w:type="dxa"/>
              <w:bottom w:w="0" w:type="dxa"/>
              <w:right w:w="108" w:type="dxa"/>
            </w:tcMar>
            <w:vAlign w:val="center"/>
          </w:tcPr>
          <w:p w:rsidR="00A52B87" w:rsidRPr="00722443" w:rsidP="00B27F54" w14:paraId="06F15228" w14:textId="2DA4BAB1">
            <w:pPr>
              <w:shd w:val="clear" w:color="auto" w:fill="FFFFFF" w:themeFill="background1"/>
            </w:pPr>
            <w:r w:rsidRPr="00722443">
              <w:t>2500</w:t>
            </w:r>
          </w:p>
        </w:tc>
        <w:tc>
          <w:tcPr>
            <w:tcW w:w="1800" w:type="dxa"/>
            <w:noWrap/>
            <w:tcMar>
              <w:top w:w="0" w:type="dxa"/>
              <w:left w:w="108" w:type="dxa"/>
              <w:bottom w:w="0" w:type="dxa"/>
              <w:right w:w="108" w:type="dxa"/>
            </w:tcMar>
            <w:vAlign w:val="center"/>
          </w:tcPr>
          <w:p w:rsidR="00A52B87" w:rsidRPr="00722443" w:rsidP="00B27F54" w14:paraId="72E98A3E" w14:textId="3F25D00B">
            <w:pPr>
              <w:shd w:val="clear" w:color="auto" w:fill="FFFFFF" w:themeFill="background1"/>
            </w:pPr>
            <w:r w:rsidRPr="00722443">
              <w:t>$1</w:t>
            </w:r>
            <w:r w:rsidR="00D90668">
              <w:t>42,475</w:t>
            </w:r>
          </w:p>
        </w:tc>
      </w:tr>
      <w:tr w14:paraId="3DD6E315" w14:textId="77777777" w:rsidTr="00B27F54">
        <w:tblPrEx>
          <w:tblW w:w="8280" w:type="dxa"/>
          <w:jc w:val="center"/>
          <w:tblCellMar>
            <w:left w:w="0" w:type="dxa"/>
            <w:right w:w="0" w:type="dxa"/>
          </w:tblCellMar>
          <w:tblLook w:val="04A0"/>
        </w:tblPrEx>
        <w:trPr>
          <w:trHeight w:val="330"/>
          <w:jc w:val="center"/>
        </w:trPr>
        <w:tc>
          <w:tcPr>
            <w:tcW w:w="4860" w:type="dxa"/>
            <w:noWrap/>
            <w:tcMar>
              <w:top w:w="0" w:type="dxa"/>
              <w:left w:w="108" w:type="dxa"/>
              <w:bottom w:w="0" w:type="dxa"/>
              <w:right w:w="108" w:type="dxa"/>
            </w:tcMar>
            <w:vAlign w:val="center"/>
            <w:hideMark/>
          </w:tcPr>
          <w:p w:rsidR="00A52B87" w:rsidRPr="00722443" w:rsidP="00B27F54" w14:paraId="5774FBAB" w14:textId="24DC7DF3">
            <w:pPr>
              <w:shd w:val="clear" w:color="auto" w:fill="FFFFFF" w:themeFill="background1"/>
              <w:jc w:val="right"/>
              <w:rPr>
                <w:b/>
              </w:rPr>
            </w:pPr>
            <w:r w:rsidRPr="00722443">
              <w:rPr>
                <w:b/>
              </w:rPr>
              <w:t>Totals</w:t>
            </w:r>
          </w:p>
        </w:tc>
        <w:tc>
          <w:tcPr>
            <w:tcW w:w="1620" w:type="dxa"/>
            <w:noWrap/>
            <w:tcMar>
              <w:top w:w="0" w:type="dxa"/>
              <w:left w:w="108" w:type="dxa"/>
              <w:bottom w:w="0" w:type="dxa"/>
              <w:right w:w="108" w:type="dxa"/>
            </w:tcMar>
            <w:vAlign w:val="center"/>
          </w:tcPr>
          <w:p w:rsidR="00A52B87" w:rsidRPr="00722443" w:rsidP="00B27F54" w14:paraId="3DE7BE2A" w14:textId="62EC3456">
            <w:pPr>
              <w:shd w:val="clear" w:color="auto" w:fill="FFFFFF" w:themeFill="background1"/>
              <w:jc w:val="center"/>
              <w:rPr>
                <w:b/>
              </w:rPr>
            </w:pPr>
            <w:r w:rsidRPr="00722443">
              <w:rPr>
                <w:b/>
              </w:rPr>
              <w:t>$</w:t>
            </w:r>
            <w:r w:rsidRPr="00722443" w:rsidR="00907B8C">
              <w:rPr>
                <w:b/>
              </w:rPr>
              <w:t>5</w:t>
            </w:r>
            <w:r w:rsidRPr="00722443" w:rsidR="004B46A9">
              <w:rPr>
                <w:b/>
              </w:rPr>
              <w:t>,</w:t>
            </w:r>
            <w:r w:rsidRPr="00722443" w:rsidR="00907B8C">
              <w:rPr>
                <w:b/>
              </w:rPr>
              <w:t>5</w:t>
            </w:r>
            <w:r w:rsidRPr="00722443" w:rsidR="004B46A9">
              <w:rPr>
                <w:b/>
              </w:rPr>
              <w:t>00</w:t>
            </w:r>
          </w:p>
        </w:tc>
        <w:tc>
          <w:tcPr>
            <w:tcW w:w="1800" w:type="dxa"/>
            <w:noWrap/>
            <w:tcMar>
              <w:top w:w="0" w:type="dxa"/>
              <w:left w:w="108" w:type="dxa"/>
              <w:bottom w:w="0" w:type="dxa"/>
              <w:right w:w="108" w:type="dxa"/>
            </w:tcMar>
            <w:vAlign w:val="center"/>
          </w:tcPr>
          <w:p w:rsidR="00A52B87" w:rsidRPr="00722443" w:rsidP="00B27F54" w14:paraId="7E773270" w14:textId="132EFC94">
            <w:pPr>
              <w:shd w:val="clear" w:color="auto" w:fill="FFFFFF" w:themeFill="background1"/>
              <w:jc w:val="center"/>
              <w:rPr>
                <w:b/>
              </w:rPr>
            </w:pPr>
            <w:r w:rsidRPr="00722443">
              <w:rPr>
                <w:b/>
              </w:rPr>
              <w:t>$</w:t>
            </w:r>
            <w:r w:rsidR="00D90668">
              <w:rPr>
                <w:b/>
              </w:rPr>
              <w:t>313,445</w:t>
            </w:r>
          </w:p>
        </w:tc>
      </w:tr>
    </w:tbl>
    <w:p w:rsidR="004D0917" w:rsidRPr="00722443" w:rsidP="00DD050C" w14:paraId="5E30EEB6" w14:textId="5F137872">
      <w:pPr>
        <w:keepNext/>
        <w:shd w:val="clear" w:color="auto" w:fill="FFFFFF" w:themeFill="background1"/>
        <w:spacing w:before="120" w:after="120"/>
        <w:ind w:left="540" w:hanging="540"/>
      </w:pPr>
      <w:r w:rsidRPr="00722443">
        <w:t>15.</w:t>
      </w:r>
      <w:r w:rsidRPr="00722443">
        <w:tab/>
      </w:r>
      <w:r w:rsidRPr="00722443">
        <w:rPr>
          <w:b/>
        </w:rPr>
        <w:t>Explain the reasons for any program changes or adjustments reported in Items 13 or 14</w:t>
      </w:r>
      <w:r w:rsidRPr="00722443">
        <w:t>.</w:t>
      </w:r>
    </w:p>
    <w:p w:rsidR="00FC6F07" w:rsidRPr="00722443" w:rsidP="00DD050C" w14:paraId="605B6E95" w14:textId="65B321D2">
      <w:pPr>
        <w:shd w:val="clear" w:color="auto" w:fill="FFFFFF" w:themeFill="background1"/>
        <w:tabs>
          <w:tab w:val="left" w:pos="8280"/>
        </w:tabs>
        <w:spacing w:before="120" w:after="120"/>
        <w:ind w:firstLine="720"/>
      </w:pPr>
      <w:r>
        <w:t>T</w:t>
      </w:r>
      <w:r w:rsidRPr="00722443" w:rsidR="00A45DCA">
        <w:t xml:space="preserve">here were </w:t>
      </w:r>
      <w:r w:rsidRPr="00722443" w:rsidR="0063254F">
        <w:t>adjustment</w:t>
      </w:r>
      <w:r w:rsidRPr="00722443" w:rsidR="007864D0">
        <w:t>s</w:t>
      </w:r>
      <w:r w:rsidRPr="00722443" w:rsidR="0063254F">
        <w:t xml:space="preserve"> </w:t>
      </w:r>
      <w:r>
        <w:t xml:space="preserve">made </w:t>
      </w:r>
      <w:r w:rsidRPr="00722443" w:rsidR="00A45DCA">
        <w:t xml:space="preserve">to </w:t>
      </w:r>
      <w:r w:rsidRPr="00722443" w:rsidR="00542F77">
        <w:t>the annualized costs</w:t>
      </w:r>
      <w:r w:rsidRPr="00722443" w:rsidR="005A4495">
        <w:t xml:space="preserve"> </w:t>
      </w:r>
      <w:r w:rsidRPr="00722443" w:rsidR="00F25801">
        <w:t>to respondents</w:t>
      </w:r>
      <w:r w:rsidRPr="00722443" w:rsidR="00B9008D">
        <w:t xml:space="preserve"> </w:t>
      </w:r>
      <w:r w:rsidRPr="00722443" w:rsidR="0063254F">
        <w:t xml:space="preserve">reported in </w:t>
      </w:r>
      <w:r>
        <w:t>I</w:t>
      </w:r>
      <w:r w:rsidRPr="00722443" w:rsidR="00B9008D">
        <w:t xml:space="preserve">tem 14 </w:t>
      </w:r>
      <w:r w:rsidRPr="00722443" w:rsidR="00542F77">
        <w:t xml:space="preserve">to account for </w:t>
      </w:r>
      <w:r w:rsidRPr="00722443" w:rsidR="009F6333">
        <w:t>FY202</w:t>
      </w:r>
      <w:r w:rsidR="00D90668">
        <w:t>4</w:t>
      </w:r>
      <w:r w:rsidRPr="00722443" w:rsidR="009F6333">
        <w:t xml:space="preserve"> dollars</w:t>
      </w:r>
      <w:r>
        <w:t>. These changes were made based on agency discretion</w:t>
      </w:r>
      <w:r w:rsidRPr="00722443" w:rsidR="009F6333">
        <w:t xml:space="preserve"> and new Department of Transportation Paperwork Reduction Act </w:t>
      </w:r>
      <w:r w:rsidRPr="00722443" w:rsidR="00B267CE">
        <w:t>g</w:t>
      </w:r>
      <w:r w:rsidRPr="00722443" w:rsidR="00542F77">
        <w:t xml:space="preserve">uidance </w:t>
      </w:r>
      <w:r w:rsidRPr="00722443" w:rsidR="00B267CE">
        <w:t xml:space="preserve">and </w:t>
      </w:r>
      <w:r w:rsidR="00092C70">
        <w:t xml:space="preserve">corresponding </w:t>
      </w:r>
      <w:r w:rsidRPr="00722443" w:rsidR="009F6333">
        <w:t xml:space="preserve">supporting statement </w:t>
      </w:r>
      <w:r w:rsidRPr="00722443" w:rsidR="00B267CE">
        <w:t>template</w:t>
      </w:r>
      <w:r w:rsidRPr="00722443" w:rsidR="009F6333">
        <w:t xml:space="preserve"> that </w:t>
      </w:r>
      <w:r w:rsidRPr="00722443" w:rsidR="00945AC0">
        <w:t xml:space="preserve">were </w:t>
      </w:r>
      <w:r w:rsidRPr="00722443" w:rsidR="00B267CE">
        <w:t>issued after the previous collection was approved</w:t>
      </w:r>
      <w:r w:rsidRPr="00722443" w:rsidR="00542F77">
        <w:t>.</w:t>
      </w:r>
      <w:r w:rsidR="00D93467">
        <w:t xml:space="preserve"> </w:t>
      </w:r>
      <w:r w:rsidRPr="00722443">
        <w:t xml:space="preserve">There have been no changes to </w:t>
      </w:r>
      <w:r>
        <w:t xml:space="preserve">the noise compatibility </w:t>
      </w:r>
      <w:r w:rsidRPr="00722443">
        <w:t xml:space="preserve">program </w:t>
      </w:r>
      <w:r>
        <w:t xml:space="preserve">statutory and regulatory </w:t>
      </w:r>
      <w:r w:rsidRPr="00722443">
        <w:t>requirements outlined in item</w:t>
      </w:r>
      <w:r>
        <w:t>s 1 and</w:t>
      </w:r>
      <w:r w:rsidRPr="00722443">
        <w:t xml:space="preserve"> 2 of this </w:t>
      </w:r>
      <w:r w:rsidRPr="00722443" w:rsidR="00D93467">
        <w:t>document</w:t>
      </w:r>
      <w:r w:rsidR="00D93467">
        <w:t xml:space="preserve"> </w:t>
      </w:r>
      <w:r w:rsidRPr="00722443">
        <w:t>and no additional forms or applications added since the previous collection.</w:t>
      </w:r>
    </w:p>
    <w:p w:rsidR="004D0917" w:rsidRPr="00722443" w:rsidP="00DD050C" w14:paraId="33E50E2E" w14:textId="77777777">
      <w:pPr>
        <w:keepNext/>
        <w:shd w:val="clear" w:color="auto" w:fill="FFFFFF" w:themeFill="background1"/>
        <w:spacing w:before="120" w:after="120"/>
      </w:pPr>
      <w:r w:rsidRPr="00722443">
        <w:t>16.</w:t>
      </w:r>
      <w:r w:rsidRPr="00722443">
        <w:tab/>
      </w:r>
      <w:r w:rsidRPr="00722443">
        <w:rPr>
          <w:b/>
        </w:rPr>
        <w:t>For collection of information whose results will be published, outline plans for tabulation, and publication.</w:t>
      </w:r>
    </w:p>
    <w:p w:rsidR="00846D5A" w:rsidRPr="00722443" w:rsidP="00DD050C" w14:paraId="295FD18A" w14:textId="426D0D23">
      <w:pPr>
        <w:shd w:val="clear" w:color="auto" w:fill="FFFFFF" w:themeFill="background1"/>
        <w:spacing w:before="120" w:after="120"/>
        <w:ind w:firstLine="720"/>
        <w:rPr>
          <w:color w:val="000000"/>
        </w:rPr>
      </w:pPr>
      <w:r w:rsidRPr="00722443">
        <w:t xml:space="preserve">FAA posts information on </w:t>
      </w:r>
      <w:r w:rsidRPr="00722443" w:rsidR="00BC78AF">
        <w:t xml:space="preserve">the status of </w:t>
      </w:r>
      <w:r w:rsidRPr="00722443" w:rsidR="00D258EE">
        <w:t xml:space="preserve">noise compatibility </w:t>
      </w:r>
      <w:r w:rsidRPr="00722443">
        <w:t>programs, approval dates</w:t>
      </w:r>
      <w:r w:rsidR="00A80CE0">
        <w:t xml:space="preserve">. </w:t>
      </w:r>
      <w:r w:rsidRPr="00722443">
        <w:t xml:space="preserve">Individual airports’ Records of Approval, developed by the FAA as part of its routine decision making process </w:t>
      </w:r>
      <w:r w:rsidRPr="00722443" w:rsidR="00D258EE">
        <w:t xml:space="preserve">for noise compatibility </w:t>
      </w:r>
      <w:r w:rsidRPr="00722443">
        <w:t xml:space="preserve">programs, are posted in text form on the Internet </w:t>
      </w:r>
      <w:r w:rsidRPr="00722443" w:rsidR="00D258EE">
        <w:t xml:space="preserve">at </w:t>
      </w:r>
      <w:hyperlink r:id="rId7" w:history="1">
        <w:r w:rsidRPr="00722443" w:rsidR="00BC78AF">
          <w:rPr>
            <w:rStyle w:val="Hyperlink"/>
          </w:rPr>
          <w:t>https://www.faa.gov/airports/environmental/airport_noise/part_150/states/</w:t>
        </w:r>
      </w:hyperlink>
      <w:r w:rsidRPr="00722443" w:rsidR="00D258EE">
        <w:rPr>
          <w:color w:val="000000"/>
        </w:rPr>
        <w:t>.</w:t>
      </w:r>
    </w:p>
    <w:p w:rsidR="004D0917" w:rsidRPr="00722443" w:rsidP="00DD050C" w14:paraId="13DF0096" w14:textId="77777777">
      <w:pPr>
        <w:keepNext/>
        <w:shd w:val="clear" w:color="auto" w:fill="FFFFFF" w:themeFill="background1"/>
        <w:spacing w:before="120" w:after="120"/>
      </w:pPr>
      <w:r w:rsidRPr="00722443">
        <w:t>17.</w:t>
      </w:r>
      <w:r w:rsidRPr="00722443">
        <w:tab/>
      </w:r>
      <w:r w:rsidRPr="00722443">
        <w:rPr>
          <w:b/>
        </w:rPr>
        <w:t>If seeking approval to not display the expiration date for OMB approval of the information collection, explain the reasons that display would be inappropriate.</w:t>
      </w:r>
    </w:p>
    <w:p w:rsidR="004D0917" w:rsidRPr="00722443" w:rsidP="00DD050C" w14:paraId="6FDD70CF" w14:textId="67B1FE26">
      <w:pPr>
        <w:shd w:val="clear" w:color="auto" w:fill="FFFFFF" w:themeFill="background1"/>
        <w:spacing w:before="120" w:after="120"/>
        <w:ind w:firstLine="720"/>
      </w:pPr>
      <w:r w:rsidRPr="00722443">
        <w:t>We are not seeking this type of approval.</w:t>
      </w:r>
    </w:p>
    <w:p w:rsidR="004D0917" w:rsidRPr="00722443" w:rsidP="00DD050C" w14:paraId="641CF9E3" w14:textId="0348A680">
      <w:pPr>
        <w:keepNext/>
        <w:shd w:val="clear" w:color="auto" w:fill="FFFFFF" w:themeFill="background1"/>
        <w:spacing w:before="120" w:after="120"/>
      </w:pPr>
      <w:r w:rsidRPr="00722443">
        <w:t>18.</w:t>
      </w:r>
      <w:r w:rsidRPr="00722443">
        <w:tab/>
      </w:r>
      <w:r w:rsidRPr="00722443">
        <w:rPr>
          <w:b/>
        </w:rPr>
        <w:t>Explain each exception to the certification statement identified in Item 19, “Certification for Paperwork Reduction Act Submissions”.</w:t>
      </w:r>
    </w:p>
    <w:p w:rsidR="004D0917" w:rsidRPr="00722443" w:rsidP="00DD050C" w14:paraId="3759B57B" w14:textId="77777777">
      <w:pPr>
        <w:shd w:val="clear" w:color="auto" w:fill="FFFFFF" w:themeFill="background1"/>
        <w:spacing w:before="120" w:after="120"/>
        <w:ind w:firstLine="720"/>
      </w:pPr>
      <w:r w:rsidRPr="00722443">
        <w:t>There are no exceptions.</w:t>
      </w:r>
    </w:p>
    <w:sectPr w:rsidSect="00421195">
      <w:headerReference w:type="default" r:id="rId8"/>
      <w:type w:val="continuous"/>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BE" w14:paraId="03D8B02A" w14:textId="77777777">
    <w:pPr>
      <w:pStyle w:val="Header"/>
      <w:keepLines w:val="0"/>
      <w:spacing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1AA8"/>
    <w:multiLevelType w:val="hybridMultilevel"/>
    <w:tmpl w:val="F2E6F022"/>
    <w:lvl w:ilvl="0">
      <w:start w:val="6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8B1558"/>
    <w:multiLevelType w:val="hybridMultilevel"/>
    <w:tmpl w:val="22F217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1D25C1"/>
    <w:multiLevelType w:val="hybridMultilevel"/>
    <w:tmpl w:val="FB4C1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922954"/>
    <w:multiLevelType w:val="hybridMultilevel"/>
    <w:tmpl w:val="DA2A3800"/>
    <w:lvl w:ilvl="0">
      <w:start w:val="6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5345E7"/>
    <w:multiLevelType w:val="hybridMultilevel"/>
    <w:tmpl w:val="F2E6F022"/>
    <w:lvl w:ilvl="0">
      <w:start w:val="6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9E620B"/>
    <w:multiLevelType w:val="hybridMultilevel"/>
    <w:tmpl w:val="F6002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8097F07"/>
    <w:multiLevelType w:val="hybridMultilevel"/>
    <w:tmpl w:val="EEA27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A271BC"/>
    <w:multiLevelType w:val="singleLevel"/>
    <w:tmpl w:val="1D34AF46"/>
    <w:lvl w:ilvl="0">
      <w:start w:val="1"/>
      <w:numFmt w:val="lowerLetter"/>
      <w:lvlText w:val="%1)"/>
      <w:legacy w:legacy="1" w:legacySpace="0" w:legacyIndent="360"/>
      <w:lvlJc w:val="left"/>
      <w:pPr>
        <w:ind w:left="360" w:hanging="360"/>
      </w:pPr>
    </w:lvl>
  </w:abstractNum>
  <w:abstractNum w:abstractNumId="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2104572982">
    <w:abstractNumId w:val="7"/>
  </w:num>
  <w:num w:numId="2" w16cid:durableId="73817320">
    <w:abstractNumId w:val="9"/>
  </w:num>
  <w:num w:numId="3" w16cid:durableId="13919395">
    <w:abstractNumId w:val="6"/>
  </w:num>
  <w:num w:numId="4" w16cid:durableId="1859810757">
    <w:abstractNumId w:val="8"/>
  </w:num>
  <w:num w:numId="5" w16cid:durableId="648510446">
    <w:abstractNumId w:val="5"/>
  </w:num>
  <w:num w:numId="6" w16cid:durableId="1601794604">
    <w:abstractNumId w:val="1"/>
  </w:num>
  <w:num w:numId="7" w16cid:durableId="1314487332">
    <w:abstractNumId w:val="3"/>
  </w:num>
  <w:num w:numId="8" w16cid:durableId="742408035">
    <w:abstractNumId w:val="4"/>
  </w:num>
  <w:num w:numId="9" w16cid:durableId="1785726486">
    <w:abstractNumId w:val="0"/>
  </w:num>
  <w:num w:numId="10" w16cid:durableId="1057701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C0"/>
    <w:rsid w:val="00000D84"/>
    <w:rsid w:val="00003BFB"/>
    <w:rsid w:val="00006F3F"/>
    <w:rsid w:val="0001293A"/>
    <w:rsid w:val="00012D63"/>
    <w:rsid w:val="00014BCE"/>
    <w:rsid w:val="00016F79"/>
    <w:rsid w:val="000235A6"/>
    <w:rsid w:val="00025985"/>
    <w:rsid w:val="00030440"/>
    <w:rsid w:val="00030EA7"/>
    <w:rsid w:val="00031DD5"/>
    <w:rsid w:val="00040C01"/>
    <w:rsid w:val="000462E9"/>
    <w:rsid w:val="000514F6"/>
    <w:rsid w:val="00054F15"/>
    <w:rsid w:val="00055459"/>
    <w:rsid w:val="00057225"/>
    <w:rsid w:val="0006062D"/>
    <w:rsid w:val="00061370"/>
    <w:rsid w:val="00061AF2"/>
    <w:rsid w:val="0007458E"/>
    <w:rsid w:val="00076C68"/>
    <w:rsid w:val="0008015F"/>
    <w:rsid w:val="00080A93"/>
    <w:rsid w:val="00081D7F"/>
    <w:rsid w:val="00092334"/>
    <w:rsid w:val="00092C70"/>
    <w:rsid w:val="00092E59"/>
    <w:rsid w:val="00093DAF"/>
    <w:rsid w:val="000947AA"/>
    <w:rsid w:val="00095A10"/>
    <w:rsid w:val="00096890"/>
    <w:rsid w:val="000A24E3"/>
    <w:rsid w:val="000A2CFB"/>
    <w:rsid w:val="000A345B"/>
    <w:rsid w:val="000A45E7"/>
    <w:rsid w:val="000A52D1"/>
    <w:rsid w:val="000B1A16"/>
    <w:rsid w:val="000C01C8"/>
    <w:rsid w:val="000D10CC"/>
    <w:rsid w:val="000D1AF4"/>
    <w:rsid w:val="000D29A1"/>
    <w:rsid w:val="000D6923"/>
    <w:rsid w:val="000E63F4"/>
    <w:rsid w:val="000F4519"/>
    <w:rsid w:val="001006A6"/>
    <w:rsid w:val="00102029"/>
    <w:rsid w:val="00107DC4"/>
    <w:rsid w:val="00111D0B"/>
    <w:rsid w:val="00121B90"/>
    <w:rsid w:val="00124606"/>
    <w:rsid w:val="00124A81"/>
    <w:rsid w:val="00127AD8"/>
    <w:rsid w:val="00130D6D"/>
    <w:rsid w:val="001369A2"/>
    <w:rsid w:val="00144328"/>
    <w:rsid w:val="001447B8"/>
    <w:rsid w:val="001543D3"/>
    <w:rsid w:val="00154EBD"/>
    <w:rsid w:val="001602D9"/>
    <w:rsid w:val="00162BF9"/>
    <w:rsid w:val="00164E18"/>
    <w:rsid w:val="00167DCF"/>
    <w:rsid w:val="00170584"/>
    <w:rsid w:val="00171461"/>
    <w:rsid w:val="00171DAD"/>
    <w:rsid w:val="00172B0B"/>
    <w:rsid w:val="00173577"/>
    <w:rsid w:val="00175925"/>
    <w:rsid w:val="00176D26"/>
    <w:rsid w:val="001907EA"/>
    <w:rsid w:val="001A0C60"/>
    <w:rsid w:val="001A201D"/>
    <w:rsid w:val="001A7540"/>
    <w:rsid w:val="001C7133"/>
    <w:rsid w:val="001D108F"/>
    <w:rsid w:val="001D2AB3"/>
    <w:rsid w:val="001E062C"/>
    <w:rsid w:val="001E22B2"/>
    <w:rsid w:val="001F093E"/>
    <w:rsid w:val="001F275C"/>
    <w:rsid w:val="001F3034"/>
    <w:rsid w:val="001F5F28"/>
    <w:rsid w:val="001F7426"/>
    <w:rsid w:val="00200AF0"/>
    <w:rsid w:val="002112BC"/>
    <w:rsid w:val="00212C75"/>
    <w:rsid w:val="00214080"/>
    <w:rsid w:val="0021545B"/>
    <w:rsid w:val="0022001C"/>
    <w:rsid w:val="00222D69"/>
    <w:rsid w:val="002254CD"/>
    <w:rsid w:val="00226D4A"/>
    <w:rsid w:val="00234619"/>
    <w:rsid w:val="00235B78"/>
    <w:rsid w:val="00241406"/>
    <w:rsid w:val="00241702"/>
    <w:rsid w:val="00241922"/>
    <w:rsid w:val="00242EAC"/>
    <w:rsid w:val="00245386"/>
    <w:rsid w:val="00246866"/>
    <w:rsid w:val="00254258"/>
    <w:rsid w:val="002618D4"/>
    <w:rsid w:val="00262460"/>
    <w:rsid w:val="00262567"/>
    <w:rsid w:val="00267115"/>
    <w:rsid w:val="00270097"/>
    <w:rsid w:val="002713CD"/>
    <w:rsid w:val="00275FBF"/>
    <w:rsid w:val="00282487"/>
    <w:rsid w:val="00282F7C"/>
    <w:rsid w:val="002847CB"/>
    <w:rsid w:val="00284A25"/>
    <w:rsid w:val="002A16E5"/>
    <w:rsid w:val="002A6823"/>
    <w:rsid w:val="002B333B"/>
    <w:rsid w:val="002C5E93"/>
    <w:rsid w:val="002D0DE4"/>
    <w:rsid w:val="002D33E4"/>
    <w:rsid w:val="002D4D79"/>
    <w:rsid w:val="002D5FD6"/>
    <w:rsid w:val="002D7A3F"/>
    <w:rsid w:val="002F2F45"/>
    <w:rsid w:val="00300AE0"/>
    <w:rsid w:val="00301D78"/>
    <w:rsid w:val="00303A0B"/>
    <w:rsid w:val="00303A76"/>
    <w:rsid w:val="003042E4"/>
    <w:rsid w:val="003048A4"/>
    <w:rsid w:val="00311D1D"/>
    <w:rsid w:val="00321AE6"/>
    <w:rsid w:val="00326B1A"/>
    <w:rsid w:val="00326E7B"/>
    <w:rsid w:val="00327A66"/>
    <w:rsid w:val="00332FB7"/>
    <w:rsid w:val="00340EDF"/>
    <w:rsid w:val="00340F41"/>
    <w:rsid w:val="0034166E"/>
    <w:rsid w:val="00341814"/>
    <w:rsid w:val="00345C2D"/>
    <w:rsid w:val="003553CC"/>
    <w:rsid w:val="00360FE8"/>
    <w:rsid w:val="00361CBA"/>
    <w:rsid w:val="003625FD"/>
    <w:rsid w:val="00371D54"/>
    <w:rsid w:val="003740FC"/>
    <w:rsid w:val="0037651C"/>
    <w:rsid w:val="00376D1E"/>
    <w:rsid w:val="00380FB2"/>
    <w:rsid w:val="0038454F"/>
    <w:rsid w:val="00395FAD"/>
    <w:rsid w:val="003A3E88"/>
    <w:rsid w:val="003B49DA"/>
    <w:rsid w:val="003B5C09"/>
    <w:rsid w:val="003B758A"/>
    <w:rsid w:val="003C337C"/>
    <w:rsid w:val="003C3ADD"/>
    <w:rsid w:val="003C5F16"/>
    <w:rsid w:val="003D1CDA"/>
    <w:rsid w:val="003D2760"/>
    <w:rsid w:val="003E0635"/>
    <w:rsid w:val="003F2D97"/>
    <w:rsid w:val="003F5C49"/>
    <w:rsid w:val="004051CE"/>
    <w:rsid w:val="00405A42"/>
    <w:rsid w:val="0040621B"/>
    <w:rsid w:val="00421195"/>
    <w:rsid w:val="00422729"/>
    <w:rsid w:val="00424247"/>
    <w:rsid w:val="00426F9D"/>
    <w:rsid w:val="00437CB7"/>
    <w:rsid w:val="004477DD"/>
    <w:rsid w:val="00473758"/>
    <w:rsid w:val="004745C3"/>
    <w:rsid w:val="0048122B"/>
    <w:rsid w:val="00481305"/>
    <w:rsid w:val="00484CE9"/>
    <w:rsid w:val="004859E3"/>
    <w:rsid w:val="004A0921"/>
    <w:rsid w:val="004A1899"/>
    <w:rsid w:val="004A5420"/>
    <w:rsid w:val="004A7F3E"/>
    <w:rsid w:val="004B25B9"/>
    <w:rsid w:val="004B39C4"/>
    <w:rsid w:val="004B46A9"/>
    <w:rsid w:val="004B7A79"/>
    <w:rsid w:val="004D06BE"/>
    <w:rsid w:val="004D0917"/>
    <w:rsid w:val="004D1D5D"/>
    <w:rsid w:val="004D3F84"/>
    <w:rsid w:val="004E4E62"/>
    <w:rsid w:val="004F0635"/>
    <w:rsid w:val="004F1861"/>
    <w:rsid w:val="004F5A05"/>
    <w:rsid w:val="004F5F07"/>
    <w:rsid w:val="00503DBC"/>
    <w:rsid w:val="00510657"/>
    <w:rsid w:val="005131D8"/>
    <w:rsid w:val="005132EF"/>
    <w:rsid w:val="00524B35"/>
    <w:rsid w:val="00526556"/>
    <w:rsid w:val="00526BD9"/>
    <w:rsid w:val="005428BD"/>
    <w:rsid w:val="00542903"/>
    <w:rsid w:val="00542F77"/>
    <w:rsid w:val="00546D12"/>
    <w:rsid w:val="0055391A"/>
    <w:rsid w:val="00554322"/>
    <w:rsid w:val="00556D13"/>
    <w:rsid w:val="005614F6"/>
    <w:rsid w:val="00574FA4"/>
    <w:rsid w:val="0057670A"/>
    <w:rsid w:val="00584F4E"/>
    <w:rsid w:val="0058562A"/>
    <w:rsid w:val="00586188"/>
    <w:rsid w:val="00586221"/>
    <w:rsid w:val="0059288E"/>
    <w:rsid w:val="005947B4"/>
    <w:rsid w:val="00597BFC"/>
    <w:rsid w:val="005A02DC"/>
    <w:rsid w:val="005A4128"/>
    <w:rsid w:val="005A4495"/>
    <w:rsid w:val="005A471B"/>
    <w:rsid w:val="005A5340"/>
    <w:rsid w:val="005A5C75"/>
    <w:rsid w:val="005A63B7"/>
    <w:rsid w:val="005A6EC2"/>
    <w:rsid w:val="005B15F6"/>
    <w:rsid w:val="005B1FB4"/>
    <w:rsid w:val="005C35D3"/>
    <w:rsid w:val="005C3F02"/>
    <w:rsid w:val="005C6D7E"/>
    <w:rsid w:val="005D0B19"/>
    <w:rsid w:val="005D40D0"/>
    <w:rsid w:val="005D6BE4"/>
    <w:rsid w:val="005D7A6E"/>
    <w:rsid w:val="005E2F7A"/>
    <w:rsid w:val="005E5A6E"/>
    <w:rsid w:val="005F1765"/>
    <w:rsid w:val="005F2A09"/>
    <w:rsid w:val="005F5993"/>
    <w:rsid w:val="00610CC0"/>
    <w:rsid w:val="00614994"/>
    <w:rsid w:val="006150B3"/>
    <w:rsid w:val="006151BF"/>
    <w:rsid w:val="00616899"/>
    <w:rsid w:val="00627859"/>
    <w:rsid w:val="00627FF1"/>
    <w:rsid w:val="0063075A"/>
    <w:rsid w:val="0063254F"/>
    <w:rsid w:val="00633D49"/>
    <w:rsid w:val="00644D77"/>
    <w:rsid w:val="0064706B"/>
    <w:rsid w:val="00655A2F"/>
    <w:rsid w:val="006611A6"/>
    <w:rsid w:val="00664722"/>
    <w:rsid w:val="00664BED"/>
    <w:rsid w:val="00665D15"/>
    <w:rsid w:val="00673447"/>
    <w:rsid w:val="00674060"/>
    <w:rsid w:val="00677699"/>
    <w:rsid w:val="0068619A"/>
    <w:rsid w:val="006A2D42"/>
    <w:rsid w:val="006B4F44"/>
    <w:rsid w:val="006C0F0C"/>
    <w:rsid w:val="006C33AF"/>
    <w:rsid w:val="006C6876"/>
    <w:rsid w:val="006D05F2"/>
    <w:rsid w:val="006E10AB"/>
    <w:rsid w:val="006E2299"/>
    <w:rsid w:val="006E2BB2"/>
    <w:rsid w:val="006E3B1C"/>
    <w:rsid w:val="006E4978"/>
    <w:rsid w:val="006E4E6D"/>
    <w:rsid w:val="006E669B"/>
    <w:rsid w:val="00701BBC"/>
    <w:rsid w:val="00703C50"/>
    <w:rsid w:val="00712056"/>
    <w:rsid w:val="00713054"/>
    <w:rsid w:val="00715475"/>
    <w:rsid w:val="00722443"/>
    <w:rsid w:val="00723849"/>
    <w:rsid w:val="00735F4D"/>
    <w:rsid w:val="00741103"/>
    <w:rsid w:val="00743C45"/>
    <w:rsid w:val="00745DC5"/>
    <w:rsid w:val="00752505"/>
    <w:rsid w:val="00754D11"/>
    <w:rsid w:val="007556D0"/>
    <w:rsid w:val="0076235A"/>
    <w:rsid w:val="00762F0D"/>
    <w:rsid w:val="00764170"/>
    <w:rsid w:val="00765CF2"/>
    <w:rsid w:val="00773A4C"/>
    <w:rsid w:val="00773DE2"/>
    <w:rsid w:val="00775C2E"/>
    <w:rsid w:val="00781B9A"/>
    <w:rsid w:val="007843B0"/>
    <w:rsid w:val="007854BE"/>
    <w:rsid w:val="007864D0"/>
    <w:rsid w:val="00790454"/>
    <w:rsid w:val="007A18F6"/>
    <w:rsid w:val="007A470D"/>
    <w:rsid w:val="007B3897"/>
    <w:rsid w:val="007B3FB2"/>
    <w:rsid w:val="007B6862"/>
    <w:rsid w:val="007C7B78"/>
    <w:rsid w:val="007D1DB0"/>
    <w:rsid w:val="007D5B1B"/>
    <w:rsid w:val="008002F4"/>
    <w:rsid w:val="008013E8"/>
    <w:rsid w:val="00805004"/>
    <w:rsid w:val="0081578F"/>
    <w:rsid w:val="00840E4B"/>
    <w:rsid w:val="0084100D"/>
    <w:rsid w:val="00846D5A"/>
    <w:rsid w:val="0084732C"/>
    <w:rsid w:val="00851160"/>
    <w:rsid w:val="008555D7"/>
    <w:rsid w:val="00856B87"/>
    <w:rsid w:val="00867C00"/>
    <w:rsid w:val="0087060C"/>
    <w:rsid w:val="008711F8"/>
    <w:rsid w:val="00874C26"/>
    <w:rsid w:val="00876951"/>
    <w:rsid w:val="0087751C"/>
    <w:rsid w:val="00882EBB"/>
    <w:rsid w:val="008834DC"/>
    <w:rsid w:val="008864D3"/>
    <w:rsid w:val="00893883"/>
    <w:rsid w:val="008961F0"/>
    <w:rsid w:val="00896577"/>
    <w:rsid w:val="00896E52"/>
    <w:rsid w:val="008A1862"/>
    <w:rsid w:val="008A23C4"/>
    <w:rsid w:val="008B5E4E"/>
    <w:rsid w:val="008C18D6"/>
    <w:rsid w:val="008C213E"/>
    <w:rsid w:val="008C2AD4"/>
    <w:rsid w:val="008C5D3C"/>
    <w:rsid w:val="008D05D5"/>
    <w:rsid w:val="008D0A25"/>
    <w:rsid w:val="008D0A6A"/>
    <w:rsid w:val="008D2523"/>
    <w:rsid w:val="008D29AE"/>
    <w:rsid w:val="008D577A"/>
    <w:rsid w:val="008D5F39"/>
    <w:rsid w:val="008D7F75"/>
    <w:rsid w:val="008E1E7D"/>
    <w:rsid w:val="008E2319"/>
    <w:rsid w:val="008E4378"/>
    <w:rsid w:val="008E683E"/>
    <w:rsid w:val="008F00A0"/>
    <w:rsid w:val="008F70C4"/>
    <w:rsid w:val="00900DFA"/>
    <w:rsid w:val="00903FF0"/>
    <w:rsid w:val="00907B8C"/>
    <w:rsid w:val="009141EB"/>
    <w:rsid w:val="009165A9"/>
    <w:rsid w:val="009227B3"/>
    <w:rsid w:val="00924AF5"/>
    <w:rsid w:val="009317CE"/>
    <w:rsid w:val="00932B1E"/>
    <w:rsid w:val="00934351"/>
    <w:rsid w:val="00942D76"/>
    <w:rsid w:val="00945AC0"/>
    <w:rsid w:val="00946BE4"/>
    <w:rsid w:val="009506B9"/>
    <w:rsid w:val="0096231F"/>
    <w:rsid w:val="009625F3"/>
    <w:rsid w:val="009701F9"/>
    <w:rsid w:val="00972652"/>
    <w:rsid w:val="0097452C"/>
    <w:rsid w:val="00974536"/>
    <w:rsid w:val="0097791B"/>
    <w:rsid w:val="00987504"/>
    <w:rsid w:val="00987576"/>
    <w:rsid w:val="0098793E"/>
    <w:rsid w:val="009971C4"/>
    <w:rsid w:val="00997336"/>
    <w:rsid w:val="009A225F"/>
    <w:rsid w:val="009A4E30"/>
    <w:rsid w:val="009A65A5"/>
    <w:rsid w:val="009A77A9"/>
    <w:rsid w:val="009B02DC"/>
    <w:rsid w:val="009B1A68"/>
    <w:rsid w:val="009B1ECC"/>
    <w:rsid w:val="009B48EB"/>
    <w:rsid w:val="009C4E58"/>
    <w:rsid w:val="009C4F9B"/>
    <w:rsid w:val="009C7009"/>
    <w:rsid w:val="009C7E7C"/>
    <w:rsid w:val="009D258A"/>
    <w:rsid w:val="009D3094"/>
    <w:rsid w:val="009F0081"/>
    <w:rsid w:val="009F45E8"/>
    <w:rsid w:val="009F6333"/>
    <w:rsid w:val="00A0073D"/>
    <w:rsid w:val="00A04D35"/>
    <w:rsid w:val="00A10E04"/>
    <w:rsid w:val="00A115BB"/>
    <w:rsid w:val="00A1215E"/>
    <w:rsid w:val="00A14B10"/>
    <w:rsid w:val="00A21F47"/>
    <w:rsid w:val="00A23B2C"/>
    <w:rsid w:val="00A2401D"/>
    <w:rsid w:val="00A244AA"/>
    <w:rsid w:val="00A30D45"/>
    <w:rsid w:val="00A32FED"/>
    <w:rsid w:val="00A3679B"/>
    <w:rsid w:val="00A410F3"/>
    <w:rsid w:val="00A43091"/>
    <w:rsid w:val="00A45DCA"/>
    <w:rsid w:val="00A52B87"/>
    <w:rsid w:val="00A60F81"/>
    <w:rsid w:val="00A60FE7"/>
    <w:rsid w:val="00A67D90"/>
    <w:rsid w:val="00A73B40"/>
    <w:rsid w:val="00A73D23"/>
    <w:rsid w:val="00A75159"/>
    <w:rsid w:val="00A77434"/>
    <w:rsid w:val="00A8081A"/>
    <w:rsid w:val="00A80CE0"/>
    <w:rsid w:val="00A828CD"/>
    <w:rsid w:val="00A8546A"/>
    <w:rsid w:val="00A94354"/>
    <w:rsid w:val="00A96794"/>
    <w:rsid w:val="00AA7C7B"/>
    <w:rsid w:val="00AB00BB"/>
    <w:rsid w:val="00AB3FCA"/>
    <w:rsid w:val="00AB412F"/>
    <w:rsid w:val="00AC06B9"/>
    <w:rsid w:val="00AC2404"/>
    <w:rsid w:val="00AC519E"/>
    <w:rsid w:val="00AC70CA"/>
    <w:rsid w:val="00AD2034"/>
    <w:rsid w:val="00AD4BFE"/>
    <w:rsid w:val="00AE29A6"/>
    <w:rsid w:val="00AE471B"/>
    <w:rsid w:val="00AE5ED2"/>
    <w:rsid w:val="00AE6186"/>
    <w:rsid w:val="00AF1650"/>
    <w:rsid w:val="00AF1683"/>
    <w:rsid w:val="00B04DF5"/>
    <w:rsid w:val="00B1163E"/>
    <w:rsid w:val="00B1343F"/>
    <w:rsid w:val="00B1707B"/>
    <w:rsid w:val="00B206D9"/>
    <w:rsid w:val="00B20D7A"/>
    <w:rsid w:val="00B267CE"/>
    <w:rsid w:val="00B2774B"/>
    <w:rsid w:val="00B27852"/>
    <w:rsid w:val="00B27F54"/>
    <w:rsid w:val="00B31277"/>
    <w:rsid w:val="00B31803"/>
    <w:rsid w:val="00B31F4B"/>
    <w:rsid w:val="00B37835"/>
    <w:rsid w:val="00B4041D"/>
    <w:rsid w:val="00B43B50"/>
    <w:rsid w:val="00B5615F"/>
    <w:rsid w:val="00B57D0F"/>
    <w:rsid w:val="00B62358"/>
    <w:rsid w:val="00B640CA"/>
    <w:rsid w:val="00B663B2"/>
    <w:rsid w:val="00B66847"/>
    <w:rsid w:val="00B71A7F"/>
    <w:rsid w:val="00B771A8"/>
    <w:rsid w:val="00B7720B"/>
    <w:rsid w:val="00B9008D"/>
    <w:rsid w:val="00B90A0D"/>
    <w:rsid w:val="00B9223F"/>
    <w:rsid w:val="00BA0282"/>
    <w:rsid w:val="00BA09EE"/>
    <w:rsid w:val="00BA4A91"/>
    <w:rsid w:val="00BB0755"/>
    <w:rsid w:val="00BC3658"/>
    <w:rsid w:val="00BC78AF"/>
    <w:rsid w:val="00BC7DBA"/>
    <w:rsid w:val="00BE089F"/>
    <w:rsid w:val="00BE2422"/>
    <w:rsid w:val="00BE4DAD"/>
    <w:rsid w:val="00BF29B6"/>
    <w:rsid w:val="00BF36DB"/>
    <w:rsid w:val="00BF3C97"/>
    <w:rsid w:val="00BF3D4D"/>
    <w:rsid w:val="00C00A5E"/>
    <w:rsid w:val="00C02302"/>
    <w:rsid w:val="00C02400"/>
    <w:rsid w:val="00C15ACF"/>
    <w:rsid w:val="00C164B3"/>
    <w:rsid w:val="00C17B2F"/>
    <w:rsid w:val="00C20DB2"/>
    <w:rsid w:val="00C21C29"/>
    <w:rsid w:val="00C36031"/>
    <w:rsid w:val="00C4203F"/>
    <w:rsid w:val="00C46A9A"/>
    <w:rsid w:val="00C71507"/>
    <w:rsid w:val="00C7513C"/>
    <w:rsid w:val="00C83A07"/>
    <w:rsid w:val="00C853DC"/>
    <w:rsid w:val="00C8660F"/>
    <w:rsid w:val="00C91549"/>
    <w:rsid w:val="00C928A3"/>
    <w:rsid w:val="00C92FE8"/>
    <w:rsid w:val="00CB3681"/>
    <w:rsid w:val="00CB5AD6"/>
    <w:rsid w:val="00CB7A59"/>
    <w:rsid w:val="00CC020B"/>
    <w:rsid w:val="00CC2507"/>
    <w:rsid w:val="00CC2AC1"/>
    <w:rsid w:val="00CD2B7D"/>
    <w:rsid w:val="00CD32BC"/>
    <w:rsid w:val="00CD35F4"/>
    <w:rsid w:val="00CD7B31"/>
    <w:rsid w:val="00CE0808"/>
    <w:rsid w:val="00CF0BD9"/>
    <w:rsid w:val="00CF3D76"/>
    <w:rsid w:val="00CF402F"/>
    <w:rsid w:val="00CF4FC7"/>
    <w:rsid w:val="00CF7DD3"/>
    <w:rsid w:val="00D01EBF"/>
    <w:rsid w:val="00D120EB"/>
    <w:rsid w:val="00D152C2"/>
    <w:rsid w:val="00D20AFB"/>
    <w:rsid w:val="00D258EE"/>
    <w:rsid w:val="00D2711C"/>
    <w:rsid w:val="00D334FF"/>
    <w:rsid w:val="00D40E54"/>
    <w:rsid w:val="00D52F78"/>
    <w:rsid w:val="00D54506"/>
    <w:rsid w:val="00D56144"/>
    <w:rsid w:val="00D56367"/>
    <w:rsid w:val="00D60EF5"/>
    <w:rsid w:val="00D6426F"/>
    <w:rsid w:val="00D72C50"/>
    <w:rsid w:val="00D76CE6"/>
    <w:rsid w:val="00D8186B"/>
    <w:rsid w:val="00D83878"/>
    <w:rsid w:val="00D90668"/>
    <w:rsid w:val="00D9100D"/>
    <w:rsid w:val="00D932C3"/>
    <w:rsid w:val="00D93467"/>
    <w:rsid w:val="00D97A80"/>
    <w:rsid w:val="00DA6F61"/>
    <w:rsid w:val="00DB0E12"/>
    <w:rsid w:val="00DB185F"/>
    <w:rsid w:val="00DB29EC"/>
    <w:rsid w:val="00DB3153"/>
    <w:rsid w:val="00DB434B"/>
    <w:rsid w:val="00DB4B3D"/>
    <w:rsid w:val="00DC1568"/>
    <w:rsid w:val="00DC3D9C"/>
    <w:rsid w:val="00DC3FA9"/>
    <w:rsid w:val="00DC43EE"/>
    <w:rsid w:val="00DD050C"/>
    <w:rsid w:val="00DD22B9"/>
    <w:rsid w:val="00DD5CBD"/>
    <w:rsid w:val="00DE0A73"/>
    <w:rsid w:val="00DE1306"/>
    <w:rsid w:val="00DE2886"/>
    <w:rsid w:val="00DE32E8"/>
    <w:rsid w:val="00DE3B5D"/>
    <w:rsid w:val="00DE48E7"/>
    <w:rsid w:val="00DE4F34"/>
    <w:rsid w:val="00DF05E8"/>
    <w:rsid w:val="00DF33FF"/>
    <w:rsid w:val="00DF791B"/>
    <w:rsid w:val="00E0215D"/>
    <w:rsid w:val="00E05660"/>
    <w:rsid w:val="00E06CA2"/>
    <w:rsid w:val="00E07853"/>
    <w:rsid w:val="00E10134"/>
    <w:rsid w:val="00E158D2"/>
    <w:rsid w:val="00E163AF"/>
    <w:rsid w:val="00E169E1"/>
    <w:rsid w:val="00E16DAC"/>
    <w:rsid w:val="00E356B7"/>
    <w:rsid w:val="00E414EB"/>
    <w:rsid w:val="00E4685E"/>
    <w:rsid w:val="00E47830"/>
    <w:rsid w:val="00E50975"/>
    <w:rsid w:val="00E50995"/>
    <w:rsid w:val="00E5624D"/>
    <w:rsid w:val="00E57571"/>
    <w:rsid w:val="00E63729"/>
    <w:rsid w:val="00E67320"/>
    <w:rsid w:val="00E7067B"/>
    <w:rsid w:val="00E74A05"/>
    <w:rsid w:val="00E77941"/>
    <w:rsid w:val="00E819E9"/>
    <w:rsid w:val="00E83785"/>
    <w:rsid w:val="00E84FCE"/>
    <w:rsid w:val="00E86192"/>
    <w:rsid w:val="00EA5EC2"/>
    <w:rsid w:val="00EB2938"/>
    <w:rsid w:val="00EB4E58"/>
    <w:rsid w:val="00EC094F"/>
    <w:rsid w:val="00EC1230"/>
    <w:rsid w:val="00EC65FA"/>
    <w:rsid w:val="00ED1AC7"/>
    <w:rsid w:val="00ED6BF4"/>
    <w:rsid w:val="00ED70C8"/>
    <w:rsid w:val="00EE009B"/>
    <w:rsid w:val="00EE0F5C"/>
    <w:rsid w:val="00EE34A8"/>
    <w:rsid w:val="00EF17AD"/>
    <w:rsid w:val="00F00CF0"/>
    <w:rsid w:val="00F1797F"/>
    <w:rsid w:val="00F17D34"/>
    <w:rsid w:val="00F20640"/>
    <w:rsid w:val="00F209C8"/>
    <w:rsid w:val="00F21E53"/>
    <w:rsid w:val="00F2493C"/>
    <w:rsid w:val="00F25801"/>
    <w:rsid w:val="00F31AF1"/>
    <w:rsid w:val="00F31D43"/>
    <w:rsid w:val="00F349DF"/>
    <w:rsid w:val="00F3567B"/>
    <w:rsid w:val="00F37288"/>
    <w:rsid w:val="00F436F3"/>
    <w:rsid w:val="00F43F07"/>
    <w:rsid w:val="00F46EE5"/>
    <w:rsid w:val="00F50483"/>
    <w:rsid w:val="00F55262"/>
    <w:rsid w:val="00F5563E"/>
    <w:rsid w:val="00F57DCA"/>
    <w:rsid w:val="00F610F3"/>
    <w:rsid w:val="00F619A6"/>
    <w:rsid w:val="00F624E1"/>
    <w:rsid w:val="00F64002"/>
    <w:rsid w:val="00F659E6"/>
    <w:rsid w:val="00F75E35"/>
    <w:rsid w:val="00F81049"/>
    <w:rsid w:val="00F815F7"/>
    <w:rsid w:val="00F83D2D"/>
    <w:rsid w:val="00F9264F"/>
    <w:rsid w:val="00F929CB"/>
    <w:rsid w:val="00F941C5"/>
    <w:rsid w:val="00F968DB"/>
    <w:rsid w:val="00FA7194"/>
    <w:rsid w:val="00FB28AB"/>
    <w:rsid w:val="00FB3D58"/>
    <w:rsid w:val="00FC2CCD"/>
    <w:rsid w:val="00FC4DDB"/>
    <w:rsid w:val="00FC6F07"/>
    <w:rsid w:val="00FC72E9"/>
    <w:rsid w:val="00FD2839"/>
    <w:rsid w:val="00FD5AE4"/>
    <w:rsid w:val="00FE0B1B"/>
    <w:rsid w:val="00FE1ADF"/>
    <w:rsid w:val="00FE2885"/>
    <w:rsid w:val="00FE5C2C"/>
    <w:rsid w:val="00FE6586"/>
    <w:rsid w:val="00FE77D8"/>
    <w:rsid w:val="00FF17A0"/>
    <w:rsid w:val="00FF2A6B"/>
    <w:rsid w:val="00FF3122"/>
    <w:rsid w:val="00FF6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2A163B"/>
  <w15:docId w15:val="{70440E7B-37A0-4047-8074-2AC687FF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left="1080"/>
      <w:jc w:val="both"/>
    </w:pPr>
    <w:rPr>
      <w:rFonts w:ascii="Arial" w:hAnsi="Arial"/>
      <w:spacing w:val="-5"/>
      <w:sz w:val="20"/>
      <w:szCs w:val="20"/>
    </w:rPr>
  </w:style>
  <w:style w:type="paragraph" w:styleId="Header">
    <w:name w:val="header"/>
    <w:basedOn w:val="Normal"/>
    <w:pPr>
      <w:keepLines/>
      <w:tabs>
        <w:tab w:val="center" w:pos="4320"/>
        <w:tab w:val="right" w:pos="8640"/>
      </w:tabs>
      <w:spacing w:line="190" w:lineRule="atLeast"/>
      <w:ind w:left="1080"/>
    </w:pPr>
    <w:rPr>
      <w:rFonts w:ascii="Arial" w:hAnsi="Arial"/>
      <w:caps/>
      <w:spacing w:val="-5"/>
      <w:sz w:val="15"/>
      <w:szCs w:val="20"/>
    </w:rPr>
  </w:style>
  <w:style w:type="paragraph" w:styleId="BodyTextIndent2">
    <w:name w:val="Body Text Indent 2"/>
    <w:basedOn w:val="Normal"/>
    <w:pPr>
      <w:ind w:left="720"/>
    </w:pPr>
    <w:rPr>
      <w:spacing w:val="-5"/>
      <w:szCs w:val="20"/>
    </w:rPr>
  </w:style>
  <w:style w:type="paragraph" w:styleId="BodyText3">
    <w:name w:val="Body Text 3"/>
    <w:basedOn w:val="Normal"/>
    <w:pPr>
      <w:numPr>
        <w:ilvl w:val="12"/>
      </w:numPr>
    </w:pPr>
    <w:rPr>
      <w:szCs w:val="20"/>
    </w:rPr>
  </w:style>
  <w:style w:type="paragraph" w:styleId="BlockText">
    <w:name w:val="Block Text"/>
    <w:basedOn w:val="Normal"/>
    <w:pPr>
      <w:numPr>
        <w:ilvl w:val="12"/>
      </w:numPr>
      <w:overflowPunct w:val="0"/>
      <w:autoSpaceDE w:val="0"/>
      <w:autoSpaceDN w:val="0"/>
      <w:adjustRightInd w:val="0"/>
      <w:ind w:left="360" w:right="2160" w:hanging="360"/>
      <w:textAlignment w:val="baseline"/>
    </w:pPr>
    <w:rPr>
      <w:rFonts w:ascii="CG Times" w:hAnsi="CG Times"/>
      <w:szCs w:val="20"/>
    </w:rPr>
  </w:style>
  <w:style w:type="character" w:styleId="Hyperlink">
    <w:name w:val="Hyperlink"/>
    <w:rPr>
      <w:color w:val="0000FF"/>
      <w:u w:val="single"/>
    </w:rPr>
  </w:style>
  <w:style w:type="character" w:styleId="CommentReference">
    <w:name w:val="annotation reference"/>
    <w:uiPriority w:val="99"/>
    <w:semiHidden/>
    <w:rsid w:val="001C7133"/>
    <w:rPr>
      <w:sz w:val="16"/>
      <w:szCs w:val="16"/>
    </w:rPr>
  </w:style>
  <w:style w:type="paragraph" w:styleId="CommentText">
    <w:name w:val="annotation text"/>
    <w:basedOn w:val="Normal"/>
    <w:link w:val="CommentTextChar"/>
    <w:uiPriority w:val="99"/>
    <w:semiHidden/>
    <w:rsid w:val="001C7133"/>
    <w:rPr>
      <w:sz w:val="20"/>
      <w:szCs w:val="20"/>
    </w:rPr>
  </w:style>
  <w:style w:type="paragraph" w:styleId="CommentSubject">
    <w:name w:val="annotation subject"/>
    <w:basedOn w:val="CommentText"/>
    <w:next w:val="CommentText"/>
    <w:semiHidden/>
    <w:rsid w:val="001C7133"/>
    <w:rPr>
      <w:b/>
      <w:bCs/>
    </w:rPr>
  </w:style>
  <w:style w:type="paragraph" w:styleId="BalloonText">
    <w:name w:val="Balloon Text"/>
    <w:basedOn w:val="Normal"/>
    <w:semiHidden/>
    <w:rsid w:val="001C7133"/>
    <w:rPr>
      <w:rFonts w:ascii="Tahoma" w:hAnsi="Tahoma" w:cs="Tahoma"/>
      <w:sz w:val="16"/>
      <w:szCs w:val="16"/>
    </w:rPr>
  </w:style>
  <w:style w:type="character" w:styleId="FollowedHyperlink">
    <w:name w:val="FollowedHyperlink"/>
    <w:rsid w:val="00BF3C97"/>
    <w:rPr>
      <w:color w:val="800080"/>
      <w:u w:val="single"/>
    </w:rPr>
  </w:style>
  <w:style w:type="paragraph" w:styleId="Revision">
    <w:name w:val="Revision"/>
    <w:hidden/>
    <w:uiPriority w:val="99"/>
    <w:semiHidden/>
    <w:rsid w:val="001907EA"/>
    <w:rPr>
      <w:sz w:val="24"/>
      <w:szCs w:val="24"/>
    </w:rPr>
  </w:style>
  <w:style w:type="paragraph" w:styleId="ListParagraph">
    <w:name w:val="List Paragraph"/>
    <w:basedOn w:val="Normal"/>
    <w:uiPriority w:val="34"/>
    <w:qFormat/>
    <w:rsid w:val="009F0081"/>
    <w:pPr>
      <w:ind w:left="720"/>
      <w:contextualSpacing/>
    </w:pPr>
  </w:style>
  <w:style w:type="character" w:customStyle="1" w:styleId="num">
    <w:name w:val="num"/>
    <w:basedOn w:val="DefaultParagraphFont"/>
    <w:rsid w:val="00A96794"/>
  </w:style>
  <w:style w:type="character" w:customStyle="1" w:styleId="heading">
    <w:name w:val="heading"/>
    <w:basedOn w:val="DefaultParagraphFont"/>
    <w:rsid w:val="00A96794"/>
  </w:style>
  <w:style w:type="character" w:customStyle="1" w:styleId="chapeau">
    <w:name w:val="chapeau"/>
    <w:basedOn w:val="DefaultParagraphFont"/>
    <w:rsid w:val="00A96794"/>
  </w:style>
  <w:style w:type="character" w:styleId="Strong">
    <w:name w:val="Strong"/>
    <w:basedOn w:val="DefaultParagraphFont"/>
    <w:uiPriority w:val="22"/>
    <w:qFormat/>
    <w:rsid w:val="009D3094"/>
    <w:rPr>
      <w:b/>
      <w:bCs/>
    </w:rPr>
  </w:style>
  <w:style w:type="paragraph" w:styleId="NoSpacing">
    <w:name w:val="No Spacing"/>
    <w:uiPriority w:val="1"/>
    <w:qFormat/>
    <w:rsid w:val="0001293A"/>
    <w:rPr>
      <w:sz w:val="24"/>
      <w:szCs w:val="24"/>
    </w:rPr>
  </w:style>
  <w:style w:type="paragraph" w:styleId="NormalWeb">
    <w:name w:val="Normal (Web)"/>
    <w:basedOn w:val="Normal"/>
    <w:uiPriority w:val="99"/>
    <w:unhideWhenUsed/>
    <w:rsid w:val="005F1765"/>
    <w:pPr>
      <w:spacing w:before="100" w:beforeAutospacing="1" w:after="100" w:afterAutospacing="1"/>
    </w:pPr>
  </w:style>
  <w:style w:type="paragraph" w:styleId="EndnoteText">
    <w:name w:val="endnote text"/>
    <w:basedOn w:val="Normal"/>
    <w:link w:val="EndnoteTextChar"/>
    <w:semiHidden/>
    <w:unhideWhenUsed/>
    <w:rsid w:val="00DE4F34"/>
    <w:rPr>
      <w:sz w:val="20"/>
      <w:szCs w:val="20"/>
    </w:rPr>
  </w:style>
  <w:style w:type="character" w:customStyle="1" w:styleId="EndnoteTextChar">
    <w:name w:val="Endnote Text Char"/>
    <w:basedOn w:val="DefaultParagraphFont"/>
    <w:link w:val="EndnoteText"/>
    <w:semiHidden/>
    <w:rsid w:val="00DE4F34"/>
  </w:style>
  <w:style w:type="character" w:styleId="EndnoteReference">
    <w:name w:val="endnote reference"/>
    <w:basedOn w:val="DefaultParagraphFont"/>
    <w:semiHidden/>
    <w:unhideWhenUsed/>
    <w:rsid w:val="00DE4F34"/>
    <w:rPr>
      <w:vertAlign w:val="superscript"/>
    </w:rPr>
  </w:style>
  <w:style w:type="character" w:customStyle="1" w:styleId="CommentTextChar">
    <w:name w:val="Comment Text Char"/>
    <w:basedOn w:val="DefaultParagraphFont"/>
    <w:link w:val="CommentText"/>
    <w:uiPriority w:val="99"/>
    <w:semiHidden/>
    <w:rsid w:val="0055391A"/>
  </w:style>
  <w:style w:type="paragraph" w:styleId="FootnoteText">
    <w:name w:val="footnote text"/>
    <w:basedOn w:val="Normal"/>
    <w:link w:val="FootnoteTextChar"/>
    <w:uiPriority w:val="99"/>
    <w:semiHidden/>
    <w:unhideWhenUsed/>
    <w:rsid w:val="00A10E0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10E0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10E04"/>
    <w:rPr>
      <w:vertAlign w:val="superscript"/>
    </w:rPr>
  </w:style>
  <w:style w:type="character" w:styleId="UnresolvedMention">
    <w:name w:val="Unresolved Mention"/>
    <w:basedOn w:val="DefaultParagraphFont"/>
    <w:uiPriority w:val="99"/>
    <w:semiHidden/>
    <w:unhideWhenUsed/>
    <w:rsid w:val="009F45E8"/>
    <w:rPr>
      <w:color w:val="605E5C"/>
      <w:shd w:val="clear" w:color="auto" w:fill="E1DFDD"/>
    </w:rPr>
  </w:style>
  <w:style w:type="paragraph" w:customStyle="1" w:styleId="Default">
    <w:name w:val="Default"/>
    <w:rsid w:val="00267115"/>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aa.gov/jobs/working_here/benefits" TargetMode="External" /><Relationship Id="rId6" Type="http://schemas.openxmlformats.org/officeDocument/2006/relationships/hyperlink" Target="https://www.opm.gov/policy-data-oversight/pay-leave/salaries-wages/salary-tables/pdf/2024/GS.pdf" TargetMode="External" /><Relationship Id="rId7" Type="http://schemas.openxmlformats.org/officeDocument/2006/relationships/hyperlink" Target="https://www.faa.gov/airports/environmental/airport_noise/part_150/state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725F-3652-4711-B150-11F2D4F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5148</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1</vt:lpstr>
    </vt:vector>
  </TitlesOfParts>
  <Company>FAA</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Vicki Catlett</dc:creator>
  <cp:lastModifiedBy>Staehle, Susan (APP-400)</cp:lastModifiedBy>
  <cp:revision>28</cp:revision>
  <cp:lastPrinted>2018-06-13T14:15:00Z</cp:lastPrinted>
  <dcterms:created xsi:type="dcterms:W3CDTF">2021-09-14T18:40:00Z</dcterms:created>
  <dcterms:modified xsi:type="dcterms:W3CDTF">2024-11-04T20:44:00Z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