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27C2C" w:rsidRPr="003E0A5C" w:rsidP="00F27C2C" w14:paraId="0DA01056" w14:textId="77777777">
      <w:pPr>
        <w:spacing w:after="0" w:line="240" w:lineRule="auto"/>
        <w:jc w:val="center"/>
        <w:rPr>
          <w:rFonts w:eastAsia="Calibri" w:cs="Times New Roman"/>
          <w:b/>
          <w:szCs w:val="24"/>
        </w:rPr>
      </w:pPr>
      <w:bookmarkStart w:id="0" w:name="_Hlk89287308"/>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F27C2C" w14:paraId="509F7C99" w14:textId="7FAFE4EF">
      <w:pPr>
        <w:spacing w:after="0" w:line="240" w:lineRule="auto"/>
        <w:jc w:val="center"/>
      </w:pPr>
      <w:r w:rsidRPr="00CC47EC">
        <w:rPr>
          <w:b/>
        </w:rPr>
        <w:t xml:space="preserve">Crash </w:t>
      </w:r>
      <w:r w:rsidR="00AE6CC8">
        <w:rPr>
          <w:b/>
        </w:rPr>
        <w:t>Injury Research and Engineering Network (CIREN)</w:t>
      </w:r>
      <w:r w:rsidRPr="00CC47EC">
        <w:rPr>
          <w:b/>
        </w:rPr>
        <w:t xml:space="preserve"> </w:t>
      </w:r>
      <w:r w:rsidR="002244F3">
        <w:rPr>
          <w:b/>
        </w:rPr>
        <w:t>D</w:t>
      </w:r>
      <w:r w:rsidRPr="00CC47EC">
        <w:rPr>
          <w:b/>
        </w:rPr>
        <w:t xml:space="preserve">ata </w:t>
      </w:r>
      <w:r w:rsidR="002244F3">
        <w:rPr>
          <w:b/>
        </w:rPr>
        <w:t>C</w:t>
      </w:r>
      <w:r w:rsidRPr="00CC47EC">
        <w:rPr>
          <w:b/>
        </w:rPr>
        <w:t>ollection</w:t>
      </w:r>
    </w:p>
    <w:p w:rsidR="00F27C2C" w:rsidP="00A164D2" w14:paraId="556AD36A" w14:textId="58C7BA3F">
      <w:pPr>
        <w:spacing w:after="0" w:line="240" w:lineRule="auto"/>
        <w:jc w:val="center"/>
        <w:rPr>
          <w:rFonts w:cs="Times New Roman"/>
          <w:szCs w:val="24"/>
        </w:rPr>
      </w:pPr>
      <w:r w:rsidRPr="007F27B2">
        <w:rPr>
          <w:b/>
        </w:rPr>
        <w:t xml:space="preserve">OMB Control </w:t>
      </w:r>
      <w:r w:rsidRPr="003E0A5C">
        <w:rPr>
          <w:rFonts w:eastAsia="Calibri" w:cs="Times New Roman"/>
          <w:b/>
          <w:szCs w:val="24"/>
        </w:rPr>
        <w:t>No.</w:t>
      </w:r>
      <w:r w:rsidRPr="007F27B2">
        <w:rPr>
          <w:b/>
        </w:rPr>
        <w:t xml:space="preserve"> </w:t>
      </w:r>
      <w:r w:rsidR="002244F3">
        <w:rPr>
          <w:b/>
        </w:rPr>
        <w:t>New</w:t>
      </w:r>
    </w:p>
    <w:p w:rsidR="00135031" w:rsidP="00F27C2C" w14:paraId="3922FD37" w14:textId="77777777">
      <w:pPr>
        <w:autoSpaceDE w:val="0"/>
        <w:autoSpaceDN w:val="0"/>
        <w:adjustRightInd w:val="0"/>
        <w:spacing w:after="0" w:line="240" w:lineRule="auto"/>
        <w:rPr>
          <w:rFonts w:cs="Times New Roman"/>
          <w:b/>
          <w:szCs w:val="24"/>
        </w:rPr>
      </w:pPr>
      <w:bookmarkStart w:id="1" w:name="_Hlk49938575"/>
      <w:bookmarkEnd w:id="0"/>
    </w:p>
    <w:p w:rsidR="00F27C2C" w:rsidRPr="00DD5373" w:rsidP="00135031" w14:paraId="7E3D7866" w14:textId="2781C9AF">
      <w:pPr>
        <w:autoSpaceDE w:val="0"/>
        <w:autoSpaceDN w:val="0"/>
        <w:adjustRightInd w:val="0"/>
        <w:spacing w:after="120" w:line="240" w:lineRule="auto"/>
        <w:rPr>
          <w:rFonts w:cs="Times New Roman"/>
          <w:b/>
          <w:szCs w:val="24"/>
        </w:rPr>
      </w:pPr>
      <w:bookmarkStart w:id="2" w:name="_Hlk89287250"/>
      <w:r w:rsidRPr="00DD5373">
        <w:rPr>
          <w:rFonts w:cs="Times New Roman"/>
          <w:b/>
          <w:szCs w:val="24"/>
        </w:rPr>
        <w:t>Abstract</w:t>
      </w:r>
      <w:bookmarkStart w:id="3" w:name="_Hlk47077366"/>
      <w:r w:rsidRPr="00DD5373">
        <w:rPr>
          <w:rFonts w:cs="Times New Roman"/>
          <w:b/>
          <w:szCs w:val="24"/>
        </w:rPr>
        <w:t>:</w:t>
      </w:r>
      <w:r>
        <w:rPr>
          <w:rStyle w:val="FootnoteReference"/>
          <w:rFonts w:cs="Times New Roman"/>
          <w:b/>
          <w:szCs w:val="24"/>
        </w:rPr>
        <w:footnoteReference w:id="3"/>
      </w:r>
      <w:bookmarkEnd w:id="3"/>
    </w:p>
    <w:bookmarkEnd w:id="1"/>
    <w:bookmarkEnd w:id="2"/>
    <w:p w:rsidR="001225C1" w:rsidP="002E381A" w14:paraId="26B1A30A" w14:textId="727A6625">
      <w:pPr>
        <w:tabs>
          <w:tab w:val="left" w:pos="-720"/>
          <w:tab w:val="left" w:pos="540"/>
        </w:tabs>
      </w:pPr>
      <w:r>
        <w:rPr>
          <w:rFonts w:cs="Times New Roman"/>
        </w:rPr>
        <w:t>The National Highway Traffic Safety Administration (NHTSA) is seeking approval from OMB of this new, independent information collection request (ICR) for</w:t>
      </w:r>
      <w:r w:rsidR="00627EAB">
        <w:rPr>
          <w:rFonts w:cs="Times New Roman"/>
        </w:rPr>
        <w:t xml:space="preserve"> </w:t>
      </w:r>
      <w:r w:rsidR="00F81D22">
        <w:rPr>
          <w:rFonts w:cs="Times New Roman"/>
        </w:rPr>
        <w:t xml:space="preserve">six (6) information collections </w:t>
      </w:r>
      <w:r w:rsidR="00627EAB">
        <w:rPr>
          <w:rFonts w:cs="Times New Roman"/>
        </w:rPr>
        <w:t xml:space="preserve">for </w:t>
      </w:r>
      <w:r w:rsidR="008B28A3">
        <w:rPr>
          <w:rFonts w:cs="Times New Roman"/>
        </w:rPr>
        <w:t xml:space="preserve">an </w:t>
      </w:r>
      <w:r w:rsidR="00627EAB">
        <w:rPr>
          <w:rFonts w:cs="Times New Roman"/>
        </w:rPr>
        <w:t xml:space="preserve">investigation-based crash data </w:t>
      </w:r>
      <w:r w:rsidR="006753A2">
        <w:rPr>
          <w:rFonts w:cs="Times New Roman"/>
        </w:rPr>
        <w:t>acquisition</w:t>
      </w:r>
      <w:r w:rsidR="00627EAB">
        <w:rPr>
          <w:rFonts w:cs="Times New Roman"/>
        </w:rPr>
        <w:t xml:space="preserve"> system</w:t>
      </w:r>
      <w:r w:rsidR="003A1183">
        <w:rPr>
          <w:rFonts w:cs="Times New Roman"/>
        </w:rPr>
        <w:t xml:space="preserve"> </w:t>
      </w:r>
      <w:r>
        <w:rPr>
          <w:rFonts w:cs="Times New Roman"/>
        </w:rPr>
        <w:t>(formerly considered</w:t>
      </w:r>
      <w:r w:rsidR="002244F3">
        <w:rPr>
          <w:rFonts w:cs="Times New Roman"/>
        </w:rPr>
        <w:t xml:space="preserve"> </w:t>
      </w:r>
      <w:r w:rsidR="003A1183">
        <w:rPr>
          <w:rFonts w:cs="Times New Roman"/>
        </w:rPr>
        <w:t>under OMB</w:t>
      </w:r>
      <w:r w:rsidR="00D1641F">
        <w:rPr>
          <w:rFonts w:cs="Times New Roman"/>
        </w:rPr>
        <w:t xml:space="preserve"> </w:t>
      </w:r>
      <w:r w:rsidR="00903EC7">
        <w:rPr>
          <w:szCs w:val="24"/>
        </w:rPr>
        <w:t>2127-0706</w:t>
      </w:r>
      <w:r>
        <w:rPr>
          <w:szCs w:val="24"/>
        </w:rPr>
        <w:t>)</w:t>
      </w:r>
      <w:r w:rsidR="00C06A2C">
        <w:rPr>
          <w:rFonts w:cs="Times New Roman"/>
        </w:rPr>
        <w:t xml:space="preserve">. </w:t>
      </w:r>
      <w:r w:rsidRPr="00C53728" w:rsidR="00C53728">
        <w:rPr>
          <w:rFonts w:cs="Times New Roman"/>
        </w:rPr>
        <w:t>Participation in th</w:t>
      </w:r>
      <w:r w:rsidR="00F81D22">
        <w:rPr>
          <w:rFonts w:cs="Times New Roman"/>
        </w:rPr>
        <w:t>ese</w:t>
      </w:r>
      <w:r w:rsidRPr="00C53728" w:rsidR="00C53728">
        <w:rPr>
          <w:rFonts w:cs="Times New Roman"/>
        </w:rPr>
        <w:t xml:space="preserve"> information collection</w:t>
      </w:r>
      <w:r w:rsidR="00F81D22">
        <w:rPr>
          <w:rFonts w:cs="Times New Roman"/>
        </w:rPr>
        <w:t>s</w:t>
      </w:r>
      <w:r w:rsidRPr="00C53728" w:rsidR="00C53728">
        <w:rPr>
          <w:rFonts w:cs="Times New Roman"/>
        </w:rPr>
        <w:t xml:space="preserve"> is voluntary</w:t>
      </w:r>
      <w:r w:rsidR="00F81D22">
        <w:rPr>
          <w:rFonts w:cs="Times New Roman"/>
        </w:rPr>
        <w:t xml:space="preserve"> and each of the collections involves reporting</w:t>
      </w:r>
      <w:r w:rsidRPr="00C53728" w:rsidR="00C53728">
        <w:rPr>
          <w:rFonts w:cs="Times New Roman"/>
        </w:rPr>
        <w:t xml:space="preserve">. Respondents may elect to stop participation at any time during the study. </w:t>
      </w:r>
      <w:r w:rsidR="00F81D22">
        <w:rPr>
          <w:rFonts w:cs="Times New Roman"/>
        </w:rPr>
        <w:t>Respondents include</w:t>
      </w:r>
      <w:r w:rsidRPr="00C53728" w:rsidR="00C53728">
        <w:rPr>
          <w:rFonts w:cs="Times New Roman"/>
        </w:rPr>
        <w:t xml:space="preserve"> individuals injured in motor vehicle crashes who have been admitted to a hospital</w:t>
      </w:r>
      <w:r w:rsidR="0028377D">
        <w:rPr>
          <w:rFonts w:cs="Times New Roman"/>
        </w:rPr>
        <w:t xml:space="preserve">, emergency services providers, </w:t>
      </w:r>
      <w:r w:rsidR="00C239E8">
        <w:rPr>
          <w:rFonts w:cs="Times New Roman"/>
        </w:rPr>
        <w:t xml:space="preserve">insurance companies responsible for case subjects’ vehicles, </w:t>
      </w:r>
      <w:r w:rsidR="0028377D">
        <w:rPr>
          <w:rFonts w:cs="Times New Roman"/>
        </w:rPr>
        <w:t>and tow/salvage yard operators</w:t>
      </w:r>
      <w:r w:rsidR="00D1641F">
        <w:rPr>
          <w:rFonts w:cs="Times New Roman"/>
        </w:rPr>
        <w:t xml:space="preserve"> associated with investigated crashes</w:t>
      </w:r>
      <w:r w:rsidRPr="00C53728" w:rsidR="00C53728">
        <w:rPr>
          <w:rFonts w:cs="Times New Roman"/>
        </w:rPr>
        <w:t xml:space="preserve">. </w:t>
      </w:r>
      <w:r w:rsidR="00D51A25">
        <w:rPr>
          <w:rFonts w:cs="Times New Roman"/>
        </w:rPr>
        <w:t xml:space="preserve">The </w:t>
      </w:r>
      <w:r w:rsidR="00D1641F">
        <w:rPr>
          <w:rFonts w:cs="Times New Roman"/>
        </w:rPr>
        <w:t xml:space="preserve">information collection consists of reporting and </w:t>
      </w:r>
      <w:r w:rsidR="00D51A25">
        <w:rPr>
          <w:rFonts w:cs="Times New Roman"/>
        </w:rPr>
        <w:t xml:space="preserve">includes interviews and responses to inquiries for information. </w:t>
      </w:r>
      <w:bookmarkStart w:id="4" w:name="_Hlk151537470"/>
      <w:r w:rsidR="0028377D">
        <w:rPr>
          <w:rFonts w:cs="Times New Roman"/>
        </w:rPr>
        <w:t>The collection</w:t>
      </w:r>
      <w:r w:rsidR="00F81D22">
        <w:rPr>
          <w:rFonts w:cs="Times New Roman"/>
        </w:rPr>
        <w:t>s</w:t>
      </w:r>
      <w:r w:rsidR="0028377D">
        <w:rPr>
          <w:rFonts w:cs="Times New Roman"/>
        </w:rPr>
        <w:t xml:space="preserve"> </w:t>
      </w:r>
      <w:r w:rsidR="00F81D22">
        <w:rPr>
          <w:rFonts w:cs="Times New Roman"/>
        </w:rPr>
        <w:t>are</w:t>
      </w:r>
      <w:r w:rsidR="0028377D">
        <w:rPr>
          <w:rFonts w:cs="Times New Roman"/>
        </w:rPr>
        <w:t xml:space="preserve"> performed on an as-needed basis</w:t>
      </w:r>
      <w:r w:rsidR="001857E2">
        <w:rPr>
          <w:rFonts w:cs="Times New Roman"/>
        </w:rPr>
        <w:t xml:space="preserve"> and expected to be once in a lifetime for</w:t>
      </w:r>
      <w:r w:rsidR="00D1641F">
        <w:rPr>
          <w:rFonts w:cs="Times New Roman"/>
        </w:rPr>
        <w:t xml:space="preserve"> </w:t>
      </w:r>
      <w:r w:rsidR="00F81D22">
        <w:rPr>
          <w:rFonts w:cs="Times New Roman"/>
        </w:rPr>
        <w:t xml:space="preserve">any </w:t>
      </w:r>
      <w:r w:rsidR="00F81D22">
        <w:rPr>
          <w:rFonts w:cs="Times New Roman"/>
        </w:rPr>
        <w:t xml:space="preserve">particular </w:t>
      </w:r>
      <w:r w:rsidR="00D1641F">
        <w:rPr>
          <w:rFonts w:cs="Times New Roman"/>
        </w:rPr>
        <w:t>individual</w:t>
      </w:r>
      <w:r w:rsidR="00F81D22">
        <w:rPr>
          <w:rFonts w:cs="Times New Roman"/>
        </w:rPr>
        <w:t xml:space="preserve"> who has been involved in a crash</w:t>
      </w:r>
      <w:r w:rsidR="001857E2">
        <w:rPr>
          <w:rFonts w:cs="Times New Roman"/>
        </w:rPr>
        <w:t xml:space="preserve"> based on likelihood of meeting inclusion criteria</w:t>
      </w:r>
      <w:r w:rsidR="0028377D">
        <w:rPr>
          <w:rFonts w:cs="Times New Roman"/>
        </w:rPr>
        <w:t>.</w:t>
      </w:r>
      <w:r w:rsidRPr="00D1641F" w:rsidR="00D1641F">
        <w:t xml:space="preserve"> </w:t>
      </w:r>
    </w:p>
    <w:p w:rsidR="00CC47EC" w:rsidRPr="00CC47EC" w:rsidP="002E381A" w14:paraId="0A31AE95" w14:textId="3FE3F16C">
      <w:pPr>
        <w:tabs>
          <w:tab w:val="left" w:pos="-720"/>
          <w:tab w:val="left" w:pos="540"/>
        </w:tabs>
        <w:rPr>
          <w:rFonts w:cs="Times New Roman"/>
        </w:rPr>
      </w:pPr>
      <w:r w:rsidRPr="00D1641F">
        <w:rPr>
          <w:rFonts w:cs="Times New Roman"/>
        </w:rPr>
        <w:t>The case subjects are selected by screening mechanisms in place at eight hospitals under contract with the National Highway Traffic Safety Administration. The information collection populates a database for internal NHTSA and public use. Case identification begins with contractor personnel screening potentially eligible case subjects in trauma logs at contracted hospitals. Potentially eligible case subject</w:t>
      </w:r>
      <w:r w:rsidR="00136B82">
        <w:rPr>
          <w:rFonts w:cs="Times New Roman"/>
        </w:rPr>
        <w:t>s</w:t>
      </w:r>
      <w:r w:rsidRPr="00D1641F">
        <w:rPr>
          <w:rFonts w:cs="Times New Roman"/>
        </w:rPr>
        <w:t xml:space="preserve"> are approached for consent to participate in the study and to further confirm eligibility. At this stage, willing participants complete an informed consent form and participate in an interview with contractor personnel. The interview includes questions about the crash circumstances, involved vehicle, medical history, and the injury outcome. Once contractor personnel determine that a respondent meets study criteria, collection of medical and crash-related data commences. Contractor personnel retrieve police crash reports and medical transport reports associated with the case subject’s crash. Contractor personnel retrieve medical data from the contractor hospital’s electronic medical record (EMR) system. A trained crash investigator locates the involved vehicle(s) at tow yards and salvage facilities and performs detailed inspections. Contractor personnel enter data into an electronic database. Following a quality control process, data are </w:t>
      </w:r>
      <w:r w:rsidRPr="00D1641F">
        <w:rPr>
          <w:rFonts w:cs="Times New Roman"/>
        </w:rPr>
        <w:t xml:space="preserve">used for internal research purposes and made available to the public. </w:t>
      </w:r>
      <w:r w:rsidRPr="008E1891" w:rsidR="008E1891">
        <w:rPr>
          <w:rFonts w:cs="Times New Roman"/>
        </w:rPr>
        <w:t xml:space="preserve">The information collected supports research efforts and countermeasure development that reduce the severity of injury and property damage caused by motor vehicle crashes. The Crash Injury Research and Engineering Network (CIREN) is a purposive sample of injured traffic crash </w:t>
      </w:r>
      <w:r w:rsidRPr="008E1891" w:rsidR="008E1891">
        <w:rPr>
          <w:rFonts w:cs="Times New Roman"/>
        </w:rPr>
        <w:t>victims to support in-depth injury causation analysis.</w:t>
      </w:r>
      <w:r w:rsidR="008E1891">
        <w:rPr>
          <w:rFonts w:cs="Times New Roman"/>
        </w:rPr>
        <w:t xml:space="preserve"> </w:t>
      </w:r>
      <w:r w:rsidRPr="00D1641F">
        <w:rPr>
          <w:rFonts w:cs="Times New Roman"/>
        </w:rPr>
        <w:t>Each contractor site receives approval for this collection from its Institutional Review Board (IRB) according to its own institutional protocols. The purpose of this information collection is to document injury causation in motor vehicle crashes and build a repository of detailed crash injury data.</w:t>
      </w:r>
      <w:r>
        <w:rPr>
          <w:rFonts w:cs="Times New Roman"/>
        </w:rPr>
        <w:t xml:space="preserve"> </w:t>
      </w:r>
      <w:bookmarkEnd w:id="4"/>
    </w:p>
    <w:p w:rsidR="000A650D" w:rsidP="00FB047D" w14:paraId="2F0346E6" w14:textId="77777777">
      <w:pPr>
        <w:autoSpaceDE w:val="0"/>
        <w:autoSpaceDN w:val="0"/>
        <w:adjustRightInd w:val="0"/>
        <w:spacing w:after="0" w:line="240" w:lineRule="auto"/>
        <w:rPr>
          <w:rFonts w:cs="Times New Roman"/>
          <w:b/>
          <w:szCs w:val="24"/>
        </w:rPr>
      </w:pPr>
    </w:p>
    <w:p w:rsidR="000154D7" w:rsidRPr="00A164D2" w:rsidP="00FB047D" w14:paraId="2BC3A4F2" w14:textId="77777777">
      <w:pPr>
        <w:pStyle w:val="CommentText"/>
        <w:keepNext/>
        <w:numPr>
          <w:ilvl w:val="0"/>
          <w:numId w:val="7"/>
        </w:numPr>
        <w:tabs>
          <w:tab w:val="num" w:pos="360"/>
        </w:tabs>
        <w:autoSpaceDE w:val="0"/>
        <w:autoSpaceDN w:val="0"/>
        <w:adjustRightInd w:val="0"/>
        <w:spacing w:after="0"/>
        <w:ind w:left="0" w:firstLine="0"/>
        <w:outlineLvl w:val="0"/>
        <w:rPr>
          <w:rFonts w:eastAsia="Times New Roman" w:cs="Times New Roman"/>
          <w:b/>
          <w:bCs/>
          <w:sz w:val="24"/>
          <w:szCs w:val="24"/>
          <w:u w:val="single"/>
        </w:rPr>
      </w:pPr>
      <w:r w:rsidRPr="00A164D2">
        <w:rPr>
          <w:rFonts w:eastAsia="Times New Roman" w:cs="Times New Roman"/>
          <w:b/>
          <w:bCs/>
          <w:sz w:val="24"/>
          <w:szCs w:val="24"/>
          <w:u w:val="single"/>
        </w:rPr>
        <w:t>Justification</w:t>
      </w:r>
    </w:p>
    <w:p w:rsidR="000A650D" w:rsidRPr="00FB047D" w:rsidP="00FB047D" w14:paraId="0B9BA505" w14:textId="77777777">
      <w:pPr>
        <w:rPr>
          <w:szCs w:val="24"/>
        </w:rPr>
      </w:pPr>
    </w:p>
    <w:p w:rsidR="002F2DEA" w:rsidRPr="00A164D2" w:rsidP="00F2317A" w14:paraId="6D1660C5" w14:textId="77777777">
      <w:pPr>
        <w:pStyle w:val="CommentText"/>
        <w:numPr>
          <w:ilvl w:val="0"/>
          <w:numId w:val="18"/>
        </w:numPr>
        <w:autoSpaceDE w:val="0"/>
        <w:autoSpaceDN w:val="0"/>
        <w:adjustRightInd w:val="0"/>
        <w:spacing w:before="240" w:after="120"/>
        <w:rPr>
          <w:rFonts w:cs="Times New Roman"/>
          <w:b/>
          <w:sz w:val="24"/>
          <w:szCs w:val="24"/>
        </w:rPr>
      </w:pPr>
      <w:bookmarkStart w:id="5" w:name="_Hlk51324508"/>
      <w:r w:rsidRPr="00A164D2">
        <w:rPr>
          <w:rFonts w:cs="Times New Roman"/>
          <w:b/>
          <w:sz w:val="24"/>
          <w:szCs w:val="24"/>
        </w:rPr>
        <w:t>Explain the circumstances that mak</w:t>
      </w:r>
      <w:r w:rsidRPr="00A164D2" w:rsidR="004668D3">
        <w:rPr>
          <w:rFonts w:cs="Times New Roman"/>
          <w:b/>
          <w:sz w:val="24"/>
          <w:szCs w:val="24"/>
        </w:rPr>
        <w:t>e the collection of information</w:t>
      </w:r>
      <w:r w:rsidRPr="00A164D2">
        <w:rPr>
          <w:rFonts w:cs="Times New Roman"/>
          <w:b/>
          <w:sz w:val="24"/>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6" w:name="_Hlk51325321"/>
      <w:bookmarkEnd w:id="5"/>
    </w:p>
    <w:p w:rsidR="00011C38" w:rsidRPr="00011C38" w:rsidP="009572DC" w14:paraId="7BFCCE45" w14:textId="45F3B377">
      <w:pPr>
        <w:autoSpaceDE w:val="0"/>
        <w:autoSpaceDN w:val="0"/>
        <w:adjustRightInd w:val="0"/>
        <w:spacing w:before="240" w:after="120" w:line="240" w:lineRule="auto"/>
        <w:rPr>
          <w:rFonts w:cs="Times New Roman"/>
        </w:rPr>
      </w:pPr>
      <w:r w:rsidRPr="00011C38">
        <w:rPr>
          <w:rFonts w:cs="Times New Roman"/>
        </w:rPr>
        <w:t xml:space="preserve">NHTSA operates multiple motor vehicle crash data collection programs. The collective efforts of these programs help to identify the primary factors related to crash causation and vehicle crashworthiness. The resulting data support </w:t>
      </w:r>
      <w:r w:rsidR="008E1891">
        <w:rPr>
          <w:rFonts w:cs="Times New Roman"/>
        </w:rPr>
        <w:t>NHTSA’s</w:t>
      </w:r>
      <w:r w:rsidRPr="00011C38">
        <w:rPr>
          <w:rFonts w:cs="Times New Roman"/>
        </w:rPr>
        <w:t xml:space="preserve"> efforts to implement research programs, develop and evaluate effective safety countermeasures, and establish and enforce motor vehicle regulations. Collectively, these efforts reduce the severity of injury and property damage caused by motor vehicle crashes. </w:t>
      </w:r>
      <w:r>
        <w:rPr>
          <w:rFonts w:cs="Times New Roman"/>
        </w:rPr>
        <w:t>The majority of</w:t>
      </w:r>
      <w:r>
        <w:rPr>
          <w:rFonts w:cs="Times New Roman"/>
        </w:rPr>
        <w:t xml:space="preserve"> these databases are operated through the National Center for Statistics and Analysis</w:t>
      </w:r>
      <w:r w:rsidR="009572DC">
        <w:rPr>
          <w:rFonts w:cs="Times New Roman"/>
        </w:rPr>
        <w:t xml:space="preserve"> (NCSA)</w:t>
      </w:r>
      <w:r>
        <w:rPr>
          <w:rFonts w:cs="Times New Roman"/>
        </w:rPr>
        <w:t>.</w:t>
      </w:r>
    </w:p>
    <w:p w:rsidR="00E04BA8" w:rsidP="00E04BA8" w14:paraId="5384BFAC" w14:textId="7D55A581">
      <w:pPr>
        <w:autoSpaceDE w:val="0"/>
        <w:autoSpaceDN w:val="0"/>
        <w:adjustRightInd w:val="0"/>
        <w:spacing w:before="240" w:after="120" w:line="240" w:lineRule="auto"/>
        <w:rPr>
          <w:rFonts w:cs="Times New Roman"/>
        </w:rPr>
      </w:pPr>
      <w:r w:rsidRPr="0076715A">
        <w:rPr>
          <w:rFonts w:cs="Times New Roman"/>
        </w:rPr>
        <w:t>NHTSA’s</w:t>
      </w:r>
      <w:r w:rsidRPr="00F40F6F" w:rsidR="00CC47EC">
        <w:rPr>
          <w:rFonts w:cs="Times New Roman"/>
        </w:rPr>
        <w:t xml:space="preserve"> </w:t>
      </w:r>
      <w:r w:rsidR="00F40F6F">
        <w:rPr>
          <w:rFonts w:cs="Times New Roman"/>
        </w:rPr>
        <w:t xml:space="preserve">research programs </w:t>
      </w:r>
      <w:r>
        <w:rPr>
          <w:rFonts w:cs="Times New Roman"/>
        </w:rPr>
        <w:t xml:space="preserve">play an essential role in supporting </w:t>
      </w:r>
      <w:r w:rsidRPr="00F40F6F" w:rsidR="00CC47EC">
        <w:rPr>
          <w:rFonts w:cs="Times New Roman"/>
        </w:rPr>
        <w:t xml:space="preserve">the Agency’s primary mission of saving lives and preventing injuries associated with motor vehicle crashes. NHTSA </w:t>
      </w:r>
      <w:r>
        <w:rPr>
          <w:rFonts w:cs="Times New Roman"/>
        </w:rPr>
        <w:t>fulfills</w:t>
      </w:r>
      <w:r w:rsidRPr="00F40F6F">
        <w:rPr>
          <w:rFonts w:cs="Times New Roman"/>
        </w:rPr>
        <w:t xml:space="preserve"> </w:t>
      </w:r>
      <w:r w:rsidRPr="00F40F6F" w:rsidR="00CC47EC">
        <w:rPr>
          <w:rFonts w:cs="Times New Roman"/>
        </w:rPr>
        <w:t xml:space="preserve">this mission in three ways: primary prevention (e.g., preventing the crash from occurring), </w:t>
      </w:r>
      <w:r>
        <w:rPr>
          <w:rFonts w:cs="Times New Roman"/>
        </w:rPr>
        <w:t xml:space="preserve">advancing </w:t>
      </w:r>
      <w:r w:rsidRPr="00F40F6F" w:rsidR="00CC47EC">
        <w:rPr>
          <w:rFonts w:cs="Times New Roman"/>
        </w:rPr>
        <w:t>motor vehicle crashworthiness (e.g., elimination of injuries and fatalities during a crash), and</w:t>
      </w:r>
      <w:r>
        <w:rPr>
          <w:rFonts w:cs="Times New Roman"/>
        </w:rPr>
        <w:t xml:space="preserve"> implementing</w:t>
      </w:r>
      <w:r w:rsidRPr="00F40F6F" w:rsidR="00CC47EC">
        <w:rPr>
          <w:rFonts w:cs="Times New Roman"/>
        </w:rPr>
        <w:t xml:space="preserve"> effective post-crash response (e.g.</w:t>
      </w:r>
      <w:r w:rsidR="0099445C">
        <w:rPr>
          <w:rFonts w:cs="Times New Roman"/>
        </w:rPr>
        <w:t>,</w:t>
      </w:r>
      <w:r w:rsidRPr="00F40F6F" w:rsidR="00CC47EC">
        <w:rPr>
          <w:rFonts w:cs="Times New Roman"/>
        </w:rPr>
        <w:t xml:space="preserve"> mitigation of crash consequences through a</w:t>
      </w:r>
      <w:r w:rsidRPr="00F40F6F" w:rsidR="00E15006">
        <w:rPr>
          <w:rFonts w:cs="Times New Roman"/>
        </w:rPr>
        <w:t>n effective</w:t>
      </w:r>
      <w:r w:rsidRPr="00F40F6F" w:rsidR="00CC47EC">
        <w:rPr>
          <w:rFonts w:cs="Times New Roman"/>
        </w:rPr>
        <w:t xml:space="preserve"> system of emergency medical services). </w:t>
      </w:r>
      <w:r>
        <w:rPr>
          <w:rFonts w:cs="Times New Roman"/>
        </w:rPr>
        <w:t xml:space="preserve">Development and completion of research programs supportive of the Agency’s mission necessitates </w:t>
      </w:r>
      <w:r w:rsidR="003A1F69">
        <w:rPr>
          <w:rFonts w:cs="Times New Roman"/>
        </w:rPr>
        <w:t xml:space="preserve">real-world data with the needs of the research process in mind. Following guidance from the National Academy of Sciences, NHTSA’s Office of Vehicle Safety Research commenced </w:t>
      </w:r>
      <w:r w:rsidR="00011C38">
        <w:rPr>
          <w:rFonts w:cs="Times New Roman"/>
        </w:rPr>
        <w:t xml:space="preserve">a unique, </w:t>
      </w:r>
      <w:r w:rsidR="008574D4">
        <w:rPr>
          <w:rFonts w:cs="Times New Roman"/>
        </w:rPr>
        <w:t>injury-focused</w:t>
      </w:r>
      <w:r w:rsidR="003A1F69">
        <w:rPr>
          <w:rFonts w:cs="Times New Roman"/>
        </w:rPr>
        <w:t xml:space="preserve"> crash data collection program </w:t>
      </w:r>
      <w:r w:rsidR="008574D4">
        <w:rPr>
          <w:rFonts w:cs="Times New Roman"/>
        </w:rPr>
        <w:t>that merges engineering and medicine to inform research decisions related to improving human protection in crashes</w:t>
      </w:r>
      <w:r w:rsidR="008E1891">
        <w:rPr>
          <w:rFonts w:cs="Times New Roman"/>
        </w:rPr>
        <w:t xml:space="preserve">. This </w:t>
      </w:r>
      <w:r w:rsidR="002E381A">
        <w:rPr>
          <w:rFonts w:cs="Times New Roman"/>
        </w:rPr>
        <w:t>program, the</w:t>
      </w:r>
      <w:r w:rsidR="00011C38">
        <w:rPr>
          <w:rFonts w:cs="Times New Roman"/>
        </w:rPr>
        <w:t xml:space="preserve"> Crash Injury Research and Engineering Network (CIREN)</w:t>
      </w:r>
      <w:r w:rsidR="008E1891">
        <w:rPr>
          <w:rFonts w:cs="Times New Roman"/>
        </w:rPr>
        <w:t xml:space="preserve"> </w:t>
      </w:r>
      <w:r w:rsidR="00011C38">
        <w:rPr>
          <w:rFonts w:cs="Times New Roman"/>
        </w:rPr>
        <w:t>is operated through the Office of Vehicle Safety Research rather than NCSA.</w:t>
      </w:r>
    </w:p>
    <w:p w:rsidR="00FC1A2E" w:rsidP="00E04BA8" w14:paraId="6C0DB909" w14:textId="5F42A7E3">
      <w:pPr>
        <w:autoSpaceDE w:val="0"/>
        <w:autoSpaceDN w:val="0"/>
        <w:adjustRightInd w:val="0"/>
        <w:spacing w:before="240" w:after="120" w:line="240" w:lineRule="auto"/>
        <w:rPr>
          <w:rFonts w:cs="Times New Roman"/>
        </w:rPr>
      </w:pPr>
      <w:r w:rsidRPr="00F40F6F">
        <w:rPr>
          <w:rFonts w:cs="Times New Roman"/>
        </w:rPr>
        <w:t>NHTSA is authorized by 49 U.S.C. § 30182 and 23 U.S.C. § 403 to collect data on motor vehicle traffic crashes to aid in the identification of issues and the developm</w:t>
      </w:r>
      <w:r w:rsidRPr="00E04BA8">
        <w:rPr>
          <w:rFonts w:cs="Times New Roman"/>
        </w:rPr>
        <w:t xml:space="preserve">ent, implementation, and evaluation of motor vehicle and highway safety countermeasures. The information collected serves to identify and develop safety countermeasures that will </w:t>
      </w:r>
      <w:r w:rsidRPr="00F40F6F">
        <w:rPr>
          <w:rFonts w:cs="Times New Roman"/>
        </w:rPr>
        <w:t>r</w:t>
      </w:r>
      <w:r w:rsidRPr="00F40F6F" w:rsidR="00CC47EC">
        <w:rPr>
          <w:rFonts w:cs="Times New Roman"/>
        </w:rPr>
        <w:t xml:space="preserve">educe the severity of injury and property damage caused by motor vehicle crashes.  </w:t>
      </w:r>
      <w:r w:rsidRPr="00F40F6F" w:rsidR="002B781E">
        <w:rPr>
          <w:rFonts w:cs="Times New Roman"/>
        </w:rPr>
        <w:t xml:space="preserve">This ICR covers </w:t>
      </w:r>
      <w:r w:rsidR="00011C38">
        <w:rPr>
          <w:rFonts w:cs="Times New Roman"/>
        </w:rPr>
        <w:t xml:space="preserve">the NSR-operated </w:t>
      </w:r>
      <w:r w:rsidR="00F40F6F">
        <w:rPr>
          <w:rFonts w:cs="Times New Roman"/>
        </w:rPr>
        <w:t>investigation-based crash data system</w:t>
      </w:r>
      <w:r w:rsidR="00A64002">
        <w:rPr>
          <w:rFonts w:cs="Times New Roman"/>
        </w:rPr>
        <w:t xml:space="preserve"> CIREN</w:t>
      </w:r>
      <w:r w:rsidR="00F40F6F">
        <w:rPr>
          <w:rFonts w:cs="Times New Roman"/>
        </w:rPr>
        <w:t xml:space="preserve">. </w:t>
      </w:r>
      <w:r w:rsidR="00A64002">
        <w:rPr>
          <w:rFonts w:cs="Times New Roman"/>
        </w:rPr>
        <w:t xml:space="preserve">CIREN uses similar investigative protocols as </w:t>
      </w:r>
      <w:r w:rsidR="00011C38">
        <w:rPr>
          <w:rFonts w:cs="Times New Roman"/>
        </w:rPr>
        <w:t>NHTSA’s Crash Investigation Sampling System (</w:t>
      </w:r>
      <w:r w:rsidR="00A64002">
        <w:rPr>
          <w:rFonts w:cs="Times New Roman"/>
        </w:rPr>
        <w:t>CISS</w:t>
      </w:r>
      <w:r w:rsidR="00011C38">
        <w:rPr>
          <w:rFonts w:cs="Times New Roman"/>
        </w:rPr>
        <w:t>)</w:t>
      </w:r>
      <w:r w:rsidR="00A64002">
        <w:rPr>
          <w:rFonts w:cs="Times New Roman"/>
        </w:rPr>
        <w:t xml:space="preserve"> and </w:t>
      </w:r>
      <w:r w:rsidR="00011C38">
        <w:rPr>
          <w:rFonts w:cs="Times New Roman"/>
        </w:rPr>
        <w:t>Special Crash Investigations (</w:t>
      </w:r>
      <w:r w:rsidR="00A64002">
        <w:rPr>
          <w:rFonts w:cs="Times New Roman"/>
        </w:rPr>
        <w:t>SCI</w:t>
      </w:r>
      <w:r w:rsidR="00011C38">
        <w:rPr>
          <w:rFonts w:cs="Times New Roman"/>
        </w:rPr>
        <w:t>)</w:t>
      </w:r>
      <w:r w:rsidR="00A64002">
        <w:rPr>
          <w:rFonts w:cs="Times New Roman"/>
        </w:rPr>
        <w:t xml:space="preserve">, </w:t>
      </w:r>
      <w:r w:rsidR="00A64002">
        <w:rPr>
          <w:rFonts w:cs="Times New Roman"/>
        </w:rPr>
        <w:t>and also</w:t>
      </w:r>
      <w:r w:rsidR="00A64002">
        <w:rPr>
          <w:rFonts w:cs="Times New Roman"/>
        </w:rPr>
        <w:t xml:space="preserve"> shares </w:t>
      </w:r>
      <w:r w:rsidR="0075244A">
        <w:rPr>
          <w:rFonts w:cs="Times New Roman"/>
        </w:rPr>
        <w:t>I</w:t>
      </w:r>
      <w:r w:rsidR="00A64002">
        <w:rPr>
          <w:rFonts w:cs="Times New Roman"/>
        </w:rPr>
        <w:t xml:space="preserve">nformation </w:t>
      </w:r>
      <w:r w:rsidR="0075244A">
        <w:rPr>
          <w:rFonts w:cs="Times New Roman"/>
        </w:rPr>
        <w:t>T</w:t>
      </w:r>
      <w:r w:rsidR="00A64002">
        <w:rPr>
          <w:rFonts w:cs="Times New Roman"/>
        </w:rPr>
        <w:t xml:space="preserve">echnology resources. </w:t>
      </w:r>
      <w:r w:rsidR="008E1891">
        <w:rPr>
          <w:rFonts w:cs="Times New Roman"/>
        </w:rPr>
        <w:t xml:space="preserve">CIREN was previously included in the ICR for NHTSA’s CISS and SCI information collections. </w:t>
      </w:r>
      <w:r w:rsidR="00011C38">
        <w:rPr>
          <w:rFonts w:cs="Times New Roman"/>
        </w:rPr>
        <w:t>However</w:t>
      </w:r>
      <w:r w:rsidR="009572DC">
        <w:rPr>
          <w:rFonts w:cs="Times New Roman"/>
        </w:rPr>
        <w:t>,</w:t>
      </w:r>
      <w:r w:rsidR="00011C38">
        <w:rPr>
          <w:rFonts w:cs="Times New Roman"/>
        </w:rPr>
        <w:t xml:space="preserve"> </w:t>
      </w:r>
      <w:r w:rsidR="008E1891">
        <w:rPr>
          <w:rFonts w:cs="Times New Roman"/>
        </w:rPr>
        <w:t xml:space="preserve">because </w:t>
      </w:r>
      <w:r w:rsidR="00A64002">
        <w:rPr>
          <w:rFonts w:cs="Times New Roman"/>
        </w:rPr>
        <w:t xml:space="preserve">CIREN is aimed at supporting crash injury research, </w:t>
      </w:r>
      <w:r w:rsidR="00011C38">
        <w:rPr>
          <w:rFonts w:cs="Times New Roman"/>
        </w:rPr>
        <w:t xml:space="preserve">and therefore </w:t>
      </w:r>
      <w:r w:rsidR="00A64002">
        <w:rPr>
          <w:rFonts w:cs="Times New Roman"/>
        </w:rPr>
        <w:t xml:space="preserve">differs substantially in terms of medical data </w:t>
      </w:r>
      <w:r w:rsidR="00A64002">
        <w:rPr>
          <w:rFonts w:cs="Times New Roman"/>
        </w:rPr>
        <w:t>collection</w:t>
      </w:r>
      <w:r>
        <w:rPr>
          <w:rFonts w:cs="Times New Roman"/>
        </w:rPr>
        <w:t xml:space="preserve"> and analysis</w:t>
      </w:r>
      <w:r w:rsidR="008E1891">
        <w:rPr>
          <w:rFonts w:cs="Times New Roman"/>
        </w:rPr>
        <w:t>, NHTSA has determined that it would be appropriate to seek an approval for an independent ICR.</w:t>
      </w:r>
    </w:p>
    <w:p w:rsidR="00CC47EC" w:rsidRPr="001D1E92" w:rsidP="00E04BA8" w14:paraId="08C8EF69" w14:textId="375996FD">
      <w:pPr>
        <w:autoSpaceDE w:val="0"/>
        <w:autoSpaceDN w:val="0"/>
        <w:adjustRightInd w:val="0"/>
        <w:spacing w:before="240" w:after="120" w:line="240" w:lineRule="auto"/>
        <w:rPr>
          <w:rFonts w:cs="Times New Roman"/>
        </w:rPr>
      </w:pPr>
      <w:r>
        <w:rPr>
          <w:rFonts w:cs="Times New Roman"/>
        </w:rPr>
        <w:t xml:space="preserve">CIREN is a purposive sample, collected from a small number of sites, intended to extensively examine and document injury causation in motor vehicle crashes. </w:t>
      </w:r>
      <w:r w:rsidR="00386CAB">
        <w:rPr>
          <w:rFonts w:cs="Times New Roman"/>
        </w:rPr>
        <w:t xml:space="preserve">CIREN investigation sites are located at </w:t>
      </w:r>
      <w:r w:rsidR="008E1891">
        <w:rPr>
          <w:rFonts w:cs="Times New Roman"/>
        </w:rPr>
        <w:t xml:space="preserve">eight </w:t>
      </w:r>
      <w:r w:rsidR="00386CAB">
        <w:rPr>
          <w:rFonts w:cs="Times New Roman"/>
        </w:rPr>
        <w:t xml:space="preserve">contracted level-one trauma centers with high volumes of motor vehicle trauma admissions </w:t>
      </w:r>
      <w:r w:rsidR="00386CAB">
        <w:rPr>
          <w:rFonts w:cs="Times New Roman"/>
        </w:rPr>
        <w:t>in order to</w:t>
      </w:r>
      <w:r w:rsidR="00386CAB">
        <w:rPr>
          <w:rFonts w:cs="Times New Roman"/>
        </w:rPr>
        <w:t xml:space="preserve"> capture a sufficient number of cases meeting the study criteria. </w:t>
      </w:r>
      <w:r>
        <w:rPr>
          <w:rFonts w:cs="Times New Roman"/>
        </w:rPr>
        <w:t xml:space="preserve">Biomechanical engineers and medical doctors collaboratively review case evidence to establish injury causation scenarios. With its focus on restrained occupants of newer vehicles in specific crash types, the CIREN program acts as a sentinel to monitor emerging occupant protection issues. Involvement of injury biomechanics </w:t>
      </w:r>
      <w:r>
        <w:rPr>
          <w:rFonts w:cs="Times New Roman"/>
        </w:rPr>
        <w:t>experts</w:t>
      </w:r>
      <w:r>
        <w:rPr>
          <w:rFonts w:cs="Times New Roman"/>
        </w:rPr>
        <w:t xml:space="preserve"> positions CIREN as a catalyst to generate research hypotheses. CIREN program goals are closely aligned with NHTSA vehicle safety research priorities.</w:t>
      </w:r>
      <w:r w:rsidR="002E729A">
        <w:rPr>
          <w:rFonts w:cs="Times New Roman"/>
        </w:rPr>
        <w:t xml:space="preserve"> </w:t>
      </w:r>
      <w:r w:rsidR="00C17037">
        <w:rPr>
          <w:rFonts w:cs="Times New Roman"/>
        </w:rPr>
        <w:t xml:space="preserve">The resulting database provides </w:t>
      </w:r>
      <w:r w:rsidR="00655277">
        <w:rPr>
          <w:rFonts w:cs="Times New Roman"/>
        </w:rPr>
        <w:t xml:space="preserve">NHTSA and the public </w:t>
      </w:r>
      <w:r w:rsidR="00C17037">
        <w:rPr>
          <w:rFonts w:cs="Times New Roman"/>
        </w:rPr>
        <w:t>with</w:t>
      </w:r>
      <w:r w:rsidR="00C41220">
        <w:rPr>
          <w:rFonts w:cs="Times New Roman"/>
        </w:rPr>
        <w:t xml:space="preserve"> access to a </w:t>
      </w:r>
      <w:r w:rsidR="00680FF5">
        <w:rPr>
          <w:rFonts w:cs="Times New Roman"/>
        </w:rPr>
        <w:t xml:space="preserve">crash data which </w:t>
      </w:r>
      <w:r w:rsidR="00D23F75">
        <w:rPr>
          <w:rFonts w:cs="Times New Roman"/>
        </w:rPr>
        <w:t>contain</w:t>
      </w:r>
      <w:r w:rsidR="00680FF5">
        <w:rPr>
          <w:rFonts w:cs="Times New Roman"/>
        </w:rPr>
        <w:t xml:space="preserve">s extensive medical detail, including </w:t>
      </w:r>
      <w:r w:rsidR="00EB0473">
        <w:rPr>
          <w:rFonts w:cs="Times New Roman"/>
        </w:rPr>
        <w:t>medical imaging</w:t>
      </w:r>
      <w:r w:rsidR="00186AAE">
        <w:rPr>
          <w:rFonts w:cs="Times New Roman"/>
        </w:rPr>
        <w:t>, which is a unique resource</w:t>
      </w:r>
      <w:r w:rsidR="00227C7F">
        <w:rPr>
          <w:rFonts w:cs="Times New Roman"/>
        </w:rPr>
        <w:t xml:space="preserve"> among crash data </w:t>
      </w:r>
      <w:r w:rsidR="00386928">
        <w:rPr>
          <w:rFonts w:cs="Times New Roman"/>
        </w:rPr>
        <w:t>systems.</w:t>
      </w:r>
      <w:r w:rsidR="00C103C5">
        <w:rPr>
          <w:rFonts w:cs="Times New Roman"/>
        </w:rPr>
        <w:t xml:space="preserve"> </w:t>
      </w:r>
      <w:r w:rsidR="00D3782B">
        <w:rPr>
          <w:rFonts w:cs="Times New Roman"/>
        </w:rPr>
        <w:t xml:space="preserve">There is no other source for </w:t>
      </w:r>
      <w:r w:rsidR="008009D0">
        <w:rPr>
          <w:rFonts w:cs="Times New Roman"/>
        </w:rPr>
        <w:t>th</w:t>
      </w:r>
      <w:r w:rsidR="003C17ED">
        <w:rPr>
          <w:rFonts w:cs="Times New Roman"/>
        </w:rPr>
        <w:t>is</w:t>
      </w:r>
      <w:r w:rsidR="008009D0">
        <w:rPr>
          <w:rFonts w:cs="Times New Roman"/>
        </w:rPr>
        <w:t xml:space="preserve"> biomechanics-focused</w:t>
      </w:r>
      <w:r w:rsidR="00420704">
        <w:rPr>
          <w:rFonts w:cs="Times New Roman"/>
        </w:rPr>
        <w:t xml:space="preserve"> data which is critical to </w:t>
      </w:r>
      <w:r w:rsidR="00E41973">
        <w:rPr>
          <w:rFonts w:cs="Times New Roman"/>
        </w:rPr>
        <w:t xml:space="preserve">support </w:t>
      </w:r>
      <w:r w:rsidR="00B85451">
        <w:rPr>
          <w:rFonts w:cs="Times New Roman"/>
        </w:rPr>
        <w:t>crash injury mitigation and prevention research.</w:t>
      </w:r>
    </w:p>
    <w:p w:rsidR="0075244A" w:rsidRPr="002F2DEA" w:rsidP="002F2DEA" w14:paraId="4E1DDD7B" w14:textId="0537380B">
      <w:pPr>
        <w:pStyle w:val="ListParagraph"/>
        <w:autoSpaceDE w:val="0"/>
        <w:autoSpaceDN w:val="0"/>
        <w:adjustRightInd w:val="0"/>
        <w:spacing w:before="240" w:after="120" w:line="240" w:lineRule="auto"/>
        <w:contextualSpacing w:val="0"/>
        <w:rPr>
          <w:rFonts w:cs="Times New Roman"/>
          <w:b/>
          <w:szCs w:val="24"/>
        </w:rPr>
      </w:pPr>
    </w:p>
    <w:p w:rsidR="00D652BB" w:rsidRPr="0076715A" w:rsidP="00D76E36" w14:paraId="1DBADE1D" w14:textId="72DE69BA">
      <w:pPr>
        <w:pStyle w:val="ListParagraph"/>
        <w:numPr>
          <w:ilvl w:val="0"/>
          <w:numId w:val="18"/>
        </w:numPr>
        <w:spacing w:before="240"/>
        <w:rPr>
          <w:rFonts w:cs="Times New Roman"/>
        </w:rPr>
      </w:pPr>
      <w:r w:rsidRPr="00F2317A">
        <w:rPr>
          <w:b/>
        </w:rPr>
        <w:t>Indicate how, by whom, and for what purpose the information is to be used. Except for a new collection, indicate the actual use the agency has made of the information received from the current collection</w:t>
      </w:r>
      <w:bookmarkEnd w:id="6"/>
      <w:r w:rsidRPr="00F2317A">
        <w:rPr>
          <w:b/>
        </w:rPr>
        <w:t>.</w:t>
      </w:r>
    </w:p>
    <w:p w:rsidR="004C6529" w:rsidP="00D76E36" w14:paraId="0F01EFDB" w14:textId="47128B48">
      <w:pPr>
        <w:spacing w:before="240"/>
        <w:rPr>
          <w:rFonts w:cs="Times New Roman"/>
        </w:rPr>
      </w:pPr>
      <w:r w:rsidRPr="0076715A">
        <w:rPr>
          <w:rFonts w:cs="Times New Roman"/>
        </w:rPr>
        <w:t xml:space="preserve">The </w:t>
      </w:r>
      <w:r w:rsidR="00D76E36">
        <w:rPr>
          <w:rFonts w:cs="Times New Roman"/>
        </w:rPr>
        <w:t xml:space="preserve">general </w:t>
      </w:r>
      <w:r w:rsidRPr="0076715A">
        <w:rPr>
          <w:rFonts w:cs="Times New Roman"/>
        </w:rPr>
        <w:t xml:space="preserve">purpose of </w:t>
      </w:r>
      <w:r w:rsidRPr="0076715A" w:rsidR="00E47953">
        <w:rPr>
          <w:rFonts w:cs="Times New Roman"/>
        </w:rPr>
        <w:t>NHTSA</w:t>
      </w:r>
      <w:r w:rsidRPr="0076715A">
        <w:rPr>
          <w:rFonts w:cs="Times New Roman"/>
        </w:rPr>
        <w:t xml:space="preserve">’s investigation-based </w:t>
      </w:r>
      <w:r w:rsidR="00D76E36">
        <w:rPr>
          <w:rFonts w:cs="Times New Roman"/>
        </w:rPr>
        <w:t xml:space="preserve">crash </w:t>
      </w:r>
      <w:r w:rsidRPr="0076715A">
        <w:rPr>
          <w:rFonts w:cs="Times New Roman"/>
        </w:rPr>
        <w:t>data collection systems is to</w:t>
      </w:r>
      <w:r w:rsidRPr="0076715A" w:rsidR="00E47953">
        <w:rPr>
          <w:rFonts w:cs="Times New Roman"/>
        </w:rPr>
        <w:t xml:space="preserve"> investigate</w:t>
      </w:r>
      <w:r w:rsidRPr="004C6529" w:rsidR="00E47953">
        <w:rPr>
          <w:rFonts w:cs="Times New Roman"/>
        </w:rPr>
        <w:t xml:space="preserve"> real-world crashes and collect detailed crash data</w:t>
      </w:r>
      <w:r w:rsidR="00D76E36">
        <w:rPr>
          <w:rFonts w:cs="Times New Roman"/>
        </w:rPr>
        <w:t>. These detailed data help</w:t>
      </w:r>
      <w:r w:rsidRPr="00D76E36" w:rsidR="00E47953">
        <w:rPr>
          <w:rFonts w:cs="Times New Roman"/>
        </w:rPr>
        <w:t xml:space="preserve"> </w:t>
      </w:r>
      <w:r w:rsidRPr="004C6529" w:rsidR="00E47953">
        <w:rPr>
          <w:rFonts w:cs="Times New Roman"/>
        </w:rPr>
        <w:t>t</w:t>
      </w:r>
      <w:r w:rsidRPr="00D76E36" w:rsidR="00E47953">
        <w:rPr>
          <w:rFonts w:cs="Times New Roman"/>
        </w:rPr>
        <w:t xml:space="preserve">o identify the primary factors related to </w:t>
      </w:r>
      <w:r w:rsidR="00305602">
        <w:rPr>
          <w:rFonts w:cs="Times New Roman"/>
        </w:rPr>
        <w:t>motor vehicle crash and injury causation</w:t>
      </w:r>
      <w:r w:rsidRPr="00D76E36" w:rsidR="00E47953">
        <w:rPr>
          <w:rFonts w:cs="Times New Roman"/>
        </w:rPr>
        <w:t xml:space="preserve">. </w:t>
      </w:r>
      <w:r w:rsidR="00305602">
        <w:rPr>
          <w:rFonts w:cs="Times New Roman"/>
        </w:rPr>
        <w:t>Knowledge of these factors supports development and evaluation of</w:t>
      </w:r>
      <w:r w:rsidRPr="00D76E36" w:rsidR="00E47953">
        <w:rPr>
          <w:rFonts w:cs="Times New Roman"/>
        </w:rPr>
        <w:t xml:space="preserve"> effective safety countermeasures</w:t>
      </w:r>
      <w:r w:rsidR="00305602">
        <w:rPr>
          <w:rFonts w:cs="Times New Roman"/>
        </w:rPr>
        <w:t>,</w:t>
      </w:r>
      <w:r w:rsidRPr="00D76E36" w:rsidR="00E47953">
        <w:rPr>
          <w:rFonts w:cs="Times New Roman"/>
        </w:rPr>
        <w:t xml:space="preserve"> including the establishment and enforcement of motor vehicle regulations that reduce the severity of injury and property damage caused by motor vehicle crashes.</w:t>
      </w:r>
      <w:r w:rsidR="00D76E36">
        <w:rPr>
          <w:rFonts w:cs="Times New Roman"/>
        </w:rPr>
        <w:t xml:space="preserve"> </w:t>
      </w:r>
      <w:r w:rsidR="00E01E42">
        <w:rPr>
          <w:rFonts w:cs="Times New Roman"/>
        </w:rPr>
        <w:t>Further, d</w:t>
      </w:r>
      <w:r w:rsidR="004E507F">
        <w:rPr>
          <w:rFonts w:cs="Times New Roman"/>
        </w:rPr>
        <w:t>etailed analysis of real-world crash data is crucial to vehicle safety research efforts – it informs research decisions and provides ground truth about vehicle safety performance.</w:t>
      </w:r>
    </w:p>
    <w:p w:rsidR="003C17ED" w:rsidRPr="003C17ED" w:rsidP="003C17ED" w14:paraId="69916318" w14:textId="77777777">
      <w:pPr>
        <w:spacing w:before="240"/>
        <w:rPr>
          <w:rFonts w:cs="Times New Roman"/>
        </w:rPr>
      </w:pPr>
      <w:r w:rsidRPr="003C17ED">
        <w:rPr>
          <w:rFonts w:cs="Times New Roman"/>
        </w:rPr>
        <w:t xml:space="preserve">The method of case subject identification and selection is unique for CIREN. CIREN collects a purposive sample </w:t>
      </w:r>
      <w:r w:rsidRPr="003C17ED">
        <w:rPr>
          <w:rFonts w:cs="Times New Roman"/>
        </w:rPr>
        <w:t xml:space="preserve">of injured traffic crash victims from a small number of sites to extensively examine and document injury causation in motor vehicle crashes. The CIREN program enrolls case subjects (crash victims) who have been admitted to eight contracted level-one trauma centers for treatment of injuries sustained in crashes and consent to participate in the study. The collection facilitates detailed review and analysis of medical and engineering data by multidisciplinary teams to evaluate injury causation. The focus of the CIREN program has historically been on </w:t>
      </w:r>
      <w:r w:rsidRPr="003C17ED">
        <w:rPr>
          <w:rFonts w:cs="Times New Roman"/>
        </w:rPr>
        <w:t>seriously-injured</w:t>
      </w:r>
      <w:r w:rsidRPr="003C17ED">
        <w:rPr>
          <w:rFonts w:cs="Times New Roman"/>
        </w:rPr>
        <w:t xml:space="preserve"> occupants of recent model-year motor vehicles, though the program intends to expand to include pedestrians, </w:t>
      </w:r>
      <w:r w:rsidRPr="003C17ED">
        <w:rPr>
          <w:rFonts w:cs="Times New Roman"/>
        </w:rPr>
        <w:t>pedalcyclists</w:t>
      </w:r>
      <w:r w:rsidRPr="003C17ED">
        <w:rPr>
          <w:rFonts w:cs="Times New Roman"/>
        </w:rPr>
        <w:t xml:space="preserve">, and </w:t>
      </w:r>
      <w:r w:rsidRPr="003C17ED">
        <w:rPr>
          <w:rFonts w:cs="Times New Roman"/>
        </w:rPr>
        <w:t>micromobility</w:t>
      </w:r>
      <w:r w:rsidRPr="003C17ED">
        <w:rPr>
          <w:rFonts w:cs="Times New Roman"/>
        </w:rPr>
        <w:t xml:space="preserve"> (non-motorist) users who have been injured in crashes. </w:t>
      </w:r>
    </w:p>
    <w:p w:rsidR="003C17ED" w:rsidRPr="003C17ED" w:rsidP="003C17ED" w14:paraId="099379E5" w14:textId="77777777">
      <w:pPr>
        <w:spacing w:before="240"/>
        <w:rPr>
          <w:rFonts w:cs="Times New Roman"/>
        </w:rPr>
      </w:pPr>
      <w:r w:rsidRPr="003C17ED">
        <w:rPr>
          <w:rFonts w:cs="Times New Roman"/>
        </w:rPr>
        <w:t xml:space="preserve">Study personnel at each of the eight contracted CIREN sites review trauma registry data to identify potential case subjects based on the study’s inclusion criteria. Study teams obtain informed consent from eligible patients according to institutional policies and consent documents. No data is collected from eligible patients who do not provide consent to participate in the study. Participation in CIREN does not affect the case subject’s medical treatment. Observations from the CIREN program inform NHTSA research priorities and the data support improvements in motor vehicle safety. CIREN provides non-private data to the public through an online case viewer, database files, and reports. </w:t>
      </w:r>
    </w:p>
    <w:p w:rsidR="003C17ED" w:rsidP="00D76E36" w14:paraId="5C83760C" w14:textId="16077812">
      <w:pPr>
        <w:spacing w:before="240"/>
        <w:rPr>
          <w:rFonts w:cs="Times New Roman"/>
        </w:rPr>
      </w:pPr>
      <w:r w:rsidRPr="003C17ED">
        <w:rPr>
          <w:rFonts w:cs="Times New Roman"/>
        </w:rPr>
        <w:t xml:space="preserve">After an eligible patient provides consent, study personnel retrieve the case subject’s medical information and commence the crash investigation. Study personnel retrieve the medical information directly from the hospital’s electronic medical record (EMR) system including case subject anthropometry, past medical history, radiological imaging and reports, operative procedure reports, and injury diagnoses. They also request emergency medical services (EMS) response reports from first responders. Study personnel also conduct an interview with the case subject (or a surrogate in cases where the case subject is unable to communicate) to develop an understanding about the crash circumstances. A trained crash investigator locates, visits, measures, and photographs the crash scene and the case subject’s vehicle (or the striking vehicle for non-motorist case subjects). They also obtain the police crash report. </w:t>
      </w:r>
      <w:r w:rsidRPr="003C17ED">
        <w:rPr>
          <w:rFonts w:cs="Times New Roman"/>
          <w:bCs/>
        </w:rPr>
        <w:t xml:space="preserve">These data are used to characterize the performance of vehicle safety systems and biomechanical responses of injured individuals in motor vehicle crashes.  </w:t>
      </w:r>
    </w:p>
    <w:p w:rsidR="008E70CE" w:rsidP="00D76E36" w14:paraId="5DB2686B" w14:textId="29AA449C">
      <w:pPr>
        <w:spacing w:before="240"/>
        <w:rPr>
          <w:rFonts w:cs="Times New Roman"/>
        </w:rPr>
      </w:pPr>
      <w:r>
        <w:rPr>
          <w:rFonts w:cs="Times New Roman"/>
        </w:rPr>
        <w:t xml:space="preserve">Information collected by the CIREN program is used within NHTSA and by external stakeholders including </w:t>
      </w:r>
      <w:r w:rsidR="004C6529">
        <w:rPr>
          <w:rFonts w:cs="Times New Roman"/>
        </w:rPr>
        <w:t>academia</w:t>
      </w:r>
      <w:r>
        <w:rPr>
          <w:rFonts w:cs="Times New Roman"/>
        </w:rPr>
        <w:t xml:space="preserve">, </w:t>
      </w:r>
      <w:r w:rsidR="004C6529">
        <w:rPr>
          <w:rFonts w:cs="Times New Roman"/>
        </w:rPr>
        <w:t xml:space="preserve">motor vehicle </w:t>
      </w:r>
      <w:r>
        <w:rPr>
          <w:rFonts w:cs="Times New Roman"/>
        </w:rPr>
        <w:t>manufacturers, safety advocates,</w:t>
      </w:r>
      <w:r w:rsidR="004C6529">
        <w:rPr>
          <w:rFonts w:cs="Times New Roman"/>
        </w:rPr>
        <w:t xml:space="preserve"> insurance and consumer organizations,</w:t>
      </w:r>
      <w:r>
        <w:rPr>
          <w:rFonts w:cs="Times New Roman"/>
        </w:rPr>
        <w:t xml:space="preserve"> and other </w:t>
      </w:r>
      <w:r w:rsidR="004C6529">
        <w:rPr>
          <w:rFonts w:cs="Times New Roman"/>
        </w:rPr>
        <w:t>government entities</w:t>
      </w:r>
      <w:r>
        <w:rPr>
          <w:rFonts w:cs="Times New Roman"/>
        </w:rPr>
        <w:t>. The data are used to describe and analyze circumstances, mechanisms, and consequences of motor vehicle crashes. These descriptions and analyses will inform research decisions and other actions aimed at reduction of crash-related injuries.</w:t>
      </w:r>
      <w:r w:rsidR="00AB550C">
        <w:rPr>
          <w:rFonts w:cs="Times New Roman"/>
        </w:rPr>
        <w:t xml:space="preserve"> </w:t>
      </w:r>
      <w:r w:rsidR="00386CAB">
        <w:rPr>
          <w:rFonts w:cs="Times New Roman"/>
        </w:rPr>
        <w:t xml:space="preserve">While CIREN’s case selection approach does not yield a </w:t>
      </w:r>
      <w:r w:rsidR="00386CAB">
        <w:rPr>
          <w:rFonts w:cs="Times New Roman"/>
        </w:rPr>
        <w:t>statistically-representative</w:t>
      </w:r>
      <w:r w:rsidR="00386CAB">
        <w:rPr>
          <w:rFonts w:cs="Times New Roman"/>
        </w:rPr>
        <w:t xml:space="preserve"> sample of crashes, the database contains extensive detail beneficial to many research endeavors.</w:t>
      </w:r>
    </w:p>
    <w:p w:rsidR="00DD66F2" w:rsidRPr="008E70CE" w:rsidP="00DD66F2" w14:paraId="605B4754" w14:textId="7148086A">
      <w:pPr>
        <w:spacing w:before="240"/>
        <w:rPr>
          <w:rFonts w:cs="Times New Roman"/>
        </w:rPr>
      </w:pPr>
      <w:r>
        <w:rPr>
          <w:rFonts w:cs="Times New Roman"/>
        </w:rPr>
        <w:t xml:space="preserve">Another </w:t>
      </w:r>
      <w:r w:rsidR="0099445C">
        <w:rPr>
          <w:rFonts w:cs="Times New Roman"/>
        </w:rPr>
        <w:t xml:space="preserve">benefit </w:t>
      </w:r>
      <w:r>
        <w:rPr>
          <w:rFonts w:cs="Times New Roman"/>
        </w:rPr>
        <w:t>of the CIREN program occurs throughout the case production process. The personnel conducting the work</w:t>
      </w:r>
      <w:r w:rsidR="00AB550C">
        <w:rPr>
          <w:rFonts w:cs="Times New Roman"/>
        </w:rPr>
        <w:t xml:space="preserve">, </w:t>
      </w:r>
      <w:r w:rsidR="00FC6851">
        <w:rPr>
          <w:rFonts w:cs="Times New Roman"/>
        </w:rPr>
        <w:t xml:space="preserve">including </w:t>
      </w:r>
      <w:r w:rsidR="00AB550C">
        <w:rPr>
          <w:rFonts w:cs="Times New Roman"/>
        </w:rPr>
        <w:t>doctors, engineers, and statisticians,</w:t>
      </w:r>
      <w:r>
        <w:rPr>
          <w:rFonts w:cs="Times New Roman"/>
        </w:rPr>
        <w:t xml:space="preserve"> </w:t>
      </w:r>
      <w:r w:rsidR="00AB550C">
        <w:rPr>
          <w:rFonts w:cs="Times New Roman"/>
        </w:rPr>
        <w:t>act as a sentinel to identify emerging issues in crash safety. By examining mechanisms of injury in the context of the crash conditions, engineers are better able to assess performance of safety countermeasures. CIREN’s focus on newer vehicles and specific crash types provides researchers with unique and relevant information about real-world performance of advanced safety systems.</w:t>
      </w:r>
      <w:r w:rsidR="004C6529">
        <w:rPr>
          <w:rFonts w:cs="Times New Roman"/>
        </w:rPr>
        <w:t xml:space="preserve"> This experience also leads to hypothesis generation that spawns new research activities in support of NHTSA’s injury prevention mission.</w:t>
      </w:r>
      <w:r w:rsidR="00F5268E">
        <w:rPr>
          <w:rFonts w:cs="Times New Roman"/>
        </w:rPr>
        <w:t xml:space="preserve"> </w:t>
      </w:r>
      <w:r w:rsidR="00B63AF3">
        <w:rPr>
          <w:rFonts w:cs="Times New Roman"/>
        </w:rPr>
        <w:t>Since CIREN</w:t>
      </w:r>
      <w:r w:rsidR="00756548">
        <w:rPr>
          <w:rFonts w:cs="Times New Roman"/>
        </w:rPr>
        <w:t xml:space="preserve"> is not a new program, but is </w:t>
      </w:r>
      <w:r w:rsidR="00B240DA">
        <w:rPr>
          <w:rFonts w:cs="Times New Roman"/>
        </w:rPr>
        <w:t>being established as an independent collection</w:t>
      </w:r>
      <w:r w:rsidR="00634CC3">
        <w:rPr>
          <w:rFonts w:cs="Times New Roman"/>
        </w:rPr>
        <w:t xml:space="preserve">, </w:t>
      </w:r>
      <w:r w:rsidR="00940B7A">
        <w:rPr>
          <w:rFonts w:cs="Times New Roman"/>
        </w:rPr>
        <w:t xml:space="preserve">it has a history of </w:t>
      </w:r>
      <w:r w:rsidR="00061562">
        <w:rPr>
          <w:rFonts w:cs="Times New Roman"/>
        </w:rPr>
        <w:t>influencing safety efforts with its outputs.</w:t>
      </w:r>
      <w:r w:rsidR="00BE6483">
        <w:rPr>
          <w:rFonts w:cs="Times New Roman"/>
        </w:rPr>
        <w:t xml:space="preserve"> Examples include </w:t>
      </w:r>
      <w:r w:rsidR="00C376A5">
        <w:rPr>
          <w:rFonts w:cs="Times New Roman"/>
        </w:rPr>
        <w:t>identifying the rationale for a hip-specific injury criterion</w:t>
      </w:r>
      <w:r w:rsidR="009A4C0D">
        <w:rPr>
          <w:rFonts w:cs="Times New Roman"/>
        </w:rPr>
        <w:t xml:space="preserve"> </w:t>
      </w:r>
      <w:r w:rsidR="006237C8">
        <w:rPr>
          <w:rFonts w:cs="Times New Roman"/>
        </w:rPr>
        <w:t xml:space="preserve">and providing real-world </w:t>
      </w:r>
      <w:r w:rsidR="006237C8">
        <w:rPr>
          <w:rFonts w:cs="Times New Roman"/>
        </w:rPr>
        <w:t>evidence for comparison with laboratory-based test results</w:t>
      </w:r>
      <w:r>
        <w:rPr>
          <w:rStyle w:val="FootnoteReference"/>
          <w:rFonts w:cs="Times New Roman"/>
        </w:rPr>
        <w:footnoteReference w:id="4"/>
      </w:r>
      <w:r w:rsidR="00C1639D">
        <w:rPr>
          <w:rFonts w:cs="Times New Roman"/>
        </w:rPr>
        <w:t xml:space="preserve">. </w:t>
      </w:r>
      <w:r w:rsidR="00D0695A">
        <w:rPr>
          <w:rFonts w:cs="Times New Roman"/>
        </w:rPr>
        <w:t xml:space="preserve">Another output of the CIREN program has been a comprehensive method to describe injury causation in crashes, which </w:t>
      </w:r>
      <w:r w:rsidR="00EB1A2D">
        <w:rPr>
          <w:rFonts w:cs="Times New Roman"/>
        </w:rPr>
        <w:t>has been implemented across all NHTSA investigation-based crash data collection systems</w:t>
      </w:r>
      <w:r>
        <w:rPr>
          <w:rStyle w:val="FootnoteReference"/>
          <w:rFonts w:cs="Times New Roman"/>
        </w:rPr>
        <w:footnoteReference w:id="5"/>
      </w:r>
      <w:r w:rsidR="00EB1A2D">
        <w:rPr>
          <w:rFonts w:cs="Times New Roman"/>
        </w:rPr>
        <w:t xml:space="preserve">. </w:t>
      </w:r>
      <w:r w:rsidR="001B38E1">
        <w:rPr>
          <w:rFonts w:cs="Times New Roman"/>
        </w:rPr>
        <w:t xml:space="preserve">The CIREN program also developed modernized pedestrian crash data collection protocols </w:t>
      </w:r>
      <w:r w:rsidR="00B50C69">
        <w:rPr>
          <w:rFonts w:cs="Times New Roman"/>
        </w:rPr>
        <w:t>for use by NHTSA</w:t>
      </w:r>
      <w:r>
        <w:rPr>
          <w:rStyle w:val="FootnoteReference"/>
          <w:rFonts w:cs="Times New Roman"/>
        </w:rPr>
        <w:footnoteReference w:id="6"/>
      </w:r>
      <w:r w:rsidR="00C955DA">
        <w:rPr>
          <w:rFonts w:cs="Times New Roman"/>
        </w:rPr>
        <w:t>.</w:t>
      </w:r>
    </w:p>
    <w:p w:rsidR="00CA3FB8" w:rsidP="00A40EEF" w14:paraId="384BAA18" w14:textId="77777777">
      <w:pPr>
        <w:ind w:left="720"/>
        <w:rPr>
          <w:rFonts w:eastAsia="Times New Roman"/>
        </w:rPr>
      </w:pPr>
    </w:p>
    <w:p w:rsidR="00302AB4" w:rsidRPr="0076715A" w:rsidP="005F4525" w14:paraId="104FA2DE" w14:textId="73816067">
      <w:pPr>
        <w:pStyle w:val="ListParagraph"/>
        <w:numPr>
          <w:ilvl w:val="0"/>
          <w:numId w:val="18"/>
        </w:numPr>
        <w:rPr>
          <w:rFonts w:cs="Times New Roman"/>
        </w:rPr>
      </w:pPr>
      <w:bookmarkStart w:id="7" w:name="_Hlk51330129"/>
      <w:r w:rsidRPr="00F2317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1E2F" w:rsidP="005F4525" w14:paraId="1A6E1B86" w14:textId="4B3E51AC">
      <w:pPr>
        <w:tabs>
          <w:tab w:val="left" w:pos="-720"/>
          <w:tab w:val="left" w:pos="540"/>
        </w:tabs>
        <w:rPr>
          <w:rFonts w:cs="Times New Roman"/>
        </w:rPr>
      </w:pPr>
      <w:r w:rsidRPr="0076715A">
        <w:rPr>
          <w:rFonts w:cs="Times New Roman"/>
        </w:rPr>
        <w:t>Most of the data collection come</w:t>
      </w:r>
      <w:r w:rsidR="00FC6851">
        <w:rPr>
          <w:rFonts w:cs="Times New Roman"/>
        </w:rPr>
        <w:t>s</w:t>
      </w:r>
      <w:r w:rsidRPr="0076715A">
        <w:rPr>
          <w:rFonts w:cs="Times New Roman"/>
        </w:rPr>
        <w:t xml:space="preserve"> from in-person interviews </w:t>
      </w:r>
      <w:r w:rsidR="005F4525">
        <w:rPr>
          <w:rFonts w:cs="Times New Roman"/>
        </w:rPr>
        <w:t xml:space="preserve">conducted by the CIREN contractor </w:t>
      </w:r>
      <w:r w:rsidRPr="0076715A">
        <w:rPr>
          <w:rFonts w:cs="Times New Roman"/>
        </w:rPr>
        <w:t xml:space="preserve">with </w:t>
      </w:r>
      <w:r w:rsidR="005F4525">
        <w:rPr>
          <w:rFonts w:cs="Times New Roman"/>
        </w:rPr>
        <w:t>consented case subjects</w:t>
      </w:r>
      <w:r w:rsidRPr="0076715A">
        <w:rPr>
          <w:rFonts w:cs="Times New Roman"/>
        </w:rPr>
        <w:t xml:space="preserve">. This </w:t>
      </w:r>
      <w:r w:rsidR="00FC6851">
        <w:rPr>
          <w:rFonts w:cs="Times New Roman"/>
        </w:rPr>
        <w:t xml:space="preserve">is not, and </w:t>
      </w:r>
      <w:r w:rsidRPr="0076715A">
        <w:rPr>
          <w:rFonts w:cs="Times New Roman"/>
        </w:rPr>
        <w:t>cannot</w:t>
      </w:r>
      <w:r w:rsidR="00FC6851">
        <w:rPr>
          <w:rFonts w:cs="Times New Roman"/>
        </w:rPr>
        <w:t>,</w:t>
      </w:r>
      <w:r w:rsidRPr="0076715A">
        <w:rPr>
          <w:rFonts w:cs="Times New Roman"/>
        </w:rPr>
        <w:t xml:space="preserve"> be automated because each crash provides a unique set of circumstances which must be identified and explored with the </w:t>
      </w:r>
      <w:r w:rsidR="005F4525">
        <w:rPr>
          <w:rFonts w:cs="Times New Roman"/>
        </w:rPr>
        <w:t>case subject</w:t>
      </w:r>
      <w:r w:rsidRPr="0076715A">
        <w:rPr>
          <w:rFonts w:cs="Times New Roman"/>
        </w:rPr>
        <w:t xml:space="preserve">. </w:t>
      </w:r>
      <w:r w:rsidR="00C239E8">
        <w:rPr>
          <w:rFonts w:cs="Times New Roman"/>
        </w:rPr>
        <w:t xml:space="preserve">Further, the CIREN contractor will capture photographs of integumentary injuries (e.g., lacerations, hematomas, abrasions) if the case subject agrees to have such photos taken. </w:t>
      </w:r>
      <w:r w:rsidRPr="0076715A">
        <w:rPr>
          <w:rFonts w:cs="Times New Roman"/>
        </w:rPr>
        <w:t xml:space="preserve">Information from </w:t>
      </w:r>
      <w:r w:rsidRPr="0076715A" w:rsidR="00FC6851">
        <w:rPr>
          <w:rFonts w:cs="Times New Roman"/>
        </w:rPr>
        <w:t>th</w:t>
      </w:r>
      <w:r w:rsidR="00FC6851">
        <w:rPr>
          <w:rFonts w:cs="Times New Roman"/>
        </w:rPr>
        <w:t>e</w:t>
      </w:r>
      <w:r w:rsidRPr="0076715A" w:rsidR="00FC6851">
        <w:rPr>
          <w:rFonts w:cs="Times New Roman"/>
        </w:rPr>
        <w:t xml:space="preserve"> </w:t>
      </w:r>
      <w:r w:rsidRPr="0076715A">
        <w:rPr>
          <w:rFonts w:cs="Times New Roman"/>
        </w:rPr>
        <w:t>interviewee,</w:t>
      </w:r>
      <w:r w:rsidRPr="0076715A" w:rsidR="00701920">
        <w:rPr>
          <w:rFonts w:cs="Times New Roman"/>
        </w:rPr>
        <w:t xml:space="preserve"> along with additional information from a</w:t>
      </w:r>
      <w:r w:rsidRPr="0076715A">
        <w:rPr>
          <w:rFonts w:cs="Times New Roman"/>
        </w:rPr>
        <w:t xml:space="preserve"> scene inspection, </w:t>
      </w:r>
      <w:r w:rsidRPr="00AE6CC8" w:rsidR="00701920">
        <w:rPr>
          <w:rFonts w:cs="Times New Roman"/>
        </w:rPr>
        <w:t xml:space="preserve">a </w:t>
      </w:r>
      <w:r w:rsidRPr="00AE6CC8">
        <w:rPr>
          <w:rFonts w:cs="Times New Roman"/>
        </w:rPr>
        <w:t xml:space="preserve">vehicle inspection, and </w:t>
      </w:r>
      <w:r w:rsidR="005F4525">
        <w:rPr>
          <w:rFonts w:cs="Times New Roman"/>
        </w:rPr>
        <w:t>the case subject’s medical outcome</w:t>
      </w:r>
      <w:r w:rsidRPr="00AE6CC8">
        <w:rPr>
          <w:rFonts w:cs="Times New Roman"/>
        </w:rPr>
        <w:t xml:space="preserve"> will likely lead the interviewer to ask additional specific questions.</w:t>
      </w:r>
    </w:p>
    <w:p w:rsidR="004E1E2F" w:rsidRPr="00083A94" w:rsidP="00083A94" w14:paraId="06D65FA0" w14:textId="23B9A1EF">
      <w:pPr>
        <w:tabs>
          <w:tab w:val="left" w:pos="-720"/>
          <w:tab w:val="left" w:pos="540"/>
        </w:tabs>
        <w:rPr>
          <w:rFonts w:cs="Times New Roman"/>
        </w:rPr>
      </w:pPr>
      <w:r>
        <w:rPr>
          <w:rFonts w:cs="Times New Roman"/>
        </w:rPr>
        <w:t xml:space="preserve">Additional collection is performed by </w:t>
      </w:r>
      <w:r w:rsidR="003E7577">
        <w:rPr>
          <w:rFonts w:cs="Times New Roman"/>
        </w:rPr>
        <w:t xml:space="preserve">police staff </w:t>
      </w:r>
      <w:r w:rsidR="005D0AD8">
        <w:rPr>
          <w:rFonts w:cs="Times New Roman"/>
        </w:rPr>
        <w:t xml:space="preserve">and EMS providers </w:t>
      </w:r>
      <w:r w:rsidR="003E7577">
        <w:rPr>
          <w:rFonts w:cs="Times New Roman"/>
        </w:rPr>
        <w:t xml:space="preserve">and usually involves retrieval of existing records. </w:t>
      </w:r>
      <w:r w:rsidR="0067083F">
        <w:rPr>
          <w:rFonts w:cs="Times New Roman"/>
        </w:rPr>
        <w:t xml:space="preserve">Rarely, a crash investigator may request crash-related information or photographs beyond what is available in the crash report. </w:t>
      </w:r>
      <w:r w:rsidR="00C239E8">
        <w:rPr>
          <w:rFonts w:cs="Times New Roman"/>
        </w:rPr>
        <w:t xml:space="preserve">Locating the case subject’s vehicle usually requires interaction with the vehicle’s insurance company. In addition to identifying the location of the vehicle, the adjuster will need to grant permission for the CIREN crash investigator to perform the inspection. </w:t>
      </w:r>
      <w:r>
        <w:rPr>
          <w:rFonts w:cs="Times New Roman"/>
        </w:rPr>
        <w:t>T</w:t>
      </w:r>
      <w:r w:rsidR="003E7577">
        <w:rPr>
          <w:rFonts w:cs="Times New Roman"/>
        </w:rPr>
        <w:t xml:space="preserve">ow yard and vehicle salvage facility staff </w:t>
      </w:r>
      <w:r>
        <w:rPr>
          <w:rFonts w:cs="Times New Roman"/>
        </w:rPr>
        <w:t>may need to</w:t>
      </w:r>
      <w:r w:rsidR="005D0AD8">
        <w:rPr>
          <w:rFonts w:cs="Times New Roman"/>
        </w:rPr>
        <w:t xml:space="preserve"> </w:t>
      </w:r>
      <w:r w:rsidR="003E7577">
        <w:rPr>
          <w:rFonts w:cs="Times New Roman"/>
        </w:rPr>
        <w:t xml:space="preserve">direct crash investigators </w:t>
      </w:r>
      <w:r w:rsidR="0067083F">
        <w:rPr>
          <w:rFonts w:cs="Times New Roman"/>
        </w:rPr>
        <w:t xml:space="preserve">to </w:t>
      </w:r>
      <w:r w:rsidR="00C239E8">
        <w:rPr>
          <w:rFonts w:cs="Times New Roman"/>
        </w:rPr>
        <w:t xml:space="preserve">the exact location of the </w:t>
      </w:r>
      <w:r w:rsidR="0067083F">
        <w:rPr>
          <w:rFonts w:cs="Times New Roman"/>
        </w:rPr>
        <w:t xml:space="preserve">case subjects’ vehicles. In some cases, the tow yard and vehicle salvage facility staff may have to relocate a case vehicle </w:t>
      </w:r>
      <w:r w:rsidR="00C239E8">
        <w:rPr>
          <w:rFonts w:cs="Times New Roman"/>
        </w:rPr>
        <w:t xml:space="preserve">to a designated area </w:t>
      </w:r>
      <w:r w:rsidR="0067083F">
        <w:rPr>
          <w:rFonts w:cs="Times New Roman"/>
        </w:rPr>
        <w:t>on their premises to facilitate the inspection.</w:t>
      </w:r>
    </w:p>
    <w:p w:rsidR="004E1E2F" w:rsidRPr="00083A94" w:rsidP="0067083F" w14:paraId="660E8EC5" w14:textId="4474DB17">
      <w:pPr>
        <w:tabs>
          <w:tab w:val="left" w:pos="-720"/>
          <w:tab w:val="left" w:pos="540"/>
        </w:tabs>
        <w:rPr>
          <w:rFonts w:cs="Times New Roman"/>
        </w:rPr>
      </w:pPr>
      <w:r w:rsidRPr="00CE4E91">
        <w:rPr>
          <w:rFonts w:cs="Times New Roman"/>
        </w:rPr>
        <w:t>The majority of</w:t>
      </w:r>
      <w:r w:rsidRPr="00CE4E91">
        <w:rPr>
          <w:rFonts w:cs="Times New Roman"/>
        </w:rPr>
        <w:t xml:space="preserve"> police agencies have shifted from paper-based crash data collection to utilizing automated technology to report crash information. When possible, </w:t>
      </w:r>
      <w:r w:rsidR="0067083F">
        <w:rPr>
          <w:rFonts w:cs="Times New Roman"/>
        </w:rPr>
        <w:t>CIREN</w:t>
      </w:r>
      <w:r w:rsidRPr="00CE4E91">
        <w:rPr>
          <w:rFonts w:cs="Times New Roman"/>
        </w:rPr>
        <w:t xml:space="preserve"> leverages this technology to electronically transfer data to NHTSA’s Crash Data Acquisition Network (CDAN) to minimize any burden on law enforcement.</w:t>
      </w:r>
      <w:r w:rsidRPr="00AE6CC8" w:rsidR="008260EC">
        <w:rPr>
          <w:rFonts w:cs="Times New Roman"/>
        </w:rPr>
        <w:t xml:space="preserve"> </w:t>
      </w:r>
      <w:r w:rsidRPr="0076715A">
        <w:rPr>
          <w:rFonts w:cs="Times New Roman"/>
        </w:rPr>
        <w:t xml:space="preserve">The CDAN is an integrated, web-based information </w:t>
      </w:r>
      <w:r w:rsidRPr="0076715A">
        <w:rPr>
          <w:rFonts w:cs="Times New Roman"/>
        </w:rPr>
        <w:t xml:space="preserve">technology system that provides a single, central IT platform that maintains the data NHTSA collects from its </w:t>
      </w:r>
      <w:r w:rsidR="0067083F">
        <w:rPr>
          <w:rFonts w:cs="Times New Roman"/>
        </w:rPr>
        <w:t>investigation-based crash data collection programs, including CIREN</w:t>
      </w:r>
      <w:r w:rsidRPr="00AE6CC8">
        <w:rPr>
          <w:rFonts w:cs="Times New Roman"/>
        </w:rPr>
        <w:t>.</w:t>
      </w:r>
    </w:p>
    <w:p w:rsidR="004E1E2F" w:rsidRPr="00083A94" w:rsidP="0067083F" w14:paraId="57881686" w14:textId="4CFB6CB4">
      <w:pPr>
        <w:tabs>
          <w:tab w:val="left" w:pos="-720"/>
          <w:tab w:val="left" w:pos="540"/>
        </w:tabs>
        <w:rPr>
          <w:rFonts w:cs="Times New Roman"/>
        </w:rPr>
      </w:pPr>
      <w:r w:rsidRPr="00083A94">
        <w:rPr>
          <w:rFonts w:cs="Times New Roman"/>
        </w:rPr>
        <w:t xml:space="preserve">CDAN is </w:t>
      </w:r>
      <w:r w:rsidR="0067083F">
        <w:rPr>
          <w:rFonts w:cs="Times New Roman"/>
        </w:rPr>
        <w:t xml:space="preserve">a </w:t>
      </w:r>
      <w:r w:rsidRPr="0067083F">
        <w:rPr>
          <w:rFonts w:cs="Times New Roman"/>
        </w:rPr>
        <w:t>Privacy Impact Assessment (PIA) approved system. The approval can be viewed at:</w:t>
      </w:r>
    </w:p>
    <w:p w:rsidR="00E47953" w:rsidRPr="006D13C2" w:rsidP="0067083F" w14:paraId="1AD4EF4B" w14:textId="1170E228">
      <w:pPr>
        <w:tabs>
          <w:tab w:val="left" w:pos="-720"/>
          <w:tab w:val="left" w:pos="540"/>
        </w:tabs>
        <w:rPr>
          <w:rStyle w:val="Hyperlink"/>
          <w:rFonts w:cs="Times New Roman"/>
        </w:rPr>
      </w:pPr>
      <w:hyperlink r:id="rId6" w:history="1">
        <w:r w:rsidRPr="00C75373" w:rsidR="006D13C2">
          <w:rPr>
            <w:rStyle w:val="Hyperlink"/>
            <w:rFonts w:cs="Times New Roman"/>
          </w:rPr>
          <w:t>https://www.transportation.gov/individuals/privacy/crash-data-acquisition-network-cdan-pia</w:t>
        </w:r>
      </w:hyperlink>
    </w:p>
    <w:p w:rsidR="004E1E2F" w:rsidRPr="004E1E2F" w:rsidP="004E1E2F" w14:paraId="75ECD733" w14:textId="77777777">
      <w:pPr>
        <w:pStyle w:val="ListParagraph"/>
        <w:tabs>
          <w:tab w:val="left" w:pos="-720"/>
          <w:tab w:val="left" w:pos="540"/>
        </w:tabs>
        <w:rPr>
          <w:rFonts w:cs="Times New Roman"/>
        </w:rPr>
      </w:pPr>
    </w:p>
    <w:p w:rsidR="004E1E2F" w:rsidRPr="00F2317A" w:rsidP="00F2317A" w14:paraId="1A08C042" w14:textId="77777777">
      <w:pPr>
        <w:pStyle w:val="ListParagraph"/>
        <w:numPr>
          <w:ilvl w:val="0"/>
          <w:numId w:val="18"/>
        </w:numPr>
        <w:autoSpaceDE w:val="0"/>
        <w:autoSpaceDN w:val="0"/>
        <w:adjustRightInd w:val="0"/>
        <w:spacing w:after="0" w:line="240" w:lineRule="auto"/>
        <w:rPr>
          <w:rFonts w:cs="Times New Roman"/>
          <w:b/>
          <w:szCs w:val="24"/>
        </w:rPr>
      </w:pPr>
      <w:bookmarkStart w:id="8" w:name="_Hlk51330199"/>
      <w:bookmarkEnd w:id="7"/>
      <w:r w:rsidRPr="00F2317A">
        <w:rPr>
          <w:rFonts w:cs="Times New Roman"/>
          <w:b/>
          <w:szCs w:val="24"/>
        </w:rPr>
        <w:t xml:space="preserve">Describe efforts to identify duplication. </w:t>
      </w:r>
      <w:bookmarkStart w:id="9" w:name="_Hlk45117781"/>
      <w:r w:rsidRPr="00F2317A">
        <w:rPr>
          <w:rFonts w:cs="Times New Roman"/>
          <w:b/>
          <w:szCs w:val="24"/>
        </w:rPr>
        <w:t>Show specifically why any similar information already available cannot be used or modified for use for the purposes described in Item 2 above.</w:t>
      </w:r>
      <w:bookmarkEnd w:id="8"/>
      <w:bookmarkEnd w:id="9"/>
    </w:p>
    <w:p w:rsidR="004E1E2F" w:rsidP="004E1E2F" w14:paraId="5CC459D9" w14:textId="77777777">
      <w:pPr>
        <w:pStyle w:val="ListParagraph"/>
        <w:autoSpaceDE w:val="0"/>
        <w:autoSpaceDN w:val="0"/>
        <w:adjustRightInd w:val="0"/>
        <w:spacing w:after="0" w:line="240" w:lineRule="auto"/>
        <w:rPr>
          <w:rFonts w:cs="Times New Roman"/>
          <w:b/>
          <w:szCs w:val="24"/>
        </w:rPr>
      </w:pPr>
    </w:p>
    <w:p w:rsidR="004E1E2F" w:rsidP="00083A94" w14:paraId="73B7CAAC" w14:textId="51FFAFAA">
      <w:pPr>
        <w:autoSpaceDE w:val="0"/>
        <w:autoSpaceDN w:val="0"/>
        <w:adjustRightInd w:val="0"/>
        <w:spacing w:after="0" w:line="240" w:lineRule="auto"/>
        <w:rPr>
          <w:rFonts w:cs="Times New Roman"/>
        </w:rPr>
      </w:pPr>
      <w:r>
        <w:rPr>
          <w:rFonts w:cs="Times New Roman"/>
        </w:rPr>
        <w:t xml:space="preserve">While </w:t>
      </w:r>
      <w:r w:rsidR="0099445C">
        <w:rPr>
          <w:rFonts w:cs="Times New Roman"/>
        </w:rPr>
        <w:t>NHTSA operates two other investigation-based crash data collection systems</w:t>
      </w:r>
      <w:r>
        <w:rPr>
          <w:rFonts w:cs="Times New Roman"/>
        </w:rPr>
        <w:t>,</w:t>
      </w:r>
      <w:r w:rsidR="0099445C">
        <w:rPr>
          <w:rFonts w:cs="Times New Roman"/>
        </w:rPr>
        <w:t xml:space="preserve"> CIREN is unique in its focus on injury causation and related research. CIREN is the only data system to collect detailed crash data in combination with detailed medical information such as digital radiology. </w:t>
      </w:r>
      <w:r w:rsidR="00F25F48">
        <w:rPr>
          <w:rFonts w:cs="Times New Roman"/>
        </w:rPr>
        <w:t xml:space="preserve">Further, CIREN involves in-depth engineering review of the case data as </w:t>
      </w:r>
      <w:r w:rsidR="00C025F2">
        <w:rPr>
          <w:rFonts w:cs="Times New Roman"/>
        </w:rPr>
        <w:t xml:space="preserve">part of the case production process, so there is value added in the final </w:t>
      </w:r>
      <w:r w:rsidR="001D245A">
        <w:rPr>
          <w:rFonts w:cs="Times New Roman"/>
        </w:rPr>
        <w:t xml:space="preserve">case coding and documentation from the engineering input. </w:t>
      </w:r>
      <w:r w:rsidR="006A640E">
        <w:rPr>
          <w:rFonts w:cs="Times New Roman"/>
        </w:rPr>
        <w:t xml:space="preserve">There </w:t>
      </w:r>
      <w:r w:rsidR="009F0538">
        <w:rPr>
          <w:rFonts w:cs="Times New Roman"/>
        </w:rPr>
        <w:t xml:space="preserve">are rare occurrences when a case subject may be screened for and consent to CIREN and the </w:t>
      </w:r>
      <w:r w:rsidR="000A09E2">
        <w:rPr>
          <w:rFonts w:cs="Times New Roman"/>
        </w:rPr>
        <w:t xml:space="preserve">same </w:t>
      </w:r>
      <w:r w:rsidR="009F0538">
        <w:rPr>
          <w:rFonts w:cs="Times New Roman"/>
        </w:rPr>
        <w:t>crash is also sampled for investigation by CISS. This may occur in some geographic regions with coverage by both programs</w:t>
      </w:r>
      <w:r w:rsidRPr="00083A94">
        <w:rPr>
          <w:rFonts w:cs="Times New Roman"/>
        </w:rPr>
        <w:t>.</w:t>
      </w:r>
    </w:p>
    <w:p w:rsidR="008D62AB" w:rsidRPr="00083A94" w:rsidP="00083A94" w14:paraId="5902FBCD" w14:textId="77777777">
      <w:pPr>
        <w:autoSpaceDE w:val="0"/>
        <w:autoSpaceDN w:val="0"/>
        <w:adjustRightInd w:val="0"/>
        <w:spacing w:after="0" w:line="240" w:lineRule="auto"/>
        <w:rPr>
          <w:rFonts w:cs="Times New Roman"/>
          <w:b/>
          <w:szCs w:val="24"/>
        </w:rPr>
      </w:pPr>
    </w:p>
    <w:p w:rsidR="008A6B31" w:rsidRPr="004E1E2F" w:rsidP="008A6B31" w14:paraId="6CE71773" w14:textId="77777777">
      <w:pPr>
        <w:autoSpaceDE w:val="0"/>
        <w:autoSpaceDN w:val="0"/>
        <w:adjustRightInd w:val="0"/>
        <w:spacing w:after="0" w:line="240" w:lineRule="auto"/>
        <w:ind w:left="720"/>
        <w:rPr>
          <w:rFonts w:cs="Times New Roman"/>
          <w:szCs w:val="24"/>
        </w:rPr>
      </w:pPr>
    </w:p>
    <w:p w:rsidR="008A6B31" w:rsidRPr="00F2317A" w:rsidP="00F2317A" w14:paraId="787B976D" w14:textId="77777777">
      <w:pPr>
        <w:pStyle w:val="ListParagraph"/>
        <w:numPr>
          <w:ilvl w:val="0"/>
          <w:numId w:val="18"/>
        </w:numPr>
        <w:rPr>
          <w:rFonts w:cs="Times New Roman"/>
          <w:b/>
          <w:szCs w:val="24"/>
        </w:rPr>
      </w:pPr>
      <w:bookmarkStart w:id="10" w:name="_Hlk51330529"/>
      <w:r w:rsidRPr="00F2317A">
        <w:rPr>
          <w:rFonts w:cs="Times New Roman"/>
          <w:b/>
          <w:szCs w:val="24"/>
        </w:rPr>
        <w:t>If the collection of information impacts small businesses or other small entities, describe any methods used to minimize burden</w:t>
      </w:r>
      <w:bookmarkEnd w:id="10"/>
      <w:r w:rsidRPr="00F2317A">
        <w:rPr>
          <w:rFonts w:cs="Times New Roman"/>
          <w:b/>
          <w:szCs w:val="24"/>
        </w:rPr>
        <w:t>.</w:t>
      </w:r>
    </w:p>
    <w:p w:rsidR="008A6B31" w:rsidP="00083A94" w14:paraId="386D2C28" w14:textId="1CB66CC7">
      <w:pPr>
        <w:rPr>
          <w:rFonts w:cs="Times New Roman"/>
          <w:szCs w:val="24"/>
        </w:rPr>
      </w:pPr>
      <w:r>
        <w:rPr>
          <w:rFonts w:cs="Times New Roman"/>
        </w:rPr>
        <w:t xml:space="preserve">The only small businesses or entities this ICR is expected to impact are </w:t>
      </w:r>
      <w:r w:rsidRPr="00E96403" w:rsidR="00E96403">
        <w:rPr>
          <w:rFonts w:cs="Times New Roman"/>
        </w:rPr>
        <w:t xml:space="preserve">tow yard </w:t>
      </w:r>
      <w:r w:rsidR="00083A94">
        <w:rPr>
          <w:rFonts w:cs="Times New Roman"/>
        </w:rPr>
        <w:t xml:space="preserve">and vehicle salvage </w:t>
      </w:r>
      <w:r w:rsidRPr="00E96403" w:rsidR="00E96403">
        <w:rPr>
          <w:rFonts w:cs="Times New Roman"/>
        </w:rPr>
        <w:t xml:space="preserve">operators, which can be small businesses. </w:t>
      </w:r>
      <w:r w:rsidRPr="004E1E2F" w:rsidR="004E1E2F">
        <w:rPr>
          <w:rFonts w:cs="Times New Roman"/>
        </w:rPr>
        <w:t xml:space="preserve">The </w:t>
      </w:r>
      <w:r w:rsidR="00083A94">
        <w:rPr>
          <w:rFonts w:cs="Times New Roman"/>
        </w:rPr>
        <w:t>CIREN contractor personnel</w:t>
      </w:r>
      <w:r w:rsidRPr="004E1E2F" w:rsidR="004E1E2F">
        <w:rPr>
          <w:rFonts w:cs="Times New Roman"/>
        </w:rPr>
        <w:t xml:space="preserve"> minimize the </w:t>
      </w:r>
      <w:r w:rsidR="00713DB9">
        <w:rPr>
          <w:rFonts w:cs="Times New Roman"/>
        </w:rPr>
        <w:t>involvement</w:t>
      </w:r>
      <w:r w:rsidRPr="004E1E2F" w:rsidR="00713DB9">
        <w:rPr>
          <w:rFonts w:cs="Times New Roman"/>
        </w:rPr>
        <w:t xml:space="preserve"> o</w:t>
      </w:r>
      <w:r w:rsidR="00713DB9">
        <w:rPr>
          <w:rFonts w:cs="Times New Roman"/>
        </w:rPr>
        <w:t>f</w:t>
      </w:r>
      <w:r w:rsidRPr="004E1E2F" w:rsidR="00713DB9">
        <w:rPr>
          <w:rFonts w:cs="Times New Roman"/>
        </w:rPr>
        <w:t xml:space="preserve"> </w:t>
      </w:r>
      <w:r w:rsidRPr="004E1E2F" w:rsidR="004E1E2F">
        <w:rPr>
          <w:rFonts w:cs="Times New Roman"/>
        </w:rPr>
        <w:t xml:space="preserve">a small business by establishing rapport and trust with tow yard operators. Typically, the </w:t>
      </w:r>
      <w:r w:rsidR="00083A94">
        <w:rPr>
          <w:rFonts w:cs="Times New Roman"/>
        </w:rPr>
        <w:t xml:space="preserve">crash investigator </w:t>
      </w:r>
      <w:r w:rsidRPr="004E1E2F" w:rsidR="004E1E2F">
        <w:rPr>
          <w:rFonts w:cs="Times New Roman"/>
        </w:rPr>
        <w:t xml:space="preserve">is familiar with the </w:t>
      </w:r>
      <w:r w:rsidRPr="004E1E2F" w:rsidR="004E1E2F">
        <w:rPr>
          <w:rFonts w:cs="Times New Roman"/>
        </w:rPr>
        <w:t>operators</w:t>
      </w:r>
      <w:r w:rsidRPr="004E1E2F" w:rsidR="004E1E2F">
        <w:rPr>
          <w:rFonts w:cs="Times New Roman"/>
        </w:rPr>
        <w:t xml:space="preserve"> and they simply ask for the location of the vehicle within their facility and permission to inspect it.</w:t>
      </w:r>
      <w:r w:rsidRPr="004E1E2F">
        <w:rPr>
          <w:rFonts w:cs="Times New Roman"/>
          <w:szCs w:val="24"/>
        </w:rPr>
        <w:t xml:space="preserve"> </w:t>
      </w:r>
      <w:r w:rsidR="00174C75">
        <w:rPr>
          <w:rFonts w:cs="Times New Roman"/>
          <w:szCs w:val="24"/>
        </w:rPr>
        <w:t>Beyond this initial interaction, there are no demands placed on small businesses or entities.</w:t>
      </w:r>
      <w:r w:rsidR="00713DB9">
        <w:rPr>
          <w:rFonts w:cs="Times New Roman"/>
          <w:szCs w:val="24"/>
        </w:rPr>
        <w:t xml:space="preserve"> The tow yard and vehicle salvage operators are not requested to collect additional information or submit information to the CIREN contractor. The request for location of the vehicle on the tow yard and vehicle salvage operators is no different than the routine requests of individuals retrieving their vehicles and insurance companies needing to locate their vehicles as well. The tow yard and vehicle salvage operators are not requested to </w:t>
      </w:r>
      <w:r w:rsidR="00713DB9">
        <w:rPr>
          <w:rFonts w:cs="Times New Roman"/>
          <w:szCs w:val="24"/>
        </w:rPr>
        <w:t>provide assistance</w:t>
      </w:r>
      <w:r w:rsidR="00713DB9">
        <w:rPr>
          <w:rFonts w:cs="Times New Roman"/>
          <w:szCs w:val="24"/>
        </w:rPr>
        <w:t xml:space="preserve"> outside of their normal business hours and </w:t>
      </w:r>
      <w:r w:rsidR="00F81D22">
        <w:rPr>
          <w:rFonts w:cs="Times New Roman"/>
          <w:szCs w:val="24"/>
        </w:rPr>
        <w:t xml:space="preserve">are </w:t>
      </w:r>
      <w:r w:rsidR="00713DB9">
        <w:rPr>
          <w:rFonts w:cs="Times New Roman"/>
          <w:szCs w:val="24"/>
        </w:rPr>
        <w:t xml:space="preserve">not asked to perform duties outside of their normal business operations. </w:t>
      </w:r>
    </w:p>
    <w:p w:rsidR="008D62AB" w:rsidRPr="004E1E2F" w:rsidP="00083A94" w14:paraId="713AAE8B" w14:textId="77777777">
      <w:pPr>
        <w:rPr>
          <w:rFonts w:cs="Times New Roman"/>
          <w:szCs w:val="24"/>
        </w:rPr>
      </w:pPr>
    </w:p>
    <w:p w:rsidR="008A6B31" w:rsidRPr="00F2317A" w:rsidP="00F2317A" w14:paraId="4F43C23D" w14:textId="77777777">
      <w:pPr>
        <w:pStyle w:val="ListParagraph"/>
        <w:numPr>
          <w:ilvl w:val="0"/>
          <w:numId w:val="18"/>
        </w:numPr>
        <w:rPr>
          <w:b/>
        </w:rPr>
      </w:pPr>
      <w:bookmarkStart w:id="11" w:name="_Hlk51330653"/>
      <w:r w:rsidRPr="00F2317A">
        <w:rPr>
          <w:b/>
        </w:rPr>
        <w:t>Describe the consequence to Federal program or policy activities if the collection is not conducted or is conducted less frequently, as well as any technical or legal obstacles to reducing burden.</w:t>
      </w:r>
    </w:p>
    <w:bookmarkEnd w:id="11"/>
    <w:p w:rsidR="00600CAF" w:rsidP="004E1E2F" w14:paraId="73D9EA3E" w14:textId="77777777">
      <w:pPr>
        <w:pStyle w:val="ListParagraph"/>
        <w:tabs>
          <w:tab w:val="left" w:pos="-720"/>
          <w:tab w:val="left" w:pos="540"/>
        </w:tabs>
        <w:rPr>
          <w:rFonts w:cs="Times New Roman"/>
        </w:rPr>
      </w:pPr>
    </w:p>
    <w:p w:rsidR="009F0538" w:rsidP="00083A94" w14:paraId="66B9BA5A" w14:textId="392782DB">
      <w:pPr>
        <w:tabs>
          <w:tab w:val="left" w:pos="-720"/>
          <w:tab w:val="left" w:pos="540"/>
        </w:tabs>
        <w:rPr>
          <w:rFonts w:cs="Times New Roman"/>
        </w:rPr>
      </w:pPr>
      <w:r>
        <w:rPr>
          <w:rFonts w:cs="Times New Roman"/>
        </w:rPr>
        <w:t xml:space="preserve">The CIREN program was created in response to a recommendation from the National Academy of Sciences calling for multidisciplinary approaches to addressing motor vehicle crash injuries. </w:t>
      </w:r>
      <w:r w:rsidRPr="00E96403" w:rsidR="00E96403">
        <w:rPr>
          <w:rFonts w:cs="Times New Roman"/>
        </w:rPr>
        <w:t xml:space="preserve">The National Highway Traffic Safety Administration (NHTSA) is authorized by 49 U.S.C. § 30182 and 23 U.S.C. § 403 to collect data on motor vehicle traffic crashes to aid in the identification of issues and the development, implementation, and evaluation of motor vehicle and highway safety countermeasures. 49 U.S.C. 30111 authorizes the Secretary (NHTSA by delegation) to issue Federal Motor Vehicle Safety Standards (FMVSS) that set performance standards for motor vehicles and items of motor vehicle equipment. </w:t>
      </w:r>
      <w:r>
        <w:rPr>
          <w:rFonts w:cs="Times New Roman"/>
        </w:rPr>
        <w:t xml:space="preserve">The CIREN program </w:t>
      </w:r>
      <w:r>
        <w:rPr>
          <w:rFonts w:cs="Times New Roman"/>
        </w:rPr>
        <w:t>joins engineers and medical doctors into its crash investigation and analysis process, which enhances knowledge and understanding of motor vehicle crash-related injuries. Findings from the CIREN program inform vehicle safety research efforts aimed at creating or modifying FMVSS and consumer information programs such as the New Car Assessment Program (NCAP). Data and experience from the CIREN program support efforts to evaluate real-world performance of advanced restraint systems and advanced injury assessment tools.</w:t>
      </w:r>
      <w:r w:rsidR="00D66BDC">
        <w:rPr>
          <w:rFonts w:cs="Times New Roman"/>
        </w:rPr>
        <w:t xml:space="preserve"> The case production process positions CIREN as a sentinel for early detection of problems with real-world vehicle safety performance. Close involvement of NHTSA research staff in the data collection and analysis process provides NHTSA a real-time view of potential emerging problems or trends. CIREN’s focus on more </w:t>
      </w:r>
      <w:r w:rsidR="00D66BDC">
        <w:rPr>
          <w:rFonts w:cs="Times New Roman"/>
        </w:rPr>
        <w:t>seriously-injured</w:t>
      </w:r>
      <w:r w:rsidR="00D66BDC">
        <w:rPr>
          <w:rFonts w:cs="Times New Roman"/>
        </w:rPr>
        <w:t xml:space="preserve"> occupants provides substantially more real-world case data for review and analysis by researchers inside and outside NHTSA. If the data were not available, NHTSA’s and the public’s understanding of crash injury causation would be reduced, leading to less effective countermeasure development.</w:t>
      </w:r>
    </w:p>
    <w:p w:rsidR="004E1E2F" w:rsidRPr="00D66BDC" w:rsidP="00083A94" w14:paraId="353154ED" w14:textId="40E2282B">
      <w:pPr>
        <w:tabs>
          <w:tab w:val="left" w:pos="-720"/>
          <w:tab w:val="left" w:pos="540"/>
        </w:tabs>
        <w:rPr>
          <w:rFonts w:cs="Times New Roman"/>
        </w:rPr>
      </w:pPr>
      <w:r>
        <w:rPr>
          <w:rFonts w:cs="Times New Roman"/>
        </w:rPr>
        <w:t xml:space="preserve">As the burden </w:t>
      </w:r>
      <w:r w:rsidR="00417209">
        <w:rPr>
          <w:rFonts w:cs="Times New Roman"/>
        </w:rPr>
        <w:t xml:space="preserve">on the case subject </w:t>
      </w:r>
      <w:r>
        <w:rPr>
          <w:rFonts w:cs="Times New Roman"/>
        </w:rPr>
        <w:t xml:space="preserve">is minimal, little could be done to reduce it further. Obtaining first-hand information from the crash-injured individual is critical to develop a comprehensive understanding of </w:t>
      </w:r>
      <w:r w:rsidR="00174C75">
        <w:rPr>
          <w:rFonts w:cs="Times New Roman"/>
        </w:rPr>
        <w:t xml:space="preserve">crash and </w:t>
      </w:r>
      <w:r>
        <w:rPr>
          <w:rFonts w:cs="Times New Roman"/>
        </w:rPr>
        <w:t>injury causation.</w:t>
      </w:r>
      <w:r w:rsidR="00417209">
        <w:rPr>
          <w:rFonts w:cs="Times New Roman"/>
        </w:rPr>
        <w:t xml:space="preserve"> Interviewers focus on salient details related to crash and injury causation to minimize the time necessary to conduct the interview.</w:t>
      </w:r>
      <w:r w:rsidR="00C239E8">
        <w:rPr>
          <w:rFonts w:cs="Times New Roman"/>
        </w:rPr>
        <w:t xml:space="preserve"> Capturing photographs of integumentary injuries aids researchers in establishing how the case subject interacted with the vehicle components and restraint systems during the crash.</w:t>
      </w:r>
    </w:p>
    <w:p w:rsidR="008A6B31" w:rsidRPr="004E1E2F" w:rsidP="004E1E2F" w14:paraId="3909A059" w14:textId="77777777">
      <w:pPr>
        <w:pStyle w:val="ListParagraph"/>
        <w:tabs>
          <w:tab w:val="left" w:pos="-720"/>
          <w:tab w:val="left" w:pos="540"/>
        </w:tabs>
        <w:rPr>
          <w:rFonts w:ascii="Arial" w:hAnsi="Arial" w:cs="Arial"/>
        </w:rPr>
      </w:pPr>
    </w:p>
    <w:p w:rsidR="008A6B31" w:rsidRPr="00F2317A" w:rsidP="00F2317A" w14:paraId="415955AD" w14:textId="77777777">
      <w:pPr>
        <w:pStyle w:val="ListParagraph"/>
        <w:numPr>
          <w:ilvl w:val="0"/>
          <w:numId w:val="18"/>
        </w:numPr>
        <w:autoSpaceDE w:val="0"/>
        <w:autoSpaceDN w:val="0"/>
        <w:adjustRightInd w:val="0"/>
        <w:spacing w:after="0" w:line="240" w:lineRule="auto"/>
        <w:rPr>
          <w:rFonts w:cs="Times New Roman"/>
          <w:b/>
          <w:szCs w:val="24"/>
        </w:rPr>
      </w:pPr>
      <w:bookmarkStart w:id="12" w:name="_Hlk51330697"/>
      <w:r w:rsidRPr="00F2317A">
        <w:rPr>
          <w:rFonts w:cs="Times New Roman"/>
          <w:b/>
          <w:szCs w:val="24"/>
        </w:rPr>
        <w:t>Explain any special circumstances that would cause an information collection to be conducted in a manner:</w:t>
      </w:r>
    </w:p>
    <w:p w:rsidR="008A6B31" w:rsidRPr="005271A9" w:rsidP="008A6B31" w14:paraId="1B38922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008A6B31" w14:paraId="644CE1B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r w:rsidRPr="005271A9">
        <w:rPr>
          <w:rFonts w:cs="Times New Roman"/>
          <w:b/>
          <w:szCs w:val="24"/>
        </w:rPr>
        <w:t>it;</w:t>
      </w:r>
    </w:p>
    <w:p w:rsidR="008A6B31" w:rsidRPr="005271A9" w:rsidP="008A6B31" w14:paraId="747C6F7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8A6B31" w14:paraId="64CC17D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008A6B31" w14:paraId="04BB929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r w:rsidRPr="005271A9">
        <w:rPr>
          <w:rFonts w:cs="Times New Roman"/>
          <w:b/>
          <w:szCs w:val="24"/>
        </w:rPr>
        <w:t>study;</w:t>
      </w:r>
    </w:p>
    <w:p w:rsidR="008A6B31" w:rsidRPr="005271A9" w:rsidP="008A6B31" w14:paraId="2AF250A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r w:rsidRPr="005271A9">
        <w:rPr>
          <w:rFonts w:cs="Times New Roman"/>
          <w:b/>
          <w:szCs w:val="24"/>
        </w:rPr>
        <w:t>OMB;</w:t>
      </w:r>
    </w:p>
    <w:p w:rsidR="008A6B31" w:rsidRPr="005271A9" w:rsidP="008A6B31" w14:paraId="2D0D65F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60EB21D" w14:textId="0CD856E7">
      <w:pPr>
        <w:pStyle w:val="ListParagraph"/>
        <w:numPr>
          <w:ilvl w:val="1"/>
          <w:numId w:val="1"/>
        </w:numPr>
        <w:autoSpaceDE w:val="0"/>
        <w:autoSpaceDN w:val="0"/>
        <w:adjustRightInd w:val="0"/>
        <w:spacing w:after="0" w:line="240" w:lineRule="auto"/>
        <w:rPr>
          <w:rFonts w:cs="Times New Roman"/>
          <w:b/>
          <w:szCs w:val="24"/>
        </w:rPr>
      </w:pPr>
      <w:bookmarkStart w:id="13" w:name="_Hlk45117573"/>
      <w:r w:rsidRPr="005271A9">
        <w:rPr>
          <w:rFonts w:cs="Times New Roman"/>
          <w:b/>
          <w:szCs w:val="24"/>
        </w:rPr>
        <w:t xml:space="preserve">requiring respondents to submit proprietary trade secrets, or other confidential information unless the agency can demonstrate that it has instituted procedures to protect the </w:t>
      </w:r>
      <w:r w:rsidRPr="005271A9" w:rsidR="00C239E8">
        <w:rPr>
          <w:rFonts w:cs="Times New Roman"/>
          <w:b/>
          <w:szCs w:val="24"/>
        </w:rPr>
        <w:t>information</w:t>
      </w:r>
      <w:r w:rsidR="00C239E8">
        <w:rPr>
          <w:rFonts w:cs="Times New Roman"/>
          <w:b/>
          <w:szCs w:val="24"/>
        </w:rPr>
        <w:t>’</w:t>
      </w:r>
      <w:r w:rsidRPr="005271A9" w:rsidR="00C239E8">
        <w:rPr>
          <w:rFonts w:cs="Times New Roman"/>
          <w:b/>
          <w:szCs w:val="24"/>
        </w:rPr>
        <w:t xml:space="preserve">s </w:t>
      </w:r>
      <w:r w:rsidRPr="005271A9">
        <w:rPr>
          <w:rFonts w:cs="Times New Roman"/>
          <w:b/>
          <w:szCs w:val="24"/>
        </w:rPr>
        <w:t>confidentiality to the extent permitted by law.</w:t>
      </w:r>
    </w:p>
    <w:bookmarkEnd w:id="12"/>
    <w:bookmarkEnd w:id="13"/>
    <w:p w:rsidR="008A6B31" w:rsidP="008A6B31" w14:paraId="2CD3F181" w14:textId="77777777">
      <w:pPr>
        <w:autoSpaceDE w:val="0"/>
        <w:autoSpaceDN w:val="0"/>
        <w:adjustRightInd w:val="0"/>
        <w:spacing w:after="0" w:line="240" w:lineRule="auto"/>
        <w:rPr>
          <w:rFonts w:cs="Times New Roman"/>
          <w:szCs w:val="24"/>
        </w:rPr>
      </w:pPr>
    </w:p>
    <w:p w:rsidR="00DD4E86" w:rsidP="006A640E" w14:paraId="4C0EB14A" w14:textId="13B1B3A7">
      <w:bookmarkStart w:id="14" w:name="_Hlk51330745"/>
      <w:bookmarkStart w:id="15" w:name="_Hlk45117546"/>
      <w:r>
        <w:t xml:space="preserve">NHTSA has determined that there </w:t>
      </w:r>
      <w:r w:rsidRPr="00896532">
        <w:t>are special circumstances that would cause this collection to be collected in a manner inconsistent with 5 CFR 1320.5(d)(2).</w:t>
      </w:r>
      <w:r>
        <w:t xml:space="preserve">  Specifically, this information collection requires reporting more often than quarterly</w:t>
      </w:r>
      <w:r w:rsidR="0010220B">
        <w:t xml:space="preserve"> and</w:t>
      </w:r>
      <w:r>
        <w:t xml:space="preserve"> requests information within less than </w:t>
      </w:r>
      <w:r w:rsidR="00174C75">
        <w:t>five (</w:t>
      </w:r>
      <w:r>
        <w:t>5</w:t>
      </w:r>
      <w:r w:rsidR="00174C75">
        <w:t>)</w:t>
      </w:r>
      <w:r>
        <w:t xml:space="preserve"> days of it becoming available (although it is not mandatory)</w:t>
      </w:r>
      <w:r w:rsidR="005D0AD8">
        <w:t xml:space="preserve"> for some </w:t>
      </w:r>
      <w:r w:rsidR="00994148">
        <w:t>respondents</w:t>
      </w:r>
      <w:r w:rsidR="0010220B">
        <w:t>.</w:t>
      </w:r>
    </w:p>
    <w:p w:rsidR="00174C75" w:rsidP="0010220B" w14:paraId="618D37B7" w14:textId="46DDBF2E">
      <w:r>
        <w:t xml:space="preserve">It is critical the </w:t>
      </w:r>
      <w:r w:rsidR="0010220B">
        <w:t>contractors</w:t>
      </w:r>
      <w:r>
        <w:t xml:space="preserve"> obtain the requested information shortly after the crash.  The </w:t>
      </w:r>
      <w:r>
        <w:t xml:space="preserve">contractor </w:t>
      </w:r>
      <w:r w:rsidR="00A66147">
        <w:t>need</w:t>
      </w:r>
      <w:r w:rsidR="00541BD7">
        <w:t>s</w:t>
      </w:r>
      <w:r w:rsidR="00A66147">
        <w:t xml:space="preserve"> to </w:t>
      </w:r>
      <w:r>
        <w:t xml:space="preserve">receive </w:t>
      </w:r>
      <w:r w:rsidR="00A66147">
        <w:t xml:space="preserve">the </w:t>
      </w:r>
      <w:r>
        <w:t xml:space="preserve">crash report from the law enforcement agency </w:t>
      </w:r>
      <w:r w:rsidR="00095B32">
        <w:t xml:space="preserve">shortly after the crash </w:t>
      </w:r>
      <w:r w:rsidR="00A66147">
        <w:t xml:space="preserve">to </w:t>
      </w:r>
      <w:r w:rsidR="00095B32">
        <w:t xml:space="preserve">start </w:t>
      </w:r>
      <w:r w:rsidR="00A66147">
        <w:t>the investigation</w:t>
      </w:r>
      <w:r w:rsidR="00095B32">
        <w:t xml:space="preserve">.  The crash investigators need to </w:t>
      </w:r>
      <w:r w:rsidR="00A66147">
        <w:t xml:space="preserve">visit </w:t>
      </w:r>
      <w:r w:rsidRPr="00CC47EC" w:rsidR="00095B32">
        <w:rPr>
          <w:rFonts w:cs="Times New Roman"/>
          <w:bCs/>
        </w:rPr>
        <w:t>the crash scene</w:t>
      </w:r>
      <w:r w:rsidR="00095B32">
        <w:rPr>
          <w:rFonts w:cs="Times New Roman"/>
          <w:bCs/>
        </w:rPr>
        <w:t xml:space="preserve"> before critical evidence disappears</w:t>
      </w:r>
      <w:r>
        <w:rPr>
          <w:rFonts w:cs="Times New Roman"/>
          <w:bCs/>
        </w:rPr>
        <w:t>, inspect the</w:t>
      </w:r>
      <w:r w:rsidRPr="00CC47EC" w:rsidR="00095B32">
        <w:rPr>
          <w:rFonts w:cs="Times New Roman"/>
          <w:bCs/>
        </w:rPr>
        <w:t xml:space="preserve"> vehicles</w:t>
      </w:r>
      <w:r w:rsidR="00095B32">
        <w:rPr>
          <w:rFonts w:cs="Times New Roman"/>
          <w:bCs/>
        </w:rPr>
        <w:t xml:space="preserve"> before the vehicles </w:t>
      </w:r>
      <w:r w:rsidR="00541BD7">
        <w:rPr>
          <w:rFonts w:cs="Times New Roman"/>
          <w:bCs/>
        </w:rPr>
        <w:t>are relocated</w:t>
      </w:r>
      <w:r w:rsidR="00A66147">
        <w:rPr>
          <w:rFonts w:cs="Times New Roman"/>
          <w:bCs/>
        </w:rPr>
        <w:t xml:space="preserve"> </w:t>
      </w:r>
      <w:r w:rsidR="0010220B">
        <w:rPr>
          <w:rFonts w:cs="Times New Roman"/>
          <w:bCs/>
        </w:rPr>
        <w:t>or sold for scrap</w:t>
      </w:r>
      <w:r w:rsidR="00541BD7">
        <w:rPr>
          <w:rFonts w:cs="Times New Roman"/>
          <w:bCs/>
        </w:rPr>
        <w:t>,</w:t>
      </w:r>
      <w:r>
        <w:rPr>
          <w:rFonts w:cs="Times New Roman"/>
          <w:bCs/>
        </w:rPr>
        <w:t xml:space="preserve"> and </w:t>
      </w:r>
      <w:r w:rsidR="0010220B">
        <w:rPr>
          <w:rFonts w:cs="Times New Roman"/>
          <w:bCs/>
        </w:rPr>
        <w:t xml:space="preserve">contractors must conduct the case subject interviews while recollection of </w:t>
      </w:r>
      <w:r w:rsidR="00541BD7">
        <w:rPr>
          <w:rFonts w:cs="Times New Roman"/>
          <w:bCs/>
        </w:rPr>
        <w:t>the</w:t>
      </w:r>
      <w:r w:rsidR="00A66147">
        <w:rPr>
          <w:rFonts w:cs="Times New Roman"/>
          <w:bCs/>
        </w:rPr>
        <w:t xml:space="preserve"> facts and details about the crash</w:t>
      </w:r>
      <w:r w:rsidR="00541BD7">
        <w:rPr>
          <w:rFonts w:cs="Times New Roman"/>
          <w:bCs/>
        </w:rPr>
        <w:t xml:space="preserve"> </w:t>
      </w:r>
      <w:r w:rsidR="0010220B">
        <w:rPr>
          <w:rFonts w:cs="Times New Roman"/>
          <w:bCs/>
        </w:rPr>
        <w:t>is strong</w:t>
      </w:r>
      <w:r>
        <w:rPr>
          <w:rFonts w:cs="Times New Roman"/>
          <w:bCs/>
        </w:rPr>
        <w:t xml:space="preserve">.  </w:t>
      </w:r>
      <w:r>
        <w:t xml:space="preserve">This collection involves </w:t>
      </w:r>
      <w:r>
        <w:t xml:space="preserve">some </w:t>
      </w:r>
      <w:r>
        <w:t>respondents providing information more often than quarterly and less than 30 days after receipt of request.</w:t>
      </w:r>
    </w:p>
    <w:p w:rsidR="00C239E8" w:rsidP="0010220B" w14:paraId="43FC2CCA" w14:textId="77777777"/>
    <w:p w:rsidR="00150F00" w:rsidRPr="00F2317A" w:rsidP="00F2317A" w14:paraId="3712F94A" w14:textId="77777777">
      <w:pPr>
        <w:pStyle w:val="ListParagraph"/>
        <w:numPr>
          <w:ilvl w:val="0"/>
          <w:numId w:val="18"/>
        </w:numPr>
        <w:spacing w:before="240"/>
        <w:rPr>
          <w:b/>
        </w:rPr>
      </w:pPr>
      <w:bookmarkStart w:id="16" w:name="_Hlk51330779"/>
      <w:bookmarkEnd w:id="14"/>
      <w:bookmarkEnd w:id="15"/>
      <w:r w:rsidRPr="00F2317A">
        <w:rPr>
          <w:b/>
        </w:rPr>
        <w:t xml:space="preserve">If applicable, provide a copy and identify the date and page number of </w:t>
      </w:r>
      <w:r w:rsidRPr="00F2317A">
        <w:rPr>
          <w:b/>
        </w:rPr>
        <w:t>publication</w:t>
      </w:r>
      <w:r w:rsidRPr="00F2317A">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F2317A" w:rsidR="00484767">
        <w:rPr>
          <w:b/>
        </w:rPr>
        <w:t>.</w:t>
      </w:r>
      <w:r w:rsidRPr="00F2317A">
        <w:rPr>
          <w:b/>
        </w:rPr>
        <w:t xml:space="preserve"> </w:t>
      </w:r>
    </w:p>
    <w:p w:rsidR="00D272FA" w:rsidP="004E1E2F" w14:paraId="6FD3FD67" w14:textId="77777777">
      <w:pPr>
        <w:pStyle w:val="ListParagraph"/>
        <w:tabs>
          <w:tab w:val="left" w:pos="-720"/>
          <w:tab w:val="left" w:pos="540"/>
        </w:tabs>
        <w:rPr>
          <w:rFonts w:cs="Times New Roman"/>
          <w:color w:val="FF0000"/>
        </w:rPr>
      </w:pPr>
      <w:bookmarkStart w:id="17" w:name="_Hlk51330973"/>
      <w:bookmarkEnd w:id="16"/>
    </w:p>
    <w:p w:rsidR="008D62AB" w:rsidP="008D62AB" w14:paraId="5D4AAE32" w14:textId="6E9B891D">
      <w:pPr>
        <w:tabs>
          <w:tab w:val="left" w:pos="-720"/>
          <w:tab w:val="left" w:pos="540"/>
        </w:tabs>
      </w:pPr>
      <w:r w:rsidRPr="00002D98">
        <w:t xml:space="preserve">NHTSA published a 60-day notice on </w:t>
      </w:r>
      <w:r>
        <w:t xml:space="preserve">December 8, </w:t>
      </w:r>
      <w:r>
        <w:t>2023</w:t>
      </w:r>
      <w:r w:rsidRPr="00002D98">
        <w:t xml:space="preserve"> requesting comment on NHTSA’s intention to submit this ICR to OMB for approval</w:t>
      </w:r>
      <w:r>
        <w:t xml:space="preserve"> (88 FR 85725). </w:t>
      </w:r>
      <w:bookmarkStart w:id="18" w:name="_Hlk160605284"/>
      <w:r w:rsidRPr="00002D98">
        <w:t xml:space="preserve">NHTSA received </w:t>
      </w:r>
      <w:r>
        <w:t>two (</w:t>
      </w:r>
      <w:r w:rsidRPr="003C39CE">
        <w:t>2) comments</w:t>
      </w:r>
      <w:r>
        <w:t>, which are summarized below.</w:t>
      </w:r>
      <w:r>
        <w:rPr>
          <w:rStyle w:val="FootnoteReference"/>
        </w:rPr>
        <w:footnoteReference w:id="7"/>
      </w:r>
    </w:p>
    <w:p w:rsidR="00F81D22" w:rsidP="008D62AB" w14:paraId="6595D6B3" w14:textId="4E2E5A0D">
      <w:pPr>
        <w:tabs>
          <w:tab w:val="left" w:pos="-720"/>
          <w:tab w:val="left" w:pos="540"/>
        </w:tabs>
      </w:pPr>
      <w:bookmarkStart w:id="19" w:name="_Hlk160605251"/>
      <w:bookmarkEnd w:id="18"/>
      <w:r>
        <w:t xml:space="preserve">The commenters, </w:t>
      </w:r>
      <w:r>
        <w:t xml:space="preserve">individuals </w:t>
      </w:r>
      <w:r>
        <w:t>who both had experience as former project coordinators for CIREN centers, described patient interaction times</w:t>
      </w:r>
      <w:r>
        <w:t>, for both obtaining consent and conducting the interview,</w:t>
      </w:r>
      <w:r>
        <w:t xml:space="preserve"> shorter than the estimates included in the 60-day notice. </w:t>
      </w:r>
      <w:r>
        <w:t>In the 60-day notice, NHTSA estimated that it would take approximately 30 minutes for the consent form and 1 hour for each interview. One of the commenters stated that time for obtaining consent took between 5 and 10 minutes. The other commenter stated that the consent process involved 5-10 minutes for describing the program, leaving the consent form with the patient, and returning to discuss the program further and answer any questions, adding an additional 10-15 minutes. Since the second commenter estimated that the total estimated time for consent could take up to 25 minutes, not including any time for the patient to read the consent form on their own, NHTSA has decided not to change its burden estimates for the consent form.</w:t>
      </w:r>
    </w:p>
    <w:p w:rsidR="00F81D22" w:rsidP="008D62AB" w14:paraId="63417365" w14:textId="72534704">
      <w:pPr>
        <w:tabs>
          <w:tab w:val="left" w:pos="-720"/>
          <w:tab w:val="left" w:pos="540"/>
        </w:tabs>
      </w:pPr>
      <w:r>
        <w:t xml:space="preserve">Both commenters also commented about the total time to conduct interviews with patients. The first commented that the interviews normally take approximately 10-20 minutes, with photographs taking about 3 minutes. The first commenter also stated that the longest interview took 30 minutes. The second commenter stated that interviews took approximately 5-10 minutes, with photographs taking 5-20 minutes. The highest of the estimates provided by the commenters </w:t>
      </w:r>
      <w:r w:rsidR="005B7314">
        <w:t>suggest that, at most, interviews take up to 35 minutes. This is less than the 1-hour estimate NHTSA provided in its 60-day notice. After considering these comments, NHTSA has opted to retain its more conservative 1-hour estimate for patient interviews to account for variability in interview lengths and to ensure that its estimate is not too low.</w:t>
      </w:r>
    </w:p>
    <w:p w:rsidR="005B7314" w:rsidP="008D62AB" w14:paraId="7FD86806" w14:textId="7A0BCD72">
      <w:pPr>
        <w:tabs>
          <w:tab w:val="left" w:pos="-720"/>
          <w:tab w:val="left" w:pos="540"/>
        </w:tabs>
      </w:pPr>
      <w:r>
        <w:t>The second commenter noted that obtaining police reports could require several weeks of waiting and could involve CIREN contractor personnel repeatedly checking in police report databases for specific reports. NHTSA appreciates this comment and notes that the burden on CIREN contractor personnel is not counted in total burden hours as it is not a burden on a respondent.</w:t>
      </w:r>
    </w:p>
    <w:p w:rsidR="005B7314" w:rsidP="008D62AB" w14:paraId="31D59656" w14:textId="49C0F836">
      <w:pPr>
        <w:tabs>
          <w:tab w:val="left" w:pos="-720"/>
          <w:tab w:val="left" w:pos="540"/>
        </w:tabs>
      </w:pPr>
      <w:r>
        <w:t xml:space="preserve">The second commenter also noted that the process to obtain vehicle location information and inspection approval involves contact with the case subject’s vehicle insurance provider. This was not considered </w:t>
      </w:r>
      <w:r w:rsidR="006C75E2">
        <w:t>in the original 60-day notice. For most CIREN cases, the case subject’s vehicle has sustained sufficient damage to be deemed a total loss by the insurer and it becomes necessary to obtain approval from the insurer to conduct the vehicle inspection. This process requires contacting the claims adjuster to obtain permission as well as confirm the disposition of the vehicle (i.e., salvage facility). The commenter stated, “</w:t>
      </w:r>
      <w:r w:rsidRPr="00D75A6D" w:rsidR="006C75E2">
        <w:t>the amount of time spent getting insurance approval to be 30 minutes to 4 hours collectively</w:t>
      </w:r>
      <w:r w:rsidR="006C75E2">
        <w:t>.” While this estimate was provided from the perspective of the time the CIREN contractor personnel spent obtaining such information and approval, NHTSA does not believe it to be a good indication of the time spent by the insurance providers as well. Accordingly, and based on this estimate, NHTSA estimates that insurance providers spend approximately 2 hours providing information and approval to inspect the case subject’s vehicle. This burden estimate is included in the discussion of burden hours below.</w:t>
      </w:r>
    </w:p>
    <w:p w:rsidR="006C75E2" w:rsidP="008D62AB" w14:paraId="44A7F801" w14:textId="18156F79">
      <w:pPr>
        <w:tabs>
          <w:tab w:val="left" w:pos="-720"/>
          <w:tab w:val="left" w:pos="540"/>
        </w:tabs>
      </w:pPr>
      <w:r>
        <w:t>In response to this comment regarding insurer involvement, NHTSA is also updating the burden associated with tow facilities providing information. In the 60-day notice, NHTSA estimated that it would take the tow facility 5 minutes of time to direct the investigator to the subject vehicle. Since part of the insurance approval process involves the insurance adjuster contacting the salvage facility in possession of the case subject’s vehicle, NHTSA has increased the burden for the tow facilities by ten minutes to account for the interaction regarding inspection approval from the insurance provider.</w:t>
      </w:r>
    </w:p>
    <w:bookmarkEnd w:id="19"/>
    <w:p w:rsidR="008D62AB" w:rsidRPr="004E1E2F" w:rsidP="004E1E2F" w14:paraId="4207C1F4" w14:textId="77777777">
      <w:pPr>
        <w:pStyle w:val="ListParagraph"/>
        <w:tabs>
          <w:tab w:val="left" w:pos="-720"/>
          <w:tab w:val="left" w:pos="540"/>
        </w:tabs>
        <w:rPr>
          <w:rFonts w:ascii="Arial" w:hAnsi="Arial" w:cs="Arial"/>
          <w:color w:val="FF0000"/>
        </w:rPr>
      </w:pPr>
    </w:p>
    <w:p w:rsidR="004E1E2F" w:rsidRPr="00F2317A" w:rsidP="00F2317A" w14:paraId="63DC0503" w14:textId="77777777">
      <w:pPr>
        <w:pStyle w:val="ListParagraph"/>
        <w:numPr>
          <w:ilvl w:val="0"/>
          <w:numId w:val="18"/>
        </w:numPr>
        <w:autoSpaceDE w:val="0"/>
        <w:autoSpaceDN w:val="0"/>
        <w:adjustRightInd w:val="0"/>
        <w:spacing w:after="0" w:line="240" w:lineRule="auto"/>
        <w:rPr>
          <w:rFonts w:cs="Times New Roman"/>
          <w:b/>
          <w:szCs w:val="24"/>
        </w:rPr>
      </w:pPr>
      <w:r w:rsidRPr="00F2317A">
        <w:rPr>
          <w:rFonts w:cs="Times New Roman"/>
          <w:b/>
          <w:szCs w:val="24"/>
        </w:rPr>
        <w:t>Explain any decision to provide any payment or gift to respondents, other than remuneration of contractors or grantees.</w:t>
      </w:r>
      <w:bookmarkEnd w:id="17"/>
    </w:p>
    <w:p w:rsidR="004E1E2F" w:rsidP="004E1E2F" w14:paraId="0AB93BD4" w14:textId="77777777">
      <w:pPr>
        <w:pStyle w:val="ListParagraph"/>
        <w:autoSpaceDE w:val="0"/>
        <w:autoSpaceDN w:val="0"/>
        <w:adjustRightInd w:val="0"/>
        <w:spacing w:after="0" w:line="240" w:lineRule="auto"/>
        <w:rPr>
          <w:rFonts w:cs="Times New Roman"/>
          <w:b/>
          <w:szCs w:val="24"/>
        </w:rPr>
      </w:pPr>
    </w:p>
    <w:p w:rsidR="004E1E2F" w:rsidRPr="0076715A" w:rsidP="00D033DC" w14:paraId="7F38F187" w14:textId="69427CD4">
      <w:pPr>
        <w:autoSpaceDE w:val="0"/>
        <w:autoSpaceDN w:val="0"/>
        <w:adjustRightInd w:val="0"/>
        <w:spacing w:after="0" w:line="240" w:lineRule="auto"/>
        <w:rPr>
          <w:rFonts w:cs="Times New Roman"/>
          <w:b/>
          <w:szCs w:val="24"/>
        </w:rPr>
      </w:pPr>
      <w:r>
        <w:rPr>
          <w:rFonts w:cs="Times New Roman"/>
        </w:rPr>
        <w:t>No payments or gifts are provided to case subject respondents for participation in the study. Some law enforcement agencies charge a fee for retrieval of crash reports</w:t>
      </w:r>
      <w:r w:rsidR="00374048">
        <w:rPr>
          <w:rFonts w:cs="Times New Roman"/>
        </w:rPr>
        <w:t xml:space="preserve">, and these costs are part of the </w:t>
      </w:r>
      <w:r w:rsidR="003267E6">
        <w:rPr>
          <w:rFonts w:cs="Times New Roman"/>
        </w:rPr>
        <w:t>contractor budget</w:t>
      </w:r>
      <w:r>
        <w:rPr>
          <w:rFonts w:cs="Times New Roman"/>
        </w:rPr>
        <w:t>.</w:t>
      </w:r>
    </w:p>
    <w:p w:rsidR="000373A8" w:rsidP="000373A8" w14:paraId="4696CD1E" w14:textId="77777777">
      <w:pPr>
        <w:autoSpaceDE w:val="0"/>
        <w:autoSpaceDN w:val="0"/>
        <w:adjustRightInd w:val="0"/>
        <w:spacing w:after="0" w:line="240" w:lineRule="auto"/>
        <w:ind w:left="720"/>
        <w:rPr>
          <w:rFonts w:cs="Times New Roman"/>
          <w:szCs w:val="24"/>
        </w:rPr>
      </w:pPr>
    </w:p>
    <w:p w:rsidR="000373A8" w:rsidRPr="00F2317A" w:rsidP="00F2317A" w14:paraId="2247C228" w14:textId="77777777">
      <w:pPr>
        <w:pStyle w:val="ListParagraph"/>
        <w:numPr>
          <w:ilvl w:val="0"/>
          <w:numId w:val="18"/>
        </w:numPr>
        <w:autoSpaceDE w:val="0"/>
        <w:autoSpaceDN w:val="0"/>
        <w:adjustRightInd w:val="0"/>
        <w:spacing w:after="0" w:line="240" w:lineRule="auto"/>
        <w:rPr>
          <w:rFonts w:cs="Times New Roman"/>
          <w:szCs w:val="24"/>
        </w:rPr>
      </w:pPr>
      <w:bookmarkStart w:id="20" w:name="_Hlk51331000"/>
      <w:r w:rsidRPr="00F2317A">
        <w:rPr>
          <w:rFonts w:cs="Times New Roman"/>
          <w:b/>
          <w:szCs w:val="24"/>
        </w:rPr>
        <w:t xml:space="preserve">Describe any assurance of confidentiality provided to respondents and the basis for the assurance in statute, regulation, or agency policy. If the collection requires a </w:t>
      </w:r>
      <w:r w:rsidRPr="00F2317A">
        <w:rPr>
          <w:rFonts w:cs="Times New Roman"/>
          <w:b/>
          <w:szCs w:val="24"/>
        </w:rPr>
        <w:t>systems of records notice (SORN)</w:t>
      </w:r>
      <w:r w:rsidRPr="00F2317A">
        <w:rPr>
          <w:rFonts w:cs="Times New Roman"/>
          <w:b/>
          <w:szCs w:val="24"/>
        </w:rPr>
        <w:t xml:space="preserve"> or privacy impact assessment (PIA), those should be cited and described here</w:t>
      </w:r>
      <w:r w:rsidRPr="00F2317A">
        <w:rPr>
          <w:rFonts w:cs="Times New Roman"/>
          <w:szCs w:val="24"/>
        </w:rPr>
        <w:t>.</w:t>
      </w:r>
    </w:p>
    <w:bookmarkEnd w:id="20"/>
    <w:p w:rsidR="000373A8" w:rsidP="000373A8" w14:paraId="35F02C3C" w14:textId="77777777">
      <w:pPr>
        <w:autoSpaceDE w:val="0"/>
        <w:autoSpaceDN w:val="0"/>
        <w:adjustRightInd w:val="0"/>
        <w:spacing w:after="0" w:line="240" w:lineRule="auto"/>
        <w:rPr>
          <w:rFonts w:cs="Times New Roman"/>
          <w:szCs w:val="24"/>
        </w:rPr>
      </w:pPr>
    </w:p>
    <w:p w:rsidR="00D033DC" w:rsidP="00D033DC" w14:paraId="4381A12A" w14:textId="5A2166CA">
      <w:pPr>
        <w:tabs>
          <w:tab w:val="left" w:pos="-720"/>
          <w:tab w:val="left" w:pos="540"/>
        </w:tabs>
        <w:rPr>
          <w:rFonts w:cs="Times New Roman"/>
        </w:rPr>
      </w:pPr>
      <w:r>
        <w:rPr>
          <w:rFonts w:cs="Times New Roman"/>
        </w:rPr>
        <w:t>NHTSA</w:t>
      </w:r>
      <w:r>
        <w:rPr>
          <w:rFonts w:cs="Times New Roman"/>
        </w:rPr>
        <w:t xml:space="preserve"> maintains a Certificate of Confidentiality from the National Institutes of Health covering the CIREN program. </w:t>
      </w:r>
      <w:r w:rsidR="00BC1855">
        <w:rPr>
          <w:rFonts w:cs="Times New Roman"/>
        </w:rPr>
        <w:t>Although case subject identifiers are not included in the CIREN data system, the Certificate prohibits disclosure of case subject identity except under specific conditions as outlined in 42 U.S.C § 241(d).</w:t>
      </w:r>
      <w:r w:rsidR="00480FF7">
        <w:rPr>
          <w:rFonts w:cs="Times New Roman"/>
        </w:rPr>
        <w:t xml:space="preserve"> This assurance is provided to case subjects in consent forms, which are reviewed and approved by each contractor’s </w:t>
      </w:r>
      <w:r w:rsidR="006D6B6F">
        <w:rPr>
          <w:rFonts w:cs="Times New Roman"/>
        </w:rPr>
        <w:t>I</w:t>
      </w:r>
      <w:r w:rsidR="00480FF7">
        <w:rPr>
          <w:rFonts w:cs="Times New Roman"/>
        </w:rPr>
        <w:t xml:space="preserve">nstitutional </w:t>
      </w:r>
      <w:r w:rsidR="006D6B6F">
        <w:rPr>
          <w:rFonts w:cs="Times New Roman"/>
        </w:rPr>
        <w:t>R</w:t>
      </w:r>
      <w:r w:rsidR="00480FF7">
        <w:rPr>
          <w:rFonts w:cs="Times New Roman"/>
        </w:rPr>
        <w:t xml:space="preserve">eview </w:t>
      </w:r>
      <w:r w:rsidR="006D6B6F">
        <w:rPr>
          <w:rFonts w:cs="Times New Roman"/>
        </w:rPr>
        <w:t>B</w:t>
      </w:r>
      <w:r w:rsidR="00480FF7">
        <w:rPr>
          <w:rFonts w:cs="Times New Roman"/>
        </w:rPr>
        <w:t>oard</w:t>
      </w:r>
      <w:r w:rsidR="006D6B6F">
        <w:rPr>
          <w:rFonts w:cs="Times New Roman"/>
        </w:rPr>
        <w:t xml:space="preserve"> (IRB)</w:t>
      </w:r>
      <w:r w:rsidR="00480FF7">
        <w:rPr>
          <w:rFonts w:cs="Times New Roman"/>
        </w:rPr>
        <w:t>.</w:t>
      </w:r>
      <w:r w:rsidRPr="007A0469" w:rsidR="007A0469">
        <w:rPr>
          <w:rFonts w:cs="Times New Roman"/>
        </w:rPr>
        <w:t xml:space="preserve"> </w:t>
      </w:r>
      <w:r w:rsidR="007A0469">
        <w:rPr>
          <w:rFonts w:cs="Times New Roman"/>
        </w:rPr>
        <w:t xml:space="preserve">During the consent process, the purpose of the CIREN program is explained to a potential case subject. The consent process describes the types of information that will be collected, whether there are any risks to the participant, and that their decision to participate has no effect on the treatment and medical care received. </w:t>
      </w:r>
      <w:r w:rsidRPr="00480FF7" w:rsidR="007A0469">
        <w:rPr>
          <w:rFonts w:cs="Times New Roman"/>
        </w:rPr>
        <w:t xml:space="preserve">The </w:t>
      </w:r>
      <w:r w:rsidR="007A0469">
        <w:rPr>
          <w:rFonts w:cs="Times New Roman"/>
        </w:rPr>
        <w:t>participa</w:t>
      </w:r>
      <w:r w:rsidRPr="00480FF7" w:rsidR="007A0469">
        <w:rPr>
          <w:rFonts w:cs="Times New Roman"/>
        </w:rPr>
        <w:t xml:space="preserve">nt is assured that any personally identifiable information (PII) that identifies </w:t>
      </w:r>
      <w:r w:rsidR="007A0469">
        <w:rPr>
          <w:rFonts w:cs="Times New Roman"/>
        </w:rPr>
        <w:t xml:space="preserve">the person or the </w:t>
      </w:r>
      <w:r w:rsidRPr="007A0469" w:rsidR="007A0469">
        <w:rPr>
          <w:rFonts w:cs="Times New Roman"/>
        </w:rPr>
        <w:t>specific vehicle or crash location remains confidential.</w:t>
      </w:r>
    </w:p>
    <w:p w:rsidR="004E1E2F" w:rsidRPr="00480FF7" w:rsidP="00480FF7" w14:paraId="2A35D21E" w14:textId="5B7F02C2">
      <w:pPr>
        <w:tabs>
          <w:tab w:val="left" w:pos="-720"/>
          <w:tab w:val="left" w:pos="540"/>
        </w:tabs>
        <w:rPr>
          <w:rFonts w:cs="Times New Roman"/>
        </w:rPr>
      </w:pPr>
      <w:r w:rsidRPr="0076715A">
        <w:rPr>
          <w:rFonts w:cs="Times New Roman"/>
        </w:rPr>
        <w:t xml:space="preserve">The </w:t>
      </w:r>
      <w:r w:rsidR="00480FF7">
        <w:rPr>
          <w:rFonts w:cs="Times New Roman"/>
        </w:rPr>
        <w:t xml:space="preserve">CIREN program utilizes NHTSA’s CDAN information technology system for management of case data. The </w:t>
      </w:r>
      <w:r w:rsidRPr="0076715A">
        <w:rPr>
          <w:rFonts w:cs="Times New Roman"/>
        </w:rPr>
        <w:t xml:space="preserve">CDAN is an integrated, web-based information technology system that provides a single, central IT platform that maintains the data NHTSA collects from its </w:t>
      </w:r>
      <w:r w:rsidR="00D033DC">
        <w:rPr>
          <w:rFonts w:cs="Times New Roman"/>
        </w:rPr>
        <w:t>other investigation-based studies</w:t>
      </w:r>
      <w:r w:rsidR="00480FF7">
        <w:rPr>
          <w:rFonts w:cs="Times New Roman"/>
        </w:rPr>
        <w:t xml:space="preserve"> as well</w:t>
      </w:r>
      <w:r w:rsidRPr="0076715A">
        <w:rPr>
          <w:rFonts w:cs="Times New Roman"/>
        </w:rPr>
        <w:t xml:space="preserve">.  </w:t>
      </w:r>
    </w:p>
    <w:p w:rsidR="004E1E2F" w:rsidRPr="0076715A" w:rsidP="00480FF7" w14:paraId="6DCA983F" w14:textId="77777777">
      <w:pPr>
        <w:tabs>
          <w:tab w:val="left" w:pos="-720"/>
          <w:tab w:val="left" w:pos="540"/>
        </w:tabs>
        <w:rPr>
          <w:rFonts w:cs="Times New Roman"/>
        </w:rPr>
      </w:pPr>
      <w:r w:rsidRPr="0076715A">
        <w:rPr>
          <w:rFonts w:cs="Times New Roman"/>
        </w:rPr>
        <w:t>CDAN is Privacy Impact Assessment (PIA) approved system. The approval can be viewed at:</w:t>
      </w:r>
    </w:p>
    <w:p w:rsidR="004E1E2F" w:rsidRPr="004E1E2F" w:rsidP="004E1E2F" w14:paraId="103F9071" w14:textId="77777777">
      <w:pPr>
        <w:pStyle w:val="ListParagraph"/>
        <w:tabs>
          <w:tab w:val="left" w:pos="-720"/>
          <w:tab w:val="left" w:pos="540"/>
        </w:tabs>
        <w:rPr>
          <w:rFonts w:cs="Times New Roman"/>
        </w:rPr>
      </w:pPr>
      <w:hyperlink r:id="rId7" w:history="1">
        <w:r w:rsidRPr="004E1E2F">
          <w:rPr>
            <w:rStyle w:val="Hyperlink"/>
            <w:rFonts w:cs="Times New Roman"/>
          </w:rPr>
          <w:t>https://www.transportation.gov/individuals/privacy/crash-data-acquisition-network-cdan-pia</w:t>
        </w:r>
      </w:hyperlink>
    </w:p>
    <w:p w:rsidR="004E1E2F" w:rsidRPr="004E1E2F" w:rsidP="004E1E2F" w14:paraId="7194F3B9" w14:textId="77777777">
      <w:pPr>
        <w:pStyle w:val="ListParagraph"/>
        <w:tabs>
          <w:tab w:val="left" w:pos="-720"/>
          <w:tab w:val="left" w:pos="540"/>
        </w:tabs>
        <w:rPr>
          <w:rFonts w:cs="Times New Roman"/>
          <w:b/>
          <w:bCs/>
          <w:i/>
          <w:iCs/>
        </w:rPr>
      </w:pPr>
    </w:p>
    <w:p w:rsidR="004E1E2F" w:rsidRPr="0076715A" w:rsidP="00480FF7" w14:paraId="7A56F4A4" w14:textId="6CF4F73A">
      <w:pPr>
        <w:tabs>
          <w:tab w:val="left" w:pos="-720"/>
          <w:tab w:val="left" w:pos="540"/>
        </w:tabs>
        <w:rPr>
          <w:rFonts w:cs="Times New Roman"/>
        </w:rPr>
      </w:pPr>
      <w:r w:rsidRPr="00480FF7">
        <w:rPr>
          <w:rFonts w:cs="Times New Roman"/>
        </w:rPr>
        <w:t xml:space="preserve">The identification in any data files of </w:t>
      </w:r>
      <w:r w:rsidR="007A0469">
        <w:rPr>
          <w:rFonts w:cs="Times New Roman"/>
        </w:rPr>
        <w:t>case subjects</w:t>
      </w:r>
      <w:r w:rsidRPr="00480FF7" w:rsidR="007A0469">
        <w:rPr>
          <w:rFonts w:cs="Times New Roman"/>
        </w:rPr>
        <w:t xml:space="preserve"> </w:t>
      </w:r>
      <w:r w:rsidRPr="00480FF7">
        <w:rPr>
          <w:rFonts w:cs="Times New Roman"/>
        </w:rPr>
        <w:t xml:space="preserve">by name or other identifying labels is not permitted and is not entered into any system of records.  </w:t>
      </w:r>
      <w:r w:rsidR="007A0469">
        <w:rPr>
          <w:rFonts w:cs="Times New Roman"/>
        </w:rPr>
        <w:t>CIREN and NHTSA’s other</w:t>
      </w:r>
      <w:r w:rsidRPr="007A0469">
        <w:rPr>
          <w:rFonts w:cs="Times New Roman"/>
        </w:rPr>
        <w:t xml:space="preserve"> investigation</w:t>
      </w:r>
      <w:r w:rsidRPr="007A0469" w:rsidR="00907F7C">
        <w:rPr>
          <w:rFonts w:cs="Times New Roman"/>
        </w:rPr>
        <w:t>-</w:t>
      </w:r>
      <w:r w:rsidRPr="007A0469">
        <w:rPr>
          <w:rFonts w:cs="Times New Roman"/>
        </w:rPr>
        <w:t xml:space="preserve">based data collection </w:t>
      </w:r>
      <w:r w:rsidRPr="007A0469" w:rsidR="006E521D">
        <w:rPr>
          <w:rFonts w:cs="Times New Roman"/>
        </w:rPr>
        <w:t>studies</w:t>
      </w:r>
      <w:r w:rsidRPr="007A0469">
        <w:rPr>
          <w:rFonts w:cs="Times New Roman"/>
        </w:rPr>
        <w:t xml:space="preserve"> are not a system of records that are subject to the Privacy Act.  No names of individuals are entered into automated case files.  Reports of crash data collections must be made available to the public in a manner which does not identify individuals (Public Law 89</w:t>
      </w:r>
      <w:r w:rsidRPr="007A0469">
        <w:rPr>
          <w:rFonts w:cs="Times New Roman"/>
        </w:rPr>
        <w:noBreakHyphen/>
        <w:t xml:space="preserve">564).  Thus, cases are not retrievable by any unique number, symbol, or other identifying variable assigned to the individual.  The safeguards for privacy which are afforded by </w:t>
      </w:r>
      <w:r w:rsidRPr="007A0469" w:rsidR="00480FF7">
        <w:rPr>
          <w:rFonts w:cs="Times New Roman"/>
        </w:rPr>
        <w:t>CIREN</w:t>
      </w:r>
      <w:r w:rsidRPr="007A0469">
        <w:rPr>
          <w:rFonts w:cs="Times New Roman"/>
        </w:rPr>
        <w:t xml:space="preserve"> are greater than those afforded by the Privacy Act because th</w:t>
      </w:r>
      <w:r w:rsidRPr="0076715A">
        <w:rPr>
          <w:rFonts w:cs="Times New Roman"/>
        </w:rPr>
        <w:t xml:space="preserve">e personal information which the Privacy Act is designed to protect are deleted from the </w:t>
      </w:r>
      <w:r w:rsidR="00480FF7">
        <w:rPr>
          <w:rFonts w:cs="Times New Roman"/>
        </w:rPr>
        <w:t>CIREN</w:t>
      </w:r>
      <w:r w:rsidRPr="0076715A">
        <w:rPr>
          <w:rFonts w:cs="Times New Roman"/>
        </w:rPr>
        <w:t xml:space="preserve"> public files.</w:t>
      </w:r>
    </w:p>
    <w:p w:rsidR="002F2DEA" w:rsidP="007A0469" w14:paraId="0CAFD2BC" w14:textId="27BB1C36">
      <w:pPr>
        <w:tabs>
          <w:tab w:val="left" w:pos="-720"/>
          <w:tab w:val="left" w:pos="540"/>
        </w:tabs>
        <w:rPr>
          <w:rFonts w:cs="Times New Roman"/>
        </w:rPr>
      </w:pPr>
      <w:r w:rsidRPr="007A0469">
        <w:rPr>
          <w:rFonts w:cs="Times New Roman"/>
        </w:rPr>
        <w:t xml:space="preserve">It is anticipated that information </w:t>
      </w:r>
      <w:r w:rsidRPr="007A0469">
        <w:rPr>
          <w:rFonts w:cs="Times New Roman"/>
        </w:rPr>
        <w:t xml:space="preserve">on </w:t>
      </w:r>
      <w:r w:rsidR="00553B39">
        <w:rPr>
          <w:rFonts w:cs="Times New Roman"/>
        </w:rPr>
        <w:t xml:space="preserve">no more than </w:t>
      </w:r>
      <w:r w:rsidR="00553B39">
        <w:rPr>
          <w:rFonts w:cs="Times New Roman"/>
        </w:rPr>
        <w:t>258</w:t>
      </w:r>
      <w:r w:rsidRPr="007A0469" w:rsidR="00553B39">
        <w:rPr>
          <w:rFonts w:cs="Times New Roman"/>
        </w:rPr>
        <w:t xml:space="preserve"> </w:t>
      </w:r>
      <w:r w:rsidRPr="007A0469">
        <w:rPr>
          <w:rFonts w:cs="Times New Roman"/>
        </w:rPr>
        <w:t xml:space="preserve">motor vehicle crashes will be collected and </w:t>
      </w:r>
      <w:r w:rsidRPr="007A0469">
        <w:rPr>
          <w:rFonts w:cs="Times New Roman"/>
        </w:rPr>
        <w:t>entered into</w:t>
      </w:r>
      <w:r w:rsidRPr="007A0469">
        <w:rPr>
          <w:rFonts w:cs="Times New Roman"/>
        </w:rPr>
        <w:t xml:space="preserve"> the </w:t>
      </w:r>
      <w:r w:rsidRPr="007A0469" w:rsidR="007A0469">
        <w:rPr>
          <w:rFonts w:cs="Times New Roman"/>
        </w:rPr>
        <w:t>CI</w:t>
      </w:r>
      <w:r w:rsidR="007A0469">
        <w:rPr>
          <w:rFonts w:cs="Times New Roman"/>
        </w:rPr>
        <w:t>REN dataset</w:t>
      </w:r>
      <w:r w:rsidRPr="007A0469">
        <w:rPr>
          <w:rFonts w:cs="Times New Roman"/>
        </w:rPr>
        <w:t xml:space="preserve"> </w:t>
      </w:r>
      <w:r w:rsidR="007A0469">
        <w:rPr>
          <w:rFonts w:cs="Times New Roman"/>
        </w:rPr>
        <w:t>on an annual basis</w:t>
      </w:r>
      <w:r w:rsidRPr="007A0469">
        <w:rPr>
          <w:rFonts w:cs="Times New Roman"/>
        </w:rPr>
        <w:t xml:space="preserve">. For each of these crashes, all precautions are taken to safeguard against personal identifying information from remaining in the published case.  The potential that a person can uniquely be identified by the crash and vehicle characteristics from the more than 700 data elements collected is not likely.  Since public </w:t>
      </w:r>
      <w:r w:rsidR="007A0469">
        <w:rPr>
          <w:rFonts w:cs="Times New Roman"/>
        </w:rPr>
        <w:t>CIREN</w:t>
      </w:r>
      <w:r w:rsidRPr="007A0469">
        <w:rPr>
          <w:rFonts w:cs="Times New Roman"/>
        </w:rPr>
        <w:t xml:space="preserve"> cases do not indicate the exact date of the crash, the names of the occupants, nor the specific location of the crash, identifying one specific crash is unlikely from the nearly seven million police reported crashes each year.  Without the geographic location, names</w:t>
      </w:r>
      <w:r w:rsidR="007A0469">
        <w:rPr>
          <w:rFonts w:cs="Times New Roman"/>
        </w:rPr>
        <w:t>,</w:t>
      </w:r>
      <w:r w:rsidRPr="007A0469">
        <w:rPr>
          <w:rFonts w:cs="Times New Roman"/>
        </w:rPr>
        <w:t xml:space="preserve"> or dates, the suspected crash could not be matched to one specific police report.  The police crash report is the property of the specific police or state agency, and rules are in place at the State level as to who may request a copy of the report.</w:t>
      </w:r>
    </w:p>
    <w:p w:rsidR="008D62AB" w:rsidRPr="005261EF" w:rsidP="007A0469" w14:paraId="50360D32" w14:textId="77777777">
      <w:pPr>
        <w:tabs>
          <w:tab w:val="left" w:pos="-720"/>
          <w:tab w:val="left" w:pos="540"/>
        </w:tabs>
        <w:rPr>
          <w:rFonts w:cs="Times New Roman"/>
        </w:rPr>
      </w:pPr>
    </w:p>
    <w:p w:rsidR="002F2DEA" w:rsidRPr="005261EF" w:rsidP="005261EF" w14:paraId="7E47390D" w14:textId="0BE6B6D3">
      <w:pPr>
        <w:pStyle w:val="ListParagraph"/>
        <w:numPr>
          <w:ilvl w:val="0"/>
          <w:numId w:val="18"/>
        </w:numPr>
        <w:rPr>
          <w:rFonts w:ascii="Arial" w:hAnsi="Arial" w:cs="Arial"/>
        </w:rPr>
      </w:pPr>
      <w:bookmarkStart w:id="21" w:name="_Hlk51331086"/>
      <w:r w:rsidRPr="00F2317A">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1"/>
    </w:p>
    <w:p w:rsidR="002F2DEA" w:rsidRPr="006A640E" w:rsidP="005261EF" w14:paraId="0D649845" w14:textId="2D008423">
      <w:pPr>
        <w:tabs>
          <w:tab w:val="left" w:pos="-720"/>
          <w:tab w:val="left" w:pos="540"/>
        </w:tabs>
        <w:rPr>
          <w:rFonts w:cs="Times New Roman"/>
        </w:rPr>
      </w:pPr>
      <w:r>
        <w:t xml:space="preserve">The investigation-based </w:t>
      </w:r>
      <w:r w:rsidRPr="006A640E">
        <w:rPr>
          <w:rFonts w:cs="Times New Roman"/>
        </w:rPr>
        <w:t xml:space="preserve">crash data acquisition systems </w:t>
      </w:r>
      <w:r>
        <w:t xml:space="preserve">do not collect answers to questions of a sensitive nature, such as sexual behavior and attitudes, religious beliefs, or other matters that are commonly considered private.  </w:t>
      </w:r>
      <w:r w:rsidRPr="006A640E">
        <w:rPr>
          <w:rFonts w:cs="Times New Roman"/>
        </w:rPr>
        <w:t>Years of experience shows that interviewing crash victims in a way directed specifically towards crash circumstances, avoids the collection of private information.  This</w:t>
      </w:r>
      <w:r w:rsidRPr="006A640E">
        <w:rPr>
          <w:rFonts w:cs="Times New Roman"/>
        </w:rPr>
        <w:t>, along with the protection of privacy and the assurance that we are not seeking culpability but safety performance, do not fall within areas considered private information. Culpability, or fault</w:t>
      </w:r>
      <w:r w:rsidR="00AB550C">
        <w:rPr>
          <w:rFonts w:cs="Times New Roman"/>
        </w:rPr>
        <w:t>,</w:t>
      </w:r>
      <w:r w:rsidRPr="006A640E">
        <w:rPr>
          <w:rFonts w:cs="Times New Roman"/>
        </w:rPr>
        <w:t xml:space="preserve"> is not discussed in the </w:t>
      </w:r>
      <w:r w:rsidR="00AB550C">
        <w:rPr>
          <w:rFonts w:cs="Times New Roman"/>
        </w:rPr>
        <w:t>CIREN</w:t>
      </w:r>
      <w:r w:rsidRPr="006A640E">
        <w:rPr>
          <w:rFonts w:cs="Times New Roman"/>
        </w:rPr>
        <w:t xml:space="preserve"> interviewing process.</w:t>
      </w:r>
    </w:p>
    <w:p w:rsidR="005261EF" w:rsidP="005261EF" w14:paraId="61066B69" w14:textId="77777777">
      <w:pPr>
        <w:tabs>
          <w:tab w:val="left" w:pos="-720"/>
          <w:tab w:val="left" w:pos="540"/>
        </w:tabs>
        <w:rPr>
          <w:rFonts w:cs="Times New Roman"/>
        </w:rPr>
      </w:pPr>
      <w:r>
        <w:rPr>
          <w:rFonts w:cs="Times New Roman"/>
        </w:rPr>
        <w:t>CIREN aims</w:t>
      </w:r>
      <w:r w:rsidRPr="0076715A" w:rsidR="002F2DEA">
        <w:rPr>
          <w:rFonts w:cs="Times New Roman"/>
        </w:rPr>
        <w:t xml:space="preserve"> to identify injuries and </w:t>
      </w:r>
      <w:r>
        <w:rPr>
          <w:rFonts w:cs="Times New Roman"/>
        </w:rPr>
        <w:t xml:space="preserve">document the circumstances </w:t>
      </w:r>
      <w:r w:rsidR="004C6529">
        <w:rPr>
          <w:rFonts w:cs="Times New Roman"/>
        </w:rPr>
        <w:t>under which those injuries occurred</w:t>
      </w:r>
      <w:r w:rsidRPr="0076715A" w:rsidR="002F2DEA">
        <w:rPr>
          <w:rFonts w:cs="Times New Roman"/>
        </w:rPr>
        <w:t>. This allows</w:t>
      </w:r>
      <w:r w:rsidRPr="005261EF" w:rsidR="002F2DEA">
        <w:rPr>
          <w:rFonts w:cs="Times New Roman"/>
        </w:rPr>
        <w:t xml:space="preserve"> engineers</w:t>
      </w:r>
      <w:r w:rsidR="0055510A">
        <w:rPr>
          <w:rFonts w:cs="Times New Roman"/>
        </w:rPr>
        <w:t xml:space="preserve"> at NHTSA</w:t>
      </w:r>
      <w:r w:rsidRPr="0076715A" w:rsidR="002F2DEA">
        <w:rPr>
          <w:rFonts w:cs="Times New Roman"/>
        </w:rPr>
        <w:t xml:space="preserve"> and the motor vehicle industry to evaluate the </w:t>
      </w:r>
      <w:r w:rsidRPr="0076715A" w:rsidR="002F2DEA">
        <w:rPr>
          <w:rFonts w:cs="Times New Roman"/>
        </w:rPr>
        <w:t>performance of interior components</w:t>
      </w:r>
      <w:r w:rsidR="00CC57E3">
        <w:rPr>
          <w:rFonts w:cs="Times New Roman"/>
        </w:rPr>
        <w:t xml:space="preserve">. This helps NHTSA determine whether there is a need for new crashworthiness FMVSS and provides information to motor vehicle manufacturers </w:t>
      </w:r>
      <w:r w:rsidR="00D570CD">
        <w:rPr>
          <w:rFonts w:cs="Times New Roman"/>
        </w:rPr>
        <w:t>that could be used to improve their vehicle</w:t>
      </w:r>
      <w:r w:rsidRPr="005261EF" w:rsidR="002F2DEA">
        <w:rPr>
          <w:rFonts w:cs="Times New Roman"/>
        </w:rPr>
        <w:t xml:space="preserve"> design</w:t>
      </w:r>
      <w:r w:rsidR="00D570CD">
        <w:rPr>
          <w:rFonts w:cs="Times New Roman"/>
        </w:rPr>
        <w:t>s</w:t>
      </w:r>
      <w:r w:rsidRPr="0076715A" w:rsidR="002F2DEA">
        <w:rPr>
          <w:rFonts w:cs="Times New Roman"/>
        </w:rPr>
        <w:t xml:space="preserve"> to </w:t>
      </w:r>
      <w:r w:rsidR="00D570CD">
        <w:rPr>
          <w:rFonts w:cs="Times New Roman"/>
        </w:rPr>
        <w:t xml:space="preserve">better </w:t>
      </w:r>
      <w:r w:rsidRPr="0076715A" w:rsidR="002F2DEA">
        <w:rPr>
          <w:rFonts w:cs="Times New Roman"/>
        </w:rPr>
        <w:t xml:space="preserve">protect the motoring public from harm. </w:t>
      </w:r>
    </w:p>
    <w:p w:rsidR="002F2DEA" w:rsidRPr="001D1E92" w:rsidP="005261EF" w14:paraId="0D32AB8D" w14:textId="313DC275">
      <w:pPr>
        <w:tabs>
          <w:tab w:val="left" w:pos="-720"/>
          <w:tab w:val="left" w:pos="540"/>
        </w:tabs>
        <w:rPr>
          <w:rFonts w:cs="Times New Roman"/>
        </w:rPr>
      </w:pPr>
      <w:r>
        <w:rPr>
          <w:rFonts w:cs="Times New Roman"/>
        </w:rPr>
        <w:t xml:space="preserve">The CIREN contractor teams have access to case subjects’ medical records through consent. The data collected for the CIREN study focuses on crash injury causation, though past medical history is considered in the assessment of injury causation. </w:t>
      </w:r>
      <w:r w:rsidRPr="00AE6CC8">
        <w:rPr>
          <w:rFonts w:cs="Times New Roman"/>
        </w:rPr>
        <w:t xml:space="preserve"> Sensitive or PII is not released to the public.</w:t>
      </w:r>
    </w:p>
    <w:p w:rsidR="004E1E2F" w:rsidRPr="005261EF" w:rsidP="005261EF" w14:paraId="70B886B4" w14:textId="77777777">
      <w:pPr>
        <w:rPr>
          <w:rFonts w:ascii="Arial" w:hAnsi="Arial" w:cs="Arial"/>
        </w:rPr>
      </w:pPr>
    </w:p>
    <w:p w:rsidR="00196839" w:rsidRPr="00F2317A" w:rsidP="00F2317A" w14:paraId="7214A3EB" w14:textId="77777777">
      <w:pPr>
        <w:pStyle w:val="ListParagraph"/>
        <w:numPr>
          <w:ilvl w:val="0"/>
          <w:numId w:val="18"/>
        </w:numPr>
        <w:autoSpaceDE w:val="0"/>
        <w:autoSpaceDN w:val="0"/>
        <w:adjustRightInd w:val="0"/>
        <w:spacing w:after="0" w:line="240" w:lineRule="auto"/>
        <w:rPr>
          <w:rFonts w:cs="Times New Roman"/>
          <w:b/>
          <w:szCs w:val="24"/>
        </w:rPr>
      </w:pPr>
      <w:bookmarkStart w:id="22" w:name="_Hlk51332070"/>
      <w:r w:rsidRPr="00F2317A">
        <w:rPr>
          <w:rFonts w:cs="Times New Roman"/>
          <w:b/>
          <w:szCs w:val="24"/>
        </w:rPr>
        <w:t>Provide estimates of the hour burden of the collection of information on the respondents</w:t>
      </w:r>
      <w:r w:rsidRPr="00F2317A">
        <w:rPr>
          <w:b/>
        </w:rPr>
        <w:t xml:space="preserve"> </w:t>
      </w:r>
      <w:r w:rsidRPr="00F2317A">
        <w:rPr>
          <w:rFonts w:cs="Times New Roman"/>
          <w:b/>
          <w:szCs w:val="24"/>
        </w:rPr>
        <w:t xml:space="preserve">and estimates of the annualized labor cost to respondents associated with that hour burden. </w:t>
      </w:r>
      <w:bookmarkEnd w:id="22"/>
    </w:p>
    <w:p w:rsidR="00196839" w:rsidP="00196839" w14:paraId="1CE16A61" w14:textId="77777777">
      <w:pPr>
        <w:pStyle w:val="ListParagraph"/>
        <w:autoSpaceDE w:val="0"/>
        <w:autoSpaceDN w:val="0"/>
        <w:adjustRightInd w:val="0"/>
        <w:spacing w:after="0" w:line="240" w:lineRule="auto"/>
        <w:rPr>
          <w:rFonts w:cs="Times New Roman"/>
          <w:b/>
          <w:szCs w:val="24"/>
        </w:rPr>
      </w:pPr>
    </w:p>
    <w:p w:rsidR="0018019A" w:rsidP="00584B2D" w14:paraId="6DEBE636" w14:textId="46E96E58">
      <w:pPr>
        <w:autoSpaceDE w:val="0"/>
        <w:autoSpaceDN w:val="0"/>
        <w:adjustRightInd w:val="0"/>
        <w:spacing w:after="0" w:line="240" w:lineRule="auto"/>
        <w:rPr>
          <w:rFonts w:cs="Times New Roman"/>
          <w:bCs/>
        </w:rPr>
      </w:pPr>
      <w:r>
        <w:rPr>
          <w:rFonts w:cs="Times New Roman"/>
        </w:rPr>
        <w:t xml:space="preserve">CIREN is comprised of </w:t>
      </w:r>
      <w:r w:rsidR="00612E8E">
        <w:rPr>
          <w:rFonts w:cs="Times New Roman"/>
        </w:rPr>
        <w:t xml:space="preserve">eight </w:t>
      </w:r>
      <w:r>
        <w:rPr>
          <w:rFonts w:cs="Times New Roman"/>
        </w:rPr>
        <w:t>Level I Trauma Centers through which patients are admitted for various reasons, one of which could be a motor veh</w:t>
      </w:r>
      <w:r w:rsidR="002A3297">
        <w:rPr>
          <w:rFonts w:cs="Times New Roman"/>
        </w:rPr>
        <w:t xml:space="preserve">icle crash. </w:t>
      </w:r>
      <w:r w:rsidR="00674B8D">
        <w:rPr>
          <w:rFonts w:cs="Times New Roman"/>
        </w:rPr>
        <w:t>The CIREN contractor teams</w:t>
      </w:r>
      <w:r w:rsidR="006028D7">
        <w:rPr>
          <w:rFonts w:cs="Times New Roman"/>
        </w:rPr>
        <w:t>, located within each of the CIREN hospitals,</w:t>
      </w:r>
      <w:r w:rsidR="00674B8D">
        <w:rPr>
          <w:rFonts w:cs="Times New Roman"/>
        </w:rPr>
        <w:t xml:space="preserve"> screen admi</w:t>
      </w:r>
      <w:r w:rsidR="00D66C84">
        <w:rPr>
          <w:rFonts w:cs="Times New Roman"/>
        </w:rPr>
        <w:t>tted patients</w:t>
      </w:r>
      <w:r w:rsidR="00674B8D">
        <w:rPr>
          <w:rFonts w:cs="Times New Roman"/>
        </w:rPr>
        <w:t xml:space="preserve"> </w:t>
      </w:r>
      <w:r w:rsidR="00663279">
        <w:rPr>
          <w:rFonts w:cs="Times New Roman"/>
        </w:rPr>
        <w:t xml:space="preserve">to identify </w:t>
      </w:r>
      <w:r w:rsidR="004325E4">
        <w:rPr>
          <w:rFonts w:cs="Times New Roman"/>
        </w:rPr>
        <w:t xml:space="preserve">if they </w:t>
      </w:r>
      <w:r w:rsidR="003935BA">
        <w:rPr>
          <w:rFonts w:cs="Times New Roman"/>
        </w:rPr>
        <w:t xml:space="preserve">could be included as a CIREN </w:t>
      </w:r>
      <w:r w:rsidR="00C10B4F">
        <w:rPr>
          <w:rFonts w:cs="Times New Roman"/>
        </w:rPr>
        <w:t>case subject</w:t>
      </w:r>
      <w:r w:rsidR="00674B8D">
        <w:rPr>
          <w:rFonts w:cs="Times New Roman"/>
        </w:rPr>
        <w:t xml:space="preserve">. </w:t>
      </w:r>
      <w:r w:rsidR="00825092">
        <w:rPr>
          <w:rFonts w:cs="Times New Roman"/>
        </w:rPr>
        <w:t xml:space="preserve">The </w:t>
      </w:r>
      <w:r w:rsidR="00674B8D">
        <w:rPr>
          <w:rFonts w:cs="Times New Roman"/>
        </w:rPr>
        <w:t xml:space="preserve">initial screening stage identifies all motor vehicle crash victims, then a secondary </w:t>
      </w:r>
      <w:r w:rsidR="00825092">
        <w:rPr>
          <w:rFonts w:cs="Times New Roman"/>
        </w:rPr>
        <w:t xml:space="preserve">screening </w:t>
      </w:r>
      <w:r w:rsidR="00674B8D">
        <w:rPr>
          <w:rFonts w:cs="Times New Roman"/>
        </w:rPr>
        <w:t xml:space="preserve">stage selects those individuals who </w:t>
      </w:r>
      <w:r w:rsidR="00D66C84">
        <w:rPr>
          <w:rFonts w:cs="Times New Roman"/>
        </w:rPr>
        <w:t xml:space="preserve">may qualify for the study based on </w:t>
      </w:r>
      <w:r w:rsidR="00FC0B1E">
        <w:rPr>
          <w:rFonts w:cs="Times New Roman"/>
        </w:rPr>
        <w:t xml:space="preserve">preset CIREN criteria as compared to </w:t>
      </w:r>
      <w:r w:rsidR="00D66C84">
        <w:rPr>
          <w:rFonts w:cs="Times New Roman"/>
        </w:rPr>
        <w:t>the available trauma registry information (e.g., age, injury severity)</w:t>
      </w:r>
      <w:r w:rsidR="00FC0B1E">
        <w:rPr>
          <w:rFonts w:cs="Times New Roman"/>
        </w:rPr>
        <w:t xml:space="preserve"> from the hospital</w:t>
      </w:r>
      <w:r w:rsidR="00D66C84">
        <w:rPr>
          <w:rFonts w:cs="Times New Roman"/>
        </w:rPr>
        <w:t xml:space="preserve">. If the </w:t>
      </w:r>
      <w:r w:rsidR="00C10B4F">
        <w:rPr>
          <w:rFonts w:cs="Times New Roman"/>
        </w:rPr>
        <w:t xml:space="preserve">CIREN contractor </w:t>
      </w:r>
      <w:r w:rsidR="00D66C84">
        <w:rPr>
          <w:rFonts w:cs="Times New Roman"/>
        </w:rPr>
        <w:t>team deems an individual to be</w:t>
      </w:r>
      <w:r w:rsidR="00663279">
        <w:rPr>
          <w:rFonts w:cs="Times New Roman"/>
        </w:rPr>
        <w:t xml:space="preserve"> a potential case subject, the individual (or a representative) is approached by a study team member for consent</w:t>
      </w:r>
      <w:r w:rsidR="00C10B4F">
        <w:rPr>
          <w:rFonts w:cs="Times New Roman"/>
        </w:rPr>
        <w:t xml:space="preserve"> for participation in the data collection</w:t>
      </w:r>
      <w:r w:rsidR="00663279">
        <w:rPr>
          <w:rFonts w:cs="Times New Roman"/>
        </w:rPr>
        <w:t xml:space="preserve">. If the patient consents to participate in the study, the </w:t>
      </w:r>
      <w:r w:rsidR="00231369">
        <w:rPr>
          <w:rFonts w:cs="Times New Roman"/>
        </w:rPr>
        <w:t xml:space="preserve">CIREN contractor </w:t>
      </w:r>
      <w:r w:rsidR="00663279">
        <w:rPr>
          <w:rFonts w:cs="Times New Roman"/>
        </w:rPr>
        <w:t xml:space="preserve">team will commence the data acquisition process. </w:t>
      </w:r>
      <w:r w:rsidR="00231369">
        <w:rPr>
          <w:rFonts w:cs="Times New Roman"/>
        </w:rPr>
        <w:t xml:space="preserve">The consent was the first step in data collection, then </w:t>
      </w:r>
      <w:r w:rsidR="004E0F91">
        <w:rPr>
          <w:rFonts w:cs="Times New Roman"/>
          <w:bCs/>
        </w:rPr>
        <w:t>c</w:t>
      </w:r>
      <w:r w:rsidR="00663279">
        <w:rPr>
          <w:rFonts w:cs="Times New Roman"/>
          <w:bCs/>
        </w:rPr>
        <w:t>ontractor personnel</w:t>
      </w:r>
      <w:r w:rsidRPr="0076715A" w:rsidR="00663279">
        <w:rPr>
          <w:rFonts w:cs="Times New Roman"/>
          <w:bCs/>
        </w:rPr>
        <w:t xml:space="preserve"> </w:t>
      </w:r>
      <w:r w:rsidR="007750CD">
        <w:rPr>
          <w:rFonts w:cs="Times New Roman"/>
          <w:bCs/>
        </w:rPr>
        <w:t>conduct an interview with the consented case subject (or representative);</w:t>
      </w:r>
      <w:r w:rsidRPr="0076715A" w:rsidR="007750CD">
        <w:rPr>
          <w:rFonts w:cs="Times New Roman"/>
          <w:bCs/>
        </w:rPr>
        <w:t xml:space="preserve"> </w:t>
      </w:r>
      <w:r w:rsidRPr="0076715A" w:rsidR="006938F5">
        <w:rPr>
          <w:rFonts w:cs="Times New Roman"/>
          <w:bCs/>
        </w:rPr>
        <w:t xml:space="preserve">locate, visit, measure, and photograph the crash scene; </w:t>
      </w:r>
      <w:r w:rsidR="007750CD">
        <w:rPr>
          <w:rFonts w:cs="Times New Roman"/>
          <w:bCs/>
        </w:rPr>
        <w:t xml:space="preserve">locate, </w:t>
      </w:r>
      <w:r w:rsidRPr="00AE6CC8" w:rsidR="00300E29">
        <w:rPr>
          <w:rFonts w:cs="Times New Roman"/>
          <w:bCs/>
        </w:rPr>
        <w:t>visit,</w:t>
      </w:r>
      <w:r w:rsidRPr="001D1E92" w:rsidR="006938F5">
        <w:rPr>
          <w:rFonts w:cs="Times New Roman"/>
          <w:bCs/>
        </w:rPr>
        <w:t xml:space="preserve"> inspect, and photograph </w:t>
      </w:r>
      <w:r w:rsidR="00663279">
        <w:rPr>
          <w:rFonts w:cs="Times New Roman"/>
          <w:bCs/>
        </w:rPr>
        <w:t xml:space="preserve">the involved </w:t>
      </w:r>
      <w:r w:rsidRPr="001D1E92" w:rsidR="006938F5">
        <w:rPr>
          <w:rFonts w:cs="Times New Roman"/>
          <w:bCs/>
        </w:rPr>
        <w:t xml:space="preserve">vehicle; </w:t>
      </w:r>
      <w:r w:rsidR="007750CD">
        <w:rPr>
          <w:rFonts w:cs="Times New Roman"/>
          <w:bCs/>
        </w:rPr>
        <w:t xml:space="preserve">and </w:t>
      </w:r>
      <w:r w:rsidR="00663279">
        <w:rPr>
          <w:rFonts w:cs="Times New Roman"/>
          <w:bCs/>
        </w:rPr>
        <w:t>extract medical and injury information from the medical record system</w:t>
      </w:r>
      <w:r w:rsidRPr="001D1E92" w:rsidR="006938F5">
        <w:rPr>
          <w:rFonts w:cs="Times New Roman"/>
          <w:bCs/>
        </w:rPr>
        <w:t xml:space="preserve">. </w:t>
      </w:r>
    </w:p>
    <w:p w:rsidR="0018019A" w:rsidP="00584B2D" w14:paraId="1A167452" w14:textId="77777777">
      <w:pPr>
        <w:autoSpaceDE w:val="0"/>
        <w:autoSpaceDN w:val="0"/>
        <w:adjustRightInd w:val="0"/>
        <w:spacing w:after="0" w:line="240" w:lineRule="auto"/>
        <w:rPr>
          <w:rFonts w:cs="Times New Roman"/>
          <w:bCs/>
        </w:rPr>
      </w:pPr>
    </w:p>
    <w:p w:rsidR="006938F5" w:rsidRPr="0076715A" w:rsidP="00584B2D" w14:paraId="4575BEA4" w14:textId="299AB674">
      <w:pPr>
        <w:autoSpaceDE w:val="0"/>
        <w:autoSpaceDN w:val="0"/>
        <w:adjustRightInd w:val="0"/>
        <w:spacing w:after="0" w:line="240" w:lineRule="auto"/>
        <w:rPr>
          <w:rFonts w:cs="Times New Roman"/>
          <w:bCs/>
        </w:rPr>
      </w:pPr>
      <w:r>
        <w:rPr>
          <w:rFonts w:cs="Times New Roman"/>
          <w:bCs/>
        </w:rPr>
        <w:t xml:space="preserve">The respondent in the full data collection varies </w:t>
      </w:r>
      <w:r w:rsidR="00BB454A">
        <w:rPr>
          <w:rFonts w:cs="Times New Roman"/>
          <w:bCs/>
        </w:rPr>
        <w:t>depending on the stage of data collection. In the beginning, the respondent is the victim (or a representative of the victim)</w:t>
      </w:r>
      <w:r w:rsidR="001F0C33">
        <w:rPr>
          <w:rFonts w:cs="Times New Roman"/>
          <w:bCs/>
        </w:rPr>
        <w:t>. D</w:t>
      </w:r>
      <w:r w:rsidR="00BB454A">
        <w:rPr>
          <w:rFonts w:cs="Times New Roman"/>
          <w:bCs/>
        </w:rPr>
        <w:t xml:space="preserve">uring the crash scene stage, a </w:t>
      </w:r>
      <w:r w:rsidR="00BB454A">
        <w:rPr>
          <w:rFonts w:cs="Times New Roman"/>
          <w:bCs/>
        </w:rPr>
        <w:t xml:space="preserve">law enforcement </w:t>
      </w:r>
      <w:r w:rsidR="002E381A">
        <w:rPr>
          <w:rFonts w:cs="Times New Roman"/>
          <w:bCs/>
        </w:rPr>
        <w:t xml:space="preserve">jurisdiction </w:t>
      </w:r>
      <w:r w:rsidR="00BB454A">
        <w:rPr>
          <w:rFonts w:cs="Times New Roman"/>
          <w:bCs/>
        </w:rPr>
        <w:t>is considered the respondent</w:t>
      </w:r>
      <w:r w:rsidR="001F0C33">
        <w:rPr>
          <w:rFonts w:cs="Times New Roman"/>
          <w:bCs/>
        </w:rPr>
        <w:t xml:space="preserve">. During the vehicle inspection stage, the </w:t>
      </w:r>
      <w:r w:rsidR="008D62AB">
        <w:rPr>
          <w:rFonts w:cs="Times New Roman"/>
          <w:bCs/>
        </w:rPr>
        <w:t xml:space="preserve">vehicle insurer and </w:t>
      </w:r>
      <w:r w:rsidR="001F0C33">
        <w:rPr>
          <w:rFonts w:cs="Times New Roman"/>
          <w:bCs/>
        </w:rPr>
        <w:t xml:space="preserve">tow yard or vehicle salvage </w:t>
      </w:r>
      <w:r w:rsidR="002E381A">
        <w:rPr>
          <w:rFonts w:cs="Times New Roman"/>
          <w:bCs/>
        </w:rPr>
        <w:t>facility</w:t>
      </w:r>
      <w:r w:rsidR="001F0C33">
        <w:rPr>
          <w:rFonts w:cs="Times New Roman"/>
          <w:bCs/>
        </w:rPr>
        <w:t xml:space="preserve"> is considered the respondent. </w:t>
      </w:r>
    </w:p>
    <w:p w:rsidR="006938F5" w:rsidP="00196839" w14:paraId="3F259B56" w14:textId="77777777">
      <w:pPr>
        <w:pStyle w:val="ListParagraph"/>
        <w:autoSpaceDE w:val="0"/>
        <w:autoSpaceDN w:val="0"/>
        <w:adjustRightInd w:val="0"/>
        <w:spacing w:after="0" w:line="240" w:lineRule="auto"/>
        <w:rPr>
          <w:rFonts w:cs="Times New Roman"/>
          <w:bCs/>
        </w:rPr>
      </w:pPr>
    </w:p>
    <w:p w:rsidR="006A2C53" w:rsidP="006A640E" w14:paraId="57B39478" w14:textId="4D2FE16D">
      <w:pPr>
        <w:autoSpaceDE w:val="0"/>
        <w:autoSpaceDN w:val="0"/>
        <w:adjustRightInd w:val="0"/>
        <w:spacing w:after="0" w:line="240" w:lineRule="auto"/>
        <w:rPr>
          <w:rFonts w:cs="Times New Roman"/>
          <w:szCs w:val="24"/>
        </w:rPr>
      </w:pPr>
      <w:r>
        <w:rPr>
          <w:rFonts w:cs="Times New Roman"/>
          <w:szCs w:val="24"/>
        </w:rPr>
        <w:t xml:space="preserve">The estimated number of </w:t>
      </w:r>
      <w:r w:rsidR="008D62AB">
        <w:rPr>
          <w:rFonts w:cs="Times New Roman"/>
          <w:szCs w:val="24"/>
        </w:rPr>
        <w:t xml:space="preserve">case subject </w:t>
      </w:r>
      <w:r>
        <w:rPr>
          <w:rFonts w:cs="Times New Roman"/>
          <w:szCs w:val="24"/>
        </w:rPr>
        <w:t xml:space="preserve">respondents is the sum of the patients approached for consent who decline participation in the study and the patients who consent to participate in the study. Historical data indicates that </w:t>
      </w:r>
      <w:r w:rsidR="005C349B">
        <w:rPr>
          <w:rFonts w:cs="Times New Roman"/>
          <w:szCs w:val="24"/>
        </w:rPr>
        <w:t xml:space="preserve">an average of 104 patients are approached but decline consent for the study each year while an average of 258 patients give consent for the study and undergo an interview each year. The consent process generally requires thirty (30) minutes of the respondent’s time, which includes explanation of the study risks and benefits and review of consent </w:t>
      </w:r>
      <w:r w:rsidR="00CE1B1A">
        <w:rPr>
          <w:rFonts w:cs="Times New Roman"/>
          <w:szCs w:val="24"/>
        </w:rPr>
        <w:t>language</w:t>
      </w:r>
      <w:r w:rsidR="005C349B">
        <w:rPr>
          <w:rFonts w:cs="Times New Roman"/>
          <w:szCs w:val="24"/>
        </w:rPr>
        <w:t xml:space="preserve">. </w:t>
      </w:r>
      <w:bookmarkStart w:id="23" w:name="_Hlk101854789"/>
      <w:r w:rsidR="005C349B">
        <w:rPr>
          <w:rFonts w:cs="Times New Roman"/>
          <w:szCs w:val="24"/>
        </w:rPr>
        <w:t xml:space="preserve">This burden would apply for every patient approached for consent, regardless of their </w:t>
      </w:r>
      <w:r w:rsidR="00CE1B1A">
        <w:rPr>
          <w:rFonts w:cs="Times New Roman"/>
          <w:szCs w:val="24"/>
        </w:rPr>
        <w:t xml:space="preserve">ultimate </w:t>
      </w:r>
      <w:r w:rsidR="005C349B">
        <w:rPr>
          <w:rFonts w:cs="Times New Roman"/>
          <w:szCs w:val="24"/>
        </w:rPr>
        <w:t>decision to participate in the study.</w:t>
      </w:r>
      <w:bookmarkEnd w:id="23"/>
      <w:r w:rsidR="005C349B">
        <w:rPr>
          <w:rFonts w:cs="Times New Roman"/>
          <w:szCs w:val="24"/>
        </w:rPr>
        <w:t xml:space="preserve"> For those who do provide consent, NHTSA estimates the interview requires approximately one hour of the respondent’s time, which in</w:t>
      </w:r>
      <w:r w:rsidR="00CE1B1A">
        <w:rPr>
          <w:rFonts w:cs="Times New Roman"/>
          <w:szCs w:val="24"/>
        </w:rPr>
        <w:t>volv</w:t>
      </w:r>
      <w:r w:rsidR="005C349B">
        <w:rPr>
          <w:rFonts w:cs="Times New Roman"/>
          <w:szCs w:val="24"/>
        </w:rPr>
        <w:t>es questioning by a CIREN contractor team member</w:t>
      </w:r>
      <w:r w:rsidR="008D62AB">
        <w:rPr>
          <w:rFonts w:cs="Times New Roman"/>
          <w:szCs w:val="24"/>
        </w:rPr>
        <w:t xml:space="preserve"> and capturing photographs of integumentary injuries</w:t>
      </w:r>
      <w:r w:rsidR="005C349B">
        <w:rPr>
          <w:rFonts w:cs="Times New Roman"/>
          <w:szCs w:val="24"/>
        </w:rPr>
        <w:t xml:space="preserve">. Therefore, the estimated total annual burden for patients who decline </w:t>
      </w:r>
      <w:r w:rsidR="005C349B">
        <w:rPr>
          <w:rFonts w:cs="Times New Roman"/>
          <w:szCs w:val="24"/>
        </w:rPr>
        <w:t xml:space="preserve">consent is 52 hours (0.5 </w:t>
      </w:r>
      <w:r w:rsidR="005C349B">
        <w:rPr>
          <w:rFonts w:cs="Times New Roman"/>
          <w:szCs w:val="24"/>
        </w:rPr>
        <w:t xml:space="preserve">hours </w:t>
      </w:r>
      <w:bookmarkStart w:id="24" w:name="_Hlk98917616"/>
      <w:bookmarkStart w:id="25" w:name="_Hlk101854942"/>
      <w:r w:rsidRPr="00122261" w:rsidR="005C349B">
        <w:rPr>
          <w:rFonts w:cs="Times New Roman"/>
          <w:szCs w:val="24"/>
        </w:rPr>
        <w:t>×</w:t>
      </w:r>
      <w:bookmarkEnd w:id="24"/>
      <w:r w:rsidR="005C349B">
        <w:rPr>
          <w:rFonts w:cs="Times New Roman"/>
          <w:szCs w:val="24"/>
        </w:rPr>
        <w:t xml:space="preserve"> </w:t>
      </w:r>
      <w:bookmarkEnd w:id="25"/>
      <w:r w:rsidR="005C349B">
        <w:rPr>
          <w:rFonts w:cs="Times New Roman"/>
          <w:szCs w:val="24"/>
        </w:rPr>
        <w:t xml:space="preserve">104 patients). The estimated total annual burden for patients who agree to participate in the study is </w:t>
      </w:r>
      <w:r w:rsidR="007B1FEE">
        <w:rPr>
          <w:rFonts w:cs="Times New Roman"/>
          <w:szCs w:val="24"/>
        </w:rPr>
        <w:t>387</w:t>
      </w:r>
      <w:r w:rsidR="005C349B">
        <w:rPr>
          <w:rFonts w:cs="Times New Roman"/>
          <w:szCs w:val="24"/>
        </w:rPr>
        <w:t xml:space="preserve"> hours (</w:t>
      </w:r>
      <w:r w:rsidR="007B1FEE">
        <w:rPr>
          <w:rFonts w:cs="Times New Roman"/>
          <w:szCs w:val="24"/>
        </w:rPr>
        <w:t xml:space="preserve">1.5 hours </w:t>
      </w:r>
      <w:r w:rsidRPr="00122261" w:rsidR="007B1FEE">
        <w:rPr>
          <w:rFonts w:cs="Times New Roman"/>
          <w:szCs w:val="24"/>
        </w:rPr>
        <w:t>×</w:t>
      </w:r>
      <w:r w:rsidR="007B1FEE">
        <w:rPr>
          <w:rFonts w:cs="Times New Roman"/>
          <w:szCs w:val="24"/>
        </w:rPr>
        <w:t xml:space="preserve"> 258 patients), where the 1.5 hours per respondent includes the consent time and interview time. The total estimated annual hour burden for respondents is 439 hours (52 + 387</w:t>
      </w:r>
      <w:r w:rsidR="007B1FEE">
        <w:rPr>
          <w:rFonts w:cs="Times New Roman"/>
          <w:szCs w:val="24"/>
        </w:rPr>
        <w:t>).</w:t>
      </w:r>
    </w:p>
    <w:p w:rsidR="006A2C53" w:rsidP="006A640E" w14:paraId="671AB302" w14:textId="77777777">
      <w:pPr>
        <w:autoSpaceDE w:val="0"/>
        <w:autoSpaceDN w:val="0"/>
        <w:adjustRightInd w:val="0"/>
        <w:spacing w:after="0" w:line="240" w:lineRule="auto"/>
        <w:rPr>
          <w:rFonts w:cs="Times New Roman"/>
          <w:szCs w:val="24"/>
        </w:rPr>
      </w:pPr>
    </w:p>
    <w:p w:rsidR="00196839" w:rsidP="006A640E" w14:paraId="0EBAD665" w14:textId="53EBCB40">
      <w:pPr>
        <w:autoSpaceDE w:val="0"/>
        <w:autoSpaceDN w:val="0"/>
        <w:adjustRightInd w:val="0"/>
        <w:spacing w:after="0" w:line="240" w:lineRule="auto"/>
        <w:rPr>
          <w:rFonts w:cs="Times New Roman"/>
          <w:szCs w:val="24"/>
        </w:rPr>
      </w:pPr>
      <w:r>
        <w:rPr>
          <w:rFonts w:cs="Times New Roman"/>
          <w:szCs w:val="24"/>
        </w:rPr>
        <w:t xml:space="preserve">Crash investigators and other CIREN contractor staff must obtain official records to initiate and complete the cases. These records include police crash reports and EMS records. </w:t>
      </w:r>
      <w:r w:rsidR="00CE1B1A">
        <w:rPr>
          <w:rFonts w:cs="Times New Roman"/>
          <w:szCs w:val="24"/>
        </w:rPr>
        <w:t>The estimate of burden to police agencies to provide police crash reports is obtained by multiplying the average number of consented cases per year by the average burden hours per report request</w:t>
      </w:r>
      <w:r w:rsidR="00256A41">
        <w:rPr>
          <w:rFonts w:cs="Times New Roman"/>
          <w:szCs w:val="24"/>
        </w:rPr>
        <w:t xml:space="preserve">. Based on the average of 258 patient consents per year and an estimate of three (3) minutes of staff time to fulfil the request, the total annual burden for police agencies is thirteen (13) hours (0.05 hours </w:t>
      </w:r>
      <w:r w:rsidRPr="00122261" w:rsidR="00256A41">
        <w:rPr>
          <w:rFonts w:cs="Times New Roman"/>
          <w:szCs w:val="24"/>
        </w:rPr>
        <w:t>×</w:t>
      </w:r>
      <w:r w:rsidR="00256A41">
        <w:rPr>
          <w:rFonts w:cs="Times New Roman"/>
          <w:szCs w:val="24"/>
        </w:rPr>
        <w:t xml:space="preserve"> 258 cases). Similarly, the burden to EMS agencies to provide EMS run records is obtained by multiplying the average number of consented cases per year by the average burden hours per record request. Using the same annual average of 258 patients and an estimate of six (6) minutes of staff time per request, the total annual burden for EMS agencies is twenty-six (26) hours (0.1 hours </w:t>
      </w:r>
      <w:r w:rsidRPr="00122261" w:rsidR="00256A41">
        <w:rPr>
          <w:rFonts w:cs="Times New Roman"/>
          <w:szCs w:val="24"/>
        </w:rPr>
        <w:t>×</w:t>
      </w:r>
      <w:r w:rsidR="00256A41">
        <w:rPr>
          <w:rFonts w:cs="Times New Roman"/>
          <w:szCs w:val="24"/>
        </w:rPr>
        <w:t xml:space="preserve"> 258 cases). </w:t>
      </w:r>
      <w:r w:rsidR="00144098">
        <w:rPr>
          <w:rFonts w:cs="Times New Roman"/>
          <w:szCs w:val="24"/>
        </w:rPr>
        <w:t>Therefore, the total estimated annual burden for police and EMS agencies is 39 hours.</w:t>
      </w:r>
    </w:p>
    <w:p w:rsidR="001352D8" w:rsidP="006A640E" w14:paraId="482A62B0" w14:textId="1D18D235">
      <w:pPr>
        <w:autoSpaceDE w:val="0"/>
        <w:autoSpaceDN w:val="0"/>
        <w:adjustRightInd w:val="0"/>
        <w:spacing w:after="0" w:line="240" w:lineRule="auto"/>
        <w:rPr>
          <w:rFonts w:cs="Times New Roman"/>
          <w:szCs w:val="24"/>
        </w:rPr>
      </w:pPr>
    </w:p>
    <w:p w:rsidR="008D62AB" w:rsidP="008D62AB" w14:paraId="7EB367D2" w14:textId="77777777">
      <w:pPr>
        <w:autoSpaceDE w:val="0"/>
        <w:autoSpaceDN w:val="0"/>
        <w:adjustRightInd w:val="0"/>
        <w:spacing w:after="0" w:line="240" w:lineRule="auto"/>
        <w:contextualSpacing/>
        <w:rPr>
          <w:rFonts w:cs="Times New Roman"/>
          <w:szCs w:val="24"/>
        </w:rPr>
      </w:pPr>
      <w:r>
        <w:t xml:space="preserve">For most CIREN cases, the case subject’s vehicle has sustained sufficient damage to be deemed a total loss by the insurer and it becomes necessary to obtain approval from the insurer to conduct the vehicle inspection. This process requires contractor personnel to contact the claims adjuster to obtain permission as well as confirm the disposition of the vehicle (i.e., salvage facility). Following the interaction between the CIREN contractor and insurance company, the insurance company must notify the salvage facility of the approval prior to the vehicle inspection taking place. This process can vary between a brief set of communications to multiple interactions depending on the circumstances of each case. Insurance company time burden may range between one half hour to four hours. For the burden estimate, an average time of two hours will be associated with the insurance company for each inspected vehicle. </w:t>
      </w:r>
      <w:r>
        <w:rPr>
          <w:rFonts w:cs="Times New Roman"/>
          <w:szCs w:val="24"/>
        </w:rPr>
        <w:t xml:space="preserve">Using the same annual average of 258 patients and an estimate of two (2) hours of insurer time per request, the total annual burden for insurance companies is 516 hours (2.0 hours </w:t>
      </w:r>
      <w:r w:rsidRPr="00122261">
        <w:rPr>
          <w:rFonts w:cs="Times New Roman"/>
          <w:szCs w:val="24"/>
        </w:rPr>
        <w:t>×</w:t>
      </w:r>
      <w:r>
        <w:rPr>
          <w:rFonts w:cs="Times New Roman"/>
          <w:szCs w:val="24"/>
        </w:rPr>
        <w:t xml:space="preserve"> 258 cases). </w:t>
      </w:r>
    </w:p>
    <w:p w:rsidR="008D62AB" w:rsidP="00144098" w14:paraId="568711A3" w14:textId="77777777">
      <w:pPr>
        <w:autoSpaceDE w:val="0"/>
        <w:autoSpaceDN w:val="0"/>
        <w:adjustRightInd w:val="0"/>
        <w:spacing w:after="0" w:line="240" w:lineRule="auto"/>
        <w:contextualSpacing/>
        <w:rPr>
          <w:rFonts w:cs="Times New Roman"/>
          <w:szCs w:val="24"/>
        </w:rPr>
      </w:pPr>
    </w:p>
    <w:p w:rsidR="001352D8" w:rsidRPr="001352D8" w:rsidP="00144098" w14:paraId="66E802D2" w14:textId="00566A51">
      <w:pPr>
        <w:autoSpaceDE w:val="0"/>
        <w:autoSpaceDN w:val="0"/>
        <w:adjustRightInd w:val="0"/>
        <w:spacing w:after="0" w:line="240" w:lineRule="auto"/>
        <w:contextualSpacing/>
        <w:rPr>
          <w:rFonts w:cs="Times New Roman"/>
          <w:szCs w:val="24"/>
        </w:rPr>
      </w:pPr>
      <w:r w:rsidRPr="001352D8">
        <w:rPr>
          <w:rFonts w:cs="Times New Roman"/>
          <w:szCs w:val="24"/>
        </w:rPr>
        <w:t xml:space="preserve">The burden to tow facilities is estimated by multiplying the estimated number of vehicle inspections per year by the burden hours per visit.  Typically, </w:t>
      </w:r>
      <w:r w:rsidR="008D62AB">
        <w:rPr>
          <w:rFonts w:cs="Times New Roman"/>
          <w:szCs w:val="24"/>
        </w:rPr>
        <w:t>the insurance adjuster will contact the tow facility or salvage yard where the case subject’s vehicle is located to convey approval for the CIREN investigator to conduct an inspection. This interaction should require ten (10) minutes of time for the tow facility operator. Then, the</w:t>
      </w:r>
      <w:r w:rsidRPr="001352D8">
        <w:rPr>
          <w:rFonts w:cs="Times New Roman"/>
          <w:szCs w:val="24"/>
        </w:rPr>
        <w:t xml:space="preserve"> tow facility operator needs to </w:t>
      </w:r>
      <w:r w:rsidR="008D62AB">
        <w:rPr>
          <w:rFonts w:cs="Times New Roman"/>
          <w:szCs w:val="24"/>
        </w:rPr>
        <w:t xml:space="preserve">provide </w:t>
      </w:r>
      <w:r w:rsidRPr="001352D8">
        <w:rPr>
          <w:rFonts w:cs="Times New Roman"/>
          <w:szCs w:val="24"/>
        </w:rPr>
        <w:t xml:space="preserve">the </w:t>
      </w:r>
      <w:r w:rsidR="007A40BC">
        <w:rPr>
          <w:rFonts w:cs="Times New Roman"/>
          <w:szCs w:val="24"/>
        </w:rPr>
        <w:t>crash investigator</w:t>
      </w:r>
      <w:r w:rsidRPr="001352D8">
        <w:rPr>
          <w:rFonts w:cs="Times New Roman"/>
          <w:szCs w:val="24"/>
        </w:rPr>
        <w:t xml:space="preserve"> </w:t>
      </w:r>
      <w:r w:rsidR="008D62AB">
        <w:rPr>
          <w:rFonts w:cs="Times New Roman"/>
          <w:szCs w:val="24"/>
        </w:rPr>
        <w:t>vehicle location information and access to</w:t>
      </w:r>
      <w:r w:rsidRPr="001352D8">
        <w:rPr>
          <w:rFonts w:cs="Times New Roman"/>
          <w:szCs w:val="24"/>
        </w:rPr>
        <w:t xml:space="preserve"> the </w:t>
      </w:r>
      <w:r w:rsidR="008D62AB">
        <w:rPr>
          <w:rFonts w:cs="Times New Roman"/>
          <w:szCs w:val="24"/>
        </w:rPr>
        <w:t>facility</w:t>
      </w:r>
      <w:r w:rsidRPr="001352D8" w:rsidR="008D62AB">
        <w:rPr>
          <w:rFonts w:cs="Times New Roman"/>
          <w:szCs w:val="24"/>
        </w:rPr>
        <w:t xml:space="preserve"> </w:t>
      </w:r>
      <w:r w:rsidRPr="001352D8">
        <w:rPr>
          <w:rFonts w:cs="Times New Roman"/>
          <w:szCs w:val="24"/>
        </w:rPr>
        <w:t>to inspect the vehicle</w:t>
      </w:r>
      <w:r w:rsidR="00C41F8B">
        <w:rPr>
          <w:rFonts w:cs="Times New Roman"/>
          <w:szCs w:val="24"/>
        </w:rPr>
        <w:t>. This</w:t>
      </w:r>
      <w:r w:rsidRPr="001352D8">
        <w:rPr>
          <w:rFonts w:cs="Times New Roman"/>
          <w:szCs w:val="24"/>
        </w:rPr>
        <w:t xml:space="preserve"> involves approximately </w:t>
      </w:r>
      <w:r w:rsidR="007A40BC">
        <w:rPr>
          <w:rFonts w:cs="Times New Roman"/>
          <w:szCs w:val="24"/>
        </w:rPr>
        <w:t>five (</w:t>
      </w:r>
      <w:r w:rsidRPr="001352D8">
        <w:rPr>
          <w:rFonts w:cs="Times New Roman"/>
          <w:szCs w:val="24"/>
        </w:rPr>
        <w:t>5</w:t>
      </w:r>
      <w:r w:rsidR="007A40BC">
        <w:rPr>
          <w:rFonts w:cs="Times New Roman"/>
          <w:szCs w:val="24"/>
        </w:rPr>
        <w:t>)</w:t>
      </w:r>
      <w:r w:rsidRPr="001352D8">
        <w:rPr>
          <w:rFonts w:cs="Times New Roman"/>
          <w:szCs w:val="24"/>
        </w:rPr>
        <w:t xml:space="preserve"> minutes of staff time</w:t>
      </w:r>
      <w:r w:rsidR="00C41F8B">
        <w:rPr>
          <w:rFonts w:cs="Times New Roman"/>
          <w:szCs w:val="24"/>
        </w:rPr>
        <w:t xml:space="preserve"> making the total tow facility operator time of fifteen (15) minutes per case on average</w:t>
      </w:r>
      <w:r w:rsidRPr="001352D8">
        <w:rPr>
          <w:rFonts w:cs="Times New Roman"/>
          <w:szCs w:val="24"/>
        </w:rPr>
        <w:t>. CI</w:t>
      </w:r>
      <w:r w:rsidR="007A40BC">
        <w:rPr>
          <w:rFonts w:cs="Times New Roman"/>
          <w:szCs w:val="24"/>
        </w:rPr>
        <w:t>REN</w:t>
      </w:r>
      <w:r w:rsidRPr="001352D8">
        <w:rPr>
          <w:rFonts w:cs="Times New Roman"/>
          <w:szCs w:val="24"/>
        </w:rPr>
        <w:t xml:space="preserve"> averages </w:t>
      </w:r>
      <w:r w:rsidR="007A40BC">
        <w:rPr>
          <w:rFonts w:cs="Times New Roman"/>
          <w:szCs w:val="24"/>
        </w:rPr>
        <w:t>25</w:t>
      </w:r>
      <w:r w:rsidR="00B17D90">
        <w:rPr>
          <w:rFonts w:cs="Times New Roman"/>
          <w:szCs w:val="24"/>
        </w:rPr>
        <w:t>8</w:t>
      </w:r>
      <w:r w:rsidRPr="001352D8">
        <w:rPr>
          <w:rFonts w:cs="Times New Roman"/>
          <w:szCs w:val="24"/>
        </w:rPr>
        <w:t xml:space="preserve"> visits to tow facilities per year, and NHTSA estimates the total annual burden to be </w:t>
      </w:r>
      <w:r w:rsidR="00C41F8B">
        <w:rPr>
          <w:rFonts w:cs="Times New Roman"/>
          <w:szCs w:val="24"/>
        </w:rPr>
        <w:t>64.5</w:t>
      </w:r>
      <w:r w:rsidRPr="001352D8" w:rsidR="00C41F8B">
        <w:rPr>
          <w:rFonts w:cs="Times New Roman"/>
          <w:szCs w:val="24"/>
        </w:rPr>
        <w:t xml:space="preserve"> </w:t>
      </w:r>
      <w:r w:rsidRPr="001352D8">
        <w:rPr>
          <w:rFonts w:cs="Times New Roman"/>
          <w:szCs w:val="24"/>
        </w:rPr>
        <w:t>hours (</w:t>
      </w:r>
      <w:r w:rsidR="00144098">
        <w:rPr>
          <w:rFonts w:cs="Times New Roman"/>
          <w:szCs w:val="24"/>
        </w:rPr>
        <w:t>0.</w:t>
      </w:r>
      <w:r w:rsidR="00C41F8B">
        <w:rPr>
          <w:rFonts w:cs="Times New Roman"/>
          <w:szCs w:val="24"/>
        </w:rPr>
        <w:t xml:space="preserve">25 </w:t>
      </w:r>
      <w:r w:rsidR="00144098">
        <w:rPr>
          <w:rFonts w:cs="Times New Roman"/>
          <w:szCs w:val="24"/>
        </w:rPr>
        <w:t xml:space="preserve">hours </w:t>
      </w:r>
      <w:r w:rsidRPr="00122261" w:rsidR="00144098">
        <w:rPr>
          <w:rFonts w:cs="Times New Roman"/>
          <w:szCs w:val="24"/>
        </w:rPr>
        <w:t>×</w:t>
      </w:r>
      <w:r w:rsidR="00144098">
        <w:rPr>
          <w:rFonts w:cs="Times New Roman"/>
          <w:szCs w:val="24"/>
        </w:rPr>
        <w:t xml:space="preserve"> </w:t>
      </w:r>
      <w:r w:rsidR="007A40BC">
        <w:rPr>
          <w:rFonts w:cs="Times New Roman"/>
          <w:szCs w:val="24"/>
        </w:rPr>
        <w:t>2</w:t>
      </w:r>
      <w:r w:rsidRPr="001352D8">
        <w:rPr>
          <w:rFonts w:cs="Times New Roman"/>
          <w:szCs w:val="24"/>
        </w:rPr>
        <w:t>5</w:t>
      </w:r>
      <w:r w:rsidR="00B17D90">
        <w:rPr>
          <w:rFonts w:cs="Times New Roman"/>
          <w:szCs w:val="24"/>
        </w:rPr>
        <w:t>8</w:t>
      </w:r>
      <w:r w:rsidRPr="001352D8">
        <w:rPr>
          <w:rFonts w:cs="Times New Roman"/>
          <w:szCs w:val="24"/>
        </w:rPr>
        <w:t xml:space="preserve"> visits).  </w:t>
      </w:r>
    </w:p>
    <w:p w:rsidR="001352D8" w:rsidRPr="001352D8" w:rsidP="001352D8" w14:paraId="6DC11EDC" w14:textId="77777777">
      <w:pPr>
        <w:autoSpaceDE w:val="0"/>
        <w:autoSpaceDN w:val="0"/>
        <w:adjustRightInd w:val="0"/>
        <w:spacing w:after="0" w:line="240" w:lineRule="auto"/>
        <w:ind w:left="720"/>
        <w:contextualSpacing/>
        <w:rPr>
          <w:rFonts w:cs="Times New Roman"/>
          <w:szCs w:val="24"/>
        </w:rPr>
      </w:pPr>
    </w:p>
    <w:p w:rsidR="001352D8" w:rsidP="007A40BC" w14:paraId="24C9CACB" w14:textId="51521F68">
      <w:pPr>
        <w:autoSpaceDE w:val="0"/>
        <w:autoSpaceDN w:val="0"/>
        <w:adjustRightInd w:val="0"/>
        <w:spacing w:after="0" w:line="240" w:lineRule="auto"/>
        <w:contextualSpacing/>
        <w:rPr>
          <w:rFonts w:cs="Times New Roman"/>
          <w:szCs w:val="24"/>
        </w:rPr>
      </w:pPr>
      <w:r w:rsidRPr="001352D8">
        <w:rPr>
          <w:rFonts w:cs="Times New Roman"/>
          <w:szCs w:val="24"/>
        </w:rPr>
        <w:t>Table</w:t>
      </w:r>
      <w:r w:rsidR="006C75E2">
        <w:rPr>
          <w:rFonts w:cs="Times New Roman"/>
          <w:szCs w:val="24"/>
        </w:rPr>
        <w:t xml:space="preserve"> 1</w:t>
      </w:r>
      <w:r w:rsidRPr="001352D8">
        <w:rPr>
          <w:rFonts w:cs="Times New Roman"/>
          <w:szCs w:val="24"/>
        </w:rPr>
        <w:t xml:space="preserve"> </w:t>
      </w:r>
      <w:r w:rsidRPr="001352D8">
        <w:rPr>
          <w:rFonts w:cs="Times New Roman"/>
          <w:szCs w:val="24"/>
        </w:rPr>
        <w:t>below provide</w:t>
      </w:r>
      <w:r w:rsidR="00150EF3">
        <w:rPr>
          <w:rFonts w:cs="Times New Roman"/>
          <w:szCs w:val="24"/>
        </w:rPr>
        <w:t>s</w:t>
      </w:r>
      <w:r w:rsidRPr="001352D8">
        <w:rPr>
          <w:rFonts w:cs="Times New Roman"/>
          <w:szCs w:val="24"/>
        </w:rPr>
        <w:t xml:space="preserve"> a summary of the estimated annual burden hours</w:t>
      </w:r>
      <w:r w:rsidR="006C75E2">
        <w:rPr>
          <w:rFonts w:cs="Times New Roman"/>
          <w:szCs w:val="24"/>
        </w:rPr>
        <w:t xml:space="preserve"> for each information collection</w:t>
      </w:r>
      <w:r w:rsidRPr="001352D8">
        <w:rPr>
          <w:rFonts w:cs="Times New Roman"/>
          <w:szCs w:val="24"/>
        </w:rPr>
        <w:t>.</w:t>
      </w:r>
    </w:p>
    <w:p w:rsidR="007A40BC" w:rsidP="00150EF3" w14:paraId="26D859B4" w14:textId="54F621DC">
      <w:pPr>
        <w:autoSpaceDE w:val="0"/>
        <w:autoSpaceDN w:val="0"/>
        <w:adjustRightInd w:val="0"/>
        <w:spacing w:after="0" w:line="240" w:lineRule="auto"/>
        <w:contextualSpacing/>
        <w:rPr>
          <w:rFonts w:cs="Times New Roman"/>
          <w:szCs w:val="24"/>
        </w:rPr>
      </w:pPr>
    </w:p>
    <w:tbl>
      <w:tblPr>
        <w:tblStyle w:val="TableGrid"/>
        <w:tblW w:w="0" w:type="auto"/>
        <w:tblLook w:val="04A0"/>
      </w:tblPr>
      <w:tblGrid>
        <w:gridCol w:w="1670"/>
        <w:gridCol w:w="1546"/>
        <w:gridCol w:w="1545"/>
        <w:gridCol w:w="1528"/>
        <w:gridCol w:w="1542"/>
        <w:gridCol w:w="1519"/>
      </w:tblGrid>
      <w:tr w14:paraId="4ACACD68" w14:textId="77777777" w:rsidTr="00150EF3">
        <w:tblPrEx>
          <w:tblW w:w="0" w:type="auto"/>
          <w:tblLook w:val="04A0"/>
        </w:tblPrEx>
        <w:tc>
          <w:tcPr>
            <w:tcW w:w="9350" w:type="dxa"/>
            <w:gridSpan w:val="6"/>
            <w:tcBorders>
              <w:top w:val="nil"/>
              <w:left w:val="nil"/>
              <w:bottom w:val="single" w:sz="4" w:space="0" w:color="auto"/>
              <w:right w:val="nil"/>
            </w:tcBorders>
          </w:tcPr>
          <w:p w:rsidR="00150EF3" w:rsidP="00150EF3" w14:paraId="131FECC4" w14:textId="5EB44E38">
            <w:pPr>
              <w:autoSpaceDE w:val="0"/>
              <w:autoSpaceDN w:val="0"/>
              <w:adjustRightInd w:val="0"/>
              <w:jc w:val="center"/>
              <w:rPr>
                <w:rFonts w:eastAsia="Times New Roman" w:cs="Times New Roman"/>
                <w:szCs w:val="24"/>
              </w:rPr>
            </w:pPr>
            <w:r>
              <w:rPr>
                <w:rFonts w:eastAsia="Times New Roman" w:cs="Times New Roman"/>
                <w:szCs w:val="24"/>
              </w:rPr>
              <w:t>Table 1: Annual</w:t>
            </w:r>
            <w:r>
              <w:rPr>
                <w:rFonts w:eastAsia="Times New Roman" w:cs="Times New Roman"/>
                <w:szCs w:val="24"/>
              </w:rPr>
              <w:t xml:space="preserve"> burden estimate by respondent type</w:t>
            </w:r>
          </w:p>
        </w:tc>
      </w:tr>
      <w:tr w14:paraId="688853DB" w14:textId="77777777" w:rsidTr="00150EF3">
        <w:tblPrEx>
          <w:tblW w:w="0" w:type="auto"/>
          <w:tblLook w:val="04A0"/>
        </w:tblPrEx>
        <w:tc>
          <w:tcPr>
            <w:tcW w:w="1670" w:type="dxa"/>
            <w:tcBorders>
              <w:top w:val="single" w:sz="4" w:space="0" w:color="auto"/>
            </w:tcBorders>
          </w:tcPr>
          <w:p w:rsidR="00231990" w:rsidP="007D04A7" w14:paraId="52BB2991" w14:textId="77777777">
            <w:pPr>
              <w:autoSpaceDE w:val="0"/>
              <w:autoSpaceDN w:val="0"/>
              <w:adjustRightInd w:val="0"/>
              <w:rPr>
                <w:rFonts w:eastAsia="Times New Roman" w:cs="Times New Roman"/>
                <w:szCs w:val="24"/>
              </w:rPr>
            </w:pPr>
            <w:r>
              <w:rPr>
                <w:rFonts w:eastAsia="Times New Roman" w:cs="Times New Roman"/>
                <w:szCs w:val="24"/>
              </w:rPr>
              <w:t>Information Collection</w:t>
            </w:r>
          </w:p>
        </w:tc>
        <w:tc>
          <w:tcPr>
            <w:tcW w:w="1546" w:type="dxa"/>
            <w:tcBorders>
              <w:top w:val="single" w:sz="4" w:space="0" w:color="auto"/>
            </w:tcBorders>
          </w:tcPr>
          <w:p w:rsidR="00231990" w:rsidP="007D04A7" w14:paraId="7136892C" w14:textId="77777777">
            <w:pPr>
              <w:autoSpaceDE w:val="0"/>
              <w:autoSpaceDN w:val="0"/>
              <w:adjustRightInd w:val="0"/>
              <w:rPr>
                <w:rFonts w:eastAsia="Times New Roman" w:cs="Times New Roman"/>
                <w:szCs w:val="24"/>
              </w:rPr>
            </w:pPr>
            <w:r>
              <w:rPr>
                <w:rFonts w:eastAsia="Times New Roman" w:cs="Times New Roman"/>
                <w:szCs w:val="24"/>
              </w:rPr>
              <w:t>Number of respondents</w:t>
            </w:r>
          </w:p>
        </w:tc>
        <w:tc>
          <w:tcPr>
            <w:tcW w:w="1545" w:type="dxa"/>
            <w:tcBorders>
              <w:top w:val="single" w:sz="4" w:space="0" w:color="auto"/>
            </w:tcBorders>
          </w:tcPr>
          <w:p w:rsidR="00231990" w:rsidP="007D04A7" w14:paraId="54395398" w14:textId="77777777">
            <w:pPr>
              <w:autoSpaceDE w:val="0"/>
              <w:autoSpaceDN w:val="0"/>
              <w:adjustRightInd w:val="0"/>
              <w:rPr>
                <w:rFonts w:eastAsia="Times New Roman" w:cs="Times New Roman"/>
                <w:szCs w:val="24"/>
              </w:rPr>
            </w:pPr>
            <w:r>
              <w:rPr>
                <w:rFonts w:eastAsia="Times New Roman" w:cs="Times New Roman"/>
                <w:szCs w:val="24"/>
              </w:rPr>
              <w:t>Number of responses (per respondent)</w:t>
            </w:r>
          </w:p>
        </w:tc>
        <w:tc>
          <w:tcPr>
            <w:tcW w:w="1528" w:type="dxa"/>
            <w:tcBorders>
              <w:top w:val="single" w:sz="4" w:space="0" w:color="auto"/>
            </w:tcBorders>
          </w:tcPr>
          <w:p w:rsidR="00231990" w:rsidP="007D04A7" w14:paraId="3648DCBD" w14:textId="77777777">
            <w:pPr>
              <w:autoSpaceDE w:val="0"/>
              <w:autoSpaceDN w:val="0"/>
              <w:adjustRightInd w:val="0"/>
              <w:rPr>
                <w:rFonts w:eastAsia="Times New Roman" w:cs="Times New Roman"/>
                <w:szCs w:val="24"/>
              </w:rPr>
            </w:pPr>
            <w:r>
              <w:rPr>
                <w:rFonts w:eastAsia="Times New Roman" w:cs="Times New Roman"/>
                <w:szCs w:val="24"/>
              </w:rPr>
              <w:t>Burden per response</w:t>
            </w:r>
          </w:p>
        </w:tc>
        <w:tc>
          <w:tcPr>
            <w:tcW w:w="1542" w:type="dxa"/>
            <w:tcBorders>
              <w:top w:val="single" w:sz="4" w:space="0" w:color="auto"/>
            </w:tcBorders>
          </w:tcPr>
          <w:p w:rsidR="00231990" w:rsidP="007D04A7" w14:paraId="2449156E" w14:textId="77777777">
            <w:pPr>
              <w:autoSpaceDE w:val="0"/>
              <w:autoSpaceDN w:val="0"/>
              <w:adjustRightInd w:val="0"/>
              <w:rPr>
                <w:rFonts w:eastAsia="Times New Roman" w:cs="Times New Roman"/>
                <w:szCs w:val="24"/>
              </w:rPr>
            </w:pPr>
            <w:r>
              <w:rPr>
                <w:rFonts w:eastAsia="Times New Roman" w:cs="Times New Roman"/>
                <w:szCs w:val="24"/>
              </w:rPr>
              <w:t>Burden per respondent</w:t>
            </w:r>
          </w:p>
        </w:tc>
        <w:tc>
          <w:tcPr>
            <w:tcW w:w="1519" w:type="dxa"/>
            <w:tcBorders>
              <w:top w:val="single" w:sz="4" w:space="0" w:color="auto"/>
            </w:tcBorders>
          </w:tcPr>
          <w:p w:rsidR="00231990" w:rsidP="007D04A7" w14:paraId="22C7DD7A" w14:textId="77777777">
            <w:pPr>
              <w:autoSpaceDE w:val="0"/>
              <w:autoSpaceDN w:val="0"/>
              <w:adjustRightInd w:val="0"/>
              <w:rPr>
                <w:rFonts w:eastAsia="Times New Roman" w:cs="Times New Roman"/>
                <w:szCs w:val="24"/>
              </w:rPr>
            </w:pPr>
            <w:r>
              <w:rPr>
                <w:rFonts w:eastAsia="Times New Roman" w:cs="Times New Roman"/>
                <w:szCs w:val="24"/>
              </w:rPr>
              <w:t>Total burden</w:t>
            </w:r>
          </w:p>
        </w:tc>
      </w:tr>
      <w:tr w14:paraId="7BA78BAE" w14:textId="77777777" w:rsidTr="007D04A7">
        <w:tblPrEx>
          <w:tblW w:w="0" w:type="auto"/>
          <w:tblLook w:val="04A0"/>
        </w:tblPrEx>
        <w:tc>
          <w:tcPr>
            <w:tcW w:w="1670" w:type="dxa"/>
          </w:tcPr>
          <w:p w:rsidR="00231990" w:rsidP="007D04A7" w14:paraId="5105DDC9" w14:textId="77777777">
            <w:pPr>
              <w:autoSpaceDE w:val="0"/>
              <w:autoSpaceDN w:val="0"/>
              <w:adjustRightInd w:val="0"/>
              <w:rPr>
                <w:rFonts w:eastAsia="Times New Roman" w:cs="Times New Roman"/>
                <w:szCs w:val="24"/>
              </w:rPr>
            </w:pPr>
            <w:r>
              <w:rPr>
                <w:rFonts w:eastAsia="Times New Roman" w:cs="Times New Roman"/>
                <w:szCs w:val="24"/>
              </w:rPr>
              <w:t>Potential case subject consent</w:t>
            </w:r>
          </w:p>
        </w:tc>
        <w:tc>
          <w:tcPr>
            <w:tcW w:w="1546" w:type="dxa"/>
          </w:tcPr>
          <w:p w:rsidR="00231990" w:rsidP="007D04A7" w14:paraId="691A5111" w14:textId="77777777">
            <w:pPr>
              <w:autoSpaceDE w:val="0"/>
              <w:autoSpaceDN w:val="0"/>
              <w:adjustRightInd w:val="0"/>
              <w:rPr>
                <w:rFonts w:eastAsia="Times New Roman" w:cs="Times New Roman"/>
                <w:szCs w:val="24"/>
              </w:rPr>
            </w:pPr>
            <w:r>
              <w:rPr>
                <w:rFonts w:eastAsia="Times New Roman" w:cs="Times New Roman"/>
                <w:szCs w:val="24"/>
              </w:rPr>
              <w:t>362</w:t>
            </w:r>
          </w:p>
        </w:tc>
        <w:tc>
          <w:tcPr>
            <w:tcW w:w="1545" w:type="dxa"/>
          </w:tcPr>
          <w:p w:rsidR="00231990" w:rsidP="007D04A7" w14:paraId="31A4EC57" w14:textId="77777777">
            <w:pPr>
              <w:autoSpaceDE w:val="0"/>
              <w:autoSpaceDN w:val="0"/>
              <w:adjustRightInd w:val="0"/>
              <w:rPr>
                <w:rFonts w:eastAsia="Times New Roman" w:cs="Times New Roman"/>
                <w:szCs w:val="24"/>
              </w:rPr>
            </w:pPr>
            <w:r>
              <w:rPr>
                <w:rFonts w:eastAsia="Times New Roman" w:cs="Times New Roman"/>
                <w:szCs w:val="24"/>
              </w:rPr>
              <w:t>362 (1)</w:t>
            </w:r>
          </w:p>
        </w:tc>
        <w:tc>
          <w:tcPr>
            <w:tcW w:w="1528" w:type="dxa"/>
          </w:tcPr>
          <w:p w:rsidR="00231990" w:rsidP="007D04A7" w14:paraId="1F0BA66A" w14:textId="77777777">
            <w:pPr>
              <w:autoSpaceDE w:val="0"/>
              <w:autoSpaceDN w:val="0"/>
              <w:adjustRightInd w:val="0"/>
              <w:rPr>
                <w:rFonts w:eastAsia="Times New Roman" w:cs="Times New Roman"/>
                <w:szCs w:val="24"/>
              </w:rPr>
            </w:pPr>
            <w:r>
              <w:rPr>
                <w:rFonts w:eastAsia="Times New Roman" w:cs="Times New Roman"/>
                <w:szCs w:val="24"/>
              </w:rPr>
              <w:t>30 minutes</w:t>
            </w:r>
          </w:p>
        </w:tc>
        <w:tc>
          <w:tcPr>
            <w:tcW w:w="1542" w:type="dxa"/>
          </w:tcPr>
          <w:p w:rsidR="00231990" w:rsidP="007D04A7" w14:paraId="1CFBFE10" w14:textId="77777777">
            <w:pPr>
              <w:autoSpaceDE w:val="0"/>
              <w:autoSpaceDN w:val="0"/>
              <w:adjustRightInd w:val="0"/>
              <w:rPr>
                <w:rFonts w:eastAsia="Times New Roman" w:cs="Times New Roman"/>
                <w:szCs w:val="24"/>
              </w:rPr>
            </w:pPr>
            <w:r>
              <w:rPr>
                <w:rFonts w:eastAsia="Times New Roman" w:cs="Times New Roman"/>
                <w:szCs w:val="24"/>
              </w:rPr>
              <w:t>30 minutes</w:t>
            </w:r>
          </w:p>
        </w:tc>
        <w:tc>
          <w:tcPr>
            <w:tcW w:w="1519" w:type="dxa"/>
          </w:tcPr>
          <w:p w:rsidR="00231990" w:rsidRPr="00FB1CD8" w:rsidP="007D04A7" w14:paraId="0A4E5F38" w14:textId="77777777">
            <w:pPr>
              <w:autoSpaceDE w:val="0"/>
              <w:autoSpaceDN w:val="0"/>
              <w:adjustRightInd w:val="0"/>
              <w:rPr>
                <w:rFonts w:eastAsia="Times New Roman" w:cs="Times New Roman"/>
                <w:b/>
                <w:bCs/>
                <w:szCs w:val="24"/>
              </w:rPr>
            </w:pPr>
            <w:r w:rsidRPr="00FB1CD8">
              <w:rPr>
                <w:rFonts w:eastAsia="Times New Roman" w:cs="Times New Roman"/>
                <w:b/>
                <w:bCs/>
                <w:szCs w:val="24"/>
              </w:rPr>
              <w:t>181 hours</w:t>
            </w:r>
          </w:p>
        </w:tc>
      </w:tr>
      <w:tr w14:paraId="08183C2B" w14:textId="77777777" w:rsidTr="007D04A7">
        <w:tblPrEx>
          <w:tblW w:w="0" w:type="auto"/>
          <w:tblLook w:val="04A0"/>
        </w:tblPrEx>
        <w:tc>
          <w:tcPr>
            <w:tcW w:w="1670" w:type="dxa"/>
          </w:tcPr>
          <w:p w:rsidR="00231990" w:rsidP="007D04A7" w14:paraId="65A69615" w14:textId="77777777">
            <w:pPr>
              <w:autoSpaceDE w:val="0"/>
              <w:autoSpaceDN w:val="0"/>
              <w:adjustRightInd w:val="0"/>
              <w:rPr>
                <w:rFonts w:eastAsia="Times New Roman" w:cs="Times New Roman"/>
                <w:szCs w:val="24"/>
              </w:rPr>
            </w:pPr>
            <w:r>
              <w:rPr>
                <w:rFonts w:eastAsia="Times New Roman" w:cs="Times New Roman"/>
                <w:szCs w:val="24"/>
              </w:rPr>
              <w:t>Case subject interview</w:t>
            </w:r>
          </w:p>
        </w:tc>
        <w:tc>
          <w:tcPr>
            <w:tcW w:w="1546" w:type="dxa"/>
          </w:tcPr>
          <w:p w:rsidR="00231990" w:rsidP="007D04A7" w14:paraId="42D897D8" w14:textId="77777777">
            <w:pPr>
              <w:autoSpaceDE w:val="0"/>
              <w:autoSpaceDN w:val="0"/>
              <w:adjustRightInd w:val="0"/>
              <w:rPr>
                <w:rFonts w:eastAsia="Times New Roman" w:cs="Times New Roman"/>
                <w:szCs w:val="24"/>
              </w:rPr>
            </w:pPr>
            <w:r>
              <w:rPr>
                <w:rFonts w:eastAsia="Times New Roman" w:cs="Times New Roman"/>
                <w:szCs w:val="24"/>
              </w:rPr>
              <w:t>258</w:t>
            </w:r>
          </w:p>
        </w:tc>
        <w:tc>
          <w:tcPr>
            <w:tcW w:w="1545" w:type="dxa"/>
          </w:tcPr>
          <w:p w:rsidR="00231990" w:rsidP="007D04A7" w14:paraId="0A4608BF" w14:textId="77777777">
            <w:pPr>
              <w:autoSpaceDE w:val="0"/>
              <w:autoSpaceDN w:val="0"/>
              <w:adjustRightInd w:val="0"/>
              <w:rPr>
                <w:rFonts w:eastAsia="Times New Roman" w:cs="Times New Roman"/>
                <w:szCs w:val="24"/>
              </w:rPr>
            </w:pPr>
            <w:r>
              <w:rPr>
                <w:rFonts w:eastAsia="Times New Roman" w:cs="Times New Roman"/>
                <w:szCs w:val="24"/>
              </w:rPr>
              <w:t>258 (1)</w:t>
            </w:r>
          </w:p>
        </w:tc>
        <w:tc>
          <w:tcPr>
            <w:tcW w:w="1528" w:type="dxa"/>
          </w:tcPr>
          <w:p w:rsidR="00231990" w:rsidP="007D04A7" w14:paraId="3BCA419B" w14:textId="77777777">
            <w:pPr>
              <w:autoSpaceDE w:val="0"/>
              <w:autoSpaceDN w:val="0"/>
              <w:adjustRightInd w:val="0"/>
              <w:rPr>
                <w:rFonts w:eastAsia="Times New Roman" w:cs="Times New Roman"/>
                <w:szCs w:val="24"/>
              </w:rPr>
            </w:pPr>
            <w:r>
              <w:rPr>
                <w:rFonts w:eastAsia="Times New Roman" w:cs="Times New Roman"/>
                <w:szCs w:val="24"/>
              </w:rPr>
              <w:t>1.0 hours</w:t>
            </w:r>
          </w:p>
        </w:tc>
        <w:tc>
          <w:tcPr>
            <w:tcW w:w="1542" w:type="dxa"/>
          </w:tcPr>
          <w:p w:rsidR="00231990" w:rsidP="007D04A7" w14:paraId="5943B651" w14:textId="77777777">
            <w:pPr>
              <w:autoSpaceDE w:val="0"/>
              <w:autoSpaceDN w:val="0"/>
              <w:adjustRightInd w:val="0"/>
              <w:rPr>
                <w:rFonts w:eastAsia="Times New Roman" w:cs="Times New Roman"/>
                <w:szCs w:val="24"/>
              </w:rPr>
            </w:pPr>
            <w:r>
              <w:rPr>
                <w:rFonts w:eastAsia="Times New Roman" w:cs="Times New Roman"/>
                <w:szCs w:val="24"/>
              </w:rPr>
              <w:t>1.0 hours</w:t>
            </w:r>
          </w:p>
        </w:tc>
        <w:tc>
          <w:tcPr>
            <w:tcW w:w="1519" w:type="dxa"/>
          </w:tcPr>
          <w:p w:rsidR="00231990" w:rsidRPr="00FB1CD8" w:rsidP="007D04A7" w14:paraId="15B6278E" w14:textId="77777777">
            <w:pPr>
              <w:autoSpaceDE w:val="0"/>
              <w:autoSpaceDN w:val="0"/>
              <w:adjustRightInd w:val="0"/>
              <w:rPr>
                <w:rFonts w:eastAsia="Times New Roman" w:cs="Times New Roman"/>
                <w:b/>
                <w:bCs/>
                <w:szCs w:val="24"/>
              </w:rPr>
            </w:pPr>
            <w:r w:rsidRPr="00FB1CD8">
              <w:rPr>
                <w:rFonts w:eastAsia="Times New Roman" w:cs="Times New Roman"/>
                <w:b/>
                <w:bCs/>
                <w:szCs w:val="24"/>
              </w:rPr>
              <w:t>258 hours</w:t>
            </w:r>
          </w:p>
        </w:tc>
      </w:tr>
      <w:tr w14:paraId="0EBA810A" w14:textId="77777777" w:rsidTr="007D04A7">
        <w:tblPrEx>
          <w:tblW w:w="0" w:type="auto"/>
          <w:tblLook w:val="04A0"/>
        </w:tblPrEx>
        <w:tc>
          <w:tcPr>
            <w:tcW w:w="1670" w:type="dxa"/>
          </w:tcPr>
          <w:p w:rsidR="00231990" w:rsidP="007D04A7" w14:paraId="24C8FF56" w14:textId="77777777">
            <w:pPr>
              <w:autoSpaceDE w:val="0"/>
              <w:autoSpaceDN w:val="0"/>
              <w:adjustRightInd w:val="0"/>
              <w:rPr>
                <w:rFonts w:eastAsia="Times New Roman" w:cs="Times New Roman"/>
                <w:szCs w:val="24"/>
              </w:rPr>
            </w:pPr>
            <w:r>
              <w:rPr>
                <w:rFonts w:eastAsia="Times New Roman" w:cs="Times New Roman"/>
                <w:szCs w:val="24"/>
              </w:rPr>
              <w:t>Police report requests</w:t>
            </w:r>
          </w:p>
        </w:tc>
        <w:tc>
          <w:tcPr>
            <w:tcW w:w="1546" w:type="dxa"/>
          </w:tcPr>
          <w:p w:rsidR="00231990" w:rsidP="007D04A7" w14:paraId="4DF8452E" w14:textId="77777777">
            <w:pPr>
              <w:autoSpaceDE w:val="0"/>
              <w:autoSpaceDN w:val="0"/>
              <w:adjustRightInd w:val="0"/>
              <w:rPr>
                <w:rFonts w:eastAsia="Times New Roman" w:cs="Times New Roman"/>
                <w:szCs w:val="24"/>
              </w:rPr>
            </w:pPr>
            <w:r>
              <w:rPr>
                <w:rFonts w:eastAsia="Times New Roman" w:cs="Times New Roman"/>
                <w:szCs w:val="24"/>
              </w:rPr>
              <w:t>258</w:t>
            </w:r>
          </w:p>
        </w:tc>
        <w:tc>
          <w:tcPr>
            <w:tcW w:w="1545" w:type="dxa"/>
          </w:tcPr>
          <w:p w:rsidR="00231990" w:rsidP="007D04A7" w14:paraId="4882E5BB" w14:textId="77777777">
            <w:pPr>
              <w:autoSpaceDE w:val="0"/>
              <w:autoSpaceDN w:val="0"/>
              <w:adjustRightInd w:val="0"/>
              <w:rPr>
                <w:rFonts w:eastAsia="Times New Roman" w:cs="Times New Roman"/>
                <w:szCs w:val="24"/>
              </w:rPr>
            </w:pPr>
            <w:r>
              <w:rPr>
                <w:rFonts w:eastAsia="Times New Roman" w:cs="Times New Roman"/>
                <w:szCs w:val="24"/>
              </w:rPr>
              <w:t>258 (1)</w:t>
            </w:r>
          </w:p>
        </w:tc>
        <w:tc>
          <w:tcPr>
            <w:tcW w:w="1528" w:type="dxa"/>
          </w:tcPr>
          <w:p w:rsidR="00231990" w:rsidP="007D04A7" w14:paraId="60B3FF9D" w14:textId="77777777">
            <w:pPr>
              <w:autoSpaceDE w:val="0"/>
              <w:autoSpaceDN w:val="0"/>
              <w:adjustRightInd w:val="0"/>
              <w:rPr>
                <w:rFonts w:eastAsia="Times New Roman" w:cs="Times New Roman"/>
                <w:szCs w:val="24"/>
              </w:rPr>
            </w:pPr>
            <w:r>
              <w:rPr>
                <w:rFonts w:eastAsia="Times New Roman" w:cs="Times New Roman"/>
                <w:szCs w:val="24"/>
              </w:rPr>
              <w:t>3 minutes</w:t>
            </w:r>
          </w:p>
        </w:tc>
        <w:tc>
          <w:tcPr>
            <w:tcW w:w="1542" w:type="dxa"/>
          </w:tcPr>
          <w:p w:rsidR="00231990" w:rsidP="007D04A7" w14:paraId="74620B37" w14:textId="77777777">
            <w:pPr>
              <w:autoSpaceDE w:val="0"/>
              <w:autoSpaceDN w:val="0"/>
              <w:adjustRightInd w:val="0"/>
              <w:rPr>
                <w:rFonts w:eastAsia="Times New Roman" w:cs="Times New Roman"/>
                <w:szCs w:val="24"/>
              </w:rPr>
            </w:pPr>
            <w:r>
              <w:rPr>
                <w:rFonts w:eastAsia="Times New Roman" w:cs="Times New Roman"/>
                <w:szCs w:val="24"/>
              </w:rPr>
              <w:t>3 minutes</w:t>
            </w:r>
          </w:p>
        </w:tc>
        <w:tc>
          <w:tcPr>
            <w:tcW w:w="1519" w:type="dxa"/>
          </w:tcPr>
          <w:p w:rsidR="00231990" w:rsidRPr="00FB1CD8" w:rsidP="007D04A7" w14:paraId="70552D5F" w14:textId="77777777">
            <w:pPr>
              <w:autoSpaceDE w:val="0"/>
              <w:autoSpaceDN w:val="0"/>
              <w:adjustRightInd w:val="0"/>
              <w:rPr>
                <w:rFonts w:eastAsia="Times New Roman" w:cs="Times New Roman"/>
                <w:b/>
                <w:bCs/>
                <w:szCs w:val="24"/>
              </w:rPr>
            </w:pPr>
            <w:r w:rsidRPr="00FB1CD8">
              <w:rPr>
                <w:rFonts w:eastAsia="Times New Roman" w:cs="Times New Roman"/>
                <w:b/>
                <w:bCs/>
                <w:szCs w:val="24"/>
              </w:rPr>
              <w:t>13 hours</w:t>
            </w:r>
          </w:p>
        </w:tc>
      </w:tr>
      <w:tr w14:paraId="5C203FCB" w14:textId="77777777" w:rsidTr="007D04A7">
        <w:tblPrEx>
          <w:tblW w:w="0" w:type="auto"/>
          <w:tblLook w:val="04A0"/>
        </w:tblPrEx>
        <w:tc>
          <w:tcPr>
            <w:tcW w:w="1670" w:type="dxa"/>
          </w:tcPr>
          <w:p w:rsidR="00231990" w:rsidP="007D04A7" w14:paraId="23F502EC" w14:textId="77777777">
            <w:pPr>
              <w:autoSpaceDE w:val="0"/>
              <w:autoSpaceDN w:val="0"/>
              <w:adjustRightInd w:val="0"/>
              <w:rPr>
                <w:rFonts w:eastAsia="Times New Roman" w:cs="Times New Roman"/>
                <w:szCs w:val="24"/>
              </w:rPr>
            </w:pPr>
            <w:r>
              <w:rPr>
                <w:rFonts w:eastAsia="Times New Roman" w:cs="Times New Roman"/>
                <w:szCs w:val="24"/>
              </w:rPr>
              <w:t>EMS report requests</w:t>
            </w:r>
          </w:p>
        </w:tc>
        <w:tc>
          <w:tcPr>
            <w:tcW w:w="1546" w:type="dxa"/>
          </w:tcPr>
          <w:p w:rsidR="00231990" w:rsidP="007D04A7" w14:paraId="097DEA9C" w14:textId="77777777">
            <w:pPr>
              <w:autoSpaceDE w:val="0"/>
              <w:autoSpaceDN w:val="0"/>
              <w:adjustRightInd w:val="0"/>
              <w:rPr>
                <w:rFonts w:eastAsia="Times New Roman" w:cs="Times New Roman"/>
                <w:szCs w:val="24"/>
              </w:rPr>
            </w:pPr>
            <w:r>
              <w:rPr>
                <w:rFonts w:eastAsia="Times New Roman" w:cs="Times New Roman"/>
                <w:szCs w:val="24"/>
              </w:rPr>
              <w:t>258</w:t>
            </w:r>
          </w:p>
        </w:tc>
        <w:tc>
          <w:tcPr>
            <w:tcW w:w="1545" w:type="dxa"/>
          </w:tcPr>
          <w:p w:rsidR="00231990" w:rsidP="007D04A7" w14:paraId="3E9E121A" w14:textId="77777777">
            <w:pPr>
              <w:autoSpaceDE w:val="0"/>
              <w:autoSpaceDN w:val="0"/>
              <w:adjustRightInd w:val="0"/>
              <w:rPr>
                <w:rFonts w:eastAsia="Times New Roman" w:cs="Times New Roman"/>
                <w:szCs w:val="24"/>
              </w:rPr>
            </w:pPr>
            <w:r>
              <w:rPr>
                <w:rFonts w:eastAsia="Times New Roman" w:cs="Times New Roman"/>
                <w:szCs w:val="24"/>
              </w:rPr>
              <w:t>258 (1)</w:t>
            </w:r>
          </w:p>
        </w:tc>
        <w:tc>
          <w:tcPr>
            <w:tcW w:w="1528" w:type="dxa"/>
          </w:tcPr>
          <w:p w:rsidR="00231990" w:rsidP="007D04A7" w14:paraId="51294876" w14:textId="77777777">
            <w:pPr>
              <w:autoSpaceDE w:val="0"/>
              <w:autoSpaceDN w:val="0"/>
              <w:adjustRightInd w:val="0"/>
              <w:rPr>
                <w:rFonts w:eastAsia="Times New Roman" w:cs="Times New Roman"/>
                <w:szCs w:val="24"/>
              </w:rPr>
            </w:pPr>
            <w:r>
              <w:rPr>
                <w:rFonts w:eastAsia="Times New Roman" w:cs="Times New Roman"/>
                <w:szCs w:val="24"/>
              </w:rPr>
              <w:t>6 minutes</w:t>
            </w:r>
          </w:p>
        </w:tc>
        <w:tc>
          <w:tcPr>
            <w:tcW w:w="1542" w:type="dxa"/>
          </w:tcPr>
          <w:p w:rsidR="00231990" w:rsidP="007D04A7" w14:paraId="37CDA89D" w14:textId="77777777">
            <w:pPr>
              <w:autoSpaceDE w:val="0"/>
              <w:autoSpaceDN w:val="0"/>
              <w:adjustRightInd w:val="0"/>
              <w:rPr>
                <w:rFonts w:eastAsia="Times New Roman" w:cs="Times New Roman"/>
                <w:szCs w:val="24"/>
              </w:rPr>
            </w:pPr>
            <w:r>
              <w:rPr>
                <w:rFonts w:eastAsia="Times New Roman" w:cs="Times New Roman"/>
                <w:szCs w:val="24"/>
              </w:rPr>
              <w:t>6 minutes</w:t>
            </w:r>
          </w:p>
        </w:tc>
        <w:tc>
          <w:tcPr>
            <w:tcW w:w="1519" w:type="dxa"/>
          </w:tcPr>
          <w:p w:rsidR="00231990" w:rsidRPr="00FB1CD8" w:rsidP="007D04A7" w14:paraId="67CA6F64" w14:textId="77777777">
            <w:pPr>
              <w:autoSpaceDE w:val="0"/>
              <w:autoSpaceDN w:val="0"/>
              <w:adjustRightInd w:val="0"/>
              <w:rPr>
                <w:rFonts w:eastAsia="Times New Roman" w:cs="Times New Roman"/>
                <w:b/>
                <w:bCs/>
                <w:szCs w:val="24"/>
              </w:rPr>
            </w:pPr>
            <w:r w:rsidRPr="00FB1CD8">
              <w:rPr>
                <w:rFonts w:eastAsia="Times New Roman" w:cs="Times New Roman"/>
                <w:b/>
                <w:bCs/>
                <w:szCs w:val="24"/>
              </w:rPr>
              <w:t>26 hours</w:t>
            </w:r>
          </w:p>
        </w:tc>
      </w:tr>
      <w:tr w14:paraId="5D9A1042" w14:textId="77777777" w:rsidTr="007D04A7">
        <w:tblPrEx>
          <w:tblW w:w="0" w:type="auto"/>
          <w:tblLook w:val="04A0"/>
        </w:tblPrEx>
        <w:tc>
          <w:tcPr>
            <w:tcW w:w="1670" w:type="dxa"/>
          </w:tcPr>
          <w:p w:rsidR="00C41F8B" w:rsidP="007D04A7" w14:paraId="6D74CCE1" w14:textId="7CD43F84">
            <w:pPr>
              <w:autoSpaceDE w:val="0"/>
              <w:autoSpaceDN w:val="0"/>
              <w:adjustRightInd w:val="0"/>
              <w:rPr>
                <w:rFonts w:eastAsia="Times New Roman" w:cs="Times New Roman"/>
                <w:szCs w:val="24"/>
              </w:rPr>
            </w:pPr>
            <w:r>
              <w:rPr>
                <w:rFonts w:eastAsia="Times New Roman" w:cs="Times New Roman"/>
                <w:szCs w:val="24"/>
              </w:rPr>
              <w:t>Vehicle insurance permission</w:t>
            </w:r>
          </w:p>
        </w:tc>
        <w:tc>
          <w:tcPr>
            <w:tcW w:w="1546" w:type="dxa"/>
          </w:tcPr>
          <w:p w:rsidR="00C41F8B" w:rsidP="007D04A7" w14:paraId="34E4C34F" w14:textId="7D5C44F1">
            <w:pPr>
              <w:autoSpaceDE w:val="0"/>
              <w:autoSpaceDN w:val="0"/>
              <w:adjustRightInd w:val="0"/>
              <w:rPr>
                <w:rFonts w:eastAsia="Times New Roman" w:cs="Times New Roman"/>
                <w:szCs w:val="24"/>
              </w:rPr>
            </w:pPr>
            <w:r>
              <w:rPr>
                <w:rFonts w:eastAsia="Times New Roman" w:cs="Times New Roman"/>
                <w:szCs w:val="24"/>
              </w:rPr>
              <w:t>258</w:t>
            </w:r>
          </w:p>
        </w:tc>
        <w:tc>
          <w:tcPr>
            <w:tcW w:w="1545" w:type="dxa"/>
          </w:tcPr>
          <w:p w:rsidR="00C41F8B" w:rsidP="007D04A7" w14:paraId="47257302" w14:textId="3BF2A32B">
            <w:pPr>
              <w:autoSpaceDE w:val="0"/>
              <w:autoSpaceDN w:val="0"/>
              <w:adjustRightInd w:val="0"/>
              <w:rPr>
                <w:rFonts w:eastAsia="Times New Roman" w:cs="Times New Roman"/>
                <w:szCs w:val="24"/>
              </w:rPr>
            </w:pPr>
            <w:r>
              <w:rPr>
                <w:rFonts w:eastAsia="Times New Roman" w:cs="Times New Roman"/>
                <w:szCs w:val="24"/>
              </w:rPr>
              <w:t>258 (1)</w:t>
            </w:r>
          </w:p>
        </w:tc>
        <w:tc>
          <w:tcPr>
            <w:tcW w:w="1528" w:type="dxa"/>
          </w:tcPr>
          <w:p w:rsidR="00C41F8B" w:rsidP="007D04A7" w14:paraId="02B9EE3E" w14:textId="62911B58">
            <w:pPr>
              <w:autoSpaceDE w:val="0"/>
              <w:autoSpaceDN w:val="0"/>
              <w:adjustRightInd w:val="0"/>
              <w:rPr>
                <w:rFonts w:eastAsia="Times New Roman" w:cs="Times New Roman"/>
                <w:szCs w:val="24"/>
              </w:rPr>
            </w:pPr>
            <w:r>
              <w:rPr>
                <w:rFonts w:eastAsia="Times New Roman" w:cs="Times New Roman"/>
                <w:szCs w:val="24"/>
              </w:rPr>
              <w:t>2.0 hours</w:t>
            </w:r>
          </w:p>
        </w:tc>
        <w:tc>
          <w:tcPr>
            <w:tcW w:w="1542" w:type="dxa"/>
          </w:tcPr>
          <w:p w:rsidR="00C41F8B" w:rsidP="007D04A7" w14:paraId="31F5842F" w14:textId="74D523C7">
            <w:pPr>
              <w:autoSpaceDE w:val="0"/>
              <w:autoSpaceDN w:val="0"/>
              <w:adjustRightInd w:val="0"/>
              <w:rPr>
                <w:rFonts w:eastAsia="Times New Roman" w:cs="Times New Roman"/>
                <w:szCs w:val="24"/>
              </w:rPr>
            </w:pPr>
            <w:r>
              <w:rPr>
                <w:rFonts w:eastAsia="Times New Roman" w:cs="Times New Roman"/>
                <w:szCs w:val="24"/>
              </w:rPr>
              <w:t>2.0 hours</w:t>
            </w:r>
          </w:p>
        </w:tc>
        <w:tc>
          <w:tcPr>
            <w:tcW w:w="1519" w:type="dxa"/>
          </w:tcPr>
          <w:p w:rsidR="00C41F8B" w:rsidRPr="00FB1CD8" w:rsidP="007D04A7" w14:paraId="32DCD9BE" w14:textId="365F24A0">
            <w:pPr>
              <w:autoSpaceDE w:val="0"/>
              <w:autoSpaceDN w:val="0"/>
              <w:adjustRightInd w:val="0"/>
              <w:rPr>
                <w:rFonts w:eastAsia="Times New Roman" w:cs="Times New Roman"/>
                <w:b/>
                <w:bCs/>
                <w:szCs w:val="24"/>
              </w:rPr>
            </w:pPr>
            <w:r w:rsidRPr="00FB1CD8">
              <w:rPr>
                <w:rFonts w:eastAsia="Times New Roman" w:cs="Times New Roman"/>
                <w:b/>
                <w:bCs/>
                <w:szCs w:val="24"/>
              </w:rPr>
              <w:t>516 hours</w:t>
            </w:r>
          </w:p>
        </w:tc>
      </w:tr>
      <w:tr w14:paraId="5A45D1B6" w14:textId="77777777" w:rsidTr="007D04A7">
        <w:tblPrEx>
          <w:tblW w:w="0" w:type="auto"/>
          <w:tblLook w:val="04A0"/>
        </w:tblPrEx>
        <w:tc>
          <w:tcPr>
            <w:tcW w:w="1670" w:type="dxa"/>
          </w:tcPr>
          <w:p w:rsidR="00231990" w:rsidP="007D04A7" w14:paraId="5C3C413C" w14:textId="77777777">
            <w:pPr>
              <w:autoSpaceDE w:val="0"/>
              <w:autoSpaceDN w:val="0"/>
              <w:adjustRightInd w:val="0"/>
              <w:rPr>
                <w:rFonts w:eastAsia="Times New Roman" w:cs="Times New Roman"/>
                <w:szCs w:val="24"/>
              </w:rPr>
            </w:pPr>
            <w:r>
              <w:rPr>
                <w:rFonts w:eastAsia="Times New Roman" w:cs="Times New Roman"/>
                <w:szCs w:val="24"/>
              </w:rPr>
              <w:t>Access to towing/salvage facility</w:t>
            </w:r>
          </w:p>
        </w:tc>
        <w:tc>
          <w:tcPr>
            <w:tcW w:w="1546" w:type="dxa"/>
          </w:tcPr>
          <w:p w:rsidR="00231990" w:rsidP="007D04A7" w14:paraId="0E9F899F" w14:textId="77777777">
            <w:pPr>
              <w:autoSpaceDE w:val="0"/>
              <w:autoSpaceDN w:val="0"/>
              <w:adjustRightInd w:val="0"/>
              <w:rPr>
                <w:rFonts w:eastAsia="Times New Roman" w:cs="Times New Roman"/>
                <w:szCs w:val="24"/>
              </w:rPr>
            </w:pPr>
            <w:r>
              <w:rPr>
                <w:rFonts w:eastAsia="Times New Roman" w:cs="Times New Roman"/>
                <w:szCs w:val="24"/>
              </w:rPr>
              <w:t>258</w:t>
            </w:r>
          </w:p>
        </w:tc>
        <w:tc>
          <w:tcPr>
            <w:tcW w:w="1545" w:type="dxa"/>
          </w:tcPr>
          <w:p w:rsidR="00231990" w:rsidP="007D04A7" w14:paraId="196F3EAE" w14:textId="77777777">
            <w:pPr>
              <w:autoSpaceDE w:val="0"/>
              <w:autoSpaceDN w:val="0"/>
              <w:adjustRightInd w:val="0"/>
              <w:rPr>
                <w:rFonts w:eastAsia="Times New Roman" w:cs="Times New Roman"/>
                <w:szCs w:val="24"/>
              </w:rPr>
            </w:pPr>
            <w:r>
              <w:rPr>
                <w:rFonts w:eastAsia="Times New Roman" w:cs="Times New Roman"/>
                <w:szCs w:val="24"/>
              </w:rPr>
              <w:t>258 (1)</w:t>
            </w:r>
          </w:p>
        </w:tc>
        <w:tc>
          <w:tcPr>
            <w:tcW w:w="1528" w:type="dxa"/>
          </w:tcPr>
          <w:p w:rsidR="00231990" w:rsidP="007D04A7" w14:paraId="5BC4493D" w14:textId="0CEC25FE">
            <w:pPr>
              <w:autoSpaceDE w:val="0"/>
              <w:autoSpaceDN w:val="0"/>
              <w:adjustRightInd w:val="0"/>
              <w:rPr>
                <w:rFonts w:eastAsia="Times New Roman" w:cs="Times New Roman"/>
                <w:szCs w:val="24"/>
              </w:rPr>
            </w:pPr>
            <w:r>
              <w:rPr>
                <w:rFonts w:eastAsia="Times New Roman" w:cs="Times New Roman"/>
                <w:szCs w:val="24"/>
              </w:rPr>
              <w:t xml:space="preserve">15 </w:t>
            </w:r>
            <w:r>
              <w:rPr>
                <w:rFonts w:eastAsia="Times New Roman" w:cs="Times New Roman"/>
                <w:szCs w:val="24"/>
              </w:rPr>
              <w:t>minutes</w:t>
            </w:r>
          </w:p>
        </w:tc>
        <w:tc>
          <w:tcPr>
            <w:tcW w:w="1542" w:type="dxa"/>
          </w:tcPr>
          <w:p w:rsidR="00231990" w:rsidP="007D04A7" w14:paraId="143A9390" w14:textId="2526973C">
            <w:pPr>
              <w:autoSpaceDE w:val="0"/>
              <w:autoSpaceDN w:val="0"/>
              <w:adjustRightInd w:val="0"/>
              <w:rPr>
                <w:rFonts w:eastAsia="Times New Roman" w:cs="Times New Roman"/>
                <w:szCs w:val="24"/>
              </w:rPr>
            </w:pPr>
            <w:r>
              <w:rPr>
                <w:rFonts w:eastAsia="Times New Roman" w:cs="Times New Roman"/>
                <w:szCs w:val="24"/>
              </w:rPr>
              <w:t xml:space="preserve">15 </w:t>
            </w:r>
            <w:r>
              <w:rPr>
                <w:rFonts w:eastAsia="Times New Roman" w:cs="Times New Roman"/>
                <w:szCs w:val="24"/>
              </w:rPr>
              <w:t>minutes</w:t>
            </w:r>
          </w:p>
        </w:tc>
        <w:tc>
          <w:tcPr>
            <w:tcW w:w="1519" w:type="dxa"/>
          </w:tcPr>
          <w:p w:rsidR="00231990" w:rsidP="007D04A7" w14:paraId="263BAC18" w14:textId="01ECA56B">
            <w:pPr>
              <w:autoSpaceDE w:val="0"/>
              <w:autoSpaceDN w:val="0"/>
              <w:adjustRightInd w:val="0"/>
              <w:rPr>
                <w:rFonts w:eastAsia="Times New Roman" w:cs="Times New Roman"/>
                <w:szCs w:val="24"/>
              </w:rPr>
            </w:pPr>
            <w:r w:rsidRPr="00FB1CD8">
              <w:rPr>
                <w:rFonts w:eastAsia="Times New Roman" w:cs="Times New Roman"/>
                <w:b/>
                <w:bCs/>
                <w:szCs w:val="24"/>
              </w:rPr>
              <w:t xml:space="preserve">64.5 </w:t>
            </w:r>
            <w:r w:rsidRPr="00FB1CD8">
              <w:rPr>
                <w:rFonts w:eastAsia="Times New Roman" w:cs="Times New Roman"/>
                <w:b/>
                <w:bCs/>
                <w:szCs w:val="24"/>
              </w:rPr>
              <w:t>hours</w:t>
            </w:r>
          </w:p>
        </w:tc>
      </w:tr>
      <w:tr w14:paraId="223AB09D" w14:textId="77777777" w:rsidTr="007D04A7">
        <w:tblPrEx>
          <w:tblW w:w="0" w:type="auto"/>
          <w:tblLook w:val="04A0"/>
        </w:tblPrEx>
        <w:tc>
          <w:tcPr>
            <w:tcW w:w="1670" w:type="dxa"/>
          </w:tcPr>
          <w:p w:rsidR="00231990" w:rsidP="007D04A7" w14:paraId="438B0769" w14:textId="77777777">
            <w:pPr>
              <w:autoSpaceDE w:val="0"/>
              <w:autoSpaceDN w:val="0"/>
              <w:adjustRightInd w:val="0"/>
              <w:rPr>
                <w:rFonts w:eastAsia="Times New Roman" w:cs="Times New Roman"/>
                <w:szCs w:val="24"/>
              </w:rPr>
            </w:pPr>
            <w:r>
              <w:rPr>
                <w:rFonts w:eastAsia="Times New Roman" w:cs="Times New Roman"/>
                <w:szCs w:val="24"/>
              </w:rPr>
              <w:t>Total</w:t>
            </w:r>
          </w:p>
        </w:tc>
        <w:tc>
          <w:tcPr>
            <w:tcW w:w="1546" w:type="dxa"/>
          </w:tcPr>
          <w:p w:rsidR="00231990" w:rsidP="007D04A7" w14:paraId="47A82E3F" w14:textId="77777777">
            <w:pPr>
              <w:autoSpaceDE w:val="0"/>
              <w:autoSpaceDN w:val="0"/>
              <w:adjustRightInd w:val="0"/>
              <w:rPr>
                <w:rFonts w:eastAsia="Times New Roman" w:cs="Times New Roman"/>
                <w:szCs w:val="24"/>
              </w:rPr>
            </w:pPr>
          </w:p>
        </w:tc>
        <w:tc>
          <w:tcPr>
            <w:tcW w:w="1545" w:type="dxa"/>
          </w:tcPr>
          <w:p w:rsidR="00231990" w:rsidP="007D04A7" w14:paraId="1A02FE55" w14:textId="77777777">
            <w:pPr>
              <w:autoSpaceDE w:val="0"/>
              <w:autoSpaceDN w:val="0"/>
              <w:adjustRightInd w:val="0"/>
              <w:rPr>
                <w:rFonts w:eastAsia="Times New Roman" w:cs="Times New Roman"/>
                <w:szCs w:val="24"/>
              </w:rPr>
            </w:pPr>
          </w:p>
        </w:tc>
        <w:tc>
          <w:tcPr>
            <w:tcW w:w="1528" w:type="dxa"/>
          </w:tcPr>
          <w:p w:rsidR="00231990" w:rsidP="007D04A7" w14:paraId="7FE3B561" w14:textId="77777777">
            <w:pPr>
              <w:autoSpaceDE w:val="0"/>
              <w:autoSpaceDN w:val="0"/>
              <w:adjustRightInd w:val="0"/>
              <w:rPr>
                <w:rFonts w:eastAsia="Times New Roman" w:cs="Times New Roman"/>
                <w:szCs w:val="24"/>
              </w:rPr>
            </w:pPr>
          </w:p>
        </w:tc>
        <w:tc>
          <w:tcPr>
            <w:tcW w:w="1542" w:type="dxa"/>
          </w:tcPr>
          <w:p w:rsidR="00231990" w:rsidP="007D04A7" w14:paraId="5DB23469" w14:textId="77777777">
            <w:pPr>
              <w:autoSpaceDE w:val="0"/>
              <w:autoSpaceDN w:val="0"/>
              <w:adjustRightInd w:val="0"/>
              <w:rPr>
                <w:rFonts w:eastAsia="Times New Roman" w:cs="Times New Roman"/>
                <w:szCs w:val="24"/>
              </w:rPr>
            </w:pPr>
          </w:p>
        </w:tc>
        <w:tc>
          <w:tcPr>
            <w:tcW w:w="1519" w:type="dxa"/>
          </w:tcPr>
          <w:p w:rsidR="00231990" w:rsidP="007D04A7" w14:paraId="189188D2" w14:textId="75C2D44F">
            <w:pPr>
              <w:autoSpaceDE w:val="0"/>
              <w:autoSpaceDN w:val="0"/>
              <w:adjustRightInd w:val="0"/>
              <w:rPr>
                <w:rFonts w:eastAsia="Times New Roman" w:cs="Times New Roman"/>
                <w:szCs w:val="24"/>
              </w:rPr>
            </w:pPr>
            <w:r w:rsidRPr="00FB1CD8">
              <w:rPr>
                <w:rFonts w:eastAsia="Times New Roman" w:cs="Times New Roman"/>
                <w:b/>
                <w:bCs/>
                <w:szCs w:val="24"/>
              </w:rPr>
              <w:t>1,058.5</w:t>
            </w:r>
            <w:r w:rsidRPr="00FB1CD8">
              <w:rPr>
                <w:rFonts w:eastAsia="Times New Roman" w:cs="Times New Roman"/>
                <w:b/>
                <w:bCs/>
                <w:szCs w:val="24"/>
              </w:rPr>
              <w:t xml:space="preserve"> hours</w:t>
            </w:r>
          </w:p>
        </w:tc>
      </w:tr>
    </w:tbl>
    <w:p w:rsidR="00231990" w:rsidP="00144098" w14:paraId="77E93151" w14:textId="77777777">
      <w:pPr>
        <w:tabs>
          <w:tab w:val="left" w:pos="-720"/>
        </w:tabs>
        <w:rPr>
          <w:rFonts w:cs="Times New Roman"/>
          <w:szCs w:val="24"/>
        </w:rPr>
      </w:pPr>
    </w:p>
    <w:p w:rsidR="001352D8" w:rsidRPr="001352D8" w:rsidP="00144098" w14:paraId="32DEC0E3" w14:textId="27BEF722">
      <w:pPr>
        <w:tabs>
          <w:tab w:val="left" w:pos="-720"/>
        </w:tabs>
        <w:rPr>
          <w:rFonts w:cs="Times New Roman"/>
          <w:szCs w:val="24"/>
        </w:rPr>
      </w:pPr>
      <w:r w:rsidRPr="001352D8">
        <w:rPr>
          <w:rFonts w:cs="Times New Roman"/>
          <w:szCs w:val="24"/>
        </w:rPr>
        <w:t xml:space="preserve">There is no labor cost associated with the </w:t>
      </w:r>
      <w:r w:rsidR="00B17D90">
        <w:rPr>
          <w:rFonts w:cs="Times New Roman"/>
          <w:szCs w:val="24"/>
        </w:rPr>
        <w:t>case subject</w:t>
      </w:r>
      <w:r w:rsidRPr="001352D8">
        <w:rPr>
          <w:rFonts w:cs="Times New Roman"/>
          <w:szCs w:val="24"/>
        </w:rPr>
        <w:t xml:space="preserve"> respondents; </w:t>
      </w:r>
      <w:r w:rsidRPr="001352D8">
        <w:t>NHTSA calculates an opportunity cost to respondents associated with interviews. NHTSA used the national average hourly earnings of all employees on private nonfarm payrolls which the Bureau of Labor Statistics lists at $</w:t>
      </w:r>
      <w:r w:rsidR="00C41F8B">
        <w:t>34.23</w:t>
      </w:r>
      <w:r w:rsidRPr="001352D8">
        <w:t>.</w:t>
      </w:r>
      <w:r>
        <w:rPr>
          <w:vertAlign w:val="superscript"/>
        </w:rPr>
        <w:footnoteReference w:id="8"/>
      </w:r>
      <w:r w:rsidRPr="001352D8">
        <w:t xml:space="preserve">  Using the estimated annual burden hours, NHTSA </w:t>
      </w:r>
      <w:r w:rsidR="006C75E2">
        <w:t>estimates that the</w:t>
      </w:r>
      <w:r w:rsidRPr="001352D8">
        <w:t xml:space="preserve"> annual opportunity cost</w:t>
      </w:r>
      <w:r w:rsidR="008055D2">
        <w:t>s</w:t>
      </w:r>
      <w:r w:rsidRPr="001352D8">
        <w:t xml:space="preserve"> </w:t>
      </w:r>
      <w:r w:rsidR="006C75E2">
        <w:t xml:space="preserve">for obtaining consent is </w:t>
      </w:r>
      <w:r w:rsidR="008055D2">
        <w:t xml:space="preserve">$6,195.63 (181 hours </w:t>
      </w:r>
      <w:r w:rsidRPr="001352D8" w:rsidR="008055D2">
        <w:rPr>
          <w:rFonts w:cs="Times New Roman"/>
        </w:rPr>
        <w:t>×</w:t>
      </w:r>
      <w:r w:rsidR="008055D2">
        <w:rPr>
          <w:rFonts w:cs="Times New Roman"/>
        </w:rPr>
        <w:t xml:space="preserve"> $34.23) and the annual opportunity costs for interviewing respondents</w:t>
      </w:r>
      <w:r w:rsidRPr="001352D8">
        <w:t xml:space="preserve"> is $</w:t>
      </w:r>
      <w:r w:rsidR="008055D2">
        <w:t>8,831.34</w:t>
      </w:r>
      <w:r w:rsidRPr="001352D8">
        <w:t xml:space="preserve"> (</w:t>
      </w:r>
      <w:r w:rsidR="008055D2">
        <w:t>258</w:t>
      </w:r>
      <w:r w:rsidRPr="001352D8">
        <w:t xml:space="preserve"> hours </w:t>
      </w:r>
      <w:r w:rsidRPr="001352D8">
        <w:rPr>
          <w:rFonts w:cs="Times New Roman"/>
        </w:rPr>
        <w:t>×</w:t>
      </w:r>
      <w:r w:rsidRPr="001352D8">
        <w:t xml:space="preserve"> $</w:t>
      </w:r>
      <w:r w:rsidR="00C41F8B">
        <w:t>34.23</w:t>
      </w:r>
      <w:r w:rsidRPr="001352D8">
        <w:t>).</w:t>
      </w:r>
    </w:p>
    <w:p w:rsidR="001352D8" w:rsidRPr="001352D8" w:rsidP="00144098" w14:paraId="269A941E" w14:textId="6F569014">
      <w:pPr>
        <w:tabs>
          <w:tab w:val="left" w:pos="-720"/>
        </w:tabs>
        <w:rPr>
          <w:rFonts w:cs="Times New Roman"/>
          <w:szCs w:val="24"/>
        </w:rPr>
      </w:pPr>
      <w:r w:rsidRPr="001352D8">
        <w:rPr>
          <w:rFonts w:cs="Times New Roman"/>
          <w:szCs w:val="24"/>
        </w:rPr>
        <w:t xml:space="preserve">To calculate the labor cost associated with collecting investigation-based motor vehicle crash information, NHTSA looked at wage estimates for the type of personnel involved with assisting the investigators in obtaining crash information.  NHTSA estimates the total labor costs associated with these burden hours by looking at the average wage for </w:t>
      </w:r>
      <w:r w:rsidR="004E1D41">
        <w:rPr>
          <w:rFonts w:cs="Times New Roman"/>
          <w:szCs w:val="24"/>
        </w:rPr>
        <w:t>law enforcement</w:t>
      </w:r>
      <w:r w:rsidRPr="001352D8">
        <w:rPr>
          <w:rFonts w:cs="Times New Roman"/>
          <w:szCs w:val="24"/>
        </w:rPr>
        <w:t xml:space="preserve"> records clerks</w:t>
      </w:r>
      <w:r w:rsidR="00C41F8B">
        <w:rPr>
          <w:rFonts w:cs="Times New Roman"/>
          <w:szCs w:val="24"/>
        </w:rPr>
        <w:t>, insurance claims personnel,</w:t>
      </w:r>
      <w:r w:rsidRPr="001352D8">
        <w:rPr>
          <w:rFonts w:cs="Times New Roman"/>
          <w:szCs w:val="24"/>
        </w:rPr>
        <w:t xml:space="preserve"> and tow facility workers. The Bureau of Labor Statistics (BLS) estimates that the average hourly wage for a Protective Service Workers for police jurisdictions (BLS Occupation code 33-9000) in local government is $</w:t>
      </w:r>
      <w:r w:rsidR="00C41F8B">
        <w:rPr>
          <w:rFonts w:cs="Times New Roman"/>
          <w:szCs w:val="24"/>
        </w:rPr>
        <w:t>17.83</w:t>
      </w:r>
      <w:r w:rsidRPr="001352D8">
        <w:rPr>
          <w:rFonts w:cs="Times New Roman"/>
          <w:szCs w:val="24"/>
        </w:rPr>
        <w:t>.</w:t>
      </w:r>
      <w:r>
        <w:rPr>
          <w:rFonts w:cs="Times New Roman"/>
          <w:szCs w:val="24"/>
          <w:vertAlign w:val="superscript"/>
        </w:rPr>
        <w:footnoteReference w:id="9"/>
      </w:r>
      <w:r w:rsidRPr="001352D8">
        <w:rPr>
          <w:rFonts w:cs="Times New Roman"/>
          <w:szCs w:val="24"/>
        </w:rPr>
        <w:t xml:space="preserve">  BLS estimates that local government workers’ wages represent 61.9% of total labor compensation costs.</w:t>
      </w:r>
      <w:r>
        <w:rPr>
          <w:rFonts w:cs="Times New Roman"/>
          <w:szCs w:val="24"/>
          <w:vertAlign w:val="superscript"/>
        </w:rPr>
        <w:footnoteReference w:id="10"/>
      </w:r>
      <w:r w:rsidRPr="001352D8">
        <w:rPr>
          <w:rFonts w:cs="Times New Roman"/>
          <w:szCs w:val="24"/>
        </w:rPr>
        <w:t xml:space="preserve">  </w:t>
      </w:r>
      <w:r w:rsidRPr="001352D8">
        <w:rPr>
          <w:rFonts w:cs="Times New Roman"/>
          <w:szCs w:val="24"/>
        </w:rPr>
        <w:t>Therefore, NHTSA estimates the hourly labor costs to be $</w:t>
      </w:r>
      <w:r w:rsidR="00C41F8B">
        <w:rPr>
          <w:rFonts w:cs="Times New Roman"/>
          <w:szCs w:val="24"/>
        </w:rPr>
        <w:t>28.80</w:t>
      </w:r>
      <w:r w:rsidRPr="001352D8">
        <w:rPr>
          <w:rFonts w:cs="Times New Roman"/>
          <w:szCs w:val="24"/>
        </w:rPr>
        <w:t xml:space="preserve"> for Protective Service Workers.  </w:t>
      </w:r>
      <w:r w:rsidRPr="001352D8" w:rsidR="00C41F8B">
        <w:rPr>
          <w:rFonts w:cs="Times New Roman"/>
          <w:szCs w:val="24"/>
        </w:rPr>
        <w:t xml:space="preserve">BLS estimates that </w:t>
      </w:r>
      <w:r w:rsidR="00C41F8B">
        <w:rPr>
          <w:rFonts w:cs="Times New Roman"/>
          <w:szCs w:val="24"/>
        </w:rPr>
        <w:t>private industry</w:t>
      </w:r>
      <w:r w:rsidRPr="001352D8" w:rsidR="00C41F8B">
        <w:rPr>
          <w:rFonts w:cs="Times New Roman"/>
          <w:szCs w:val="24"/>
        </w:rPr>
        <w:t xml:space="preserve"> workers’ wages represent </w:t>
      </w:r>
      <w:r w:rsidR="00C41F8B">
        <w:rPr>
          <w:rFonts w:cs="Times New Roman"/>
          <w:szCs w:val="24"/>
        </w:rPr>
        <w:t>70.6</w:t>
      </w:r>
      <w:r w:rsidRPr="001352D8" w:rsidR="00C41F8B">
        <w:rPr>
          <w:rFonts w:cs="Times New Roman"/>
          <w:szCs w:val="24"/>
        </w:rPr>
        <w:t>% of total labor compensation costs.</w:t>
      </w:r>
      <w:r>
        <w:rPr>
          <w:rFonts w:cs="Times New Roman"/>
          <w:szCs w:val="24"/>
          <w:vertAlign w:val="superscript"/>
        </w:rPr>
        <w:footnoteReference w:id="11"/>
      </w:r>
      <w:r w:rsidRPr="001352D8" w:rsidR="00C41F8B">
        <w:rPr>
          <w:rFonts w:cs="Times New Roman"/>
          <w:szCs w:val="24"/>
        </w:rPr>
        <w:t xml:space="preserve"> </w:t>
      </w:r>
      <w:r w:rsidR="00C41F8B">
        <w:rPr>
          <w:rFonts w:cs="Times New Roman"/>
          <w:szCs w:val="24"/>
        </w:rPr>
        <w:t>BLS estimates that the average hourly wage for Insurance Claims and Policy Processing Clerks (BLS Occupation code 43-9041) is $21.66,</w:t>
      </w:r>
      <w:r>
        <w:rPr>
          <w:rStyle w:val="FootnoteReference"/>
          <w:rFonts w:cs="Times New Roman"/>
          <w:szCs w:val="24"/>
        </w:rPr>
        <w:footnoteReference w:id="12"/>
      </w:r>
      <w:r w:rsidR="00C41F8B">
        <w:rPr>
          <w:rFonts w:cs="Times New Roman"/>
          <w:szCs w:val="24"/>
        </w:rPr>
        <w:t xml:space="preserve"> therefore, the estimated total hourly compensation cost is $30.68.  </w:t>
      </w:r>
      <w:r w:rsidRPr="001352D8">
        <w:rPr>
          <w:rFonts w:cs="Times New Roman"/>
          <w:szCs w:val="24"/>
        </w:rPr>
        <w:t>BLS estimates that the average hourly wage for Material Moving Workers (BLS Occupation code 53-7199) in tow facilities (privately owned) is $</w:t>
      </w:r>
      <w:r w:rsidR="00C41F8B">
        <w:rPr>
          <w:rFonts w:cs="Times New Roman"/>
          <w:szCs w:val="24"/>
        </w:rPr>
        <w:t>18.09</w:t>
      </w:r>
      <w:r w:rsidRPr="001352D8">
        <w:rPr>
          <w:rFonts w:cs="Times New Roman"/>
          <w:szCs w:val="24"/>
        </w:rPr>
        <w:t>;</w:t>
      </w:r>
      <w:r>
        <w:rPr>
          <w:rFonts w:cs="Times New Roman"/>
          <w:szCs w:val="24"/>
          <w:vertAlign w:val="superscript"/>
        </w:rPr>
        <w:footnoteReference w:id="13"/>
      </w:r>
      <w:r w:rsidRPr="001352D8">
        <w:rPr>
          <w:rFonts w:cs="Times New Roman"/>
          <w:szCs w:val="24"/>
        </w:rPr>
        <w:t xml:space="preserve"> therefore, the estimated total hourly compensation cost is $</w:t>
      </w:r>
      <w:r w:rsidR="00C41F8B">
        <w:rPr>
          <w:rFonts w:cs="Times New Roman"/>
          <w:szCs w:val="24"/>
        </w:rPr>
        <w:t>25.62</w:t>
      </w:r>
      <w:r w:rsidRPr="001352D8">
        <w:rPr>
          <w:rFonts w:cs="Times New Roman"/>
          <w:szCs w:val="24"/>
        </w:rPr>
        <w:t xml:space="preserve">.  Table 1 provides a summary of the estimated burden hours and labor costs associated with those submissions.  </w:t>
      </w:r>
    </w:p>
    <w:p w:rsidR="001352D8" w:rsidRPr="001352D8" w:rsidP="00144098" w14:paraId="1330F999" w14:textId="1830AD14">
      <w:pPr>
        <w:tabs>
          <w:tab w:val="left" w:pos="-720"/>
        </w:tabs>
        <w:rPr>
          <w:rFonts w:cs="Times New Roman"/>
          <w:szCs w:val="24"/>
        </w:rPr>
      </w:pPr>
      <w:r w:rsidRPr="001352D8">
        <w:rPr>
          <w:rFonts w:cs="Times New Roman"/>
          <w:szCs w:val="24"/>
        </w:rPr>
        <w:t xml:space="preserve">The total estimated opportunity </w:t>
      </w:r>
      <w:r w:rsidR="008055D2">
        <w:rPr>
          <w:rFonts w:cs="Times New Roman"/>
          <w:szCs w:val="24"/>
        </w:rPr>
        <w:t>costs and</w:t>
      </w:r>
      <w:r w:rsidRPr="001352D8">
        <w:rPr>
          <w:rFonts w:cs="Times New Roman"/>
          <w:szCs w:val="24"/>
        </w:rPr>
        <w:t xml:space="preserve"> labor costs associated with th</w:t>
      </w:r>
      <w:r w:rsidR="008055D2">
        <w:rPr>
          <w:rFonts w:cs="Times New Roman"/>
          <w:szCs w:val="24"/>
        </w:rPr>
        <w:t>ese</w:t>
      </w:r>
      <w:r w:rsidRPr="001352D8">
        <w:rPr>
          <w:rFonts w:cs="Times New Roman"/>
          <w:szCs w:val="24"/>
        </w:rPr>
        <w:t xml:space="preserve"> information collection</w:t>
      </w:r>
      <w:r w:rsidR="008055D2">
        <w:rPr>
          <w:rFonts w:cs="Times New Roman"/>
          <w:szCs w:val="24"/>
        </w:rPr>
        <w:t>s</w:t>
      </w:r>
      <w:r w:rsidRPr="001352D8">
        <w:rPr>
          <w:rFonts w:cs="Times New Roman"/>
          <w:szCs w:val="24"/>
        </w:rPr>
        <w:t xml:space="preserve"> is $</w:t>
      </w:r>
      <w:r w:rsidR="00C41F8B">
        <w:rPr>
          <w:rFonts w:cs="Times New Roman"/>
          <w:szCs w:val="24"/>
        </w:rPr>
        <w:t>33,633</w:t>
      </w:r>
      <w:r w:rsidRPr="001352D8" w:rsidR="00DC37C1">
        <w:rPr>
          <w:rFonts w:cs="Times New Roman"/>
          <w:szCs w:val="24"/>
        </w:rPr>
        <w:t xml:space="preserve"> </w:t>
      </w:r>
      <w:r w:rsidRPr="001352D8">
        <w:rPr>
          <w:rFonts w:cs="Times New Roman"/>
          <w:szCs w:val="24"/>
        </w:rPr>
        <w:t>(rounded), as detailed in the table below.</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1760"/>
        <w:gridCol w:w="1803"/>
        <w:gridCol w:w="3297"/>
      </w:tblGrid>
      <w:tr w14:paraId="5AC1AE7E" w14:textId="77777777" w:rsidTr="00FB1CD8">
        <w:tblPrEx>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7"/>
          <w:jc w:val="center"/>
        </w:trPr>
        <w:tc>
          <w:tcPr>
            <w:tcW w:w="9109" w:type="dxa"/>
            <w:gridSpan w:val="4"/>
            <w:tcBorders>
              <w:top w:val="nil"/>
              <w:left w:val="nil"/>
              <w:bottom w:val="single" w:sz="4" w:space="0" w:color="auto"/>
              <w:right w:val="nil"/>
            </w:tcBorders>
            <w:shd w:val="clear" w:color="auto" w:fill="auto"/>
            <w:vAlign w:val="center"/>
          </w:tcPr>
          <w:p w:rsidR="00150EF3" w:rsidRPr="001352D8" w:rsidP="001352D8" w14:paraId="25EB9BB8" w14:textId="5DBD4BFF">
            <w:pPr>
              <w:spacing w:after="0" w:line="240" w:lineRule="auto"/>
              <w:jc w:val="center"/>
              <w:rPr>
                <w:rFonts w:eastAsia="Times New Roman" w:cs="Times New Roman"/>
                <w:color w:val="000000"/>
                <w:szCs w:val="24"/>
              </w:rPr>
            </w:pPr>
            <w:r>
              <w:rPr>
                <w:rFonts w:eastAsia="Times New Roman" w:cs="Times New Roman"/>
                <w:color w:val="000000"/>
                <w:szCs w:val="24"/>
              </w:rPr>
              <w:t>Table 2: Costs Associated with Labor Hours</w:t>
            </w:r>
          </w:p>
        </w:tc>
      </w:tr>
      <w:tr w14:paraId="00255E44" w14:textId="77777777" w:rsidTr="00FB1CD8">
        <w:tblPrEx>
          <w:tblW w:w="9109" w:type="dxa"/>
          <w:jc w:val="center"/>
          <w:tblLook w:val="04A0"/>
        </w:tblPrEx>
        <w:trPr>
          <w:trHeight w:val="980"/>
          <w:jc w:val="center"/>
        </w:trPr>
        <w:tc>
          <w:tcPr>
            <w:tcW w:w="2249" w:type="dxa"/>
            <w:tcBorders>
              <w:top w:val="single" w:sz="4" w:space="0" w:color="auto"/>
            </w:tcBorders>
            <w:shd w:val="clear" w:color="auto" w:fill="auto"/>
            <w:vAlign w:val="center"/>
            <w:hideMark/>
          </w:tcPr>
          <w:p w:rsidR="008055D2" w:rsidP="001352D8" w14:paraId="210C58FD" w14:textId="77777777">
            <w:pPr>
              <w:spacing w:after="0" w:line="240" w:lineRule="auto"/>
              <w:jc w:val="center"/>
              <w:rPr>
                <w:rFonts w:eastAsia="Times New Roman" w:cs="Times New Roman"/>
                <w:color w:val="000000"/>
                <w:szCs w:val="24"/>
              </w:rPr>
            </w:pPr>
            <w:r>
              <w:rPr>
                <w:rFonts w:eastAsia="Times New Roman" w:cs="Times New Roman"/>
                <w:color w:val="000000"/>
                <w:szCs w:val="24"/>
              </w:rPr>
              <w:t>Information Collection</w:t>
            </w:r>
          </w:p>
          <w:p w:rsidR="00E17A75" w:rsidRPr="001352D8" w:rsidP="001352D8" w14:paraId="449EA78C" w14:textId="1956DAE8">
            <w:pPr>
              <w:spacing w:after="0" w:line="240" w:lineRule="auto"/>
              <w:jc w:val="center"/>
              <w:rPr>
                <w:rFonts w:eastAsia="Times New Roman" w:cs="Times New Roman"/>
                <w:color w:val="000000"/>
                <w:szCs w:val="24"/>
              </w:rPr>
            </w:pPr>
            <w:r>
              <w:rPr>
                <w:rFonts w:eastAsia="Times New Roman" w:cs="Times New Roman"/>
                <w:color w:val="000000"/>
                <w:szCs w:val="24"/>
              </w:rPr>
              <w:t>(</w:t>
            </w:r>
            <w:r w:rsidRPr="001352D8">
              <w:rPr>
                <w:rFonts w:eastAsia="Times New Roman" w:cs="Times New Roman"/>
                <w:color w:val="000000"/>
                <w:szCs w:val="24"/>
              </w:rPr>
              <w:t>Respondent Type</w:t>
            </w:r>
            <w:r>
              <w:rPr>
                <w:rFonts w:eastAsia="Times New Roman" w:cs="Times New Roman"/>
                <w:color w:val="000000"/>
                <w:szCs w:val="24"/>
              </w:rPr>
              <w:t>)</w:t>
            </w:r>
          </w:p>
        </w:tc>
        <w:tc>
          <w:tcPr>
            <w:tcW w:w="1760" w:type="dxa"/>
            <w:tcBorders>
              <w:top w:val="single" w:sz="4" w:space="0" w:color="auto"/>
            </w:tcBorders>
            <w:shd w:val="clear" w:color="auto" w:fill="auto"/>
            <w:vAlign w:val="center"/>
            <w:hideMark/>
          </w:tcPr>
          <w:p w:rsidR="00E17A75" w:rsidRPr="001352D8" w:rsidP="001352D8" w14:paraId="158E8432" w14:textId="41524438">
            <w:pPr>
              <w:spacing w:after="0" w:line="240" w:lineRule="auto"/>
              <w:jc w:val="center"/>
              <w:rPr>
                <w:rFonts w:eastAsia="Times New Roman" w:cs="Times New Roman"/>
                <w:color w:val="000000"/>
                <w:szCs w:val="24"/>
              </w:rPr>
            </w:pPr>
            <w:r>
              <w:rPr>
                <w:rFonts w:eastAsia="Times New Roman" w:cs="Times New Roman"/>
                <w:color w:val="000000"/>
                <w:szCs w:val="24"/>
              </w:rPr>
              <w:t>TOTAL BURDEN HOURS</w:t>
            </w:r>
          </w:p>
        </w:tc>
        <w:tc>
          <w:tcPr>
            <w:tcW w:w="1803" w:type="dxa"/>
            <w:tcBorders>
              <w:top w:val="single" w:sz="4" w:space="0" w:color="auto"/>
            </w:tcBorders>
            <w:shd w:val="clear" w:color="auto" w:fill="auto"/>
            <w:vAlign w:val="center"/>
            <w:hideMark/>
          </w:tcPr>
          <w:p w:rsidR="00E17A75" w:rsidRPr="001352D8" w:rsidP="001352D8" w14:paraId="17723FF1" w14:textId="26B71E3A">
            <w:pPr>
              <w:spacing w:after="0" w:line="240" w:lineRule="auto"/>
              <w:jc w:val="center"/>
              <w:rPr>
                <w:rFonts w:eastAsia="Times New Roman" w:cs="Times New Roman"/>
                <w:color w:val="000000"/>
                <w:szCs w:val="24"/>
              </w:rPr>
            </w:pPr>
            <w:r>
              <w:rPr>
                <w:rFonts w:eastAsia="Times New Roman" w:cs="Times New Roman"/>
                <w:color w:val="000000"/>
                <w:szCs w:val="24"/>
              </w:rPr>
              <w:t>AVERAGE COST PER HOUR</w:t>
            </w:r>
          </w:p>
        </w:tc>
        <w:tc>
          <w:tcPr>
            <w:tcW w:w="3297" w:type="dxa"/>
            <w:tcBorders>
              <w:top w:val="single" w:sz="4" w:space="0" w:color="auto"/>
            </w:tcBorders>
            <w:shd w:val="clear" w:color="auto" w:fill="auto"/>
            <w:vAlign w:val="center"/>
            <w:hideMark/>
          </w:tcPr>
          <w:p w:rsidR="00E17A75" w:rsidRPr="001352D8" w:rsidP="001352D8" w14:paraId="150BC8DC" w14:textId="5C2A8221">
            <w:pPr>
              <w:spacing w:after="0" w:line="240" w:lineRule="auto"/>
              <w:jc w:val="center"/>
              <w:rPr>
                <w:rFonts w:eastAsia="Times New Roman" w:cs="Times New Roman"/>
                <w:color w:val="000000"/>
                <w:szCs w:val="24"/>
              </w:rPr>
            </w:pPr>
            <w:r>
              <w:rPr>
                <w:rFonts w:eastAsia="Times New Roman" w:cs="Times New Roman"/>
                <w:color w:val="000000"/>
                <w:szCs w:val="24"/>
              </w:rPr>
              <w:t>OPPORTUNITY/LABOR COST ASSOCIATED WITH BURDEN HOURS</w:t>
            </w:r>
          </w:p>
        </w:tc>
      </w:tr>
      <w:tr w14:paraId="5AC7581E" w14:textId="77777777" w:rsidTr="00FB1CD8">
        <w:tblPrEx>
          <w:tblW w:w="9109" w:type="dxa"/>
          <w:jc w:val="center"/>
          <w:tblLook w:val="04A0"/>
        </w:tblPrEx>
        <w:trPr>
          <w:trHeight w:val="980"/>
          <w:jc w:val="center"/>
        </w:trPr>
        <w:tc>
          <w:tcPr>
            <w:tcW w:w="2249" w:type="dxa"/>
            <w:tcBorders>
              <w:top w:val="single" w:sz="4" w:space="0" w:color="auto"/>
            </w:tcBorders>
            <w:shd w:val="clear" w:color="auto" w:fill="auto"/>
            <w:vAlign w:val="bottom"/>
          </w:tcPr>
          <w:p w:rsidR="008055D2" w:rsidP="00FB1CD8" w14:paraId="24A0E39C" w14:textId="64EA5D4A">
            <w:pPr>
              <w:spacing w:after="0" w:line="240" w:lineRule="auto"/>
              <w:rPr>
                <w:rFonts w:eastAsia="Times New Roman" w:cs="Times New Roman"/>
                <w:color w:val="000000"/>
                <w:szCs w:val="24"/>
              </w:rPr>
            </w:pPr>
            <w:r>
              <w:rPr>
                <w:rFonts w:eastAsia="Times New Roman" w:cs="Times New Roman"/>
                <w:color w:val="000000"/>
                <w:szCs w:val="24"/>
              </w:rPr>
              <w:t>Potential case subject consent (Patient)</w:t>
            </w:r>
          </w:p>
        </w:tc>
        <w:tc>
          <w:tcPr>
            <w:tcW w:w="1760" w:type="dxa"/>
            <w:tcBorders>
              <w:top w:val="single" w:sz="4" w:space="0" w:color="auto"/>
            </w:tcBorders>
            <w:shd w:val="clear" w:color="auto" w:fill="auto"/>
            <w:vAlign w:val="center"/>
          </w:tcPr>
          <w:p w:rsidR="008055D2" w:rsidRPr="001352D8" w:rsidP="001352D8" w14:paraId="4B48B063" w14:textId="68D9CD07">
            <w:pPr>
              <w:spacing w:after="0" w:line="240" w:lineRule="auto"/>
              <w:jc w:val="center"/>
              <w:rPr>
                <w:rFonts w:eastAsia="Times New Roman" w:cs="Times New Roman"/>
                <w:color w:val="000000"/>
                <w:szCs w:val="24"/>
              </w:rPr>
            </w:pPr>
            <w:r>
              <w:rPr>
                <w:rFonts w:eastAsia="Times New Roman" w:cs="Times New Roman"/>
                <w:color w:val="000000"/>
                <w:szCs w:val="24"/>
              </w:rPr>
              <w:t>181</w:t>
            </w:r>
          </w:p>
        </w:tc>
        <w:tc>
          <w:tcPr>
            <w:tcW w:w="1803" w:type="dxa"/>
            <w:tcBorders>
              <w:top w:val="single" w:sz="4" w:space="0" w:color="auto"/>
            </w:tcBorders>
            <w:shd w:val="clear" w:color="auto" w:fill="auto"/>
            <w:vAlign w:val="center"/>
          </w:tcPr>
          <w:p w:rsidR="008055D2" w:rsidRPr="001352D8" w:rsidP="001352D8" w14:paraId="3EA3A234" w14:textId="146618AA">
            <w:pPr>
              <w:spacing w:after="0" w:line="240" w:lineRule="auto"/>
              <w:jc w:val="center"/>
              <w:rPr>
                <w:rFonts w:eastAsia="Times New Roman" w:cs="Times New Roman"/>
                <w:color w:val="000000"/>
                <w:szCs w:val="24"/>
              </w:rPr>
            </w:pPr>
            <w:r>
              <w:rPr>
                <w:rFonts w:eastAsia="Times New Roman" w:cs="Times New Roman"/>
                <w:color w:val="000000"/>
                <w:szCs w:val="24"/>
              </w:rPr>
              <w:t>$34.23</w:t>
            </w:r>
          </w:p>
        </w:tc>
        <w:tc>
          <w:tcPr>
            <w:tcW w:w="3297" w:type="dxa"/>
            <w:tcBorders>
              <w:top w:val="single" w:sz="4" w:space="0" w:color="auto"/>
            </w:tcBorders>
            <w:shd w:val="clear" w:color="auto" w:fill="auto"/>
            <w:vAlign w:val="center"/>
          </w:tcPr>
          <w:p w:rsidR="008055D2" w:rsidP="001352D8" w14:paraId="26926F5F" w14:textId="049BFCF4">
            <w:pPr>
              <w:spacing w:after="0" w:line="240" w:lineRule="auto"/>
              <w:jc w:val="center"/>
              <w:rPr>
                <w:rFonts w:eastAsia="Times New Roman" w:cs="Times New Roman"/>
                <w:color w:val="000000"/>
                <w:szCs w:val="24"/>
              </w:rPr>
            </w:pPr>
            <w:r>
              <w:rPr>
                <w:rFonts w:eastAsia="Times New Roman" w:cs="Times New Roman"/>
                <w:color w:val="000000"/>
                <w:szCs w:val="24"/>
              </w:rPr>
              <w:t>$6,196</w:t>
            </w:r>
          </w:p>
        </w:tc>
      </w:tr>
      <w:tr w14:paraId="4F360A89" w14:textId="77777777" w:rsidTr="00FB1CD8">
        <w:tblPrEx>
          <w:tblW w:w="9109" w:type="dxa"/>
          <w:jc w:val="center"/>
          <w:tblLook w:val="04A0"/>
        </w:tblPrEx>
        <w:trPr>
          <w:trHeight w:val="308"/>
          <w:jc w:val="center"/>
        </w:trPr>
        <w:tc>
          <w:tcPr>
            <w:tcW w:w="2249" w:type="dxa"/>
            <w:shd w:val="clear" w:color="auto" w:fill="auto"/>
            <w:vAlign w:val="center"/>
            <w:hideMark/>
          </w:tcPr>
          <w:p w:rsidR="008055D2" w:rsidP="001352D8" w14:paraId="52105F7F" w14:textId="77777777">
            <w:pPr>
              <w:spacing w:after="0" w:line="240" w:lineRule="auto"/>
              <w:rPr>
                <w:rFonts w:eastAsia="Times New Roman" w:cs="Times New Roman"/>
                <w:color w:val="000000"/>
                <w:szCs w:val="24"/>
              </w:rPr>
            </w:pPr>
            <w:r>
              <w:rPr>
                <w:rFonts w:eastAsia="Times New Roman" w:cs="Times New Roman"/>
                <w:color w:val="000000"/>
                <w:szCs w:val="24"/>
              </w:rPr>
              <w:t xml:space="preserve">Case subject interview </w:t>
            </w:r>
          </w:p>
          <w:p w:rsidR="00E17A75" w:rsidRPr="001352D8" w:rsidP="001352D8" w14:paraId="2EB1501C" w14:textId="3632B32C">
            <w:pPr>
              <w:spacing w:after="0" w:line="240" w:lineRule="auto"/>
              <w:rPr>
                <w:rFonts w:eastAsia="Times New Roman" w:cs="Times New Roman"/>
                <w:color w:val="000000"/>
                <w:szCs w:val="24"/>
              </w:rPr>
            </w:pPr>
            <w:r>
              <w:rPr>
                <w:rFonts w:eastAsia="Times New Roman" w:cs="Times New Roman"/>
                <w:color w:val="000000"/>
                <w:szCs w:val="24"/>
              </w:rPr>
              <w:t>(</w:t>
            </w:r>
            <w:r>
              <w:rPr>
                <w:rFonts w:eastAsia="Times New Roman" w:cs="Times New Roman"/>
                <w:color w:val="000000"/>
                <w:szCs w:val="24"/>
              </w:rPr>
              <w:t>Patient</w:t>
            </w:r>
            <w:r>
              <w:rPr>
                <w:rFonts w:eastAsia="Times New Roman" w:cs="Times New Roman"/>
                <w:color w:val="000000"/>
                <w:szCs w:val="24"/>
              </w:rPr>
              <w:t>)</w:t>
            </w:r>
          </w:p>
        </w:tc>
        <w:tc>
          <w:tcPr>
            <w:tcW w:w="1760" w:type="dxa"/>
            <w:shd w:val="clear" w:color="auto" w:fill="auto"/>
            <w:vAlign w:val="center"/>
            <w:hideMark/>
          </w:tcPr>
          <w:p w:rsidR="00E17A75" w:rsidRPr="001352D8" w:rsidP="001352D8" w14:paraId="635B0861" w14:textId="4140388E">
            <w:pPr>
              <w:spacing w:after="0" w:line="240" w:lineRule="auto"/>
              <w:jc w:val="center"/>
              <w:rPr>
                <w:rFonts w:eastAsia="Times New Roman" w:cs="Times New Roman"/>
                <w:color w:val="000000"/>
                <w:szCs w:val="24"/>
              </w:rPr>
            </w:pPr>
            <w:r>
              <w:rPr>
                <w:rFonts w:eastAsia="Times New Roman" w:cs="Times New Roman"/>
                <w:color w:val="000000"/>
                <w:szCs w:val="24"/>
              </w:rPr>
              <w:t>258</w:t>
            </w:r>
          </w:p>
        </w:tc>
        <w:tc>
          <w:tcPr>
            <w:tcW w:w="1803" w:type="dxa"/>
            <w:shd w:val="clear" w:color="auto" w:fill="auto"/>
            <w:vAlign w:val="center"/>
            <w:hideMark/>
          </w:tcPr>
          <w:p w:rsidR="00E17A75" w:rsidRPr="001352D8" w:rsidP="001352D8" w14:paraId="365D52A5" w14:textId="5C6B3DF0">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C41F8B">
              <w:rPr>
                <w:rFonts w:eastAsia="Times New Roman" w:cs="Times New Roman"/>
                <w:color w:val="000000"/>
                <w:szCs w:val="24"/>
              </w:rPr>
              <w:t>34.23</w:t>
            </w:r>
          </w:p>
        </w:tc>
        <w:tc>
          <w:tcPr>
            <w:tcW w:w="3297" w:type="dxa"/>
            <w:shd w:val="clear" w:color="auto" w:fill="auto"/>
            <w:vAlign w:val="center"/>
            <w:hideMark/>
          </w:tcPr>
          <w:p w:rsidR="00E17A75" w:rsidRPr="001352D8" w:rsidP="001352D8" w14:paraId="353862E0" w14:textId="630880B7">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8055D2">
              <w:rPr>
                <w:rFonts w:eastAsia="Times New Roman" w:cs="Times New Roman"/>
                <w:color w:val="000000"/>
                <w:szCs w:val="24"/>
              </w:rPr>
              <w:t>8,831</w:t>
            </w:r>
          </w:p>
        </w:tc>
      </w:tr>
      <w:tr w14:paraId="66F0EF79" w14:textId="77777777" w:rsidTr="00FB1CD8">
        <w:tblPrEx>
          <w:tblW w:w="9109" w:type="dxa"/>
          <w:jc w:val="center"/>
          <w:tblLook w:val="04A0"/>
        </w:tblPrEx>
        <w:trPr>
          <w:trHeight w:val="615"/>
          <w:jc w:val="center"/>
        </w:trPr>
        <w:tc>
          <w:tcPr>
            <w:tcW w:w="2249" w:type="dxa"/>
            <w:shd w:val="clear" w:color="auto" w:fill="auto"/>
            <w:vAlign w:val="bottom"/>
            <w:hideMark/>
          </w:tcPr>
          <w:p w:rsidR="008055D2" w:rsidP="001352D8" w14:paraId="2A0D9924" w14:textId="77777777">
            <w:pPr>
              <w:spacing w:after="0" w:line="240" w:lineRule="auto"/>
              <w:rPr>
                <w:rFonts w:eastAsia="Times New Roman" w:cs="Times New Roman"/>
                <w:color w:val="000000"/>
                <w:szCs w:val="24"/>
              </w:rPr>
            </w:pPr>
            <w:r w:rsidRPr="001352D8">
              <w:rPr>
                <w:rFonts w:eastAsia="Times New Roman" w:cs="Times New Roman"/>
                <w:color w:val="000000"/>
                <w:szCs w:val="24"/>
              </w:rPr>
              <w:t xml:space="preserve">Police </w:t>
            </w:r>
            <w:r>
              <w:rPr>
                <w:rFonts w:eastAsia="Times New Roman" w:cs="Times New Roman"/>
                <w:color w:val="000000"/>
                <w:szCs w:val="24"/>
              </w:rPr>
              <w:t xml:space="preserve">report requests </w:t>
            </w:r>
          </w:p>
          <w:p w:rsidR="00E17A75" w:rsidRPr="001352D8" w:rsidP="001352D8" w14:paraId="75A89E4B" w14:textId="18186EDB">
            <w:pPr>
              <w:spacing w:after="0" w:line="240" w:lineRule="auto"/>
              <w:rPr>
                <w:rFonts w:eastAsia="Times New Roman" w:cs="Times New Roman"/>
                <w:color w:val="000000"/>
                <w:szCs w:val="24"/>
              </w:rPr>
            </w:pPr>
            <w:r>
              <w:rPr>
                <w:rFonts w:eastAsia="Times New Roman" w:cs="Times New Roman"/>
                <w:color w:val="000000"/>
                <w:szCs w:val="24"/>
              </w:rPr>
              <w:t>(Police agency)</w:t>
            </w:r>
          </w:p>
        </w:tc>
        <w:tc>
          <w:tcPr>
            <w:tcW w:w="1760" w:type="dxa"/>
            <w:shd w:val="clear" w:color="auto" w:fill="auto"/>
            <w:vAlign w:val="center"/>
            <w:hideMark/>
          </w:tcPr>
          <w:p w:rsidR="00E17A75" w:rsidRPr="001352D8" w:rsidP="001352D8" w14:paraId="60CD8C12" w14:textId="57749806">
            <w:pPr>
              <w:spacing w:after="0" w:line="240" w:lineRule="auto"/>
              <w:jc w:val="center"/>
              <w:rPr>
                <w:rFonts w:eastAsia="Times New Roman" w:cs="Times New Roman"/>
                <w:color w:val="000000"/>
                <w:szCs w:val="24"/>
              </w:rPr>
            </w:pPr>
            <w:r>
              <w:rPr>
                <w:rFonts w:eastAsia="Times New Roman" w:cs="Times New Roman"/>
                <w:color w:val="000000"/>
                <w:szCs w:val="24"/>
              </w:rPr>
              <w:t>13</w:t>
            </w:r>
          </w:p>
        </w:tc>
        <w:tc>
          <w:tcPr>
            <w:tcW w:w="1803" w:type="dxa"/>
            <w:shd w:val="clear" w:color="auto" w:fill="auto"/>
            <w:vAlign w:val="center"/>
            <w:hideMark/>
          </w:tcPr>
          <w:p w:rsidR="00E17A75" w:rsidRPr="001352D8" w:rsidP="001352D8" w14:paraId="48836CE0" w14:textId="51F9F8BF">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C41F8B">
              <w:rPr>
                <w:rFonts w:eastAsia="Times New Roman" w:cs="Times New Roman"/>
                <w:color w:val="000000"/>
                <w:szCs w:val="24"/>
              </w:rPr>
              <w:t>28.80</w:t>
            </w:r>
            <w:r w:rsidRPr="001352D8">
              <w:rPr>
                <w:rFonts w:eastAsia="Times New Roman" w:cs="Times New Roman"/>
                <w:color w:val="000000"/>
                <w:szCs w:val="24"/>
              </w:rPr>
              <w:t xml:space="preserve"> </w:t>
            </w:r>
          </w:p>
        </w:tc>
        <w:tc>
          <w:tcPr>
            <w:tcW w:w="3297" w:type="dxa"/>
            <w:shd w:val="clear" w:color="auto" w:fill="auto"/>
            <w:vAlign w:val="center"/>
            <w:hideMark/>
          </w:tcPr>
          <w:p w:rsidR="00E17A75" w:rsidRPr="001352D8" w:rsidP="001352D8" w14:paraId="74F49B26" w14:textId="11E8046A">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244B11">
              <w:rPr>
                <w:rFonts w:eastAsia="Times New Roman" w:cs="Times New Roman"/>
                <w:color w:val="000000"/>
                <w:szCs w:val="24"/>
              </w:rPr>
              <w:t>374</w:t>
            </w:r>
          </w:p>
        </w:tc>
      </w:tr>
      <w:tr w14:paraId="6FAC1FF1" w14:textId="77777777" w:rsidTr="00FB1CD8">
        <w:tblPrEx>
          <w:tblW w:w="9109" w:type="dxa"/>
          <w:jc w:val="center"/>
          <w:tblLook w:val="04A0"/>
        </w:tblPrEx>
        <w:trPr>
          <w:trHeight w:val="308"/>
          <w:jc w:val="center"/>
        </w:trPr>
        <w:tc>
          <w:tcPr>
            <w:tcW w:w="2249" w:type="dxa"/>
            <w:shd w:val="clear" w:color="auto" w:fill="auto"/>
            <w:vAlign w:val="bottom"/>
            <w:hideMark/>
          </w:tcPr>
          <w:p w:rsidR="008055D2" w:rsidP="001352D8" w14:paraId="761F587E" w14:textId="77777777">
            <w:pPr>
              <w:spacing w:after="0" w:line="240" w:lineRule="auto"/>
              <w:rPr>
                <w:rFonts w:eastAsia="Times New Roman" w:cs="Times New Roman"/>
                <w:color w:val="000000"/>
                <w:szCs w:val="24"/>
              </w:rPr>
            </w:pPr>
            <w:r>
              <w:rPr>
                <w:rFonts w:eastAsia="Times New Roman" w:cs="Times New Roman"/>
                <w:color w:val="000000"/>
                <w:szCs w:val="24"/>
              </w:rPr>
              <w:t xml:space="preserve">EMS </w:t>
            </w:r>
            <w:r>
              <w:rPr>
                <w:rFonts w:eastAsia="Times New Roman" w:cs="Times New Roman"/>
                <w:color w:val="000000"/>
                <w:szCs w:val="24"/>
              </w:rPr>
              <w:t xml:space="preserve">report requests </w:t>
            </w:r>
          </w:p>
          <w:p w:rsidR="00E17A75" w:rsidRPr="001352D8" w:rsidP="001352D8" w14:paraId="14F0E6E7" w14:textId="318FD65C">
            <w:pPr>
              <w:spacing w:after="0" w:line="240" w:lineRule="auto"/>
              <w:rPr>
                <w:rFonts w:eastAsia="Times New Roman" w:cs="Times New Roman"/>
                <w:color w:val="000000"/>
                <w:szCs w:val="24"/>
              </w:rPr>
            </w:pPr>
            <w:r>
              <w:rPr>
                <w:rFonts w:eastAsia="Times New Roman" w:cs="Times New Roman"/>
                <w:color w:val="000000"/>
                <w:szCs w:val="24"/>
              </w:rPr>
              <w:t xml:space="preserve">(EMS </w:t>
            </w:r>
            <w:r w:rsidR="004E1D41">
              <w:rPr>
                <w:rFonts w:eastAsia="Times New Roman" w:cs="Times New Roman"/>
                <w:color w:val="000000"/>
                <w:szCs w:val="24"/>
              </w:rPr>
              <w:t>agency</w:t>
            </w:r>
            <w:r>
              <w:rPr>
                <w:rFonts w:eastAsia="Times New Roman" w:cs="Times New Roman"/>
                <w:color w:val="000000"/>
                <w:szCs w:val="24"/>
              </w:rPr>
              <w:t>)</w:t>
            </w:r>
          </w:p>
        </w:tc>
        <w:tc>
          <w:tcPr>
            <w:tcW w:w="1760" w:type="dxa"/>
            <w:shd w:val="clear" w:color="auto" w:fill="auto"/>
            <w:vAlign w:val="center"/>
            <w:hideMark/>
          </w:tcPr>
          <w:p w:rsidR="00E17A75" w:rsidRPr="001352D8" w:rsidP="001352D8" w14:paraId="78D6EB14" w14:textId="215B1477">
            <w:pPr>
              <w:spacing w:after="0" w:line="240" w:lineRule="auto"/>
              <w:jc w:val="center"/>
              <w:rPr>
                <w:rFonts w:eastAsia="Times New Roman" w:cs="Times New Roman"/>
                <w:color w:val="000000"/>
                <w:szCs w:val="24"/>
              </w:rPr>
            </w:pPr>
            <w:r>
              <w:rPr>
                <w:rFonts w:eastAsia="Times New Roman" w:cs="Times New Roman"/>
                <w:color w:val="000000"/>
                <w:szCs w:val="24"/>
              </w:rPr>
              <w:t>26</w:t>
            </w:r>
          </w:p>
        </w:tc>
        <w:tc>
          <w:tcPr>
            <w:tcW w:w="1803" w:type="dxa"/>
            <w:shd w:val="clear" w:color="auto" w:fill="auto"/>
            <w:vAlign w:val="center"/>
            <w:hideMark/>
          </w:tcPr>
          <w:p w:rsidR="00E17A75" w:rsidRPr="001352D8" w:rsidP="001352D8" w14:paraId="68056330" w14:textId="5CE358F8">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C41F8B">
              <w:rPr>
                <w:rFonts w:eastAsia="Times New Roman" w:cs="Times New Roman"/>
                <w:color w:val="000000"/>
                <w:szCs w:val="24"/>
              </w:rPr>
              <w:t>28.80</w:t>
            </w:r>
          </w:p>
        </w:tc>
        <w:tc>
          <w:tcPr>
            <w:tcW w:w="3297" w:type="dxa"/>
            <w:shd w:val="clear" w:color="auto" w:fill="auto"/>
            <w:vAlign w:val="center"/>
            <w:hideMark/>
          </w:tcPr>
          <w:p w:rsidR="00E17A75" w:rsidRPr="001352D8" w:rsidP="001352D8" w14:paraId="31BB0B45" w14:textId="4488D8DD">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244B11">
              <w:rPr>
                <w:rFonts w:eastAsia="Times New Roman" w:cs="Times New Roman"/>
                <w:color w:val="000000"/>
                <w:szCs w:val="24"/>
              </w:rPr>
              <w:t>749</w:t>
            </w:r>
          </w:p>
        </w:tc>
      </w:tr>
      <w:tr w14:paraId="73F56870" w14:textId="77777777" w:rsidTr="00FB1CD8">
        <w:tblPrEx>
          <w:tblW w:w="9109" w:type="dxa"/>
          <w:jc w:val="center"/>
          <w:tblLook w:val="04A0"/>
        </w:tblPrEx>
        <w:trPr>
          <w:trHeight w:val="308"/>
          <w:jc w:val="center"/>
        </w:trPr>
        <w:tc>
          <w:tcPr>
            <w:tcW w:w="2249" w:type="dxa"/>
            <w:shd w:val="clear" w:color="auto" w:fill="auto"/>
            <w:vAlign w:val="bottom"/>
          </w:tcPr>
          <w:p w:rsidR="00C41F8B" w:rsidP="001352D8" w14:paraId="2199C92D" w14:textId="77777777">
            <w:pPr>
              <w:spacing w:after="0" w:line="240" w:lineRule="auto"/>
              <w:rPr>
                <w:rFonts w:eastAsia="Times New Roman" w:cs="Times New Roman"/>
                <w:color w:val="000000"/>
                <w:szCs w:val="24"/>
              </w:rPr>
            </w:pPr>
            <w:r>
              <w:rPr>
                <w:rFonts w:eastAsia="Times New Roman" w:cs="Times New Roman"/>
                <w:color w:val="000000"/>
                <w:szCs w:val="24"/>
              </w:rPr>
              <w:t>Obtaining information and approval from i</w:t>
            </w:r>
            <w:r>
              <w:rPr>
                <w:rFonts w:eastAsia="Times New Roman" w:cs="Times New Roman"/>
                <w:color w:val="000000"/>
                <w:szCs w:val="24"/>
              </w:rPr>
              <w:t>nsurance company</w:t>
            </w:r>
          </w:p>
          <w:p w:rsidR="008055D2" w:rsidP="001352D8" w14:paraId="785196A1" w14:textId="67086A90">
            <w:pPr>
              <w:spacing w:after="0" w:line="240" w:lineRule="auto"/>
              <w:rPr>
                <w:rFonts w:eastAsia="Times New Roman" w:cs="Times New Roman"/>
                <w:color w:val="000000"/>
                <w:szCs w:val="24"/>
              </w:rPr>
            </w:pPr>
            <w:r>
              <w:rPr>
                <w:rFonts w:eastAsia="Times New Roman" w:cs="Times New Roman"/>
                <w:color w:val="000000"/>
                <w:szCs w:val="24"/>
              </w:rPr>
              <w:t>(Insurance company clerks)</w:t>
            </w:r>
          </w:p>
        </w:tc>
        <w:tc>
          <w:tcPr>
            <w:tcW w:w="1760" w:type="dxa"/>
            <w:shd w:val="clear" w:color="auto" w:fill="auto"/>
            <w:vAlign w:val="center"/>
          </w:tcPr>
          <w:p w:rsidR="00C41F8B" w:rsidP="001352D8" w14:paraId="6D0C9F4A" w14:textId="033DA968">
            <w:pPr>
              <w:spacing w:after="0" w:line="240" w:lineRule="auto"/>
              <w:jc w:val="center"/>
              <w:rPr>
                <w:rFonts w:eastAsia="Times New Roman" w:cs="Times New Roman"/>
                <w:color w:val="000000"/>
                <w:szCs w:val="24"/>
              </w:rPr>
            </w:pPr>
            <w:r>
              <w:rPr>
                <w:rFonts w:eastAsia="Times New Roman" w:cs="Times New Roman"/>
                <w:color w:val="000000"/>
                <w:szCs w:val="24"/>
              </w:rPr>
              <w:t>516</w:t>
            </w:r>
          </w:p>
        </w:tc>
        <w:tc>
          <w:tcPr>
            <w:tcW w:w="1803" w:type="dxa"/>
            <w:shd w:val="clear" w:color="auto" w:fill="auto"/>
            <w:vAlign w:val="center"/>
          </w:tcPr>
          <w:p w:rsidR="00C41F8B" w:rsidRPr="001352D8" w:rsidP="001352D8" w14:paraId="1847BD04" w14:textId="062BEE23">
            <w:pPr>
              <w:spacing w:after="0" w:line="240" w:lineRule="auto"/>
              <w:jc w:val="center"/>
              <w:rPr>
                <w:rFonts w:eastAsia="Times New Roman" w:cs="Times New Roman"/>
                <w:color w:val="000000"/>
                <w:szCs w:val="24"/>
              </w:rPr>
            </w:pPr>
            <w:r>
              <w:rPr>
                <w:rFonts w:eastAsia="Times New Roman" w:cs="Times New Roman"/>
                <w:color w:val="000000"/>
                <w:szCs w:val="24"/>
              </w:rPr>
              <w:t>$30.68</w:t>
            </w:r>
          </w:p>
        </w:tc>
        <w:tc>
          <w:tcPr>
            <w:tcW w:w="3297" w:type="dxa"/>
            <w:shd w:val="clear" w:color="auto" w:fill="auto"/>
            <w:vAlign w:val="center"/>
          </w:tcPr>
          <w:p w:rsidR="00C41F8B" w:rsidRPr="001352D8" w:rsidP="001352D8" w14:paraId="132B01EC" w14:textId="466CB8FF">
            <w:pPr>
              <w:spacing w:after="0" w:line="240" w:lineRule="auto"/>
              <w:jc w:val="center"/>
              <w:rPr>
                <w:rFonts w:eastAsia="Times New Roman" w:cs="Times New Roman"/>
                <w:color w:val="000000"/>
                <w:szCs w:val="24"/>
              </w:rPr>
            </w:pPr>
            <w:r>
              <w:rPr>
                <w:rFonts w:eastAsia="Times New Roman" w:cs="Times New Roman"/>
                <w:color w:val="000000"/>
                <w:szCs w:val="24"/>
              </w:rPr>
              <w:t>$15,831</w:t>
            </w:r>
          </w:p>
        </w:tc>
      </w:tr>
      <w:tr w14:paraId="5C752C5F" w14:textId="77777777" w:rsidTr="00FB1CD8">
        <w:tblPrEx>
          <w:tblW w:w="9109" w:type="dxa"/>
          <w:jc w:val="center"/>
          <w:tblLook w:val="04A0"/>
        </w:tblPrEx>
        <w:trPr>
          <w:trHeight w:val="308"/>
          <w:jc w:val="center"/>
        </w:trPr>
        <w:tc>
          <w:tcPr>
            <w:tcW w:w="2249" w:type="dxa"/>
            <w:shd w:val="clear" w:color="auto" w:fill="auto"/>
            <w:vAlign w:val="bottom"/>
            <w:hideMark/>
          </w:tcPr>
          <w:p w:rsidR="008055D2" w:rsidP="001352D8" w14:paraId="1734AFED" w14:textId="77777777">
            <w:pPr>
              <w:spacing w:after="0" w:line="240" w:lineRule="auto"/>
              <w:rPr>
                <w:rFonts w:eastAsia="Times New Roman" w:cs="Times New Roman"/>
                <w:color w:val="000000"/>
                <w:szCs w:val="24"/>
              </w:rPr>
            </w:pPr>
            <w:r>
              <w:rPr>
                <w:rFonts w:eastAsia="Times New Roman" w:cs="Times New Roman"/>
                <w:color w:val="000000"/>
                <w:szCs w:val="24"/>
              </w:rPr>
              <w:t xml:space="preserve">Access to towing/salvage </w:t>
            </w:r>
            <w:r>
              <w:rPr>
                <w:rFonts w:eastAsia="Times New Roman" w:cs="Times New Roman"/>
                <w:color w:val="000000"/>
                <w:szCs w:val="24"/>
              </w:rPr>
              <w:t>facility</w:t>
            </w:r>
            <w:r>
              <w:rPr>
                <w:rFonts w:eastAsia="Times New Roman" w:cs="Times New Roman"/>
                <w:color w:val="000000"/>
                <w:szCs w:val="24"/>
              </w:rPr>
              <w:t xml:space="preserve"> </w:t>
            </w:r>
          </w:p>
          <w:p w:rsidR="00E17A75" w:rsidRPr="001352D8" w:rsidP="001352D8" w14:paraId="28E65765" w14:textId="3914FF0D">
            <w:pPr>
              <w:spacing w:after="0" w:line="240" w:lineRule="auto"/>
              <w:rPr>
                <w:rFonts w:eastAsia="Times New Roman" w:cs="Times New Roman"/>
                <w:color w:val="000000"/>
                <w:szCs w:val="24"/>
              </w:rPr>
            </w:pPr>
            <w:r>
              <w:rPr>
                <w:rFonts w:eastAsia="Times New Roman" w:cs="Times New Roman"/>
                <w:color w:val="000000"/>
                <w:szCs w:val="24"/>
              </w:rPr>
              <w:t>(</w:t>
            </w:r>
            <w:r w:rsidRPr="001352D8">
              <w:rPr>
                <w:rFonts w:eastAsia="Times New Roman" w:cs="Times New Roman"/>
                <w:color w:val="000000"/>
                <w:szCs w:val="24"/>
              </w:rPr>
              <w:t>Tow Facility</w:t>
            </w:r>
            <w:r>
              <w:rPr>
                <w:rFonts w:eastAsia="Times New Roman" w:cs="Times New Roman"/>
                <w:color w:val="000000"/>
                <w:szCs w:val="24"/>
              </w:rPr>
              <w:t>)</w:t>
            </w:r>
          </w:p>
        </w:tc>
        <w:tc>
          <w:tcPr>
            <w:tcW w:w="1760" w:type="dxa"/>
            <w:shd w:val="clear" w:color="auto" w:fill="auto"/>
            <w:vAlign w:val="center"/>
            <w:hideMark/>
          </w:tcPr>
          <w:p w:rsidR="00E17A75" w:rsidRPr="001352D8" w:rsidP="001352D8" w14:paraId="27B38FD1" w14:textId="6B0548FB">
            <w:pPr>
              <w:spacing w:after="0" w:line="240" w:lineRule="auto"/>
              <w:jc w:val="center"/>
              <w:rPr>
                <w:rFonts w:eastAsia="Times New Roman" w:cs="Times New Roman"/>
                <w:color w:val="000000"/>
                <w:szCs w:val="24"/>
              </w:rPr>
            </w:pPr>
            <w:r>
              <w:rPr>
                <w:rFonts w:eastAsia="Times New Roman" w:cs="Times New Roman"/>
                <w:color w:val="000000"/>
                <w:szCs w:val="24"/>
              </w:rPr>
              <w:t>64.5</w:t>
            </w:r>
          </w:p>
        </w:tc>
        <w:tc>
          <w:tcPr>
            <w:tcW w:w="1803" w:type="dxa"/>
            <w:shd w:val="clear" w:color="auto" w:fill="auto"/>
            <w:vAlign w:val="center"/>
            <w:hideMark/>
          </w:tcPr>
          <w:p w:rsidR="00E17A75" w:rsidRPr="001352D8" w:rsidP="001352D8" w14:paraId="2EA0FB66" w14:textId="0A048EA0">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244B11">
              <w:rPr>
                <w:rFonts w:eastAsia="Times New Roman" w:cs="Times New Roman"/>
                <w:color w:val="000000"/>
                <w:szCs w:val="24"/>
              </w:rPr>
              <w:t>25.62</w:t>
            </w:r>
          </w:p>
        </w:tc>
        <w:tc>
          <w:tcPr>
            <w:tcW w:w="3297" w:type="dxa"/>
            <w:shd w:val="clear" w:color="auto" w:fill="auto"/>
            <w:vAlign w:val="center"/>
            <w:hideMark/>
          </w:tcPr>
          <w:p w:rsidR="00E17A75" w:rsidRPr="001352D8" w:rsidP="001352D8" w14:paraId="70D953EA" w14:textId="1B3CE8FC">
            <w:pPr>
              <w:spacing w:after="0" w:line="240" w:lineRule="auto"/>
              <w:jc w:val="center"/>
              <w:rPr>
                <w:rFonts w:eastAsia="Times New Roman" w:cs="Times New Roman"/>
                <w:color w:val="000000"/>
                <w:szCs w:val="24"/>
              </w:rPr>
            </w:pPr>
            <w:r w:rsidRPr="001352D8">
              <w:rPr>
                <w:rFonts w:eastAsia="Times New Roman" w:cs="Times New Roman"/>
                <w:color w:val="000000"/>
                <w:szCs w:val="24"/>
              </w:rPr>
              <w:t>$</w:t>
            </w:r>
            <w:r w:rsidR="008055D2">
              <w:rPr>
                <w:rFonts w:eastAsia="Times New Roman" w:cs="Times New Roman"/>
                <w:color w:val="000000"/>
                <w:szCs w:val="24"/>
              </w:rPr>
              <w:t>1,652</w:t>
            </w:r>
          </w:p>
        </w:tc>
      </w:tr>
      <w:tr w14:paraId="0CB2CD74" w14:textId="77777777" w:rsidTr="00FB1CD8">
        <w:tblPrEx>
          <w:tblW w:w="9109" w:type="dxa"/>
          <w:jc w:val="center"/>
          <w:tblLook w:val="04A0"/>
        </w:tblPrEx>
        <w:trPr>
          <w:trHeight w:val="308"/>
          <w:jc w:val="center"/>
        </w:trPr>
        <w:tc>
          <w:tcPr>
            <w:tcW w:w="2249" w:type="dxa"/>
            <w:shd w:val="clear" w:color="000000" w:fill="D6DCE4"/>
            <w:vAlign w:val="bottom"/>
            <w:hideMark/>
          </w:tcPr>
          <w:p w:rsidR="00E17A75" w:rsidRPr="001352D8" w:rsidP="001352D8" w14:paraId="3143B4B8" w14:textId="7476FE78">
            <w:pPr>
              <w:spacing w:after="0" w:line="240" w:lineRule="auto"/>
              <w:rPr>
                <w:rFonts w:eastAsia="Times New Roman" w:cs="Times New Roman"/>
                <w:b/>
                <w:bCs/>
                <w:color w:val="000000"/>
                <w:szCs w:val="24"/>
              </w:rPr>
            </w:pPr>
            <w:r>
              <w:rPr>
                <w:rFonts w:eastAsia="Times New Roman" w:cs="Times New Roman"/>
                <w:b/>
                <w:bCs/>
                <w:color w:val="000000"/>
                <w:szCs w:val="24"/>
              </w:rPr>
              <w:t>Total</w:t>
            </w:r>
          </w:p>
        </w:tc>
        <w:tc>
          <w:tcPr>
            <w:tcW w:w="1760" w:type="dxa"/>
            <w:shd w:val="clear" w:color="000000" w:fill="D6DCE4"/>
            <w:noWrap/>
            <w:vAlign w:val="center"/>
            <w:hideMark/>
          </w:tcPr>
          <w:p w:rsidR="00E17A75" w:rsidRPr="001352D8" w:rsidP="001352D8" w14:paraId="0D78C153" w14:textId="4CB62973">
            <w:pPr>
              <w:spacing w:after="0" w:line="240" w:lineRule="auto"/>
              <w:jc w:val="center"/>
              <w:rPr>
                <w:rFonts w:eastAsia="Times New Roman" w:cs="Times New Roman"/>
                <w:b/>
                <w:bCs/>
                <w:color w:val="000000"/>
                <w:szCs w:val="24"/>
              </w:rPr>
            </w:pPr>
            <w:r>
              <w:rPr>
                <w:rFonts w:eastAsia="Times New Roman" w:cs="Times New Roman"/>
                <w:b/>
                <w:bCs/>
                <w:color w:val="000000"/>
                <w:szCs w:val="24"/>
              </w:rPr>
              <w:t>1,059</w:t>
            </w:r>
          </w:p>
        </w:tc>
        <w:tc>
          <w:tcPr>
            <w:tcW w:w="1803" w:type="dxa"/>
            <w:shd w:val="clear" w:color="000000" w:fill="D6DCE4"/>
            <w:noWrap/>
            <w:vAlign w:val="center"/>
            <w:hideMark/>
          </w:tcPr>
          <w:p w:rsidR="00E17A75" w:rsidRPr="001352D8" w:rsidP="001352D8" w14:paraId="6C9D55C1" w14:textId="140D343D">
            <w:pPr>
              <w:spacing w:after="0" w:line="240" w:lineRule="auto"/>
              <w:jc w:val="center"/>
              <w:rPr>
                <w:rFonts w:eastAsia="Times New Roman" w:cs="Times New Roman"/>
                <w:b/>
                <w:bCs/>
                <w:color w:val="000000"/>
                <w:szCs w:val="24"/>
              </w:rPr>
            </w:pPr>
            <w:r>
              <w:rPr>
                <w:rFonts w:eastAsia="Times New Roman" w:cs="Times New Roman"/>
                <w:b/>
                <w:bCs/>
                <w:color w:val="000000"/>
                <w:szCs w:val="24"/>
              </w:rPr>
              <w:t>-</w:t>
            </w:r>
          </w:p>
        </w:tc>
        <w:tc>
          <w:tcPr>
            <w:tcW w:w="3297" w:type="dxa"/>
            <w:shd w:val="clear" w:color="000000" w:fill="D6DCE4"/>
            <w:noWrap/>
            <w:vAlign w:val="center"/>
            <w:hideMark/>
          </w:tcPr>
          <w:p w:rsidR="00E17A75" w:rsidRPr="001352D8" w:rsidP="001352D8" w14:paraId="6AEFCDB0" w14:textId="0E9CD3E0">
            <w:pPr>
              <w:spacing w:after="0" w:line="240" w:lineRule="auto"/>
              <w:jc w:val="center"/>
              <w:rPr>
                <w:rFonts w:eastAsia="Times New Roman" w:cs="Times New Roman"/>
                <w:b/>
                <w:bCs/>
                <w:color w:val="000000"/>
                <w:szCs w:val="24"/>
              </w:rPr>
            </w:pPr>
            <w:r w:rsidRPr="001352D8">
              <w:rPr>
                <w:rFonts w:eastAsia="Times New Roman" w:cs="Times New Roman"/>
                <w:b/>
                <w:bCs/>
                <w:color w:val="000000"/>
                <w:szCs w:val="24"/>
              </w:rPr>
              <w:t>$</w:t>
            </w:r>
            <w:r w:rsidR="009A303D">
              <w:rPr>
                <w:rFonts w:eastAsia="Times New Roman" w:cs="Times New Roman"/>
                <w:b/>
                <w:bCs/>
                <w:color w:val="000000"/>
                <w:szCs w:val="24"/>
              </w:rPr>
              <w:t>33,633</w:t>
            </w:r>
          </w:p>
        </w:tc>
      </w:tr>
    </w:tbl>
    <w:p w:rsidR="000A558D" w:rsidRPr="00150EF3" w:rsidP="00150EF3" w14:paraId="666003C9" w14:textId="77777777">
      <w:pPr>
        <w:autoSpaceDE w:val="0"/>
        <w:autoSpaceDN w:val="0"/>
        <w:adjustRightInd w:val="0"/>
        <w:spacing w:after="0" w:line="240" w:lineRule="auto"/>
        <w:rPr>
          <w:rFonts w:cs="Times New Roman"/>
          <w:szCs w:val="24"/>
        </w:rPr>
      </w:pPr>
    </w:p>
    <w:p w:rsidR="00196839" w:rsidRPr="00196839" w:rsidP="00196839" w14:paraId="2C4ACA4A" w14:textId="77777777">
      <w:pPr>
        <w:tabs>
          <w:tab w:val="left" w:pos="-720"/>
          <w:tab w:val="left" w:pos="540"/>
          <w:tab w:val="left" w:pos="2880"/>
        </w:tabs>
        <w:rPr>
          <w:rFonts w:cs="Times New Roman"/>
          <w:szCs w:val="24"/>
        </w:rPr>
      </w:pPr>
    </w:p>
    <w:p w:rsidR="00D81C39" w:rsidRPr="00DC37C1" w:rsidP="00DC37C1" w14:paraId="6E7A770F" w14:textId="7326ECCA">
      <w:pPr>
        <w:pStyle w:val="ListParagraph"/>
        <w:numPr>
          <w:ilvl w:val="0"/>
          <w:numId w:val="18"/>
        </w:numPr>
        <w:spacing w:line="240" w:lineRule="auto"/>
        <w:rPr>
          <w:rFonts w:cs="Times New Roman"/>
          <w:b/>
          <w:szCs w:val="24"/>
        </w:rPr>
      </w:pPr>
      <w:bookmarkStart w:id="26" w:name="_Hlk51332118"/>
      <w:r w:rsidRPr="00F2317A">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05472E" w:rsidRPr="002F0760" w:rsidP="00DC37C1" w14:paraId="1EC4F9F0" w14:textId="52D035BF">
      <w:pPr>
        <w:spacing w:line="240" w:lineRule="auto"/>
        <w:rPr>
          <w:rFonts w:cs="Times New Roman"/>
          <w:b/>
          <w:szCs w:val="24"/>
        </w:rPr>
      </w:pPr>
      <w:r>
        <w:rPr>
          <w:rFonts w:cs="Times New Roman"/>
        </w:rPr>
        <w:t xml:space="preserve">NHTSA estimates that there are no additional costs to respondents other than the opportunity or labor costs associated with the burden hours. </w:t>
      </w:r>
      <w:r w:rsidRPr="00DC37C1" w:rsidR="002F0760">
        <w:rPr>
          <w:rFonts w:cs="Times New Roman"/>
        </w:rPr>
        <w:t>Interviewees keep no records of the interview</w:t>
      </w:r>
      <w:r w:rsidR="000A7A03">
        <w:rPr>
          <w:rFonts w:cs="Times New Roman"/>
        </w:rPr>
        <w:t>, which takes pl</w:t>
      </w:r>
      <w:r w:rsidR="00A25024">
        <w:rPr>
          <w:rFonts w:cs="Times New Roman"/>
        </w:rPr>
        <w:t>ace during their hospital admission</w:t>
      </w:r>
      <w:r w:rsidRPr="00DC37C1" w:rsidR="002F0760">
        <w:rPr>
          <w:rFonts w:cs="Times New Roman"/>
        </w:rPr>
        <w:t xml:space="preserve">. </w:t>
      </w:r>
      <w:r w:rsidR="00A25024">
        <w:rPr>
          <w:rFonts w:cs="Times New Roman"/>
        </w:rPr>
        <w:t>The inter</w:t>
      </w:r>
      <w:r w:rsidR="00C5415C">
        <w:rPr>
          <w:rFonts w:cs="Times New Roman"/>
        </w:rPr>
        <w:t xml:space="preserve">viewees provide verbal responses </w:t>
      </w:r>
      <w:r w:rsidR="00405A2E">
        <w:rPr>
          <w:rFonts w:cs="Times New Roman"/>
        </w:rPr>
        <w:t>directly to the contractor personnel or via an interpreter.</w:t>
      </w:r>
      <w:r w:rsidRPr="00DC37C1" w:rsidR="002F0760">
        <w:rPr>
          <w:rFonts w:cs="Times New Roman"/>
        </w:rPr>
        <w:t xml:space="preserve"> </w:t>
      </w:r>
      <w:r w:rsidR="00DC37C1">
        <w:rPr>
          <w:rFonts w:cs="Times New Roman"/>
        </w:rPr>
        <w:t>P</w:t>
      </w:r>
      <w:r w:rsidRPr="00DC37C1" w:rsidR="002F0760">
        <w:rPr>
          <w:rFonts w:cs="Times New Roman"/>
        </w:rPr>
        <w:t xml:space="preserve">olice </w:t>
      </w:r>
      <w:r w:rsidR="00DC37C1">
        <w:rPr>
          <w:rFonts w:cs="Times New Roman"/>
        </w:rPr>
        <w:t xml:space="preserve">and EMS agencies </w:t>
      </w:r>
      <w:r w:rsidRPr="00DC37C1" w:rsidR="002F0760">
        <w:rPr>
          <w:rFonts w:cs="Times New Roman"/>
        </w:rPr>
        <w:t xml:space="preserve">simply allow access to copy their existing records.  Tow yards merely direct the researchers to the crash vehicles. Therefore, there are no </w:t>
      </w:r>
      <w:r w:rsidR="00E512F6">
        <w:rPr>
          <w:rFonts w:cs="Times New Roman"/>
        </w:rPr>
        <w:t xml:space="preserve">additional </w:t>
      </w:r>
      <w:r w:rsidRPr="00DC37C1" w:rsidR="002F0760">
        <w:rPr>
          <w:rFonts w:cs="Times New Roman"/>
        </w:rPr>
        <w:t xml:space="preserve">recordkeeping </w:t>
      </w:r>
      <w:r w:rsidR="00BD3379">
        <w:rPr>
          <w:rFonts w:cs="Times New Roman"/>
        </w:rPr>
        <w:t xml:space="preserve">resources or </w:t>
      </w:r>
      <w:r w:rsidRPr="00DC37C1" w:rsidR="002F0760">
        <w:rPr>
          <w:rFonts w:cs="Times New Roman"/>
        </w:rPr>
        <w:t xml:space="preserve">costs </w:t>
      </w:r>
      <w:r w:rsidR="00BD3379">
        <w:rPr>
          <w:rFonts w:cs="Times New Roman"/>
        </w:rPr>
        <w:t xml:space="preserve">required by </w:t>
      </w:r>
      <w:r w:rsidRPr="00DC37C1" w:rsidR="002F0760">
        <w:rPr>
          <w:rFonts w:cs="Times New Roman"/>
        </w:rPr>
        <w:t>any of the respondents.</w:t>
      </w:r>
    </w:p>
    <w:p w:rsidR="0005472E" w:rsidP="0005472E" w14:paraId="05B52A75" w14:textId="77777777">
      <w:pPr>
        <w:pStyle w:val="ListParagraph"/>
        <w:spacing w:line="240" w:lineRule="auto"/>
        <w:rPr>
          <w:rFonts w:cs="Times New Roman"/>
          <w:b/>
          <w:szCs w:val="24"/>
        </w:rPr>
      </w:pPr>
    </w:p>
    <w:p w:rsidR="00DF3DC9" w:rsidRPr="00F2317A" w:rsidP="00F2317A" w14:paraId="122A7BCF" w14:textId="77777777">
      <w:pPr>
        <w:pStyle w:val="ListParagraph"/>
        <w:numPr>
          <w:ilvl w:val="0"/>
          <w:numId w:val="18"/>
        </w:numPr>
        <w:spacing w:line="240" w:lineRule="auto"/>
        <w:rPr>
          <w:rFonts w:cs="Times New Roman"/>
          <w:b/>
          <w:szCs w:val="24"/>
        </w:rPr>
      </w:pPr>
      <w:r w:rsidRPr="00F2317A">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6"/>
    <w:p w:rsidR="00196839" w:rsidRPr="00D90D3E" w:rsidP="00306DAE" w14:paraId="02DC7B9C" w14:textId="58DE4550">
      <w:pPr>
        <w:tabs>
          <w:tab w:val="left" w:pos="-720"/>
          <w:tab w:val="left" w:pos="540"/>
          <w:tab w:val="left" w:pos="2880"/>
        </w:tabs>
        <w:ind w:left="360"/>
        <w:rPr>
          <w:rFonts w:cs="Times New Roman"/>
        </w:rPr>
      </w:pPr>
      <w:r>
        <w:rPr>
          <w:rFonts w:cs="Times New Roman"/>
        </w:rPr>
        <w:t xml:space="preserve">The </w:t>
      </w:r>
      <w:r w:rsidR="00306DAE">
        <w:rPr>
          <w:rFonts w:cs="Times New Roman"/>
        </w:rPr>
        <w:t xml:space="preserve">total </w:t>
      </w:r>
      <w:r>
        <w:rPr>
          <w:rFonts w:cs="Times New Roman"/>
        </w:rPr>
        <w:t xml:space="preserve">annual cost to the Federal government for </w:t>
      </w:r>
      <w:r w:rsidR="00DC37C1">
        <w:rPr>
          <w:rFonts w:cs="Times New Roman"/>
        </w:rPr>
        <w:t>the CIREN program</w:t>
      </w:r>
      <w:r w:rsidRPr="00D90D3E">
        <w:rPr>
          <w:rFonts w:cs="Times New Roman"/>
        </w:rPr>
        <w:t xml:space="preserve"> is</w:t>
      </w:r>
      <w:r w:rsidR="00AB11F8">
        <w:rPr>
          <w:rFonts w:cs="Times New Roman"/>
        </w:rPr>
        <w:t xml:space="preserve"> estimated to be</w:t>
      </w:r>
      <w:r w:rsidR="00306DAE">
        <w:rPr>
          <w:rFonts w:cs="Times New Roman"/>
        </w:rPr>
        <w:t xml:space="preserve"> $</w:t>
      </w:r>
      <w:r w:rsidR="00F72842">
        <w:rPr>
          <w:rFonts w:cs="Times New Roman"/>
        </w:rPr>
        <w:t>5,</w:t>
      </w:r>
      <w:r w:rsidR="00165E9F">
        <w:rPr>
          <w:rFonts w:cs="Times New Roman"/>
        </w:rPr>
        <w:t>273,181</w:t>
      </w:r>
      <w:r w:rsidRPr="00D90D3E" w:rsidR="00F84E5F">
        <w:rPr>
          <w:rFonts w:cs="Times New Roman"/>
        </w:rPr>
        <w:t>:</w:t>
      </w:r>
      <w:r w:rsidRPr="00D90D3E">
        <w:rPr>
          <w:rFonts w:cs="Times New Roman"/>
        </w:rPr>
        <w:t xml:space="preserve">   </w:t>
      </w:r>
    </w:p>
    <w:p w:rsidR="00D81C39" w:rsidRPr="00D90D3E" w:rsidP="001F366E" w14:paraId="7AA735B6" w14:textId="326A7C9F">
      <w:pPr>
        <w:tabs>
          <w:tab w:val="left" w:pos="-720"/>
          <w:tab w:val="left" w:pos="540"/>
          <w:tab w:val="left" w:pos="2880"/>
        </w:tabs>
        <w:spacing w:after="0"/>
        <w:rPr>
          <w:rFonts w:ascii="Arial" w:hAnsi="Arial" w:cs="Arial"/>
        </w:rPr>
      </w:pPr>
    </w:p>
    <w:tbl>
      <w:tblPr>
        <w:tblStyle w:val="TableGrid"/>
        <w:tblW w:w="0" w:type="auto"/>
        <w:tblLook w:val="04A0"/>
      </w:tblPr>
      <w:tblGrid>
        <w:gridCol w:w="5935"/>
        <w:gridCol w:w="3415"/>
      </w:tblGrid>
      <w:tr w14:paraId="3B1E6B36" w14:textId="77777777" w:rsidTr="007520C9">
        <w:tblPrEx>
          <w:tblW w:w="0" w:type="auto"/>
          <w:tblLook w:val="04A0"/>
        </w:tblPrEx>
        <w:trPr>
          <w:trHeight w:val="720"/>
        </w:trPr>
        <w:tc>
          <w:tcPr>
            <w:tcW w:w="5935" w:type="dxa"/>
          </w:tcPr>
          <w:p w:rsidR="00E74319" w:rsidRPr="00D90D3E" w:rsidP="00E74319" w14:paraId="62B95CD9" w14:textId="0BA17509">
            <w:pPr>
              <w:tabs>
                <w:tab w:val="left" w:pos="-720"/>
                <w:tab w:val="left" w:pos="540"/>
                <w:tab w:val="left" w:pos="2880"/>
              </w:tabs>
              <w:jc w:val="center"/>
              <w:rPr>
                <w:rFonts w:cs="Times New Roman"/>
              </w:rPr>
            </w:pPr>
            <w:r w:rsidRPr="00D90D3E">
              <w:rPr>
                <w:rFonts w:cs="Times New Roman"/>
              </w:rPr>
              <w:t xml:space="preserve">FY </w:t>
            </w:r>
            <w:r w:rsidRPr="00D90D3E" w:rsidR="00165E9F">
              <w:rPr>
                <w:rFonts w:cs="Times New Roman"/>
              </w:rPr>
              <w:t>202</w:t>
            </w:r>
            <w:r w:rsidR="00165E9F">
              <w:rPr>
                <w:rFonts w:cs="Times New Roman"/>
              </w:rPr>
              <w:t>3</w:t>
            </w:r>
          </w:p>
        </w:tc>
        <w:tc>
          <w:tcPr>
            <w:tcW w:w="3415" w:type="dxa"/>
          </w:tcPr>
          <w:p w:rsidR="00E74319" w:rsidRPr="00D90D3E" w:rsidP="00E74319" w14:paraId="7C2BE5DE" w14:textId="1AD713BC">
            <w:pPr>
              <w:tabs>
                <w:tab w:val="left" w:pos="-720"/>
                <w:tab w:val="left" w:pos="540"/>
                <w:tab w:val="left" w:pos="2880"/>
              </w:tabs>
              <w:jc w:val="center"/>
              <w:rPr>
                <w:rFonts w:cs="Times New Roman"/>
              </w:rPr>
            </w:pPr>
            <w:r w:rsidRPr="00D90D3E">
              <w:rPr>
                <w:rFonts w:cs="Times New Roman"/>
              </w:rPr>
              <w:t>Estimated Cost Per Year</w:t>
            </w:r>
          </w:p>
        </w:tc>
      </w:tr>
      <w:tr w14:paraId="3E77C5F5" w14:textId="77777777" w:rsidTr="007520C9">
        <w:tblPrEx>
          <w:tblW w:w="0" w:type="auto"/>
          <w:tblLook w:val="04A0"/>
        </w:tblPrEx>
        <w:trPr>
          <w:trHeight w:val="720"/>
        </w:trPr>
        <w:tc>
          <w:tcPr>
            <w:tcW w:w="5935" w:type="dxa"/>
          </w:tcPr>
          <w:p w:rsidR="00E74319" w:rsidRPr="00D90D3E" w:rsidP="001F366E" w14:paraId="1903D04F" w14:textId="7140502B">
            <w:pPr>
              <w:tabs>
                <w:tab w:val="left" w:pos="-720"/>
                <w:tab w:val="left" w:pos="540"/>
                <w:tab w:val="left" w:pos="2880"/>
              </w:tabs>
              <w:rPr>
                <w:rFonts w:cs="Times New Roman"/>
              </w:rPr>
            </w:pPr>
            <w:r w:rsidRPr="00D90D3E">
              <w:rPr>
                <w:rFonts w:cs="Times New Roman"/>
              </w:rPr>
              <w:t xml:space="preserve">a.  </w:t>
            </w:r>
            <w:r w:rsidR="009C571F">
              <w:rPr>
                <w:rFonts w:cs="Times New Roman"/>
              </w:rPr>
              <w:t>CIREN center</w:t>
            </w:r>
            <w:r w:rsidRPr="00D90D3E">
              <w:rPr>
                <w:rFonts w:cs="Times New Roman"/>
              </w:rPr>
              <w:t xml:space="preserve"> contracts</w:t>
            </w:r>
            <w:r w:rsidR="009C571F">
              <w:rPr>
                <w:rFonts w:cs="Times New Roman"/>
              </w:rPr>
              <w:t xml:space="preserve"> for data collection</w:t>
            </w:r>
          </w:p>
        </w:tc>
        <w:tc>
          <w:tcPr>
            <w:tcW w:w="3415" w:type="dxa"/>
          </w:tcPr>
          <w:p w:rsidR="00E74319" w:rsidRPr="00D90D3E" w:rsidP="007520C9" w14:paraId="425B2A6F" w14:textId="3C6C4CE5">
            <w:pPr>
              <w:tabs>
                <w:tab w:val="left" w:pos="-720"/>
                <w:tab w:val="left" w:pos="540"/>
                <w:tab w:val="left" w:pos="2880"/>
              </w:tabs>
              <w:jc w:val="right"/>
              <w:rPr>
                <w:rFonts w:cs="Times New Roman"/>
              </w:rPr>
            </w:pPr>
            <w:r w:rsidRPr="00D90D3E">
              <w:rPr>
                <w:rFonts w:cs="Times New Roman"/>
              </w:rPr>
              <w:t>$</w:t>
            </w:r>
            <w:r w:rsidRPr="00B17E0D" w:rsidR="00B946C7">
              <w:rPr>
                <w:rFonts w:cs="Times New Roman"/>
              </w:rPr>
              <w:t>2</w:t>
            </w:r>
            <w:r w:rsidRPr="00B17E0D">
              <w:rPr>
                <w:rFonts w:cs="Times New Roman"/>
              </w:rPr>
              <w:t>,</w:t>
            </w:r>
            <w:r w:rsidR="00165E9F">
              <w:rPr>
                <w:rFonts w:cs="Times New Roman"/>
              </w:rPr>
              <w:t>690,425</w:t>
            </w:r>
          </w:p>
        </w:tc>
      </w:tr>
      <w:tr w14:paraId="26B35783" w14:textId="2A7D6E40" w:rsidTr="007520C9">
        <w:tblPrEx>
          <w:tblW w:w="0" w:type="auto"/>
          <w:tblLook w:val="04A0"/>
        </w:tblPrEx>
        <w:trPr>
          <w:trHeight w:val="720"/>
        </w:trPr>
        <w:tc>
          <w:tcPr>
            <w:tcW w:w="5935" w:type="dxa"/>
          </w:tcPr>
          <w:p w:rsidR="00E74319" w:rsidRPr="00D90D3E" w:rsidP="001F366E" w14:paraId="13F2157C" w14:textId="0E456DA2">
            <w:pPr>
              <w:tabs>
                <w:tab w:val="left" w:pos="-720"/>
                <w:tab w:val="left" w:pos="540"/>
                <w:tab w:val="left" w:pos="2880"/>
              </w:tabs>
              <w:rPr>
                <w:rFonts w:cs="Times New Roman"/>
              </w:rPr>
            </w:pPr>
            <w:r w:rsidRPr="00D90D3E">
              <w:rPr>
                <w:rFonts w:cs="Times New Roman"/>
              </w:rPr>
              <w:t xml:space="preserve">b.  </w:t>
            </w:r>
            <w:r w:rsidR="00322755">
              <w:rPr>
                <w:rFonts w:cs="Times New Roman"/>
              </w:rPr>
              <w:t>CIREN center contracts for engineering analysis</w:t>
            </w:r>
          </w:p>
        </w:tc>
        <w:tc>
          <w:tcPr>
            <w:tcW w:w="3415" w:type="dxa"/>
          </w:tcPr>
          <w:p w:rsidR="00E74319" w:rsidRPr="00D90D3E" w:rsidP="007520C9" w14:paraId="492EE27B" w14:textId="0CF7C840">
            <w:pPr>
              <w:tabs>
                <w:tab w:val="left" w:pos="-720"/>
                <w:tab w:val="left" w:pos="540"/>
                <w:tab w:val="left" w:pos="2880"/>
              </w:tabs>
              <w:jc w:val="right"/>
              <w:rPr>
                <w:rFonts w:cs="Times New Roman"/>
              </w:rPr>
            </w:pPr>
            <w:r w:rsidRPr="00D90D3E">
              <w:rPr>
                <w:rFonts w:cs="Times New Roman"/>
              </w:rPr>
              <w:t>$</w:t>
            </w:r>
            <w:r w:rsidRPr="00B17E0D" w:rsidR="00322755">
              <w:rPr>
                <w:rFonts w:cs="Times New Roman"/>
              </w:rPr>
              <w:t>1</w:t>
            </w:r>
            <w:r w:rsidRPr="00B17E0D">
              <w:rPr>
                <w:rFonts w:cs="Times New Roman"/>
              </w:rPr>
              <w:t>,</w:t>
            </w:r>
            <w:r w:rsidR="00165E9F">
              <w:rPr>
                <w:rFonts w:cs="Times New Roman"/>
              </w:rPr>
              <w:t>045,968</w:t>
            </w:r>
          </w:p>
        </w:tc>
      </w:tr>
      <w:tr w14:paraId="5D6BA4FD" w14:textId="77777777" w:rsidTr="007520C9">
        <w:tblPrEx>
          <w:tblW w:w="0" w:type="auto"/>
          <w:tblLook w:val="04A0"/>
        </w:tblPrEx>
        <w:trPr>
          <w:trHeight w:val="720"/>
        </w:trPr>
        <w:tc>
          <w:tcPr>
            <w:tcW w:w="5935" w:type="dxa"/>
          </w:tcPr>
          <w:p w:rsidR="00322755" w:rsidRPr="00D90D3E" w:rsidP="001F366E" w14:paraId="1DF9C680" w14:textId="54B63496">
            <w:pPr>
              <w:tabs>
                <w:tab w:val="left" w:pos="-720"/>
                <w:tab w:val="left" w:pos="540"/>
                <w:tab w:val="left" w:pos="2880"/>
              </w:tabs>
              <w:rPr>
                <w:rFonts w:cs="Times New Roman"/>
              </w:rPr>
            </w:pPr>
            <w:r>
              <w:rPr>
                <w:rFonts w:cs="Times New Roman"/>
              </w:rPr>
              <w:t>c.  Quality control contract for data review</w:t>
            </w:r>
          </w:p>
        </w:tc>
        <w:tc>
          <w:tcPr>
            <w:tcW w:w="3415" w:type="dxa"/>
          </w:tcPr>
          <w:p w:rsidR="00322755" w:rsidRPr="00D90D3E" w:rsidP="007520C9" w14:paraId="1240DD04" w14:textId="6E6F0AB5">
            <w:pPr>
              <w:tabs>
                <w:tab w:val="left" w:pos="-720"/>
                <w:tab w:val="left" w:pos="540"/>
                <w:tab w:val="left" w:pos="2880"/>
              </w:tabs>
              <w:jc w:val="right"/>
              <w:rPr>
                <w:rFonts w:cs="Times New Roman"/>
              </w:rPr>
            </w:pPr>
            <w:r>
              <w:rPr>
                <w:rFonts w:cs="Times New Roman"/>
              </w:rPr>
              <w:t>$2</w:t>
            </w:r>
            <w:r w:rsidR="00B17E0D">
              <w:rPr>
                <w:rFonts w:cs="Times New Roman"/>
              </w:rPr>
              <w:t>85,0</w:t>
            </w:r>
            <w:r w:rsidRPr="00B17E0D">
              <w:rPr>
                <w:rFonts w:cs="Times New Roman"/>
              </w:rPr>
              <w:t>00</w:t>
            </w:r>
          </w:p>
        </w:tc>
      </w:tr>
      <w:tr w14:paraId="75AE2BA7" w14:textId="77777777" w:rsidTr="007520C9">
        <w:tblPrEx>
          <w:tblW w:w="0" w:type="auto"/>
          <w:tblLook w:val="04A0"/>
        </w:tblPrEx>
        <w:trPr>
          <w:trHeight w:val="720"/>
        </w:trPr>
        <w:tc>
          <w:tcPr>
            <w:tcW w:w="5935" w:type="dxa"/>
          </w:tcPr>
          <w:p w:rsidR="00322755" w:rsidRPr="00D90D3E" w:rsidP="001F366E" w14:paraId="63536C14" w14:textId="63949062">
            <w:pPr>
              <w:tabs>
                <w:tab w:val="left" w:pos="-720"/>
                <w:tab w:val="left" w:pos="540"/>
                <w:tab w:val="left" w:pos="2880"/>
              </w:tabs>
              <w:rPr>
                <w:rFonts w:cs="Times New Roman"/>
              </w:rPr>
            </w:pPr>
            <w:r>
              <w:rPr>
                <w:rFonts w:cs="Times New Roman"/>
              </w:rPr>
              <w:t>d. Information technology contract for electronic data system</w:t>
            </w:r>
          </w:p>
        </w:tc>
        <w:tc>
          <w:tcPr>
            <w:tcW w:w="3415" w:type="dxa"/>
          </w:tcPr>
          <w:p w:rsidR="00322755" w:rsidRPr="00D90D3E" w:rsidP="007520C9" w14:paraId="1266328E" w14:textId="7EC6B5FE">
            <w:pPr>
              <w:tabs>
                <w:tab w:val="left" w:pos="-720"/>
                <w:tab w:val="left" w:pos="540"/>
                <w:tab w:val="left" w:pos="2880"/>
              </w:tabs>
              <w:jc w:val="right"/>
              <w:rPr>
                <w:rFonts w:cs="Times New Roman"/>
              </w:rPr>
            </w:pPr>
            <w:r>
              <w:rPr>
                <w:rFonts w:cs="Times New Roman"/>
              </w:rPr>
              <w:t>$</w:t>
            </w:r>
            <w:r w:rsidRPr="00F72842" w:rsidR="00F72842">
              <w:rPr>
                <w:rFonts w:cs="Times New Roman"/>
              </w:rPr>
              <w:t>750</w:t>
            </w:r>
            <w:r w:rsidRPr="00F72842">
              <w:rPr>
                <w:rFonts w:cs="Times New Roman"/>
              </w:rPr>
              <w:t>,000</w:t>
            </w:r>
          </w:p>
        </w:tc>
      </w:tr>
      <w:tr w14:paraId="5446CA69" w14:textId="77777777" w:rsidTr="007520C9">
        <w:tblPrEx>
          <w:tblW w:w="0" w:type="auto"/>
          <w:tblLook w:val="04A0"/>
        </w:tblPrEx>
        <w:trPr>
          <w:trHeight w:val="720"/>
        </w:trPr>
        <w:tc>
          <w:tcPr>
            <w:tcW w:w="5935" w:type="dxa"/>
          </w:tcPr>
          <w:p w:rsidR="00E74319" w:rsidRPr="00D90D3E" w:rsidP="001F366E" w14:paraId="4930F35D" w14:textId="4BF01EC0">
            <w:pPr>
              <w:tabs>
                <w:tab w:val="left" w:pos="-720"/>
                <w:tab w:val="left" w:pos="540"/>
                <w:tab w:val="left" w:pos="2880"/>
              </w:tabs>
              <w:rPr>
                <w:rFonts w:cs="Times New Roman"/>
              </w:rPr>
            </w:pPr>
            <w:r>
              <w:rPr>
                <w:rFonts w:cs="Times New Roman"/>
              </w:rPr>
              <w:t>e.</w:t>
            </w:r>
            <w:r w:rsidRPr="00D90D3E">
              <w:rPr>
                <w:rFonts w:cs="Times New Roman"/>
              </w:rPr>
              <w:t xml:space="preserve">  Administrative Salaries</w:t>
            </w:r>
          </w:p>
        </w:tc>
        <w:tc>
          <w:tcPr>
            <w:tcW w:w="3415" w:type="dxa"/>
          </w:tcPr>
          <w:p w:rsidR="00E74319" w:rsidRPr="00D90D3E" w:rsidP="007520C9" w14:paraId="75F50828" w14:textId="468F7AE0">
            <w:pPr>
              <w:tabs>
                <w:tab w:val="left" w:pos="-720"/>
                <w:tab w:val="left" w:pos="540"/>
                <w:tab w:val="left" w:pos="2880"/>
              </w:tabs>
              <w:jc w:val="right"/>
              <w:rPr>
                <w:rFonts w:cs="Times New Roman"/>
              </w:rPr>
            </w:pPr>
            <w:r w:rsidRPr="00D90D3E">
              <w:rPr>
                <w:rFonts w:cs="Times New Roman"/>
              </w:rPr>
              <w:t>$</w:t>
            </w:r>
            <w:r w:rsidR="00165E9F">
              <w:rPr>
                <w:rFonts w:cs="Times New Roman"/>
              </w:rPr>
              <w:t>501,788</w:t>
            </w:r>
          </w:p>
        </w:tc>
      </w:tr>
      <w:tr w14:paraId="57E69E54" w14:textId="77777777" w:rsidTr="007520C9">
        <w:tblPrEx>
          <w:tblW w:w="0" w:type="auto"/>
          <w:tblLook w:val="04A0"/>
        </w:tblPrEx>
        <w:trPr>
          <w:trHeight w:val="720"/>
        </w:trPr>
        <w:tc>
          <w:tcPr>
            <w:tcW w:w="5935" w:type="dxa"/>
          </w:tcPr>
          <w:p w:rsidR="00E74319" w:rsidRPr="00D90D3E" w:rsidP="007520C9" w14:paraId="2ABD0161" w14:textId="6C0B2290">
            <w:pPr>
              <w:tabs>
                <w:tab w:val="left" w:pos="-720"/>
                <w:tab w:val="left" w:pos="540"/>
                <w:tab w:val="left" w:pos="2880"/>
              </w:tabs>
              <w:jc w:val="right"/>
              <w:rPr>
                <w:rFonts w:cs="Times New Roman"/>
              </w:rPr>
            </w:pPr>
            <w:r w:rsidRPr="00D90D3E">
              <w:rPr>
                <w:rFonts w:cs="Times New Roman"/>
              </w:rPr>
              <w:t>TOTAL</w:t>
            </w:r>
          </w:p>
        </w:tc>
        <w:tc>
          <w:tcPr>
            <w:tcW w:w="3415" w:type="dxa"/>
          </w:tcPr>
          <w:p w:rsidR="00E74319" w:rsidRPr="00D90D3E" w:rsidP="007520C9" w14:paraId="2FEAA5C7" w14:textId="6825A552">
            <w:pPr>
              <w:tabs>
                <w:tab w:val="left" w:pos="-720"/>
                <w:tab w:val="left" w:pos="540"/>
                <w:tab w:val="left" w:pos="2880"/>
              </w:tabs>
              <w:jc w:val="right"/>
              <w:rPr>
                <w:rFonts w:cs="Times New Roman"/>
              </w:rPr>
            </w:pPr>
            <w:r w:rsidRPr="00D90D3E">
              <w:rPr>
                <w:rFonts w:cs="Times New Roman"/>
              </w:rPr>
              <w:t>$</w:t>
            </w:r>
            <w:r w:rsidR="00F72842">
              <w:rPr>
                <w:rFonts w:cs="Times New Roman"/>
              </w:rPr>
              <w:t>5,</w:t>
            </w:r>
            <w:r w:rsidR="00165E9F">
              <w:rPr>
                <w:rFonts w:cs="Times New Roman"/>
              </w:rPr>
              <w:t>273,181</w:t>
            </w:r>
          </w:p>
        </w:tc>
      </w:tr>
    </w:tbl>
    <w:p w:rsidR="00E74319" w:rsidRPr="00D90D3E" w:rsidP="001F366E" w14:paraId="3A3BBB66" w14:textId="20911784">
      <w:pPr>
        <w:tabs>
          <w:tab w:val="left" w:pos="-720"/>
          <w:tab w:val="left" w:pos="540"/>
          <w:tab w:val="left" w:pos="2880"/>
        </w:tabs>
        <w:spacing w:after="0"/>
        <w:rPr>
          <w:rFonts w:cs="Times New Roman"/>
        </w:rPr>
      </w:pPr>
    </w:p>
    <w:p w:rsidR="00ED3BFA" w:rsidRPr="00D90D3E" w:rsidP="00ED3BFA" w14:paraId="559D8AD2" w14:textId="0A4A4966">
      <w:pPr>
        <w:pStyle w:val="ListParagraph"/>
        <w:numPr>
          <w:ilvl w:val="0"/>
          <w:numId w:val="19"/>
        </w:numPr>
        <w:tabs>
          <w:tab w:val="left" w:pos="-720"/>
          <w:tab w:val="left" w:pos="540"/>
          <w:tab w:val="left" w:pos="2880"/>
        </w:tabs>
        <w:ind w:left="1080"/>
        <w:rPr>
          <w:rFonts w:ascii="Arial" w:hAnsi="Arial" w:cs="Arial"/>
        </w:rPr>
      </w:pPr>
      <w:r w:rsidRPr="00D90D3E">
        <w:rPr>
          <w:rFonts w:cs="Times New Roman"/>
        </w:rPr>
        <w:t xml:space="preserve">Data collection </w:t>
      </w:r>
      <w:r w:rsidR="009C571F">
        <w:rPr>
          <w:rFonts w:cs="Times New Roman"/>
        </w:rPr>
        <w:t xml:space="preserve">costs for the CIREN program </w:t>
      </w:r>
      <w:r w:rsidR="00322755">
        <w:rPr>
          <w:rFonts w:cs="Times New Roman"/>
        </w:rPr>
        <w:t>are</w:t>
      </w:r>
      <w:r w:rsidR="009C571F">
        <w:rPr>
          <w:rFonts w:cs="Times New Roman"/>
        </w:rPr>
        <w:t xml:space="preserve"> estimated </w:t>
      </w:r>
      <w:r w:rsidR="00322755">
        <w:rPr>
          <w:rFonts w:cs="Times New Roman"/>
        </w:rPr>
        <w:t>to be</w:t>
      </w:r>
      <w:r w:rsidR="009C571F">
        <w:rPr>
          <w:rFonts w:cs="Times New Roman"/>
        </w:rPr>
        <w:t xml:space="preserve"> $</w:t>
      </w:r>
      <w:r w:rsidRPr="00B17E0D" w:rsidR="00322755">
        <w:rPr>
          <w:rFonts w:cs="Times New Roman"/>
        </w:rPr>
        <w:t>2,</w:t>
      </w:r>
      <w:r w:rsidR="00165E9F">
        <w:rPr>
          <w:rFonts w:cs="Times New Roman"/>
        </w:rPr>
        <w:t>690,425</w:t>
      </w:r>
      <w:r w:rsidR="00322755">
        <w:rPr>
          <w:rFonts w:cs="Times New Roman"/>
        </w:rPr>
        <w:t xml:space="preserve"> per year</w:t>
      </w:r>
      <w:r w:rsidR="009C571F">
        <w:rPr>
          <w:rFonts w:cs="Times New Roman"/>
        </w:rPr>
        <w:t xml:space="preserve">. This cost </w:t>
      </w:r>
      <w:r w:rsidR="00322755">
        <w:rPr>
          <w:rFonts w:cs="Times New Roman"/>
        </w:rPr>
        <w:t>covers the CIREN center contracts associated with data collection, which includes the crash investigators and other contractor personnel involved in data collection.</w:t>
      </w:r>
    </w:p>
    <w:p w:rsidR="00D81C39" w:rsidRPr="00306DAE" w:rsidP="00ED3BFA" w14:paraId="7BC472F0" w14:textId="0C9BD689">
      <w:pPr>
        <w:pStyle w:val="ListParagraph"/>
        <w:numPr>
          <w:ilvl w:val="0"/>
          <w:numId w:val="19"/>
        </w:numPr>
        <w:tabs>
          <w:tab w:val="left" w:pos="-720"/>
          <w:tab w:val="left" w:pos="540"/>
          <w:tab w:val="left" w:pos="2880"/>
        </w:tabs>
        <w:ind w:left="1080"/>
        <w:rPr>
          <w:rFonts w:ascii="Arial" w:hAnsi="Arial" w:cs="Arial"/>
        </w:rPr>
      </w:pPr>
      <w:r>
        <w:rPr>
          <w:rFonts w:cs="Times New Roman"/>
        </w:rPr>
        <w:t>The CIREN program includes in-depth engineering analysis of case data, with annual costs estimated to be $</w:t>
      </w:r>
      <w:r w:rsidRPr="00F72842">
        <w:rPr>
          <w:rFonts w:cs="Times New Roman"/>
        </w:rPr>
        <w:t>1,</w:t>
      </w:r>
      <w:r w:rsidR="00165E9F">
        <w:rPr>
          <w:rFonts w:cs="Times New Roman"/>
        </w:rPr>
        <w:t>045,968</w:t>
      </w:r>
      <w:r w:rsidRPr="00F72842">
        <w:rPr>
          <w:rFonts w:cs="Times New Roman"/>
        </w:rPr>
        <w:t>.</w:t>
      </w:r>
      <w:r>
        <w:rPr>
          <w:rFonts w:cs="Times New Roman"/>
        </w:rPr>
        <w:t xml:space="preserve"> This cost covers the CIREN center contracts </w:t>
      </w:r>
      <w:r w:rsidR="00B93E5C">
        <w:rPr>
          <w:rFonts w:cs="Times New Roman"/>
        </w:rPr>
        <w:t>associated with engineering analysis, which includes biomechanical engineers and other data analysts</w:t>
      </w:r>
      <w:r w:rsidR="00BB03B4">
        <w:rPr>
          <w:rFonts w:cs="Times New Roman"/>
        </w:rPr>
        <w:t xml:space="preserve"> who review data gathered by data collection sites</w:t>
      </w:r>
      <w:r w:rsidR="00B93E5C">
        <w:rPr>
          <w:rFonts w:cs="Times New Roman"/>
        </w:rPr>
        <w:t>.</w:t>
      </w:r>
      <w:r w:rsidRPr="00D90D3E" w:rsidR="00163576">
        <w:t xml:space="preserve"> </w:t>
      </w:r>
    </w:p>
    <w:p w:rsidR="00B93E5C" w:rsidRPr="00306DAE" w:rsidP="00ED3BFA" w14:paraId="10D8642E" w14:textId="0C8B1CB3">
      <w:pPr>
        <w:pStyle w:val="ListParagraph"/>
        <w:numPr>
          <w:ilvl w:val="0"/>
          <w:numId w:val="19"/>
        </w:numPr>
        <w:tabs>
          <w:tab w:val="left" w:pos="-720"/>
          <w:tab w:val="left" w:pos="540"/>
          <w:tab w:val="left" w:pos="2880"/>
        </w:tabs>
        <w:ind w:left="1080"/>
        <w:rPr>
          <w:rFonts w:ascii="Arial" w:hAnsi="Arial" w:cs="Arial"/>
        </w:rPr>
      </w:pPr>
      <w:r>
        <w:t>The data collected by the CIREN contractors must undergo quality control review prior to public release. An annual estimated cost of $</w:t>
      </w:r>
      <w:r w:rsidR="00F72842">
        <w:t>285,000</w:t>
      </w:r>
      <w:r>
        <w:t xml:space="preserve"> goes toward a third-party contractor to provide quality control services.</w:t>
      </w:r>
    </w:p>
    <w:p w:rsidR="00B93E5C" w:rsidRPr="00D90D3E" w:rsidP="00ED3BFA" w14:paraId="6DC8FBE1" w14:textId="2D5AF92E">
      <w:pPr>
        <w:pStyle w:val="ListParagraph"/>
        <w:numPr>
          <w:ilvl w:val="0"/>
          <w:numId w:val="19"/>
        </w:numPr>
        <w:tabs>
          <w:tab w:val="left" w:pos="-720"/>
          <w:tab w:val="left" w:pos="540"/>
          <w:tab w:val="left" w:pos="2880"/>
        </w:tabs>
        <w:ind w:left="1080"/>
        <w:rPr>
          <w:rFonts w:ascii="Arial" w:hAnsi="Arial" w:cs="Arial"/>
        </w:rPr>
      </w:pPr>
      <w:r>
        <w:t xml:space="preserve">The electronic data system which houses the CIREN data is operated by a contractor. The annual costs for operations and maintenance services </w:t>
      </w:r>
      <w:r>
        <w:t>is</w:t>
      </w:r>
      <w:r>
        <w:t xml:space="preserve"> approximately $</w:t>
      </w:r>
      <w:r w:rsidR="00F72842">
        <w:t>750</w:t>
      </w:r>
      <w:r>
        <w:t>,000.</w:t>
      </w:r>
    </w:p>
    <w:p w:rsidR="00D81C39" w:rsidRPr="00C01BDD" w:rsidP="00F2317A" w14:paraId="3A7A49B7" w14:textId="338B47EE">
      <w:pPr>
        <w:pStyle w:val="ListParagraph"/>
        <w:numPr>
          <w:ilvl w:val="0"/>
          <w:numId w:val="19"/>
        </w:numPr>
        <w:tabs>
          <w:tab w:val="left" w:pos="-720"/>
          <w:tab w:val="left" w:pos="540"/>
          <w:tab w:val="left" w:pos="2880"/>
        </w:tabs>
        <w:ind w:left="1080"/>
        <w:rPr>
          <w:rFonts w:ascii="Arial" w:hAnsi="Arial" w:cs="Arial"/>
        </w:rPr>
      </w:pPr>
      <w:r w:rsidRPr="00F2317A">
        <w:rPr>
          <w:rFonts w:cs="Times New Roman"/>
        </w:rPr>
        <w:t>The administrative cost of $</w:t>
      </w:r>
      <w:r w:rsidR="00165E9F">
        <w:rPr>
          <w:rFonts w:cs="Times New Roman"/>
        </w:rPr>
        <w:t>501,788</w:t>
      </w:r>
      <w:r w:rsidRPr="00F2317A">
        <w:rPr>
          <w:rFonts w:cs="Times New Roman"/>
        </w:rPr>
        <w:t xml:space="preserve"> to operate these contracts consists of </w:t>
      </w:r>
      <w:r w:rsidR="00CC22B5">
        <w:rPr>
          <w:rFonts w:cs="Times New Roman"/>
        </w:rPr>
        <w:t>three</w:t>
      </w:r>
      <w:r w:rsidRPr="00F2317A" w:rsidR="00306DAE">
        <w:rPr>
          <w:rFonts w:cs="Times New Roman"/>
        </w:rPr>
        <w:t xml:space="preserve"> </w:t>
      </w:r>
      <w:r w:rsidR="00306DAE">
        <w:rPr>
          <w:rFonts w:cs="Times New Roman"/>
        </w:rPr>
        <w:t>full-time F</w:t>
      </w:r>
      <w:r w:rsidRPr="00F2317A">
        <w:rPr>
          <w:rFonts w:cs="Times New Roman"/>
        </w:rPr>
        <w:t>ederal staff.  The following conditions were used to estimate the cost:</w:t>
      </w:r>
    </w:p>
    <w:p w:rsidR="00C01BDD" w:rsidRPr="00110794" w:rsidP="00C01BDD" w14:paraId="5FB4FFBB" w14:textId="5118026E">
      <w:pPr>
        <w:pStyle w:val="ListParagraph"/>
        <w:numPr>
          <w:ilvl w:val="0"/>
          <w:numId w:val="21"/>
        </w:numPr>
        <w:tabs>
          <w:tab w:val="left" w:pos="-720"/>
          <w:tab w:val="left" w:pos="540"/>
          <w:tab w:val="left" w:pos="2880"/>
        </w:tabs>
        <w:rPr>
          <w:rFonts w:ascii="Arial" w:hAnsi="Arial" w:cs="Arial"/>
        </w:rPr>
      </w:pPr>
      <w:r>
        <w:rPr>
          <w:rFonts w:cs="Times New Roman"/>
        </w:rPr>
        <w:t>Federal headquarters s</w:t>
      </w:r>
      <w:r w:rsidRPr="00C01BDD">
        <w:rPr>
          <w:rFonts w:cs="Times New Roman"/>
        </w:rPr>
        <w:t>taff includes one GS-</w:t>
      </w:r>
      <w:r w:rsidRPr="00C01BDD" w:rsidR="00CC22B5">
        <w:rPr>
          <w:rFonts w:cs="Times New Roman"/>
        </w:rPr>
        <w:t>1</w:t>
      </w:r>
      <w:r w:rsidR="00CC22B5">
        <w:rPr>
          <w:rFonts w:cs="Times New Roman"/>
        </w:rPr>
        <w:t>5</w:t>
      </w:r>
      <w:r>
        <w:rPr>
          <w:rStyle w:val="FootnoteReference"/>
          <w:rFonts w:cs="Times New Roman"/>
        </w:rPr>
        <w:footnoteReference w:id="14"/>
      </w:r>
      <w:r w:rsidRPr="00C01BDD">
        <w:rPr>
          <w:rFonts w:cs="Times New Roman"/>
        </w:rPr>
        <w:t>;</w:t>
      </w:r>
      <w:r>
        <w:rPr>
          <w:rFonts w:cs="Times New Roman"/>
        </w:rPr>
        <w:t xml:space="preserve"> </w:t>
      </w:r>
      <w:r>
        <w:rPr>
          <w:rFonts w:cs="Times New Roman"/>
        </w:rPr>
        <w:t>$</w:t>
      </w:r>
      <w:r w:rsidR="00165E9F">
        <w:rPr>
          <w:rFonts w:cs="Times New Roman"/>
        </w:rPr>
        <w:t>185,824</w:t>
      </w:r>
    </w:p>
    <w:p w:rsidR="00306DAE" w:rsidRPr="00C01BDD" w:rsidP="00C01BDD" w14:paraId="6D6D4A59" w14:textId="0BAD2714">
      <w:pPr>
        <w:pStyle w:val="ListParagraph"/>
        <w:numPr>
          <w:ilvl w:val="0"/>
          <w:numId w:val="21"/>
        </w:numPr>
        <w:tabs>
          <w:tab w:val="left" w:pos="-720"/>
          <w:tab w:val="left" w:pos="540"/>
          <w:tab w:val="left" w:pos="2880"/>
        </w:tabs>
        <w:rPr>
          <w:rFonts w:ascii="Arial" w:hAnsi="Arial" w:cs="Arial"/>
        </w:rPr>
      </w:pPr>
      <w:r>
        <w:rPr>
          <w:rFonts w:cs="Times New Roman"/>
        </w:rPr>
        <w:t>Federal headquarters staff includes two GS-14</w:t>
      </w:r>
      <w:r>
        <w:rPr>
          <w:rFonts w:cs="Times New Roman"/>
        </w:rPr>
        <w:t xml:space="preserve">; </w:t>
      </w:r>
      <w:r>
        <w:rPr>
          <w:rFonts w:cs="Times New Roman"/>
        </w:rPr>
        <w:t>$</w:t>
      </w:r>
      <w:r w:rsidR="00165E9F">
        <w:rPr>
          <w:rFonts w:cs="Times New Roman"/>
        </w:rPr>
        <w:t>315,964</w:t>
      </w:r>
    </w:p>
    <w:p w:rsidR="00C01BDD" w:rsidRPr="00BC3D11" w:rsidP="00C01BDD" w14:paraId="5B14493F" w14:textId="400B2988">
      <w:pPr>
        <w:pStyle w:val="ListParagraph"/>
        <w:numPr>
          <w:ilvl w:val="0"/>
          <w:numId w:val="21"/>
        </w:numPr>
        <w:tabs>
          <w:tab w:val="left" w:pos="-720"/>
          <w:tab w:val="left" w:pos="540"/>
          <w:tab w:val="left" w:pos="2880"/>
        </w:tabs>
        <w:rPr>
          <w:rFonts w:ascii="Arial" w:hAnsi="Arial" w:cs="Arial"/>
        </w:rPr>
      </w:pPr>
      <w:r>
        <w:rPr>
          <w:rFonts w:cs="Times New Roman"/>
        </w:rPr>
        <w:t>Salary was based on Step 5 of each GS scale</w:t>
      </w:r>
      <w:r w:rsidR="00306DAE">
        <w:rPr>
          <w:rFonts w:cs="Times New Roman"/>
        </w:rPr>
        <w:t xml:space="preserve"> for </w:t>
      </w:r>
      <w:r w:rsidR="00165E9F">
        <w:rPr>
          <w:rFonts w:cs="Times New Roman"/>
        </w:rPr>
        <w:t>2024</w:t>
      </w:r>
      <w:r>
        <w:rPr>
          <w:rFonts w:cs="Times New Roman"/>
        </w:rPr>
        <w:t>, using the Washington, DC Locality Schedule</w:t>
      </w:r>
    </w:p>
    <w:p w:rsidR="00C01BDD" w:rsidRPr="00C01BDD" w:rsidP="00C01BDD" w14:paraId="26748D68" w14:textId="77777777">
      <w:pPr>
        <w:pStyle w:val="ListParagraph"/>
        <w:tabs>
          <w:tab w:val="left" w:pos="-720"/>
          <w:tab w:val="left" w:pos="540"/>
          <w:tab w:val="left" w:pos="2880"/>
        </w:tabs>
        <w:ind w:left="2040"/>
        <w:rPr>
          <w:rFonts w:ascii="Arial" w:hAnsi="Arial" w:cs="Arial"/>
        </w:rPr>
      </w:pPr>
    </w:p>
    <w:p w:rsidR="0005472E" w:rsidRPr="00F2317A" w:rsidP="00F2317A" w14:paraId="2B532246" w14:textId="77777777">
      <w:pPr>
        <w:pStyle w:val="ListParagraph"/>
        <w:numPr>
          <w:ilvl w:val="0"/>
          <w:numId w:val="18"/>
        </w:numPr>
        <w:autoSpaceDE w:val="0"/>
        <w:autoSpaceDN w:val="0"/>
        <w:adjustRightInd w:val="0"/>
        <w:spacing w:after="0" w:line="240" w:lineRule="auto"/>
        <w:rPr>
          <w:rFonts w:cs="Times New Roman"/>
          <w:b/>
          <w:szCs w:val="24"/>
        </w:rPr>
      </w:pPr>
      <w:bookmarkStart w:id="27" w:name="_Hlk63087643"/>
      <w:bookmarkStart w:id="28" w:name="_Hlk51332149"/>
      <w:r w:rsidRPr="00F2317A">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F2317A" w:rsidR="00F7768F">
        <w:rPr>
          <w:rFonts w:cs="Times New Roman"/>
          <w:b/>
          <w:szCs w:val="24"/>
        </w:rPr>
        <w:t xml:space="preserve">. </w:t>
      </w:r>
      <w:bookmarkEnd w:id="27"/>
      <w:r w:rsidRPr="00F2317A">
        <w:rPr>
          <w:rFonts w:cs="Times New Roman"/>
          <w:b/>
          <w:szCs w:val="24"/>
        </w:rPr>
        <w:t xml:space="preserve"> </w:t>
      </w:r>
      <w:bookmarkEnd w:id="28"/>
    </w:p>
    <w:p w:rsidR="0005472E" w:rsidP="0005472E" w14:paraId="2F56A68E" w14:textId="77777777">
      <w:pPr>
        <w:autoSpaceDE w:val="0"/>
        <w:autoSpaceDN w:val="0"/>
        <w:adjustRightInd w:val="0"/>
        <w:spacing w:after="0" w:line="240" w:lineRule="auto"/>
        <w:ind w:left="720"/>
        <w:contextualSpacing/>
        <w:rPr>
          <w:rFonts w:cs="Times New Roman"/>
          <w:b/>
          <w:szCs w:val="24"/>
        </w:rPr>
      </w:pPr>
    </w:p>
    <w:p w:rsidR="0005472E" w:rsidRPr="0005472E" w:rsidP="00871FB1" w14:paraId="6B935E43" w14:textId="77777777">
      <w:pPr>
        <w:autoSpaceDE w:val="0"/>
        <w:autoSpaceDN w:val="0"/>
        <w:adjustRightInd w:val="0"/>
        <w:spacing w:after="0" w:line="240" w:lineRule="auto"/>
        <w:ind w:left="1080"/>
        <w:rPr>
          <w:rFonts w:cs="Times New Roman"/>
        </w:rPr>
      </w:pPr>
    </w:p>
    <w:p w:rsidR="0005472E" w:rsidRPr="0005472E" w:rsidP="00871FB1" w14:paraId="0F9411E6" w14:textId="4F0E5AF3">
      <w:pPr>
        <w:tabs>
          <w:tab w:val="left" w:pos="-720"/>
          <w:tab w:val="left" w:pos="540"/>
          <w:tab w:val="left" w:pos="2880"/>
        </w:tabs>
        <w:rPr>
          <w:rFonts w:cs="Times New Roman"/>
          <w:b/>
          <w:szCs w:val="24"/>
        </w:rPr>
      </w:pPr>
      <w:r>
        <w:rPr>
          <w:rFonts w:cs="Times New Roman"/>
        </w:rPr>
        <w:t xml:space="preserve">This is a new information collection that </w:t>
      </w:r>
      <w:r w:rsidR="001225C1">
        <w:rPr>
          <w:rFonts w:cs="Times New Roman"/>
        </w:rPr>
        <w:t>increases total burden by</w:t>
      </w:r>
      <w:r w:rsidR="00165E9F">
        <w:rPr>
          <w:rFonts w:cs="Times New Roman"/>
        </w:rPr>
        <w:t xml:space="preserve">1,059 </w:t>
      </w:r>
      <w:r>
        <w:rPr>
          <w:rFonts w:cs="Times New Roman"/>
        </w:rPr>
        <w:t xml:space="preserve">hours and $0 of burden. </w:t>
      </w:r>
    </w:p>
    <w:p w:rsidR="00DF3DC9" w:rsidRPr="00DF3DC9" w:rsidP="00DF3DC9" w14:paraId="3E7F6B36" w14:textId="77777777">
      <w:pPr>
        <w:autoSpaceDE w:val="0"/>
        <w:autoSpaceDN w:val="0"/>
        <w:adjustRightInd w:val="0"/>
        <w:spacing w:after="0" w:line="240" w:lineRule="auto"/>
        <w:ind w:left="720"/>
        <w:contextualSpacing/>
        <w:rPr>
          <w:rFonts w:cs="Times New Roman"/>
          <w:szCs w:val="24"/>
        </w:rPr>
      </w:pPr>
      <w:r w:rsidRPr="0005472E">
        <w:rPr>
          <w:rFonts w:cs="Times New Roman"/>
          <w:szCs w:val="24"/>
        </w:rPr>
        <w:t xml:space="preserve"> </w:t>
      </w:r>
    </w:p>
    <w:p w:rsidR="0005472E" w:rsidRPr="00F2317A" w:rsidP="00F2317A" w14:paraId="3940DB79" w14:textId="77777777">
      <w:pPr>
        <w:pStyle w:val="ListParagraph"/>
        <w:numPr>
          <w:ilvl w:val="0"/>
          <w:numId w:val="18"/>
        </w:numPr>
        <w:autoSpaceDE w:val="0"/>
        <w:autoSpaceDN w:val="0"/>
        <w:adjustRightInd w:val="0"/>
        <w:spacing w:after="0" w:line="240" w:lineRule="auto"/>
        <w:rPr>
          <w:rFonts w:cs="Times New Roman"/>
          <w:b/>
          <w:szCs w:val="24"/>
        </w:rPr>
      </w:pPr>
      <w:bookmarkStart w:id="29" w:name="_Hlk51332176"/>
      <w:r w:rsidRPr="00F2317A">
        <w:rPr>
          <w:rFonts w:cs="Times New Roman"/>
          <w:b/>
          <w:szCs w:val="24"/>
        </w:rPr>
        <w:t xml:space="preserve">For </w:t>
      </w:r>
      <w:bookmarkStart w:id="30" w:name="_Hlk63087690"/>
      <w:r w:rsidRPr="00F2317A">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29"/>
      <w:bookmarkEnd w:id="30"/>
    </w:p>
    <w:p w:rsidR="0005472E" w:rsidP="0005472E" w14:paraId="0830772B" w14:textId="77777777">
      <w:pPr>
        <w:autoSpaceDE w:val="0"/>
        <w:autoSpaceDN w:val="0"/>
        <w:adjustRightInd w:val="0"/>
        <w:spacing w:after="0" w:line="240" w:lineRule="auto"/>
        <w:ind w:left="720"/>
        <w:contextualSpacing/>
        <w:rPr>
          <w:rFonts w:cs="Times New Roman"/>
          <w:b/>
          <w:szCs w:val="24"/>
        </w:rPr>
      </w:pPr>
    </w:p>
    <w:p w:rsidR="0005472E" w:rsidRPr="0005472E" w:rsidP="00871FB1" w14:paraId="465867AA" w14:textId="23FB12D9">
      <w:pPr>
        <w:autoSpaceDE w:val="0"/>
        <w:autoSpaceDN w:val="0"/>
        <w:adjustRightInd w:val="0"/>
        <w:spacing w:after="0"/>
        <w:contextualSpacing/>
        <w:rPr>
          <w:rFonts w:cs="Times New Roman"/>
          <w:b/>
          <w:szCs w:val="24"/>
        </w:rPr>
      </w:pPr>
      <w:r>
        <w:rPr>
          <w:rFonts w:cs="Times New Roman"/>
        </w:rPr>
        <w:t>NHTSA publish</w:t>
      </w:r>
      <w:r w:rsidR="00D65433">
        <w:rPr>
          <w:rFonts w:cs="Times New Roman"/>
        </w:rPr>
        <w:t>es</w:t>
      </w:r>
      <w:r>
        <w:rPr>
          <w:rFonts w:cs="Times New Roman"/>
        </w:rPr>
        <w:t xml:space="preserve"> </w:t>
      </w:r>
      <w:r w:rsidR="00871FB1">
        <w:rPr>
          <w:rFonts w:cs="Times New Roman"/>
        </w:rPr>
        <w:t>data collected in the CIREN program</w:t>
      </w:r>
      <w:r>
        <w:rPr>
          <w:rFonts w:cs="Times New Roman"/>
        </w:rPr>
        <w:t xml:space="preserve">. </w:t>
      </w:r>
      <w:r w:rsidR="00871FB1">
        <w:rPr>
          <w:rFonts w:cs="Times New Roman"/>
        </w:rPr>
        <w:t xml:space="preserve">Following quality control review and NHTSA approval, case data will be published to an Internet case viewer. Additionally, tabulated data sets </w:t>
      </w:r>
      <w:r w:rsidR="00D65433">
        <w:rPr>
          <w:rFonts w:cs="Times New Roman"/>
        </w:rPr>
        <w:t>are</w:t>
      </w:r>
      <w:r w:rsidRPr="0005472E">
        <w:rPr>
          <w:rFonts w:cs="Times New Roman"/>
        </w:rPr>
        <w:t xml:space="preserve"> made available to the public</w:t>
      </w:r>
      <w:r w:rsidRPr="00D15FBB" w:rsidR="00D15FBB">
        <w:t xml:space="preserve"> </w:t>
      </w:r>
      <w:r w:rsidR="00D15FBB">
        <w:t>i</w:t>
      </w:r>
      <w:r w:rsidRPr="00D15FBB" w:rsidR="00D15FBB">
        <w:rPr>
          <w:rFonts w:cs="Times New Roman"/>
        </w:rPr>
        <w:t>n two formats (SAS and CSV)</w:t>
      </w:r>
      <w:r w:rsidRPr="0005472E">
        <w:rPr>
          <w:rFonts w:cs="Times New Roman"/>
        </w:rPr>
        <w:t>.</w:t>
      </w:r>
      <w:r w:rsidR="00871FB1">
        <w:rPr>
          <w:rFonts w:cs="Times New Roman"/>
        </w:rPr>
        <w:t xml:space="preserve"> Published cases are added to the Internet case viewer as they achieve approved status by NHTSA. NHTSA plans to </w:t>
      </w:r>
      <w:r w:rsidR="00871FB1">
        <w:rPr>
          <w:rFonts w:cs="Times New Roman"/>
        </w:rPr>
        <w:t xml:space="preserve">generate new tabular data sets on an annual basis. No </w:t>
      </w:r>
      <w:r w:rsidR="00405F61">
        <w:rPr>
          <w:rFonts w:cs="Times New Roman"/>
        </w:rPr>
        <w:t xml:space="preserve">complex </w:t>
      </w:r>
      <w:r w:rsidR="00871FB1">
        <w:rPr>
          <w:rFonts w:cs="Times New Roman"/>
        </w:rPr>
        <w:t xml:space="preserve">analytical techniques are applied prior to </w:t>
      </w:r>
      <w:r w:rsidR="00405F61">
        <w:rPr>
          <w:rFonts w:cs="Times New Roman"/>
        </w:rPr>
        <w:t>release of the data</w:t>
      </w:r>
      <w:r w:rsidR="000927FA">
        <w:rPr>
          <w:rFonts w:cs="Times New Roman"/>
        </w:rPr>
        <w:t xml:space="preserve">. </w:t>
      </w:r>
    </w:p>
    <w:p w:rsidR="0005472E" w:rsidRPr="0005472E" w:rsidP="00F84E5F" w14:paraId="488DC3B1" w14:textId="77777777">
      <w:pPr>
        <w:autoSpaceDE w:val="0"/>
        <w:autoSpaceDN w:val="0"/>
        <w:adjustRightInd w:val="0"/>
        <w:spacing w:after="0"/>
        <w:ind w:left="720"/>
        <w:contextualSpacing/>
        <w:rPr>
          <w:rFonts w:cs="Times New Roman"/>
          <w:b/>
          <w:szCs w:val="24"/>
        </w:rPr>
      </w:pPr>
    </w:p>
    <w:p w:rsidR="0005472E" w:rsidRPr="00F2317A" w:rsidP="000927FA" w14:paraId="28A8EECC" w14:textId="77777777">
      <w:pPr>
        <w:pStyle w:val="ListParagraph"/>
        <w:numPr>
          <w:ilvl w:val="0"/>
          <w:numId w:val="18"/>
        </w:numPr>
        <w:autoSpaceDE w:val="0"/>
        <w:autoSpaceDN w:val="0"/>
        <w:adjustRightInd w:val="0"/>
        <w:spacing w:after="0" w:line="240" w:lineRule="auto"/>
        <w:rPr>
          <w:rFonts w:cs="Times New Roman"/>
          <w:b/>
          <w:szCs w:val="24"/>
        </w:rPr>
      </w:pPr>
      <w:bookmarkStart w:id="31" w:name="_Hlk51332202"/>
      <w:r w:rsidRPr="00F2317A">
        <w:rPr>
          <w:rFonts w:cs="Times New Roman"/>
          <w:b/>
          <w:szCs w:val="24"/>
        </w:rPr>
        <w:t>If seeking approval to not display the expiration date for OMB approval of the information collection, explain the reasons that display would be inappropriate.</w:t>
      </w:r>
      <w:bookmarkEnd w:id="31"/>
    </w:p>
    <w:p w:rsidR="0005472E" w:rsidP="0005472E" w14:paraId="73DDCA31" w14:textId="77777777">
      <w:pPr>
        <w:autoSpaceDE w:val="0"/>
        <w:autoSpaceDN w:val="0"/>
        <w:adjustRightInd w:val="0"/>
        <w:spacing w:after="0" w:line="240" w:lineRule="auto"/>
        <w:ind w:left="720"/>
        <w:contextualSpacing/>
        <w:rPr>
          <w:rFonts w:cs="Times New Roman"/>
          <w:b/>
          <w:szCs w:val="24"/>
        </w:rPr>
      </w:pPr>
    </w:p>
    <w:p w:rsidR="0005472E" w:rsidRPr="0005472E" w:rsidP="000927FA" w14:paraId="1EA2C1F3" w14:textId="77777777">
      <w:pPr>
        <w:autoSpaceDE w:val="0"/>
        <w:autoSpaceDN w:val="0"/>
        <w:adjustRightInd w:val="0"/>
        <w:spacing w:after="0" w:line="240" w:lineRule="auto"/>
        <w:contextualSpacing/>
        <w:rPr>
          <w:rFonts w:cs="Times New Roman"/>
          <w:b/>
          <w:szCs w:val="24"/>
        </w:rPr>
      </w:pPr>
      <w:r w:rsidRPr="0005472E">
        <w:rPr>
          <w:rFonts w:cs="Times New Roman"/>
        </w:rPr>
        <w:t>NHTSA will display the expiration date for OMB approval.</w:t>
      </w:r>
    </w:p>
    <w:p w:rsidR="00DF3DC9" w:rsidRPr="00DF3DC9" w:rsidP="00DF3DC9" w14:paraId="64F73C66" w14:textId="77777777">
      <w:pPr>
        <w:autoSpaceDE w:val="0"/>
        <w:autoSpaceDN w:val="0"/>
        <w:adjustRightInd w:val="0"/>
        <w:spacing w:after="0" w:line="240" w:lineRule="auto"/>
        <w:ind w:firstLine="720"/>
        <w:rPr>
          <w:rFonts w:cs="Times New Roman"/>
          <w:szCs w:val="24"/>
          <w:highlight w:val="yellow"/>
        </w:rPr>
      </w:pPr>
    </w:p>
    <w:p w:rsidR="0005472E" w:rsidRPr="00F2317A" w:rsidP="00F2317A" w14:paraId="7BD50CF0" w14:textId="39820915">
      <w:pPr>
        <w:pStyle w:val="ListParagraph"/>
        <w:numPr>
          <w:ilvl w:val="0"/>
          <w:numId w:val="18"/>
        </w:numPr>
        <w:rPr>
          <w:rFonts w:cs="Times New Roman"/>
          <w:b/>
          <w:szCs w:val="24"/>
        </w:rPr>
      </w:pPr>
      <w:bookmarkStart w:id="32" w:name="_Hlk63087720"/>
      <w:bookmarkStart w:id="33" w:name="_Hlk51332218"/>
      <w:r w:rsidRPr="00F2317A">
        <w:rPr>
          <w:rFonts w:cs="Times New Roman"/>
          <w:b/>
          <w:szCs w:val="24"/>
        </w:rPr>
        <w:t>Explain each exception to the topics of the certification statement identified in "Certification for Paperwork Reduction Act Submissions." The required certifications can be found at 5 CFR 1320.9.</w:t>
      </w:r>
      <w:bookmarkStart w:id="34" w:name="_Hlk45889134"/>
      <w:r>
        <w:rPr>
          <w:rStyle w:val="FootnoteReference"/>
          <w:rFonts w:cs="Times New Roman"/>
          <w:b/>
          <w:szCs w:val="24"/>
        </w:rPr>
        <w:footnoteReference w:id="15"/>
      </w:r>
      <w:bookmarkEnd w:id="32"/>
      <w:r w:rsidRPr="00F2317A">
        <w:rPr>
          <w:rFonts w:cs="Times New Roman"/>
          <w:b/>
          <w:szCs w:val="24"/>
        </w:rPr>
        <w:t xml:space="preserve"> </w:t>
      </w:r>
      <w:bookmarkEnd w:id="34"/>
    </w:p>
    <w:p w:rsidR="0005472E" w:rsidRPr="0005472E" w:rsidP="0005472E" w14:paraId="375E4501" w14:textId="77777777">
      <w:pPr>
        <w:ind w:left="720"/>
        <w:contextualSpacing/>
        <w:rPr>
          <w:rFonts w:cs="Times New Roman"/>
          <w:b/>
          <w:szCs w:val="24"/>
        </w:rPr>
      </w:pPr>
    </w:p>
    <w:p w:rsidR="0005472E" w:rsidP="000927FA" w14:paraId="368A0DE8" w14:textId="788E7308">
      <w:pPr>
        <w:contextualSpacing/>
        <w:rPr>
          <w:rFonts w:cs="Times New Roman"/>
        </w:rPr>
      </w:pPr>
      <w:r w:rsidRPr="0005472E">
        <w:rPr>
          <w:rFonts w:cs="Times New Roman"/>
        </w:rPr>
        <w:t>No exceptions</w:t>
      </w:r>
      <w:r w:rsidR="006663C2">
        <w:rPr>
          <w:rFonts w:cs="Times New Roman"/>
        </w:rPr>
        <w:t xml:space="preserve"> to the certification statement are</w:t>
      </w:r>
      <w:r w:rsidRPr="0005472E">
        <w:rPr>
          <w:rFonts w:cs="Times New Roman"/>
        </w:rPr>
        <w:t xml:space="preserve"> requested.</w:t>
      </w:r>
    </w:p>
    <w:p w:rsidR="00906EFB" w:rsidP="0005472E" w14:paraId="7E406328" w14:textId="670C7AFA">
      <w:pPr>
        <w:ind w:left="720"/>
        <w:contextualSpacing/>
        <w:rPr>
          <w:rFonts w:cs="Times New Roman"/>
        </w:rPr>
      </w:pPr>
    </w:p>
    <w:p w:rsidR="006663C2" w:rsidP="006663C2" w14:paraId="2C0EE489" w14:textId="77777777">
      <w:pPr>
        <w:contextualSpacing/>
        <w:rPr>
          <w:rFonts w:cs="Times New Roman"/>
        </w:rPr>
      </w:pPr>
    </w:p>
    <w:p w:rsidR="00906EFB" w:rsidRPr="000927FA" w:rsidP="000927FA" w14:paraId="64D6AE33" w14:textId="0BE0043A">
      <w:pPr>
        <w:contextualSpacing/>
        <w:rPr>
          <w:rFonts w:cs="Times New Roman"/>
          <w:b/>
          <w:bCs/>
        </w:rPr>
      </w:pPr>
      <w:r w:rsidRPr="000927FA">
        <w:rPr>
          <w:rFonts w:cs="Times New Roman"/>
          <w:b/>
          <w:bCs/>
        </w:rPr>
        <w:t>Attachments:</w:t>
      </w:r>
    </w:p>
    <w:p w:rsidR="00906EFB" w:rsidP="0005472E" w14:paraId="464E416F" w14:textId="0B3C23F6">
      <w:pPr>
        <w:ind w:left="720"/>
        <w:contextualSpacing/>
        <w:rPr>
          <w:rFonts w:cs="Times New Roman"/>
        </w:rPr>
      </w:pPr>
    </w:p>
    <w:p w:rsidR="00906EFB" w:rsidP="0005472E" w14:paraId="230D2B4D" w14:textId="62379E9F">
      <w:pPr>
        <w:ind w:left="720"/>
        <w:contextualSpacing/>
        <w:rPr>
          <w:rFonts w:cs="Times New Roman"/>
        </w:rPr>
      </w:pPr>
    </w:p>
    <w:bookmarkEnd w:id="33"/>
    <w:p w:rsidR="0005472E" w:rsidRPr="000650F6" w:rsidP="0005472E" w14:paraId="69444F40" w14:textId="77777777">
      <w:pPr>
        <w:ind w:left="720"/>
        <w:contextualSpacing/>
        <w:rPr>
          <w:rFonts w:cs="Times New Roman"/>
          <w:b/>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D4D8F" w:rsidP="00F27C2C" w14:paraId="1F804155" w14:textId="77777777">
      <w:pPr>
        <w:spacing w:after="0" w:line="240" w:lineRule="auto"/>
      </w:pPr>
      <w:r>
        <w:separator/>
      </w:r>
    </w:p>
  </w:footnote>
  <w:footnote w:type="continuationSeparator" w:id="1">
    <w:p w:rsidR="00AD4D8F" w:rsidP="00F27C2C" w14:paraId="25C1E10F" w14:textId="77777777">
      <w:pPr>
        <w:spacing w:after="0" w:line="240" w:lineRule="auto"/>
      </w:pPr>
      <w:r>
        <w:continuationSeparator/>
      </w:r>
    </w:p>
  </w:footnote>
  <w:footnote w:type="continuationNotice" w:id="2">
    <w:p w:rsidR="00AD4D8F" w14:paraId="51874A3F" w14:textId="77777777">
      <w:pPr>
        <w:spacing w:after="0" w:line="240" w:lineRule="auto"/>
      </w:pPr>
    </w:p>
  </w:footnote>
  <w:footnote w:id="3">
    <w:p w:rsidR="004E0F91" w:rsidRPr="0039208F" w:rsidP="00F27C2C" w14:paraId="0D5A7E7A" w14:textId="5874DDF1">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4">
    <w:p w:rsidR="009572DC" w14:paraId="79E7721E" w14:textId="02654E6C">
      <w:pPr>
        <w:pStyle w:val="FootnoteText"/>
      </w:pPr>
      <w:r>
        <w:rPr>
          <w:rStyle w:val="FootnoteReference"/>
        </w:rPr>
        <w:footnoteRef/>
      </w:r>
      <w:r>
        <w:t xml:space="preserve"> </w:t>
      </w:r>
      <w:r>
        <w:t xml:space="preserve">Rupp </w:t>
      </w:r>
      <w:r w:rsidR="00B0053E">
        <w:t>,</w:t>
      </w:r>
      <w:r w:rsidR="00B0053E">
        <w:t xml:space="preserve"> J.D., et al. </w:t>
      </w:r>
      <w:r>
        <w:t>(2002)</w:t>
      </w:r>
      <w:r w:rsidR="00B0053E">
        <w:t xml:space="preserve"> “The Tolerance of the Human Hip to Dynamic Knee Loading.” Stapp Car Crash Conference, paper no. 2002-22-0011.</w:t>
      </w:r>
    </w:p>
  </w:footnote>
  <w:footnote w:id="5">
    <w:p w:rsidR="009572DC" w14:paraId="129A24C1" w14:textId="51D84446">
      <w:pPr>
        <w:pStyle w:val="FootnoteText"/>
      </w:pPr>
      <w:r>
        <w:rPr>
          <w:rStyle w:val="FootnoteReference"/>
        </w:rPr>
        <w:footnoteRef/>
      </w:r>
      <w:r>
        <w:t xml:space="preserve"> Schneider</w:t>
      </w:r>
      <w:r w:rsidR="00983C94">
        <w:t>, L.W., et al. (2011) “BioTab – A New Method for Analyzing and Documenting Injury Causation in Motor-Vehicle Crashes.” Traffic Injury Prevention, 12(3), 256-265.</w:t>
      </w:r>
    </w:p>
  </w:footnote>
  <w:footnote w:id="6">
    <w:p w:rsidR="009572DC" w14:paraId="4848923D" w14:textId="659DEC0D">
      <w:pPr>
        <w:pStyle w:val="FootnoteText"/>
      </w:pPr>
      <w:r>
        <w:rPr>
          <w:rStyle w:val="FootnoteReference"/>
        </w:rPr>
        <w:footnoteRef/>
      </w:r>
      <w:r>
        <w:t xml:space="preserve"> Rudd</w:t>
      </w:r>
      <w:r w:rsidR="005D0AD8">
        <w:t>, R.W.</w:t>
      </w:r>
      <w:r>
        <w:t xml:space="preserve"> (2020)</w:t>
      </w:r>
      <w:r w:rsidR="005D0AD8">
        <w:t xml:space="preserve"> “CIREN Pedestrian Pilot Study Preliminary Cases.” SAE Government Industry Meeting</w:t>
      </w:r>
      <w:r>
        <w:t xml:space="preserve"> </w:t>
      </w:r>
      <w:hyperlink r:id="rId1" w:history="1">
        <w:r w:rsidRPr="006C0EF5">
          <w:rPr>
            <w:rStyle w:val="Hyperlink"/>
            <w:rFonts w:cs="Times New Roman"/>
          </w:rPr>
          <w:t>https://www.nhtsa.gov/node/100386</w:t>
        </w:r>
      </w:hyperlink>
      <w:r>
        <w:rPr>
          <w:rFonts w:cs="Times New Roman"/>
        </w:rPr>
        <w:t xml:space="preserve"> </w:t>
      </w:r>
    </w:p>
  </w:footnote>
  <w:footnote w:id="7">
    <w:p w:rsidR="00F81D22" w14:paraId="5FE80B27" w14:textId="2C9FD968">
      <w:pPr>
        <w:pStyle w:val="FootnoteText"/>
      </w:pPr>
      <w:r>
        <w:rPr>
          <w:rStyle w:val="FootnoteReference"/>
        </w:rPr>
        <w:footnoteRef/>
      </w:r>
      <w:r>
        <w:t xml:space="preserve"> The comments are available at </w:t>
      </w:r>
      <w:r w:rsidRPr="00980C4A">
        <w:t>https://www.regulations.gov/comment/NHTSA-2023-0065-0002</w:t>
      </w:r>
      <w:r>
        <w:t xml:space="preserve"> and </w:t>
      </w:r>
      <w:hyperlink r:id="rId2" w:history="1">
        <w:r w:rsidRPr="00494A9F">
          <w:rPr>
            <w:rStyle w:val="Hyperlink"/>
          </w:rPr>
          <w:t>https://www.regulations.gov/comment/NHTSA-2023-0065-0003</w:t>
        </w:r>
      </w:hyperlink>
      <w:r>
        <w:t>.</w:t>
      </w:r>
    </w:p>
  </w:footnote>
  <w:footnote w:id="8">
    <w:p w:rsidR="004E0F91" w:rsidP="001352D8" w14:paraId="3DD506C3" w14:textId="19556BAD">
      <w:pPr>
        <w:pStyle w:val="FootnoteText"/>
      </w:pPr>
      <w:r>
        <w:rPr>
          <w:rStyle w:val="FootnoteReference"/>
        </w:rPr>
        <w:footnoteRef/>
      </w:r>
      <w:r>
        <w:t xml:space="preserve"> </w:t>
      </w:r>
      <w:r w:rsidR="00C41F8B">
        <w:t>November 2023</w:t>
      </w:r>
      <w:r>
        <w:t xml:space="preserve">, </w:t>
      </w:r>
      <w:r w:rsidRPr="00B961DD">
        <w:t>Average hourly and weekly earnings of all employees on private nonfarm payrolls by industry sector, seasonally adjusted</w:t>
      </w:r>
      <w:r>
        <w:t xml:space="preserve">, </w:t>
      </w:r>
      <w:hyperlink r:id="rId3" w:history="1">
        <w:r w:rsidRPr="007329CD">
          <w:rPr>
            <w:rStyle w:val="Hyperlink"/>
          </w:rPr>
          <w:t>https://www.bls.gov/news.release/empsit.t19.htm</w:t>
        </w:r>
      </w:hyperlink>
      <w:r>
        <w:t xml:space="preserve"> </w:t>
      </w:r>
    </w:p>
  </w:footnote>
  <w:footnote w:id="9">
    <w:p w:rsidR="004E0F91" w:rsidP="001352D8" w14:paraId="307144CD" w14:textId="19A60D74">
      <w:pPr>
        <w:pStyle w:val="FootnoteText"/>
      </w:pPr>
      <w:r>
        <w:rPr>
          <w:rStyle w:val="FootnoteReference"/>
        </w:rPr>
        <w:footnoteRef/>
      </w:r>
      <w:r>
        <w:t xml:space="preserve">  May </w:t>
      </w:r>
      <w:r w:rsidR="002345CE">
        <w:t xml:space="preserve">2022 </w:t>
      </w:r>
      <w:r>
        <w:t xml:space="preserve">National Occupational Employment and Wage Estimates by ownership, Local government, including schools and hospitals, </w:t>
      </w:r>
      <w:hyperlink r:id="rId4" w:anchor="33-0000" w:history="1">
        <w:r w:rsidRPr="007329CD">
          <w:rPr>
            <w:rStyle w:val="Hyperlink"/>
          </w:rPr>
          <w:t>https://www.bls.gov/oes/current/999301.htm</w:t>
        </w:r>
      </w:hyperlink>
      <w:r>
        <w:t xml:space="preserve"> </w:t>
      </w:r>
    </w:p>
  </w:footnote>
  <w:footnote w:id="10">
    <w:p w:rsidR="004E0F91" w:rsidP="001352D8" w14:paraId="04693DC6" w14:textId="77777777">
      <w:pPr>
        <w:pStyle w:val="FootnoteText"/>
      </w:pPr>
      <w:r>
        <w:rPr>
          <w:rStyle w:val="FootnoteReference"/>
        </w:rPr>
        <w:footnoteRef/>
      </w:r>
      <w:r>
        <w:t xml:space="preserve"> Employer Costs for Employee Compensation by ownership [Dec. 2020], </w:t>
      </w:r>
      <w:r w:rsidRPr="00083D88">
        <w:t>https://www.bls.gov/news.release/ecec.t01.htm</w:t>
      </w:r>
    </w:p>
  </w:footnote>
  <w:footnote w:id="11">
    <w:p w:rsidR="00C41F8B" w:rsidP="00C41F8B" w14:paraId="7DC98886" w14:textId="77777777">
      <w:pPr>
        <w:pStyle w:val="FootnoteText"/>
      </w:pPr>
      <w:r>
        <w:rPr>
          <w:rStyle w:val="FootnoteReference"/>
        </w:rPr>
        <w:footnoteRef/>
      </w:r>
      <w:r>
        <w:t xml:space="preserve"> Employer Costs for Employee Compensation by ownership [Sep. 2023], </w:t>
      </w:r>
      <w:hyperlink r:id="rId5" w:history="1">
        <w:r w:rsidRPr="00B40361">
          <w:rPr>
            <w:rStyle w:val="Hyperlink"/>
          </w:rPr>
          <w:t>https://www.bls.gov/news.release/ecec.t01.htm</w:t>
        </w:r>
      </w:hyperlink>
    </w:p>
  </w:footnote>
  <w:footnote w:id="12">
    <w:p w:rsidR="00C41F8B" w:rsidP="00C41F8B" w14:paraId="37876F19" w14:textId="77777777">
      <w:pPr>
        <w:pStyle w:val="FootnoteText"/>
      </w:pPr>
      <w:r>
        <w:rPr>
          <w:rStyle w:val="FootnoteReference"/>
        </w:rPr>
        <w:footnoteRef/>
      </w:r>
      <w:r>
        <w:t xml:space="preserve"> May 2022 National Occupational Employment and Wage Estimates by ownership, Local government, including schools and hospitals, </w:t>
      </w:r>
      <w:hyperlink r:id="rId6" w:history="1">
        <w:r w:rsidRPr="005C209B">
          <w:rPr>
            <w:rStyle w:val="Hyperlink"/>
          </w:rPr>
          <w:t>https://www.bls.gov/oes/current/oes_nat.htm</w:t>
        </w:r>
      </w:hyperlink>
    </w:p>
  </w:footnote>
  <w:footnote w:id="13">
    <w:p w:rsidR="004E0F91" w:rsidP="001352D8" w14:paraId="6FBAAA26" w14:textId="77777777">
      <w:pPr>
        <w:pStyle w:val="FootnoteText"/>
      </w:pPr>
      <w:r>
        <w:rPr>
          <w:rStyle w:val="FootnoteReference"/>
        </w:rPr>
        <w:footnoteRef/>
      </w:r>
      <w:r>
        <w:t xml:space="preserve">  </w:t>
      </w:r>
      <w:r w:rsidRPr="006876CA">
        <w:t>https://www.bls.gov/oes/current/oes_nat.htm#53-0000</w:t>
      </w:r>
      <w:r>
        <w:t xml:space="preserve">  </w:t>
      </w:r>
    </w:p>
  </w:footnote>
  <w:footnote w:id="14">
    <w:p w:rsidR="000927FA" w14:paraId="0956A1EF" w14:textId="3D8D651E">
      <w:pPr>
        <w:pStyle w:val="FootnoteText"/>
      </w:pPr>
      <w:r>
        <w:rPr>
          <w:rStyle w:val="FootnoteReference"/>
        </w:rPr>
        <w:footnoteRef/>
      </w:r>
      <w:r>
        <w:t xml:space="preserve"> Office of Personnel Management, </w:t>
      </w:r>
      <w:hyperlink r:id="rId7" w:history="1">
        <w:r w:rsidRPr="00F57C0D">
          <w:rPr>
            <w:rStyle w:val="Hyperlink"/>
          </w:rPr>
          <w:t>https://www.opm.gov/policy-data-oversight/pay-leave/salaries-wages/salary-tables/pdf/2021/DCB.pdf</w:t>
        </w:r>
      </w:hyperlink>
    </w:p>
  </w:footnote>
  <w:footnote w:id="15">
    <w:p w:rsidR="004E0F91" w:rsidP="00174EC7" w14:paraId="48AD93C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4E0F91" w14:paraId="421303E0" w14:textId="460AB2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25010E"/>
    <w:multiLevelType w:val="hybridMultilevel"/>
    <w:tmpl w:val="4456F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962C7"/>
    <w:multiLevelType w:val="hybridMultilevel"/>
    <w:tmpl w:val="60DAEE1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A54E0"/>
    <w:multiLevelType w:val="hybridMultilevel"/>
    <w:tmpl w:val="8B887F76"/>
    <w:lvl w:ilvl="0">
      <w:start w:val="1"/>
      <w:numFmt w:val="decimal"/>
      <w:lvlText w:val="%1."/>
      <w:lvlJc w:val="left"/>
      <w:pPr>
        <w:ind w:left="720" w:hanging="360"/>
      </w:pPr>
      <w:rPr>
        <w:rFonts w:ascii="Times New Roman" w:hAnsi="Times New Roman" w:cs="Times New Roman"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932D8E"/>
    <w:multiLevelType w:val="hybridMultilevel"/>
    <w:tmpl w:val="A178F56E"/>
    <w:lvl w:ilvl="0">
      <w:start w:val="1"/>
      <w:numFmt w:val="lowerLetter"/>
      <w:lvlText w:val="%1)"/>
      <w:lvlJc w:val="left"/>
      <w:pPr>
        <w:ind w:left="180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2124963"/>
    <w:multiLevelType w:val="hybridMultilevel"/>
    <w:tmpl w:val="4ED260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6">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5B1B6A"/>
    <w:multiLevelType w:val="hybridMultilevel"/>
    <w:tmpl w:val="C74A016E"/>
    <w:lvl w:ilvl="0">
      <w:start w:val="1"/>
      <w:numFmt w:val="bullet"/>
      <w:lvlText w:val=""/>
      <w:lvlJc w:val="left"/>
      <w:pPr>
        <w:ind w:left="2760" w:hanging="360"/>
      </w:pPr>
      <w:rPr>
        <w:rFonts w:ascii="Symbol" w:hAnsi="Symbol" w:hint="default"/>
      </w:rPr>
    </w:lvl>
    <w:lvl w:ilvl="1" w:tentative="1">
      <w:start w:val="1"/>
      <w:numFmt w:val="bullet"/>
      <w:lvlText w:val="o"/>
      <w:lvlJc w:val="left"/>
      <w:pPr>
        <w:ind w:left="3480" w:hanging="360"/>
      </w:pPr>
      <w:rPr>
        <w:rFonts w:ascii="Courier New" w:hAnsi="Courier New" w:cs="Courier New" w:hint="default"/>
      </w:rPr>
    </w:lvl>
    <w:lvl w:ilvl="2" w:tentative="1">
      <w:start w:val="1"/>
      <w:numFmt w:val="bullet"/>
      <w:lvlText w:val=""/>
      <w:lvlJc w:val="left"/>
      <w:pPr>
        <w:ind w:left="4200" w:hanging="360"/>
      </w:pPr>
      <w:rPr>
        <w:rFonts w:ascii="Wingdings" w:hAnsi="Wingdings" w:hint="default"/>
      </w:rPr>
    </w:lvl>
    <w:lvl w:ilvl="3" w:tentative="1">
      <w:start w:val="1"/>
      <w:numFmt w:val="bullet"/>
      <w:lvlText w:val=""/>
      <w:lvlJc w:val="left"/>
      <w:pPr>
        <w:ind w:left="4920" w:hanging="360"/>
      </w:pPr>
      <w:rPr>
        <w:rFonts w:ascii="Symbol" w:hAnsi="Symbol" w:hint="default"/>
      </w:rPr>
    </w:lvl>
    <w:lvl w:ilvl="4" w:tentative="1">
      <w:start w:val="1"/>
      <w:numFmt w:val="bullet"/>
      <w:lvlText w:val="o"/>
      <w:lvlJc w:val="left"/>
      <w:pPr>
        <w:ind w:left="5640" w:hanging="360"/>
      </w:pPr>
      <w:rPr>
        <w:rFonts w:ascii="Courier New" w:hAnsi="Courier New" w:cs="Courier New" w:hint="default"/>
      </w:rPr>
    </w:lvl>
    <w:lvl w:ilvl="5" w:tentative="1">
      <w:start w:val="1"/>
      <w:numFmt w:val="bullet"/>
      <w:lvlText w:val=""/>
      <w:lvlJc w:val="left"/>
      <w:pPr>
        <w:ind w:left="6360" w:hanging="360"/>
      </w:pPr>
      <w:rPr>
        <w:rFonts w:ascii="Wingdings" w:hAnsi="Wingdings" w:hint="default"/>
      </w:rPr>
    </w:lvl>
    <w:lvl w:ilvl="6" w:tentative="1">
      <w:start w:val="1"/>
      <w:numFmt w:val="bullet"/>
      <w:lvlText w:val=""/>
      <w:lvlJc w:val="left"/>
      <w:pPr>
        <w:ind w:left="7080" w:hanging="360"/>
      </w:pPr>
      <w:rPr>
        <w:rFonts w:ascii="Symbol" w:hAnsi="Symbol" w:hint="default"/>
      </w:rPr>
    </w:lvl>
    <w:lvl w:ilvl="7" w:tentative="1">
      <w:start w:val="1"/>
      <w:numFmt w:val="bullet"/>
      <w:lvlText w:val="o"/>
      <w:lvlJc w:val="left"/>
      <w:pPr>
        <w:ind w:left="7800" w:hanging="360"/>
      </w:pPr>
      <w:rPr>
        <w:rFonts w:ascii="Courier New" w:hAnsi="Courier New" w:cs="Courier New" w:hint="default"/>
      </w:rPr>
    </w:lvl>
    <w:lvl w:ilvl="8" w:tentative="1">
      <w:start w:val="1"/>
      <w:numFmt w:val="bullet"/>
      <w:lvlText w:val=""/>
      <w:lvlJc w:val="left"/>
      <w:pPr>
        <w:ind w:left="8520" w:hanging="360"/>
      </w:pPr>
      <w:rPr>
        <w:rFonts w:ascii="Wingdings" w:hAnsi="Wingdings" w:hint="default"/>
      </w:rPr>
    </w:lvl>
  </w:abstractNum>
  <w:abstractNum w:abstractNumId="8">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6711F8"/>
    <w:multiLevelType w:val="hybridMultilevel"/>
    <w:tmpl w:val="F6B296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43E027B9"/>
    <w:multiLevelType w:val="hybridMultilevel"/>
    <w:tmpl w:val="689A55EE"/>
    <w:lvl w:ilvl="0">
      <w:start w:val="6"/>
      <w:numFmt w:val="lowerLetter"/>
      <w:lvlText w:val="%1)"/>
      <w:lvlJc w:val="left"/>
      <w:pPr>
        <w:ind w:left="144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B234E74"/>
    <w:multiLevelType w:val="hybridMultilevel"/>
    <w:tmpl w:val="0F325B14"/>
    <w:lvl w:ilvl="0">
      <w:start w:val="1"/>
      <w:numFmt w:val="bullet"/>
      <w:lvlText w:val=""/>
      <w:lvlJc w:val="left"/>
      <w:pPr>
        <w:ind w:left="99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36E59FD"/>
    <w:multiLevelType w:val="hybridMultilevel"/>
    <w:tmpl w:val="652CC0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0A5C65"/>
    <w:multiLevelType w:val="hybridMultilevel"/>
    <w:tmpl w:val="595A5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B15345"/>
    <w:multiLevelType w:val="hybridMultilevel"/>
    <w:tmpl w:val="6A7EDC0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BF031A"/>
    <w:multiLevelType w:val="hybridMultilevel"/>
    <w:tmpl w:val="4EB60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AC273B6"/>
    <w:multiLevelType w:val="hybridMultilevel"/>
    <w:tmpl w:val="A7E0E71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464A2A"/>
    <w:multiLevelType w:val="hybridMultilevel"/>
    <w:tmpl w:val="B56ED36A"/>
    <w:lvl w:ilvl="0">
      <w:start w:val="1"/>
      <w:numFmt w:val="lowerLetter"/>
      <w:lvlText w:val="%1)"/>
      <w:lvlJc w:val="left"/>
      <w:pPr>
        <w:ind w:left="117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55177AB"/>
    <w:multiLevelType w:val="hybridMultilevel"/>
    <w:tmpl w:val="1160E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1702775">
    <w:abstractNumId w:val="18"/>
  </w:num>
  <w:num w:numId="2" w16cid:durableId="850950968">
    <w:abstractNumId w:val="8"/>
  </w:num>
  <w:num w:numId="3" w16cid:durableId="1515536587">
    <w:abstractNumId w:val="13"/>
  </w:num>
  <w:num w:numId="4" w16cid:durableId="144782556">
    <w:abstractNumId w:val="14"/>
  </w:num>
  <w:num w:numId="5" w16cid:durableId="939340807">
    <w:abstractNumId w:val="9"/>
  </w:num>
  <w:num w:numId="6" w16cid:durableId="1732532531">
    <w:abstractNumId w:val="21"/>
  </w:num>
  <w:num w:numId="7" w16cid:durableId="669216277">
    <w:abstractNumId w:val="6"/>
  </w:num>
  <w:num w:numId="8" w16cid:durableId="1435173090">
    <w:abstractNumId w:val="2"/>
  </w:num>
  <w:num w:numId="9" w16cid:durableId="1906142434">
    <w:abstractNumId w:val="24"/>
  </w:num>
  <w:num w:numId="10" w16cid:durableId="1474057482">
    <w:abstractNumId w:val="10"/>
  </w:num>
  <w:num w:numId="11" w16cid:durableId="1537615346">
    <w:abstractNumId w:val="0"/>
  </w:num>
  <w:num w:numId="12" w16cid:durableId="1426152311">
    <w:abstractNumId w:val="15"/>
  </w:num>
  <w:num w:numId="13" w16cid:durableId="424616268">
    <w:abstractNumId w:val="23"/>
  </w:num>
  <w:num w:numId="14" w16cid:durableId="95904614">
    <w:abstractNumId w:val="5"/>
  </w:num>
  <w:num w:numId="15" w16cid:durableId="1371566406">
    <w:abstractNumId w:val="7"/>
  </w:num>
  <w:num w:numId="16" w16cid:durableId="1002925955">
    <w:abstractNumId w:val="20"/>
  </w:num>
  <w:num w:numId="17" w16cid:durableId="807556152">
    <w:abstractNumId w:val="17"/>
  </w:num>
  <w:num w:numId="18" w16cid:durableId="343166817">
    <w:abstractNumId w:val="3"/>
  </w:num>
  <w:num w:numId="19" w16cid:durableId="6254162">
    <w:abstractNumId w:val="22"/>
  </w:num>
  <w:num w:numId="20" w16cid:durableId="2114131412">
    <w:abstractNumId w:val="4"/>
  </w:num>
  <w:num w:numId="21" w16cid:durableId="1766266495">
    <w:abstractNumId w:val="11"/>
  </w:num>
  <w:num w:numId="22" w16cid:durableId="2123450282">
    <w:abstractNumId w:val="1"/>
  </w:num>
  <w:num w:numId="23" w16cid:durableId="259072595">
    <w:abstractNumId w:val="19"/>
  </w:num>
  <w:num w:numId="24" w16cid:durableId="857502322">
    <w:abstractNumId w:val="12"/>
  </w:num>
  <w:num w:numId="25" w16cid:durableId="166326789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oach, Callie (NHTSA)">
    <w15:presenceInfo w15:providerId="AD" w15:userId="S::callie.roach@ad.dot.gov::26b32074-332a-430a-b3b4-e7ff4fa25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D98"/>
    <w:rsid w:val="00003507"/>
    <w:rsid w:val="00010671"/>
    <w:rsid w:val="00011C38"/>
    <w:rsid w:val="000154D7"/>
    <w:rsid w:val="00015D87"/>
    <w:rsid w:val="00021A82"/>
    <w:rsid w:val="00022289"/>
    <w:rsid w:val="00025DAF"/>
    <w:rsid w:val="000373A8"/>
    <w:rsid w:val="00047BCD"/>
    <w:rsid w:val="0005472E"/>
    <w:rsid w:val="0005567F"/>
    <w:rsid w:val="00061562"/>
    <w:rsid w:val="000650F6"/>
    <w:rsid w:val="00080248"/>
    <w:rsid w:val="000810D3"/>
    <w:rsid w:val="00083A94"/>
    <w:rsid w:val="00083D88"/>
    <w:rsid w:val="000927FA"/>
    <w:rsid w:val="00095B32"/>
    <w:rsid w:val="000A09E2"/>
    <w:rsid w:val="000A498F"/>
    <w:rsid w:val="000A558D"/>
    <w:rsid w:val="000A650D"/>
    <w:rsid w:val="000A7A03"/>
    <w:rsid w:val="000B30BA"/>
    <w:rsid w:val="000B4DCA"/>
    <w:rsid w:val="000C11D5"/>
    <w:rsid w:val="000C2F04"/>
    <w:rsid w:val="000C3648"/>
    <w:rsid w:val="000E2E5E"/>
    <w:rsid w:val="000E3CFF"/>
    <w:rsid w:val="0010220B"/>
    <w:rsid w:val="00106735"/>
    <w:rsid w:val="00110794"/>
    <w:rsid w:val="00122261"/>
    <w:rsid w:val="001225C1"/>
    <w:rsid w:val="001246A7"/>
    <w:rsid w:val="00126A16"/>
    <w:rsid w:val="00126EBF"/>
    <w:rsid w:val="00135031"/>
    <w:rsid w:val="001352D8"/>
    <w:rsid w:val="00136B82"/>
    <w:rsid w:val="00144098"/>
    <w:rsid w:val="00150EF3"/>
    <w:rsid w:val="00150F00"/>
    <w:rsid w:val="00152FF7"/>
    <w:rsid w:val="0015525E"/>
    <w:rsid w:val="00163576"/>
    <w:rsid w:val="00165E9F"/>
    <w:rsid w:val="001677A4"/>
    <w:rsid w:val="00170CD9"/>
    <w:rsid w:val="00171B3A"/>
    <w:rsid w:val="00174574"/>
    <w:rsid w:val="001746EC"/>
    <w:rsid w:val="00174C75"/>
    <w:rsid w:val="00174EC7"/>
    <w:rsid w:val="001772AB"/>
    <w:rsid w:val="0018019A"/>
    <w:rsid w:val="00181988"/>
    <w:rsid w:val="00185023"/>
    <w:rsid w:val="001853CC"/>
    <w:rsid w:val="001857E2"/>
    <w:rsid w:val="00186AAE"/>
    <w:rsid w:val="00191D19"/>
    <w:rsid w:val="00193D38"/>
    <w:rsid w:val="00196839"/>
    <w:rsid w:val="00196B7E"/>
    <w:rsid w:val="00196DAA"/>
    <w:rsid w:val="001A72C7"/>
    <w:rsid w:val="001B3685"/>
    <w:rsid w:val="001B38E1"/>
    <w:rsid w:val="001C18EF"/>
    <w:rsid w:val="001C77F0"/>
    <w:rsid w:val="001D17AD"/>
    <w:rsid w:val="001D1E92"/>
    <w:rsid w:val="001D245A"/>
    <w:rsid w:val="001D6387"/>
    <w:rsid w:val="001E28F1"/>
    <w:rsid w:val="001E2ABA"/>
    <w:rsid w:val="001E5645"/>
    <w:rsid w:val="001F0C33"/>
    <w:rsid w:val="001F366E"/>
    <w:rsid w:val="001F5D08"/>
    <w:rsid w:val="001F67F7"/>
    <w:rsid w:val="002043DA"/>
    <w:rsid w:val="002102F3"/>
    <w:rsid w:val="00217CEC"/>
    <w:rsid w:val="0022267A"/>
    <w:rsid w:val="002244F3"/>
    <w:rsid w:val="00227C7F"/>
    <w:rsid w:val="00231369"/>
    <w:rsid w:val="00231990"/>
    <w:rsid w:val="0023238C"/>
    <w:rsid w:val="00233B13"/>
    <w:rsid w:val="002345CE"/>
    <w:rsid w:val="00244B11"/>
    <w:rsid w:val="0024658B"/>
    <w:rsid w:val="00253952"/>
    <w:rsid w:val="00256A41"/>
    <w:rsid w:val="00261A6E"/>
    <w:rsid w:val="00281E58"/>
    <w:rsid w:val="002833C7"/>
    <w:rsid w:val="0028377D"/>
    <w:rsid w:val="00284CDC"/>
    <w:rsid w:val="00285C97"/>
    <w:rsid w:val="00286EE0"/>
    <w:rsid w:val="002970FD"/>
    <w:rsid w:val="002A3297"/>
    <w:rsid w:val="002A5676"/>
    <w:rsid w:val="002A7E75"/>
    <w:rsid w:val="002B781E"/>
    <w:rsid w:val="002C62DF"/>
    <w:rsid w:val="002D621C"/>
    <w:rsid w:val="002E381A"/>
    <w:rsid w:val="002E6608"/>
    <w:rsid w:val="002E729A"/>
    <w:rsid w:val="002F0760"/>
    <w:rsid w:val="002F2DEA"/>
    <w:rsid w:val="00300E29"/>
    <w:rsid w:val="00302AB4"/>
    <w:rsid w:val="00305602"/>
    <w:rsid w:val="0030629D"/>
    <w:rsid w:val="00306DAE"/>
    <w:rsid w:val="00310A94"/>
    <w:rsid w:val="00311E0E"/>
    <w:rsid w:val="00322755"/>
    <w:rsid w:val="003229FB"/>
    <w:rsid w:val="00325AFB"/>
    <w:rsid w:val="003267E6"/>
    <w:rsid w:val="00330FF4"/>
    <w:rsid w:val="003319F0"/>
    <w:rsid w:val="00332ACE"/>
    <w:rsid w:val="00335EC5"/>
    <w:rsid w:val="003509DE"/>
    <w:rsid w:val="003566B8"/>
    <w:rsid w:val="003605C9"/>
    <w:rsid w:val="00360D07"/>
    <w:rsid w:val="00374048"/>
    <w:rsid w:val="00376B8E"/>
    <w:rsid w:val="00386928"/>
    <w:rsid w:val="00386B33"/>
    <w:rsid w:val="00386CAB"/>
    <w:rsid w:val="003872F5"/>
    <w:rsid w:val="0039208F"/>
    <w:rsid w:val="003935BA"/>
    <w:rsid w:val="003A1183"/>
    <w:rsid w:val="003A1F69"/>
    <w:rsid w:val="003A665D"/>
    <w:rsid w:val="003B2ABB"/>
    <w:rsid w:val="003B6B57"/>
    <w:rsid w:val="003C17ED"/>
    <w:rsid w:val="003C39CE"/>
    <w:rsid w:val="003C3B0B"/>
    <w:rsid w:val="003D64D5"/>
    <w:rsid w:val="003E0A5C"/>
    <w:rsid w:val="003E7577"/>
    <w:rsid w:val="0040143A"/>
    <w:rsid w:val="00405A2E"/>
    <w:rsid w:val="00405F61"/>
    <w:rsid w:val="0040690B"/>
    <w:rsid w:val="0041455E"/>
    <w:rsid w:val="00417209"/>
    <w:rsid w:val="00420704"/>
    <w:rsid w:val="00425484"/>
    <w:rsid w:val="00430A0A"/>
    <w:rsid w:val="004325E4"/>
    <w:rsid w:val="0043261C"/>
    <w:rsid w:val="00432F7D"/>
    <w:rsid w:val="00442E79"/>
    <w:rsid w:val="004455DC"/>
    <w:rsid w:val="0044770D"/>
    <w:rsid w:val="00465EFD"/>
    <w:rsid w:val="004668D3"/>
    <w:rsid w:val="0047445B"/>
    <w:rsid w:val="00474EF6"/>
    <w:rsid w:val="00475DD6"/>
    <w:rsid w:val="00480FF7"/>
    <w:rsid w:val="00484767"/>
    <w:rsid w:val="00494A9F"/>
    <w:rsid w:val="0049589B"/>
    <w:rsid w:val="004A1DFB"/>
    <w:rsid w:val="004A32CF"/>
    <w:rsid w:val="004A3DEB"/>
    <w:rsid w:val="004A5018"/>
    <w:rsid w:val="004B00F7"/>
    <w:rsid w:val="004C6529"/>
    <w:rsid w:val="004E0F91"/>
    <w:rsid w:val="004E1D41"/>
    <w:rsid w:val="004E1E2F"/>
    <w:rsid w:val="004E507F"/>
    <w:rsid w:val="004F1180"/>
    <w:rsid w:val="004F4E72"/>
    <w:rsid w:val="004F7CC6"/>
    <w:rsid w:val="00502EA3"/>
    <w:rsid w:val="00503771"/>
    <w:rsid w:val="00505840"/>
    <w:rsid w:val="00521CD8"/>
    <w:rsid w:val="005261EF"/>
    <w:rsid w:val="005271A9"/>
    <w:rsid w:val="00541BD7"/>
    <w:rsid w:val="00553A3D"/>
    <w:rsid w:val="00553B39"/>
    <w:rsid w:val="0055510A"/>
    <w:rsid w:val="0056285C"/>
    <w:rsid w:val="00574A9A"/>
    <w:rsid w:val="00581F0B"/>
    <w:rsid w:val="00583CBF"/>
    <w:rsid w:val="00584B2D"/>
    <w:rsid w:val="0058631B"/>
    <w:rsid w:val="005966C3"/>
    <w:rsid w:val="00597E94"/>
    <w:rsid w:val="005B7314"/>
    <w:rsid w:val="005C1861"/>
    <w:rsid w:val="005C209B"/>
    <w:rsid w:val="005C349B"/>
    <w:rsid w:val="005C4435"/>
    <w:rsid w:val="005D0AD8"/>
    <w:rsid w:val="005D2C2A"/>
    <w:rsid w:val="005E6D9E"/>
    <w:rsid w:val="005F2ED5"/>
    <w:rsid w:val="005F4525"/>
    <w:rsid w:val="00600CAF"/>
    <w:rsid w:val="006028D7"/>
    <w:rsid w:val="0060653C"/>
    <w:rsid w:val="00611BBC"/>
    <w:rsid w:val="00612E8E"/>
    <w:rsid w:val="006237C8"/>
    <w:rsid w:val="0062520E"/>
    <w:rsid w:val="00627EAB"/>
    <w:rsid w:val="00634CC3"/>
    <w:rsid w:val="00644FFD"/>
    <w:rsid w:val="00655277"/>
    <w:rsid w:val="00663279"/>
    <w:rsid w:val="006663C2"/>
    <w:rsid w:val="0067083F"/>
    <w:rsid w:val="00673E1D"/>
    <w:rsid w:val="0067421A"/>
    <w:rsid w:val="00674B8D"/>
    <w:rsid w:val="006753A2"/>
    <w:rsid w:val="00680560"/>
    <w:rsid w:val="00680FF5"/>
    <w:rsid w:val="006876CA"/>
    <w:rsid w:val="006938F5"/>
    <w:rsid w:val="00694166"/>
    <w:rsid w:val="0069588D"/>
    <w:rsid w:val="006A1594"/>
    <w:rsid w:val="006A2C53"/>
    <w:rsid w:val="006A640E"/>
    <w:rsid w:val="006C0EF5"/>
    <w:rsid w:val="006C0F68"/>
    <w:rsid w:val="006C75E2"/>
    <w:rsid w:val="006C7696"/>
    <w:rsid w:val="006C7857"/>
    <w:rsid w:val="006D0818"/>
    <w:rsid w:val="006D13C2"/>
    <w:rsid w:val="006D6B47"/>
    <w:rsid w:val="006D6B6F"/>
    <w:rsid w:val="006E3540"/>
    <w:rsid w:val="006E521D"/>
    <w:rsid w:val="00701920"/>
    <w:rsid w:val="00706541"/>
    <w:rsid w:val="00711AAB"/>
    <w:rsid w:val="00713DB9"/>
    <w:rsid w:val="00716909"/>
    <w:rsid w:val="00727FCF"/>
    <w:rsid w:val="00730DB6"/>
    <w:rsid w:val="00730E31"/>
    <w:rsid w:val="007329CD"/>
    <w:rsid w:val="007433FB"/>
    <w:rsid w:val="00743C1C"/>
    <w:rsid w:val="007520C9"/>
    <w:rsid w:val="0075244A"/>
    <w:rsid w:val="00756548"/>
    <w:rsid w:val="00757A53"/>
    <w:rsid w:val="007638A4"/>
    <w:rsid w:val="00765492"/>
    <w:rsid w:val="0076715A"/>
    <w:rsid w:val="00770FF2"/>
    <w:rsid w:val="007750CD"/>
    <w:rsid w:val="007846CB"/>
    <w:rsid w:val="00786B7C"/>
    <w:rsid w:val="007A0469"/>
    <w:rsid w:val="007A0D18"/>
    <w:rsid w:val="007A40BC"/>
    <w:rsid w:val="007A7BB5"/>
    <w:rsid w:val="007B1FEE"/>
    <w:rsid w:val="007C0A06"/>
    <w:rsid w:val="007D04A7"/>
    <w:rsid w:val="007E4B84"/>
    <w:rsid w:val="007E53CA"/>
    <w:rsid w:val="007E6043"/>
    <w:rsid w:val="007F27B2"/>
    <w:rsid w:val="007F632B"/>
    <w:rsid w:val="008009D0"/>
    <w:rsid w:val="008055D2"/>
    <w:rsid w:val="0081167F"/>
    <w:rsid w:val="00817304"/>
    <w:rsid w:val="00821E78"/>
    <w:rsid w:val="00825092"/>
    <w:rsid w:val="008260EC"/>
    <w:rsid w:val="00832AD9"/>
    <w:rsid w:val="00835CC7"/>
    <w:rsid w:val="00836405"/>
    <w:rsid w:val="00836BCF"/>
    <w:rsid w:val="00847789"/>
    <w:rsid w:val="008574D4"/>
    <w:rsid w:val="00857D6D"/>
    <w:rsid w:val="00871FB1"/>
    <w:rsid w:val="00874B7F"/>
    <w:rsid w:val="0088438C"/>
    <w:rsid w:val="00885AFF"/>
    <w:rsid w:val="008869F8"/>
    <w:rsid w:val="00894A39"/>
    <w:rsid w:val="00896532"/>
    <w:rsid w:val="008A5D30"/>
    <w:rsid w:val="008A6B31"/>
    <w:rsid w:val="008B28A3"/>
    <w:rsid w:val="008B797C"/>
    <w:rsid w:val="008C0C69"/>
    <w:rsid w:val="008C3721"/>
    <w:rsid w:val="008C47AE"/>
    <w:rsid w:val="008C4FBB"/>
    <w:rsid w:val="008C577E"/>
    <w:rsid w:val="008D62AB"/>
    <w:rsid w:val="008E1891"/>
    <w:rsid w:val="008E36FE"/>
    <w:rsid w:val="008E6D3B"/>
    <w:rsid w:val="008E70CE"/>
    <w:rsid w:val="008E7134"/>
    <w:rsid w:val="009001F9"/>
    <w:rsid w:val="0090036B"/>
    <w:rsid w:val="00903EC7"/>
    <w:rsid w:val="00906EFB"/>
    <w:rsid w:val="00907F7C"/>
    <w:rsid w:val="00923394"/>
    <w:rsid w:val="00934994"/>
    <w:rsid w:val="00940B7A"/>
    <w:rsid w:val="009503C7"/>
    <w:rsid w:val="009572DC"/>
    <w:rsid w:val="00980C4A"/>
    <w:rsid w:val="00980FD5"/>
    <w:rsid w:val="00981595"/>
    <w:rsid w:val="00981CDA"/>
    <w:rsid w:val="00983C94"/>
    <w:rsid w:val="00984251"/>
    <w:rsid w:val="009908D9"/>
    <w:rsid w:val="00992B0F"/>
    <w:rsid w:val="00994148"/>
    <w:rsid w:val="0099445C"/>
    <w:rsid w:val="00995CA6"/>
    <w:rsid w:val="009A303D"/>
    <w:rsid w:val="009A4C0D"/>
    <w:rsid w:val="009A5FC1"/>
    <w:rsid w:val="009B68F9"/>
    <w:rsid w:val="009B7531"/>
    <w:rsid w:val="009B7C83"/>
    <w:rsid w:val="009C237E"/>
    <w:rsid w:val="009C571F"/>
    <w:rsid w:val="009E4864"/>
    <w:rsid w:val="009F0538"/>
    <w:rsid w:val="009F6830"/>
    <w:rsid w:val="00A05997"/>
    <w:rsid w:val="00A1008D"/>
    <w:rsid w:val="00A12326"/>
    <w:rsid w:val="00A164D2"/>
    <w:rsid w:val="00A171F1"/>
    <w:rsid w:val="00A24405"/>
    <w:rsid w:val="00A25024"/>
    <w:rsid w:val="00A25319"/>
    <w:rsid w:val="00A25650"/>
    <w:rsid w:val="00A268B1"/>
    <w:rsid w:val="00A30E06"/>
    <w:rsid w:val="00A34402"/>
    <w:rsid w:val="00A40EEF"/>
    <w:rsid w:val="00A44F6B"/>
    <w:rsid w:val="00A45E29"/>
    <w:rsid w:val="00A478A2"/>
    <w:rsid w:val="00A538AD"/>
    <w:rsid w:val="00A538F5"/>
    <w:rsid w:val="00A5558D"/>
    <w:rsid w:val="00A569C3"/>
    <w:rsid w:val="00A64002"/>
    <w:rsid w:val="00A66147"/>
    <w:rsid w:val="00A7229D"/>
    <w:rsid w:val="00A86DED"/>
    <w:rsid w:val="00A90147"/>
    <w:rsid w:val="00AA4F31"/>
    <w:rsid w:val="00AA6DA6"/>
    <w:rsid w:val="00AB11F8"/>
    <w:rsid w:val="00AB550C"/>
    <w:rsid w:val="00AB57CA"/>
    <w:rsid w:val="00AB57E3"/>
    <w:rsid w:val="00AC3463"/>
    <w:rsid w:val="00AD03AA"/>
    <w:rsid w:val="00AD149F"/>
    <w:rsid w:val="00AD4D8F"/>
    <w:rsid w:val="00AE1594"/>
    <w:rsid w:val="00AE2DE4"/>
    <w:rsid w:val="00AE5CC3"/>
    <w:rsid w:val="00AE6CC8"/>
    <w:rsid w:val="00AF1817"/>
    <w:rsid w:val="00B0053E"/>
    <w:rsid w:val="00B00C2C"/>
    <w:rsid w:val="00B03223"/>
    <w:rsid w:val="00B0393E"/>
    <w:rsid w:val="00B17D90"/>
    <w:rsid w:val="00B17E0D"/>
    <w:rsid w:val="00B20CCE"/>
    <w:rsid w:val="00B240DA"/>
    <w:rsid w:val="00B27F2E"/>
    <w:rsid w:val="00B3391C"/>
    <w:rsid w:val="00B40361"/>
    <w:rsid w:val="00B429FB"/>
    <w:rsid w:val="00B435B0"/>
    <w:rsid w:val="00B444EF"/>
    <w:rsid w:val="00B50C69"/>
    <w:rsid w:val="00B60739"/>
    <w:rsid w:val="00B63AF3"/>
    <w:rsid w:val="00B63B7D"/>
    <w:rsid w:val="00B676D5"/>
    <w:rsid w:val="00B703F5"/>
    <w:rsid w:val="00B7228D"/>
    <w:rsid w:val="00B750FC"/>
    <w:rsid w:val="00B80A05"/>
    <w:rsid w:val="00B80BB6"/>
    <w:rsid w:val="00B83396"/>
    <w:rsid w:val="00B843D6"/>
    <w:rsid w:val="00B85451"/>
    <w:rsid w:val="00B93E5C"/>
    <w:rsid w:val="00B946C7"/>
    <w:rsid w:val="00B961DD"/>
    <w:rsid w:val="00BA1036"/>
    <w:rsid w:val="00BA34E5"/>
    <w:rsid w:val="00BB03B4"/>
    <w:rsid w:val="00BB1CC0"/>
    <w:rsid w:val="00BB2C2F"/>
    <w:rsid w:val="00BB3BF3"/>
    <w:rsid w:val="00BB454A"/>
    <w:rsid w:val="00BC1855"/>
    <w:rsid w:val="00BC1D06"/>
    <w:rsid w:val="00BC3D11"/>
    <w:rsid w:val="00BC6434"/>
    <w:rsid w:val="00BD3379"/>
    <w:rsid w:val="00BD7EC9"/>
    <w:rsid w:val="00BE6483"/>
    <w:rsid w:val="00BE6B8C"/>
    <w:rsid w:val="00BF473C"/>
    <w:rsid w:val="00C01392"/>
    <w:rsid w:val="00C01854"/>
    <w:rsid w:val="00C01BDD"/>
    <w:rsid w:val="00C025F2"/>
    <w:rsid w:val="00C048AB"/>
    <w:rsid w:val="00C06A2C"/>
    <w:rsid w:val="00C103C5"/>
    <w:rsid w:val="00C10B4F"/>
    <w:rsid w:val="00C1639D"/>
    <w:rsid w:val="00C1668E"/>
    <w:rsid w:val="00C17037"/>
    <w:rsid w:val="00C21902"/>
    <w:rsid w:val="00C239E8"/>
    <w:rsid w:val="00C35CFE"/>
    <w:rsid w:val="00C376A5"/>
    <w:rsid w:val="00C41220"/>
    <w:rsid w:val="00C418A5"/>
    <w:rsid w:val="00C41F8B"/>
    <w:rsid w:val="00C42185"/>
    <w:rsid w:val="00C51184"/>
    <w:rsid w:val="00C53728"/>
    <w:rsid w:val="00C5415C"/>
    <w:rsid w:val="00C552AE"/>
    <w:rsid w:val="00C56FF6"/>
    <w:rsid w:val="00C75373"/>
    <w:rsid w:val="00C81C07"/>
    <w:rsid w:val="00C835D9"/>
    <w:rsid w:val="00C83AB1"/>
    <w:rsid w:val="00C955DA"/>
    <w:rsid w:val="00CA0442"/>
    <w:rsid w:val="00CA3FB8"/>
    <w:rsid w:val="00CB0A7A"/>
    <w:rsid w:val="00CB4CAD"/>
    <w:rsid w:val="00CB50A6"/>
    <w:rsid w:val="00CC0917"/>
    <w:rsid w:val="00CC22B5"/>
    <w:rsid w:val="00CC47EC"/>
    <w:rsid w:val="00CC57E3"/>
    <w:rsid w:val="00CC5B97"/>
    <w:rsid w:val="00CC70B6"/>
    <w:rsid w:val="00CD0C6E"/>
    <w:rsid w:val="00CD22CA"/>
    <w:rsid w:val="00CD5737"/>
    <w:rsid w:val="00CD6F99"/>
    <w:rsid w:val="00CD74B0"/>
    <w:rsid w:val="00CE1B1A"/>
    <w:rsid w:val="00CE4E91"/>
    <w:rsid w:val="00CF1F8A"/>
    <w:rsid w:val="00CF6B21"/>
    <w:rsid w:val="00D02495"/>
    <w:rsid w:val="00D025FF"/>
    <w:rsid w:val="00D033DC"/>
    <w:rsid w:val="00D0695A"/>
    <w:rsid w:val="00D07E24"/>
    <w:rsid w:val="00D12299"/>
    <w:rsid w:val="00D15FBB"/>
    <w:rsid w:val="00D1641F"/>
    <w:rsid w:val="00D219B4"/>
    <w:rsid w:val="00D23F75"/>
    <w:rsid w:val="00D272FA"/>
    <w:rsid w:val="00D277C2"/>
    <w:rsid w:val="00D334B3"/>
    <w:rsid w:val="00D3782B"/>
    <w:rsid w:val="00D46B18"/>
    <w:rsid w:val="00D51A25"/>
    <w:rsid w:val="00D570CD"/>
    <w:rsid w:val="00D652BB"/>
    <w:rsid w:val="00D65433"/>
    <w:rsid w:val="00D66BDC"/>
    <w:rsid w:val="00D66C84"/>
    <w:rsid w:val="00D70505"/>
    <w:rsid w:val="00D75A6D"/>
    <w:rsid w:val="00D76E36"/>
    <w:rsid w:val="00D807E4"/>
    <w:rsid w:val="00D81C39"/>
    <w:rsid w:val="00D81D76"/>
    <w:rsid w:val="00D82C6F"/>
    <w:rsid w:val="00D834CE"/>
    <w:rsid w:val="00D90D3E"/>
    <w:rsid w:val="00D93CC8"/>
    <w:rsid w:val="00D94C3C"/>
    <w:rsid w:val="00DC37C1"/>
    <w:rsid w:val="00DC6309"/>
    <w:rsid w:val="00DD4E86"/>
    <w:rsid w:val="00DD5373"/>
    <w:rsid w:val="00DD544D"/>
    <w:rsid w:val="00DD66F2"/>
    <w:rsid w:val="00DE01E6"/>
    <w:rsid w:val="00DE6B22"/>
    <w:rsid w:val="00DF25E4"/>
    <w:rsid w:val="00DF3DC9"/>
    <w:rsid w:val="00DF6BCE"/>
    <w:rsid w:val="00DF7AB6"/>
    <w:rsid w:val="00E01E42"/>
    <w:rsid w:val="00E04BA8"/>
    <w:rsid w:val="00E064EF"/>
    <w:rsid w:val="00E10321"/>
    <w:rsid w:val="00E15006"/>
    <w:rsid w:val="00E17A75"/>
    <w:rsid w:val="00E30614"/>
    <w:rsid w:val="00E35BB7"/>
    <w:rsid w:val="00E41973"/>
    <w:rsid w:val="00E47953"/>
    <w:rsid w:val="00E511AC"/>
    <w:rsid w:val="00E512F6"/>
    <w:rsid w:val="00E67247"/>
    <w:rsid w:val="00E731B3"/>
    <w:rsid w:val="00E74319"/>
    <w:rsid w:val="00E75815"/>
    <w:rsid w:val="00E87684"/>
    <w:rsid w:val="00E935D4"/>
    <w:rsid w:val="00E9530E"/>
    <w:rsid w:val="00E963C9"/>
    <w:rsid w:val="00E96403"/>
    <w:rsid w:val="00E96650"/>
    <w:rsid w:val="00EA3F08"/>
    <w:rsid w:val="00EA67B9"/>
    <w:rsid w:val="00EB0473"/>
    <w:rsid w:val="00EB1A2D"/>
    <w:rsid w:val="00EB2075"/>
    <w:rsid w:val="00EB289A"/>
    <w:rsid w:val="00EC554A"/>
    <w:rsid w:val="00EC7E23"/>
    <w:rsid w:val="00ED0AD4"/>
    <w:rsid w:val="00ED3BFA"/>
    <w:rsid w:val="00ED43CE"/>
    <w:rsid w:val="00ED49F5"/>
    <w:rsid w:val="00EE1737"/>
    <w:rsid w:val="00EF064E"/>
    <w:rsid w:val="00EF43DE"/>
    <w:rsid w:val="00EF4B9E"/>
    <w:rsid w:val="00EF50FD"/>
    <w:rsid w:val="00EF547A"/>
    <w:rsid w:val="00EF72A7"/>
    <w:rsid w:val="00F11E6A"/>
    <w:rsid w:val="00F2317A"/>
    <w:rsid w:val="00F25F48"/>
    <w:rsid w:val="00F27C2C"/>
    <w:rsid w:val="00F40F6F"/>
    <w:rsid w:val="00F41652"/>
    <w:rsid w:val="00F45EEA"/>
    <w:rsid w:val="00F5268E"/>
    <w:rsid w:val="00F57C0D"/>
    <w:rsid w:val="00F6028B"/>
    <w:rsid w:val="00F656FD"/>
    <w:rsid w:val="00F72842"/>
    <w:rsid w:val="00F75838"/>
    <w:rsid w:val="00F7768F"/>
    <w:rsid w:val="00F81D22"/>
    <w:rsid w:val="00F8238C"/>
    <w:rsid w:val="00F82EF3"/>
    <w:rsid w:val="00F845D1"/>
    <w:rsid w:val="00F84E5F"/>
    <w:rsid w:val="00F86780"/>
    <w:rsid w:val="00F90838"/>
    <w:rsid w:val="00F90929"/>
    <w:rsid w:val="00FA000A"/>
    <w:rsid w:val="00FA68D1"/>
    <w:rsid w:val="00FB047D"/>
    <w:rsid w:val="00FB19A6"/>
    <w:rsid w:val="00FB1CD8"/>
    <w:rsid w:val="00FC0B1E"/>
    <w:rsid w:val="00FC1A2E"/>
    <w:rsid w:val="00FC6851"/>
    <w:rsid w:val="00FD5347"/>
    <w:rsid w:val="00FE1E1B"/>
    <w:rsid w:val="00FF62BA"/>
    <w:rsid w:val="00FF6B4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EDD9EE8"/>
  <w15:chartTrackingRefBased/>
  <w15:docId w15:val="{67D397F2-0634-46CB-901B-6351A1D4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C2C"/>
    <w:pPr>
      <w:spacing w:after="0" w:line="240" w:lineRule="auto"/>
    </w:pPr>
    <w:rPr>
      <w:sz w:val="20"/>
      <w:szCs w:val="20"/>
    </w:rPr>
  </w:style>
  <w:style w:type="character" w:customStyle="1" w:styleId="FootnoteTextChar">
    <w:name w:val="Footnote Text Char"/>
    <w:basedOn w:val="DefaultParagraphFont"/>
    <w:link w:val="FootnoteText"/>
    <w:semiHidden/>
    <w:rsid w:val="00F27C2C"/>
    <w:rPr>
      <w:rFonts w:ascii="Times New Roman" w:hAnsi="Times New Roman"/>
      <w:sz w:val="20"/>
      <w:szCs w:val="20"/>
    </w:rPr>
  </w:style>
  <w:style w:type="character" w:styleId="FootnoteReference">
    <w:name w:val="footnote reference"/>
    <w:basedOn w:val="DefaultParagraphFont"/>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3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CommentText">
    <w:name w:val="annotation text"/>
    <w:basedOn w:val="Normal"/>
    <w:link w:val="CommentTextChar"/>
    <w:uiPriority w:val="99"/>
    <w:semiHidden/>
    <w:unhideWhenUsed/>
    <w:rsid w:val="00047BCD"/>
    <w:pPr>
      <w:spacing w:line="240" w:lineRule="auto"/>
    </w:pPr>
    <w:rPr>
      <w:sz w:val="20"/>
      <w:szCs w:val="20"/>
    </w:rPr>
  </w:style>
  <w:style w:type="character" w:customStyle="1" w:styleId="CommentTextChar">
    <w:name w:val="Comment Text Char"/>
    <w:basedOn w:val="DefaultParagraphFont"/>
    <w:link w:val="CommentText"/>
    <w:uiPriority w:val="99"/>
    <w:semiHidden/>
    <w:rsid w:val="00047B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7BCD"/>
    <w:rPr>
      <w:b/>
      <w:bCs/>
    </w:rPr>
  </w:style>
  <w:style w:type="character" w:customStyle="1" w:styleId="CommentSubjectChar">
    <w:name w:val="Comment Subject Char"/>
    <w:basedOn w:val="CommentTextChar"/>
    <w:link w:val="CommentSubject"/>
    <w:uiPriority w:val="99"/>
    <w:semiHidden/>
    <w:rsid w:val="00047BCD"/>
    <w:rPr>
      <w:rFonts w:ascii="Times New Roman" w:hAnsi="Times New Roman"/>
      <w:b/>
      <w:bCs/>
      <w:sz w:val="20"/>
      <w:szCs w:val="20"/>
    </w:rPr>
  </w:style>
  <w:style w:type="paragraph" w:styleId="BalloonText">
    <w:name w:val="Balloon Text"/>
    <w:basedOn w:val="Normal"/>
    <w:link w:val="BalloonTextChar"/>
    <w:uiPriority w:val="99"/>
    <w:semiHidden/>
    <w:unhideWhenUsed/>
    <w:rsid w:val="00047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BCD"/>
    <w:rPr>
      <w:rFonts w:ascii="Segoe UI" w:hAnsi="Segoe UI" w:cs="Segoe UI"/>
      <w:sz w:val="18"/>
      <w:szCs w:val="18"/>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4A32CF"/>
    <w:rPr>
      <w:rFonts w:ascii="Times New Roman" w:hAnsi="Times New Roman"/>
      <w:sz w:val="24"/>
    </w:rPr>
  </w:style>
  <w:style w:type="character" w:styleId="FollowedHyperlink">
    <w:name w:val="FollowedHyperlink"/>
    <w:basedOn w:val="DefaultParagraphFont"/>
    <w:uiPriority w:val="99"/>
    <w:semiHidden/>
    <w:unhideWhenUsed/>
    <w:rsid w:val="00217CEC"/>
    <w:rPr>
      <w:color w:val="800080" w:themeColor="followedHyperlink"/>
      <w:u w:val="single"/>
    </w:rPr>
  </w:style>
  <w:style w:type="paragraph" w:styleId="Revision">
    <w:name w:val="Revision"/>
    <w:hidden/>
    <w:uiPriority w:val="99"/>
    <w:semiHidden/>
    <w:rsid w:val="00A1008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D13C2"/>
    <w:rPr>
      <w:color w:val="605E5C"/>
      <w:shd w:val="clear" w:color="auto" w:fill="E1DFDD"/>
    </w:rPr>
  </w:style>
  <w:style w:type="paragraph" w:styleId="Header">
    <w:name w:val="header"/>
    <w:basedOn w:val="Normal"/>
    <w:link w:val="HeaderChar"/>
    <w:uiPriority w:val="99"/>
    <w:semiHidden/>
    <w:unhideWhenUsed/>
    <w:rsid w:val="004958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89B"/>
    <w:rPr>
      <w:rFonts w:ascii="Times New Roman" w:hAnsi="Times New Roman"/>
      <w:sz w:val="24"/>
    </w:rPr>
  </w:style>
  <w:style w:type="paragraph" w:styleId="Footer">
    <w:name w:val="footer"/>
    <w:basedOn w:val="Normal"/>
    <w:link w:val="FooterChar"/>
    <w:uiPriority w:val="99"/>
    <w:semiHidden/>
    <w:unhideWhenUsed/>
    <w:rsid w:val="004958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89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privacy/crash-data-acquisition-network-cdan-pia" TargetMode="External" /><Relationship Id="rId7"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htsa.gov/node/100386" TargetMode="External" /><Relationship Id="rId2" Type="http://schemas.openxmlformats.org/officeDocument/2006/relationships/hyperlink" Target="https://www.regulations.gov/comment/NHTSA-2023-0065-0003" TargetMode="External" /><Relationship Id="rId3" Type="http://schemas.openxmlformats.org/officeDocument/2006/relationships/hyperlink" Target="https://www.bls.gov/news.release/empsit.t19.htm" TargetMode="External" /><Relationship Id="rId4" Type="http://schemas.openxmlformats.org/officeDocument/2006/relationships/hyperlink" Target="https://www.bls.gov/oes/current/999301.htm" TargetMode="External" /><Relationship Id="rId5" Type="http://schemas.openxmlformats.org/officeDocument/2006/relationships/hyperlink" Target="https://www.bls.gov/news.release/ecec.t01.htm"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1/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BCEE-299E-4560-8D61-9CBB8F56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7248</Words>
  <Characters>41315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Rudd, Rodney (NHTSA)</cp:lastModifiedBy>
  <cp:revision>2</cp:revision>
  <dcterms:created xsi:type="dcterms:W3CDTF">2024-06-05T12:05:00Z</dcterms:created>
  <dcterms:modified xsi:type="dcterms:W3CDTF">2024-06-05T12:05:00Z</dcterms:modified>
</cp:coreProperties>
</file>