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4149" w:rsidRPr="002F08CC" w:rsidP="00C34149" w14:paraId="42003021" w14:textId="77777777">
      <w:pPr>
        <w:widowControl w:val="0"/>
        <w:tabs>
          <w:tab w:val="center" w:pos="4680"/>
        </w:tabs>
        <w:jc w:val="center"/>
        <w:rPr>
          <w:b/>
          <w:szCs w:val="24"/>
        </w:rPr>
      </w:pPr>
      <w:r w:rsidRPr="002F08CC">
        <w:rPr>
          <w:b/>
          <w:lang w:val="en-CA"/>
        </w:rPr>
        <w:fldChar w:fldCharType="begin"/>
      </w:r>
      <w:r w:rsidRPr="002F08CC">
        <w:instrText xml:space="preserve"> SEQ CHAPTER \h \r 1</w:instrText>
      </w:r>
      <w:r w:rsidRPr="002F08CC">
        <w:fldChar w:fldCharType="separate"/>
      </w:r>
      <w:r w:rsidRPr="002F08CC">
        <w:fldChar w:fldCharType="end"/>
      </w:r>
      <w:r w:rsidRPr="002F08CC">
        <w:rPr>
          <w:szCs w:val="24"/>
        </w:rPr>
        <w:fldChar w:fldCharType="begin"/>
      </w:r>
      <w:r w:rsidRPr="002F08CC">
        <w:rPr>
          <w:szCs w:val="24"/>
        </w:rPr>
        <w:instrText xml:space="preserve"> SEQ CHAPTER \h \r 1</w:instrText>
      </w:r>
      <w:r w:rsidRPr="002F08CC">
        <w:rPr>
          <w:szCs w:val="24"/>
        </w:rPr>
        <w:fldChar w:fldCharType="separate"/>
      </w:r>
      <w:r w:rsidRPr="002F08CC">
        <w:rPr>
          <w:szCs w:val="24"/>
        </w:rPr>
        <w:fldChar w:fldCharType="end"/>
      </w:r>
      <w:r w:rsidRPr="002F08CC">
        <w:rPr>
          <w:b/>
          <w:szCs w:val="24"/>
        </w:rPr>
        <w:t>FEDERAL RAILROAD ADMINISTRATION</w:t>
      </w:r>
    </w:p>
    <w:p w:rsidR="00C34149" w:rsidRPr="00C34149" w14:paraId="76D5F7B1" w14:textId="6CE57ACD">
      <w:pPr>
        <w:jc w:val="center"/>
        <w:rPr>
          <w:b/>
          <w:bCs/>
        </w:rPr>
      </w:pPr>
      <w:r w:rsidRPr="14643AC4">
        <w:rPr>
          <w:b/>
          <w:bCs/>
        </w:rPr>
        <w:t xml:space="preserve">Uniform Report of </w:t>
      </w:r>
      <w:r w:rsidRPr="14643AC4" w:rsidR="295EAA25">
        <w:rPr>
          <w:b/>
          <w:bCs/>
        </w:rPr>
        <w:t>Small Business (SB)</w:t>
      </w:r>
      <w:r w:rsidRPr="14643AC4" w:rsidR="001D3E5A">
        <w:rPr>
          <w:b/>
          <w:bCs/>
        </w:rPr>
        <w:t xml:space="preserve"> Commitments/Awards and Payments</w:t>
      </w:r>
    </w:p>
    <w:p w:rsidR="00C34149" w:rsidRPr="002F08CC" w:rsidP="00C34149" w14:paraId="5C2F909B" w14:textId="511D947A">
      <w:pPr>
        <w:jc w:val="center"/>
        <w:rPr>
          <w:szCs w:val="24"/>
        </w:rPr>
      </w:pPr>
      <w:r w:rsidRPr="002F08CC">
        <w:rPr>
          <w:szCs w:val="24"/>
        </w:rPr>
        <w:fldChar w:fldCharType="begin"/>
      </w:r>
      <w:r w:rsidRPr="002F08CC">
        <w:rPr>
          <w:szCs w:val="24"/>
        </w:rPr>
        <w:instrText xml:space="preserve"> SEQ CHAPTER \h \r 1</w:instrText>
      </w:r>
      <w:r w:rsidRPr="002F08CC">
        <w:rPr>
          <w:szCs w:val="24"/>
        </w:rPr>
        <w:fldChar w:fldCharType="separate"/>
      </w:r>
      <w:r w:rsidRPr="002F08CC">
        <w:rPr>
          <w:szCs w:val="24"/>
        </w:rPr>
        <w:fldChar w:fldCharType="end"/>
      </w:r>
      <w:r w:rsidRPr="002F08CC">
        <w:rPr>
          <w:b/>
          <w:bCs/>
          <w:szCs w:val="24"/>
          <w:lang w:val="en-CA"/>
        </w:rPr>
        <w:fldChar w:fldCharType="begin"/>
      </w:r>
      <w:r w:rsidRPr="002F08CC">
        <w:rPr>
          <w:b/>
          <w:bCs/>
          <w:szCs w:val="24"/>
          <w:lang w:val="en-CA"/>
        </w:rPr>
        <w:instrText xml:space="preserve"> SEQ CHAPTER \h \r 1</w:instrText>
      </w:r>
      <w:r w:rsidRPr="002F08CC">
        <w:rPr>
          <w:b/>
          <w:bCs/>
          <w:szCs w:val="24"/>
          <w:lang w:val="en-CA"/>
        </w:rPr>
        <w:fldChar w:fldCharType="separate"/>
      </w:r>
      <w:r w:rsidRPr="002F08CC">
        <w:rPr>
          <w:b/>
          <w:bCs/>
          <w:szCs w:val="24"/>
          <w:lang w:val="en-CA"/>
        </w:rPr>
        <w:fldChar w:fldCharType="end"/>
      </w:r>
      <w:r w:rsidRPr="002F08CC">
        <w:rPr>
          <w:b/>
          <w:bCs/>
          <w:szCs w:val="24"/>
        </w:rPr>
        <w:t>SUPPORTING JUSTIFICATION</w:t>
      </w:r>
    </w:p>
    <w:p w:rsidR="00C34149" w:rsidRPr="002F08CC" w:rsidP="00C34149" w14:paraId="27CB7682" w14:textId="77777777">
      <w:pPr>
        <w:jc w:val="center"/>
        <w:rPr>
          <w:b/>
          <w:bCs/>
          <w:szCs w:val="24"/>
        </w:rPr>
      </w:pPr>
      <w:r w:rsidRPr="002F08CC">
        <w:rPr>
          <w:b/>
          <w:bCs/>
          <w:szCs w:val="24"/>
        </w:rPr>
        <w:t>OMB No. 2130-</w:t>
      </w:r>
      <w:r>
        <w:rPr>
          <w:b/>
          <w:bCs/>
          <w:szCs w:val="24"/>
        </w:rPr>
        <w:t>NEW</w:t>
      </w:r>
    </w:p>
    <w:p w:rsidR="00C34149" w:rsidRPr="00907AD7" w:rsidP="00C34149" w14:paraId="438E17CB" w14:textId="1499F3FF">
      <w:pPr>
        <w:jc w:val="center"/>
        <w:rPr>
          <w:b/>
          <w:bCs/>
          <w:szCs w:val="24"/>
        </w:rPr>
      </w:pPr>
      <w:r w:rsidRPr="002F08CC">
        <w:rPr>
          <w:b/>
          <w:bCs/>
          <w:szCs w:val="24"/>
        </w:rPr>
        <w:t xml:space="preserve">Form Number </w:t>
      </w:r>
      <w:r w:rsidRPr="00907AD7">
        <w:rPr>
          <w:b/>
          <w:bCs/>
        </w:rPr>
        <w:t>FRA F 6180. 281</w:t>
      </w:r>
    </w:p>
    <w:p w:rsidR="00C34149" w:rsidRPr="002F08CC" w:rsidP="00C34149" w14:paraId="3D3393EC" w14:textId="77777777"/>
    <w:p w:rsidR="00C34149" w:rsidRPr="002F08CC" w:rsidP="000F370F" w14:paraId="7EBEA204" w14:textId="77777777">
      <w:pPr>
        <w:widowControl w:val="0"/>
        <w:ind w:left="720"/>
        <w:rPr>
          <w:u w:val="single"/>
        </w:rPr>
      </w:pPr>
      <w:r w:rsidRPr="002F08CC">
        <w:rPr>
          <w:u w:val="single"/>
        </w:rPr>
        <w:t>Summary of Submission</w:t>
      </w:r>
    </w:p>
    <w:p w:rsidR="00C34149" w:rsidRPr="002F08CC" w:rsidP="00C34149" w14:paraId="725A791F" w14:textId="77777777"/>
    <w:p w:rsidR="00C34149" w:rsidRPr="00094EC8" w:rsidP="00C34149" w14:paraId="13E59C44" w14:textId="3AA4F672">
      <w:pPr>
        <w:pStyle w:val="ListParagraph"/>
        <w:numPr>
          <w:ilvl w:val="0"/>
          <w:numId w:val="2"/>
        </w:numPr>
      </w:pPr>
      <w:r>
        <w:t xml:space="preserve">This submission is a new collection of information on Uniform Report of </w:t>
      </w:r>
      <w:r w:rsidR="08594472">
        <w:t>Small Business (SB)</w:t>
      </w:r>
      <w:r>
        <w:t>.</w:t>
      </w:r>
    </w:p>
    <w:p w:rsidR="00C34149" w:rsidRPr="002F08CC" w:rsidP="00C34149" w14:paraId="6AA895DF" w14:textId="77777777">
      <w:pPr>
        <w:widowControl w:val="0"/>
        <w:ind w:left="1080"/>
      </w:pPr>
    </w:p>
    <w:p w:rsidR="00C34149" w:rsidP="00145914" w14:paraId="3BD926AF" w14:textId="34B08453">
      <w:pPr>
        <w:pStyle w:val="ListParagraph"/>
        <w:widowControl w:val="0"/>
        <w:numPr>
          <w:ilvl w:val="0"/>
          <w:numId w:val="2"/>
        </w:numPr>
      </w:pPr>
      <w:r w:rsidRPr="002F08CC">
        <w:t>The Federal Railroad Administration (</w:t>
      </w:r>
      <w:r w:rsidR="00726552">
        <w:t>hereafter “</w:t>
      </w:r>
      <w:r w:rsidRPr="002F08CC">
        <w:t>FRA</w:t>
      </w:r>
      <w:r w:rsidR="00726552">
        <w:t>” or “the Agency”</w:t>
      </w:r>
      <w:r w:rsidRPr="002F08CC">
        <w:t>) published the required 60-day</w:t>
      </w:r>
      <w:r w:rsidR="00726552">
        <w:t xml:space="preserve"> Notice in the</w:t>
      </w:r>
      <w:r w:rsidRPr="002F08CC">
        <w:t xml:space="preserve"> </w:t>
      </w:r>
      <w:r w:rsidRPr="009F4509">
        <w:rPr>
          <w:u w:val="single"/>
        </w:rPr>
        <w:t>Federal</w:t>
      </w:r>
      <w:r w:rsidRPr="000F370F">
        <w:t xml:space="preserve"> </w:t>
      </w:r>
      <w:r w:rsidRPr="009F4509">
        <w:rPr>
          <w:u w:val="single"/>
        </w:rPr>
        <w:t>Register</w:t>
      </w:r>
      <w:r w:rsidRPr="002F08CC">
        <w:t xml:space="preserve"> on </w:t>
      </w:r>
      <w:r w:rsidR="00C46472">
        <w:t>July 30</w:t>
      </w:r>
      <w:r>
        <w:t>, 2024</w:t>
      </w:r>
      <w:r w:rsidRPr="002F08CC">
        <w:t xml:space="preserve">.  </w:t>
      </w:r>
      <w:r w:rsidRPr="009F4509">
        <w:rPr>
          <w:u w:val="single"/>
        </w:rPr>
        <w:t>See</w:t>
      </w:r>
      <w:r w:rsidRPr="002F08CC">
        <w:t xml:space="preserve"> 8</w:t>
      </w:r>
      <w:r w:rsidR="00DD4B2A">
        <w:t>9</w:t>
      </w:r>
      <w:r w:rsidRPr="002F08CC">
        <w:t xml:space="preserve"> FR</w:t>
      </w:r>
      <w:r>
        <w:t xml:space="preserve"> </w:t>
      </w:r>
      <w:r w:rsidR="00C46472">
        <w:t>61230</w:t>
      </w:r>
      <w:r w:rsidRPr="002F08CC">
        <w:t xml:space="preserve">.  FRA received </w:t>
      </w:r>
      <w:r w:rsidR="00921433">
        <w:t xml:space="preserve">no </w:t>
      </w:r>
      <w:r w:rsidRPr="002F08CC">
        <w:t>comments in response to this Notice.</w:t>
      </w:r>
      <w:r>
        <w:t xml:space="preserve"> </w:t>
      </w:r>
    </w:p>
    <w:p w:rsidR="00767F21" w:rsidRPr="002F08CC" w:rsidP="000E395A" w14:paraId="024FE635" w14:textId="77777777">
      <w:pPr>
        <w:widowControl w:val="0"/>
        <w:ind w:left="1080"/>
      </w:pPr>
    </w:p>
    <w:p w:rsidR="00C34149" w:rsidRPr="002F08CC" w:rsidP="00C34149" w14:paraId="14ADCBE9" w14:textId="225AC481">
      <w:pPr>
        <w:widowControl w:val="0"/>
        <w:numPr>
          <w:ilvl w:val="1"/>
          <w:numId w:val="1"/>
        </w:numPr>
      </w:pPr>
      <w:r w:rsidRPr="002F08CC">
        <w:t xml:space="preserve">The total burden hours requested for this information collection submission is </w:t>
      </w:r>
      <w:r w:rsidR="00907AD7">
        <w:t>49,980</w:t>
      </w:r>
      <w:r>
        <w:t> </w:t>
      </w:r>
      <w:r w:rsidRPr="002F08CC">
        <w:t>hours.</w:t>
      </w:r>
    </w:p>
    <w:p w:rsidR="00C34149" w:rsidRPr="002F08CC" w:rsidP="00C34149" w14:paraId="6A74764B" w14:textId="77777777">
      <w:pPr>
        <w:pStyle w:val="ListParagraph"/>
      </w:pPr>
    </w:p>
    <w:p w:rsidR="00C34149" w:rsidP="00C34149" w14:paraId="10EB147C" w14:textId="06603131">
      <w:pPr>
        <w:widowControl w:val="0"/>
        <w:numPr>
          <w:ilvl w:val="1"/>
          <w:numId w:val="1"/>
        </w:numPr>
      </w:pPr>
      <w:r w:rsidRPr="002F08CC">
        <w:t xml:space="preserve">The total number of responses requested for this submission is </w:t>
      </w:r>
      <w:r w:rsidR="00907AD7">
        <w:t>140</w:t>
      </w:r>
      <w:r w:rsidRPr="002F08CC">
        <w:t>.</w:t>
      </w:r>
    </w:p>
    <w:p w:rsidR="00D118DD" w:rsidP="000E395A" w14:paraId="0138FC03" w14:textId="77777777">
      <w:pPr>
        <w:pStyle w:val="ListParagraph"/>
      </w:pPr>
    </w:p>
    <w:p w:rsidR="00C34149" w:rsidRPr="002F08CC" w:rsidP="00C34149" w14:paraId="34FFFA40" w14:textId="77777777">
      <w:pPr>
        <w:widowControl w:val="0"/>
        <w:numPr>
          <w:ilvl w:val="0"/>
          <w:numId w:val="3"/>
        </w:numPr>
        <w:ind w:left="720"/>
        <w:rPr>
          <w:szCs w:val="24"/>
        </w:rPr>
      </w:pPr>
      <w:r w:rsidRPr="002F08CC">
        <w:rPr>
          <w:b/>
          <w:szCs w:val="24"/>
          <w:u w:val="single"/>
        </w:rPr>
        <w:t>Circumstances that make collection of the information necessary</w:t>
      </w:r>
      <w:r w:rsidRPr="002F08CC">
        <w:rPr>
          <w:b/>
          <w:szCs w:val="24"/>
        </w:rPr>
        <w:t>.</w:t>
      </w:r>
    </w:p>
    <w:p w:rsidR="004A1FDB" w:rsidP="004A1FDB" w14:paraId="710C75DE" w14:textId="77777777">
      <w:pPr>
        <w:ind w:left="720"/>
      </w:pPr>
    </w:p>
    <w:p w:rsidR="006435D1" w:rsidRPr="006435D1" w:rsidP="006435D1" w14:paraId="2FCF4113" w14:textId="15003BE2">
      <w:pPr>
        <w:pStyle w:val="Default"/>
        <w:ind w:left="720"/>
      </w:pPr>
      <w:r>
        <w:t xml:space="preserve">The Disadvantaged Business Enterprise (DBE) program is statutorily mandated and intended to assist small businesses owned and controlled by socially and economically disadvantaged individuals </w:t>
      </w:r>
      <w:r w:rsidR="37B260FC">
        <w:t xml:space="preserve">to </w:t>
      </w:r>
      <w:r>
        <w:t>compete fairly in the Department</w:t>
      </w:r>
      <w:r w:rsidR="00175E9A">
        <w:t xml:space="preserve"> of </w:t>
      </w:r>
      <w:r w:rsidR="00B33A40">
        <w:t>Transportation’s</w:t>
      </w:r>
      <w:r w:rsidR="00A42352">
        <w:t xml:space="preserve"> (DOT)</w:t>
      </w:r>
      <w:r w:rsidR="00B33A40">
        <w:t>transportation</w:t>
      </w:r>
      <w:r>
        <w:t xml:space="preserve"> funding programs for certain highway, transit, and aviation programs. The DBE program is implemented by recipients of DOT financial assistance. The DOT DBE </w:t>
      </w:r>
      <w:r w:rsidR="00637E4C">
        <w:t xml:space="preserve">directive </w:t>
      </w:r>
      <w:r>
        <w:t xml:space="preserve">does not include rail assistance programs and FRA does not have a mandated DBE program. Rather, FRA issues and manages rail assistance programs in compliance with the DOT regulations for implementing Title VI of the Civil Rights Act of 1964 found at 49 CFR Part 21 and the Uniform Administrative Requirements, Cost Principles, and Audit Requirements for Federal Awards found at 2 CFR Part 200. Specifically, 2 CFR 200.321 (a)-(b)(6) provides affirmative steps a non-Federal entity must take to assure that minority businesses, women’s business enterprises, and labor surplus area firms are used when possible.  </w:t>
      </w:r>
    </w:p>
    <w:p w:rsidR="00AB06B3" w:rsidP="000B69A4" w14:paraId="6F437C24" w14:textId="00152079">
      <w:pPr>
        <w:pStyle w:val="Default"/>
        <w:ind w:left="720"/>
        <w:rPr>
          <w:rFonts w:eastAsia="Times New Roman"/>
        </w:rPr>
      </w:pPr>
    </w:p>
    <w:p w:rsidR="000A5A5C" w:rsidRPr="000A5A5C" w:rsidP="000A5A5C" w14:paraId="07B1E6E8" w14:textId="1EBB88A5">
      <w:pPr>
        <w:pStyle w:val="Default"/>
        <w:ind w:left="720"/>
      </w:pPr>
      <w:r w:rsidRPr="000A5A5C">
        <w:t xml:space="preserve"> In 2015, Congress instructed the Secretary of Transportation to conduct a nationwide disparity and availability study on the availability and use of small businesses owned and controlled by socially and economically disadvantaged individuals and veteran-owned small businesses in publicly funded intercity rail passenger transportation projects. </w:t>
      </w:r>
    </w:p>
    <w:p w:rsidR="000A5A5C" w:rsidP="000A5A5C" w14:paraId="4EF418A3" w14:textId="77777777">
      <w:pPr>
        <w:pStyle w:val="Default"/>
        <w:ind w:left="720"/>
      </w:pPr>
      <w:r w:rsidRPr="000A5A5C">
        <w:t>The report for the study was provided to Congress in 2022.  The report noted a gap in data available for analysis to determine if there is any disparity in rail transportation grant awards. The proposed data collection will address this gap and aid future considerations of the application of the DBE program.</w:t>
      </w:r>
    </w:p>
    <w:p w:rsidR="00C46472" w:rsidP="000A5A5C" w14:paraId="16BAB6CF" w14:textId="77777777">
      <w:pPr>
        <w:pStyle w:val="Default"/>
        <w:ind w:left="720"/>
      </w:pPr>
    </w:p>
    <w:p w:rsidR="001962F4" w:rsidRPr="000A5A5C" w:rsidP="000A5A5C" w14:paraId="1DDDFEA0" w14:textId="77777777">
      <w:pPr>
        <w:pStyle w:val="Default"/>
        <w:ind w:left="720"/>
      </w:pPr>
    </w:p>
    <w:p w:rsidR="00863F44" w:rsidRPr="00C46472" w:rsidP="00C46472" w14:paraId="22695AE0" w14:textId="77D86B09">
      <w:pPr>
        <w:pStyle w:val="ListParagraph"/>
        <w:widowControl w:val="0"/>
        <w:numPr>
          <w:ilvl w:val="0"/>
          <w:numId w:val="3"/>
        </w:numPr>
        <w:ind w:left="720"/>
        <w:rPr>
          <w:szCs w:val="24"/>
        </w:rPr>
      </w:pPr>
      <w:r w:rsidRPr="00145914">
        <w:rPr>
          <w:b/>
          <w:bCs/>
          <w:szCs w:val="24"/>
          <w:u w:val="single"/>
        </w:rPr>
        <w:t>How, by whom, and for what purpose the information is to be used</w:t>
      </w:r>
      <w:r w:rsidRPr="000E395A">
        <w:rPr>
          <w:b/>
          <w:bCs/>
          <w:szCs w:val="24"/>
        </w:rPr>
        <w:t>.</w:t>
      </w:r>
    </w:p>
    <w:p w:rsidR="00C46472" w:rsidRPr="000E395A" w:rsidP="00C46472" w14:paraId="0E9A72F3" w14:textId="77777777">
      <w:pPr>
        <w:pStyle w:val="ListParagraph"/>
        <w:widowControl w:val="0"/>
        <w:rPr>
          <w:szCs w:val="24"/>
        </w:rPr>
      </w:pPr>
    </w:p>
    <w:p w:rsidR="006A786A" w:rsidP="00632E45" w14:paraId="6E310998" w14:textId="3C1B84A8">
      <w:pPr>
        <w:ind w:left="720"/>
      </w:pPr>
      <w:r>
        <w:t xml:space="preserve">This is a new </w:t>
      </w:r>
      <w:r w:rsidR="00E44086">
        <w:t xml:space="preserve">mandatory </w:t>
      </w:r>
      <w:r>
        <w:t>collection of information</w:t>
      </w:r>
      <w:r w:rsidR="00E44086">
        <w:t>.</w:t>
      </w:r>
      <w:r>
        <w:t xml:space="preserve">  </w:t>
      </w:r>
      <w:r w:rsidR="00632E45">
        <w:t xml:space="preserve">FRA is </w:t>
      </w:r>
      <w:r w:rsidR="00E44086">
        <w:t>proposing</w:t>
      </w:r>
      <w:r w:rsidR="00632E45">
        <w:t xml:space="preserve"> a new form to carry out its oversight responsibilities of non-Federal entities receiving grant funds.  </w:t>
      </w:r>
      <w:r w:rsidR="00863F44">
        <w:t xml:space="preserve">The </w:t>
      </w:r>
      <w:r w:rsidR="003F58BA">
        <w:t xml:space="preserve">new </w:t>
      </w:r>
      <w:r w:rsidR="27EE8997">
        <w:t>SB</w:t>
      </w:r>
      <w:r w:rsidR="003F58BA">
        <w:t xml:space="preserve"> Commitments/Awards and Payments</w:t>
      </w:r>
      <w:r w:rsidR="00863F44">
        <w:t xml:space="preserve"> Form </w:t>
      </w:r>
      <w:r>
        <w:t xml:space="preserve">will be collected annually from </w:t>
      </w:r>
      <w:r w:rsidR="0037595A">
        <w:t>grant recipients to</w:t>
      </w:r>
      <w:r w:rsidR="00153572">
        <w:t xml:space="preserve"> </w:t>
      </w:r>
      <w:r>
        <w:t xml:space="preserve">conduct program oversight of recipients’ </w:t>
      </w:r>
      <w:r w:rsidR="2F722CF1">
        <w:t>SB</w:t>
      </w:r>
      <w:r w:rsidR="004E1AFA">
        <w:t xml:space="preserve"> </w:t>
      </w:r>
      <w:r>
        <w:t xml:space="preserve">programs and to identify trends or </w:t>
      </w:r>
      <w:r w:rsidR="006524BE">
        <w:t xml:space="preserve">opportunities for improvement </w:t>
      </w:r>
      <w:r>
        <w:t xml:space="preserve">in the program.  The new form requires recipients to include information about their </w:t>
      </w:r>
      <w:r w:rsidR="0B765F10">
        <w:t>SB</w:t>
      </w:r>
      <w:r w:rsidR="004E1AFA">
        <w:t xml:space="preserve"> aspirational </w:t>
      </w:r>
      <w:r>
        <w:t xml:space="preserve">goals for that year and the </w:t>
      </w:r>
      <w:r w:rsidR="33EF8752">
        <w:t>SB</w:t>
      </w:r>
      <w:r w:rsidR="004E1AFA">
        <w:t xml:space="preserve"> </w:t>
      </w:r>
      <w:r>
        <w:t>participation they managed to achieve during that time.  The</w:t>
      </w:r>
      <w:r w:rsidR="00632E45">
        <w:t xml:space="preserve"> data</w:t>
      </w:r>
      <w:r>
        <w:t xml:space="preserve"> collection is necessary to ensure that the </w:t>
      </w:r>
      <w:r w:rsidR="516291E8">
        <w:t>SB</w:t>
      </w:r>
      <w:r w:rsidR="004E1AFA">
        <w:t xml:space="preserve"> </w:t>
      </w:r>
      <w:r>
        <w:t xml:space="preserve">program is achieving its goal of encouraging </w:t>
      </w:r>
      <w:r w:rsidR="38E8B49A">
        <w:t>SB</w:t>
      </w:r>
      <w:r w:rsidR="004E1AFA">
        <w:t xml:space="preserve"> </w:t>
      </w:r>
      <w:r>
        <w:t>participation in the Federal Railroad-related contracts.</w:t>
      </w:r>
    </w:p>
    <w:p w:rsidR="00DF6215" w:rsidP="00632E45" w14:paraId="52B6A92E" w14:textId="27363A9F">
      <w:pPr>
        <w:ind w:left="720"/>
        <w:rPr>
          <w:szCs w:val="24"/>
        </w:rPr>
      </w:pPr>
    </w:p>
    <w:p w:rsidR="00DD4B2A" w:rsidRPr="004A1FDB" w:rsidP="00DD4B2A" w14:paraId="1026F3B6" w14:textId="516ECADD">
      <w:pPr>
        <w:pStyle w:val="ListParagraph"/>
        <w:widowControl w:val="0"/>
        <w:numPr>
          <w:ilvl w:val="0"/>
          <w:numId w:val="3"/>
        </w:numPr>
        <w:ind w:left="720"/>
        <w:rPr>
          <w:szCs w:val="24"/>
        </w:rPr>
      </w:pPr>
      <w:r w:rsidRPr="002F08CC">
        <w:rPr>
          <w:b/>
          <w:szCs w:val="24"/>
          <w:u w:val="single"/>
        </w:rPr>
        <w:t>Extent of automated information collection</w:t>
      </w:r>
      <w:r w:rsidRPr="002F08CC">
        <w:rPr>
          <w:b/>
          <w:szCs w:val="24"/>
        </w:rPr>
        <w:t>.</w:t>
      </w:r>
    </w:p>
    <w:p w:rsidR="002F62D5" w:rsidP="004A1FDB" w14:paraId="29199290" w14:textId="77777777">
      <w:pPr>
        <w:widowControl w:val="0"/>
        <w:ind w:left="720"/>
        <w:rPr>
          <w:szCs w:val="24"/>
        </w:rPr>
      </w:pPr>
    </w:p>
    <w:p w:rsidR="004A1FDB" w:rsidP="004A1FDB" w14:paraId="1E2089AB" w14:textId="6517FF2D">
      <w:pPr>
        <w:widowControl w:val="0"/>
        <w:ind w:left="720"/>
        <w:rPr>
          <w:szCs w:val="24"/>
        </w:rPr>
      </w:pPr>
      <w:r>
        <w:rPr>
          <w:szCs w:val="24"/>
        </w:rPr>
        <w:t xml:space="preserve">FRA strongly encourages the use of advanced information technology, wherever feasible, to reduce the paperwork burden on respondents.  FRA estimates that </w:t>
      </w:r>
      <w:r w:rsidR="0037595A">
        <w:rPr>
          <w:szCs w:val="24"/>
        </w:rPr>
        <w:t>100</w:t>
      </w:r>
      <w:r>
        <w:rPr>
          <w:szCs w:val="24"/>
        </w:rPr>
        <w:t xml:space="preserve"> percent of all responses will be collected electronically by the </w:t>
      </w:r>
      <w:r w:rsidR="00281807">
        <w:rPr>
          <w:szCs w:val="24"/>
        </w:rPr>
        <w:t>grant recipients</w:t>
      </w:r>
      <w:r>
        <w:rPr>
          <w:szCs w:val="24"/>
        </w:rPr>
        <w:t>.</w:t>
      </w:r>
    </w:p>
    <w:p w:rsidR="006174A1" w:rsidP="004A1FDB" w14:paraId="02CB9419" w14:textId="77777777">
      <w:pPr>
        <w:widowControl w:val="0"/>
        <w:ind w:left="720"/>
        <w:rPr>
          <w:szCs w:val="24"/>
        </w:rPr>
      </w:pPr>
    </w:p>
    <w:p w:rsidR="00DD4B2A" w:rsidRPr="0021458D" w:rsidP="00DD4B2A" w14:paraId="58FEC9B5" w14:textId="7F1A622F">
      <w:pPr>
        <w:pStyle w:val="ListParagraph"/>
        <w:widowControl w:val="0"/>
        <w:numPr>
          <w:ilvl w:val="0"/>
          <w:numId w:val="3"/>
        </w:numPr>
        <w:ind w:left="720"/>
        <w:rPr>
          <w:szCs w:val="24"/>
        </w:rPr>
      </w:pPr>
      <w:r w:rsidRPr="002F08CC">
        <w:rPr>
          <w:b/>
          <w:szCs w:val="24"/>
          <w:u w:val="single"/>
        </w:rPr>
        <w:t>Efforts to identify duplication</w:t>
      </w:r>
      <w:r w:rsidRPr="002F08CC">
        <w:rPr>
          <w:bCs/>
          <w:szCs w:val="24"/>
        </w:rPr>
        <w:t>.</w:t>
      </w:r>
    </w:p>
    <w:p w:rsidR="0021458D" w:rsidP="0021458D" w14:paraId="3235929F" w14:textId="7B70E63F">
      <w:pPr>
        <w:pStyle w:val="ListParagraph"/>
        <w:widowControl w:val="0"/>
        <w:rPr>
          <w:b/>
          <w:szCs w:val="24"/>
          <w:u w:val="single"/>
        </w:rPr>
      </w:pPr>
    </w:p>
    <w:p w:rsidR="00FF3C31" w:rsidP="008A1857" w14:paraId="45FF98D5" w14:textId="35042DC5">
      <w:pPr>
        <w:widowControl w:val="0"/>
        <w:ind w:left="720"/>
      </w:pPr>
      <w:r>
        <w:t xml:space="preserve">The information collection requirements to </w:t>
      </w:r>
      <w:r w:rsidR="008A1857">
        <w:t xml:space="preserve">FRA’s </w:t>
      </w:r>
      <w:r>
        <w:t>knowledge are not duplicated anywhere.</w:t>
      </w:r>
      <w:r w:rsidR="008A1857">
        <w:t xml:space="preserve"> </w:t>
      </w:r>
      <w:r>
        <w:t>Similar data are not available from any other source.</w:t>
      </w:r>
    </w:p>
    <w:p w:rsidR="0037595A" w:rsidP="00FF3C31" w14:paraId="08000755" w14:textId="77777777">
      <w:pPr>
        <w:widowControl w:val="0"/>
        <w:ind w:left="720"/>
        <w:rPr>
          <w:b/>
        </w:rPr>
      </w:pPr>
    </w:p>
    <w:p w:rsidR="00DD4B2A" w:rsidRPr="00EB7174" w:rsidP="00DD4B2A" w14:paraId="32567EC2" w14:textId="60E4DFFD">
      <w:pPr>
        <w:pStyle w:val="ListParagraph"/>
        <w:widowControl w:val="0"/>
        <w:numPr>
          <w:ilvl w:val="0"/>
          <w:numId w:val="3"/>
        </w:numPr>
        <w:ind w:left="720"/>
      </w:pPr>
      <w:r w:rsidRPr="1ABDA54D">
        <w:rPr>
          <w:b/>
          <w:u w:val="single"/>
        </w:rPr>
        <w:t>Efforts to minimize the burden on small businesses</w:t>
      </w:r>
      <w:r w:rsidRPr="1ABDA54D">
        <w:rPr>
          <w:b/>
        </w:rPr>
        <w:t>.</w:t>
      </w:r>
    </w:p>
    <w:p w:rsidR="00EB7174" w:rsidP="00EB7174" w14:paraId="4771DCDA" w14:textId="76327F45">
      <w:pPr>
        <w:pStyle w:val="ListParagraph"/>
        <w:widowControl w:val="0"/>
        <w:rPr>
          <w:b/>
          <w:szCs w:val="24"/>
          <w:u w:val="single"/>
        </w:rPr>
      </w:pPr>
    </w:p>
    <w:p w:rsidR="00EB7174" w:rsidRPr="00EB7174" w:rsidP="00EB7174" w14:paraId="0A495F60" w14:textId="7C5CB0D6">
      <w:pPr>
        <w:widowControl w:val="0"/>
        <w:ind w:left="720"/>
      </w:pPr>
      <w:r>
        <w:t xml:space="preserve">There are </w:t>
      </w:r>
      <w:r w:rsidR="00B9054B">
        <w:t xml:space="preserve">minimal </w:t>
      </w:r>
      <w:r>
        <w:t>impacts to small businesses anticipated in this data collection.</w:t>
      </w:r>
      <w:r w:rsidR="00B9054B">
        <w:t xml:space="preserve"> The reporting burden is on the </w:t>
      </w:r>
      <w:r w:rsidR="008A1857">
        <w:t xml:space="preserve">grant </w:t>
      </w:r>
      <w:r w:rsidR="00B9054B">
        <w:t xml:space="preserve">recipient, but some </w:t>
      </w:r>
      <w:r w:rsidR="005D140A">
        <w:t xml:space="preserve">verification </w:t>
      </w:r>
      <w:r w:rsidR="005B02BD">
        <w:t xml:space="preserve">of </w:t>
      </w:r>
      <w:r w:rsidR="005D140A">
        <w:t>contact</w:t>
      </w:r>
      <w:r w:rsidR="005B02BD">
        <w:t xml:space="preserve"> information</w:t>
      </w:r>
      <w:r w:rsidR="005D140A">
        <w:t xml:space="preserve"> from the recipient to small business may occur.</w:t>
      </w:r>
    </w:p>
    <w:p w:rsidR="00153572" w:rsidRPr="002F08CC" w:rsidP="00153572" w14:paraId="53C79186" w14:textId="77777777">
      <w:pPr>
        <w:pStyle w:val="ListParagraph"/>
        <w:widowControl w:val="0"/>
        <w:rPr>
          <w:szCs w:val="24"/>
        </w:rPr>
      </w:pPr>
    </w:p>
    <w:p w:rsidR="00DD4B2A" w:rsidRPr="002F08CC" w:rsidP="00DD4B2A" w14:paraId="6BC8DF3F" w14:textId="77777777">
      <w:pPr>
        <w:widowControl w:val="0"/>
        <w:numPr>
          <w:ilvl w:val="0"/>
          <w:numId w:val="3"/>
        </w:numPr>
        <w:autoSpaceDE w:val="0"/>
        <w:autoSpaceDN w:val="0"/>
        <w:adjustRightInd w:val="0"/>
        <w:ind w:left="720"/>
        <w:rPr>
          <w:szCs w:val="24"/>
        </w:rPr>
      </w:pPr>
      <w:r w:rsidRPr="002F08CC">
        <w:rPr>
          <w:b/>
          <w:szCs w:val="24"/>
          <w:u w:val="single"/>
        </w:rPr>
        <w:t>Impact of less frequent collection of information</w:t>
      </w:r>
      <w:r w:rsidRPr="002F08CC">
        <w:rPr>
          <w:b/>
          <w:szCs w:val="24"/>
        </w:rPr>
        <w:t>.</w:t>
      </w:r>
    </w:p>
    <w:p w:rsidR="00DD4B2A" w14:paraId="03F86860" w14:textId="2EB1B77C"/>
    <w:p w:rsidR="00EB6856" w:rsidP="000E395A" w14:paraId="72D8D128" w14:textId="485FFA4A">
      <w:pPr>
        <w:pStyle w:val="NoSpacing"/>
        <w:ind w:left="720"/>
      </w:pPr>
      <w:r>
        <w:t xml:space="preserve">Data collection is designed to provide a periodic data set for analysis that will align with and provide temporal comparisons with other similar small business utilization data collections. </w:t>
      </w:r>
      <w:r w:rsidR="00206D3B">
        <w:t xml:space="preserve"> </w:t>
      </w:r>
      <w:r>
        <w:t xml:space="preserve">Less frequent collection of the data will result in </w:t>
      </w:r>
      <w:r w:rsidR="009D20E4">
        <w:t>diminished usefulness of the dataset because it will not be readily comparable to and aligned with other existing data collections.</w:t>
      </w:r>
    </w:p>
    <w:p w:rsidR="00581504" w:rsidP="008E75A1" w14:paraId="1516F1BF" w14:textId="77777777">
      <w:pPr>
        <w:pStyle w:val="NoSpacing"/>
      </w:pPr>
    </w:p>
    <w:p w:rsidR="00DD4B2A" w:rsidRPr="002F08CC" w:rsidP="00DD4B2A" w14:paraId="2DFC6C65" w14:textId="77777777">
      <w:pPr>
        <w:widowControl w:val="0"/>
        <w:numPr>
          <w:ilvl w:val="0"/>
          <w:numId w:val="3"/>
        </w:numPr>
        <w:autoSpaceDE w:val="0"/>
        <w:autoSpaceDN w:val="0"/>
        <w:adjustRightInd w:val="0"/>
        <w:ind w:left="720"/>
        <w:rPr>
          <w:b/>
          <w:szCs w:val="24"/>
          <w:u w:val="single"/>
        </w:rPr>
      </w:pPr>
      <w:r w:rsidRPr="002F08CC">
        <w:rPr>
          <w:b/>
          <w:szCs w:val="24"/>
          <w:u w:val="single"/>
        </w:rPr>
        <w:t>Special circumstances.</w:t>
      </w:r>
    </w:p>
    <w:p w:rsidR="00DD4B2A" w:rsidRPr="002F08CC" w:rsidP="00DD4B2A" w14:paraId="47D72905" w14:textId="77777777">
      <w:pPr>
        <w:pStyle w:val="ListParagraph"/>
        <w:rPr>
          <w:b/>
          <w:szCs w:val="24"/>
          <w:u w:val="single"/>
        </w:rPr>
      </w:pPr>
    </w:p>
    <w:p w:rsidR="00DD4B2A" w:rsidRPr="002F08CC" w:rsidP="00DD4B2A" w14:paraId="244D85DA" w14:textId="77777777">
      <w:pPr>
        <w:ind w:left="720"/>
        <w:rPr>
          <w:szCs w:val="24"/>
        </w:rPr>
      </w:pPr>
      <w:r w:rsidRPr="002F08CC">
        <w:rPr>
          <w:szCs w:val="24"/>
        </w:rPr>
        <w:t xml:space="preserve">There are no special circumstances. </w:t>
      </w:r>
    </w:p>
    <w:p w:rsidR="00DD4B2A" w14:paraId="538B9C6A" w14:textId="2992E22F"/>
    <w:p w:rsidR="00DD4B2A" w:rsidRPr="007D2CB5" w:rsidP="00DD4B2A" w14:paraId="146CF6DA" w14:textId="77777777">
      <w:pPr>
        <w:widowControl w:val="0"/>
        <w:numPr>
          <w:ilvl w:val="0"/>
          <w:numId w:val="3"/>
        </w:numPr>
        <w:autoSpaceDE w:val="0"/>
        <w:autoSpaceDN w:val="0"/>
        <w:adjustRightInd w:val="0"/>
        <w:ind w:left="720"/>
        <w:rPr>
          <w:b/>
          <w:szCs w:val="24"/>
          <w:u w:val="single"/>
        </w:rPr>
      </w:pPr>
      <w:r w:rsidRPr="00145914">
        <w:rPr>
          <w:b/>
          <w:szCs w:val="24"/>
          <w:u w:val="single"/>
        </w:rPr>
        <w:t xml:space="preserve">Compliance with 5 CFR </w:t>
      </w:r>
      <w:r w:rsidRPr="00145914">
        <w:rPr>
          <w:b/>
          <w:bCs/>
          <w:szCs w:val="24"/>
          <w:u w:val="single"/>
        </w:rPr>
        <w:t xml:space="preserve">§ </w:t>
      </w:r>
      <w:r w:rsidRPr="00145914">
        <w:rPr>
          <w:b/>
          <w:szCs w:val="24"/>
          <w:u w:val="single"/>
        </w:rPr>
        <w:t>1320.8</w:t>
      </w:r>
      <w:r w:rsidRPr="007D2CB5">
        <w:rPr>
          <w:b/>
          <w:szCs w:val="24"/>
        </w:rPr>
        <w:t>.</w:t>
      </w:r>
    </w:p>
    <w:p w:rsidR="00DD4B2A" w:rsidRPr="002F08CC" w:rsidP="00DD4B2A" w14:paraId="3346C9A3" w14:textId="77777777">
      <w:pPr>
        <w:widowControl w:val="0"/>
        <w:autoSpaceDE w:val="0"/>
        <w:autoSpaceDN w:val="0"/>
        <w:adjustRightInd w:val="0"/>
        <w:ind w:left="720"/>
        <w:rPr>
          <w:b/>
          <w:u w:val="single"/>
        </w:rPr>
      </w:pPr>
    </w:p>
    <w:p w:rsidR="00DD4B2A" w:rsidP="004A1FDB" w14:paraId="02FBE42B" w14:textId="20FC0FA7">
      <w:pPr>
        <w:ind w:left="630"/>
      </w:pPr>
      <w:r w:rsidRPr="002F08CC">
        <w:t xml:space="preserve">As required by the Paperwork Reduction Act of 1995 (PRA) and its implementing regulations in5 CFR part 1320, FRA published a notice in the </w:t>
      </w:r>
      <w:r w:rsidRPr="000E395A">
        <w:rPr>
          <w:i/>
          <w:iCs/>
        </w:rPr>
        <w:t>Federal Register</w:t>
      </w:r>
      <w:r w:rsidRPr="009D4587">
        <w:t xml:space="preserve"> </w:t>
      </w:r>
      <w:r w:rsidRPr="002F08CC">
        <w:t>on</w:t>
      </w:r>
      <w:r>
        <w:t xml:space="preserve"> </w:t>
      </w:r>
      <w:r w:rsidR="00534DBA">
        <w:t>July 30</w:t>
      </w:r>
      <w:r>
        <w:t xml:space="preserve">, </w:t>
      </w:r>
      <w:r>
        <w:t>2024</w:t>
      </w:r>
      <w:r w:rsidRPr="002F08CC">
        <w:t>,</w:t>
      </w:r>
      <w:r>
        <w:rPr>
          <w:rStyle w:val="FootnoteReference"/>
        </w:rPr>
        <w:footnoteReference w:id="3"/>
      </w:r>
      <w:r w:rsidRPr="002F08CC">
        <w:t xml:space="preserve"> soliciting comment from the public, railroads, and other interested parties on these information collection requirements</w:t>
      </w:r>
      <w:r>
        <w:t>.</w:t>
      </w:r>
      <w:r w:rsidR="005078CA">
        <w:t xml:space="preserve">  FRA received no comments.</w:t>
      </w:r>
    </w:p>
    <w:p w:rsidR="00835838" w:rsidP="004A1FDB" w14:paraId="5C7596C9" w14:textId="77777777">
      <w:pPr>
        <w:ind w:left="630"/>
      </w:pPr>
    </w:p>
    <w:p w:rsidR="0037595A" w:rsidRPr="00F16018" w:rsidP="0037595A" w14:paraId="4E880FAA" w14:textId="77777777">
      <w:pPr>
        <w:ind w:firstLine="630"/>
        <w:rPr>
          <w:i/>
          <w:iCs/>
          <w:color w:val="000000"/>
          <w:szCs w:val="24"/>
          <w:u w:val="single"/>
        </w:rPr>
      </w:pPr>
      <w:r w:rsidRPr="00F16018">
        <w:rPr>
          <w:i/>
          <w:iCs/>
          <w:color w:val="000000"/>
          <w:szCs w:val="24"/>
          <w:u w:val="single"/>
        </w:rPr>
        <w:t>Consultations with representatives of the affected population:</w:t>
      </w:r>
    </w:p>
    <w:p w:rsidR="0037595A" w:rsidP="004A1FDB" w14:paraId="7A564209" w14:textId="5A3053C5">
      <w:pPr>
        <w:ind w:left="630"/>
      </w:pPr>
    </w:p>
    <w:p w:rsidR="0037595A" w:rsidP="004A1FDB" w14:paraId="0B0A9A31" w14:textId="4555BC29">
      <w:pPr>
        <w:ind w:left="630"/>
      </w:pPr>
      <w:r>
        <w:t>This data collection is part of the remedial activities coming from the agency’s September 20, 2022, commission Report to Congress Concerning Minority- and Women-Owned Small Businesses in Industries Related to the Rail Transportation Sector.</w:t>
      </w:r>
    </w:p>
    <w:p w:rsidR="0037595A" w:rsidP="004A1FDB" w14:paraId="78F631EE" w14:textId="17E66948">
      <w:pPr>
        <w:ind w:left="630"/>
      </w:pPr>
    </w:p>
    <w:p w:rsidR="00DD4B2A" w:rsidRPr="002F08CC" w:rsidP="00DD4B2A" w14:paraId="19BB4EC2" w14:textId="77777777">
      <w:pPr>
        <w:widowControl w:val="0"/>
        <w:numPr>
          <w:ilvl w:val="0"/>
          <w:numId w:val="3"/>
        </w:numPr>
        <w:autoSpaceDE w:val="0"/>
        <w:autoSpaceDN w:val="0"/>
        <w:adjustRightInd w:val="0"/>
        <w:ind w:left="720"/>
        <w:rPr>
          <w:b/>
          <w:szCs w:val="24"/>
          <w:u w:val="single"/>
        </w:rPr>
      </w:pPr>
      <w:r w:rsidRPr="26E12D33">
        <w:rPr>
          <w:b/>
          <w:u w:val="single"/>
        </w:rPr>
        <w:t>Payments or gifts to respondents.</w:t>
      </w:r>
    </w:p>
    <w:p w:rsidR="00DD4B2A" w:rsidRPr="002F08CC" w:rsidP="00DD4B2A" w14:paraId="41C930DC" w14:textId="77777777">
      <w:pPr>
        <w:pStyle w:val="ListParagraph"/>
        <w:rPr>
          <w:b/>
          <w:szCs w:val="24"/>
          <w:u w:val="single"/>
        </w:rPr>
      </w:pPr>
    </w:p>
    <w:p w:rsidR="00DD4B2A" w:rsidRPr="002F08CC" w:rsidP="00DD4B2A" w14:paraId="5E642D3B" w14:textId="77777777">
      <w:pPr>
        <w:widowControl w:val="0"/>
        <w:ind w:left="720"/>
        <w:rPr>
          <w:szCs w:val="24"/>
        </w:rPr>
      </w:pPr>
      <w:r w:rsidRPr="002F08CC">
        <w:rPr>
          <w:szCs w:val="24"/>
        </w:rPr>
        <w:t>There are no monetary payments or gifts made to respondents associated with the information collection requirements contained in this regulation.</w:t>
      </w:r>
    </w:p>
    <w:p w:rsidR="00DD4B2A" w:rsidRPr="002F08CC" w:rsidP="00DD4B2A" w14:paraId="44280AF2" w14:textId="77777777">
      <w:pPr>
        <w:widowControl w:val="0"/>
        <w:ind w:left="720"/>
        <w:rPr>
          <w:b/>
          <w:szCs w:val="24"/>
        </w:rPr>
      </w:pPr>
    </w:p>
    <w:p w:rsidR="00DD4B2A" w:rsidRPr="00145914" w:rsidP="00DD4B2A" w14:paraId="4F38CFF0" w14:textId="77777777">
      <w:pPr>
        <w:widowControl w:val="0"/>
        <w:numPr>
          <w:ilvl w:val="0"/>
          <w:numId w:val="3"/>
        </w:numPr>
        <w:autoSpaceDE w:val="0"/>
        <w:autoSpaceDN w:val="0"/>
        <w:adjustRightInd w:val="0"/>
        <w:ind w:left="720"/>
        <w:rPr>
          <w:b/>
          <w:szCs w:val="24"/>
        </w:rPr>
      </w:pPr>
      <w:r w:rsidRPr="26E12D33">
        <w:rPr>
          <w:b/>
          <w:u w:val="single"/>
        </w:rPr>
        <w:t>Assurance of Confidentiality</w:t>
      </w:r>
      <w:r w:rsidRPr="00145914">
        <w:rPr>
          <w:b/>
        </w:rPr>
        <w:t>.</w:t>
      </w:r>
    </w:p>
    <w:p w:rsidR="00EB7174" w:rsidRPr="002F08CC" w:rsidP="00DD4B2A" w14:paraId="0E8D21FC" w14:textId="77777777">
      <w:pPr>
        <w:pStyle w:val="ListParagraph"/>
        <w:rPr>
          <w:b/>
          <w:szCs w:val="24"/>
          <w:u w:val="single"/>
        </w:rPr>
      </w:pPr>
    </w:p>
    <w:p w:rsidR="00DD4B2A" w:rsidP="00DD4B2A" w14:paraId="505CF0CB" w14:textId="77777777">
      <w:pPr>
        <w:pStyle w:val="ListParagraph"/>
        <w:rPr>
          <w:rFonts w:eastAsia="MS Mincho"/>
          <w:szCs w:val="24"/>
        </w:rPr>
      </w:pPr>
      <w:r w:rsidRPr="002F08CC">
        <w:rPr>
          <w:rFonts w:eastAsia="MS Mincho"/>
          <w:szCs w:val="24"/>
        </w:rPr>
        <w:t xml:space="preserve">The information collected is not of a confidential nature and FRA pledges no </w:t>
      </w:r>
      <w:r>
        <w:rPr>
          <w:rFonts w:eastAsia="MS Mincho"/>
          <w:szCs w:val="24"/>
        </w:rPr>
        <w:t xml:space="preserve">assurance of </w:t>
      </w:r>
      <w:r w:rsidRPr="002F08CC">
        <w:rPr>
          <w:rFonts w:eastAsia="MS Mincho"/>
          <w:szCs w:val="24"/>
        </w:rPr>
        <w:t>confidentiality.</w:t>
      </w:r>
      <w:r>
        <w:rPr>
          <w:rFonts w:eastAsia="MS Mincho"/>
          <w:szCs w:val="24"/>
        </w:rPr>
        <w:t xml:space="preserve"> </w:t>
      </w:r>
    </w:p>
    <w:p w:rsidR="00DD4B2A" w:rsidRPr="002F08CC" w:rsidP="00DD4B2A" w14:paraId="188E6E2C" w14:textId="77777777">
      <w:pPr>
        <w:pStyle w:val="ListParagraph"/>
        <w:rPr>
          <w:b/>
          <w:szCs w:val="24"/>
          <w:u w:val="single"/>
        </w:rPr>
      </w:pPr>
    </w:p>
    <w:p w:rsidR="00DD4B2A" w:rsidRPr="002F08CC" w:rsidP="00DD4B2A" w14:paraId="2B2539F8" w14:textId="77777777">
      <w:pPr>
        <w:widowControl w:val="0"/>
        <w:numPr>
          <w:ilvl w:val="0"/>
          <w:numId w:val="3"/>
        </w:numPr>
        <w:autoSpaceDE w:val="0"/>
        <w:autoSpaceDN w:val="0"/>
        <w:adjustRightInd w:val="0"/>
        <w:ind w:left="720"/>
        <w:rPr>
          <w:b/>
          <w:szCs w:val="24"/>
          <w:u w:val="single"/>
        </w:rPr>
      </w:pPr>
      <w:r w:rsidRPr="26E12D33">
        <w:rPr>
          <w:b/>
          <w:u w:val="single"/>
        </w:rPr>
        <w:t>Justification for any questions of a sensitive nature</w:t>
      </w:r>
      <w:r w:rsidRPr="00145914">
        <w:rPr>
          <w:b/>
        </w:rPr>
        <w:t>.</w:t>
      </w:r>
    </w:p>
    <w:p w:rsidR="00DD4B2A" w:rsidRPr="002F08CC" w:rsidP="00DD4B2A" w14:paraId="4E2DAA79" w14:textId="77777777">
      <w:pPr>
        <w:pStyle w:val="ListParagraph"/>
        <w:rPr>
          <w:b/>
          <w:szCs w:val="24"/>
          <w:u w:val="single"/>
        </w:rPr>
      </w:pPr>
    </w:p>
    <w:p w:rsidR="00DD4B2A" w:rsidP="00DD4B2A" w14:paraId="48F1B375" w14:textId="7A4469C2">
      <w:pPr>
        <w:widowControl w:val="0"/>
        <w:ind w:left="540" w:firstLine="180"/>
        <w:rPr>
          <w:szCs w:val="24"/>
        </w:rPr>
      </w:pPr>
      <w:r w:rsidRPr="002F08CC">
        <w:rPr>
          <w:szCs w:val="24"/>
        </w:rPr>
        <w:t>The information collection does not contain any data of a personal or sensitive nature.</w:t>
      </w:r>
    </w:p>
    <w:p w:rsidR="00DD4B2A" w:rsidP="00DD4B2A" w14:paraId="7B7E5EA0" w14:textId="3488ECD6">
      <w:pPr>
        <w:widowControl w:val="0"/>
        <w:autoSpaceDE w:val="0"/>
        <w:autoSpaceDN w:val="0"/>
        <w:adjustRightInd w:val="0"/>
        <w:ind w:left="720"/>
        <w:rPr>
          <w:b/>
          <w:szCs w:val="24"/>
          <w:u w:val="single"/>
        </w:rPr>
      </w:pPr>
    </w:p>
    <w:p w:rsidR="00DD4B2A" w:rsidRPr="0044515E" w:rsidP="00DD4B2A" w14:paraId="267E8BDF" w14:textId="10400825">
      <w:pPr>
        <w:widowControl w:val="0"/>
        <w:numPr>
          <w:ilvl w:val="0"/>
          <w:numId w:val="3"/>
        </w:numPr>
        <w:autoSpaceDE w:val="0"/>
        <w:autoSpaceDN w:val="0"/>
        <w:adjustRightInd w:val="0"/>
        <w:ind w:left="720"/>
        <w:rPr>
          <w:b/>
          <w:szCs w:val="24"/>
          <w:u w:val="single"/>
        </w:rPr>
      </w:pPr>
      <w:r w:rsidRPr="26E12D33">
        <w:rPr>
          <w:b/>
          <w:u w:val="single"/>
        </w:rPr>
        <w:t>Estimate of burden hours for information collected</w:t>
      </w:r>
      <w:r w:rsidRPr="26E12D33">
        <w:rPr>
          <w:b/>
        </w:rPr>
        <w:t>.</w:t>
      </w:r>
    </w:p>
    <w:p w:rsidR="0044515E" w:rsidP="0044515E" w14:paraId="03852CFE" w14:textId="271BAC92">
      <w:pPr>
        <w:widowControl w:val="0"/>
        <w:autoSpaceDE w:val="0"/>
        <w:autoSpaceDN w:val="0"/>
        <w:adjustRightInd w:val="0"/>
        <w:rPr>
          <w:b/>
          <w:szCs w:val="24"/>
          <w:u w:val="single"/>
        </w:rPr>
      </w:pPr>
    </w:p>
    <w:p w:rsidR="0044515E" w:rsidRPr="0044515E" w:rsidP="0044515E" w14:paraId="6BB81B87" w14:textId="6C621BD4">
      <w:pPr>
        <w:widowControl w:val="0"/>
        <w:autoSpaceDE w:val="0"/>
        <w:autoSpaceDN w:val="0"/>
        <w:adjustRightInd w:val="0"/>
        <w:ind w:left="720"/>
        <w:rPr>
          <w:bCs/>
          <w:szCs w:val="24"/>
        </w:rPr>
      </w:pPr>
      <w:r>
        <w:rPr>
          <w:bCs/>
          <w:szCs w:val="24"/>
        </w:rPr>
        <w:t>The estimates for the respondent universe, annual responses, and average time per responses are based on the experience and expertise of FRA’s Office of Civil Rights.</w:t>
      </w:r>
    </w:p>
    <w:p w:rsidR="00DD4B2A" w:rsidP="00DD4B2A" w14:paraId="13F12E01" w14:textId="22A17041"/>
    <w:tbl>
      <w:tblPr>
        <w:tblW w:w="98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435"/>
        <w:gridCol w:w="1412"/>
        <w:gridCol w:w="1350"/>
        <w:gridCol w:w="1288"/>
        <w:gridCol w:w="990"/>
        <w:gridCol w:w="1350"/>
      </w:tblGrid>
      <w:tr w14:paraId="5DFBFDF2" w14:textId="77777777" w:rsidTr="14643AC4">
        <w:tblPrEx>
          <w:tblW w:w="98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0"/>
        </w:trPr>
        <w:tc>
          <w:tcPr>
            <w:tcW w:w="2070" w:type="dxa"/>
            <w:shd w:val="clear" w:color="auto" w:fill="auto"/>
            <w:hideMark/>
          </w:tcPr>
          <w:p w:rsidR="00907AD7" w:rsidRPr="00907AD7" w:rsidP="00907AD7" w14:paraId="664B1487" w14:textId="77777777">
            <w:pPr>
              <w:jc w:val="center"/>
              <w:rPr>
                <w:color w:val="000000"/>
                <w:sz w:val="20"/>
              </w:rPr>
            </w:pPr>
            <w:r w:rsidRPr="00907AD7">
              <w:rPr>
                <w:color w:val="000000"/>
                <w:sz w:val="20"/>
              </w:rPr>
              <w:t>Form Name</w:t>
            </w:r>
          </w:p>
        </w:tc>
        <w:tc>
          <w:tcPr>
            <w:tcW w:w="1435" w:type="dxa"/>
            <w:shd w:val="clear" w:color="auto" w:fill="auto"/>
            <w:hideMark/>
          </w:tcPr>
          <w:p w:rsidR="00907AD7" w:rsidRPr="00907AD7" w:rsidP="00907AD7" w14:paraId="695F59DB" w14:textId="77777777">
            <w:pPr>
              <w:jc w:val="center"/>
              <w:rPr>
                <w:color w:val="000000"/>
                <w:sz w:val="20"/>
              </w:rPr>
            </w:pPr>
            <w:r w:rsidRPr="00907AD7">
              <w:rPr>
                <w:color w:val="000000"/>
                <w:sz w:val="20"/>
              </w:rPr>
              <w:t>Form Number</w:t>
            </w:r>
          </w:p>
        </w:tc>
        <w:tc>
          <w:tcPr>
            <w:tcW w:w="1412" w:type="dxa"/>
            <w:shd w:val="clear" w:color="auto" w:fill="auto"/>
            <w:hideMark/>
          </w:tcPr>
          <w:p w:rsidR="00907AD7" w:rsidRPr="00907AD7" w:rsidP="00907AD7" w14:paraId="0A070619" w14:textId="77777777">
            <w:pPr>
              <w:jc w:val="center"/>
              <w:rPr>
                <w:color w:val="000000"/>
                <w:sz w:val="20"/>
              </w:rPr>
            </w:pPr>
            <w:r w:rsidRPr="00907AD7">
              <w:rPr>
                <w:color w:val="000000"/>
                <w:sz w:val="20"/>
              </w:rPr>
              <w:t xml:space="preserve">Total Annual Responses </w:t>
            </w:r>
            <w:r w:rsidRPr="00907AD7">
              <w:rPr>
                <w:color w:val="000000"/>
                <w:sz w:val="20"/>
              </w:rPr>
              <w:br/>
              <w:t>(A)</w:t>
            </w:r>
          </w:p>
        </w:tc>
        <w:tc>
          <w:tcPr>
            <w:tcW w:w="1350" w:type="dxa"/>
            <w:shd w:val="clear" w:color="auto" w:fill="auto"/>
            <w:hideMark/>
          </w:tcPr>
          <w:p w:rsidR="00907AD7" w:rsidRPr="00907AD7" w:rsidP="00907AD7" w14:paraId="4A8190E6" w14:textId="77777777">
            <w:pPr>
              <w:jc w:val="center"/>
              <w:rPr>
                <w:color w:val="000000"/>
                <w:sz w:val="20"/>
              </w:rPr>
            </w:pPr>
            <w:r w:rsidRPr="00907AD7">
              <w:rPr>
                <w:color w:val="000000"/>
                <w:sz w:val="20"/>
              </w:rPr>
              <w:t xml:space="preserve">Average Time per Response </w:t>
            </w:r>
          </w:p>
          <w:p w:rsidR="00907AD7" w:rsidRPr="00907AD7" w:rsidP="00907AD7" w14:paraId="67A09AA6" w14:textId="77777777">
            <w:pPr>
              <w:jc w:val="center"/>
              <w:rPr>
                <w:color w:val="000000"/>
                <w:sz w:val="20"/>
              </w:rPr>
            </w:pPr>
            <w:r w:rsidRPr="00907AD7">
              <w:rPr>
                <w:color w:val="000000"/>
                <w:sz w:val="20"/>
              </w:rPr>
              <w:t>(B)</w:t>
            </w:r>
          </w:p>
        </w:tc>
        <w:tc>
          <w:tcPr>
            <w:tcW w:w="1288" w:type="dxa"/>
            <w:shd w:val="clear" w:color="auto" w:fill="auto"/>
            <w:hideMark/>
          </w:tcPr>
          <w:p w:rsidR="00907AD7" w:rsidRPr="00907AD7" w:rsidP="00907AD7" w14:paraId="1759BD01" w14:textId="77777777">
            <w:pPr>
              <w:jc w:val="center"/>
              <w:rPr>
                <w:color w:val="000000"/>
                <w:sz w:val="20"/>
              </w:rPr>
            </w:pPr>
            <w:r w:rsidRPr="00907AD7">
              <w:rPr>
                <w:color w:val="000000"/>
                <w:sz w:val="20"/>
              </w:rPr>
              <w:t>Total Annual Burden Hours (C=A*B)</w:t>
            </w:r>
          </w:p>
        </w:tc>
        <w:tc>
          <w:tcPr>
            <w:tcW w:w="990" w:type="dxa"/>
            <w:shd w:val="clear" w:color="auto" w:fill="auto"/>
            <w:hideMark/>
          </w:tcPr>
          <w:p w:rsidR="00907AD7" w:rsidRPr="00907AD7" w:rsidP="00907AD7" w14:paraId="68B49C03" w14:textId="616321B9">
            <w:pPr>
              <w:jc w:val="center"/>
              <w:rPr>
                <w:color w:val="000000"/>
                <w:sz w:val="20"/>
              </w:rPr>
            </w:pPr>
            <w:r w:rsidRPr="00907AD7">
              <w:rPr>
                <w:color w:val="000000"/>
                <w:sz w:val="20"/>
              </w:rPr>
              <w:t xml:space="preserve">Wage Rate </w:t>
            </w:r>
            <w:r w:rsidRPr="00907AD7">
              <w:rPr>
                <w:color w:val="000000"/>
                <w:sz w:val="20"/>
              </w:rPr>
              <w:br/>
            </w:r>
            <w:r w:rsidR="0044515E">
              <w:rPr>
                <w:color w:val="000000"/>
                <w:sz w:val="20"/>
              </w:rPr>
              <w:t>(E)</w:t>
            </w:r>
            <w:r>
              <w:rPr>
                <w:color w:val="000000"/>
                <w:sz w:val="20"/>
                <w:vertAlign w:val="superscript"/>
              </w:rPr>
              <w:footnoteReference w:id="4"/>
            </w:r>
          </w:p>
        </w:tc>
        <w:tc>
          <w:tcPr>
            <w:tcW w:w="1350" w:type="dxa"/>
            <w:shd w:val="clear" w:color="auto" w:fill="auto"/>
            <w:hideMark/>
          </w:tcPr>
          <w:p w:rsidR="00907AD7" w:rsidRPr="00907AD7" w:rsidP="00907AD7" w14:paraId="73D21852" w14:textId="77777777">
            <w:pPr>
              <w:jc w:val="center"/>
              <w:rPr>
                <w:color w:val="000000"/>
                <w:sz w:val="20"/>
              </w:rPr>
            </w:pPr>
            <w:r w:rsidRPr="00907AD7">
              <w:rPr>
                <w:color w:val="000000"/>
                <w:sz w:val="20"/>
              </w:rPr>
              <w:t>Total Cost Equivalent in U.S. Dollars (D=C*E)</w:t>
            </w:r>
          </w:p>
        </w:tc>
      </w:tr>
      <w:tr w14:paraId="61103207" w14:textId="77777777" w:rsidTr="14643AC4">
        <w:tblPrEx>
          <w:tblW w:w="9895" w:type="dxa"/>
          <w:tblInd w:w="-95" w:type="dxa"/>
          <w:tblLayout w:type="fixed"/>
          <w:tblLook w:val="04A0"/>
        </w:tblPrEx>
        <w:trPr>
          <w:trHeight w:val="440"/>
        </w:trPr>
        <w:tc>
          <w:tcPr>
            <w:tcW w:w="2070" w:type="dxa"/>
            <w:shd w:val="clear" w:color="auto" w:fill="auto"/>
          </w:tcPr>
          <w:p w:rsidR="00907AD7" w:rsidRPr="00907AD7" w:rsidP="14643AC4" w14:paraId="274A0601" w14:textId="61772008">
            <w:pPr>
              <w:rPr>
                <w:color w:val="000000"/>
                <w:sz w:val="20"/>
              </w:rPr>
            </w:pPr>
            <w:r w:rsidRPr="14643AC4">
              <w:rPr>
                <w:color w:val="000000" w:themeColor="text1"/>
                <w:sz w:val="20"/>
              </w:rPr>
              <w:t>Small Business (SB)</w:t>
            </w:r>
            <w:r w:rsidRPr="14643AC4" w:rsidR="0044515E">
              <w:rPr>
                <w:color w:val="000000" w:themeColor="text1"/>
                <w:sz w:val="20"/>
              </w:rPr>
              <w:t xml:space="preserve"> Commitments/Awards and Payments</w:t>
            </w:r>
          </w:p>
        </w:tc>
        <w:tc>
          <w:tcPr>
            <w:tcW w:w="1435" w:type="dxa"/>
            <w:shd w:val="clear" w:color="auto" w:fill="auto"/>
          </w:tcPr>
          <w:p w:rsidR="00907AD7" w:rsidRPr="00907AD7" w:rsidP="00907AD7" w14:paraId="5DD52D14" w14:textId="77777777">
            <w:pPr>
              <w:jc w:val="center"/>
              <w:rPr>
                <w:color w:val="000000"/>
                <w:sz w:val="20"/>
              </w:rPr>
            </w:pPr>
            <w:r w:rsidRPr="00907AD7">
              <w:rPr>
                <w:color w:val="000000"/>
                <w:sz w:val="20"/>
              </w:rPr>
              <w:t>FRA F 281</w:t>
            </w:r>
          </w:p>
        </w:tc>
        <w:tc>
          <w:tcPr>
            <w:tcW w:w="1412" w:type="dxa"/>
            <w:shd w:val="clear" w:color="auto" w:fill="auto"/>
          </w:tcPr>
          <w:p w:rsidR="00907AD7" w:rsidRPr="00907AD7" w:rsidP="00907AD7" w14:paraId="562F3480" w14:textId="77777777">
            <w:pPr>
              <w:jc w:val="center"/>
              <w:rPr>
                <w:color w:val="000000"/>
                <w:sz w:val="20"/>
              </w:rPr>
            </w:pPr>
            <w:r w:rsidRPr="00907AD7">
              <w:rPr>
                <w:color w:val="000000"/>
                <w:sz w:val="20"/>
              </w:rPr>
              <w:t>140</w:t>
            </w:r>
          </w:p>
        </w:tc>
        <w:tc>
          <w:tcPr>
            <w:tcW w:w="1350" w:type="dxa"/>
            <w:shd w:val="clear" w:color="auto" w:fill="auto"/>
          </w:tcPr>
          <w:p w:rsidR="00907AD7" w:rsidRPr="00907AD7" w:rsidP="00907AD7" w14:paraId="6BFE0357" w14:textId="77777777">
            <w:pPr>
              <w:jc w:val="center"/>
              <w:rPr>
                <w:color w:val="000000"/>
                <w:sz w:val="20"/>
              </w:rPr>
            </w:pPr>
            <w:r w:rsidRPr="00907AD7">
              <w:rPr>
                <w:color w:val="000000"/>
                <w:sz w:val="20"/>
              </w:rPr>
              <w:t>357</w:t>
            </w:r>
          </w:p>
          <w:p w:rsidR="00907AD7" w:rsidRPr="00907AD7" w:rsidP="00907AD7" w14:paraId="0AD30F94" w14:textId="77777777">
            <w:pPr>
              <w:jc w:val="center"/>
              <w:rPr>
                <w:color w:val="000000"/>
                <w:sz w:val="20"/>
              </w:rPr>
            </w:pPr>
            <w:r w:rsidRPr="00907AD7">
              <w:rPr>
                <w:color w:val="000000"/>
                <w:sz w:val="20"/>
              </w:rPr>
              <w:t>hours</w:t>
            </w:r>
          </w:p>
        </w:tc>
        <w:tc>
          <w:tcPr>
            <w:tcW w:w="1288" w:type="dxa"/>
            <w:shd w:val="clear" w:color="auto" w:fill="auto"/>
          </w:tcPr>
          <w:p w:rsidR="00907AD7" w:rsidRPr="00907AD7" w:rsidP="00907AD7" w14:paraId="5E0954B0" w14:textId="77777777">
            <w:pPr>
              <w:jc w:val="center"/>
              <w:rPr>
                <w:color w:val="000000"/>
                <w:sz w:val="20"/>
              </w:rPr>
            </w:pPr>
            <w:r w:rsidRPr="00907AD7">
              <w:rPr>
                <w:color w:val="000000"/>
                <w:sz w:val="20"/>
              </w:rPr>
              <w:t>49,980</w:t>
            </w:r>
          </w:p>
        </w:tc>
        <w:tc>
          <w:tcPr>
            <w:tcW w:w="990" w:type="dxa"/>
            <w:shd w:val="clear" w:color="auto" w:fill="auto"/>
          </w:tcPr>
          <w:p w:rsidR="00907AD7" w:rsidRPr="00907AD7" w:rsidP="00907AD7" w14:paraId="2702DF6C" w14:textId="77777777">
            <w:pPr>
              <w:jc w:val="center"/>
              <w:rPr>
                <w:color w:val="000000"/>
                <w:sz w:val="20"/>
              </w:rPr>
            </w:pPr>
            <w:r w:rsidRPr="00907AD7">
              <w:rPr>
                <w:color w:val="000000"/>
                <w:sz w:val="20"/>
              </w:rPr>
              <w:t>$45.81</w:t>
            </w:r>
          </w:p>
        </w:tc>
        <w:tc>
          <w:tcPr>
            <w:tcW w:w="1350" w:type="dxa"/>
            <w:shd w:val="clear" w:color="auto" w:fill="auto"/>
          </w:tcPr>
          <w:p w:rsidR="00907AD7" w:rsidRPr="00907AD7" w:rsidP="00907AD7" w14:paraId="3441F2E6" w14:textId="77777777">
            <w:pPr>
              <w:jc w:val="center"/>
              <w:rPr>
                <w:color w:val="000000"/>
                <w:sz w:val="20"/>
              </w:rPr>
            </w:pPr>
            <w:r w:rsidRPr="00907AD7">
              <w:rPr>
                <w:color w:val="000000"/>
                <w:sz w:val="20"/>
              </w:rPr>
              <w:t>$2,289,584</w:t>
            </w:r>
          </w:p>
        </w:tc>
      </w:tr>
      <w:tr w14:paraId="310B49CA" w14:textId="77777777" w:rsidTr="14643AC4">
        <w:tblPrEx>
          <w:tblW w:w="9895" w:type="dxa"/>
          <w:tblInd w:w="-95" w:type="dxa"/>
          <w:tblLayout w:type="fixed"/>
          <w:tblLook w:val="04A0"/>
        </w:tblPrEx>
        <w:trPr>
          <w:trHeight w:val="510"/>
        </w:trPr>
        <w:tc>
          <w:tcPr>
            <w:tcW w:w="2070" w:type="dxa"/>
            <w:shd w:val="clear" w:color="auto" w:fill="auto"/>
            <w:hideMark/>
          </w:tcPr>
          <w:p w:rsidR="00907AD7" w:rsidRPr="00907AD7" w:rsidP="00907AD7" w14:paraId="455C1387" w14:textId="77777777">
            <w:pPr>
              <w:rPr>
                <w:color w:val="000000"/>
                <w:sz w:val="20"/>
              </w:rPr>
            </w:pPr>
            <w:r w:rsidRPr="00907AD7">
              <w:rPr>
                <w:color w:val="000000"/>
                <w:sz w:val="20"/>
              </w:rPr>
              <w:t>Total</w:t>
            </w:r>
          </w:p>
        </w:tc>
        <w:tc>
          <w:tcPr>
            <w:tcW w:w="1435" w:type="dxa"/>
            <w:shd w:val="clear" w:color="auto" w:fill="auto"/>
            <w:hideMark/>
          </w:tcPr>
          <w:p w:rsidR="00907AD7" w:rsidRPr="00907AD7" w:rsidP="00907AD7" w14:paraId="78660BD7" w14:textId="334FE5A6">
            <w:pPr>
              <w:jc w:val="center"/>
              <w:rPr>
                <w:color w:val="000000"/>
                <w:sz w:val="20"/>
              </w:rPr>
            </w:pPr>
            <w:r w:rsidRPr="00907AD7">
              <w:rPr>
                <w:color w:val="000000"/>
                <w:sz w:val="20"/>
              </w:rPr>
              <w:br/>
            </w:r>
          </w:p>
        </w:tc>
        <w:tc>
          <w:tcPr>
            <w:tcW w:w="1412" w:type="dxa"/>
            <w:shd w:val="clear" w:color="auto" w:fill="auto"/>
            <w:hideMark/>
          </w:tcPr>
          <w:p w:rsidR="00907AD7" w:rsidRPr="00907AD7" w:rsidP="00907AD7" w14:paraId="7DE12339" w14:textId="77777777">
            <w:pPr>
              <w:jc w:val="center"/>
              <w:rPr>
                <w:color w:val="000000"/>
                <w:sz w:val="20"/>
              </w:rPr>
            </w:pPr>
            <w:r w:rsidRPr="00907AD7">
              <w:rPr>
                <w:color w:val="000000"/>
                <w:sz w:val="20"/>
              </w:rPr>
              <w:t>140</w:t>
            </w:r>
            <w:r w:rsidRPr="00907AD7">
              <w:rPr>
                <w:color w:val="000000"/>
                <w:sz w:val="20"/>
              </w:rPr>
              <w:br/>
              <w:t>responses</w:t>
            </w:r>
          </w:p>
        </w:tc>
        <w:tc>
          <w:tcPr>
            <w:tcW w:w="1350" w:type="dxa"/>
            <w:shd w:val="clear" w:color="auto" w:fill="auto"/>
            <w:hideMark/>
          </w:tcPr>
          <w:p w:rsidR="00907AD7" w:rsidRPr="00907AD7" w:rsidP="00907AD7" w14:paraId="4111461B" w14:textId="77777777">
            <w:pPr>
              <w:jc w:val="center"/>
              <w:rPr>
                <w:color w:val="000000"/>
                <w:sz w:val="20"/>
              </w:rPr>
            </w:pPr>
            <w:r w:rsidRPr="00907AD7">
              <w:rPr>
                <w:color w:val="000000"/>
                <w:sz w:val="20"/>
              </w:rPr>
              <w:t>N/A</w:t>
            </w:r>
          </w:p>
        </w:tc>
        <w:tc>
          <w:tcPr>
            <w:tcW w:w="1288" w:type="dxa"/>
            <w:shd w:val="clear" w:color="auto" w:fill="auto"/>
            <w:hideMark/>
          </w:tcPr>
          <w:p w:rsidR="00907AD7" w:rsidRPr="00907AD7" w:rsidP="00907AD7" w14:paraId="4EBB5226" w14:textId="77777777">
            <w:pPr>
              <w:jc w:val="center"/>
              <w:rPr>
                <w:color w:val="000000"/>
                <w:sz w:val="20"/>
              </w:rPr>
            </w:pPr>
            <w:r w:rsidRPr="00907AD7">
              <w:rPr>
                <w:color w:val="000000"/>
                <w:sz w:val="20"/>
              </w:rPr>
              <w:t>49,980</w:t>
            </w:r>
            <w:r w:rsidRPr="00907AD7">
              <w:rPr>
                <w:color w:val="000000"/>
                <w:sz w:val="20"/>
              </w:rPr>
              <w:br/>
              <w:t>hours</w:t>
            </w:r>
          </w:p>
        </w:tc>
        <w:tc>
          <w:tcPr>
            <w:tcW w:w="990" w:type="dxa"/>
            <w:shd w:val="clear" w:color="auto" w:fill="auto"/>
            <w:hideMark/>
          </w:tcPr>
          <w:p w:rsidR="00907AD7" w:rsidRPr="00907AD7" w:rsidP="00907AD7" w14:paraId="034B5B91" w14:textId="77777777">
            <w:pPr>
              <w:jc w:val="center"/>
              <w:rPr>
                <w:color w:val="000000"/>
                <w:sz w:val="20"/>
              </w:rPr>
            </w:pPr>
            <w:r w:rsidRPr="00907AD7">
              <w:rPr>
                <w:color w:val="000000"/>
                <w:sz w:val="20"/>
              </w:rPr>
              <w:t>N/A</w:t>
            </w:r>
          </w:p>
        </w:tc>
        <w:tc>
          <w:tcPr>
            <w:tcW w:w="1350" w:type="dxa"/>
            <w:shd w:val="clear" w:color="auto" w:fill="auto"/>
            <w:hideMark/>
          </w:tcPr>
          <w:p w:rsidR="00907AD7" w:rsidRPr="00907AD7" w:rsidP="00907AD7" w14:paraId="7D048265" w14:textId="77777777">
            <w:pPr>
              <w:jc w:val="center"/>
              <w:rPr>
                <w:color w:val="000000"/>
                <w:sz w:val="20"/>
              </w:rPr>
            </w:pPr>
            <w:r w:rsidRPr="00907AD7">
              <w:rPr>
                <w:color w:val="000000"/>
                <w:sz w:val="20"/>
              </w:rPr>
              <w:t>$2,289,584</w:t>
            </w:r>
          </w:p>
        </w:tc>
      </w:tr>
    </w:tbl>
    <w:p w:rsidR="00386E44" w:rsidP="00DD4B2A" w14:paraId="6ECFDF8F" w14:textId="77777777"/>
    <w:p w:rsidR="00DD4B2A" w:rsidRPr="002F08CC" w:rsidP="00DD4B2A" w14:paraId="70BF8AD9" w14:textId="77777777">
      <w:pPr>
        <w:pStyle w:val="ListParagraph"/>
        <w:numPr>
          <w:ilvl w:val="0"/>
          <w:numId w:val="3"/>
        </w:numPr>
        <w:ind w:left="720"/>
        <w:contextualSpacing/>
        <w:rPr>
          <w:b/>
          <w:szCs w:val="24"/>
          <w:u w:val="single"/>
        </w:rPr>
      </w:pPr>
      <w:r w:rsidRPr="26E12D33">
        <w:rPr>
          <w:b/>
          <w:u w:val="single"/>
        </w:rPr>
        <w:t>Estimate of total annual costs respondents</w:t>
      </w:r>
      <w:r>
        <w:t>.</w:t>
      </w:r>
    </w:p>
    <w:p w:rsidR="00DD4B2A" w:rsidRPr="002F08CC" w:rsidP="00DD4B2A" w14:paraId="7F3E97D2" w14:textId="77777777">
      <w:pPr>
        <w:pStyle w:val="ListParagraph"/>
        <w:contextualSpacing/>
        <w:rPr>
          <w:b/>
          <w:szCs w:val="24"/>
          <w:u w:val="single"/>
        </w:rPr>
      </w:pPr>
    </w:p>
    <w:p w:rsidR="00DD4B2A" w:rsidP="00DD4B2A" w14:paraId="1F535032" w14:textId="77777777">
      <w:pPr>
        <w:ind w:left="720"/>
        <w:contextualSpacing/>
      </w:pPr>
      <w:r w:rsidRPr="00F335A5">
        <w:t>Besides the burden hours listed in the answer to question</w:t>
      </w:r>
      <w:r>
        <w:t xml:space="preserve"> </w:t>
      </w:r>
      <w:r w:rsidRPr="00F335A5">
        <w:t>12 above, there are no additional cost</w:t>
      </w:r>
      <w:r>
        <w:t>s to respondents.</w:t>
      </w:r>
    </w:p>
    <w:p w:rsidR="00534DBA" w:rsidP="00DD4B2A" w14:paraId="600E37B8" w14:textId="77777777">
      <w:pPr>
        <w:ind w:left="720"/>
        <w:contextualSpacing/>
      </w:pPr>
    </w:p>
    <w:p w:rsidR="00DD4B2A" w:rsidRPr="002F08CC" w:rsidP="00DD4B2A" w14:paraId="3FCFCD7C" w14:textId="77777777">
      <w:pPr>
        <w:pStyle w:val="ListParagraph"/>
        <w:numPr>
          <w:ilvl w:val="0"/>
          <w:numId w:val="3"/>
        </w:numPr>
        <w:ind w:left="720"/>
        <w:contextualSpacing/>
        <w:rPr>
          <w:b/>
          <w:bCs/>
          <w:szCs w:val="24"/>
        </w:rPr>
      </w:pPr>
      <w:r w:rsidRPr="26E12D33">
        <w:rPr>
          <w:b/>
          <w:u w:val="single"/>
        </w:rPr>
        <w:t>Estimate of Cost to Federal Government.</w:t>
      </w:r>
    </w:p>
    <w:p w:rsidR="00DD4B2A" w:rsidRPr="002F08CC" w:rsidP="00DD4B2A" w14:paraId="220AEE08" w14:textId="77777777">
      <w:pPr>
        <w:pStyle w:val="ListParagraph"/>
        <w:contextualSpacing/>
        <w:rPr>
          <w:b/>
          <w:bCs/>
          <w:szCs w:val="24"/>
          <w:u w:val="single"/>
        </w:rPr>
      </w:pPr>
    </w:p>
    <w:p w:rsidR="00CD6155" w:rsidRPr="00CD6155" w:rsidP="4958C8BF" w14:paraId="1FB9D056" w14:textId="573D8973">
      <w:pPr>
        <w:spacing w:after="160" w:line="256" w:lineRule="auto"/>
        <w:ind w:left="738"/>
      </w:pPr>
      <w:r>
        <w:t>To estimate the government administrative cost, the 2024 Office of Personnel Management (OPM) wage rates at the GS-</w:t>
      </w:r>
      <w:r w:rsidR="10E94FC7">
        <w:t>14</w:t>
      </w:r>
      <w:r>
        <w:t xml:space="preserve"> to GS-</w:t>
      </w:r>
      <w:r w:rsidR="46A600D0">
        <w:t>12</w:t>
      </w:r>
      <w:r>
        <w:t xml:space="preserve">, for the Washington, D.C. area were used.  The average wage (step 5) was used as a midpoint. Wages were considered at the burdened wage rate by multiplying the actual wage rate by an overhead cost of 75 percent.  </w:t>
      </w:r>
    </w:p>
    <w:p w:rsidR="00CD6155" w:rsidP="00CD6155" w14:paraId="367A376E" w14:textId="77777777">
      <w:pPr>
        <w:widowControl w:val="0"/>
        <w:ind w:left="720"/>
        <w:rPr>
          <w:color w:val="000000" w:themeColor="text1"/>
        </w:rPr>
      </w:pPr>
      <w:r w:rsidRPr="00CD6155">
        <w:rPr>
          <w:color w:val="000000" w:themeColor="text1"/>
        </w:rPr>
        <w:t>The breakdown is shown in the table below:</w:t>
      </w:r>
    </w:p>
    <w:p w:rsidR="00B33A40" w:rsidRPr="00CD6155" w:rsidP="00CD6155" w14:paraId="19646089" w14:textId="77777777">
      <w:pPr>
        <w:widowControl w:val="0"/>
        <w:ind w:left="720"/>
        <w:rPr>
          <w:color w:val="000000" w:themeColor="text1"/>
        </w:rPr>
      </w:pPr>
    </w:p>
    <w:tbl>
      <w:tblPr>
        <w:tblStyle w:val="TableGrid"/>
        <w:tblW w:w="8185" w:type="dxa"/>
        <w:tblInd w:w="720" w:type="dxa"/>
        <w:tblLayout w:type="fixed"/>
        <w:tblLook w:val="04A0"/>
      </w:tblPr>
      <w:tblGrid>
        <w:gridCol w:w="1705"/>
        <w:gridCol w:w="1620"/>
        <w:gridCol w:w="1170"/>
        <w:gridCol w:w="900"/>
        <w:gridCol w:w="1440"/>
        <w:gridCol w:w="1350"/>
      </w:tblGrid>
      <w:tr w14:paraId="481BAB13" w14:textId="77777777" w:rsidTr="00F270F8">
        <w:tblPrEx>
          <w:tblW w:w="8185" w:type="dxa"/>
          <w:tblInd w:w="720" w:type="dxa"/>
          <w:tblLayout w:type="fixed"/>
          <w:tblLook w:val="04A0"/>
        </w:tblPrEx>
        <w:tc>
          <w:tcPr>
            <w:tcW w:w="1705" w:type="dxa"/>
          </w:tcPr>
          <w:p w:rsidR="00747B04" w:rsidRPr="00F61AD4" w:rsidP="00F270F8" w14:paraId="7A12D698" w14:textId="77777777">
            <w:pPr>
              <w:widowControl w:val="0"/>
              <w:jc w:val="center"/>
              <w:rPr>
                <w:b/>
                <w:bCs/>
                <w:sz w:val="20"/>
              </w:rPr>
            </w:pPr>
            <w:r w:rsidRPr="00F61AD4">
              <w:rPr>
                <w:b/>
                <w:bCs/>
                <w:sz w:val="20"/>
              </w:rPr>
              <w:t>Grade/Step</w:t>
            </w:r>
          </w:p>
        </w:tc>
        <w:tc>
          <w:tcPr>
            <w:tcW w:w="1620" w:type="dxa"/>
          </w:tcPr>
          <w:p w:rsidR="00747B04" w:rsidRPr="00F61AD4" w:rsidP="00F270F8" w14:paraId="3FBF8FD6" w14:textId="77777777">
            <w:pPr>
              <w:widowControl w:val="0"/>
              <w:jc w:val="center"/>
              <w:rPr>
                <w:b/>
                <w:bCs/>
                <w:sz w:val="20"/>
              </w:rPr>
            </w:pPr>
            <w:r w:rsidRPr="00F61AD4">
              <w:rPr>
                <w:b/>
                <w:bCs/>
                <w:sz w:val="20"/>
              </w:rPr>
              <w:t>No. Of Employees</w:t>
            </w:r>
          </w:p>
        </w:tc>
        <w:tc>
          <w:tcPr>
            <w:tcW w:w="1170" w:type="dxa"/>
          </w:tcPr>
          <w:p w:rsidR="00747B04" w:rsidRPr="00F61AD4" w:rsidP="00F270F8" w14:paraId="32FDE015" w14:textId="77777777">
            <w:pPr>
              <w:widowControl w:val="0"/>
              <w:jc w:val="center"/>
              <w:rPr>
                <w:b/>
                <w:bCs/>
                <w:sz w:val="20"/>
              </w:rPr>
            </w:pPr>
            <w:r w:rsidRPr="00F61AD4">
              <w:rPr>
                <w:b/>
                <w:bCs/>
                <w:sz w:val="20"/>
              </w:rPr>
              <w:t>Hours (Annually)</w:t>
            </w:r>
          </w:p>
        </w:tc>
        <w:tc>
          <w:tcPr>
            <w:tcW w:w="900" w:type="dxa"/>
          </w:tcPr>
          <w:p w:rsidR="00747B04" w:rsidP="00F270F8" w14:paraId="508A4937" w14:textId="77777777">
            <w:pPr>
              <w:widowControl w:val="0"/>
              <w:jc w:val="center"/>
              <w:rPr>
                <w:b/>
                <w:bCs/>
                <w:color w:val="000000"/>
                <w:sz w:val="20"/>
              </w:rPr>
            </w:pPr>
            <w:r w:rsidRPr="00331755">
              <w:rPr>
                <w:b/>
                <w:bCs/>
                <w:color w:val="000000"/>
                <w:sz w:val="20"/>
              </w:rPr>
              <w:t xml:space="preserve">Hourly </w:t>
            </w:r>
          </w:p>
          <w:p w:rsidR="00747B04" w:rsidRPr="00F61AD4" w:rsidP="00F270F8" w14:paraId="642796AC" w14:textId="77777777">
            <w:pPr>
              <w:widowControl w:val="0"/>
              <w:jc w:val="center"/>
              <w:rPr>
                <w:b/>
                <w:bCs/>
                <w:sz w:val="20"/>
              </w:rPr>
            </w:pPr>
            <w:r w:rsidRPr="00331755">
              <w:rPr>
                <w:b/>
                <w:bCs/>
                <w:color w:val="000000"/>
                <w:sz w:val="20"/>
              </w:rPr>
              <w:t>Wage</w:t>
            </w:r>
          </w:p>
        </w:tc>
        <w:tc>
          <w:tcPr>
            <w:tcW w:w="1440" w:type="dxa"/>
          </w:tcPr>
          <w:p w:rsidR="00747B04" w:rsidRPr="00F61AD4" w:rsidP="00F270F8" w14:paraId="5DCC4090" w14:textId="77777777">
            <w:pPr>
              <w:widowControl w:val="0"/>
              <w:jc w:val="center"/>
              <w:rPr>
                <w:b/>
                <w:bCs/>
                <w:sz w:val="20"/>
              </w:rPr>
            </w:pPr>
            <w:r w:rsidRPr="00F61AD4">
              <w:rPr>
                <w:b/>
                <w:bCs/>
                <w:sz w:val="20"/>
              </w:rPr>
              <w:t>Wage Rate (Incl. 75% Overhead)</w:t>
            </w:r>
          </w:p>
        </w:tc>
        <w:tc>
          <w:tcPr>
            <w:tcW w:w="1350" w:type="dxa"/>
          </w:tcPr>
          <w:p w:rsidR="00747B04" w:rsidRPr="00F61AD4" w:rsidP="00F270F8" w14:paraId="7FD5CCB8" w14:textId="77777777">
            <w:pPr>
              <w:widowControl w:val="0"/>
              <w:jc w:val="center"/>
              <w:rPr>
                <w:b/>
                <w:bCs/>
                <w:sz w:val="20"/>
              </w:rPr>
            </w:pPr>
            <w:r w:rsidRPr="00F61AD4">
              <w:rPr>
                <w:b/>
                <w:bCs/>
                <w:sz w:val="20"/>
              </w:rPr>
              <w:t xml:space="preserve">Total </w:t>
            </w:r>
            <w:r>
              <w:rPr>
                <w:b/>
                <w:bCs/>
                <w:sz w:val="20"/>
              </w:rPr>
              <w:t>Annual C</w:t>
            </w:r>
            <w:r w:rsidRPr="00F61AD4">
              <w:rPr>
                <w:b/>
                <w:bCs/>
                <w:sz w:val="20"/>
              </w:rPr>
              <w:t>ost</w:t>
            </w:r>
          </w:p>
        </w:tc>
      </w:tr>
      <w:tr w14:paraId="77758819" w14:textId="77777777" w:rsidTr="00F270F8">
        <w:tblPrEx>
          <w:tblW w:w="8185" w:type="dxa"/>
          <w:tblInd w:w="720" w:type="dxa"/>
          <w:tblLayout w:type="fixed"/>
          <w:tblLook w:val="04A0"/>
        </w:tblPrEx>
        <w:tc>
          <w:tcPr>
            <w:tcW w:w="1705" w:type="dxa"/>
          </w:tcPr>
          <w:p w:rsidR="00747B04" w:rsidRPr="00F61AD4" w:rsidP="00F270F8" w14:paraId="7D35C187" w14:textId="4A786D96">
            <w:pPr>
              <w:widowControl w:val="0"/>
              <w:rPr>
                <w:sz w:val="20"/>
              </w:rPr>
            </w:pPr>
            <w:r>
              <w:rPr>
                <w:sz w:val="20"/>
              </w:rPr>
              <w:t>GS-1</w:t>
            </w:r>
            <w:r w:rsidR="00E21788">
              <w:rPr>
                <w:sz w:val="20"/>
              </w:rPr>
              <w:t>4</w:t>
            </w:r>
            <w:r>
              <w:rPr>
                <w:sz w:val="20"/>
              </w:rPr>
              <w:t>/5</w:t>
            </w:r>
          </w:p>
        </w:tc>
        <w:tc>
          <w:tcPr>
            <w:tcW w:w="1620" w:type="dxa"/>
          </w:tcPr>
          <w:p w:rsidR="00747B04" w:rsidRPr="00F61AD4" w:rsidP="00F270F8" w14:paraId="124E63F0" w14:textId="77777777">
            <w:pPr>
              <w:widowControl w:val="0"/>
              <w:jc w:val="center"/>
              <w:rPr>
                <w:sz w:val="20"/>
              </w:rPr>
            </w:pPr>
            <w:r>
              <w:rPr>
                <w:sz w:val="20"/>
              </w:rPr>
              <w:t>1</w:t>
            </w:r>
          </w:p>
        </w:tc>
        <w:tc>
          <w:tcPr>
            <w:tcW w:w="1170" w:type="dxa"/>
          </w:tcPr>
          <w:p w:rsidR="00747B04" w:rsidRPr="00F61AD4" w:rsidP="00F270F8" w14:paraId="645CA675" w14:textId="0FCC31B0">
            <w:pPr>
              <w:widowControl w:val="0"/>
              <w:jc w:val="center"/>
              <w:rPr>
                <w:sz w:val="20"/>
              </w:rPr>
            </w:pPr>
            <w:r>
              <w:rPr>
                <w:sz w:val="20"/>
              </w:rPr>
              <w:t>12</w:t>
            </w:r>
          </w:p>
        </w:tc>
        <w:tc>
          <w:tcPr>
            <w:tcW w:w="900" w:type="dxa"/>
          </w:tcPr>
          <w:p w:rsidR="00747B04" w:rsidP="00F270F8" w14:paraId="516AC027" w14:textId="2F684DE1">
            <w:pPr>
              <w:widowControl w:val="0"/>
              <w:jc w:val="right"/>
              <w:rPr>
                <w:sz w:val="20"/>
              </w:rPr>
            </w:pPr>
            <w:r>
              <w:rPr>
                <w:sz w:val="20"/>
              </w:rPr>
              <w:t>$</w:t>
            </w:r>
            <w:r w:rsidR="008F49FB">
              <w:rPr>
                <w:sz w:val="20"/>
              </w:rPr>
              <w:t>75.70</w:t>
            </w:r>
          </w:p>
        </w:tc>
        <w:tc>
          <w:tcPr>
            <w:tcW w:w="1440" w:type="dxa"/>
          </w:tcPr>
          <w:p w:rsidR="00747B04" w:rsidRPr="00F61AD4" w:rsidP="00F270F8" w14:paraId="075A765B" w14:textId="689C5F3F">
            <w:pPr>
              <w:widowControl w:val="0"/>
              <w:jc w:val="right"/>
              <w:rPr>
                <w:sz w:val="20"/>
              </w:rPr>
            </w:pPr>
            <w:r>
              <w:rPr>
                <w:sz w:val="20"/>
              </w:rPr>
              <w:t>$</w:t>
            </w:r>
            <w:r w:rsidR="007B4219">
              <w:rPr>
                <w:sz w:val="20"/>
              </w:rPr>
              <w:t>132.48</w:t>
            </w:r>
          </w:p>
        </w:tc>
        <w:tc>
          <w:tcPr>
            <w:tcW w:w="1350" w:type="dxa"/>
          </w:tcPr>
          <w:p w:rsidR="00747B04" w:rsidRPr="00F61AD4" w:rsidP="00F270F8" w14:paraId="347B40E6" w14:textId="19844882">
            <w:pPr>
              <w:widowControl w:val="0"/>
              <w:jc w:val="right"/>
              <w:rPr>
                <w:sz w:val="20"/>
              </w:rPr>
            </w:pPr>
            <w:r>
              <w:rPr>
                <w:sz w:val="20"/>
              </w:rPr>
              <w:t xml:space="preserve">$ </w:t>
            </w:r>
            <w:r w:rsidR="008D3EAE">
              <w:rPr>
                <w:sz w:val="20"/>
              </w:rPr>
              <w:t>1,589.76</w:t>
            </w:r>
          </w:p>
        </w:tc>
      </w:tr>
      <w:tr w14:paraId="7B5E7A5E" w14:textId="77777777" w:rsidTr="00F270F8">
        <w:tblPrEx>
          <w:tblW w:w="8185" w:type="dxa"/>
          <w:tblInd w:w="720" w:type="dxa"/>
          <w:tblLayout w:type="fixed"/>
          <w:tblLook w:val="04A0"/>
        </w:tblPrEx>
        <w:tc>
          <w:tcPr>
            <w:tcW w:w="1705" w:type="dxa"/>
          </w:tcPr>
          <w:p w:rsidR="00747B04" w:rsidRPr="00F61AD4" w:rsidP="00F270F8" w14:paraId="72F33166" w14:textId="77777777">
            <w:pPr>
              <w:widowControl w:val="0"/>
              <w:rPr>
                <w:sz w:val="20"/>
              </w:rPr>
            </w:pPr>
            <w:r>
              <w:rPr>
                <w:sz w:val="20"/>
              </w:rPr>
              <w:t>GS-12/5</w:t>
            </w:r>
          </w:p>
        </w:tc>
        <w:tc>
          <w:tcPr>
            <w:tcW w:w="1620" w:type="dxa"/>
          </w:tcPr>
          <w:p w:rsidR="00747B04" w:rsidRPr="00F61AD4" w:rsidP="00F270F8" w14:paraId="76BAFBE1" w14:textId="51909BD4">
            <w:pPr>
              <w:widowControl w:val="0"/>
              <w:jc w:val="center"/>
              <w:rPr>
                <w:sz w:val="20"/>
              </w:rPr>
            </w:pPr>
            <w:r>
              <w:rPr>
                <w:sz w:val="20"/>
              </w:rPr>
              <w:t>2</w:t>
            </w:r>
          </w:p>
        </w:tc>
        <w:tc>
          <w:tcPr>
            <w:tcW w:w="1170" w:type="dxa"/>
          </w:tcPr>
          <w:p w:rsidR="00747B04" w:rsidRPr="00F61AD4" w:rsidP="00F270F8" w14:paraId="7E5DE13E" w14:textId="0F0383B9">
            <w:pPr>
              <w:widowControl w:val="0"/>
              <w:jc w:val="center"/>
              <w:rPr>
                <w:sz w:val="20"/>
              </w:rPr>
            </w:pPr>
            <w:r>
              <w:rPr>
                <w:sz w:val="20"/>
              </w:rPr>
              <w:t>48</w:t>
            </w:r>
          </w:p>
        </w:tc>
        <w:tc>
          <w:tcPr>
            <w:tcW w:w="900" w:type="dxa"/>
          </w:tcPr>
          <w:p w:rsidR="00747B04" w:rsidP="00F270F8" w14:paraId="72970720" w14:textId="77777777">
            <w:pPr>
              <w:widowControl w:val="0"/>
              <w:jc w:val="right"/>
              <w:rPr>
                <w:sz w:val="20"/>
              </w:rPr>
            </w:pPr>
            <w:r>
              <w:rPr>
                <w:sz w:val="20"/>
              </w:rPr>
              <w:t>$53.87</w:t>
            </w:r>
          </w:p>
        </w:tc>
        <w:tc>
          <w:tcPr>
            <w:tcW w:w="1440" w:type="dxa"/>
          </w:tcPr>
          <w:p w:rsidR="00747B04" w:rsidRPr="00F61AD4" w:rsidP="00F270F8" w14:paraId="26F93D5B" w14:textId="77777777">
            <w:pPr>
              <w:widowControl w:val="0"/>
              <w:jc w:val="right"/>
              <w:rPr>
                <w:sz w:val="20"/>
              </w:rPr>
            </w:pPr>
            <w:r>
              <w:rPr>
                <w:sz w:val="20"/>
              </w:rPr>
              <w:t>$94.27</w:t>
            </w:r>
          </w:p>
        </w:tc>
        <w:tc>
          <w:tcPr>
            <w:tcW w:w="1350" w:type="dxa"/>
          </w:tcPr>
          <w:p w:rsidR="00747B04" w:rsidRPr="00F61AD4" w:rsidP="00F270F8" w14:paraId="42B380BC" w14:textId="19059DD5">
            <w:pPr>
              <w:widowControl w:val="0"/>
              <w:jc w:val="right"/>
              <w:rPr>
                <w:sz w:val="20"/>
              </w:rPr>
            </w:pPr>
            <w:r>
              <w:rPr>
                <w:sz w:val="20"/>
              </w:rPr>
              <w:t>$ 9,</w:t>
            </w:r>
            <w:r w:rsidR="004D2DC5">
              <w:rPr>
                <w:sz w:val="20"/>
              </w:rPr>
              <w:t>049.92</w:t>
            </w:r>
          </w:p>
        </w:tc>
      </w:tr>
      <w:tr w14:paraId="4DC3BD4E" w14:textId="77777777" w:rsidTr="00F270F8">
        <w:tblPrEx>
          <w:tblW w:w="8185" w:type="dxa"/>
          <w:tblInd w:w="720" w:type="dxa"/>
          <w:tblLayout w:type="fixed"/>
          <w:tblLook w:val="04A0"/>
        </w:tblPrEx>
        <w:tc>
          <w:tcPr>
            <w:tcW w:w="1705" w:type="dxa"/>
          </w:tcPr>
          <w:p w:rsidR="00747B04" w:rsidRPr="00E42FB6" w:rsidP="00F270F8" w14:paraId="7757BD3C" w14:textId="77777777">
            <w:pPr>
              <w:widowControl w:val="0"/>
              <w:rPr>
                <w:b/>
                <w:bCs/>
                <w:sz w:val="18"/>
                <w:szCs w:val="18"/>
              </w:rPr>
            </w:pPr>
            <w:r w:rsidRPr="00E42FB6">
              <w:rPr>
                <w:b/>
                <w:bCs/>
                <w:sz w:val="18"/>
                <w:szCs w:val="18"/>
              </w:rPr>
              <w:t>Total Annual Cost</w:t>
            </w:r>
          </w:p>
        </w:tc>
        <w:tc>
          <w:tcPr>
            <w:tcW w:w="1620" w:type="dxa"/>
          </w:tcPr>
          <w:p w:rsidR="00747B04" w:rsidP="00F270F8" w14:paraId="7C03A233" w14:textId="77777777">
            <w:pPr>
              <w:widowControl w:val="0"/>
              <w:rPr>
                <w:sz w:val="20"/>
              </w:rPr>
            </w:pPr>
          </w:p>
        </w:tc>
        <w:tc>
          <w:tcPr>
            <w:tcW w:w="1170" w:type="dxa"/>
          </w:tcPr>
          <w:p w:rsidR="00747B04" w:rsidRPr="00EA12D7" w:rsidP="00F270F8" w14:paraId="32728506" w14:textId="34BC2A35">
            <w:pPr>
              <w:widowControl w:val="0"/>
              <w:jc w:val="center"/>
              <w:rPr>
                <w:b/>
                <w:bCs/>
                <w:sz w:val="20"/>
              </w:rPr>
            </w:pPr>
            <w:r>
              <w:rPr>
                <w:b/>
                <w:bCs/>
                <w:sz w:val="20"/>
              </w:rPr>
              <w:t>108</w:t>
            </w:r>
          </w:p>
        </w:tc>
        <w:tc>
          <w:tcPr>
            <w:tcW w:w="900" w:type="dxa"/>
          </w:tcPr>
          <w:p w:rsidR="00747B04" w:rsidP="00F270F8" w14:paraId="6E6612D1" w14:textId="77777777">
            <w:pPr>
              <w:widowControl w:val="0"/>
              <w:rPr>
                <w:sz w:val="20"/>
              </w:rPr>
            </w:pPr>
          </w:p>
        </w:tc>
        <w:tc>
          <w:tcPr>
            <w:tcW w:w="1440" w:type="dxa"/>
          </w:tcPr>
          <w:p w:rsidR="00747B04" w:rsidP="00F270F8" w14:paraId="5CECBB62" w14:textId="77777777">
            <w:pPr>
              <w:widowControl w:val="0"/>
              <w:rPr>
                <w:sz w:val="20"/>
              </w:rPr>
            </w:pPr>
          </w:p>
        </w:tc>
        <w:tc>
          <w:tcPr>
            <w:tcW w:w="1350" w:type="dxa"/>
          </w:tcPr>
          <w:p w:rsidR="00747B04" w:rsidRPr="00EA12D7" w:rsidP="00F270F8" w14:paraId="00DD8854" w14:textId="105590E8">
            <w:pPr>
              <w:widowControl w:val="0"/>
              <w:jc w:val="right"/>
              <w:rPr>
                <w:b/>
                <w:bCs/>
                <w:sz w:val="20"/>
              </w:rPr>
            </w:pPr>
            <w:r>
              <w:rPr>
                <w:b/>
                <w:bCs/>
                <w:sz w:val="20"/>
              </w:rPr>
              <w:t>$10,639.68</w:t>
            </w:r>
          </w:p>
        </w:tc>
      </w:tr>
    </w:tbl>
    <w:p w:rsidR="00DD4B2A" w:rsidRPr="002F08CC" w:rsidP="00DD4B2A" w14:paraId="185A7689" w14:textId="09AD35AE">
      <w:pPr>
        <w:spacing w:after="160" w:line="256" w:lineRule="auto"/>
        <w:ind w:left="738"/>
        <w:rPr>
          <w:rFonts w:eastAsia="Calibri"/>
          <w:szCs w:val="24"/>
        </w:rPr>
      </w:pPr>
    </w:p>
    <w:p w:rsidR="00DD4B2A" w:rsidRPr="002F08CC" w:rsidP="00DD4B2A" w14:paraId="61822023" w14:textId="77777777">
      <w:pPr>
        <w:widowControl w:val="0"/>
        <w:numPr>
          <w:ilvl w:val="0"/>
          <w:numId w:val="3"/>
        </w:numPr>
        <w:autoSpaceDE w:val="0"/>
        <w:autoSpaceDN w:val="0"/>
        <w:adjustRightInd w:val="0"/>
        <w:ind w:left="630" w:hanging="630"/>
        <w:rPr>
          <w:b/>
          <w:u w:val="single"/>
        </w:rPr>
      </w:pPr>
      <w:bookmarkStart w:id="0" w:name="_Hlk134800035"/>
      <w:r w:rsidRPr="26E12D33">
        <w:rPr>
          <w:rFonts w:eastAsia="MS Mincho"/>
          <w:b/>
          <w:bCs/>
          <w:u w:val="single"/>
        </w:rPr>
        <w:t xml:space="preserve"> </w:t>
      </w:r>
      <w:r w:rsidRPr="26E12D33">
        <w:rPr>
          <w:rFonts w:eastAsia="MS Mincho"/>
          <w:b/>
          <w:u w:val="single"/>
        </w:rPr>
        <w:t>Explanation of program changes and adjustments.</w:t>
      </w:r>
      <w:bookmarkEnd w:id="0"/>
    </w:p>
    <w:p w:rsidR="00DD4B2A" w:rsidRPr="002F08CC" w:rsidP="00DD4B2A" w14:paraId="5817CBA9" w14:textId="77777777">
      <w:pPr>
        <w:pStyle w:val="ListParagraph"/>
        <w:rPr>
          <w:b/>
          <w:szCs w:val="24"/>
          <w:u w:val="single"/>
        </w:rPr>
      </w:pPr>
    </w:p>
    <w:p w:rsidR="00DD4B2A" w:rsidRPr="002F08CC" w:rsidP="00DD4B2A" w14:paraId="23ECF048" w14:textId="2D90437F">
      <w:pPr>
        <w:pStyle w:val="ListParagraph"/>
        <w:rPr>
          <w:bCs/>
          <w:szCs w:val="24"/>
        </w:rPr>
      </w:pPr>
      <w:r w:rsidRPr="002F08CC">
        <w:rPr>
          <w:bCs/>
          <w:szCs w:val="24"/>
        </w:rPr>
        <w:t xml:space="preserve">This is a new collection of information.  The total requested burden for this information collection is </w:t>
      </w:r>
      <w:r w:rsidR="00B94F8B">
        <w:rPr>
          <w:bCs/>
          <w:szCs w:val="24"/>
        </w:rPr>
        <w:t>49,980</w:t>
      </w:r>
      <w:r w:rsidRPr="002F08CC">
        <w:rPr>
          <w:bCs/>
          <w:szCs w:val="24"/>
        </w:rPr>
        <w:t xml:space="preserve"> hours and </w:t>
      </w:r>
      <w:r w:rsidR="0037595A">
        <w:rPr>
          <w:bCs/>
          <w:szCs w:val="24"/>
        </w:rPr>
        <w:t>140</w:t>
      </w:r>
      <w:r w:rsidRPr="002F08CC">
        <w:rPr>
          <w:bCs/>
          <w:szCs w:val="24"/>
        </w:rPr>
        <w:t xml:space="preserve"> responses on an annual basis.  This entire submission is a program change.</w:t>
      </w:r>
    </w:p>
    <w:p w:rsidR="00DD4B2A" w:rsidP="00DD4B2A" w14:paraId="6A0F871E" w14:textId="4F09CFE6"/>
    <w:p w:rsidR="00DD4B2A" w:rsidRPr="002F08CC" w:rsidP="00DD4B2A" w14:paraId="4103AF67" w14:textId="77777777">
      <w:pPr>
        <w:pStyle w:val="ListParagraph"/>
        <w:numPr>
          <w:ilvl w:val="0"/>
          <w:numId w:val="3"/>
        </w:numPr>
        <w:ind w:left="720"/>
        <w:contextualSpacing/>
        <w:rPr>
          <w:b/>
          <w:szCs w:val="24"/>
          <w:u w:val="single"/>
        </w:rPr>
      </w:pPr>
      <w:r w:rsidRPr="26E12D33">
        <w:rPr>
          <w:b/>
          <w:u w:val="single"/>
        </w:rPr>
        <w:t>Publication of results of data collection</w:t>
      </w:r>
      <w:r w:rsidRPr="26E12D33">
        <w:rPr>
          <w:b/>
        </w:rPr>
        <w:t>.</w:t>
      </w:r>
    </w:p>
    <w:p w:rsidR="00DD4B2A" w:rsidP="00DD4B2A" w14:paraId="467992DB" w14:textId="16BA5FB1"/>
    <w:p w:rsidR="009D20E4" w:rsidP="000E395A" w14:paraId="06F5C4CC" w14:textId="5B663B6E">
      <w:pPr>
        <w:ind w:left="720"/>
      </w:pPr>
      <w:r>
        <w:t>FRA will publish aggregate data annually</w:t>
      </w:r>
      <w:r w:rsidR="002A5E95">
        <w:t>. The data will be used to inform decisions about the FRA’s small business development efforts.</w:t>
      </w:r>
    </w:p>
    <w:p w:rsidR="00DD4B2A" w:rsidP="00DD4B2A" w14:paraId="50CEF97B" w14:textId="2F45C6D1"/>
    <w:p w:rsidR="00DD4B2A" w:rsidRPr="002F08CC" w:rsidP="00DD4B2A" w14:paraId="5F979387" w14:textId="77777777">
      <w:pPr>
        <w:widowControl w:val="0"/>
        <w:numPr>
          <w:ilvl w:val="0"/>
          <w:numId w:val="3"/>
        </w:numPr>
        <w:tabs>
          <w:tab w:val="left" w:pos="990"/>
        </w:tabs>
        <w:autoSpaceDE w:val="0"/>
        <w:autoSpaceDN w:val="0"/>
        <w:adjustRightInd w:val="0"/>
        <w:ind w:left="720"/>
        <w:rPr>
          <w:b/>
          <w:u w:val="single"/>
        </w:rPr>
      </w:pPr>
      <w:r w:rsidRPr="26E12D33">
        <w:rPr>
          <w:rFonts w:eastAsia="MS Mincho"/>
          <w:b/>
          <w:u w:val="single"/>
        </w:rPr>
        <w:t>Approval for not displaying the expiration date for OMB approval</w:t>
      </w:r>
      <w:r w:rsidRPr="009D4587">
        <w:rPr>
          <w:rFonts w:eastAsia="MS Mincho"/>
          <w:b/>
          <w:u w:val="single"/>
        </w:rPr>
        <w:t>.</w:t>
      </w:r>
    </w:p>
    <w:p w:rsidR="00DD4B2A" w:rsidRPr="002F08CC" w:rsidP="00DD4B2A" w14:paraId="5503785C" w14:textId="77777777">
      <w:pPr>
        <w:pStyle w:val="ListParagraph"/>
        <w:rPr>
          <w:b/>
          <w:szCs w:val="24"/>
          <w:u w:val="single"/>
        </w:rPr>
      </w:pPr>
    </w:p>
    <w:p w:rsidR="00DD4B2A" w:rsidRPr="002F08CC" w:rsidP="00DD4B2A" w14:paraId="012D44DB" w14:textId="77777777">
      <w:pPr>
        <w:ind w:left="720"/>
        <w:rPr>
          <w:rFonts w:eastAsia="MS Mincho"/>
          <w:szCs w:val="24"/>
        </w:rPr>
      </w:pPr>
      <w:r w:rsidRPr="002F08CC">
        <w:rPr>
          <w:rFonts w:eastAsia="MS Mincho"/>
          <w:szCs w:val="24"/>
        </w:rPr>
        <w:t xml:space="preserve">FRA </w:t>
      </w:r>
      <w:r>
        <w:rPr>
          <w:rFonts w:eastAsia="MS Mincho"/>
          <w:szCs w:val="24"/>
        </w:rPr>
        <w:t>intends to display the expiration date.</w:t>
      </w:r>
      <w:r w:rsidRPr="002F08CC">
        <w:rPr>
          <w:rFonts w:eastAsia="MS Mincho"/>
          <w:szCs w:val="24"/>
        </w:rPr>
        <w:t xml:space="preserve"> </w:t>
      </w:r>
    </w:p>
    <w:p w:rsidR="00DD4B2A" w:rsidRPr="002F08CC" w:rsidP="00DD4B2A" w14:paraId="40B73A75" w14:textId="77777777">
      <w:pPr>
        <w:pStyle w:val="ListParagraph"/>
        <w:rPr>
          <w:b/>
          <w:szCs w:val="24"/>
          <w:u w:val="single"/>
        </w:rPr>
      </w:pPr>
    </w:p>
    <w:p w:rsidR="00DD4B2A" w:rsidRPr="002F08CC" w:rsidP="00DD4B2A" w14:paraId="504A7D7C" w14:textId="77777777">
      <w:pPr>
        <w:widowControl w:val="0"/>
        <w:numPr>
          <w:ilvl w:val="0"/>
          <w:numId w:val="3"/>
        </w:numPr>
        <w:tabs>
          <w:tab w:val="left" w:pos="990"/>
        </w:tabs>
        <w:autoSpaceDE w:val="0"/>
        <w:autoSpaceDN w:val="0"/>
        <w:adjustRightInd w:val="0"/>
        <w:ind w:left="720"/>
        <w:rPr>
          <w:b/>
          <w:u w:val="single"/>
        </w:rPr>
      </w:pPr>
      <w:r w:rsidRPr="26E12D33">
        <w:rPr>
          <w:b/>
          <w:u w:val="single"/>
        </w:rPr>
        <w:t>Exception to Certification for Paperwork Reduction Act Submission</w:t>
      </w:r>
      <w:r w:rsidRPr="26E12D33">
        <w:rPr>
          <w:b/>
          <w:bCs/>
          <w:u w:val="single"/>
        </w:rPr>
        <w:t>.</w:t>
      </w:r>
    </w:p>
    <w:p w:rsidR="00DD4B2A" w:rsidRPr="002F08CC" w:rsidP="00DD4B2A" w14:paraId="54BCE153" w14:textId="77777777">
      <w:pPr>
        <w:pStyle w:val="ListParagraph"/>
        <w:rPr>
          <w:b/>
          <w:szCs w:val="24"/>
          <w:u w:val="single"/>
        </w:rPr>
      </w:pPr>
    </w:p>
    <w:p w:rsidR="00DD4B2A" w:rsidRPr="002F08CC" w:rsidP="00DD4B2A" w14:paraId="6D1D20D7" w14:textId="77777777">
      <w:pPr>
        <w:ind w:left="720"/>
        <w:contextualSpacing/>
        <w:rPr>
          <w:rFonts w:eastAsia="MS Mincho"/>
          <w:bCs/>
          <w:szCs w:val="24"/>
        </w:rPr>
      </w:pPr>
      <w:r w:rsidRPr="002F08CC">
        <w:rPr>
          <w:rFonts w:eastAsia="MS Mincho"/>
          <w:bCs/>
          <w:szCs w:val="24"/>
        </w:rPr>
        <w:t>No exceptions are taken at this time.</w:t>
      </w:r>
    </w:p>
    <w:p w:rsidR="00DD4B2A" w:rsidP="00DD4B2A" w14:paraId="22E8FF5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177" w:rsidP="00800181" w14:paraId="70B8A324" w14:textId="77777777">
      <w:r>
        <w:separator/>
      </w:r>
    </w:p>
  </w:footnote>
  <w:footnote w:type="continuationSeparator" w:id="1">
    <w:p w:rsidR="00BB6177" w:rsidP="00800181" w14:paraId="17F1207A" w14:textId="77777777">
      <w:r>
        <w:continuationSeparator/>
      </w:r>
    </w:p>
  </w:footnote>
  <w:footnote w:type="continuationNotice" w:id="2">
    <w:p w:rsidR="00BB6177" w14:paraId="42F94C3E" w14:textId="77777777"/>
  </w:footnote>
  <w:footnote w:id="3">
    <w:p w:rsidR="00925157" w:rsidRPr="00534DBA" w14:paraId="74990086" w14:textId="0C6182E8">
      <w:pPr>
        <w:pStyle w:val="FootnoteText"/>
      </w:pPr>
      <w:r w:rsidRPr="00534DBA">
        <w:rPr>
          <w:rStyle w:val="FootnoteReference"/>
        </w:rPr>
        <w:footnoteRef/>
      </w:r>
      <w:r w:rsidRPr="00534DBA">
        <w:t xml:space="preserve">See 89 FR </w:t>
      </w:r>
      <w:r w:rsidRPr="00534DBA" w:rsidR="00534DBA">
        <w:t>61230</w:t>
      </w:r>
    </w:p>
  </w:footnote>
  <w:footnote w:id="4">
    <w:p w:rsidR="00907AD7" w:rsidRPr="005A4D1A" w:rsidP="00907AD7" w14:paraId="191AA6EC" w14:textId="77777777">
      <w:pPr>
        <w:pStyle w:val="FootnoteText"/>
      </w:pPr>
      <w:r w:rsidRPr="00D34AAB">
        <w:rPr>
          <w:rStyle w:val="FootnoteReference"/>
        </w:rPr>
        <w:footnoteRef/>
      </w:r>
      <w:r w:rsidRPr="00D34AAB">
        <w:t xml:space="preserve"> </w:t>
      </w:r>
      <w:r w:rsidRPr="005A4D1A">
        <w:t>The dollar equivalent cost is derived from the May 2022 Department of Labor, Bureau of Labor Statistics (BLS), using the median hourly wage rate for a Management Analyst 13-1111 of $45.81</w:t>
      </w:r>
      <w:r>
        <w:t>.</w:t>
      </w:r>
    </w:p>
    <w:p w:rsidR="00907AD7" w:rsidRPr="00D34AAB" w:rsidP="00907AD7" w14:paraId="2E826BB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72D9EF"/>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DCE715D3"/>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57E5436"/>
    <w:multiLevelType w:val="hybridMultilevel"/>
    <w:tmpl w:val="E63C362E"/>
    <w:lvl w:ilvl="0">
      <w:start w:val="1"/>
      <w:numFmt w:val="decimal"/>
      <w:lvlText w:val="%1."/>
      <w:lvlJc w:val="left"/>
      <w:pPr>
        <w:ind w:left="380" w:hanging="540"/>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0"/>
      <w:numFmt w:val="bullet"/>
      <w:lvlText w:val=""/>
      <w:lvlJc w:val="left"/>
      <w:pPr>
        <w:ind w:left="1100"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473" w:hanging="360"/>
      </w:pPr>
      <w:rPr>
        <w:rFonts w:hint="default"/>
        <w:lang w:val="en-US" w:eastAsia="en-US" w:bidi="ar-SA"/>
      </w:rPr>
    </w:lvl>
    <w:lvl w:ilvl="3">
      <w:start w:val="0"/>
      <w:numFmt w:val="bullet"/>
      <w:lvlText w:val="•"/>
      <w:lvlJc w:val="left"/>
      <w:pPr>
        <w:ind w:left="3846"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593" w:hanging="360"/>
      </w:pPr>
      <w:rPr>
        <w:rFonts w:hint="default"/>
        <w:lang w:val="en-US" w:eastAsia="en-US" w:bidi="ar-SA"/>
      </w:rPr>
    </w:lvl>
    <w:lvl w:ilvl="6">
      <w:start w:val="0"/>
      <w:numFmt w:val="bullet"/>
      <w:lvlText w:val="•"/>
      <w:lvlJc w:val="left"/>
      <w:pPr>
        <w:ind w:left="7966" w:hanging="360"/>
      </w:pPr>
      <w:rPr>
        <w:rFonts w:hint="default"/>
        <w:lang w:val="en-US" w:eastAsia="en-US" w:bidi="ar-SA"/>
      </w:rPr>
    </w:lvl>
    <w:lvl w:ilvl="7">
      <w:start w:val="0"/>
      <w:numFmt w:val="bullet"/>
      <w:lvlText w:val="•"/>
      <w:lvlJc w:val="left"/>
      <w:pPr>
        <w:ind w:left="9340" w:hanging="360"/>
      </w:pPr>
      <w:rPr>
        <w:rFonts w:hint="default"/>
        <w:lang w:val="en-US" w:eastAsia="en-US" w:bidi="ar-SA"/>
      </w:rPr>
    </w:lvl>
    <w:lvl w:ilvl="8">
      <w:start w:val="0"/>
      <w:numFmt w:val="bullet"/>
      <w:lvlText w:val="•"/>
      <w:lvlJc w:val="left"/>
      <w:pPr>
        <w:ind w:left="10713" w:hanging="360"/>
      </w:pPr>
      <w:rPr>
        <w:rFonts w:hint="default"/>
        <w:lang w:val="en-US" w:eastAsia="en-US" w:bidi="ar-SA"/>
      </w:rPr>
    </w:lvl>
  </w:abstractNum>
  <w:abstractNum w:abstractNumId="3">
    <w:nsid w:val="301D3B4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22407C1"/>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3EA61A6"/>
    <w:multiLevelType w:val="hybridMultilevel"/>
    <w:tmpl w:val="E88CE54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011440"/>
    <w:multiLevelType w:val="hybridMultilevel"/>
    <w:tmpl w:val="BE24F9E2"/>
    <w:lvl w:ilvl="0">
      <w:start w:val="1"/>
      <w:numFmt w:val="decimal"/>
      <w:lvlText w:val="%1."/>
      <w:lvlJc w:val="left"/>
      <w:pPr>
        <w:ind w:left="108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B6063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524EBF2"/>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DC67E88"/>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A425FD5"/>
    <w:multiLevelType w:val="hybridMultilevel"/>
    <w:tmpl w:val="6D0499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A701DF7"/>
    <w:multiLevelType w:val="hybridMultilevel"/>
    <w:tmpl w:val="6FD0DDC2"/>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12">
    <w:nsid w:val="73CD61FE"/>
    <w:multiLevelType w:val="hybridMultilevel"/>
    <w:tmpl w:val="12CC73F8"/>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num w:numId="1" w16cid:durableId="264387888">
    <w:abstractNumId w:val="5"/>
  </w:num>
  <w:num w:numId="2" w16cid:durableId="155921023">
    <w:abstractNumId w:val="10"/>
  </w:num>
  <w:num w:numId="3" w16cid:durableId="1212572943">
    <w:abstractNumId w:val="6"/>
  </w:num>
  <w:num w:numId="4" w16cid:durableId="1469282355">
    <w:abstractNumId w:val="8"/>
  </w:num>
  <w:num w:numId="5" w16cid:durableId="2085257168">
    <w:abstractNumId w:val="9"/>
  </w:num>
  <w:num w:numId="6" w16cid:durableId="506332639">
    <w:abstractNumId w:val="0"/>
  </w:num>
  <w:num w:numId="7" w16cid:durableId="1749888136">
    <w:abstractNumId w:val="3"/>
  </w:num>
  <w:num w:numId="8" w16cid:durableId="557669056">
    <w:abstractNumId w:val="1"/>
  </w:num>
  <w:num w:numId="9" w16cid:durableId="2114202571">
    <w:abstractNumId w:val="7"/>
  </w:num>
  <w:num w:numId="10" w16cid:durableId="943882044">
    <w:abstractNumId w:val="4"/>
  </w:num>
  <w:num w:numId="11" w16cid:durableId="1140223189">
    <w:abstractNumId w:val="2"/>
  </w:num>
  <w:num w:numId="12" w16cid:durableId="173224231">
    <w:abstractNumId w:val="12"/>
  </w:num>
  <w:num w:numId="13" w16cid:durableId="85540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49"/>
    <w:rsid w:val="000369CB"/>
    <w:rsid w:val="00057408"/>
    <w:rsid w:val="000915A4"/>
    <w:rsid w:val="00094EC8"/>
    <w:rsid w:val="000A5A5C"/>
    <w:rsid w:val="000B69A4"/>
    <w:rsid w:val="000B7360"/>
    <w:rsid w:val="000D4CC4"/>
    <w:rsid w:val="000E395A"/>
    <w:rsid w:val="000F370F"/>
    <w:rsid w:val="001045EF"/>
    <w:rsid w:val="00135BF1"/>
    <w:rsid w:val="00137259"/>
    <w:rsid w:val="00143E6C"/>
    <w:rsid w:val="00145914"/>
    <w:rsid w:val="00153572"/>
    <w:rsid w:val="001545A2"/>
    <w:rsid w:val="00156FDF"/>
    <w:rsid w:val="0016443F"/>
    <w:rsid w:val="00175E9A"/>
    <w:rsid w:val="00183F3C"/>
    <w:rsid w:val="00186B20"/>
    <w:rsid w:val="00190229"/>
    <w:rsid w:val="001905B6"/>
    <w:rsid w:val="0019241E"/>
    <w:rsid w:val="001962F4"/>
    <w:rsid w:val="001B433D"/>
    <w:rsid w:val="001D3E5A"/>
    <w:rsid w:val="00206D3B"/>
    <w:rsid w:val="00213164"/>
    <w:rsid w:val="0021458D"/>
    <w:rsid w:val="00255EBB"/>
    <w:rsid w:val="002724E7"/>
    <w:rsid w:val="00281807"/>
    <w:rsid w:val="00284722"/>
    <w:rsid w:val="002A0387"/>
    <w:rsid w:val="002A5E95"/>
    <w:rsid w:val="002B344D"/>
    <w:rsid w:val="002C0344"/>
    <w:rsid w:val="002D16BD"/>
    <w:rsid w:val="002D7C00"/>
    <w:rsid w:val="002F08CC"/>
    <w:rsid w:val="002F2BB6"/>
    <w:rsid w:val="002F32E9"/>
    <w:rsid w:val="002F62D5"/>
    <w:rsid w:val="00303DD5"/>
    <w:rsid w:val="00317646"/>
    <w:rsid w:val="0032736F"/>
    <w:rsid w:val="00330210"/>
    <w:rsid w:val="00331755"/>
    <w:rsid w:val="00374B35"/>
    <w:rsid w:val="0037595A"/>
    <w:rsid w:val="00386E44"/>
    <w:rsid w:val="0038718A"/>
    <w:rsid w:val="003E58BC"/>
    <w:rsid w:val="003F58BA"/>
    <w:rsid w:val="00410FDE"/>
    <w:rsid w:val="00413DF9"/>
    <w:rsid w:val="004414EB"/>
    <w:rsid w:val="0044515E"/>
    <w:rsid w:val="004523E7"/>
    <w:rsid w:val="00460A04"/>
    <w:rsid w:val="00467B76"/>
    <w:rsid w:val="0049649B"/>
    <w:rsid w:val="00497ADD"/>
    <w:rsid w:val="004A18C1"/>
    <w:rsid w:val="004A1FDB"/>
    <w:rsid w:val="004A393F"/>
    <w:rsid w:val="004B079F"/>
    <w:rsid w:val="004C6E0F"/>
    <w:rsid w:val="004D2DC5"/>
    <w:rsid w:val="004E1AFA"/>
    <w:rsid w:val="005078CA"/>
    <w:rsid w:val="00513B62"/>
    <w:rsid w:val="00534DBA"/>
    <w:rsid w:val="00552B16"/>
    <w:rsid w:val="00561605"/>
    <w:rsid w:val="00581504"/>
    <w:rsid w:val="005A4D1A"/>
    <w:rsid w:val="005B02BD"/>
    <w:rsid w:val="005D140A"/>
    <w:rsid w:val="005E4DBA"/>
    <w:rsid w:val="005E523F"/>
    <w:rsid w:val="005F79F4"/>
    <w:rsid w:val="00601130"/>
    <w:rsid w:val="006174A1"/>
    <w:rsid w:val="00632E45"/>
    <w:rsid w:val="00637187"/>
    <w:rsid w:val="00637E4C"/>
    <w:rsid w:val="006435D1"/>
    <w:rsid w:val="006524BE"/>
    <w:rsid w:val="00670130"/>
    <w:rsid w:val="0068292C"/>
    <w:rsid w:val="0069566F"/>
    <w:rsid w:val="006A786A"/>
    <w:rsid w:val="006C6661"/>
    <w:rsid w:val="006D7DE0"/>
    <w:rsid w:val="006E3E40"/>
    <w:rsid w:val="006E6622"/>
    <w:rsid w:val="00717F29"/>
    <w:rsid w:val="00726552"/>
    <w:rsid w:val="00747B04"/>
    <w:rsid w:val="00761281"/>
    <w:rsid w:val="00767F21"/>
    <w:rsid w:val="00773DF4"/>
    <w:rsid w:val="007A791B"/>
    <w:rsid w:val="007B4219"/>
    <w:rsid w:val="007B4408"/>
    <w:rsid w:val="007C02BA"/>
    <w:rsid w:val="007C07F2"/>
    <w:rsid w:val="007D2CB5"/>
    <w:rsid w:val="007E3ABB"/>
    <w:rsid w:val="007E4585"/>
    <w:rsid w:val="007E4D30"/>
    <w:rsid w:val="00800181"/>
    <w:rsid w:val="00812209"/>
    <w:rsid w:val="00812274"/>
    <w:rsid w:val="00831304"/>
    <w:rsid w:val="0083405B"/>
    <w:rsid w:val="00835838"/>
    <w:rsid w:val="00840C9A"/>
    <w:rsid w:val="00863D8C"/>
    <w:rsid w:val="00863F44"/>
    <w:rsid w:val="008741A9"/>
    <w:rsid w:val="00887E71"/>
    <w:rsid w:val="00896899"/>
    <w:rsid w:val="008A1857"/>
    <w:rsid w:val="008B34B3"/>
    <w:rsid w:val="008D3EAE"/>
    <w:rsid w:val="008E75A1"/>
    <w:rsid w:val="008F49FB"/>
    <w:rsid w:val="008F614F"/>
    <w:rsid w:val="00902167"/>
    <w:rsid w:val="00907AD7"/>
    <w:rsid w:val="00921433"/>
    <w:rsid w:val="00925157"/>
    <w:rsid w:val="00932A26"/>
    <w:rsid w:val="009B2008"/>
    <w:rsid w:val="009B5C77"/>
    <w:rsid w:val="009C0493"/>
    <w:rsid w:val="009D20E4"/>
    <w:rsid w:val="009D4587"/>
    <w:rsid w:val="009D7487"/>
    <w:rsid w:val="009F4509"/>
    <w:rsid w:val="00A144C7"/>
    <w:rsid w:val="00A41060"/>
    <w:rsid w:val="00A42352"/>
    <w:rsid w:val="00A54FC5"/>
    <w:rsid w:val="00A55C15"/>
    <w:rsid w:val="00A73E46"/>
    <w:rsid w:val="00A77043"/>
    <w:rsid w:val="00A8031F"/>
    <w:rsid w:val="00A92E33"/>
    <w:rsid w:val="00AA1BDA"/>
    <w:rsid w:val="00AB06B3"/>
    <w:rsid w:val="00AD719A"/>
    <w:rsid w:val="00AF516F"/>
    <w:rsid w:val="00B02FD5"/>
    <w:rsid w:val="00B05539"/>
    <w:rsid w:val="00B33A40"/>
    <w:rsid w:val="00B60B8D"/>
    <w:rsid w:val="00B67E3A"/>
    <w:rsid w:val="00B74F7B"/>
    <w:rsid w:val="00B758B7"/>
    <w:rsid w:val="00B9054B"/>
    <w:rsid w:val="00B94F8B"/>
    <w:rsid w:val="00BA4D93"/>
    <w:rsid w:val="00BB24D2"/>
    <w:rsid w:val="00BB6177"/>
    <w:rsid w:val="00BC507D"/>
    <w:rsid w:val="00BD0050"/>
    <w:rsid w:val="00C020AB"/>
    <w:rsid w:val="00C34149"/>
    <w:rsid w:val="00C34204"/>
    <w:rsid w:val="00C3583C"/>
    <w:rsid w:val="00C46472"/>
    <w:rsid w:val="00C74FA1"/>
    <w:rsid w:val="00C90EB0"/>
    <w:rsid w:val="00CC1A24"/>
    <w:rsid w:val="00CD6155"/>
    <w:rsid w:val="00CD7B31"/>
    <w:rsid w:val="00CF3898"/>
    <w:rsid w:val="00D118DD"/>
    <w:rsid w:val="00D1287A"/>
    <w:rsid w:val="00D3131D"/>
    <w:rsid w:val="00D32AD1"/>
    <w:rsid w:val="00D333BC"/>
    <w:rsid w:val="00D34AAB"/>
    <w:rsid w:val="00D526AD"/>
    <w:rsid w:val="00D665D2"/>
    <w:rsid w:val="00D85B1C"/>
    <w:rsid w:val="00DB51C5"/>
    <w:rsid w:val="00DD4B2A"/>
    <w:rsid w:val="00DF6215"/>
    <w:rsid w:val="00E015A6"/>
    <w:rsid w:val="00E14F67"/>
    <w:rsid w:val="00E21788"/>
    <w:rsid w:val="00E42FB6"/>
    <w:rsid w:val="00E44086"/>
    <w:rsid w:val="00E74942"/>
    <w:rsid w:val="00E76CA7"/>
    <w:rsid w:val="00E914D0"/>
    <w:rsid w:val="00E9603C"/>
    <w:rsid w:val="00E97610"/>
    <w:rsid w:val="00EA12D7"/>
    <w:rsid w:val="00EB6856"/>
    <w:rsid w:val="00EB7174"/>
    <w:rsid w:val="00F0042E"/>
    <w:rsid w:val="00F052E3"/>
    <w:rsid w:val="00F07A63"/>
    <w:rsid w:val="00F15887"/>
    <w:rsid w:val="00F16018"/>
    <w:rsid w:val="00F270F8"/>
    <w:rsid w:val="00F335A5"/>
    <w:rsid w:val="00F52C36"/>
    <w:rsid w:val="00F555DC"/>
    <w:rsid w:val="00F61AD4"/>
    <w:rsid w:val="00F75947"/>
    <w:rsid w:val="00F94299"/>
    <w:rsid w:val="00FA17DF"/>
    <w:rsid w:val="00FB15F4"/>
    <w:rsid w:val="00FC667E"/>
    <w:rsid w:val="00FD1225"/>
    <w:rsid w:val="00FF3C31"/>
    <w:rsid w:val="02BFAE2D"/>
    <w:rsid w:val="08594472"/>
    <w:rsid w:val="09872692"/>
    <w:rsid w:val="0B765F10"/>
    <w:rsid w:val="0C4A419F"/>
    <w:rsid w:val="10E94FC7"/>
    <w:rsid w:val="14643AC4"/>
    <w:rsid w:val="15C052ED"/>
    <w:rsid w:val="175D7002"/>
    <w:rsid w:val="17A908AF"/>
    <w:rsid w:val="1ABDA54D"/>
    <w:rsid w:val="1C569912"/>
    <w:rsid w:val="1EC5E5AB"/>
    <w:rsid w:val="26E12D33"/>
    <w:rsid w:val="275866CE"/>
    <w:rsid w:val="2783C2D8"/>
    <w:rsid w:val="27EE8997"/>
    <w:rsid w:val="295EAA25"/>
    <w:rsid w:val="2A92CE8D"/>
    <w:rsid w:val="2F330E91"/>
    <w:rsid w:val="2F722CF1"/>
    <w:rsid w:val="331AAA47"/>
    <w:rsid w:val="33D98D32"/>
    <w:rsid w:val="33EF8752"/>
    <w:rsid w:val="37B260FC"/>
    <w:rsid w:val="38E8B49A"/>
    <w:rsid w:val="3C97F755"/>
    <w:rsid w:val="3D907F75"/>
    <w:rsid w:val="3ECCC026"/>
    <w:rsid w:val="41FDFF6B"/>
    <w:rsid w:val="42EEAE1E"/>
    <w:rsid w:val="46A600D0"/>
    <w:rsid w:val="4958C8BF"/>
    <w:rsid w:val="516291E8"/>
    <w:rsid w:val="5B3D8356"/>
    <w:rsid w:val="634D2F1E"/>
    <w:rsid w:val="6631F0C2"/>
    <w:rsid w:val="6DCD57AA"/>
    <w:rsid w:val="72B16124"/>
    <w:rsid w:val="750B8C16"/>
    <w:rsid w:val="75BF4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8B80E"/>
  <w15:chartTrackingRefBased/>
  <w15:docId w15:val="{A9747A80-ACDF-4A4F-BBDF-46C95D50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1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149"/>
    <w:pPr>
      <w:ind w:left="720"/>
    </w:pPr>
  </w:style>
  <w:style w:type="paragraph" w:customStyle="1" w:styleId="Default">
    <w:name w:val="Default"/>
    <w:rsid w:val="001D3E5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86E44"/>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6D7DE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E75A1"/>
    <w:rPr>
      <w:sz w:val="16"/>
      <w:szCs w:val="16"/>
    </w:rPr>
  </w:style>
  <w:style w:type="paragraph" w:styleId="CommentText">
    <w:name w:val="annotation text"/>
    <w:basedOn w:val="Normal"/>
    <w:link w:val="CommentTextChar"/>
    <w:uiPriority w:val="99"/>
    <w:unhideWhenUsed/>
    <w:rsid w:val="008E75A1"/>
    <w:rPr>
      <w:sz w:val="20"/>
    </w:rPr>
  </w:style>
  <w:style w:type="character" w:customStyle="1" w:styleId="CommentTextChar">
    <w:name w:val="Comment Text Char"/>
    <w:basedOn w:val="DefaultParagraphFont"/>
    <w:link w:val="CommentText"/>
    <w:uiPriority w:val="99"/>
    <w:rsid w:val="008E75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75A1"/>
    <w:rPr>
      <w:b/>
      <w:bCs/>
    </w:rPr>
  </w:style>
  <w:style w:type="character" w:customStyle="1" w:styleId="CommentSubjectChar">
    <w:name w:val="Comment Subject Char"/>
    <w:basedOn w:val="CommentTextChar"/>
    <w:link w:val="CommentSubject"/>
    <w:uiPriority w:val="99"/>
    <w:semiHidden/>
    <w:rsid w:val="008E75A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qFormat/>
    <w:rsid w:val="00800181"/>
    <w:rPr>
      <w:sz w:val="20"/>
    </w:rPr>
  </w:style>
  <w:style w:type="character" w:customStyle="1" w:styleId="FootnoteTextChar">
    <w:name w:val="Footnote Text Char"/>
    <w:basedOn w:val="DefaultParagraphFont"/>
    <w:link w:val="FootnoteText"/>
    <w:uiPriority w:val="99"/>
    <w:rsid w:val="0080018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0181"/>
    <w:rPr>
      <w:vertAlign w:val="superscript"/>
    </w:rPr>
  </w:style>
  <w:style w:type="character" w:styleId="Mention">
    <w:name w:val="Mention"/>
    <w:basedOn w:val="DefaultParagraphFont"/>
    <w:uiPriority w:val="99"/>
    <w:unhideWhenUsed/>
    <w:rsid w:val="004B079F"/>
    <w:rPr>
      <w:color w:val="2B579A"/>
      <w:shd w:val="clear" w:color="auto" w:fill="E1DFDD"/>
    </w:rPr>
  </w:style>
  <w:style w:type="paragraph" w:styleId="Header">
    <w:name w:val="header"/>
    <w:basedOn w:val="Normal"/>
    <w:link w:val="HeaderChar"/>
    <w:uiPriority w:val="99"/>
    <w:semiHidden/>
    <w:unhideWhenUsed/>
    <w:rsid w:val="00FA17DF"/>
    <w:pPr>
      <w:tabs>
        <w:tab w:val="center" w:pos="4680"/>
        <w:tab w:val="right" w:pos="9360"/>
      </w:tabs>
    </w:pPr>
  </w:style>
  <w:style w:type="character" w:customStyle="1" w:styleId="HeaderChar">
    <w:name w:val="Header Char"/>
    <w:basedOn w:val="DefaultParagraphFont"/>
    <w:link w:val="Header"/>
    <w:uiPriority w:val="99"/>
    <w:semiHidden/>
    <w:rsid w:val="00FA17DF"/>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A17DF"/>
    <w:pPr>
      <w:tabs>
        <w:tab w:val="center" w:pos="4680"/>
        <w:tab w:val="right" w:pos="9360"/>
      </w:tabs>
    </w:pPr>
  </w:style>
  <w:style w:type="character" w:customStyle="1" w:styleId="FooterChar">
    <w:name w:val="Footer Char"/>
    <w:basedOn w:val="DefaultParagraphFont"/>
    <w:link w:val="Footer"/>
    <w:uiPriority w:val="99"/>
    <w:semiHidden/>
    <w:rsid w:val="00FA17DF"/>
    <w:rPr>
      <w:rFonts w:ascii="Times New Roman" w:eastAsia="Times New Roman" w:hAnsi="Times New Roman" w:cs="Times New Roman"/>
      <w:sz w:val="24"/>
      <w:szCs w:val="20"/>
    </w:rPr>
  </w:style>
  <w:style w:type="table" w:styleId="TableGrid">
    <w:name w:val="Table Grid"/>
    <w:basedOn w:val="TableNormal"/>
    <w:uiPriority w:val="59"/>
    <w:rsid w:val="00747B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18811-1B79-4902-B3CB-2AEFD8121E88}">
  <ds:schemaRefs>
    <ds:schemaRef ds:uri="http://schemas.microsoft.com/sharepoint/v3/contenttype/forms"/>
  </ds:schemaRefs>
</ds:datastoreItem>
</file>

<file path=customXml/itemProps2.xml><?xml version="1.0" encoding="utf-8"?>
<ds:datastoreItem xmlns:ds="http://schemas.openxmlformats.org/officeDocument/2006/customXml" ds:itemID="{F6A398EE-FEF0-4137-A3FE-B849210866E3}">
  <ds:schemaRefs>
    <ds:schemaRef ds:uri="http://schemas.openxmlformats.org/officeDocument/2006/bibliography"/>
  </ds:schemaRefs>
</ds:datastoreItem>
</file>

<file path=customXml/itemProps3.xml><?xml version="1.0" encoding="utf-8"?>
<ds:datastoreItem xmlns:ds="http://schemas.openxmlformats.org/officeDocument/2006/customXml" ds:itemID="{AACDEE51-EF79-4B1A-BF3E-9A558B032C1F}">
  <ds:schemaRefs>
    <ds:schemaRef ds:uri="http://purl.org/dc/dcmitype/"/>
    <ds:schemaRef ds:uri="http://purl.org/dc/elements/1.1/"/>
    <ds:schemaRef ds:uri="http://schemas.microsoft.com/office/2006/metadata/properties"/>
    <ds:schemaRef ds:uri="b270c13a-4492-4e1e-b47b-1c9c4fe9105b"/>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e2c2917e-047f-4ef5-af2e-e094bcfe6189"/>
    <ds:schemaRef ds:uri="http://www.w3.org/XML/1998/namespace"/>
  </ds:schemaRefs>
</ds:datastoreItem>
</file>

<file path=customXml/itemProps4.xml><?xml version="1.0" encoding="utf-8"?>
<ds:datastoreItem xmlns:ds="http://schemas.openxmlformats.org/officeDocument/2006/customXml" ds:itemID="{1D97946B-2897-4775-8D04-6DA42F9E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(FRA)</dc:creator>
  <cp:lastModifiedBy>Swafford, Joanne (FRA)</cp:lastModifiedBy>
  <cp:revision>3</cp:revision>
  <dcterms:created xsi:type="dcterms:W3CDTF">2024-10-17T17:15:00Z</dcterms:created>
  <dcterms:modified xsi:type="dcterms:W3CDTF">2024-10-17T17:17:00Z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