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14:paraId="7B443D95" w14:textId="7DA6B066">
      <w:pPr>
        <w:pStyle w:val="Title"/>
        <w:rPr>
          <w:rFonts w:ascii="Times New Roman" w:hAnsi="Times New Roman"/>
          <w:u w:val="none"/>
        </w:rPr>
      </w:pPr>
      <w:r>
        <w:rPr>
          <w:rFonts w:ascii="Times New Roman" w:hAnsi="Times New Roman"/>
          <w:u w:val="none"/>
        </w:rPr>
        <w:t>Department of Transportation</w:t>
      </w:r>
    </w:p>
    <w:p w:rsidR="00565659" w14:paraId="7ECA282B" w14:textId="7AE8EE1C">
      <w:pPr>
        <w:pStyle w:val="Title"/>
        <w:rPr>
          <w:rFonts w:ascii="Times New Roman" w:hAnsi="Times New Roman"/>
          <w:u w:val="none"/>
        </w:rPr>
      </w:pPr>
      <w:r>
        <w:rPr>
          <w:rFonts w:ascii="Times New Roman" w:hAnsi="Times New Roman"/>
          <w:u w:val="none"/>
        </w:rPr>
        <w:t xml:space="preserve">Maritime Administration </w:t>
      </w:r>
    </w:p>
    <w:p w:rsidR="00565659" w14:paraId="5503AE25" w14:textId="702F4ABA">
      <w:pPr>
        <w:pStyle w:val="Title"/>
        <w:rPr>
          <w:rFonts w:ascii="Times New Roman" w:hAnsi="Times New Roman"/>
          <w:u w:val="none"/>
        </w:rPr>
      </w:pPr>
      <w:r>
        <w:rPr>
          <w:rFonts w:ascii="Times New Roman" w:hAnsi="Times New Roman"/>
          <w:u w:val="none"/>
        </w:rPr>
        <w:t>Information Collection Request (ICR)</w:t>
      </w:r>
    </w:p>
    <w:p w:rsidR="00565659" w14:paraId="6152AEAA" w14:textId="648575A5">
      <w:pPr>
        <w:pStyle w:val="Title"/>
        <w:rPr>
          <w:rFonts w:ascii="Times New Roman" w:hAnsi="Times New Roman"/>
          <w:u w:val="none"/>
        </w:rPr>
      </w:pPr>
      <w:r>
        <w:rPr>
          <w:rFonts w:ascii="Times New Roman" w:hAnsi="Times New Roman"/>
          <w:u w:val="none"/>
        </w:rPr>
        <w:t>OMB 2133-0540</w:t>
      </w:r>
    </w:p>
    <w:p w:rsidR="00565659" w:rsidRPr="00EF5048" w:rsidP="00565659" w14:paraId="597C2D1C" w14:textId="77777777">
      <w:pPr>
        <w:pStyle w:val="Title"/>
        <w:outlineLvl w:val="0"/>
        <w:rPr>
          <w:rFonts w:ascii="Times New Roman" w:hAnsi="Times New Roman"/>
          <w:u w:val="none"/>
        </w:rPr>
      </w:pPr>
      <w:r w:rsidRPr="00EF5048">
        <w:rPr>
          <w:rFonts w:ascii="Times New Roman" w:hAnsi="Times New Roman"/>
          <w:u w:val="none"/>
        </w:rPr>
        <w:t xml:space="preserve">Procedures for Determining Vessel Services Categories </w:t>
      </w:r>
    </w:p>
    <w:p w:rsidR="00565659" w:rsidRPr="00EF5048" w:rsidP="00565659" w14:paraId="0BDB7EB7" w14:textId="77777777">
      <w:pPr>
        <w:pStyle w:val="Title"/>
        <w:outlineLvl w:val="0"/>
        <w:rPr>
          <w:rFonts w:ascii="Times New Roman" w:hAnsi="Times New Roman"/>
          <w:u w:val="none"/>
        </w:rPr>
      </w:pPr>
      <w:r w:rsidRPr="00EF5048">
        <w:rPr>
          <w:rFonts w:ascii="Times New Roman" w:hAnsi="Times New Roman"/>
          <w:u w:val="none"/>
        </w:rPr>
        <w:t>For Purposes of the Cargo Preference Act</w:t>
      </w:r>
    </w:p>
    <w:p w:rsidR="00E5618D" w:rsidRPr="00565659" w:rsidP="00D6334C" w14:paraId="03FB82F4" w14:textId="77777777">
      <w:pPr>
        <w:pStyle w:val="Title"/>
        <w:jc w:val="left"/>
        <w:rPr>
          <w:rFonts w:ascii="Times New Roman" w:hAnsi="Times New Roman"/>
          <w:u w:val="none"/>
        </w:rPr>
      </w:pPr>
    </w:p>
    <w:p w:rsidR="0004749E" w:rsidRPr="00D6334C" w:rsidP="008548EF" w14:paraId="62DB8E00" w14:textId="77777777">
      <w:pPr>
        <w:pStyle w:val="Title"/>
        <w:outlineLvl w:val="0"/>
        <w:rPr>
          <w:rFonts w:ascii="Times New Roman" w:hAnsi="Times New Roman"/>
          <w:u w:val="none"/>
        </w:rPr>
      </w:pPr>
      <w:r w:rsidRPr="00D6334C">
        <w:rPr>
          <w:rFonts w:ascii="Times New Roman" w:hAnsi="Times New Roman"/>
          <w:u w:val="none"/>
        </w:rPr>
        <w:t>SUPPORTING STATEMENT</w:t>
      </w:r>
    </w:p>
    <w:p w:rsidR="008919C7" w:rsidRPr="00EF5048" w:rsidP="008548EF" w14:paraId="1BE37B28" w14:textId="77777777">
      <w:pPr>
        <w:pStyle w:val="Title"/>
        <w:outlineLvl w:val="0"/>
        <w:rPr>
          <w:rFonts w:ascii="Times New Roman" w:hAnsi="Times New Roman"/>
        </w:rPr>
      </w:pPr>
    </w:p>
    <w:p w:rsidR="0004749E" w:rsidRPr="00EF5048" w14:paraId="0637A623" w14:textId="77777777">
      <w:pPr>
        <w:rPr>
          <w:rFonts w:ascii="Times New Roman" w:hAnsi="Times New Roman"/>
          <w:b/>
          <w:bCs/>
          <w:sz w:val="24"/>
          <w:szCs w:val="24"/>
        </w:rPr>
      </w:pPr>
    </w:p>
    <w:p w:rsidR="00C9231E" w:rsidP="00EA59A6" w14:paraId="1FED44D7" w14:textId="4F997B6B">
      <w:pPr>
        <w:rPr>
          <w:rFonts w:ascii="Times New Roman" w:hAnsi="Times New Roman"/>
        </w:rPr>
      </w:pPr>
      <w:r w:rsidRPr="00D6334C">
        <w:rPr>
          <w:rFonts w:ascii="Times New Roman" w:hAnsi="Times New Roman"/>
          <w:b/>
          <w:sz w:val="24"/>
          <w:szCs w:val="24"/>
        </w:rPr>
        <w:t>INTRODUCTION:</w:t>
      </w:r>
      <w:r w:rsidRPr="00B76927">
        <w:rPr>
          <w:rFonts w:ascii="Times New Roman" w:hAnsi="Times New Roman"/>
          <w:b/>
          <w:sz w:val="24"/>
          <w:szCs w:val="24"/>
        </w:rPr>
        <w:t xml:space="preserve">  </w:t>
      </w:r>
      <w:r w:rsidRPr="00B76927">
        <w:rPr>
          <w:rFonts w:ascii="Times New Roman" w:hAnsi="Times New Roman"/>
          <w:sz w:val="24"/>
          <w:szCs w:val="24"/>
        </w:rPr>
        <w:t xml:space="preserve">This </w:t>
      </w:r>
      <w:r w:rsidR="00244F79">
        <w:rPr>
          <w:rFonts w:ascii="Times New Roman" w:hAnsi="Times New Roman"/>
          <w:sz w:val="24"/>
          <w:szCs w:val="24"/>
        </w:rPr>
        <w:t>submission is to</w:t>
      </w:r>
      <w:r w:rsidRPr="00B76927" w:rsidR="00480461">
        <w:rPr>
          <w:rFonts w:ascii="Times New Roman" w:hAnsi="Times New Roman"/>
          <w:sz w:val="24"/>
          <w:szCs w:val="24"/>
        </w:rPr>
        <w:t xml:space="preserve"> request</w:t>
      </w:r>
      <w:r w:rsidR="00244F79">
        <w:rPr>
          <w:rFonts w:ascii="Times New Roman" w:hAnsi="Times New Roman"/>
          <w:sz w:val="24"/>
          <w:szCs w:val="24"/>
        </w:rPr>
        <w:t xml:space="preserve"> a three-year extension from</w:t>
      </w:r>
      <w:r w:rsidRPr="00B76927" w:rsidR="00480461">
        <w:rPr>
          <w:rFonts w:ascii="Times New Roman" w:hAnsi="Times New Roman"/>
          <w:sz w:val="24"/>
          <w:szCs w:val="24"/>
        </w:rPr>
        <w:t xml:space="preserve"> the </w:t>
      </w:r>
      <w:r w:rsidRPr="00B76927">
        <w:rPr>
          <w:rFonts w:ascii="Times New Roman" w:hAnsi="Times New Roman"/>
          <w:sz w:val="24"/>
          <w:szCs w:val="24"/>
        </w:rPr>
        <w:t>Office of Management and Budget</w:t>
      </w:r>
      <w:r w:rsidR="00244F79">
        <w:rPr>
          <w:rFonts w:ascii="Times New Roman" w:hAnsi="Times New Roman"/>
          <w:sz w:val="24"/>
          <w:szCs w:val="24"/>
        </w:rPr>
        <w:t xml:space="preserve"> </w:t>
      </w:r>
      <w:r w:rsidRPr="00B76927">
        <w:rPr>
          <w:rFonts w:ascii="Times New Roman" w:hAnsi="Times New Roman"/>
          <w:sz w:val="24"/>
          <w:szCs w:val="24"/>
        </w:rPr>
        <w:t>(OMB) for the information collection entitled</w:t>
      </w:r>
      <w:r w:rsidR="00244F79">
        <w:rPr>
          <w:rFonts w:ascii="Times New Roman" w:hAnsi="Times New Roman"/>
          <w:sz w:val="24"/>
          <w:szCs w:val="24"/>
        </w:rPr>
        <w:t xml:space="preserve"> OMB 2133-05</w:t>
      </w:r>
      <w:r w:rsidR="00FC49A9">
        <w:rPr>
          <w:rFonts w:ascii="Times New Roman" w:hAnsi="Times New Roman"/>
          <w:sz w:val="24"/>
          <w:szCs w:val="24"/>
        </w:rPr>
        <w:t xml:space="preserve">40 </w:t>
      </w:r>
      <w:r w:rsidR="00244F79">
        <w:rPr>
          <w:rFonts w:ascii="Times New Roman" w:hAnsi="Times New Roman"/>
          <w:sz w:val="24"/>
          <w:szCs w:val="24"/>
        </w:rPr>
        <w:t>(</w:t>
      </w:r>
      <w:r w:rsidRPr="00B76927">
        <w:rPr>
          <w:rFonts w:ascii="Times New Roman" w:hAnsi="Times New Roman"/>
          <w:sz w:val="24"/>
          <w:szCs w:val="24"/>
        </w:rPr>
        <w:t>Procedures for Determining Vessel Services Categories for Purposes of the Cargo Preference Act</w:t>
      </w:r>
      <w:r w:rsidR="00244F79">
        <w:rPr>
          <w:rFonts w:ascii="Times New Roman" w:hAnsi="Times New Roman"/>
          <w:sz w:val="24"/>
          <w:szCs w:val="24"/>
        </w:rPr>
        <w:t xml:space="preserve">), </w:t>
      </w:r>
      <w:r w:rsidRPr="00B76927" w:rsidR="00E5618D">
        <w:rPr>
          <w:rFonts w:ascii="Times New Roman" w:hAnsi="Times New Roman"/>
          <w:sz w:val="24"/>
          <w:szCs w:val="24"/>
        </w:rPr>
        <w:t>which expire</w:t>
      </w:r>
      <w:r w:rsidR="00244F79">
        <w:rPr>
          <w:rFonts w:ascii="Times New Roman" w:hAnsi="Times New Roman"/>
          <w:sz w:val="24"/>
          <w:szCs w:val="24"/>
        </w:rPr>
        <w:t>s</w:t>
      </w:r>
      <w:r w:rsidRPr="00B76927" w:rsidR="00E5618D">
        <w:rPr>
          <w:rFonts w:ascii="Times New Roman" w:hAnsi="Times New Roman"/>
          <w:sz w:val="24"/>
          <w:szCs w:val="24"/>
        </w:rPr>
        <w:t xml:space="preserve"> on </w:t>
      </w:r>
      <w:r w:rsidR="00C21F3F">
        <w:rPr>
          <w:rFonts w:ascii="Times New Roman" w:hAnsi="Times New Roman"/>
          <w:sz w:val="24"/>
          <w:szCs w:val="24"/>
        </w:rPr>
        <w:t>August 31, 2024. There are no changes since the last renewal, so this collection will be submitted as a</w:t>
      </w:r>
      <w:r w:rsidR="00576985">
        <w:rPr>
          <w:rFonts w:ascii="Times New Roman" w:hAnsi="Times New Roman"/>
          <w:sz w:val="24"/>
          <w:szCs w:val="24"/>
        </w:rPr>
        <w:t>n</w:t>
      </w:r>
      <w:r w:rsidR="00C21F3F">
        <w:rPr>
          <w:rFonts w:ascii="Times New Roman" w:hAnsi="Times New Roman"/>
          <w:sz w:val="24"/>
          <w:szCs w:val="24"/>
        </w:rPr>
        <w:t xml:space="preserve"> </w:t>
      </w:r>
      <w:r w:rsidRPr="00D6334C" w:rsidR="00C21F3F">
        <w:rPr>
          <w:rFonts w:ascii="Times New Roman" w:hAnsi="Times New Roman"/>
          <w:i/>
          <w:iCs/>
          <w:sz w:val="24"/>
          <w:szCs w:val="24"/>
        </w:rPr>
        <w:t>extension</w:t>
      </w:r>
      <w:r w:rsidR="00C21F3F">
        <w:rPr>
          <w:rFonts w:ascii="Times New Roman" w:hAnsi="Times New Roman"/>
          <w:sz w:val="24"/>
          <w:szCs w:val="24"/>
        </w:rPr>
        <w:t xml:space="preserve"> request. </w:t>
      </w:r>
      <w:r>
        <w:rPr>
          <w:rFonts w:ascii="Times New Roman" w:hAnsi="Times New Roman"/>
          <w:sz w:val="24"/>
          <w:szCs w:val="24"/>
        </w:rPr>
        <w:t xml:space="preserve">  </w:t>
      </w:r>
    </w:p>
    <w:p w:rsidR="00CF6761" w:rsidP="009419FD" w14:paraId="6C76A174" w14:textId="77777777">
      <w:pPr>
        <w:rPr>
          <w:rFonts w:ascii="Times New Roman" w:hAnsi="Times New Roman"/>
          <w:sz w:val="24"/>
          <w:szCs w:val="24"/>
        </w:rPr>
      </w:pPr>
    </w:p>
    <w:p w:rsidR="0004749E" w:rsidRPr="00D6334C" w:rsidP="00D6334C" w14:paraId="1E1CC592" w14:textId="54A5A760">
      <w:pPr>
        <w:pStyle w:val="ListParagraph"/>
        <w:numPr>
          <w:ilvl w:val="0"/>
          <w:numId w:val="9"/>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rPr>
          <w:b/>
          <w:bCs/>
          <w:szCs w:val="24"/>
        </w:rPr>
      </w:pPr>
      <w:r w:rsidRPr="00F56CCB">
        <w:rPr>
          <w:b/>
          <w:bCs/>
          <w:szCs w:val="24"/>
        </w:rPr>
        <w:t>JUSTIFICATION</w:t>
      </w:r>
    </w:p>
    <w:p w:rsidR="0004749E" w:rsidRPr="00EF5048" w14:paraId="50D4313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9678E8" w:rsidRPr="00D6334C" w:rsidP="00D6334C" w14:paraId="6D6DAF41" w14:textId="03750877">
      <w:pPr>
        <w:pStyle w:val="ListParagraph"/>
        <w:numPr>
          <w:ilvl w:val="0"/>
          <w:numId w:val="11"/>
        </w:numPr>
        <w:ind w:left="720"/>
        <w:rPr>
          <w:bCs/>
          <w:szCs w:val="24"/>
        </w:rPr>
      </w:pPr>
      <w:r w:rsidRPr="00D6334C">
        <w:rPr>
          <w:b/>
          <w:bCs/>
          <w:szCs w:val="24"/>
        </w:rPr>
        <w:t xml:space="preserve">Circumstances </w:t>
      </w:r>
      <w:r w:rsidRPr="00D6334C">
        <w:rPr>
          <w:b/>
          <w:bCs/>
          <w:szCs w:val="24"/>
        </w:rPr>
        <w:t>Making</w:t>
      </w:r>
      <w:r w:rsidRPr="00D6334C">
        <w:rPr>
          <w:b/>
          <w:bCs/>
          <w:szCs w:val="24"/>
        </w:rPr>
        <w:t xml:space="preserve"> </w:t>
      </w:r>
      <w:r w:rsidRPr="00D6334C">
        <w:rPr>
          <w:b/>
          <w:bCs/>
          <w:szCs w:val="24"/>
        </w:rPr>
        <w:t>the C</w:t>
      </w:r>
      <w:r w:rsidRPr="00D6334C">
        <w:rPr>
          <w:b/>
          <w:bCs/>
          <w:szCs w:val="24"/>
        </w:rPr>
        <w:t xml:space="preserve">ollection of </w:t>
      </w:r>
      <w:r w:rsidRPr="00D6334C">
        <w:rPr>
          <w:b/>
          <w:bCs/>
          <w:szCs w:val="24"/>
        </w:rPr>
        <w:t>Information Necessary</w:t>
      </w:r>
    </w:p>
    <w:p w:rsidR="00D1247D" w:rsidRPr="009678E8" w:rsidP="00D6334C" w14:paraId="307CFC76" w14:textId="7B4A8205">
      <w:pPr>
        <w:pStyle w:val="ListParagraph"/>
        <w:ind w:left="810"/>
        <w:rPr>
          <w:szCs w:val="24"/>
        </w:rPr>
      </w:pPr>
      <w:r w:rsidRPr="009678E8">
        <w:rPr>
          <w:bCs/>
          <w:szCs w:val="24"/>
        </w:rPr>
        <w:t xml:space="preserve">  </w:t>
      </w:r>
    </w:p>
    <w:p w:rsidR="0004749E" w:rsidRPr="001165B9" w:rsidP="00D6334C" w14:paraId="45EDF6E2" w14:textId="045ED2B4">
      <w:pPr>
        <w:ind w:left="720"/>
        <w:rPr>
          <w:rFonts w:ascii="Times New Roman" w:hAnsi="Times New Roman"/>
          <w:sz w:val="24"/>
          <w:szCs w:val="24"/>
        </w:rPr>
      </w:pPr>
      <w:r w:rsidRPr="00F557EC">
        <w:rPr>
          <w:rFonts w:ascii="Times New Roman" w:hAnsi="Times New Roman"/>
          <w:sz w:val="24"/>
          <w:szCs w:val="24"/>
        </w:rPr>
        <w:t xml:space="preserve">This information </w:t>
      </w:r>
      <w:r w:rsidR="009678E8">
        <w:rPr>
          <w:rFonts w:ascii="Times New Roman" w:hAnsi="Times New Roman"/>
          <w:sz w:val="24"/>
          <w:szCs w:val="24"/>
        </w:rPr>
        <w:t xml:space="preserve">collection </w:t>
      </w:r>
      <w:r w:rsidRPr="00F557EC">
        <w:rPr>
          <w:rFonts w:ascii="Times New Roman" w:hAnsi="Times New Roman"/>
          <w:sz w:val="24"/>
          <w:szCs w:val="24"/>
        </w:rPr>
        <w:t>is required</w:t>
      </w:r>
      <w:r w:rsidRPr="00F557EC" w:rsidR="008919C7">
        <w:rPr>
          <w:rFonts w:ascii="Times New Roman" w:hAnsi="Times New Roman"/>
          <w:sz w:val="24"/>
          <w:szCs w:val="24"/>
        </w:rPr>
        <w:t xml:space="preserve"> to administer the interagency M</w:t>
      </w:r>
      <w:r w:rsidRPr="00F557EC">
        <w:rPr>
          <w:rFonts w:ascii="Times New Roman" w:hAnsi="Times New Roman"/>
          <w:sz w:val="24"/>
          <w:szCs w:val="24"/>
        </w:rPr>
        <w:t>emorandum of Understanding (MOU) Regarding Procedures for Determining Service Categories for the Purpose of the Cargo Preference Act (CPA). The text and an explanation of the MOU are set forth in the Federal Register notice</w:t>
      </w:r>
      <w:r w:rsidRPr="00F557EC" w:rsidR="00B508A8">
        <w:rPr>
          <w:rFonts w:ascii="Times New Roman" w:hAnsi="Times New Roman"/>
          <w:sz w:val="24"/>
          <w:szCs w:val="24"/>
        </w:rPr>
        <w:t xml:space="preserve"> (</w:t>
      </w:r>
      <w:r w:rsidR="004C01C5">
        <w:rPr>
          <w:rFonts w:ascii="Times New Roman" w:hAnsi="Times New Roman"/>
          <w:sz w:val="24"/>
          <w:szCs w:val="24"/>
        </w:rPr>
        <w:t>74 FR 47308</w:t>
      </w:r>
      <w:r w:rsidRPr="00F557EC" w:rsidR="00B508A8">
        <w:rPr>
          <w:rFonts w:ascii="Times New Roman" w:hAnsi="Times New Roman"/>
          <w:sz w:val="24"/>
          <w:szCs w:val="24"/>
        </w:rPr>
        <w:t>)</w:t>
      </w:r>
      <w:r w:rsidRPr="00F557EC">
        <w:rPr>
          <w:rFonts w:ascii="Times New Roman" w:hAnsi="Times New Roman"/>
          <w:sz w:val="24"/>
          <w:szCs w:val="24"/>
        </w:rPr>
        <w:t>.</w:t>
      </w:r>
      <w:r w:rsidR="00DF589A">
        <w:rPr>
          <w:rFonts w:ascii="Times New Roman" w:hAnsi="Times New Roman"/>
          <w:sz w:val="24"/>
          <w:szCs w:val="24"/>
        </w:rPr>
        <w:t xml:space="preserve"> There is no form associated with this information collection.</w:t>
      </w:r>
      <w:r w:rsidRPr="00F557EC">
        <w:rPr>
          <w:rFonts w:ascii="Times New Roman" w:hAnsi="Times New Roman"/>
          <w:sz w:val="24"/>
          <w:szCs w:val="24"/>
        </w:rPr>
        <w:t xml:space="preserve"> This collection supports the DOT strategic goal of </w:t>
      </w:r>
      <w:r w:rsidR="00F67CE6">
        <w:rPr>
          <w:rFonts w:ascii="Times New Roman" w:hAnsi="Times New Roman"/>
          <w:sz w:val="24"/>
          <w:szCs w:val="24"/>
        </w:rPr>
        <w:t xml:space="preserve">Economic Strength and Global Competitiveness by creating resilient supply chains stakeholders </w:t>
      </w:r>
      <w:r w:rsidR="00EB7F01">
        <w:rPr>
          <w:rFonts w:ascii="Times New Roman" w:hAnsi="Times New Roman"/>
          <w:sz w:val="24"/>
          <w:szCs w:val="24"/>
        </w:rPr>
        <w:t xml:space="preserve">and </w:t>
      </w:r>
      <w:r w:rsidR="00F67CE6">
        <w:rPr>
          <w:rFonts w:ascii="Times New Roman" w:hAnsi="Times New Roman"/>
          <w:sz w:val="24"/>
          <w:szCs w:val="24"/>
        </w:rPr>
        <w:t xml:space="preserve"> ensuring </w:t>
      </w:r>
      <w:r w:rsidR="00EB7F01">
        <w:rPr>
          <w:rFonts w:ascii="Times New Roman" w:hAnsi="Times New Roman"/>
          <w:sz w:val="24"/>
          <w:szCs w:val="24"/>
        </w:rPr>
        <w:t xml:space="preserve">that </w:t>
      </w:r>
      <w:r w:rsidR="00F67CE6">
        <w:rPr>
          <w:rFonts w:ascii="Times New Roman" w:hAnsi="Times New Roman"/>
          <w:sz w:val="24"/>
          <w:szCs w:val="24"/>
        </w:rPr>
        <w:t xml:space="preserve">vessels used in both domestic and international shipment of goods are properly credentialed </w:t>
      </w:r>
      <w:r w:rsidR="00EB7F01">
        <w:rPr>
          <w:rFonts w:ascii="Times New Roman" w:hAnsi="Times New Roman"/>
          <w:sz w:val="24"/>
          <w:szCs w:val="24"/>
        </w:rPr>
        <w:t>in compliance with</w:t>
      </w:r>
      <w:r w:rsidR="00F67CE6">
        <w:rPr>
          <w:rFonts w:ascii="Times New Roman" w:hAnsi="Times New Roman"/>
          <w:sz w:val="24"/>
          <w:szCs w:val="24"/>
        </w:rPr>
        <w:t xml:space="preserve"> CPA</w:t>
      </w:r>
      <w:r w:rsidR="00EB7F01">
        <w:rPr>
          <w:rFonts w:ascii="Times New Roman" w:hAnsi="Times New Roman"/>
          <w:sz w:val="24"/>
          <w:szCs w:val="24"/>
        </w:rPr>
        <w:t xml:space="preserve"> requirements</w:t>
      </w:r>
      <w:r w:rsidR="00F67CE6">
        <w:rPr>
          <w:rFonts w:ascii="Times New Roman" w:hAnsi="Times New Roman"/>
          <w:sz w:val="24"/>
          <w:szCs w:val="24"/>
        </w:rPr>
        <w:t>.</w:t>
      </w:r>
    </w:p>
    <w:p w:rsidR="0004749E" w:rsidRPr="00EF5048" w:rsidP="00D6334C" w14:paraId="552528E5" w14:textId="77777777">
      <w:pPr>
        <w:ind w:left="810" w:hanging="450"/>
        <w:rPr>
          <w:rFonts w:ascii="Times New Roman" w:hAnsi="Times New Roman"/>
          <w:sz w:val="24"/>
          <w:szCs w:val="24"/>
        </w:rPr>
      </w:pPr>
    </w:p>
    <w:p w:rsidR="00F90CC9" w:rsidRPr="00D6334C" w:rsidP="00D6334C" w14:paraId="7227E783" w14:textId="6C721B7F">
      <w:pPr>
        <w:pStyle w:val="ListParagraph"/>
        <w:numPr>
          <w:ilvl w:val="0"/>
          <w:numId w:val="11"/>
        </w:numPr>
        <w:ind w:left="720"/>
        <w:rPr>
          <w:b/>
          <w:szCs w:val="24"/>
        </w:rPr>
      </w:pPr>
      <w:r w:rsidRPr="00F90CC9">
        <w:rPr>
          <w:b/>
          <w:bCs/>
          <w:szCs w:val="24"/>
        </w:rPr>
        <w:t xml:space="preserve">Purpose and Use of the Information Collection </w:t>
      </w:r>
    </w:p>
    <w:p w:rsidR="00EF5048" w:rsidRPr="00F90CC9" w:rsidP="00D6334C" w14:paraId="208B5A70" w14:textId="77777777">
      <w:pPr>
        <w:pStyle w:val="ListParagraph"/>
        <w:ind w:left="810"/>
      </w:pPr>
    </w:p>
    <w:p w:rsidR="0004749E" w:rsidRPr="00EF5048" w:rsidP="00D6334C" w14:paraId="1D19349C" w14:textId="212F9C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color w:val="auto"/>
        </w:rPr>
      </w:pPr>
      <w:r w:rsidRPr="00EF5048">
        <w:rPr>
          <w:rFonts w:ascii="Times New Roman" w:hAnsi="Times New Roman"/>
          <w:color w:val="auto"/>
        </w:rPr>
        <w:t xml:space="preserve">Maritime Administration </w:t>
      </w:r>
      <w:r w:rsidR="00F90CC9">
        <w:rPr>
          <w:rFonts w:ascii="Times New Roman" w:hAnsi="Times New Roman"/>
          <w:color w:val="auto"/>
        </w:rPr>
        <w:t xml:space="preserve">(MARAD) personnel </w:t>
      </w:r>
      <w:r w:rsidRPr="00EF5048">
        <w:rPr>
          <w:rFonts w:ascii="Times New Roman" w:hAnsi="Times New Roman"/>
          <w:color w:val="auto"/>
        </w:rPr>
        <w:t>will use the dat</w:t>
      </w:r>
      <w:r w:rsidRPr="00EF5048" w:rsidR="008919C7">
        <w:rPr>
          <w:rFonts w:ascii="Times New Roman" w:hAnsi="Times New Roman"/>
          <w:color w:val="auto"/>
        </w:rPr>
        <w:t>a</w:t>
      </w:r>
      <w:r w:rsidRPr="00EF5048">
        <w:rPr>
          <w:rFonts w:ascii="Times New Roman" w:hAnsi="Times New Roman"/>
          <w:color w:val="auto"/>
        </w:rPr>
        <w:t xml:space="preserve"> submitted by vessel operators to create a list of Vessel Self-Designations and determine whether the </w:t>
      </w:r>
      <w:r w:rsidRPr="00EF5048" w:rsidR="008919C7">
        <w:rPr>
          <w:rFonts w:ascii="Times New Roman" w:hAnsi="Times New Roman"/>
          <w:color w:val="auto"/>
        </w:rPr>
        <w:t>A</w:t>
      </w:r>
      <w:r w:rsidRPr="00EF5048">
        <w:rPr>
          <w:rFonts w:ascii="Times New Roman" w:hAnsi="Times New Roman"/>
          <w:color w:val="auto"/>
        </w:rPr>
        <w:t>gency agree</w:t>
      </w:r>
      <w:r w:rsidRPr="00EF5048" w:rsidR="008919C7">
        <w:rPr>
          <w:rFonts w:ascii="Times New Roman" w:hAnsi="Times New Roman"/>
          <w:color w:val="auto"/>
        </w:rPr>
        <w:t>s</w:t>
      </w:r>
      <w:r w:rsidRPr="00EF5048">
        <w:rPr>
          <w:rFonts w:ascii="Times New Roman" w:hAnsi="Times New Roman"/>
          <w:color w:val="auto"/>
        </w:rPr>
        <w:t xml:space="preserve"> or disagree</w:t>
      </w:r>
      <w:r w:rsidRPr="00EF5048" w:rsidR="008919C7">
        <w:rPr>
          <w:rFonts w:ascii="Times New Roman" w:hAnsi="Times New Roman"/>
          <w:color w:val="auto"/>
        </w:rPr>
        <w:t>s</w:t>
      </w:r>
      <w:r w:rsidRPr="00EF5048">
        <w:rPr>
          <w:rFonts w:ascii="Times New Roman" w:hAnsi="Times New Roman"/>
          <w:color w:val="auto"/>
        </w:rPr>
        <w:t xml:space="preserve"> with a vessel owner’s designation of a vessel. </w:t>
      </w:r>
      <w:r w:rsidR="00F90CC9">
        <w:rPr>
          <w:rFonts w:ascii="Times New Roman" w:hAnsi="Times New Roman"/>
          <w:color w:val="auto"/>
        </w:rPr>
        <w:t>Collected data</w:t>
      </w:r>
      <w:r w:rsidRPr="00EF5048">
        <w:rPr>
          <w:rFonts w:ascii="Times New Roman" w:hAnsi="Times New Roman"/>
          <w:color w:val="auto"/>
        </w:rPr>
        <w:t xml:space="preserve"> </w:t>
      </w:r>
      <w:r w:rsidR="00F90CC9">
        <w:rPr>
          <w:rFonts w:ascii="Times New Roman" w:hAnsi="Times New Roman"/>
          <w:color w:val="auto"/>
        </w:rPr>
        <w:t xml:space="preserve">will also be used </w:t>
      </w:r>
      <w:r w:rsidRPr="00EF5048">
        <w:rPr>
          <w:rFonts w:ascii="Times New Roman" w:hAnsi="Times New Roman"/>
          <w:color w:val="auto"/>
        </w:rPr>
        <w:t>to determine whether or not a vessel should be re-designated into a different service category.</w:t>
      </w:r>
    </w:p>
    <w:p w:rsidR="0004749E" w:rsidRPr="00EF5048" w:rsidP="00D6334C" w14:paraId="6B0407CE" w14:textId="77777777">
      <w:pPr>
        <w:ind w:left="810" w:hanging="450"/>
        <w:rPr>
          <w:rFonts w:ascii="Times New Roman" w:hAnsi="Times New Roman"/>
          <w:sz w:val="24"/>
          <w:szCs w:val="24"/>
        </w:rPr>
      </w:pPr>
    </w:p>
    <w:p w:rsidR="00F90CC9" w:rsidRPr="00D6334C" w:rsidP="00D6334C" w14:paraId="09B0FE83" w14:textId="02FA3FAC">
      <w:pPr>
        <w:pStyle w:val="ListParagraph"/>
        <w:numPr>
          <w:ilvl w:val="0"/>
          <w:numId w:val="11"/>
        </w:numPr>
        <w:ind w:left="720"/>
        <w:rPr>
          <w:b/>
          <w:szCs w:val="24"/>
        </w:rPr>
      </w:pPr>
      <w:r w:rsidRPr="00D6334C">
        <w:rPr>
          <w:b/>
          <w:bCs/>
          <w:szCs w:val="24"/>
        </w:rPr>
        <w:t xml:space="preserve">Automation or Use of Information Technology </w:t>
      </w:r>
    </w:p>
    <w:p w:rsidR="00F90CC9" w:rsidRPr="00EF5048" w:rsidP="00D6334C" w14:paraId="6DFADEB4" w14:textId="77777777">
      <w:pPr>
        <w:ind w:left="720"/>
        <w:rPr>
          <w:rFonts w:ascii="Times New Roman" w:hAnsi="Times New Roman"/>
          <w:sz w:val="24"/>
          <w:szCs w:val="24"/>
        </w:rPr>
      </w:pPr>
    </w:p>
    <w:p w:rsidR="00725F28" w:rsidP="00D6334C" w14:paraId="07C11E98" w14:textId="347536EC">
      <w:pPr>
        <w:pStyle w:val="ListParagraph"/>
      </w:pPr>
      <w:r>
        <w:t>MARAD’s</w:t>
      </w:r>
      <w:r w:rsidR="00D53DEE">
        <w:t xml:space="preserve"> public</w:t>
      </w:r>
      <w:r>
        <w:t xml:space="preserve"> notice encourages e</w:t>
      </w:r>
      <w:r w:rsidRPr="001165B9" w:rsidR="00F655CE">
        <w:t xml:space="preserve">lectronic </w:t>
      </w:r>
      <w:r w:rsidRPr="001165B9" w:rsidR="00DB01E8">
        <w:t>submission of application and supporting data</w:t>
      </w:r>
      <w:r w:rsidRPr="001165B9" w:rsidR="001B0B0D">
        <w:t xml:space="preserve"> </w:t>
      </w:r>
      <w:r>
        <w:t>for this collection.</w:t>
      </w:r>
    </w:p>
    <w:p w:rsidR="0004749E" w:rsidRPr="001165B9" w:rsidP="00D6334C" w14:paraId="16BF6DB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Pr>
          <w:rFonts w:ascii="Times New Roman" w:hAnsi="Times New Roman"/>
          <w:color w:val="auto"/>
        </w:rPr>
        <w:t xml:space="preserve"> </w:t>
      </w:r>
    </w:p>
    <w:p w:rsidR="00EF5048" w:rsidRPr="00D6334C" w:rsidP="00D6334C" w14:paraId="48E187D5" w14:textId="53359555">
      <w:pPr>
        <w:pStyle w:val="ListParagraph"/>
        <w:numPr>
          <w:ilvl w:val="0"/>
          <w:numId w:val="11"/>
        </w:numPr>
        <w:tabs>
          <w:tab w:val="left" w:pos="-1440"/>
        </w:tabs>
        <w:ind w:left="720"/>
        <w:rPr>
          <w:b/>
          <w:szCs w:val="24"/>
        </w:rPr>
      </w:pPr>
      <w:r w:rsidRPr="00D6334C">
        <w:rPr>
          <w:b/>
          <w:szCs w:val="24"/>
        </w:rPr>
        <w:t>Efforts to</w:t>
      </w:r>
      <w:r w:rsidRPr="00D6334C" w:rsidR="00281F48">
        <w:rPr>
          <w:b/>
          <w:szCs w:val="24"/>
        </w:rPr>
        <w:t xml:space="preserve"> Identify Duplication</w:t>
      </w:r>
    </w:p>
    <w:p w:rsidR="00EF5048" w:rsidP="00D6334C" w14:paraId="0F24DB9C" w14:textId="77777777">
      <w:pPr>
        <w:pStyle w:val="NormalWeb"/>
        <w:spacing w:before="0" w:beforeAutospacing="0" w:after="0" w:afterAutospacing="0"/>
        <w:ind w:left="360"/>
        <w:rPr>
          <w:rFonts w:ascii="Times New Roman" w:hAnsi="Times New Roman" w:cs="Times New Roman"/>
          <w:b/>
          <w:bCs/>
        </w:rPr>
      </w:pPr>
    </w:p>
    <w:p w:rsidR="007B4185" w:rsidP="00D6334C" w14:paraId="1409B25C" w14:textId="49AEC042">
      <w:pPr>
        <w:pStyle w:val="NormalWeb"/>
        <w:spacing w:before="0" w:beforeAutospacing="0" w:after="0" w:afterAutospacing="0"/>
        <w:ind w:firstLine="720"/>
        <w:rPr>
          <w:rFonts w:ascii="Times New Roman" w:hAnsi="Times New Roman" w:cs="Times New Roman"/>
          <w:bCs/>
        </w:rPr>
      </w:pPr>
      <w:r w:rsidRPr="00EF5048">
        <w:rPr>
          <w:rFonts w:ascii="Times New Roman" w:hAnsi="Times New Roman" w:cs="Times New Roman"/>
          <w:bCs/>
        </w:rPr>
        <w:t>There is no duplication</w:t>
      </w:r>
      <w:r w:rsidR="00281F48">
        <w:rPr>
          <w:rFonts w:ascii="Times New Roman" w:hAnsi="Times New Roman" w:cs="Times New Roman"/>
          <w:bCs/>
        </w:rPr>
        <w:t xml:space="preserve"> of this data collection</w:t>
      </w:r>
      <w:r w:rsidR="00CF7990">
        <w:rPr>
          <w:rFonts w:ascii="Times New Roman" w:hAnsi="Times New Roman" w:cs="Times New Roman"/>
          <w:bCs/>
        </w:rPr>
        <w:t>.</w:t>
      </w:r>
    </w:p>
    <w:p w:rsidR="00E5618D" w:rsidRPr="00EF5048" w:rsidP="00D6334C" w14:paraId="530C4039" w14:textId="77777777">
      <w:pPr>
        <w:pStyle w:val="NormalWeb"/>
        <w:spacing w:before="0" w:beforeAutospacing="0" w:after="0" w:afterAutospacing="0"/>
        <w:ind w:left="810"/>
        <w:rPr>
          <w:rFonts w:ascii="Times New Roman" w:hAnsi="Times New Roman" w:cs="Times New Roman"/>
          <w:bCs/>
        </w:rPr>
      </w:pPr>
    </w:p>
    <w:p w:rsidR="0062525F" w:rsidRPr="00D6334C" w:rsidP="00D6334C" w14:paraId="5B8C48DE" w14:textId="75F77050">
      <w:pPr>
        <w:pStyle w:val="ListParagraph"/>
        <w:numPr>
          <w:ilvl w:val="0"/>
          <w:numId w:val="11"/>
        </w:numPr>
        <w:ind w:left="720"/>
        <w:rPr>
          <w:b/>
          <w:szCs w:val="24"/>
        </w:rPr>
      </w:pPr>
      <w:r w:rsidRPr="00D6334C">
        <w:rPr>
          <w:b/>
          <w:bCs/>
          <w:szCs w:val="24"/>
        </w:rPr>
        <w:t>Impacts on S</w:t>
      </w:r>
      <w:r w:rsidRPr="00D6334C" w:rsidR="00E5618D">
        <w:rPr>
          <w:b/>
          <w:bCs/>
          <w:szCs w:val="24"/>
        </w:rPr>
        <w:t xml:space="preserve">mall </w:t>
      </w:r>
      <w:r w:rsidRPr="00D6334C">
        <w:rPr>
          <w:b/>
          <w:bCs/>
          <w:szCs w:val="24"/>
        </w:rPr>
        <w:t>B</w:t>
      </w:r>
      <w:r w:rsidRPr="00D6334C" w:rsidR="00E5618D">
        <w:rPr>
          <w:b/>
          <w:bCs/>
          <w:szCs w:val="24"/>
        </w:rPr>
        <w:t>usinesses</w:t>
      </w:r>
      <w:r w:rsidRPr="00D6334C">
        <w:rPr>
          <w:b/>
          <w:bCs/>
          <w:szCs w:val="24"/>
        </w:rPr>
        <w:t xml:space="preserve"> or Other Small </w:t>
      </w:r>
      <w:r w:rsidRPr="0062525F">
        <w:rPr>
          <w:b/>
          <w:bCs/>
          <w:szCs w:val="24"/>
        </w:rPr>
        <w:t>Entities</w:t>
      </w:r>
      <w:r w:rsidRPr="0062525F" w:rsidR="00E5618D">
        <w:rPr>
          <w:bCs/>
          <w:szCs w:val="24"/>
        </w:rPr>
        <w:t xml:space="preserve">  </w:t>
      </w:r>
    </w:p>
    <w:p w:rsidR="0004749E" w:rsidRPr="0062525F" w:rsidP="00D6334C" w14:paraId="1FA8B482" w14:textId="77777777">
      <w:pPr>
        <w:pStyle w:val="ListParagraph"/>
        <w:ind w:left="810"/>
        <w:rPr>
          <w:szCs w:val="24"/>
        </w:rPr>
      </w:pPr>
    </w:p>
    <w:p w:rsidR="00F655CE" w:rsidRPr="00EF5048" w:rsidP="00D6334C" w14:paraId="262192A1" w14:textId="7933BE8D">
      <w:pPr>
        <w:tabs>
          <w:tab w:val="left" w:pos="720"/>
        </w:tabs>
        <w:ind w:left="720"/>
        <w:rPr>
          <w:rFonts w:ascii="Times New Roman" w:hAnsi="Times New Roman"/>
          <w:sz w:val="24"/>
          <w:szCs w:val="24"/>
        </w:rPr>
      </w:pPr>
      <w:r>
        <w:rPr>
          <w:rFonts w:ascii="Times New Roman" w:hAnsi="Times New Roman"/>
          <w:sz w:val="24"/>
          <w:szCs w:val="24"/>
        </w:rPr>
        <w:t>P</w:t>
      </w:r>
      <w:r w:rsidRPr="00DF589A">
        <w:rPr>
          <w:rFonts w:ascii="Times New Roman" w:hAnsi="Times New Roman"/>
          <w:sz w:val="24"/>
          <w:szCs w:val="24"/>
        </w:rPr>
        <w:t>er Small Business Administration size standards found in 13 CFR Part 121)</w:t>
      </w:r>
      <w:r w:rsidR="00D53DEE">
        <w:rPr>
          <w:rFonts w:ascii="Times New Roman" w:hAnsi="Times New Roman"/>
          <w:sz w:val="24"/>
          <w:szCs w:val="24"/>
        </w:rPr>
        <w:t>, m</w:t>
      </w:r>
      <w:r w:rsidRPr="00BA2F37" w:rsidR="001206A7">
        <w:rPr>
          <w:rFonts w:ascii="Times New Roman" w:hAnsi="Times New Roman"/>
          <w:sz w:val="24"/>
          <w:szCs w:val="24"/>
        </w:rPr>
        <w:t xml:space="preserve">ost </w:t>
      </w:r>
      <w:r w:rsidR="0062525F">
        <w:rPr>
          <w:rFonts w:ascii="Times New Roman" w:hAnsi="Times New Roman"/>
          <w:sz w:val="24"/>
          <w:szCs w:val="24"/>
        </w:rPr>
        <w:t xml:space="preserve">respondents </w:t>
      </w:r>
      <w:r>
        <w:rPr>
          <w:rFonts w:ascii="Times New Roman" w:hAnsi="Times New Roman"/>
          <w:sz w:val="24"/>
          <w:szCs w:val="24"/>
        </w:rPr>
        <w:t>to this collection are</w:t>
      </w:r>
      <w:r w:rsidRPr="00BA2F37" w:rsidR="001206A7">
        <w:rPr>
          <w:rFonts w:ascii="Times New Roman" w:hAnsi="Times New Roman"/>
          <w:sz w:val="24"/>
          <w:szCs w:val="24"/>
        </w:rPr>
        <w:t xml:space="preserve"> small business</w:t>
      </w:r>
      <w:r w:rsidR="0062525F">
        <w:rPr>
          <w:rFonts w:ascii="Times New Roman" w:hAnsi="Times New Roman"/>
          <w:sz w:val="24"/>
          <w:szCs w:val="24"/>
        </w:rPr>
        <w:t xml:space="preserve"> owners</w:t>
      </w:r>
      <w:r w:rsidRPr="00BA2F37" w:rsidR="001206A7">
        <w:rPr>
          <w:rFonts w:ascii="Times New Roman" w:hAnsi="Times New Roman"/>
          <w:sz w:val="24"/>
          <w:szCs w:val="24"/>
        </w:rPr>
        <w:t xml:space="preserve"> (e.g., having fewer than 500 employees</w:t>
      </w:r>
      <w:r w:rsidR="0062525F">
        <w:rPr>
          <w:rFonts w:ascii="Times New Roman" w:hAnsi="Times New Roman"/>
          <w:sz w:val="24"/>
          <w:szCs w:val="24"/>
        </w:rPr>
        <w:t>)</w:t>
      </w:r>
      <w:r w:rsidR="00D53DEE">
        <w:rPr>
          <w:rFonts w:ascii="Times New Roman" w:hAnsi="Times New Roman"/>
          <w:sz w:val="24"/>
          <w:szCs w:val="24"/>
        </w:rPr>
        <w:t>.</w:t>
      </w:r>
      <w:r w:rsidR="0062525F">
        <w:rPr>
          <w:rFonts w:ascii="Times New Roman" w:hAnsi="Times New Roman"/>
          <w:sz w:val="24"/>
          <w:szCs w:val="24"/>
        </w:rPr>
        <w:t xml:space="preserve"> </w:t>
      </w:r>
      <w:r w:rsidRPr="00BA2F37" w:rsidR="001206A7">
        <w:rPr>
          <w:rFonts w:ascii="Times New Roman" w:hAnsi="Times New Roman"/>
          <w:sz w:val="24"/>
          <w:szCs w:val="24"/>
        </w:rPr>
        <w:t>However, the voluntary nature of the application and the small scale of the hour</w:t>
      </w:r>
      <w:r w:rsidR="0062525F">
        <w:rPr>
          <w:rFonts w:ascii="Times New Roman" w:hAnsi="Times New Roman"/>
          <w:sz w:val="24"/>
          <w:szCs w:val="24"/>
        </w:rPr>
        <w:t>ly</w:t>
      </w:r>
      <w:r w:rsidRPr="00BA2F37" w:rsidR="001206A7">
        <w:rPr>
          <w:rFonts w:ascii="Times New Roman" w:hAnsi="Times New Roman"/>
          <w:sz w:val="24"/>
          <w:szCs w:val="24"/>
        </w:rPr>
        <w:t xml:space="preserve"> and financial burdens </w:t>
      </w:r>
      <w:r w:rsidR="0062525F">
        <w:rPr>
          <w:rFonts w:ascii="Times New Roman" w:hAnsi="Times New Roman"/>
          <w:sz w:val="24"/>
          <w:szCs w:val="24"/>
        </w:rPr>
        <w:t>indicate that this collection has a minimal impact on</w:t>
      </w:r>
      <w:r w:rsidRPr="00BA2F37" w:rsidR="001206A7">
        <w:rPr>
          <w:rFonts w:ascii="Times New Roman" w:hAnsi="Times New Roman"/>
          <w:sz w:val="24"/>
          <w:szCs w:val="24"/>
        </w:rPr>
        <w:t xml:space="preserve"> small businesses.</w:t>
      </w:r>
    </w:p>
    <w:p w:rsidR="00F655CE" w:rsidRPr="00EF5048" w:rsidP="00D6334C" w14:paraId="7102F530" w14:textId="77777777">
      <w:pPr>
        <w:ind w:left="810"/>
        <w:rPr>
          <w:rFonts w:ascii="Times New Roman" w:hAnsi="Times New Roman"/>
          <w:sz w:val="24"/>
          <w:szCs w:val="24"/>
        </w:rPr>
      </w:pPr>
    </w:p>
    <w:p w:rsidR="0062525F" w:rsidRPr="00D6334C" w:rsidP="00D6334C" w14:paraId="43AECF0C" w14:textId="5676AB48">
      <w:pPr>
        <w:pStyle w:val="ListParagraph"/>
        <w:numPr>
          <w:ilvl w:val="0"/>
          <w:numId w:val="11"/>
        </w:numPr>
        <w:ind w:left="720"/>
        <w:rPr>
          <w:b/>
          <w:szCs w:val="24"/>
        </w:rPr>
      </w:pPr>
      <w:r w:rsidRPr="00D6334C">
        <w:rPr>
          <w:b/>
          <w:bCs/>
          <w:szCs w:val="24"/>
        </w:rPr>
        <w:t xml:space="preserve">Impact of </w:t>
      </w:r>
      <w:r w:rsidRPr="00D6334C">
        <w:rPr>
          <w:b/>
          <w:bCs/>
          <w:szCs w:val="24"/>
        </w:rPr>
        <w:t>Not Conducting or L</w:t>
      </w:r>
      <w:r w:rsidRPr="00D6334C">
        <w:rPr>
          <w:b/>
          <w:bCs/>
          <w:szCs w:val="24"/>
        </w:rPr>
        <w:t xml:space="preserve">ess </w:t>
      </w:r>
      <w:r w:rsidRPr="00D6334C">
        <w:rPr>
          <w:b/>
          <w:bCs/>
          <w:szCs w:val="24"/>
        </w:rPr>
        <w:t xml:space="preserve">Frequent Collection </w:t>
      </w:r>
      <w:r w:rsidRPr="00D6334C">
        <w:rPr>
          <w:b/>
          <w:bCs/>
          <w:szCs w:val="24"/>
        </w:rPr>
        <w:t xml:space="preserve">of </w:t>
      </w:r>
      <w:r w:rsidRPr="00D6334C">
        <w:rPr>
          <w:b/>
          <w:bCs/>
          <w:szCs w:val="24"/>
        </w:rPr>
        <w:t>Information</w:t>
      </w:r>
      <w:r w:rsidRPr="0062525F">
        <w:rPr>
          <w:bCs/>
          <w:szCs w:val="24"/>
        </w:rPr>
        <w:t xml:space="preserve">.  </w:t>
      </w:r>
    </w:p>
    <w:p w:rsidR="00F655CE" w:rsidRPr="0062525F" w:rsidP="00D6334C" w14:paraId="268168EA" w14:textId="77777777">
      <w:pPr>
        <w:pStyle w:val="ListParagraph"/>
        <w:ind w:left="810"/>
        <w:rPr>
          <w:b/>
          <w:szCs w:val="24"/>
        </w:rPr>
      </w:pPr>
    </w:p>
    <w:p w:rsidR="00F655CE" w:rsidRPr="001165B9" w:rsidP="00D6334C" w14:paraId="4DA2A848" w14:textId="6D5FFAB4">
      <w:pPr>
        <w:ind w:left="720"/>
        <w:rPr>
          <w:rFonts w:ascii="Times New Roman" w:hAnsi="Times New Roman"/>
          <w:sz w:val="24"/>
          <w:szCs w:val="24"/>
        </w:rPr>
      </w:pPr>
      <w:r>
        <w:rPr>
          <w:rFonts w:ascii="Times New Roman" w:hAnsi="Times New Roman"/>
          <w:sz w:val="24"/>
          <w:szCs w:val="24"/>
        </w:rPr>
        <w:t xml:space="preserve">Without this collection </w:t>
      </w:r>
      <w:r w:rsidRPr="001165B9">
        <w:rPr>
          <w:rFonts w:ascii="Times New Roman" w:hAnsi="Times New Roman"/>
          <w:sz w:val="24"/>
          <w:szCs w:val="24"/>
        </w:rPr>
        <w:t>MARAD would be unable to make legally essential determinations of vessel service types for purposes of implementing the CPA under the terms of the MOU.</w:t>
      </w:r>
    </w:p>
    <w:p w:rsidR="0004749E" w:rsidRPr="00EF5048" w:rsidP="00D6334C" w14:paraId="741EB2BC" w14:textId="77777777">
      <w:pPr>
        <w:ind w:left="810"/>
        <w:rPr>
          <w:rFonts w:ascii="Times New Roman" w:hAnsi="Times New Roman"/>
          <w:sz w:val="24"/>
          <w:szCs w:val="24"/>
        </w:rPr>
      </w:pPr>
    </w:p>
    <w:p w:rsidR="00470720" w:rsidRPr="00D6334C" w:rsidP="00D6334C" w14:paraId="58BBDBAB" w14:textId="35447859">
      <w:pPr>
        <w:pStyle w:val="ListParagraph"/>
        <w:numPr>
          <w:ilvl w:val="0"/>
          <w:numId w:val="11"/>
        </w:numPr>
        <w:ind w:left="720"/>
        <w:rPr>
          <w:b/>
          <w:szCs w:val="24"/>
        </w:rPr>
      </w:pPr>
      <w:r w:rsidRPr="00D6334C">
        <w:rPr>
          <w:b/>
          <w:bCs/>
          <w:szCs w:val="24"/>
        </w:rPr>
        <w:t xml:space="preserve">Special </w:t>
      </w:r>
      <w:r w:rsidRPr="00D6334C" w:rsidR="0019188D">
        <w:rPr>
          <w:b/>
          <w:bCs/>
          <w:szCs w:val="24"/>
        </w:rPr>
        <w:t>Circumstances Relating to the Guidelines 5 CFR 1320.5</w:t>
      </w:r>
      <w:r w:rsidRPr="0019188D">
        <w:rPr>
          <w:bCs/>
          <w:szCs w:val="24"/>
        </w:rPr>
        <w:t xml:space="preserve">. </w:t>
      </w:r>
    </w:p>
    <w:p w:rsidR="008919C7" w:rsidRPr="00EF5048" w:rsidP="00D6334C" w14:paraId="1A43D52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637A7B" w:rsidP="0019188D" w14:paraId="375540A4" w14:textId="45D58018">
      <w:pPr>
        <w:pStyle w:val="PlainText"/>
        <w:spacing w:line="20" w:lineRule="atLeast"/>
        <w:ind w:left="720"/>
        <w:rPr>
          <w:rFonts w:ascii="Times New Roman" w:hAnsi="Times New Roman"/>
          <w:sz w:val="24"/>
          <w:szCs w:val="24"/>
        </w:rPr>
      </w:pPr>
      <w:r w:rsidRPr="008050D3">
        <w:rPr>
          <w:rFonts w:ascii="Times New Roman" w:hAnsi="Times New Roman"/>
          <w:sz w:val="24"/>
          <w:szCs w:val="24"/>
        </w:rPr>
        <w:t xml:space="preserve">There are no special circumstances that require this collection of information to be conducted in a manner described </w:t>
      </w:r>
      <w:r w:rsidR="00D53DEE">
        <w:rPr>
          <w:rFonts w:ascii="Times New Roman" w:hAnsi="Times New Roman"/>
          <w:sz w:val="24"/>
          <w:szCs w:val="24"/>
        </w:rPr>
        <w:t>below:</w:t>
      </w:r>
    </w:p>
    <w:p w:rsidR="00EC2266" w:rsidP="0019188D" w14:paraId="78DBB88B" w14:textId="724C02C0">
      <w:pPr>
        <w:pStyle w:val="PlainText"/>
        <w:spacing w:line="20" w:lineRule="atLeast"/>
        <w:ind w:left="720"/>
        <w:rPr>
          <w:rFonts w:ascii="Times New Roman" w:hAnsi="Times New Roman"/>
          <w:sz w:val="24"/>
          <w:szCs w:val="24"/>
        </w:rPr>
      </w:pPr>
    </w:p>
    <w:p w:rsidR="00EC2266" w:rsidRPr="00EC2266" w:rsidP="00EC2266" w14:paraId="2906B3F1"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report information to MARAD more often than quarterly;</w:t>
      </w:r>
    </w:p>
    <w:p w:rsidR="00EC2266" w:rsidRPr="00EC2266" w:rsidP="00EC2266" w14:paraId="0131F76D"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prepare a written response in fewer than 30 days after receipt of a collection instrument;</w:t>
      </w:r>
    </w:p>
    <w:p w:rsidR="00EC2266" w:rsidRPr="00EC2266" w:rsidP="00EC2266" w14:paraId="74EDC006"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submit more than one original copy of any document;</w:t>
      </w:r>
    </w:p>
    <w:p w:rsidR="00EC2266" w:rsidRPr="00EC2266" w:rsidP="00EC2266" w14:paraId="5FECA58F"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retain records, other than health, medical, government contract, grant-in-aid, or tax records for more than three years;</w:t>
      </w:r>
    </w:p>
    <w:p w:rsidR="00EC2266" w:rsidRPr="00EC2266" w:rsidP="00EC2266" w14:paraId="14983C3D"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the use of statistical data that is not designed to produce valid and reliable results that can be generalized to the universe of study;</w:t>
      </w:r>
    </w:p>
    <w:p w:rsidR="00EC2266" w:rsidRPr="00EC2266" w:rsidP="00EC2266" w14:paraId="2F4BA91B"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the use of statistical data classification that has not been reviewed and approved by OMB;</w:t>
      </w:r>
    </w:p>
    <w:p w:rsidR="00EC2266" w:rsidRPr="00EC2266" w:rsidP="00EC2266" w14:paraId="04A34C73"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 xml:space="preserve">Requiring a pledge of confidentiality; or </w:t>
      </w:r>
    </w:p>
    <w:p w:rsidR="00EC2266" w:rsidRPr="00EC2266" w:rsidP="00EC2266" w14:paraId="07B890E0" w14:textId="77777777">
      <w:pPr>
        <w:widowControl/>
        <w:numPr>
          <w:ilvl w:val="0"/>
          <w:numId w:val="20"/>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submit any proprietary or trade secrets</w:t>
      </w:r>
    </w:p>
    <w:p w:rsidR="00EC2266" w:rsidRPr="008050D3" w:rsidP="0019188D" w14:paraId="6912625A" w14:textId="77777777">
      <w:pPr>
        <w:pStyle w:val="PlainText"/>
        <w:spacing w:line="20" w:lineRule="atLeast"/>
        <w:ind w:left="720"/>
        <w:rPr>
          <w:rFonts w:ascii="Times New Roman" w:hAnsi="Times New Roman"/>
          <w:sz w:val="24"/>
          <w:szCs w:val="24"/>
        </w:rPr>
      </w:pPr>
    </w:p>
    <w:p w:rsidR="0004749E" w:rsidRPr="00EF5048" w:rsidP="00D6334C" w14:paraId="5C9D96A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F835BD" w:rsidRPr="00D6334C" w:rsidP="00D6334C" w14:paraId="24A8DADC" w14:textId="39DC138F">
      <w:pPr>
        <w:pStyle w:val="ListParagraph"/>
        <w:numPr>
          <w:ilvl w:val="0"/>
          <w:numId w:val="11"/>
        </w:numPr>
        <w:ind w:left="720"/>
        <w:rPr>
          <w:b/>
          <w:szCs w:val="24"/>
        </w:rPr>
      </w:pPr>
      <w:r>
        <w:rPr>
          <w:b/>
          <w:bCs/>
          <w:szCs w:val="24"/>
        </w:rPr>
        <w:t xml:space="preserve">Public Comments in Response to the Federal Register Notice and Outside Consultation </w:t>
      </w:r>
    </w:p>
    <w:p w:rsidR="00F835BD" w:rsidP="00D6334C" w14:paraId="7CE0F61F" w14:textId="77777777">
      <w:pPr>
        <w:ind w:left="720" w:hanging="540"/>
        <w:rPr>
          <w:rFonts w:ascii="Times New Roman" w:hAnsi="Times New Roman"/>
          <w:b/>
          <w:sz w:val="24"/>
          <w:szCs w:val="24"/>
        </w:rPr>
      </w:pPr>
    </w:p>
    <w:p w:rsidR="004C01C5" w:rsidRPr="003B09F6" w:rsidP="003B09F6" w14:paraId="39B52FE1" w14:textId="2B3A9DFE">
      <w:pPr>
        <w:ind w:left="720"/>
        <w:rPr>
          <w:rFonts w:ascii="Times New Roman" w:hAnsi="Times New Roman"/>
          <w:color w:val="000000" w:themeColor="text1"/>
          <w:sz w:val="24"/>
          <w:szCs w:val="24"/>
        </w:rPr>
      </w:pPr>
      <w:r w:rsidRPr="003B09F6">
        <w:rPr>
          <w:rFonts w:ascii="Times New Roman" w:hAnsi="Times New Roman"/>
          <w:color w:val="000000" w:themeColor="text1"/>
          <w:sz w:val="24"/>
          <w:szCs w:val="24"/>
        </w:rPr>
        <w:t>MARAD published a 60-day notice and request for comments on this information collection in the Federal Register (FR 23082, Vol. 89, No. 65) on April 3, 2024,  indicating comments should be submitted on or before June 3, 2024.</w:t>
      </w:r>
      <w:r w:rsidR="0098494A">
        <w:rPr>
          <w:rFonts w:ascii="Times New Roman" w:hAnsi="Times New Roman"/>
          <w:color w:val="000000" w:themeColor="text1"/>
          <w:sz w:val="24"/>
          <w:szCs w:val="24"/>
        </w:rPr>
        <w:t xml:space="preserve"> No comments were received.</w:t>
      </w:r>
      <w:r w:rsidRPr="003B09F6">
        <w:rPr>
          <w:rFonts w:ascii="Times New Roman" w:hAnsi="Times New Roman"/>
          <w:color w:val="000000" w:themeColor="text1"/>
          <w:sz w:val="24"/>
          <w:szCs w:val="24"/>
        </w:rPr>
        <w:t xml:space="preserve"> A 30-day notice will be published in the Federal Register to solicit public comments.  </w:t>
      </w:r>
    </w:p>
    <w:p w:rsidR="003B09F6" w:rsidP="00D6334C" w14:paraId="71078889" w14:textId="77777777">
      <w:pPr>
        <w:ind w:left="720"/>
        <w:rPr>
          <w:rFonts w:ascii="Times New Roman" w:hAnsi="Times New Roman"/>
          <w:b/>
          <w:sz w:val="24"/>
          <w:szCs w:val="24"/>
        </w:rPr>
      </w:pPr>
    </w:p>
    <w:p w:rsidR="00C83B37" w:rsidRPr="0019188D" w:rsidP="00D6334C" w14:paraId="7433F7D0" w14:textId="16F6EFA7">
      <w:pPr>
        <w:pStyle w:val="CommentText"/>
        <w:ind w:left="720"/>
        <w:rPr>
          <w:rFonts w:ascii="Times New Roman" w:hAnsi="Times New Roman"/>
          <w:sz w:val="24"/>
          <w:szCs w:val="24"/>
        </w:rPr>
      </w:pPr>
      <w:r w:rsidRPr="0019188D">
        <w:rPr>
          <w:rFonts w:ascii="Times New Roman" w:hAnsi="Times New Roman"/>
          <w:sz w:val="24"/>
          <w:szCs w:val="24"/>
        </w:rPr>
        <w:t xml:space="preserve">All </w:t>
      </w:r>
      <w:r>
        <w:rPr>
          <w:rFonts w:ascii="Times New Roman" w:hAnsi="Times New Roman"/>
          <w:sz w:val="24"/>
          <w:szCs w:val="24"/>
        </w:rPr>
        <w:t xml:space="preserve">public </w:t>
      </w:r>
      <w:r w:rsidRPr="0019188D">
        <w:rPr>
          <w:rFonts w:ascii="Times New Roman" w:hAnsi="Times New Roman"/>
          <w:sz w:val="24"/>
          <w:szCs w:val="24"/>
        </w:rPr>
        <w:t xml:space="preserve">comments regarding any aspect of this collection will receive an official response. </w:t>
      </w:r>
      <w:r w:rsidRPr="00D6334C">
        <w:rPr>
          <w:rFonts w:ascii="Times New Roman" w:hAnsi="Times New Roman"/>
          <w:sz w:val="24"/>
          <w:szCs w:val="24"/>
        </w:rPr>
        <w:t xml:space="preserve">MARAD personnel does </w:t>
      </w:r>
      <w:r w:rsidRPr="0019188D">
        <w:rPr>
          <w:rFonts w:ascii="Times New Roman" w:hAnsi="Times New Roman"/>
          <w:sz w:val="24"/>
          <w:szCs w:val="24"/>
        </w:rPr>
        <w:t>not consult with respondents</w:t>
      </w:r>
      <w:r w:rsidR="00D53DEE">
        <w:rPr>
          <w:rFonts w:ascii="Times New Roman" w:hAnsi="Times New Roman"/>
          <w:sz w:val="24"/>
          <w:szCs w:val="24"/>
        </w:rPr>
        <w:t xml:space="preserve"> to this collection,</w:t>
      </w:r>
      <w:r w:rsidRPr="0019188D">
        <w:rPr>
          <w:rFonts w:ascii="Times New Roman" w:hAnsi="Times New Roman"/>
          <w:sz w:val="24"/>
          <w:szCs w:val="24"/>
        </w:rPr>
        <w:t xml:space="preserve"> unless the info</w:t>
      </w:r>
      <w:r w:rsidRPr="0019188D" w:rsidR="00855FE2">
        <w:rPr>
          <w:rFonts w:ascii="Times New Roman" w:hAnsi="Times New Roman"/>
          <w:sz w:val="24"/>
          <w:szCs w:val="24"/>
        </w:rPr>
        <w:t>r</w:t>
      </w:r>
      <w:r w:rsidRPr="0019188D" w:rsidR="00590B3A">
        <w:rPr>
          <w:rFonts w:ascii="Times New Roman" w:hAnsi="Times New Roman"/>
          <w:sz w:val="24"/>
          <w:szCs w:val="24"/>
        </w:rPr>
        <w:t>mation</w:t>
      </w:r>
      <w:r w:rsidRPr="0019188D">
        <w:rPr>
          <w:rFonts w:ascii="Times New Roman" w:hAnsi="Times New Roman"/>
          <w:sz w:val="24"/>
          <w:szCs w:val="24"/>
        </w:rPr>
        <w:t xml:space="preserve"> </w:t>
      </w:r>
      <w:r w:rsidRPr="0019188D">
        <w:rPr>
          <w:rFonts w:ascii="Times New Roman" w:hAnsi="Times New Roman"/>
          <w:sz w:val="24"/>
          <w:szCs w:val="24"/>
        </w:rPr>
        <w:t>submitted</w:t>
      </w:r>
      <w:r>
        <w:rPr>
          <w:rFonts w:ascii="Times New Roman" w:hAnsi="Times New Roman"/>
          <w:sz w:val="24"/>
          <w:szCs w:val="24"/>
        </w:rPr>
        <w:t xml:space="preserve"> </w:t>
      </w:r>
      <w:r w:rsidRPr="0019188D" w:rsidR="00855FE2">
        <w:rPr>
          <w:rFonts w:ascii="Times New Roman" w:hAnsi="Times New Roman"/>
          <w:sz w:val="24"/>
          <w:szCs w:val="24"/>
        </w:rPr>
        <w:t xml:space="preserve">is </w:t>
      </w:r>
      <w:r w:rsidRPr="0019188D">
        <w:rPr>
          <w:rFonts w:ascii="Times New Roman" w:hAnsi="Times New Roman"/>
          <w:sz w:val="24"/>
          <w:szCs w:val="24"/>
        </w:rPr>
        <w:t>differ</w:t>
      </w:r>
      <w:r w:rsidRPr="0019188D" w:rsidR="00855FE2">
        <w:rPr>
          <w:rFonts w:ascii="Times New Roman" w:hAnsi="Times New Roman"/>
          <w:sz w:val="24"/>
          <w:szCs w:val="24"/>
        </w:rPr>
        <w:t>ent</w:t>
      </w:r>
      <w:r w:rsidRPr="0019188D">
        <w:rPr>
          <w:rFonts w:ascii="Times New Roman" w:hAnsi="Times New Roman"/>
          <w:sz w:val="24"/>
          <w:szCs w:val="24"/>
        </w:rPr>
        <w:t xml:space="preserve"> from </w:t>
      </w:r>
      <w:r w:rsidRPr="0019188D" w:rsidR="00855FE2">
        <w:rPr>
          <w:rFonts w:ascii="Times New Roman" w:hAnsi="Times New Roman"/>
          <w:sz w:val="24"/>
          <w:szCs w:val="24"/>
        </w:rPr>
        <w:t xml:space="preserve">the </w:t>
      </w:r>
      <w:r w:rsidRPr="0019188D">
        <w:rPr>
          <w:rFonts w:ascii="Times New Roman" w:hAnsi="Times New Roman"/>
          <w:sz w:val="24"/>
          <w:szCs w:val="24"/>
        </w:rPr>
        <w:t xml:space="preserve">information we have obtained </w:t>
      </w:r>
      <w:r w:rsidRPr="0019188D">
        <w:rPr>
          <w:rFonts w:ascii="Times New Roman" w:hAnsi="Times New Roman"/>
          <w:sz w:val="24"/>
          <w:szCs w:val="24"/>
        </w:rPr>
        <w:t xml:space="preserve">during </w:t>
      </w:r>
      <w:r w:rsidRPr="0019188D">
        <w:rPr>
          <w:rFonts w:ascii="Times New Roman" w:hAnsi="Times New Roman"/>
          <w:sz w:val="24"/>
          <w:szCs w:val="24"/>
        </w:rPr>
        <w:t>our independent research of public records.</w:t>
      </w:r>
    </w:p>
    <w:p w:rsidR="003C14CD" w:rsidRPr="00322B34" w:rsidP="00D6334C" w14:paraId="08B6E844" w14:textId="77777777">
      <w:pPr>
        <w:tabs>
          <w:tab w:val="left" w:pos="-1440"/>
        </w:tabs>
        <w:ind w:left="1080" w:hanging="720"/>
        <w:rPr>
          <w:rFonts w:ascii="Times New Roman" w:hAnsi="Times New Roman"/>
          <w:b/>
          <w:sz w:val="24"/>
          <w:szCs w:val="24"/>
        </w:rPr>
      </w:pPr>
    </w:p>
    <w:p w:rsidR="004A29E6" w:rsidRPr="00D6334C" w:rsidP="00D6334C" w14:paraId="2050A111" w14:textId="37AC8E43">
      <w:pPr>
        <w:pStyle w:val="ListParagraph"/>
        <w:numPr>
          <w:ilvl w:val="0"/>
          <w:numId w:val="11"/>
        </w:numPr>
        <w:ind w:left="360" w:firstLine="0"/>
        <w:rPr>
          <w:b/>
          <w:szCs w:val="24"/>
        </w:rPr>
      </w:pPr>
      <w:r w:rsidRPr="004A29E6">
        <w:rPr>
          <w:b/>
          <w:bCs/>
          <w:szCs w:val="24"/>
        </w:rPr>
        <w:t xml:space="preserve">Explanation of Any </w:t>
      </w:r>
      <w:r w:rsidRPr="00D6334C" w:rsidR="00F835BD">
        <w:rPr>
          <w:b/>
          <w:bCs/>
          <w:szCs w:val="24"/>
        </w:rPr>
        <w:t xml:space="preserve">Payments or </w:t>
      </w:r>
      <w:r w:rsidRPr="00D6334C">
        <w:rPr>
          <w:b/>
          <w:bCs/>
          <w:szCs w:val="24"/>
        </w:rPr>
        <w:t xml:space="preserve">Gifts </w:t>
      </w:r>
      <w:r w:rsidRPr="00D6334C" w:rsidR="00F835BD">
        <w:rPr>
          <w:b/>
          <w:bCs/>
          <w:szCs w:val="24"/>
        </w:rPr>
        <w:t xml:space="preserve">to </w:t>
      </w:r>
      <w:r w:rsidRPr="00D6334C">
        <w:rPr>
          <w:b/>
          <w:bCs/>
          <w:szCs w:val="24"/>
        </w:rPr>
        <w:t>Respondents</w:t>
      </w:r>
    </w:p>
    <w:p w:rsidR="0022107B" w:rsidRPr="004A29E6" w:rsidP="00D6334C" w14:paraId="538D9673" w14:textId="77777777">
      <w:pPr>
        <w:pStyle w:val="ListParagraph"/>
        <w:ind w:left="360"/>
      </w:pPr>
    </w:p>
    <w:p w:rsidR="004E450B" w:rsidP="004A29E6" w14:paraId="79D18B85" w14:textId="71DA6AD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color w:val="auto"/>
        </w:rPr>
      </w:pPr>
      <w:r>
        <w:rPr>
          <w:rFonts w:ascii="Times New Roman" w:hAnsi="Times New Roman"/>
          <w:color w:val="auto"/>
        </w:rPr>
        <w:t>There are no</w:t>
      </w:r>
      <w:r w:rsidR="008A0C99">
        <w:rPr>
          <w:rFonts w:ascii="Times New Roman" w:hAnsi="Times New Roman"/>
          <w:color w:val="auto"/>
        </w:rPr>
        <w:t xml:space="preserve"> payments or gifts are provided to respondents.</w:t>
      </w:r>
    </w:p>
    <w:p w:rsidR="008A0C99" w:rsidRPr="008A0C99" w:rsidP="00D6334C" w14:paraId="76E2740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720"/>
        <w:rPr>
          <w:rFonts w:ascii="Times New Roman" w:hAnsi="Times New Roman"/>
          <w:color w:val="auto"/>
        </w:rPr>
      </w:pPr>
    </w:p>
    <w:p w:rsidR="00E0708A" w:rsidRPr="004A29E6" w:rsidP="00D6334C" w14:paraId="21A6779B" w14:textId="665A2E50">
      <w:pPr>
        <w:pStyle w:val="ListParagraph"/>
        <w:numPr>
          <w:ilvl w:val="0"/>
          <w:numId w:val="11"/>
        </w:numPr>
        <w:ind w:left="720" w:hanging="450"/>
        <w:rPr>
          <w:b/>
          <w:szCs w:val="24"/>
        </w:rPr>
      </w:pPr>
      <w:r w:rsidRPr="00D6334C">
        <w:rPr>
          <w:b/>
          <w:bCs/>
          <w:szCs w:val="24"/>
        </w:rPr>
        <w:t xml:space="preserve">Assurance of </w:t>
      </w:r>
      <w:r w:rsidRPr="00D6334C" w:rsidR="004A29E6">
        <w:rPr>
          <w:b/>
          <w:bCs/>
          <w:szCs w:val="24"/>
        </w:rPr>
        <w:t>Confidentiality and Protection of Privacy</w:t>
      </w:r>
    </w:p>
    <w:p w:rsidR="004A29E6" w:rsidP="004A29E6" w14:paraId="713BDAD0" w14:textId="77777777">
      <w:pPr>
        <w:pStyle w:val="PlainText"/>
        <w:ind w:left="720" w:hanging="360"/>
        <w:rPr>
          <w:rFonts w:ascii="Times New Roman" w:hAnsi="Times New Roman"/>
          <w:sz w:val="24"/>
          <w:szCs w:val="24"/>
        </w:rPr>
      </w:pPr>
    </w:p>
    <w:p w:rsidR="00DF172A" w:rsidP="004A29E6" w14:paraId="0A473C7E" w14:textId="160BE7C1">
      <w:pPr>
        <w:pStyle w:val="PlainText"/>
        <w:ind w:left="720"/>
        <w:rPr>
          <w:rFonts w:ascii="Times New Roman" w:hAnsi="Times New Roman"/>
          <w:sz w:val="24"/>
          <w:szCs w:val="24"/>
        </w:rPr>
      </w:pPr>
      <w:r w:rsidRPr="00331A17">
        <w:rPr>
          <w:rFonts w:ascii="Times New Roman" w:hAnsi="Times New Roman"/>
          <w:sz w:val="24"/>
          <w:szCs w:val="24"/>
        </w:rPr>
        <w:t>The information requested is not of a confidential nature,</w:t>
      </w:r>
      <w:r w:rsidR="00D53DEE">
        <w:rPr>
          <w:rFonts w:ascii="Times New Roman" w:hAnsi="Times New Roman"/>
          <w:sz w:val="24"/>
          <w:szCs w:val="24"/>
        </w:rPr>
        <w:t xml:space="preserve"> so there is no need for any </w:t>
      </w:r>
      <w:r w:rsidRPr="00331A17">
        <w:rPr>
          <w:rFonts w:ascii="Times New Roman" w:hAnsi="Times New Roman"/>
          <w:sz w:val="24"/>
          <w:szCs w:val="24"/>
        </w:rPr>
        <w:t>assurance of confidentiality.</w:t>
      </w:r>
    </w:p>
    <w:p w:rsidR="00246B40" w:rsidRPr="00331A17" w:rsidP="00D6334C" w14:paraId="69E876AD" w14:textId="77777777">
      <w:pPr>
        <w:pStyle w:val="PlainText"/>
        <w:ind w:left="1080"/>
        <w:rPr>
          <w:rFonts w:ascii="Times New Roman" w:hAnsi="Times New Roman"/>
          <w:sz w:val="24"/>
          <w:szCs w:val="24"/>
        </w:rPr>
      </w:pPr>
    </w:p>
    <w:p w:rsidR="004A29E6" w:rsidRPr="00D6334C" w:rsidP="00D6334C" w14:paraId="16D4CC9F" w14:textId="7447E3A2">
      <w:pPr>
        <w:pStyle w:val="ListParagraph"/>
        <w:numPr>
          <w:ilvl w:val="0"/>
          <w:numId w:val="11"/>
        </w:numPr>
        <w:tabs>
          <w:tab w:val="left" w:pos="720"/>
        </w:tabs>
        <w:ind w:left="360" w:hanging="90"/>
        <w:rPr>
          <w:b/>
          <w:szCs w:val="24"/>
        </w:rPr>
      </w:pPr>
      <w:r w:rsidRPr="00D6334C">
        <w:rPr>
          <w:b/>
          <w:bCs/>
          <w:szCs w:val="24"/>
        </w:rPr>
        <w:t xml:space="preserve">Justification for </w:t>
      </w:r>
      <w:r w:rsidRPr="00D6334C">
        <w:rPr>
          <w:b/>
          <w:bCs/>
          <w:szCs w:val="24"/>
        </w:rPr>
        <w:t>S</w:t>
      </w:r>
      <w:r w:rsidRPr="00D6334C">
        <w:rPr>
          <w:b/>
          <w:bCs/>
          <w:szCs w:val="24"/>
        </w:rPr>
        <w:t xml:space="preserve">ensitive </w:t>
      </w:r>
      <w:r w:rsidRPr="00D6334C">
        <w:rPr>
          <w:b/>
          <w:bCs/>
          <w:szCs w:val="24"/>
        </w:rPr>
        <w:t>Questions</w:t>
      </w:r>
    </w:p>
    <w:p w:rsidR="00E0708A" w:rsidRPr="004A29E6" w:rsidP="00D6334C" w14:paraId="0E7F74DB" w14:textId="77777777">
      <w:pPr>
        <w:pStyle w:val="ListParagraph"/>
        <w:tabs>
          <w:tab w:val="left" w:pos="720"/>
        </w:tabs>
        <w:ind w:left="360"/>
        <w:rPr>
          <w:b/>
          <w:szCs w:val="24"/>
        </w:rPr>
      </w:pPr>
    </w:p>
    <w:p w:rsidR="0022107B" w:rsidP="00D6334C" w14:paraId="4AB2BBD7" w14:textId="77777777">
      <w:pPr>
        <w:ind w:left="360"/>
        <w:rPr>
          <w:rFonts w:ascii="Times New Roman" w:hAnsi="Times New Roman"/>
          <w:sz w:val="24"/>
          <w:szCs w:val="24"/>
        </w:rPr>
      </w:pPr>
      <w:r>
        <w:rPr>
          <w:rFonts w:ascii="Times New Roman" w:hAnsi="Times New Roman"/>
          <w:sz w:val="24"/>
          <w:szCs w:val="24"/>
        </w:rPr>
        <w:tab/>
        <w:t>There are no questions of a sensitive nature.</w:t>
      </w:r>
    </w:p>
    <w:p w:rsidR="008A0C99" w:rsidRPr="00EF5048" w:rsidP="00D6334C" w14:paraId="45DD0F7B" w14:textId="77777777">
      <w:pPr>
        <w:ind w:left="360"/>
        <w:rPr>
          <w:rFonts w:ascii="Times New Roman" w:hAnsi="Times New Roman"/>
          <w:sz w:val="24"/>
          <w:szCs w:val="24"/>
        </w:rPr>
      </w:pPr>
    </w:p>
    <w:p w:rsidR="00FF6E48" w:rsidP="00FF6E48" w14:paraId="7769B2E6" w14:textId="4FB11DF6">
      <w:pPr>
        <w:pStyle w:val="ListParagraph"/>
        <w:numPr>
          <w:ilvl w:val="0"/>
          <w:numId w:val="11"/>
        </w:numPr>
        <w:ind w:left="720" w:hanging="450"/>
        <w:rPr>
          <w:b/>
          <w:bCs/>
          <w:szCs w:val="24"/>
        </w:rPr>
      </w:pPr>
      <w:r w:rsidRPr="00D6334C">
        <w:rPr>
          <w:b/>
          <w:bCs/>
          <w:szCs w:val="24"/>
        </w:rPr>
        <w:t xml:space="preserve">Estimate of </w:t>
      </w:r>
      <w:r w:rsidRPr="00D6334C">
        <w:rPr>
          <w:b/>
          <w:bCs/>
          <w:szCs w:val="24"/>
        </w:rPr>
        <w:t>Annualized Burden H</w:t>
      </w:r>
      <w:r w:rsidRPr="00D6334C">
        <w:rPr>
          <w:b/>
          <w:bCs/>
          <w:szCs w:val="24"/>
        </w:rPr>
        <w:t>ours</w:t>
      </w:r>
      <w:r w:rsidRPr="00D6334C">
        <w:rPr>
          <w:b/>
          <w:bCs/>
          <w:szCs w:val="24"/>
        </w:rPr>
        <w:t xml:space="preserve"> and Cost</w:t>
      </w:r>
    </w:p>
    <w:p w:rsidR="00FF6E48" w:rsidRPr="00D6334C" w:rsidP="00D6334C" w14:paraId="0109B78A" w14:textId="77777777">
      <w:pPr>
        <w:pStyle w:val="ListParagraph"/>
        <w:rPr>
          <w:b/>
          <w:bCs/>
          <w:szCs w:val="24"/>
        </w:rPr>
      </w:pPr>
    </w:p>
    <w:p w:rsidR="00FF6E48" w:rsidRPr="00D6334C" w:rsidP="00D6334C" w14:paraId="376C7ADA" w14:textId="08C5FA78">
      <w:pPr>
        <w:pStyle w:val="ListParagraph"/>
        <w:numPr>
          <w:ilvl w:val="0"/>
          <w:numId w:val="15"/>
        </w:numPr>
        <w:rPr>
          <w:b/>
          <w:szCs w:val="24"/>
        </w:rPr>
      </w:pPr>
      <w:r>
        <w:rPr>
          <w:b/>
          <w:szCs w:val="24"/>
        </w:rPr>
        <w:t xml:space="preserve">Estimate Annualized Burden Hours </w:t>
      </w:r>
    </w:p>
    <w:p w:rsidR="00E2231B" w:rsidP="00D6334C" w14:paraId="72A90199" w14:textId="77777777">
      <w:pPr>
        <w:pStyle w:val="ListParagraph"/>
        <w:ind w:left="1080"/>
        <w:rPr>
          <w:b/>
          <w:szCs w:val="24"/>
        </w:rPr>
      </w:pPr>
    </w:p>
    <w:p w:rsidR="0056576E" w:rsidRPr="00D6334C" w:rsidP="00D6334C" w14:paraId="64EB40BD" w14:textId="6129F0BC">
      <w:pPr>
        <w:tabs>
          <w:tab w:val="left" w:pos="720"/>
        </w:tabs>
        <w:ind w:left="720"/>
        <w:rPr>
          <w:rFonts w:ascii="Times New Roman" w:hAnsi="Times New Roman"/>
          <w:sz w:val="24"/>
          <w:szCs w:val="24"/>
        </w:rPr>
      </w:pPr>
      <w:r w:rsidRPr="00D6334C">
        <w:rPr>
          <w:rFonts w:ascii="Times New Roman" w:hAnsi="Times New Roman"/>
          <w:sz w:val="24"/>
          <w:szCs w:val="24"/>
        </w:rPr>
        <w:t>C</w:t>
      </w:r>
      <w:r w:rsidRPr="00BA2F37" w:rsidR="00E0708A">
        <w:rPr>
          <w:rFonts w:ascii="Times New Roman" w:hAnsi="Times New Roman"/>
          <w:sz w:val="24"/>
          <w:szCs w:val="24"/>
        </w:rPr>
        <w:t xml:space="preserve">urrent vessel owners </w:t>
      </w:r>
      <w:r>
        <w:rPr>
          <w:rFonts w:ascii="Times New Roman" w:hAnsi="Times New Roman"/>
          <w:sz w:val="24"/>
          <w:szCs w:val="24"/>
        </w:rPr>
        <w:t>ar</w:t>
      </w:r>
      <w:r w:rsidR="002A1C2D">
        <w:rPr>
          <w:rFonts w:ascii="Times New Roman" w:hAnsi="Times New Roman"/>
          <w:sz w:val="24"/>
          <w:szCs w:val="24"/>
        </w:rPr>
        <w:t xml:space="preserve">e required </w:t>
      </w:r>
      <w:r w:rsidRPr="00BA2F37" w:rsidR="00E0708A">
        <w:rPr>
          <w:rFonts w:ascii="Times New Roman" w:hAnsi="Times New Roman"/>
          <w:sz w:val="24"/>
          <w:szCs w:val="24"/>
        </w:rPr>
        <w:t>submit a self-designation</w:t>
      </w:r>
      <w:r>
        <w:rPr>
          <w:rFonts w:ascii="Times New Roman" w:hAnsi="Times New Roman"/>
          <w:sz w:val="24"/>
          <w:szCs w:val="24"/>
        </w:rPr>
        <w:t xml:space="preserve"> </w:t>
      </w:r>
      <w:r w:rsidR="002A1C2D">
        <w:rPr>
          <w:rFonts w:ascii="Times New Roman" w:hAnsi="Times New Roman"/>
          <w:sz w:val="24"/>
          <w:szCs w:val="24"/>
        </w:rPr>
        <w:t xml:space="preserve">once </w:t>
      </w:r>
      <w:r>
        <w:rPr>
          <w:rFonts w:ascii="Times New Roman" w:hAnsi="Times New Roman"/>
          <w:sz w:val="24"/>
          <w:szCs w:val="24"/>
        </w:rPr>
        <w:t>for this</w:t>
      </w:r>
      <w:r w:rsidRPr="00BA2F37" w:rsidR="00E0708A">
        <w:rPr>
          <w:rFonts w:ascii="Times New Roman" w:hAnsi="Times New Roman"/>
          <w:sz w:val="24"/>
          <w:szCs w:val="24"/>
        </w:rPr>
        <w:t xml:space="preserve"> information collection.</w:t>
      </w:r>
      <w:r w:rsidRPr="00BA2F37" w:rsidR="00A84199">
        <w:rPr>
          <w:rFonts w:ascii="Times New Roman" w:hAnsi="Times New Roman"/>
          <w:sz w:val="24"/>
          <w:szCs w:val="24"/>
        </w:rPr>
        <w:t xml:space="preserve"> </w:t>
      </w:r>
      <w:r w:rsidRPr="00BA2F37" w:rsidR="00E0708A">
        <w:rPr>
          <w:rFonts w:ascii="Times New Roman" w:hAnsi="Times New Roman"/>
          <w:sz w:val="24"/>
          <w:szCs w:val="24"/>
        </w:rPr>
        <w:t>Under the MOU, if a new vessel comes on</w:t>
      </w:r>
      <w:r w:rsidR="00F26B01">
        <w:rPr>
          <w:rFonts w:ascii="Times New Roman" w:hAnsi="Times New Roman"/>
          <w:sz w:val="24"/>
          <w:szCs w:val="24"/>
        </w:rPr>
        <w:t>-</w:t>
      </w:r>
      <w:r w:rsidRPr="00BA2F37" w:rsidR="00E0708A">
        <w:rPr>
          <w:rFonts w:ascii="Times New Roman" w:hAnsi="Times New Roman"/>
          <w:sz w:val="24"/>
          <w:szCs w:val="24"/>
        </w:rPr>
        <w:t xml:space="preserve">line or </w:t>
      </w:r>
      <w:r w:rsidRPr="00BA2F37" w:rsidR="00E82443">
        <w:rPr>
          <w:rFonts w:ascii="Times New Roman" w:hAnsi="Times New Roman"/>
          <w:sz w:val="24"/>
          <w:szCs w:val="24"/>
        </w:rPr>
        <w:t xml:space="preserve">a </w:t>
      </w:r>
      <w:r w:rsidRPr="00BA2F37" w:rsidR="00E0708A">
        <w:rPr>
          <w:rFonts w:ascii="Times New Roman" w:hAnsi="Times New Roman"/>
          <w:sz w:val="24"/>
          <w:szCs w:val="24"/>
        </w:rPr>
        <w:t xml:space="preserve">vessel owner subsequently seeks to change </w:t>
      </w:r>
      <w:r w:rsidR="002A1C2D">
        <w:rPr>
          <w:rFonts w:ascii="Times New Roman" w:hAnsi="Times New Roman"/>
          <w:sz w:val="24"/>
          <w:szCs w:val="24"/>
        </w:rPr>
        <w:t xml:space="preserve">their </w:t>
      </w:r>
      <w:r w:rsidRPr="00BA2F37" w:rsidR="00E0708A">
        <w:rPr>
          <w:rFonts w:ascii="Times New Roman" w:hAnsi="Times New Roman"/>
          <w:sz w:val="24"/>
          <w:szCs w:val="24"/>
        </w:rPr>
        <w:t>designation,</w:t>
      </w:r>
      <w:r w:rsidR="002A1C2D">
        <w:rPr>
          <w:rFonts w:ascii="Times New Roman" w:hAnsi="Times New Roman"/>
          <w:sz w:val="24"/>
          <w:szCs w:val="24"/>
        </w:rPr>
        <w:t xml:space="preserve"> they are required to submit</w:t>
      </w:r>
      <w:r w:rsidRPr="00BA2F37" w:rsidR="00E0708A">
        <w:rPr>
          <w:rFonts w:ascii="Times New Roman" w:hAnsi="Times New Roman"/>
          <w:sz w:val="24"/>
          <w:szCs w:val="24"/>
        </w:rPr>
        <w:t xml:space="preserve"> a new applicati</w:t>
      </w:r>
      <w:r w:rsidRPr="00BA2F37" w:rsidR="00A84199">
        <w:rPr>
          <w:rFonts w:ascii="Times New Roman" w:hAnsi="Times New Roman"/>
          <w:sz w:val="24"/>
          <w:szCs w:val="24"/>
        </w:rPr>
        <w:t xml:space="preserve">on. </w:t>
      </w:r>
      <w:r w:rsidRPr="00BA2F37" w:rsidR="00E0708A">
        <w:rPr>
          <w:rFonts w:ascii="Times New Roman" w:hAnsi="Times New Roman"/>
          <w:sz w:val="24"/>
          <w:szCs w:val="24"/>
        </w:rPr>
        <w:t>Optional vessel re-designation requests can be submitted quarterly.</w:t>
      </w:r>
      <w:r>
        <w:rPr>
          <w:rFonts w:ascii="Times New Roman" w:hAnsi="Times New Roman"/>
          <w:sz w:val="24"/>
          <w:szCs w:val="24"/>
        </w:rPr>
        <w:t xml:space="preserve"> </w:t>
      </w:r>
      <w:r w:rsidRPr="00BA2F37">
        <w:rPr>
          <w:rFonts w:ascii="Times New Roman" w:hAnsi="Times New Roman"/>
          <w:sz w:val="24"/>
          <w:szCs w:val="24"/>
        </w:rPr>
        <w:t xml:space="preserve">Vessel owners who are satisfied with MARAD’s existing designation </w:t>
      </w:r>
      <w:r>
        <w:rPr>
          <w:rFonts w:ascii="Times New Roman" w:hAnsi="Times New Roman"/>
          <w:sz w:val="24"/>
          <w:szCs w:val="24"/>
        </w:rPr>
        <w:t>do not need to</w:t>
      </w:r>
      <w:r w:rsidRPr="00BA2F37">
        <w:rPr>
          <w:rFonts w:ascii="Times New Roman" w:hAnsi="Times New Roman"/>
          <w:sz w:val="24"/>
          <w:szCs w:val="24"/>
        </w:rPr>
        <w:t xml:space="preserve"> submit a</w:t>
      </w:r>
      <w:r>
        <w:rPr>
          <w:rFonts w:ascii="Times New Roman" w:hAnsi="Times New Roman"/>
          <w:sz w:val="24"/>
          <w:szCs w:val="24"/>
        </w:rPr>
        <w:t xml:space="preserve"> new</w:t>
      </w:r>
      <w:r w:rsidRPr="00BA2F37">
        <w:rPr>
          <w:rFonts w:ascii="Times New Roman" w:hAnsi="Times New Roman"/>
          <w:sz w:val="24"/>
          <w:szCs w:val="24"/>
        </w:rPr>
        <w:t xml:space="preserve"> application</w:t>
      </w:r>
      <w:r>
        <w:rPr>
          <w:rFonts w:ascii="Times New Roman" w:hAnsi="Times New Roman"/>
          <w:sz w:val="24"/>
          <w:szCs w:val="24"/>
        </w:rPr>
        <w:t xml:space="preserve">, </w:t>
      </w:r>
      <w:r w:rsidRPr="0056576E">
        <w:rPr>
          <w:rFonts w:ascii="Times New Roman" w:hAnsi="Times New Roman"/>
          <w:sz w:val="24"/>
          <w:szCs w:val="24"/>
        </w:rPr>
        <w:t>so the total actual respondents to this collection may be less</w:t>
      </w:r>
      <w:r>
        <w:rPr>
          <w:rFonts w:ascii="Times New Roman" w:hAnsi="Times New Roman"/>
          <w:sz w:val="24"/>
          <w:szCs w:val="24"/>
        </w:rPr>
        <w:t xml:space="preserve"> may in a given year.</w:t>
      </w:r>
    </w:p>
    <w:p w:rsidR="00E0708A" w:rsidRPr="00BA2F37" w:rsidP="00D6334C" w14:paraId="42ADF7A8" w14:textId="77777777">
      <w:pPr>
        <w:ind w:left="1080"/>
        <w:rPr>
          <w:rFonts w:ascii="Times New Roman" w:hAnsi="Times New Roman"/>
          <w:sz w:val="24"/>
          <w:szCs w:val="24"/>
          <w:u w:val="single"/>
        </w:rPr>
      </w:pPr>
    </w:p>
    <w:p w:rsidR="00E0708A" w:rsidRPr="00BA2F37" w:rsidP="00FF6E48" w14:paraId="2702C099" w14:textId="18A48F41">
      <w:pPr>
        <w:ind w:left="720"/>
        <w:rPr>
          <w:rFonts w:ascii="Times New Roman" w:hAnsi="Times New Roman"/>
          <w:sz w:val="24"/>
          <w:szCs w:val="24"/>
        </w:rPr>
      </w:pPr>
      <w:r w:rsidRPr="00F67CE6">
        <w:rPr>
          <w:rFonts w:ascii="Times New Roman" w:hAnsi="Times New Roman"/>
          <w:sz w:val="24"/>
          <w:szCs w:val="24"/>
        </w:rPr>
        <w:t>An</w:t>
      </w:r>
      <w:r w:rsidRPr="00F67CE6">
        <w:rPr>
          <w:rFonts w:ascii="Times New Roman" w:hAnsi="Times New Roman"/>
          <w:sz w:val="24"/>
          <w:szCs w:val="24"/>
        </w:rPr>
        <w:t xml:space="preserve"> estimated </w:t>
      </w:r>
      <w:r w:rsidRPr="00F67CE6">
        <w:rPr>
          <w:rFonts w:ascii="Times New Roman" w:hAnsi="Times New Roman"/>
          <w:sz w:val="24"/>
          <w:szCs w:val="24"/>
        </w:rPr>
        <w:t xml:space="preserve">120 </w:t>
      </w:r>
      <w:r w:rsidRPr="00F67CE6">
        <w:rPr>
          <w:rFonts w:ascii="Times New Roman" w:hAnsi="Times New Roman"/>
          <w:sz w:val="24"/>
          <w:szCs w:val="24"/>
        </w:rPr>
        <w:t>owners or operators of</w:t>
      </w:r>
      <w:r w:rsidR="008978F0">
        <w:rPr>
          <w:rFonts w:ascii="Times New Roman" w:hAnsi="Times New Roman"/>
          <w:sz w:val="24"/>
          <w:szCs w:val="24"/>
        </w:rPr>
        <w:t xml:space="preserve"> </w:t>
      </w:r>
      <w:r w:rsidRPr="00F67CE6">
        <w:rPr>
          <w:rFonts w:ascii="Times New Roman" w:hAnsi="Times New Roman"/>
          <w:sz w:val="24"/>
          <w:szCs w:val="24"/>
        </w:rPr>
        <w:t xml:space="preserve">U.S.-registered vessels, and </w:t>
      </w:r>
      <w:r w:rsidRPr="00F67CE6">
        <w:rPr>
          <w:rFonts w:ascii="Times New Roman" w:hAnsi="Times New Roman"/>
          <w:sz w:val="24"/>
          <w:szCs w:val="24"/>
        </w:rPr>
        <w:t xml:space="preserve">some 80 </w:t>
      </w:r>
      <w:r w:rsidRPr="00F67CE6">
        <w:rPr>
          <w:rFonts w:ascii="Times New Roman" w:hAnsi="Times New Roman"/>
          <w:sz w:val="24"/>
          <w:szCs w:val="24"/>
        </w:rPr>
        <w:t>foreign-registered vessels</w:t>
      </w:r>
      <w:r w:rsidRPr="00F67CE6">
        <w:rPr>
          <w:rFonts w:ascii="Times New Roman" w:hAnsi="Times New Roman"/>
          <w:sz w:val="24"/>
          <w:szCs w:val="24"/>
        </w:rPr>
        <w:t xml:space="preserve"> owners, </w:t>
      </w:r>
      <w:r w:rsidRPr="00F67CE6" w:rsidR="00BE6A0A">
        <w:rPr>
          <w:rFonts w:ascii="Times New Roman" w:hAnsi="Times New Roman"/>
          <w:sz w:val="24"/>
          <w:szCs w:val="24"/>
        </w:rPr>
        <w:t>f</w:t>
      </w:r>
      <w:r w:rsidRPr="00F67CE6">
        <w:rPr>
          <w:rFonts w:ascii="Times New Roman" w:hAnsi="Times New Roman"/>
          <w:sz w:val="24"/>
          <w:szCs w:val="24"/>
        </w:rPr>
        <w:t xml:space="preserve">or a total </w:t>
      </w:r>
      <w:r w:rsidRPr="00F67CE6" w:rsidR="00BE6A0A">
        <w:rPr>
          <w:rFonts w:ascii="Times New Roman" w:hAnsi="Times New Roman"/>
          <w:sz w:val="24"/>
          <w:szCs w:val="24"/>
        </w:rPr>
        <w:t xml:space="preserve">combined </w:t>
      </w:r>
      <w:r w:rsidRPr="00F67CE6">
        <w:rPr>
          <w:rFonts w:ascii="Times New Roman" w:hAnsi="Times New Roman"/>
          <w:sz w:val="24"/>
          <w:szCs w:val="24"/>
        </w:rPr>
        <w:t>200 respondents</w:t>
      </w:r>
      <w:r w:rsidRPr="00BA2F37">
        <w:rPr>
          <w:rFonts w:ascii="Times New Roman" w:hAnsi="Times New Roman"/>
          <w:sz w:val="24"/>
          <w:szCs w:val="24"/>
        </w:rPr>
        <w:t xml:space="preserve"> </w:t>
      </w:r>
      <w:r>
        <w:rPr>
          <w:rFonts w:ascii="Times New Roman" w:hAnsi="Times New Roman"/>
          <w:sz w:val="24"/>
          <w:szCs w:val="24"/>
        </w:rPr>
        <w:t>can</w:t>
      </w:r>
      <w:r w:rsidRPr="00BA2F37">
        <w:rPr>
          <w:rFonts w:ascii="Times New Roman" w:hAnsi="Times New Roman"/>
          <w:sz w:val="24"/>
          <w:szCs w:val="24"/>
        </w:rPr>
        <w:t xml:space="preserve"> </w:t>
      </w:r>
      <w:r w:rsidR="0056576E">
        <w:rPr>
          <w:rFonts w:ascii="Times New Roman" w:hAnsi="Times New Roman"/>
          <w:sz w:val="24"/>
          <w:szCs w:val="24"/>
        </w:rPr>
        <w:t>complete a request</w:t>
      </w:r>
      <w:r w:rsidRPr="00BA2F37" w:rsidR="0056576E">
        <w:rPr>
          <w:rFonts w:ascii="Times New Roman" w:hAnsi="Times New Roman"/>
          <w:sz w:val="24"/>
          <w:szCs w:val="24"/>
        </w:rPr>
        <w:t xml:space="preserve"> </w:t>
      </w:r>
      <w:r w:rsidRPr="00BA2F37">
        <w:rPr>
          <w:rFonts w:ascii="Times New Roman" w:hAnsi="Times New Roman"/>
          <w:sz w:val="24"/>
          <w:szCs w:val="24"/>
        </w:rPr>
        <w:t>for self-designatio</w:t>
      </w:r>
      <w:r w:rsidRPr="00BA2F37" w:rsidR="00A84199">
        <w:rPr>
          <w:rFonts w:ascii="Times New Roman" w:hAnsi="Times New Roman"/>
          <w:sz w:val="24"/>
          <w:szCs w:val="24"/>
        </w:rPr>
        <w:t>n and/or re-designation</w:t>
      </w:r>
      <w:r>
        <w:rPr>
          <w:rFonts w:ascii="Times New Roman" w:hAnsi="Times New Roman"/>
          <w:sz w:val="24"/>
          <w:szCs w:val="24"/>
        </w:rPr>
        <w:t xml:space="preserve"> once annually under the MOU</w:t>
      </w:r>
      <w:r w:rsidR="00D53DEE">
        <w:rPr>
          <w:rFonts w:ascii="Times New Roman" w:hAnsi="Times New Roman"/>
          <w:sz w:val="24"/>
          <w:szCs w:val="24"/>
        </w:rPr>
        <w:t xml:space="preserve"> for this collection</w:t>
      </w:r>
      <w:r>
        <w:rPr>
          <w:rFonts w:ascii="Times New Roman" w:hAnsi="Times New Roman"/>
          <w:sz w:val="24"/>
          <w:szCs w:val="24"/>
        </w:rPr>
        <w:t xml:space="preserve">. </w:t>
      </w:r>
      <w:r w:rsidR="0056576E">
        <w:rPr>
          <w:rFonts w:ascii="Times New Roman" w:hAnsi="Times New Roman"/>
          <w:sz w:val="24"/>
          <w:szCs w:val="24"/>
        </w:rPr>
        <w:t>It will take each respondent approximately</w:t>
      </w:r>
      <w:r w:rsidR="00D53DEE">
        <w:rPr>
          <w:rFonts w:ascii="Times New Roman" w:hAnsi="Times New Roman"/>
          <w:sz w:val="24"/>
          <w:szCs w:val="24"/>
        </w:rPr>
        <w:t xml:space="preserve"> </w:t>
      </w:r>
      <w:r w:rsidR="0056576E">
        <w:rPr>
          <w:rFonts w:ascii="Times New Roman" w:hAnsi="Times New Roman"/>
          <w:sz w:val="24"/>
          <w:szCs w:val="24"/>
        </w:rPr>
        <w:t>15</w:t>
      </w:r>
      <w:r w:rsidR="006F46ED">
        <w:rPr>
          <w:rFonts w:ascii="Times New Roman" w:hAnsi="Times New Roman"/>
          <w:sz w:val="24"/>
          <w:szCs w:val="24"/>
        </w:rPr>
        <w:t xml:space="preserve"> </w:t>
      </w:r>
      <w:r w:rsidR="0056576E">
        <w:rPr>
          <w:rFonts w:ascii="Times New Roman" w:hAnsi="Times New Roman"/>
          <w:sz w:val="24"/>
          <w:szCs w:val="24"/>
        </w:rPr>
        <w:t>minutes (.25 hours) to complete the designation/ re-designation process. Therefore, the total burden hours associated with this collection is 50 hours, which can be calculated as shown in the table below</w:t>
      </w:r>
      <w:r w:rsidR="00F56500">
        <w:rPr>
          <w:rFonts w:ascii="Times New Roman" w:hAnsi="Times New Roman"/>
          <w:sz w:val="24"/>
          <w:szCs w:val="24"/>
        </w:rPr>
        <w:t xml:space="preserve">: </w:t>
      </w:r>
    </w:p>
    <w:p w:rsidR="00A66C1A" w:rsidRPr="00840CE0" w:rsidP="008B5867" w14:paraId="64C1E346" w14:textId="53FCEA8C">
      <w:pPr>
        <w:tabs>
          <w:tab w:val="left" w:pos="450"/>
          <w:tab w:val="left" w:pos="1080"/>
          <w:tab w:val="left" w:pos="3510"/>
          <w:tab w:val="left" w:pos="3960"/>
          <w:tab w:val="left" w:pos="4950"/>
          <w:tab w:val="left" w:pos="5850"/>
          <w:tab w:val="left" w:pos="6750"/>
        </w:tabs>
        <w:rPr>
          <w:rFonts w:ascii="Times New Roman" w:hAnsi="Times New Roman"/>
          <w:color w:val="000000"/>
          <w:sz w:val="24"/>
          <w:szCs w:val="24"/>
        </w:rPr>
      </w:pPr>
    </w:p>
    <w:tbl>
      <w:tblPr>
        <w:tblW w:w="9469" w:type="dxa"/>
        <w:tblInd w:w="435" w:type="dxa"/>
        <w:tblLook w:val="04A0"/>
      </w:tblPr>
      <w:tblGrid>
        <w:gridCol w:w="1415"/>
        <w:gridCol w:w="668"/>
        <w:gridCol w:w="1329"/>
        <w:gridCol w:w="857"/>
        <w:gridCol w:w="1182"/>
        <w:gridCol w:w="827"/>
        <w:gridCol w:w="1198"/>
        <w:gridCol w:w="827"/>
        <w:gridCol w:w="944"/>
        <w:gridCol w:w="222"/>
      </w:tblGrid>
      <w:tr w14:paraId="7B0326AD" w14:textId="77777777" w:rsidTr="00D6334C">
        <w:tblPrEx>
          <w:tblW w:w="9469" w:type="dxa"/>
          <w:tblInd w:w="435" w:type="dxa"/>
          <w:tblLook w:val="04A0"/>
        </w:tblPrEx>
        <w:trPr>
          <w:gridAfter w:val="1"/>
          <w:wAfter w:w="222" w:type="dxa"/>
          <w:trHeight w:val="1470"/>
        </w:trPr>
        <w:tc>
          <w:tcPr>
            <w:tcW w:w="1404"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6F46ED" w:rsidRPr="00D6334C" w:rsidP="006F46ED" w14:paraId="456BA925"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Total Respondents</w:t>
            </w:r>
          </w:p>
        </w:tc>
        <w:tc>
          <w:tcPr>
            <w:tcW w:w="673"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4E44CA94" w14:textId="77777777">
            <w:pPr>
              <w:widowControl/>
              <w:autoSpaceDE/>
              <w:autoSpaceDN/>
              <w:adjustRightInd/>
              <w:rPr>
                <w:rFonts w:ascii="Times New Roman" w:hAnsi="Times New Roman"/>
                <w:color w:val="000000"/>
                <w:sz w:val="22"/>
                <w:szCs w:val="22"/>
              </w:rPr>
            </w:pPr>
            <w:r w:rsidRPr="00D6334C">
              <w:rPr>
                <w:rFonts w:ascii="Times New Roman" w:hAnsi="Times New Roman"/>
                <w:color w:val="000000"/>
                <w:sz w:val="22"/>
                <w:szCs w:val="22"/>
              </w:rPr>
              <w:t> </w:t>
            </w:r>
          </w:p>
        </w:tc>
        <w:tc>
          <w:tcPr>
            <w:tcW w:w="1316"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401C7D50"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Total Responses per Respondent</w:t>
            </w:r>
          </w:p>
        </w:tc>
        <w:tc>
          <w:tcPr>
            <w:tcW w:w="864"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20002EF8"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 </w:t>
            </w:r>
          </w:p>
        </w:tc>
        <w:tc>
          <w:tcPr>
            <w:tcW w:w="1180"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4216AFD1"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Total Responses</w:t>
            </w:r>
          </w:p>
        </w:tc>
        <w:tc>
          <w:tcPr>
            <w:tcW w:w="833"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7B63C8F4"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 </w:t>
            </w:r>
          </w:p>
        </w:tc>
        <w:tc>
          <w:tcPr>
            <w:tcW w:w="1200"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3E212549"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Average Time Taken to Respond (Hour)</w:t>
            </w:r>
          </w:p>
        </w:tc>
        <w:tc>
          <w:tcPr>
            <w:tcW w:w="833"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18A04A0C"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 </w:t>
            </w:r>
          </w:p>
        </w:tc>
        <w:tc>
          <w:tcPr>
            <w:tcW w:w="944" w:type="dxa"/>
            <w:tcBorders>
              <w:top w:val="single" w:sz="12" w:space="0" w:color="auto"/>
              <w:left w:val="nil"/>
              <w:bottom w:val="single" w:sz="12" w:space="0" w:color="auto"/>
              <w:right w:val="single" w:sz="12" w:space="0" w:color="auto"/>
            </w:tcBorders>
            <w:shd w:val="clear" w:color="000000" w:fill="D0CECE"/>
            <w:vAlign w:val="center"/>
            <w:hideMark/>
          </w:tcPr>
          <w:p w:rsidR="006F46ED" w:rsidRPr="00D6334C" w:rsidP="006F46ED" w14:paraId="584570BF" w14:textId="77777777">
            <w:pPr>
              <w:widowControl/>
              <w:autoSpaceDE/>
              <w:autoSpaceDN/>
              <w:adjustRightInd/>
              <w:jc w:val="center"/>
              <w:rPr>
                <w:rFonts w:ascii="Times New Roman" w:hAnsi="Times New Roman"/>
                <w:b/>
                <w:bCs/>
                <w:color w:val="000000"/>
                <w:sz w:val="22"/>
                <w:szCs w:val="22"/>
              </w:rPr>
            </w:pPr>
            <w:r w:rsidRPr="00D6334C">
              <w:rPr>
                <w:rFonts w:ascii="Times New Roman" w:hAnsi="Times New Roman"/>
                <w:b/>
                <w:bCs/>
                <w:color w:val="000000"/>
                <w:sz w:val="22"/>
                <w:szCs w:val="22"/>
              </w:rPr>
              <w:t>Total Burden Hours</w:t>
            </w:r>
          </w:p>
        </w:tc>
      </w:tr>
      <w:tr w14:paraId="4B3F32A2" w14:textId="77777777" w:rsidTr="00D6334C">
        <w:tblPrEx>
          <w:tblW w:w="9469" w:type="dxa"/>
          <w:tblInd w:w="435" w:type="dxa"/>
          <w:tblLook w:val="04A0"/>
        </w:tblPrEx>
        <w:trPr>
          <w:gridAfter w:val="1"/>
          <w:wAfter w:w="222" w:type="dxa"/>
          <w:trHeight w:val="470"/>
        </w:trPr>
        <w:tc>
          <w:tcPr>
            <w:tcW w:w="1404"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42EFAC24"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200</w:t>
            </w:r>
          </w:p>
        </w:tc>
        <w:tc>
          <w:tcPr>
            <w:tcW w:w="673"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7FABAD20"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316"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781DB2D6"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1</w:t>
            </w:r>
          </w:p>
        </w:tc>
        <w:tc>
          <w:tcPr>
            <w:tcW w:w="864"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2662B2A8"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180"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336C94B3"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200</w:t>
            </w:r>
          </w:p>
        </w:tc>
        <w:tc>
          <w:tcPr>
            <w:tcW w:w="833"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67915D4F"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200"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4EB58813" w14:textId="05A788FF">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0.25</w:t>
            </w:r>
            <w:r w:rsidRPr="00D6334C" w:rsidR="00116DD0">
              <w:rPr>
                <w:rFonts w:ascii="Times New Roman" w:hAnsi="Times New Roman"/>
                <w:color w:val="000000"/>
                <w:sz w:val="22"/>
                <w:szCs w:val="22"/>
              </w:rPr>
              <w:t xml:space="preserve">                 (15 mins)</w:t>
            </w:r>
          </w:p>
        </w:tc>
        <w:tc>
          <w:tcPr>
            <w:tcW w:w="833"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25321BB8"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944" w:type="dxa"/>
            <w:vMerge w:val="restart"/>
            <w:tcBorders>
              <w:top w:val="nil"/>
              <w:left w:val="single" w:sz="12" w:space="0" w:color="auto"/>
              <w:bottom w:val="single" w:sz="12" w:space="0" w:color="000000"/>
              <w:right w:val="single" w:sz="12" w:space="0" w:color="auto"/>
            </w:tcBorders>
            <w:shd w:val="clear" w:color="auto" w:fill="auto"/>
            <w:vAlign w:val="center"/>
            <w:hideMark/>
          </w:tcPr>
          <w:p w:rsidR="006F46ED" w:rsidRPr="00D6334C" w:rsidP="006F46ED" w14:paraId="0E5E1B04" w14:textId="77777777">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50</w:t>
            </w:r>
          </w:p>
        </w:tc>
      </w:tr>
      <w:tr w14:paraId="233579D1" w14:textId="77777777" w:rsidTr="00D6334C">
        <w:tblPrEx>
          <w:tblW w:w="9469" w:type="dxa"/>
          <w:tblInd w:w="435" w:type="dxa"/>
          <w:tblLook w:val="04A0"/>
        </w:tblPrEx>
        <w:trPr>
          <w:trHeight w:val="300"/>
        </w:trPr>
        <w:tc>
          <w:tcPr>
            <w:tcW w:w="1404" w:type="dxa"/>
            <w:vMerge/>
            <w:tcBorders>
              <w:top w:val="nil"/>
              <w:left w:val="single" w:sz="12" w:space="0" w:color="auto"/>
              <w:bottom w:val="single" w:sz="12" w:space="0" w:color="000000"/>
              <w:right w:val="single" w:sz="12" w:space="0" w:color="auto"/>
            </w:tcBorders>
            <w:vAlign w:val="center"/>
            <w:hideMark/>
          </w:tcPr>
          <w:p w:rsidR="006F46ED" w:rsidRPr="006F46ED" w:rsidP="006F46ED" w14:paraId="528643F2" w14:textId="77777777">
            <w:pPr>
              <w:widowControl/>
              <w:autoSpaceDE/>
              <w:autoSpaceDN/>
              <w:adjustRightInd/>
              <w:rPr>
                <w:rFonts w:ascii="Calibri" w:hAnsi="Calibri" w:cs="Calibri"/>
                <w:color w:val="000000"/>
                <w:sz w:val="22"/>
                <w:szCs w:val="22"/>
              </w:rPr>
            </w:pPr>
          </w:p>
        </w:tc>
        <w:tc>
          <w:tcPr>
            <w:tcW w:w="673" w:type="dxa"/>
            <w:vMerge/>
            <w:tcBorders>
              <w:top w:val="nil"/>
              <w:left w:val="single" w:sz="12" w:space="0" w:color="auto"/>
              <w:bottom w:val="single" w:sz="12" w:space="0" w:color="000000"/>
              <w:right w:val="single" w:sz="12" w:space="0" w:color="auto"/>
            </w:tcBorders>
            <w:vAlign w:val="center"/>
            <w:hideMark/>
          </w:tcPr>
          <w:p w:rsidR="006F46ED" w:rsidRPr="006F46ED" w:rsidP="006F46ED" w14:paraId="03E9859E" w14:textId="77777777">
            <w:pPr>
              <w:widowControl/>
              <w:autoSpaceDE/>
              <w:autoSpaceDN/>
              <w:adjustRightInd/>
              <w:rPr>
                <w:rFonts w:ascii="Calibri" w:hAnsi="Calibri" w:cs="Calibri"/>
                <w:color w:val="000000"/>
                <w:sz w:val="22"/>
                <w:szCs w:val="22"/>
              </w:rPr>
            </w:pPr>
          </w:p>
        </w:tc>
        <w:tc>
          <w:tcPr>
            <w:tcW w:w="1316" w:type="dxa"/>
            <w:vMerge/>
            <w:tcBorders>
              <w:top w:val="nil"/>
              <w:left w:val="single" w:sz="12" w:space="0" w:color="auto"/>
              <w:bottom w:val="single" w:sz="12" w:space="0" w:color="000000"/>
              <w:right w:val="single" w:sz="12" w:space="0" w:color="auto"/>
            </w:tcBorders>
            <w:vAlign w:val="center"/>
            <w:hideMark/>
          </w:tcPr>
          <w:p w:rsidR="006F46ED" w:rsidRPr="006F46ED" w:rsidP="006F46ED" w14:paraId="30B7A4B0" w14:textId="77777777">
            <w:pPr>
              <w:widowControl/>
              <w:autoSpaceDE/>
              <w:autoSpaceDN/>
              <w:adjustRightInd/>
              <w:rPr>
                <w:rFonts w:ascii="Calibri" w:hAnsi="Calibri" w:cs="Calibri"/>
                <w:color w:val="000000"/>
                <w:sz w:val="22"/>
                <w:szCs w:val="22"/>
              </w:rPr>
            </w:pPr>
          </w:p>
        </w:tc>
        <w:tc>
          <w:tcPr>
            <w:tcW w:w="864" w:type="dxa"/>
            <w:vMerge/>
            <w:tcBorders>
              <w:top w:val="nil"/>
              <w:left w:val="single" w:sz="12" w:space="0" w:color="auto"/>
              <w:bottom w:val="single" w:sz="12" w:space="0" w:color="000000"/>
              <w:right w:val="single" w:sz="12" w:space="0" w:color="auto"/>
            </w:tcBorders>
            <w:vAlign w:val="center"/>
            <w:hideMark/>
          </w:tcPr>
          <w:p w:rsidR="006F46ED" w:rsidRPr="006F46ED" w:rsidP="006F46ED" w14:paraId="1035C6D0" w14:textId="77777777">
            <w:pPr>
              <w:widowControl/>
              <w:autoSpaceDE/>
              <w:autoSpaceDN/>
              <w:adjustRightInd/>
              <w:rPr>
                <w:rFonts w:ascii="Calibri" w:hAnsi="Calibri" w:cs="Calibri"/>
                <w:color w:val="000000"/>
                <w:sz w:val="22"/>
                <w:szCs w:val="22"/>
              </w:rPr>
            </w:pPr>
          </w:p>
        </w:tc>
        <w:tc>
          <w:tcPr>
            <w:tcW w:w="1180" w:type="dxa"/>
            <w:vMerge/>
            <w:tcBorders>
              <w:top w:val="nil"/>
              <w:left w:val="single" w:sz="12" w:space="0" w:color="auto"/>
              <w:bottom w:val="single" w:sz="12" w:space="0" w:color="000000"/>
              <w:right w:val="single" w:sz="12" w:space="0" w:color="auto"/>
            </w:tcBorders>
            <w:vAlign w:val="center"/>
            <w:hideMark/>
          </w:tcPr>
          <w:p w:rsidR="006F46ED" w:rsidRPr="006F46ED" w:rsidP="006F46ED" w14:paraId="7A18C8FD" w14:textId="77777777">
            <w:pPr>
              <w:widowControl/>
              <w:autoSpaceDE/>
              <w:autoSpaceDN/>
              <w:adjustRightInd/>
              <w:rPr>
                <w:rFonts w:ascii="Calibri" w:hAnsi="Calibri" w:cs="Calibri"/>
                <w:color w:val="000000"/>
                <w:sz w:val="22"/>
                <w:szCs w:val="22"/>
              </w:rPr>
            </w:pPr>
          </w:p>
        </w:tc>
        <w:tc>
          <w:tcPr>
            <w:tcW w:w="833" w:type="dxa"/>
            <w:vMerge/>
            <w:tcBorders>
              <w:top w:val="nil"/>
              <w:left w:val="single" w:sz="12" w:space="0" w:color="auto"/>
              <w:bottom w:val="single" w:sz="12" w:space="0" w:color="000000"/>
              <w:right w:val="single" w:sz="12" w:space="0" w:color="auto"/>
            </w:tcBorders>
            <w:vAlign w:val="center"/>
            <w:hideMark/>
          </w:tcPr>
          <w:p w:rsidR="006F46ED" w:rsidRPr="006F46ED" w:rsidP="006F46ED" w14:paraId="23E3914A" w14:textId="77777777">
            <w:pPr>
              <w:widowControl/>
              <w:autoSpaceDE/>
              <w:autoSpaceDN/>
              <w:adjustRightInd/>
              <w:rPr>
                <w:rFonts w:ascii="Calibri" w:hAnsi="Calibri" w:cs="Calibri"/>
                <w:color w:val="000000"/>
                <w:sz w:val="22"/>
                <w:szCs w:val="22"/>
              </w:rPr>
            </w:pPr>
          </w:p>
        </w:tc>
        <w:tc>
          <w:tcPr>
            <w:tcW w:w="1200" w:type="dxa"/>
            <w:vMerge/>
            <w:tcBorders>
              <w:top w:val="nil"/>
              <w:left w:val="single" w:sz="12" w:space="0" w:color="auto"/>
              <w:bottom w:val="single" w:sz="12" w:space="0" w:color="000000"/>
              <w:right w:val="single" w:sz="12" w:space="0" w:color="auto"/>
            </w:tcBorders>
            <w:vAlign w:val="center"/>
            <w:hideMark/>
          </w:tcPr>
          <w:p w:rsidR="006F46ED" w:rsidRPr="006F46ED" w:rsidP="006F46ED" w14:paraId="6C4995A1" w14:textId="77777777">
            <w:pPr>
              <w:widowControl/>
              <w:autoSpaceDE/>
              <w:autoSpaceDN/>
              <w:adjustRightInd/>
              <w:rPr>
                <w:rFonts w:ascii="Calibri" w:hAnsi="Calibri" w:cs="Calibri"/>
                <w:color w:val="000000"/>
                <w:sz w:val="22"/>
                <w:szCs w:val="22"/>
              </w:rPr>
            </w:pPr>
          </w:p>
        </w:tc>
        <w:tc>
          <w:tcPr>
            <w:tcW w:w="833" w:type="dxa"/>
            <w:vMerge/>
            <w:tcBorders>
              <w:top w:val="nil"/>
              <w:left w:val="single" w:sz="12" w:space="0" w:color="auto"/>
              <w:bottom w:val="single" w:sz="12" w:space="0" w:color="000000"/>
              <w:right w:val="single" w:sz="12" w:space="0" w:color="auto"/>
            </w:tcBorders>
            <w:vAlign w:val="center"/>
            <w:hideMark/>
          </w:tcPr>
          <w:p w:rsidR="006F46ED" w:rsidRPr="006F46ED" w:rsidP="006F46ED" w14:paraId="5DFE21D8" w14:textId="77777777">
            <w:pPr>
              <w:widowControl/>
              <w:autoSpaceDE/>
              <w:autoSpaceDN/>
              <w:adjustRightInd/>
              <w:rPr>
                <w:rFonts w:ascii="Calibri" w:hAnsi="Calibri" w:cs="Calibri"/>
                <w:color w:val="000000"/>
                <w:sz w:val="22"/>
                <w:szCs w:val="22"/>
              </w:rPr>
            </w:pPr>
          </w:p>
        </w:tc>
        <w:tc>
          <w:tcPr>
            <w:tcW w:w="944" w:type="dxa"/>
            <w:vMerge/>
            <w:tcBorders>
              <w:top w:val="nil"/>
              <w:left w:val="single" w:sz="12" w:space="0" w:color="auto"/>
              <w:bottom w:val="single" w:sz="12" w:space="0" w:color="000000"/>
              <w:right w:val="single" w:sz="12" w:space="0" w:color="auto"/>
            </w:tcBorders>
            <w:vAlign w:val="center"/>
            <w:hideMark/>
          </w:tcPr>
          <w:p w:rsidR="006F46ED" w:rsidRPr="006F46ED" w:rsidP="006F46ED" w14:paraId="79654C15" w14:textId="77777777">
            <w:pPr>
              <w:widowControl/>
              <w:autoSpaceDE/>
              <w:autoSpaceDN/>
              <w:adjustRightInd/>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6F46ED" w:rsidRPr="006F46ED" w:rsidP="006F46ED" w14:paraId="3E24C20E" w14:textId="77777777">
            <w:pPr>
              <w:widowControl/>
              <w:autoSpaceDE/>
              <w:autoSpaceDN/>
              <w:adjustRightInd/>
              <w:jc w:val="center"/>
              <w:rPr>
                <w:rFonts w:ascii="Calibri" w:hAnsi="Calibri" w:cs="Calibri"/>
                <w:color w:val="000000"/>
                <w:sz w:val="22"/>
                <w:szCs w:val="22"/>
              </w:rPr>
            </w:pPr>
          </w:p>
        </w:tc>
      </w:tr>
    </w:tbl>
    <w:p w:rsidR="00940C9D" w:rsidP="00940C9D" w14:paraId="2569751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color w:val="000000"/>
          <w:sz w:val="24"/>
        </w:rPr>
      </w:pPr>
      <w:r w:rsidRPr="00840CE0">
        <w:rPr>
          <w:rFonts w:ascii="Times New Roman" w:hAnsi="Times New Roman"/>
          <w:snapToGrid w:val="0"/>
          <w:color w:val="000000"/>
          <w:sz w:val="24"/>
        </w:rPr>
        <w:t xml:space="preserve"> </w:t>
      </w:r>
    </w:p>
    <w:p w:rsidR="00940C9D" w:rsidRPr="00A42FAB" w:rsidP="00D6334C" w14:paraId="4FD492C8" w14:textId="77777777">
      <w:pPr>
        <w:ind w:left="720"/>
        <w:rPr>
          <w:rFonts w:ascii="Times New Roman" w:hAnsi="Times New Roman"/>
          <w:sz w:val="24"/>
          <w:szCs w:val="24"/>
          <w:highlight w:val="yellow"/>
        </w:rPr>
      </w:pPr>
    </w:p>
    <w:p w:rsidR="00940C9D" w:rsidP="00940C9D" w14:paraId="0953D2E0" w14:textId="7857D173">
      <w:pPr>
        <w:pStyle w:val="ListParagraph"/>
        <w:numPr>
          <w:ilvl w:val="0"/>
          <w:numId w:val="15"/>
        </w:numPr>
        <w:rPr>
          <w:b/>
          <w:bCs/>
          <w:szCs w:val="24"/>
        </w:rPr>
      </w:pPr>
      <w:r w:rsidRPr="00D6334C">
        <w:rPr>
          <w:b/>
          <w:bCs/>
          <w:szCs w:val="24"/>
        </w:rPr>
        <w:t xml:space="preserve">Estimated Annualized </w:t>
      </w:r>
      <w:r w:rsidR="00F56500">
        <w:rPr>
          <w:b/>
          <w:bCs/>
          <w:szCs w:val="24"/>
        </w:rPr>
        <w:t>Cost Burden</w:t>
      </w:r>
      <w:r w:rsidRPr="00D6334C">
        <w:rPr>
          <w:b/>
          <w:bCs/>
          <w:szCs w:val="24"/>
        </w:rPr>
        <w:t xml:space="preserve"> </w:t>
      </w:r>
    </w:p>
    <w:p w:rsidR="00F56500" w:rsidP="00F56500" w14:paraId="75B6E967" w14:textId="6ED279FA">
      <w:pPr>
        <w:rPr>
          <w:b/>
          <w:bCs/>
          <w:szCs w:val="24"/>
        </w:rPr>
      </w:pPr>
    </w:p>
    <w:p w:rsidR="00F56500" w:rsidP="00F56500" w14:paraId="1B9E4F07" w14:textId="3C7E75E4">
      <w:pPr>
        <w:ind w:left="720"/>
        <w:rPr>
          <w:rFonts w:ascii="Times New Roman" w:hAnsi="Times New Roman"/>
          <w:sz w:val="24"/>
          <w:szCs w:val="24"/>
        </w:rPr>
      </w:pPr>
      <w:r w:rsidRPr="00D6334C">
        <w:rPr>
          <w:rFonts w:ascii="Times New Roman" w:hAnsi="Times New Roman"/>
          <w:sz w:val="24"/>
          <w:szCs w:val="24"/>
        </w:rPr>
        <w:t xml:space="preserve">The </w:t>
      </w:r>
      <w:r>
        <w:rPr>
          <w:rFonts w:ascii="Times New Roman" w:hAnsi="Times New Roman"/>
          <w:sz w:val="24"/>
          <w:szCs w:val="24"/>
        </w:rPr>
        <w:t>Bureau of Labor and Statistics</w:t>
      </w:r>
      <w:r w:rsidR="005F7A94">
        <w:rPr>
          <w:rFonts w:ascii="Times New Roman" w:hAnsi="Times New Roman"/>
          <w:sz w:val="24"/>
          <w:szCs w:val="24"/>
        </w:rPr>
        <w:t xml:space="preserve"> (BLS)</w:t>
      </w:r>
      <w:r>
        <w:rPr>
          <w:rStyle w:val="FootnoteReference"/>
          <w:rFonts w:ascii="Times New Roman" w:hAnsi="Times New Roman"/>
          <w:sz w:val="24"/>
          <w:szCs w:val="24"/>
        </w:rPr>
        <w:footnoteReference w:id="2"/>
      </w:r>
      <w:r w:rsidR="00D53DEE">
        <w:rPr>
          <w:rFonts w:ascii="Times New Roman" w:hAnsi="Times New Roman"/>
          <w:sz w:val="24"/>
          <w:szCs w:val="24"/>
        </w:rPr>
        <w:t xml:space="preserve"> </w:t>
      </w:r>
      <w:r>
        <w:rPr>
          <w:rFonts w:ascii="Times New Roman" w:hAnsi="Times New Roman"/>
          <w:sz w:val="24"/>
          <w:szCs w:val="24"/>
        </w:rPr>
        <w:t xml:space="preserve">estimates that the average hourly wage for </w:t>
      </w:r>
      <w:r w:rsidR="004E726D">
        <w:rPr>
          <w:rFonts w:ascii="Times New Roman" w:hAnsi="Times New Roman"/>
          <w:sz w:val="24"/>
          <w:szCs w:val="24"/>
        </w:rPr>
        <w:t xml:space="preserve">Captains, Mates, and Pilots of Water Vessels (53-5021) </w:t>
      </w:r>
      <w:r>
        <w:rPr>
          <w:rFonts w:ascii="Times New Roman" w:hAnsi="Times New Roman"/>
          <w:sz w:val="24"/>
          <w:szCs w:val="24"/>
        </w:rPr>
        <w:t>is $47.</w:t>
      </w:r>
      <w:r w:rsidR="004E726D">
        <w:rPr>
          <w:rFonts w:ascii="Times New Roman" w:hAnsi="Times New Roman"/>
          <w:sz w:val="24"/>
          <w:szCs w:val="24"/>
        </w:rPr>
        <w:t>03</w:t>
      </w:r>
      <w:r w:rsidR="008B5867">
        <w:rPr>
          <w:rFonts w:ascii="Times New Roman" w:hAnsi="Times New Roman"/>
          <w:sz w:val="24"/>
          <w:szCs w:val="24"/>
        </w:rPr>
        <w:t xml:space="preserve">. When combined with </w:t>
      </w:r>
      <w:r w:rsidR="008B5867">
        <w:rPr>
          <w:rFonts w:ascii="Times New Roman" w:hAnsi="Times New Roman"/>
          <w:sz w:val="24"/>
          <w:szCs w:val="24"/>
        </w:rPr>
        <w:t xml:space="preserve">the total compensation rate </w:t>
      </w:r>
      <w:r>
        <w:rPr>
          <w:rStyle w:val="FootnoteReference"/>
          <w:rFonts w:ascii="Times New Roman" w:hAnsi="Times New Roman"/>
          <w:sz w:val="24"/>
          <w:szCs w:val="24"/>
        </w:rPr>
        <w:footnoteReference w:id="3"/>
      </w:r>
      <w:r w:rsidR="008B5867">
        <w:rPr>
          <w:rFonts w:ascii="Times New Roman" w:hAnsi="Times New Roman"/>
          <w:sz w:val="24"/>
          <w:szCs w:val="24"/>
        </w:rPr>
        <w:t>of 29%, the total annualized hourly rate is: $</w:t>
      </w:r>
      <w:r w:rsidR="004E726D">
        <w:rPr>
          <w:rFonts w:ascii="Times New Roman" w:hAnsi="Times New Roman"/>
          <w:sz w:val="24"/>
          <w:szCs w:val="24"/>
        </w:rPr>
        <w:t>60.67.</w:t>
      </w:r>
      <w:r w:rsidR="008B5867">
        <w:rPr>
          <w:rFonts w:ascii="Times New Roman" w:hAnsi="Times New Roman"/>
          <w:sz w:val="24"/>
          <w:szCs w:val="24"/>
        </w:rPr>
        <w:t xml:space="preserve"> </w:t>
      </w:r>
      <w:r w:rsidR="00116DD0">
        <w:rPr>
          <w:rFonts w:ascii="Times New Roman" w:hAnsi="Times New Roman"/>
          <w:sz w:val="24"/>
          <w:szCs w:val="24"/>
        </w:rPr>
        <w:t xml:space="preserve">Therefore, </w:t>
      </w:r>
      <w:r>
        <w:rPr>
          <w:rFonts w:ascii="Times New Roman" w:hAnsi="Times New Roman"/>
          <w:sz w:val="24"/>
          <w:szCs w:val="24"/>
        </w:rPr>
        <w:t>the estimated annualized cost burden to respondents to compile, prepare, and submit</w:t>
      </w:r>
      <w:r w:rsidR="00116DD0">
        <w:rPr>
          <w:rFonts w:ascii="Times New Roman" w:hAnsi="Times New Roman"/>
          <w:sz w:val="24"/>
          <w:szCs w:val="24"/>
        </w:rPr>
        <w:t xml:space="preserve"> the</w:t>
      </w:r>
      <w:r>
        <w:rPr>
          <w:rFonts w:ascii="Times New Roman" w:hAnsi="Times New Roman"/>
          <w:sz w:val="24"/>
          <w:szCs w:val="24"/>
        </w:rPr>
        <w:t xml:space="preserve"> require</w:t>
      </w:r>
      <w:r w:rsidR="00116DD0">
        <w:rPr>
          <w:rFonts w:ascii="Times New Roman" w:hAnsi="Times New Roman"/>
          <w:sz w:val="24"/>
          <w:szCs w:val="24"/>
        </w:rPr>
        <w:t>d</w:t>
      </w:r>
      <w:r>
        <w:rPr>
          <w:rFonts w:ascii="Times New Roman" w:hAnsi="Times New Roman"/>
          <w:sz w:val="24"/>
          <w:szCs w:val="24"/>
        </w:rPr>
        <w:t xml:space="preserve"> materials </w:t>
      </w:r>
      <w:r w:rsidR="00062225">
        <w:rPr>
          <w:rFonts w:ascii="Times New Roman" w:hAnsi="Times New Roman"/>
          <w:sz w:val="24"/>
          <w:szCs w:val="24"/>
        </w:rPr>
        <w:t>to process either an</w:t>
      </w:r>
      <w:r>
        <w:rPr>
          <w:rFonts w:ascii="Times New Roman" w:hAnsi="Times New Roman"/>
          <w:sz w:val="24"/>
          <w:szCs w:val="24"/>
        </w:rPr>
        <w:t xml:space="preserve"> initial vessel designation or </w:t>
      </w:r>
      <w:r w:rsidR="00062225">
        <w:rPr>
          <w:rFonts w:ascii="Times New Roman" w:hAnsi="Times New Roman"/>
          <w:sz w:val="24"/>
          <w:szCs w:val="24"/>
        </w:rPr>
        <w:t xml:space="preserve">a </w:t>
      </w:r>
      <w:r w:rsidR="00116DD0">
        <w:rPr>
          <w:rFonts w:ascii="Times New Roman" w:hAnsi="Times New Roman"/>
          <w:sz w:val="24"/>
          <w:szCs w:val="24"/>
        </w:rPr>
        <w:t>redesignation is $</w:t>
      </w:r>
      <w:r w:rsidR="006019E0">
        <w:rPr>
          <w:rFonts w:ascii="Times New Roman" w:hAnsi="Times New Roman"/>
          <w:sz w:val="24"/>
          <w:szCs w:val="24"/>
        </w:rPr>
        <w:t>3,0</w:t>
      </w:r>
      <w:r w:rsidR="004E726D">
        <w:rPr>
          <w:rFonts w:ascii="Times New Roman" w:hAnsi="Times New Roman"/>
          <w:sz w:val="24"/>
          <w:szCs w:val="24"/>
        </w:rPr>
        <w:t>33</w:t>
      </w:r>
      <w:r w:rsidR="008B5867">
        <w:rPr>
          <w:rFonts w:ascii="Times New Roman" w:hAnsi="Times New Roman"/>
          <w:sz w:val="24"/>
          <w:szCs w:val="24"/>
        </w:rPr>
        <w:t>.</w:t>
      </w:r>
      <w:r w:rsidR="004E726D">
        <w:rPr>
          <w:rFonts w:ascii="Times New Roman" w:hAnsi="Times New Roman"/>
          <w:sz w:val="24"/>
          <w:szCs w:val="24"/>
        </w:rPr>
        <w:t>50</w:t>
      </w:r>
      <w:r w:rsidR="00116DD0">
        <w:rPr>
          <w:rFonts w:ascii="Times New Roman" w:hAnsi="Times New Roman"/>
          <w:sz w:val="24"/>
          <w:szCs w:val="24"/>
        </w:rPr>
        <w:t>, which is calculated as show in the table below:</w:t>
      </w:r>
    </w:p>
    <w:p w:rsidR="00116DD0" w:rsidP="00F56500" w14:paraId="48FE6FC1" w14:textId="7E760F22">
      <w:pPr>
        <w:ind w:left="720"/>
        <w:rPr>
          <w:rFonts w:ascii="Times New Roman" w:hAnsi="Times New Roman"/>
          <w:sz w:val="24"/>
          <w:szCs w:val="24"/>
        </w:rPr>
      </w:pPr>
    </w:p>
    <w:tbl>
      <w:tblPr>
        <w:tblW w:w="9437"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575"/>
        <w:gridCol w:w="1544"/>
        <w:gridCol w:w="590"/>
        <w:gridCol w:w="2061"/>
        <w:gridCol w:w="727"/>
        <w:gridCol w:w="1940"/>
      </w:tblGrid>
      <w:tr w14:paraId="012D7588" w14:textId="77777777" w:rsidTr="008B5867">
        <w:tblPrEx>
          <w:tblW w:w="9437"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Ex>
        <w:trPr>
          <w:trHeight w:val="927"/>
        </w:trPr>
        <w:tc>
          <w:tcPr>
            <w:tcW w:w="2575" w:type="dxa"/>
            <w:shd w:val="clear" w:color="auto" w:fill="D9D9D9" w:themeFill="background1" w:themeFillShade="D9"/>
            <w:noWrap/>
            <w:vAlign w:val="bottom"/>
            <w:hideMark/>
          </w:tcPr>
          <w:p w:rsidR="008B5867" w:rsidRPr="00D6334C" w:rsidP="00116DD0" w14:paraId="7D9E7948" w14:textId="0A2FDD5B">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Type of </w:t>
            </w:r>
            <w:r w:rsidRPr="00D6334C">
              <w:rPr>
                <w:rFonts w:ascii="Times New Roman" w:hAnsi="Times New Roman"/>
                <w:b/>
                <w:bCs/>
                <w:color w:val="000000"/>
                <w:sz w:val="22"/>
                <w:szCs w:val="22"/>
              </w:rPr>
              <w:t xml:space="preserve">Respondents </w:t>
            </w:r>
          </w:p>
        </w:tc>
        <w:tc>
          <w:tcPr>
            <w:tcW w:w="1544" w:type="dxa"/>
            <w:shd w:val="clear" w:color="auto" w:fill="D9D9D9" w:themeFill="background1" w:themeFillShade="D9"/>
            <w:noWrap/>
            <w:vAlign w:val="bottom"/>
            <w:hideMark/>
          </w:tcPr>
          <w:p w:rsidR="008B5867" w:rsidRPr="00D6334C" w:rsidP="00116DD0" w14:paraId="439FB3F8" w14:textId="77777777">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Rate</w:t>
            </w:r>
          </w:p>
        </w:tc>
        <w:tc>
          <w:tcPr>
            <w:tcW w:w="590" w:type="dxa"/>
            <w:shd w:val="clear" w:color="auto" w:fill="D9D9D9" w:themeFill="background1" w:themeFillShade="D9"/>
          </w:tcPr>
          <w:p w:rsidR="008B5867" w:rsidRPr="00062225" w:rsidP="00116DD0" w14:paraId="3960A37B" w14:textId="77777777">
            <w:pPr>
              <w:widowControl/>
              <w:autoSpaceDE/>
              <w:autoSpaceDN/>
              <w:adjustRightInd/>
              <w:rPr>
                <w:rFonts w:ascii="Times New Roman" w:hAnsi="Times New Roman"/>
                <w:b/>
                <w:bCs/>
                <w:color w:val="000000"/>
                <w:sz w:val="22"/>
                <w:szCs w:val="22"/>
              </w:rPr>
            </w:pPr>
          </w:p>
        </w:tc>
        <w:tc>
          <w:tcPr>
            <w:tcW w:w="2061" w:type="dxa"/>
            <w:shd w:val="clear" w:color="auto" w:fill="D9D9D9" w:themeFill="background1" w:themeFillShade="D9"/>
            <w:vAlign w:val="bottom"/>
            <w:hideMark/>
          </w:tcPr>
          <w:p w:rsidR="008B5867" w:rsidRPr="00D6334C" w:rsidP="00116DD0" w14:paraId="60C811D3" w14:textId="1600D7B9">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Total Annualized  Burden Hours</w:t>
            </w:r>
          </w:p>
        </w:tc>
        <w:tc>
          <w:tcPr>
            <w:tcW w:w="727" w:type="dxa"/>
            <w:shd w:val="clear" w:color="auto" w:fill="D9D9D9" w:themeFill="background1" w:themeFillShade="D9"/>
          </w:tcPr>
          <w:p w:rsidR="008B5867" w:rsidRPr="00062225" w:rsidP="00116DD0" w14:paraId="0E421F6E" w14:textId="77777777">
            <w:pPr>
              <w:widowControl/>
              <w:autoSpaceDE/>
              <w:autoSpaceDN/>
              <w:adjustRightInd/>
              <w:rPr>
                <w:rFonts w:ascii="Times New Roman" w:hAnsi="Times New Roman"/>
                <w:b/>
                <w:bCs/>
                <w:color w:val="000000"/>
                <w:sz w:val="22"/>
                <w:szCs w:val="22"/>
              </w:rPr>
            </w:pPr>
          </w:p>
        </w:tc>
        <w:tc>
          <w:tcPr>
            <w:tcW w:w="1940" w:type="dxa"/>
            <w:shd w:val="clear" w:color="auto" w:fill="D9D9D9" w:themeFill="background1" w:themeFillShade="D9"/>
            <w:vAlign w:val="bottom"/>
            <w:hideMark/>
          </w:tcPr>
          <w:p w:rsidR="008B5867" w:rsidRPr="00D6334C" w:rsidP="00116DD0" w14:paraId="7660B898" w14:textId="2045B1FB">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 xml:space="preserve">Total Annualized </w:t>
            </w:r>
            <w:r>
              <w:rPr>
                <w:rFonts w:ascii="Times New Roman" w:hAnsi="Times New Roman"/>
                <w:b/>
                <w:bCs/>
                <w:color w:val="000000"/>
                <w:sz w:val="22"/>
                <w:szCs w:val="22"/>
              </w:rPr>
              <w:t>Cost</w:t>
            </w:r>
            <w:r w:rsidRPr="00D6334C">
              <w:rPr>
                <w:rFonts w:ascii="Times New Roman" w:hAnsi="Times New Roman"/>
                <w:b/>
                <w:bCs/>
                <w:color w:val="000000"/>
                <w:sz w:val="22"/>
                <w:szCs w:val="22"/>
              </w:rPr>
              <w:t xml:space="preserve"> </w:t>
            </w:r>
            <w:r>
              <w:rPr>
                <w:rFonts w:ascii="Times New Roman" w:hAnsi="Times New Roman"/>
                <w:b/>
                <w:bCs/>
                <w:color w:val="000000"/>
                <w:sz w:val="22"/>
                <w:szCs w:val="22"/>
              </w:rPr>
              <w:t>Burden</w:t>
            </w:r>
          </w:p>
        </w:tc>
      </w:tr>
      <w:tr w14:paraId="75AD285F" w14:textId="77777777" w:rsidTr="008B5867">
        <w:tblPrEx>
          <w:tblW w:w="9437" w:type="dxa"/>
          <w:tblInd w:w="-465" w:type="dxa"/>
          <w:tblLook w:val="04A0"/>
        </w:tblPrEx>
        <w:trPr>
          <w:trHeight w:val="1050"/>
        </w:trPr>
        <w:tc>
          <w:tcPr>
            <w:tcW w:w="2575" w:type="dxa"/>
            <w:shd w:val="clear" w:color="auto" w:fill="auto"/>
            <w:vAlign w:val="bottom"/>
            <w:hideMark/>
          </w:tcPr>
          <w:p w:rsidR="008B5867" w:rsidRPr="00D6334C" w:rsidP="00116DD0" w14:paraId="6F10ED6B" w14:textId="20C01C6B">
            <w:pPr>
              <w:widowControl/>
              <w:autoSpaceDE/>
              <w:autoSpaceDN/>
              <w:adjustRightInd/>
              <w:rPr>
                <w:rFonts w:ascii="Times New Roman" w:hAnsi="Times New Roman"/>
                <w:color w:val="000000"/>
                <w:sz w:val="22"/>
                <w:szCs w:val="22"/>
              </w:rPr>
            </w:pPr>
            <w:r w:rsidRPr="00D6334C">
              <w:rPr>
                <w:rFonts w:ascii="Times New Roman" w:hAnsi="Times New Roman"/>
                <w:color w:val="000000"/>
                <w:sz w:val="22"/>
                <w:szCs w:val="22"/>
              </w:rPr>
              <w:t>Ship and Boat Captain and Vessel Operators                 (53-5020)</w:t>
            </w:r>
          </w:p>
        </w:tc>
        <w:tc>
          <w:tcPr>
            <w:tcW w:w="1544" w:type="dxa"/>
            <w:shd w:val="clear" w:color="auto" w:fill="auto"/>
            <w:noWrap/>
            <w:vAlign w:val="center"/>
            <w:hideMark/>
          </w:tcPr>
          <w:p w:rsidR="008B5867" w:rsidRPr="00D6334C" w:rsidP="00D6334C" w14:paraId="777111E3" w14:textId="0B2A987C">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 xml:space="preserve">$   </w:t>
            </w:r>
            <w:r w:rsidR="004E726D">
              <w:rPr>
                <w:rFonts w:ascii="Times New Roman" w:hAnsi="Times New Roman"/>
                <w:color w:val="000000"/>
                <w:sz w:val="22"/>
                <w:szCs w:val="22"/>
              </w:rPr>
              <w:t>60.67</w:t>
            </w:r>
          </w:p>
        </w:tc>
        <w:tc>
          <w:tcPr>
            <w:tcW w:w="590" w:type="dxa"/>
          </w:tcPr>
          <w:p w:rsidR="008B5867" w14:paraId="12FC7D33" w14:textId="77777777">
            <w:pPr>
              <w:widowControl/>
              <w:autoSpaceDE/>
              <w:autoSpaceDN/>
              <w:adjustRightInd/>
              <w:jc w:val="center"/>
              <w:rPr>
                <w:rFonts w:ascii="Times New Roman" w:hAnsi="Times New Roman"/>
                <w:color w:val="000000"/>
                <w:sz w:val="22"/>
                <w:szCs w:val="22"/>
              </w:rPr>
            </w:pPr>
          </w:p>
          <w:p w:rsidR="008B5867" w14:paraId="71340E24" w14:textId="77777777">
            <w:pPr>
              <w:widowControl/>
              <w:autoSpaceDE/>
              <w:autoSpaceDN/>
              <w:adjustRightInd/>
              <w:jc w:val="center"/>
              <w:rPr>
                <w:rFonts w:ascii="Times New Roman" w:hAnsi="Times New Roman"/>
                <w:color w:val="000000"/>
                <w:sz w:val="22"/>
                <w:szCs w:val="22"/>
              </w:rPr>
            </w:pPr>
          </w:p>
          <w:p w:rsidR="008B5867" w:rsidRPr="00062225" w14:paraId="1D67BDB7" w14:textId="00F30B7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2061" w:type="dxa"/>
            <w:shd w:val="clear" w:color="auto" w:fill="auto"/>
            <w:noWrap/>
            <w:vAlign w:val="center"/>
            <w:hideMark/>
          </w:tcPr>
          <w:p w:rsidR="008B5867" w:rsidRPr="00D6334C" w:rsidP="00D6334C" w14:paraId="47C82095" w14:textId="4B6C8644">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50</w:t>
            </w:r>
          </w:p>
        </w:tc>
        <w:tc>
          <w:tcPr>
            <w:tcW w:w="727" w:type="dxa"/>
          </w:tcPr>
          <w:p w:rsidR="008B5867" w14:paraId="10CC295A" w14:textId="77777777">
            <w:pPr>
              <w:widowControl/>
              <w:autoSpaceDE/>
              <w:autoSpaceDN/>
              <w:adjustRightInd/>
              <w:jc w:val="center"/>
              <w:rPr>
                <w:rFonts w:ascii="Times New Roman" w:hAnsi="Times New Roman"/>
                <w:color w:val="000000"/>
                <w:sz w:val="22"/>
                <w:szCs w:val="22"/>
              </w:rPr>
            </w:pPr>
          </w:p>
          <w:p w:rsidR="008B5867" w14:paraId="1B84620B" w14:textId="77777777">
            <w:pPr>
              <w:widowControl/>
              <w:autoSpaceDE/>
              <w:autoSpaceDN/>
              <w:adjustRightInd/>
              <w:jc w:val="center"/>
              <w:rPr>
                <w:rFonts w:ascii="Times New Roman" w:hAnsi="Times New Roman"/>
                <w:color w:val="000000"/>
                <w:sz w:val="22"/>
                <w:szCs w:val="22"/>
              </w:rPr>
            </w:pPr>
          </w:p>
          <w:p w:rsidR="008B5867" w:rsidRPr="00062225" w14:paraId="6F5C2EE4" w14:textId="0A773DA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940" w:type="dxa"/>
            <w:shd w:val="clear" w:color="auto" w:fill="auto"/>
            <w:noWrap/>
            <w:vAlign w:val="center"/>
            <w:hideMark/>
          </w:tcPr>
          <w:p w:rsidR="008B5867" w:rsidRPr="00D6334C" w:rsidP="00D6334C" w14:paraId="6396DC5A" w14:textId="11B312D9">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 xml:space="preserve">$      </w:t>
            </w:r>
            <w:r w:rsidR="007E6F87">
              <w:rPr>
                <w:rFonts w:ascii="Times New Roman" w:hAnsi="Times New Roman"/>
                <w:color w:val="000000"/>
                <w:sz w:val="22"/>
                <w:szCs w:val="22"/>
              </w:rPr>
              <w:t>3,0</w:t>
            </w:r>
            <w:r w:rsidR="004E726D">
              <w:rPr>
                <w:rFonts w:ascii="Times New Roman" w:hAnsi="Times New Roman"/>
                <w:color w:val="000000"/>
                <w:sz w:val="22"/>
                <w:szCs w:val="22"/>
              </w:rPr>
              <w:t>33</w:t>
            </w:r>
            <w:r>
              <w:rPr>
                <w:rFonts w:ascii="Times New Roman" w:hAnsi="Times New Roman"/>
                <w:color w:val="000000"/>
                <w:sz w:val="22"/>
                <w:szCs w:val="22"/>
              </w:rPr>
              <w:t>.</w:t>
            </w:r>
            <w:r w:rsidR="004E726D">
              <w:rPr>
                <w:rFonts w:ascii="Times New Roman" w:hAnsi="Times New Roman"/>
                <w:color w:val="000000"/>
                <w:sz w:val="22"/>
                <w:szCs w:val="22"/>
              </w:rPr>
              <w:t>5</w:t>
            </w:r>
            <w:r>
              <w:rPr>
                <w:rFonts w:ascii="Times New Roman" w:hAnsi="Times New Roman"/>
                <w:color w:val="000000"/>
                <w:sz w:val="22"/>
                <w:szCs w:val="22"/>
              </w:rPr>
              <w:t>0</w:t>
            </w:r>
          </w:p>
        </w:tc>
      </w:tr>
    </w:tbl>
    <w:p w:rsidR="00116DD0" w:rsidRPr="00DF589A" w:rsidP="00D6334C" w14:paraId="122F87BC" w14:textId="77777777">
      <w:pPr>
        <w:rPr>
          <w:szCs w:val="24"/>
        </w:rPr>
      </w:pPr>
    </w:p>
    <w:p w:rsidR="00940C9D" w:rsidRPr="00D6334C" w:rsidP="00D6334C" w14:paraId="2993C25B" w14:textId="77777777">
      <w:pPr>
        <w:pStyle w:val="ListParagraph"/>
        <w:ind w:left="1080"/>
        <w:rPr>
          <w:b/>
          <w:bCs/>
          <w:szCs w:val="24"/>
        </w:rPr>
      </w:pPr>
    </w:p>
    <w:p w:rsidR="00940C9D" w:rsidRPr="00D6334C" w:rsidP="00D6334C" w14:paraId="7E558083" w14:textId="52006AFC">
      <w:pPr>
        <w:pStyle w:val="NormalWeb"/>
        <w:numPr>
          <w:ilvl w:val="0"/>
          <w:numId w:val="11"/>
        </w:numPr>
        <w:spacing w:before="0" w:beforeAutospacing="0" w:after="0" w:afterAutospacing="0"/>
        <w:ind w:hanging="270"/>
        <w:rPr>
          <w:rFonts w:ascii="Times New Roman" w:hAnsi="Times New Roman" w:cs="Times New Roman"/>
          <w:b/>
          <w:bCs/>
        </w:rPr>
      </w:pPr>
      <w:r w:rsidRPr="00D6334C">
        <w:rPr>
          <w:rFonts w:ascii="Times New Roman" w:hAnsi="Times New Roman" w:cs="Times New Roman"/>
          <w:b/>
          <w:bCs/>
        </w:rPr>
        <w:t xml:space="preserve">Estimate of </w:t>
      </w:r>
      <w:r w:rsidRPr="00D6334C">
        <w:rPr>
          <w:rFonts w:ascii="Times New Roman" w:hAnsi="Times New Roman" w:cs="Times New Roman"/>
          <w:b/>
          <w:bCs/>
        </w:rPr>
        <w:t>Total Annual Cost Burden to Respondents and /or Record Keepers</w:t>
      </w:r>
    </w:p>
    <w:p w:rsidR="00513DA9" w:rsidP="00D6334C" w14:paraId="23968825" w14:textId="07503108">
      <w:pPr>
        <w:pStyle w:val="NormalWeb"/>
        <w:spacing w:before="0" w:beforeAutospacing="0" w:after="0" w:afterAutospacing="0"/>
        <w:ind w:left="540"/>
      </w:pPr>
      <w:r w:rsidRPr="00513DA9">
        <w:rPr>
          <w:rFonts w:ascii="Times New Roman" w:hAnsi="Times New Roman" w:cs="Times New Roman"/>
          <w:bCs/>
        </w:rPr>
        <w:t xml:space="preserve">  </w:t>
      </w:r>
    </w:p>
    <w:p w:rsidR="0004749E" w:rsidRPr="00EF5048" w:rsidP="00D6334C" w14:paraId="60F1C6AF" w14:textId="74C2769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color w:val="auto"/>
        </w:rPr>
      </w:pPr>
      <w:r>
        <w:rPr>
          <w:rFonts w:ascii="Times New Roman" w:hAnsi="Times New Roman"/>
          <w:color w:val="auto"/>
        </w:rPr>
        <w:t>There are no</w:t>
      </w:r>
      <w:r w:rsidR="001C61D4">
        <w:rPr>
          <w:rFonts w:ascii="Times New Roman" w:hAnsi="Times New Roman"/>
          <w:color w:val="auto"/>
        </w:rPr>
        <w:t xml:space="preserve"> capital, start-up, operations, or maintenance </w:t>
      </w:r>
      <w:r>
        <w:rPr>
          <w:rFonts w:ascii="Times New Roman" w:hAnsi="Times New Roman"/>
          <w:color w:val="auto"/>
        </w:rPr>
        <w:t>costs to respondents and/or record ke</w:t>
      </w:r>
      <w:r w:rsidR="001C61D4">
        <w:rPr>
          <w:rFonts w:ascii="Times New Roman" w:hAnsi="Times New Roman"/>
          <w:color w:val="auto"/>
        </w:rPr>
        <w:t xml:space="preserve">epers associated with this collection. </w:t>
      </w:r>
    </w:p>
    <w:p w:rsidR="0004749E" w:rsidRPr="00EF5048" w:rsidP="00940C9D" w14:paraId="36602036"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940C9D" w:rsidRPr="00D6334C" w14:paraId="76D338B6" w14:textId="652FC4C2">
      <w:pPr>
        <w:pStyle w:val="ListParagraph"/>
        <w:numPr>
          <w:ilvl w:val="0"/>
          <w:numId w:val="11"/>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450"/>
        <w:rPr>
          <w:b/>
          <w:szCs w:val="24"/>
        </w:rPr>
      </w:pPr>
      <w:r w:rsidRPr="00D6334C">
        <w:rPr>
          <w:b/>
          <w:szCs w:val="24"/>
        </w:rPr>
        <w:t xml:space="preserve">Estimate of Federal </w:t>
      </w:r>
      <w:r w:rsidRPr="00D6334C">
        <w:rPr>
          <w:b/>
          <w:szCs w:val="24"/>
        </w:rPr>
        <w:t>Government Costs</w:t>
      </w:r>
      <w:r w:rsidRPr="00940C9D">
        <w:rPr>
          <w:bCs/>
          <w:szCs w:val="24"/>
        </w:rPr>
        <w:t xml:space="preserve">  </w:t>
      </w:r>
    </w:p>
    <w:p w:rsidR="00EC2266" w:rsidP="00EC2266" w14:paraId="5ABBF51B" w14:textId="185F83C4">
      <w:pPr>
        <w:pStyle w:val="ListParagraph"/>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szCs w:val="24"/>
        </w:rPr>
      </w:pPr>
    </w:p>
    <w:p w:rsidR="00EC2266" w:rsidRPr="00D6334C" w:rsidP="00D6334C" w14:paraId="234EAE67" w14:textId="0D11E5E2">
      <w:pPr>
        <w:pStyle w:val="ListParagraph"/>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Pr>
          <w:bCs/>
          <w:szCs w:val="24"/>
        </w:rPr>
        <w:t>The total Federal Government costs associated with th</w:t>
      </w:r>
      <w:r w:rsidR="004E1E1A">
        <w:rPr>
          <w:bCs/>
          <w:szCs w:val="24"/>
        </w:rPr>
        <w:t>is</w:t>
      </w:r>
      <w:r>
        <w:rPr>
          <w:bCs/>
          <w:szCs w:val="24"/>
        </w:rPr>
        <w:t xml:space="preserve"> collection is </w:t>
      </w:r>
      <w:r w:rsidRPr="00E47B9D">
        <w:rPr>
          <w:bCs/>
          <w:szCs w:val="24"/>
        </w:rPr>
        <w:t>$4,</w:t>
      </w:r>
      <w:r w:rsidRPr="00E47B9D" w:rsidR="00CE7C3B">
        <w:rPr>
          <w:bCs/>
          <w:szCs w:val="24"/>
        </w:rPr>
        <w:t>566</w:t>
      </w:r>
      <w:r w:rsidR="00CE7C3B">
        <w:rPr>
          <w:bCs/>
          <w:szCs w:val="24"/>
        </w:rPr>
        <w:t>.00</w:t>
      </w:r>
      <w:r>
        <w:rPr>
          <w:bCs/>
          <w:szCs w:val="24"/>
        </w:rPr>
        <w:t xml:space="preserve">. </w:t>
      </w:r>
      <w:bookmarkStart w:id="1" w:name="_Hlk165273555"/>
      <w:r>
        <w:rPr>
          <w:bCs/>
          <w:szCs w:val="24"/>
        </w:rPr>
        <w:t>According to the Office of Personnel Management wage tables</w:t>
      </w:r>
      <w:r>
        <w:rPr>
          <w:rStyle w:val="FootnoteReference"/>
          <w:bCs/>
          <w:szCs w:val="24"/>
        </w:rPr>
        <w:footnoteReference w:id="4"/>
      </w:r>
      <w:r>
        <w:rPr>
          <w:bCs/>
          <w:szCs w:val="24"/>
        </w:rPr>
        <w:t xml:space="preserve">, </w:t>
      </w:r>
      <w:bookmarkEnd w:id="1"/>
      <w:r>
        <w:rPr>
          <w:bCs/>
          <w:szCs w:val="24"/>
        </w:rPr>
        <w:t xml:space="preserve">it is estimated that one </w:t>
      </w:r>
      <w:r w:rsidR="004E1E1A">
        <w:rPr>
          <w:bCs/>
          <w:szCs w:val="24"/>
        </w:rPr>
        <w:t>GS 13</w:t>
      </w:r>
      <w:r w:rsidR="004E726D">
        <w:rPr>
          <w:bCs/>
          <w:szCs w:val="24"/>
        </w:rPr>
        <w:t xml:space="preserve"> (</w:t>
      </w:r>
      <w:r w:rsidR="004E1E1A">
        <w:rPr>
          <w:bCs/>
          <w:szCs w:val="24"/>
        </w:rPr>
        <w:t>Step 8</w:t>
      </w:r>
      <w:r w:rsidR="004E726D">
        <w:rPr>
          <w:bCs/>
          <w:szCs w:val="24"/>
        </w:rPr>
        <w:t>)</w:t>
      </w:r>
      <w:r w:rsidR="004E1E1A">
        <w:rPr>
          <w:bCs/>
          <w:szCs w:val="24"/>
        </w:rPr>
        <w:t xml:space="preserve"> employee with</w:t>
      </w:r>
      <w:r w:rsidR="00D646B0">
        <w:rPr>
          <w:bCs/>
          <w:szCs w:val="24"/>
        </w:rPr>
        <w:t xml:space="preserve"> a Washington-</w:t>
      </w:r>
      <w:r w:rsidR="00DD114A">
        <w:rPr>
          <w:bCs/>
          <w:szCs w:val="24"/>
        </w:rPr>
        <w:t>Baltimore</w:t>
      </w:r>
      <w:r w:rsidR="00D646B0">
        <w:rPr>
          <w:bCs/>
          <w:szCs w:val="24"/>
        </w:rPr>
        <w:t>-Arlington locality hourly pay of $69.71</w:t>
      </w:r>
      <w:r w:rsidR="00CE7C3B">
        <w:rPr>
          <w:bCs/>
          <w:szCs w:val="24"/>
        </w:rPr>
        <w:t xml:space="preserve">. When combined with the Federal Employee compensation of 31%, the hourly wage rate is: $91.32. It will </w:t>
      </w:r>
      <w:r>
        <w:rPr>
          <w:bCs/>
          <w:szCs w:val="24"/>
        </w:rPr>
        <w:t>take</w:t>
      </w:r>
      <w:r w:rsidR="008978F0">
        <w:rPr>
          <w:bCs/>
          <w:szCs w:val="24"/>
        </w:rPr>
        <w:t xml:space="preserve"> </w:t>
      </w:r>
      <w:r>
        <w:rPr>
          <w:bCs/>
          <w:szCs w:val="24"/>
        </w:rPr>
        <w:t>15 min</w:t>
      </w:r>
      <w:r w:rsidR="00D3252A">
        <w:rPr>
          <w:bCs/>
          <w:szCs w:val="24"/>
        </w:rPr>
        <w:t>utes (.25 hours)</w:t>
      </w:r>
      <w:r>
        <w:rPr>
          <w:bCs/>
          <w:szCs w:val="24"/>
        </w:rPr>
        <w:t xml:space="preserve"> to review and process each </w:t>
      </w:r>
      <w:r w:rsidR="00D646B0">
        <w:rPr>
          <w:bCs/>
          <w:szCs w:val="24"/>
        </w:rPr>
        <w:t xml:space="preserve">of a total </w:t>
      </w:r>
      <w:r>
        <w:rPr>
          <w:bCs/>
          <w:szCs w:val="24"/>
        </w:rPr>
        <w:t xml:space="preserve">combined </w:t>
      </w:r>
      <w:r w:rsidR="00062225">
        <w:rPr>
          <w:bCs/>
          <w:szCs w:val="24"/>
        </w:rPr>
        <w:t xml:space="preserve">estimated total </w:t>
      </w:r>
      <w:r>
        <w:rPr>
          <w:bCs/>
          <w:szCs w:val="24"/>
        </w:rPr>
        <w:t xml:space="preserve">200 </w:t>
      </w:r>
      <w:r>
        <w:rPr>
          <w:bCs/>
          <w:szCs w:val="24"/>
        </w:rPr>
        <w:t>designation or re-designation request</w:t>
      </w:r>
      <w:r w:rsidR="00062225">
        <w:rPr>
          <w:bCs/>
          <w:szCs w:val="24"/>
        </w:rPr>
        <w:t>s</w:t>
      </w:r>
      <w:r w:rsidR="00D646B0">
        <w:rPr>
          <w:bCs/>
          <w:szCs w:val="24"/>
        </w:rPr>
        <w:t xml:space="preserve"> annually.</w:t>
      </w:r>
      <w:r>
        <w:rPr>
          <w:bCs/>
          <w:szCs w:val="24"/>
        </w:rPr>
        <w:t xml:space="preserve"> Therefore</w:t>
      </w:r>
      <w:r w:rsidR="004E1E1A">
        <w:rPr>
          <w:bCs/>
          <w:szCs w:val="24"/>
        </w:rPr>
        <w:t>,</w:t>
      </w:r>
      <w:r>
        <w:rPr>
          <w:bCs/>
          <w:szCs w:val="24"/>
        </w:rPr>
        <w:t xml:space="preserve"> the total </w:t>
      </w:r>
      <w:r w:rsidR="004E1E1A">
        <w:rPr>
          <w:bCs/>
          <w:szCs w:val="24"/>
        </w:rPr>
        <w:t xml:space="preserve">wages associated with this collection is </w:t>
      </w:r>
      <w:r w:rsidR="00CE7C3B">
        <w:rPr>
          <w:bCs/>
          <w:szCs w:val="24"/>
        </w:rPr>
        <w:t xml:space="preserve">$4,566.00, </w:t>
      </w:r>
      <w:r w:rsidR="004E1E1A">
        <w:rPr>
          <w:bCs/>
          <w:szCs w:val="24"/>
        </w:rPr>
        <w:t xml:space="preserve">as calculated in the tables below: </w:t>
      </w:r>
    </w:p>
    <w:p w:rsidR="00F148F5" w:rsidRPr="002D5FA4" w:rsidP="00D6334C" w14:paraId="1362EC2A" w14:textId="77777777">
      <w:pPr>
        <w:pStyle w:val="NormalWeb"/>
        <w:spacing w:before="0" w:beforeAutospacing="0" w:after="0" w:afterAutospacing="0"/>
        <w:ind w:left="360"/>
        <w:rPr>
          <w:rFonts w:ascii="Times New Roman" w:hAnsi="Times New Roman" w:cs="Times New Roman"/>
          <w:b/>
          <w:bCs/>
          <w:u w:val="single"/>
        </w:rPr>
      </w:pPr>
    </w:p>
    <w:tbl>
      <w:tblPr>
        <w:tblW w:w="11422" w:type="dxa"/>
        <w:tblInd w:w="-9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790"/>
        <w:gridCol w:w="1573"/>
        <w:gridCol w:w="326"/>
        <w:gridCol w:w="1870"/>
        <w:gridCol w:w="341"/>
        <w:gridCol w:w="1866"/>
        <w:gridCol w:w="326"/>
        <w:gridCol w:w="1561"/>
        <w:gridCol w:w="341"/>
        <w:gridCol w:w="1428"/>
      </w:tblGrid>
      <w:tr w14:paraId="27EE724D" w14:textId="77777777" w:rsidTr="00341F75">
        <w:tblPrEx>
          <w:tblW w:w="11422" w:type="dxa"/>
          <w:tblInd w:w="-9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Ex>
        <w:trPr>
          <w:trHeight w:val="1043"/>
        </w:trPr>
        <w:tc>
          <w:tcPr>
            <w:tcW w:w="1790" w:type="dxa"/>
            <w:shd w:val="clear" w:color="auto" w:fill="D9D9D9" w:themeFill="background1" w:themeFillShade="D9"/>
            <w:vAlign w:val="center"/>
            <w:hideMark/>
          </w:tcPr>
          <w:p w:rsidR="00DD114A" w:rsidRPr="00D6334C" w:rsidP="00DD114A" w14:paraId="515B2F62" w14:textId="77777777">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FTE Grade and Step</w:t>
            </w:r>
          </w:p>
        </w:tc>
        <w:tc>
          <w:tcPr>
            <w:tcW w:w="1573" w:type="dxa"/>
            <w:shd w:val="clear" w:color="auto" w:fill="D9D9D9" w:themeFill="background1" w:themeFillShade="D9"/>
            <w:vAlign w:val="center"/>
            <w:hideMark/>
          </w:tcPr>
          <w:p w:rsidR="00DD114A" w:rsidRPr="00D6334C" w:rsidP="00DD114A" w14:paraId="3235B23F" w14:textId="3A8A2DC1">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Average Hourly Wage Rate</w:t>
            </w:r>
            <w:r w:rsidR="00341F75">
              <w:rPr>
                <w:rFonts w:ascii="Times New Roman" w:hAnsi="Times New Roman"/>
                <w:b/>
                <w:bCs/>
                <w:color w:val="000000"/>
                <w:sz w:val="22"/>
                <w:szCs w:val="22"/>
              </w:rPr>
              <w:t xml:space="preserve"> with 31% Compensation </w:t>
            </w:r>
            <w:r w:rsidRPr="00D6334C">
              <w:rPr>
                <w:rFonts w:ascii="Times New Roman" w:hAnsi="Times New Roman"/>
                <w:b/>
                <w:bCs/>
                <w:color w:val="000000"/>
                <w:sz w:val="22"/>
                <w:szCs w:val="22"/>
              </w:rPr>
              <w:t xml:space="preserve"> </w:t>
            </w:r>
          </w:p>
        </w:tc>
        <w:tc>
          <w:tcPr>
            <w:tcW w:w="326" w:type="dxa"/>
            <w:shd w:val="clear" w:color="auto" w:fill="D9D9D9" w:themeFill="background1" w:themeFillShade="D9"/>
          </w:tcPr>
          <w:p w:rsidR="00DD114A" w:rsidRPr="00D6334C" w:rsidP="00DD114A" w14:paraId="509BFBAC" w14:textId="77777777">
            <w:pPr>
              <w:widowControl/>
              <w:autoSpaceDE/>
              <w:autoSpaceDN/>
              <w:adjustRightInd/>
              <w:rPr>
                <w:rFonts w:ascii="Times New Roman" w:hAnsi="Times New Roman"/>
                <w:b/>
                <w:bCs/>
                <w:color w:val="000000"/>
                <w:sz w:val="22"/>
                <w:szCs w:val="22"/>
              </w:rPr>
            </w:pPr>
          </w:p>
        </w:tc>
        <w:tc>
          <w:tcPr>
            <w:tcW w:w="1870" w:type="dxa"/>
            <w:shd w:val="clear" w:color="auto" w:fill="D9D9D9" w:themeFill="background1" w:themeFillShade="D9"/>
            <w:vAlign w:val="center"/>
            <w:hideMark/>
          </w:tcPr>
          <w:p w:rsidR="00DD114A" w:rsidRPr="00D6334C" w:rsidP="00DD114A" w14:paraId="5103E717" w14:textId="0A757539">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Total Hours (per</w:t>
            </w:r>
            <w:r>
              <w:rPr>
                <w:rFonts w:ascii="Times New Roman" w:hAnsi="Times New Roman"/>
                <w:b/>
                <w:bCs/>
                <w:color w:val="000000"/>
                <w:sz w:val="22"/>
                <w:szCs w:val="22"/>
              </w:rPr>
              <w:t xml:space="preserve"> </w:t>
            </w:r>
            <w:r w:rsidRPr="00D6334C">
              <w:rPr>
                <w:rFonts w:ascii="Times New Roman" w:hAnsi="Times New Roman"/>
                <w:b/>
                <w:bCs/>
                <w:color w:val="000000"/>
                <w:sz w:val="22"/>
                <w:szCs w:val="22"/>
              </w:rPr>
              <w:t>application</w:t>
            </w:r>
            <w:r>
              <w:rPr>
                <w:rFonts w:ascii="Times New Roman" w:hAnsi="Times New Roman"/>
                <w:b/>
                <w:bCs/>
                <w:color w:val="000000"/>
                <w:sz w:val="22"/>
                <w:szCs w:val="22"/>
              </w:rPr>
              <w:t>)</w:t>
            </w:r>
          </w:p>
        </w:tc>
        <w:tc>
          <w:tcPr>
            <w:tcW w:w="341" w:type="dxa"/>
            <w:shd w:val="clear" w:color="auto" w:fill="D9D9D9" w:themeFill="background1" w:themeFillShade="D9"/>
          </w:tcPr>
          <w:p w:rsidR="00DD114A" w:rsidRPr="00D6334C" w:rsidP="00DD114A" w14:paraId="70463F94" w14:textId="77777777">
            <w:pPr>
              <w:widowControl/>
              <w:autoSpaceDE/>
              <w:autoSpaceDN/>
              <w:adjustRightInd/>
              <w:rPr>
                <w:rFonts w:ascii="Times New Roman" w:hAnsi="Times New Roman"/>
                <w:b/>
                <w:bCs/>
                <w:color w:val="000000"/>
                <w:sz w:val="22"/>
                <w:szCs w:val="22"/>
              </w:rPr>
            </w:pPr>
          </w:p>
        </w:tc>
        <w:tc>
          <w:tcPr>
            <w:tcW w:w="1866" w:type="dxa"/>
            <w:shd w:val="clear" w:color="auto" w:fill="D9D9D9" w:themeFill="background1" w:themeFillShade="D9"/>
            <w:vAlign w:val="center"/>
            <w:hideMark/>
          </w:tcPr>
          <w:p w:rsidR="00DD114A" w:rsidRPr="00D6334C" w:rsidP="00DD114A" w14:paraId="1DC52CC8" w14:textId="17587AF0">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Cost to process each application</w:t>
            </w:r>
          </w:p>
        </w:tc>
        <w:tc>
          <w:tcPr>
            <w:tcW w:w="326" w:type="dxa"/>
            <w:shd w:val="clear" w:color="auto" w:fill="D9D9D9" w:themeFill="background1" w:themeFillShade="D9"/>
          </w:tcPr>
          <w:p w:rsidR="00DD114A" w:rsidRPr="00D6334C" w:rsidP="00DD114A" w14:paraId="08ACD1E2" w14:textId="77777777">
            <w:pPr>
              <w:widowControl/>
              <w:autoSpaceDE/>
              <w:autoSpaceDN/>
              <w:adjustRightInd/>
              <w:rPr>
                <w:rFonts w:ascii="Times New Roman" w:hAnsi="Times New Roman"/>
                <w:b/>
                <w:bCs/>
                <w:color w:val="000000"/>
                <w:sz w:val="22"/>
                <w:szCs w:val="22"/>
              </w:rPr>
            </w:pPr>
          </w:p>
        </w:tc>
        <w:tc>
          <w:tcPr>
            <w:tcW w:w="1561" w:type="dxa"/>
            <w:shd w:val="clear" w:color="auto" w:fill="D9D9D9" w:themeFill="background1" w:themeFillShade="D9"/>
            <w:vAlign w:val="center"/>
            <w:hideMark/>
          </w:tcPr>
          <w:p w:rsidR="00DD114A" w:rsidRPr="00D6334C" w:rsidP="00DD114A" w14:paraId="3053BCD0" w14:textId="121E33A9">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Total Application</w:t>
            </w:r>
            <w:r>
              <w:rPr>
                <w:rFonts w:ascii="Times New Roman" w:hAnsi="Times New Roman"/>
                <w:b/>
                <w:bCs/>
                <w:color w:val="000000"/>
                <w:sz w:val="22"/>
                <w:szCs w:val="22"/>
              </w:rPr>
              <w:t>s</w:t>
            </w:r>
          </w:p>
        </w:tc>
        <w:tc>
          <w:tcPr>
            <w:tcW w:w="341" w:type="dxa"/>
            <w:shd w:val="clear" w:color="auto" w:fill="D9D9D9" w:themeFill="background1" w:themeFillShade="D9"/>
          </w:tcPr>
          <w:p w:rsidR="00DD114A" w:rsidRPr="00D6334C" w:rsidP="00DD114A" w14:paraId="125494A4" w14:textId="77777777">
            <w:pPr>
              <w:widowControl/>
              <w:autoSpaceDE/>
              <w:autoSpaceDN/>
              <w:adjustRightInd/>
              <w:rPr>
                <w:rFonts w:ascii="Times New Roman" w:hAnsi="Times New Roman"/>
                <w:b/>
                <w:bCs/>
                <w:color w:val="000000"/>
                <w:sz w:val="22"/>
                <w:szCs w:val="22"/>
              </w:rPr>
            </w:pPr>
          </w:p>
        </w:tc>
        <w:tc>
          <w:tcPr>
            <w:tcW w:w="1428" w:type="dxa"/>
            <w:shd w:val="clear" w:color="auto" w:fill="D9D9D9" w:themeFill="background1" w:themeFillShade="D9"/>
            <w:vAlign w:val="center"/>
            <w:hideMark/>
          </w:tcPr>
          <w:p w:rsidR="00DD114A" w:rsidRPr="00D6334C" w:rsidP="00DD114A" w14:paraId="177F4E55" w14:textId="5052C4CC">
            <w:pPr>
              <w:widowControl/>
              <w:autoSpaceDE/>
              <w:autoSpaceDN/>
              <w:adjustRightInd/>
              <w:rPr>
                <w:rFonts w:ascii="Times New Roman" w:hAnsi="Times New Roman"/>
                <w:b/>
                <w:bCs/>
                <w:color w:val="000000"/>
                <w:sz w:val="22"/>
                <w:szCs w:val="22"/>
              </w:rPr>
            </w:pPr>
            <w:r w:rsidRPr="00D6334C">
              <w:rPr>
                <w:rFonts w:ascii="Times New Roman" w:hAnsi="Times New Roman"/>
                <w:b/>
                <w:bCs/>
                <w:color w:val="000000"/>
                <w:sz w:val="22"/>
                <w:szCs w:val="22"/>
              </w:rPr>
              <w:t xml:space="preserve">Total Wages </w:t>
            </w:r>
          </w:p>
        </w:tc>
      </w:tr>
      <w:tr w14:paraId="78143D64" w14:textId="77777777" w:rsidTr="00341F75">
        <w:tblPrEx>
          <w:tblW w:w="11422" w:type="dxa"/>
          <w:tblInd w:w="-915" w:type="dxa"/>
          <w:tblLook w:val="04A0"/>
        </w:tblPrEx>
        <w:trPr>
          <w:trHeight w:val="303"/>
        </w:trPr>
        <w:tc>
          <w:tcPr>
            <w:tcW w:w="1790" w:type="dxa"/>
            <w:shd w:val="clear" w:color="auto" w:fill="auto"/>
            <w:noWrap/>
            <w:vAlign w:val="center"/>
            <w:hideMark/>
          </w:tcPr>
          <w:p w:rsidR="00DD114A" w:rsidRPr="00D6334C" w:rsidP="00D6334C" w14:paraId="01A3B6AA" w14:textId="2333B05D">
            <w:pPr>
              <w:widowControl/>
              <w:autoSpaceDE/>
              <w:autoSpaceDN/>
              <w:adjustRightInd/>
              <w:rPr>
                <w:rFonts w:ascii="Times New Roman" w:hAnsi="Times New Roman"/>
                <w:color w:val="000000"/>
                <w:sz w:val="22"/>
                <w:szCs w:val="22"/>
              </w:rPr>
            </w:pPr>
            <w:r w:rsidRPr="00D6334C">
              <w:rPr>
                <w:rFonts w:ascii="Times New Roman" w:hAnsi="Times New Roman"/>
                <w:color w:val="000000"/>
                <w:sz w:val="22"/>
                <w:szCs w:val="22"/>
              </w:rPr>
              <w:t>GS 13 (Step 8)</w:t>
            </w:r>
          </w:p>
        </w:tc>
        <w:tc>
          <w:tcPr>
            <w:tcW w:w="1573" w:type="dxa"/>
            <w:shd w:val="clear" w:color="auto" w:fill="auto"/>
            <w:noWrap/>
            <w:vAlign w:val="center"/>
            <w:hideMark/>
          </w:tcPr>
          <w:p w:rsidR="00DD114A" w:rsidRPr="00D6334C" w:rsidP="00DD114A" w14:paraId="00A33E33" w14:textId="1AD1825F">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 xml:space="preserve">$    </w:t>
            </w:r>
            <w:r w:rsidR="00CE7C3B">
              <w:rPr>
                <w:rFonts w:ascii="Times New Roman" w:hAnsi="Times New Roman"/>
                <w:color w:val="000000"/>
                <w:sz w:val="22"/>
                <w:szCs w:val="22"/>
              </w:rPr>
              <w:t>91.32</w:t>
            </w:r>
          </w:p>
        </w:tc>
        <w:tc>
          <w:tcPr>
            <w:tcW w:w="326" w:type="dxa"/>
            <w:vAlign w:val="center"/>
          </w:tcPr>
          <w:p w:rsidR="00DD114A" w:rsidRPr="00D6334C" w:rsidP="00DD114A" w14:paraId="36674B02" w14:textId="77777777">
            <w:pPr>
              <w:widowControl/>
              <w:autoSpaceDE/>
              <w:autoSpaceDN/>
              <w:adjustRightInd/>
              <w:jc w:val="center"/>
              <w:rPr>
                <w:rFonts w:ascii="Times New Roman" w:hAnsi="Times New Roman"/>
                <w:color w:val="000000"/>
                <w:sz w:val="22"/>
                <w:szCs w:val="22"/>
              </w:rPr>
            </w:pPr>
          </w:p>
          <w:p w:rsidR="00DD114A" w:rsidRPr="00D6334C" w:rsidP="00DD114A" w14:paraId="6C606C8C" w14:textId="01E7D872">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870" w:type="dxa"/>
            <w:shd w:val="clear" w:color="auto" w:fill="auto"/>
            <w:noWrap/>
            <w:vAlign w:val="center"/>
            <w:hideMark/>
          </w:tcPr>
          <w:p w:rsidR="00DD114A" w:rsidRPr="00D6334C" w:rsidP="00DD114A" w14:paraId="1195E4FA" w14:textId="49365E4C">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0.25</w:t>
            </w:r>
            <w:r>
              <w:rPr>
                <w:rFonts w:ascii="Times New Roman" w:hAnsi="Times New Roman"/>
                <w:color w:val="000000"/>
                <w:sz w:val="22"/>
                <w:szCs w:val="22"/>
              </w:rPr>
              <w:t xml:space="preserve"> (15 mins)</w:t>
            </w:r>
          </w:p>
        </w:tc>
        <w:tc>
          <w:tcPr>
            <w:tcW w:w="341" w:type="dxa"/>
            <w:vAlign w:val="center"/>
          </w:tcPr>
          <w:p w:rsidR="00DD114A" w:rsidRPr="00D6334C" w:rsidP="00DD114A" w14:paraId="58DBD1A6" w14:textId="77777777">
            <w:pPr>
              <w:widowControl/>
              <w:autoSpaceDE/>
              <w:autoSpaceDN/>
              <w:adjustRightInd/>
              <w:jc w:val="center"/>
              <w:rPr>
                <w:rFonts w:ascii="Times New Roman" w:hAnsi="Times New Roman"/>
                <w:color w:val="000000"/>
                <w:sz w:val="22"/>
                <w:szCs w:val="22"/>
              </w:rPr>
            </w:pPr>
          </w:p>
          <w:p w:rsidR="00DD114A" w:rsidRPr="00D6334C" w:rsidP="00DD114A" w14:paraId="3149AEC2" w14:textId="2DC7EABA">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866" w:type="dxa"/>
            <w:shd w:val="clear" w:color="auto" w:fill="auto"/>
            <w:noWrap/>
            <w:vAlign w:val="center"/>
            <w:hideMark/>
          </w:tcPr>
          <w:p w:rsidR="00DD114A" w:rsidRPr="00D6334C" w:rsidP="00DD114A" w14:paraId="3E7DFD82" w14:textId="4192C7B1">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r w:rsidR="00CE7C3B">
              <w:rPr>
                <w:rFonts w:ascii="Times New Roman" w:hAnsi="Times New Roman"/>
                <w:color w:val="000000"/>
                <w:sz w:val="22"/>
                <w:szCs w:val="22"/>
              </w:rPr>
              <w:t>22.83</w:t>
            </w:r>
          </w:p>
        </w:tc>
        <w:tc>
          <w:tcPr>
            <w:tcW w:w="326" w:type="dxa"/>
            <w:vAlign w:val="center"/>
          </w:tcPr>
          <w:p w:rsidR="00DD114A" w:rsidRPr="00D6334C" w:rsidP="00DD114A" w14:paraId="3966F464" w14:textId="77777777">
            <w:pPr>
              <w:widowControl/>
              <w:autoSpaceDE/>
              <w:autoSpaceDN/>
              <w:adjustRightInd/>
              <w:jc w:val="center"/>
              <w:rPr>
                <w:rFonts w:ascii="Times New Roman" w:hAnsi="Times New Roman"/>
                <w:color w:val="000000"/>
                <w:sz w:val="22"/>
                <w:szCs w:val="22"/>
              </w:rPr>
            </w:pPr>
          </w:p>
          <w:p w:rsidR="00DD114A" w:rsidRPr="00D6334C" w:rsidP="00DD114A" w14:paraId="3BC14C38" w14:textId="17046794">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561" w:type="dxa"/>
            <w:shd w:val="clear" w:color="auto" w:fill="auto"/>
            <w:noWrap/>
            <w:vAlign w:val="center"/>
            <w:hideMark/>
          </w:tcPr>
          <w:p w:rsidR="00DD114A" w:rsidRPr="00D6334C" w:rsidP="00DD114A" w14:paraId="027335A4" w14:textId="68FC8D30">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200</w:t>
            </w:r>
          </w:p>
        </w:tc>
        <w:tc>
          <w:tcPr>
            <w:tcW w:w="341" w:type="dxa"/>
            <w:vAlign w:val="center"/>
          </w:tcPr>
          <w:p w:rsidR="00DD114A" w:rsidRPr="00D6334C" w:rsidP="00DD114A" w14:paraId="41938C79" w14:textId="549196C6">
            <w:pPr>
              <w:widowControl/>
              <w:autoSpaceDE/>
              <w:autoSpaceDN/>
              <w:adjustRightInd/>
              <w:jc w:val="center"/>
              <w:rPr>
                <w:rFonts w:ascii="Times New Roman" w:hAnsi="Times New Roman"/>
                <w:color w:val="000000"/>
                <w:sz w:val="22"/>
                <w:szCs w:val="22"/>
              </w:rPr>
            </w:pPr>
            <w:r w:rsidRPr="00D6334C">
              <w:rPr>
                <w:rFonts w:ascii="Times New Roman" w:hAnsi="Times New Roman"/>
                <w:color w:val="000000"/>
                <w:sz w:val="22"/>
                <w:szCs w:val="22"/>
              </w:rPr>
              <w:t>=</w:t>
            </w:r>
          </w:p>
        </w:tc>
        <w:tc>
          <w:tcPr>
            <w:tcW w:w="1428" w:type="dxa"/>
            <w:shd w:val="clear" w:color="auto" w:fill="auto"/>
            <w:noWrap/>
            <w:vAlign w:val="center"/>
            <w:hideMark/>
          </w:tcPr>
          <w:p w:rsidR="00DD114A" w:rsidRPr="00D6334C" w:rsidP="00DD114A" w14:paraId="18DD8270" w14:textId="60E8A54D">
            <w:pPr>
              <w:widowControl/>
              <w:autoSpaceDE/>
              <w:autoSpaceDN/>
              <w:adjustRightInd/>
              <w:jc w:val="center"/>
              <w:rPr>
                <w:rFonts w:ascii="Times New Roman" w:hAnsi="Times New Roman"/>
                <w:color w:val="000000"/>
                <w:sz w:val="22"/>
                <w:szCs w:val="22"/>
              </w:rPr>
            </w:pPr>
            <w:bookmarkStart w:id="6" w:name="_Hlk160457702"/>
            <w:r w:rsidRPr="00D6334C">
              <w:rPr>
                <w:rFonts w:ascii="Times New Roman" w:hAnsi="Times New Roman"/>
                <w:color w:val="000000"/>
                <w:sz w:val="22"/>
                <w:szCs w:val="22"/>
              </w:rPr>
              <w:t xml:space="preserve">$    </w:t>
            </w:r>
            <w:bookmarkEnd w:id="6"/>
            <w:r w:rsidR="00CE7C3B">
              <w:rPr>
                <w:rFonts w:ascii="Times New Roman" w:hAnsi="Times New Roman"/>
                <w:color w:val="000000"/>
                <w:sz w:val="22"/>
                <w:szCs w:val="22"/>
              </w:rPr>
              <w:t>4,566.00</w:t>
            </w:r>
          </w:p>
        </w:tc>
      </w:tr>
    </w:tbl>
    <w:p w:rsidR="00DD114A" w:rsidP="00D6334C" w14:paraId="7F3BF36E" w14:textId="77777777">
      <w:pPr>
        <w:pStyle w:val="NormalWeb"/>
        <w:spacing w:before="0" w:beforeAutospacing="0" w:after="0" w:afterAutospacing="0"/>
        <w:rPr>
          <w:rFonts w:ascii="Times New Roman" w:hAnsi="Times New Roman" w:cs="Times New Roman"/>
          <w:b/>
          <w:bCs/>
        </w:rPr>
      </w:pPr>
    </w:p>
    <w:p w:rsidR="007057BC" w:rsidP="004E1E1A" w14:paraId="6DECE42E" w14:textId="3CED8383">
      <w:pPr>
        <w:pStyle w:val="NormalWeb"/>
        <w:spacing w:before="0" w:beforeAutospacing="0" w:after="0" w:afterAutospacing="0"/>
        <w:rPr>
          <w:rFonts w:ascii="Times New Roman" w:hAnsi="Times New Roman" w:cs="Times New Roman"/>
          <w:bCs/>
          <w:color w:val="000000"/>
        </w:rPr>
      </w:pPr>
      <w:r w:rsidRPr="002D5FA4">
        <w:rPr>
          <w:rFonts w:ascii="Times New Roman" w:hAnsi="Times New Roman" w:cs="Times New Roman"/>
          <w:b/>
          <w:bCs/>
        </w:rPr>
        <w:tab/>
      </w:r>
    </w:p>
    <w:p w:rsidR="00940C9D" w:rsidP="00D6334C" w14:paraId="2A8069EA" w14:textId="3FEEC55C">
      <w:pPr>
        <w:pStyle w:val="Default"/>
        <w:numPr>
          <w:ilvl w:val="0"/>
          <w:numId w:val="11"/>
        </w:numPr>
        <w:rPr>
          <w:b/>
          <w:bCs/>
        </w:rPr>
      </w:pPr>
      <w:r w:rsidRPr="00D6334C">
        <w:rPr>
          <w:b/>
        </w:rPr>
        <w:t xml:space="preserve">Explanation of </w:t>
      </w:r>
      <w:r w:rsidRPr="00D6334C">
        <w:rPr>
          <w:b/>
        </w:rPr>
        <w:t xml:space="preserve">Program Changes </w:t>
      </w:r>
      <w:r w:rsidRPr="00D6334C">
        <w:rPr>
          <w:b/>
        </w:rPr>
        <w:t xml:space="preserve">or </w:t>
      </w:r>
      <w:r w:rsidRPr="00D6334C">
        <w:rPr>
          <w:b/>
        </w:rPr>
        <w:t>Adjustments</w:t>
      </w:r>
      <w:r w:rsidRPr="00EC30B6" w:rsidR="00441967">
        <w:rPr>
          <w:bCs/>
        </w:rPr>
        <w:t xml:space="preserve"> </w:t>
      </w:r>
      <w:r w:rsidRPr="00C37AEF" w:rsidR="00441967">
        <w:rPr>
          <w:bCs/>
        </w:rPr>
        <w:t xml:space="preserve"> </w:t>
      </w:r>
    </w:p>
    <w:p w:rsidR="0004749E" w:rsidRPr="00840CE0" w:rsidP="00D6334C" w14:paraId="085660DF" w14:textId="77777777">
      <w:pPr>
        <w:pStyle w:val="Default"/>
        <w:ind w:left="540"/>
      </w:pPr>
    </w:p>
    <w:p w:rsidR="007C5E5C" w:rsidRPr="00855FE2" w:rsidP="00D6334C" w14:paraId="74CEF9B0" w14:textId="79F58F96">
      <w:pPr>
        <w:ind w:left="180"/>
        <w:rPr>
          <w:rFonts w:ascii="Times New Roman" w:hAnsi="Times New Roman"/>
        </w:rPr>
      </w:pPr>
      <w:bookmarkStart w:id="7" w:name="_Hlk70491009"/>
      <w:r w:rsidRPr="00855FE2">
        <w:rPr>
          <w:rFonts w:ascii="Times New Roman" w:hAnsi="Times New Roman"/>
          <w:sz w:val="24"/>
          <w:szCs w:val="24"/>
        </w:rPr>
        <w:t xml:space="preserve">There were no </w:t>
      </w:r>
      <w:r w:rsidR="00EE62E0">
        <w:rPr>
          <w:rFonts w:ascii="Times New Roman" w:hAnsi="Times New Roman"/>
          <w:sz w:val="24"/>
          <w:szCs w:val="24"/>
        </w:rPr>
        <w:t xml:space="preserve">reported </w:t>
      </w:r>
      <w:r w:rsidRPr="00855FE2">
        <w:rPr>
          <w:rFonts w:ascii="Times New Roman" w:hAnsi="Times New Roman"/>
          <w:sz w:val="24"/>
          <w:szCs w:val="24"/>
        </w:rPr>
        <w:t>program changes</w:t>
      </w:r>
      <w:r w:rsidR="008978F0">
        <w:rPr>
          <w:rFonts w:ascii="Times New Roman" w:hAnsi="Times New Roman"/>
          <w:sz w:val="24"/>
          <w:szCs w:val="24"/>
        </w:rPr>
        <w:t xml:space="preserve"> since the last renewal.</w:t>
      </w:r>
    </w:p>
    <w:p w:rsidR="003A2BFB" w:rsidRPr="00855FE2" w:rsidP="00D6334C" w14:paraId="434DDB5C" w14:textId="77777777">
      <w:pPr>
        <w:ind w:left="1080"/>
        <w:rPr>
          <w:rFonts w:ascii="Times New Roman" w:hAnsi="Times New Roman"/>
          <w:b/>
          <w:bCs/>
        </w:rPr>
      </w:pPr>
    </w:p>
    <w:bookmarkEnd w:id="7"/>
    <w:p w:rsidR="0004749E" w:rsidRPr="0099323A" w:rsidP="00D6334C" w14:paraId="1CE52D2B" w14:textId="05395E59">
      <w:pPr>
        <w:pStyle w:val="NormalWeb"/>
        <w:numPr>
          <w:ilvl w:val="0"/>
          <w:numId w:val="11"/>
        </w:numPr>
        <w:rPr>
          <w:rFonts w:ascii="Times New Roman" w:hAnsi="Times New Roman" w:cs="Times New Roman"/>
          <w:b/>
        </w:rPr>
      </w:pPr>
      <w:r w:rsidRPr="00D6334C">
        <w:rPr>
          <w:rFonts w:ascii="Times New Roman" w:hAnsi="Times New Roman" w:cs="Times New Roman"/>
          <w:b/>
          <w:bCs/>
        </w:rPr>
        <w:t xml:space="preserve">Publication of </w:t>
      </w:r>
      <w:r w:rsidRPr="00D6334C" w:rsidR="0099323A">
        <w:rPr>
          <w:rFonts w:ascii="Times New Roman" w:hAnsi="Times New Roman" w:cs="Times New Roman"/>
          <w:b/>
          <w:bCs/>
        </w:rPr>
        <w:t>D</w:t>
      </w:r>
      <w:r w:rsidRPr="00D6334C">
        <w:rPr>
          <w:rFonts w:ascii="Times New Roman" w:hAnsi="Times New Roman" w:cs="Times New Roman"/>
          <w:b/>
          <w:bCs/>
        </w:rPr>
        <w:t xml:space="preserve">ata </w:t>
      </w:r>
      <w:r w:rsidRPr="00D6334C" w:rsidR="0099323A">
        <w:rPr>
          <w:rFonts w:ascii="Times New Roman" w:hAnsi="Times New Roman" w:cs="Times New Roman"/>
          <w:b/>
          <w:bCs/>
        </w:rPr>
        <w:t>Collection Results</w:t>
      </w:r>
    </w:p>
    <w:p w:rsidR="0004749E" w:rsidRPr="002D5FA4" w:rsidP="00D6334C" w14:paraId="1F028EC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3A2BFB" w:rsidP="00F872A0" w14:paraId="26DF411F" w14:textId="3218D38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 w:right="-90"/>
        <w:rPr>
          <w:rFonts w:ascii="Times New Roman" w:hAnsi="Times New Roman"/>
          <w:color w:val="000000"/>
        </w:rPr>
      </w:pPr>
      <w:r w:rsidRPr="004035DD">
        <w:rPr>
          <w:rFonts w:ascii="Times New Roman" w:hAnsi="Times New Roman"/>
          <w:color w:val="000000"/>
        </w:rPr>
        <w:t xml:space="preserve">Per the MOU, </w:t>
      </w:r>
      <w:r w:rsidRPr="004035DD" w:rsidR="001206A7">
        <w:rPr>
          <w:rFonts w:ascii="Times New Roman" w:hAnsi="Times New Roman"/>
          <w:color w:val="000000"/>
        </w:rPr>
        <w:t>MARAD publish</w:t>
      </w:r>
      <w:r w:rsidRPr="004035DD" w:rsidR="00EB7F01">
        <w:rPr>
          <w:rFonts w:ascii="Times New Roman" w:hAnsi="Times New Roman"/>
          <w:color w:val="000000"/>
        </w:rPr>
        <w:t>es</w:t>
      </w:r>
      <w:r w:rsidRPr="004035DD" w:rsidR="001206A7">
        <w:rPr>
          <w:rFonts w:ascii="Times New Roman" w:hAnsi="Times New Roman"/>
          <w:color w:val="000000"/>
        </w:rPr>
        <w:t xml:space="preserve"> a list of the self-designations submitted by vessel owners</w:t>
      </w:r>
      <w:r w:rsidRPr="004035DD">
        <w:rPr>
          <w:rFonts w:ascii="Times New Roman" w:hAnsi="Times New Roman"/>
          <w:color w:val="000000"/>
        </w:rPr>
        <w:t xml:space="preserve"> on their website</w:t>
      </w:r>
      <w:r w:rsidRPr="004035DD" w:rsidR="00EB7F01">
        <w:rPr>
          <w:rFonts w:ascii="Times New Roman" w:hAnsi="Times New Roman"/>
          <w:color w:val="000000"/>
        </w:rPr>
        <w:t>:</w:t>
      </w:r>
      <w:r w:rsidRPr="004035DD" w:rsidR="0099323A">
        <w:rPr>
          <w:rFonts w:ascii="Times New Roman" w:hAnsi="Times New Roman"/>
          <w:color w:val="000000"/>
        </w:rPr>
        <w:t xml:space="preserve"> </w:t>
      </w:r>
      <w:hyperlink r:id="rId6" w:history="1">
        <w:r w:rsidRPr="00F6639B" w:rsidR="00F872A0">
          <w:rPr>
            <w:rStyle w:val="Hyperlink"/>
            <w:rFonts w:ascii="Times New Roman" w:hAnsi="Times New Roman"/>
          </w:rPr>
          <w:t>https://www.maritime.dot.gov/data-reports</w:t>
        </w:r>
      </w:hyperlink>
    </w:p>
    <w:p w:rsidR="00F872A0" w:rsidRPr="00840CE0" w:rsidP="00F872A0" w14:paraId="414D7C0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 w:right="-90"/>
        <w:rPr>
          <w:rFonts w:ascii="Times New Roman" w:hAnsi="Times New Roman"/>
          <w:color w:val="000000"/>
        </w:rPr>
      </w:pPr>
    </w:p>
    <w:p w:rsidR="0099323A" w:rsidRPr="0099323A" w:rsidP="00D6334C" w14:paraId="00120AC9" w14:textId="336F281E">
      <w:pPr>
        <w:pStyle w:val="NormalWeb"/>
        <w:numPr>
          <w:ilvl w:val="0"/>
          <w:numId w:val="11"/>
        </w:numPr>
        <w:spacing w:before="0" w:beforeAutospacing="0" w:after="0" w:afterAutospacing="0"/>
        <w:rPr>
          <w:rFonts w:ascii="Times New Roman" w:hAnsi="Times New Roman" w:cs="Times New Roman"/>
          <w:b/>
          <w:bCs/>
        </w:rPr>
      </w:pPr>
      <w:r w:rsidRPr="0099323A">
        <w:rPr>
          <w:rFonts w:ascii="Times New Roman" w:hAnsi="Times New Roman" w:cs="Times New Roman"/>
          <w:b/>
          <w:bCs/>
        </w:rPr>
        <w:t xml:space="preserve">Display of the </w:t>
      </w:r>
      <w:r w:rsidRPr="00D6334C" w:rsidR="0004749E">
        <w:rPr>
          <w:rFonts w:ascii="Times New Roman" w:hAnsi="Times New Roman"/>
          <w:b/>
          <w:bCs/>
        </w:rPr>
        <w:t xml:space="preserve">OMB </w:t>
      </w:r>
      <w:r w:rsidRPr="00D6334C">
        <w:rPr>
          <w:rFonts w:ascii="Times New Roman" w:hAnsi="Times New Roman"/>
          <w:b/>
          <w:bCs/>
        </w:rPr>
        <w:t xml:space="preserve">Expiration Date </w:t>
      </w:r>
      <w:r w:rsidRPr="00D6334C" w:rsidR="00441967">
        <w:rPr>
          <w:rFonts w:ascii="Times New Roman" w:hAnsi="Times New Roman"/>
          <w:b/>
          <w:bCs/>
        </w:rPr>
        <w:t xml:space="preserve">  </w:t>
      </w:r>
    </w:p>
    <w:p w:rsidR="0004749E" w:rsidRPr="00D6334C" w:rsidP="00D6334C" w14:paraId="5FD4EB64" w14:textId="77777777">
      <w:pPr>
        <w:pStyle w:val="NormalWeb"/>
        <w:spacing w:before="0" w:beforeAutospacing="0" w:after="0" w:afterAutospacing="0"/>
        <w:ind w:left="360"/>
        <w:rPr>
          <w:rFonts w:ascii="Times New Roman" w:hAnsi="Times New Roman"/>
          <w:b/>
          <w:bCs/>
        </w:rPr>
      </w:pPr>
    </w:p>
    <w:p w:rsidR="0099323A" w:rsidRPr="0099323A" w:rsidP="00D6334C" w14:paraId="1BCF6662" w14:textId="66B53C5E">
      <w:pPr>
        <w:pStyle w:val="CM13"/>
        <w:spacing w:after="0"/>
        <w:ind w:left="90" w:hanging="90"/>
      </w:pPr>
      <w:r>
        <w:t xml:space="preserve">   </w:t>
      </w:r>
      <w:r w:rsidRPr="0099323A">
        <w:t xml:space="preserve">MARAD is not seeking approval to omit displaying the expiration date for this collection. </w:t>
      </w:r>
    </w:p>
    <w:p w:rsidR="0099323A" w:rsidRPr="0099323A" w:rsidP="00D6334C" w14:paraId="39EEEF08" w14:textId="77777777">
      <w:pPr>
        <w:pStyle w:val="NormalWeb"/>
        <w:contextualSpacing/>
        <w:rPr>
          <w:rFonts w:ascii="Times New Roman" w:hAnsi="Times New Roman" w:cs="Times New Roman"/>
          <w:b/>
          <w:bCs/>
        </w:rPr>
      </w:pPr>
    </w:p>
    <w:p w:rsidR="0099323A" w:rsidRPr="00D6334C" w:rsidP="0099323A" w14:paraId="776B0D9E" w14:textId="1470A303">
      <w:pPr>
        <w:pStyle w:val="NormalWeb"/>
        <w:numPr>
          <w:ilvl w:val="0"/>
          <w:numId w:val="11"/>
        </w:numPr>
        <w:rPr>
          <w:rFonts w:ascii="Times New Roman" w:hAnsi="Times New Roman" w:cs="Times New Roman"/>
          <w:b/>
          <w:bCs/>
        </w:rPr>
      </w:pPr>
      <w:r w:rsidRPr="00D6334C">
        <w:rPr>
          <w:rFonts w:ascii="Times New Roman" w:hAnsi="Times New Roman" w:cs="Times New Roman"/>
          <w:b/>
          <w:bCs/>
        </w:rPr>
        <w:t xml:space="preserve">Exceptions to </w:t>
      </w:r>
      <w:r w:rsidRPr="00D6334C">
        <w:rPr>
          <w:rFonts w:ascii="Times New Roman" w:hAnsi="Times New Roman" w:cs="Times New Roman"/>
          <w:b/>
          <w:bCs/>
        </w:rPr>
        <w:t>the Certification Statement</w:t>
      </w:r>
      <w:r>
        <w:rPr>
          <w:rFonts w:ascii="Times New Roman" w:hAnsi="Times New Roman" w:cs="Times New Roman"/>
          <w:bCs/>
        </w:rPr>
        <w:t xml:space="preserve"> </w:t>
      </w:r>
    </w:p>
    <w:p w:rsidR="00441967" w:rsidP="0099323A" w14:paraId="1F9E5711" w14:textId="77777777">
      <w:pPr>
        <w:pStyle w:val="NormalWeb"/>
        <w:spacing w:before="0" w:beforeAutospacing="0" w:after="0" w:afterAutospacing="0"/>
        <w:rPr>
          <w:rFonts w:ascii="Times New Roman" w:hAnsi="Times New Roman" w:cs="Times New Roman"/>
          <w:bCs/>
        </w:rPr>
      </w:pPr>
    </w:p>
    <w:p w:rsidR="003A2BFB" w:rsidRPr="003A2BFB" w:rsidP="00D6334C" w14:paraId="187EDCE7" w14:textId="46191077">
      <w:pPr>
        <w:pStyle w:val="NormalWeb"/>
        <w:spacing w:before="0" w:beforeAutospacing="0" w:after="0" w:afterAutospacing="0"/>
        <w:ind w:left="178"/>
        <w:rPr>
          <w:rFonts w:ascii="Times New Roman" w:hAnsi="Times New Roman" w:cs="Times New Roman"/>
          <w:bCs/>
        </w:rPr>
      </w:pPr>
      <w:r>
        <w:rPr>
          <w:rFonts w:ascii="Times New Roman" w:hAnsi="Times New Roman" w:cs="Times New Roman"/>
          <w:bCs/>
        </w:rPr>
        <w:t>There are no exceptions to th</w:t>
      </w:r>
      <w:r w:rsidR="0099323A">
        <w:rPr>
          <w:rFonts w:ascii="Times New Roman" w:hAnsi="Times New Roman" w:cs="Times New Roman"/>
          <w:bCs/>
        </w:rPr>
        <w:t>is</w:t>
      </w:r>
      <w:r>
        <w:rPr>
          <w:rFonts w:ascii="Times New Roman" w:hAnsi="Times New Roman" w:cs="Times New Roman"/>
          <w:bCs/>
        </w:rPr>
        <w:t xml:space="preserve"> certificate statement.</w:t>
      </w:r>
    </w:p>
    <w:sectPr w:rsidSect="00D6334C">
      <w:footerReference w:type="even" r:id="rId7"/>
      <w:footerReference w:type="default" r:id="rId8"/>
      <w:footnotePr>
        <w:numRestart w:val="eachSect"/>
      </w:footnotePr>
      <w:endnotePr>
        <w:numFmt w:val="decimal"/>
      </w:endnotePr>
      <w:pgSz w:w="12240" w:h="15840" w:code="1"/>
      <w:pgMar w:top="1440" w:right="1440" w:bottom="1296" w:left="135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443" w:rsidP="00864998" w14:paraId="3B11367B" w14:textId="0A5CA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25F">
      <w:rPr>
        <w:rStyle w:val="PageNumber"/>
        <w:noProof/>
      </w:rPr>
      <w:t>3</w:t>
    </w:r>
    <w:r>
      <w:rPr>
        <w:rStyle w:val="PageNumber"/>
      </w:rPr>
      <w:fldChar w:fldCharType="end"/>
    </w:r>
  </w:p>
  <w:p w:rsidR="00E82443" w14:paraId="1E63EC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6497848"/>
      <w:docPartObj>
        <w:docPartGallery w:val="Page Numbers (Bottom of Page)"/>
        <w:docPartUnique/>
      </w:docPartObj>
    </w:sdtPr>
    <w:sdtEndPr>
      <w:rPr>
        <w:noProof/>
      </w:rPr>
    </w:sdtEndPr>
    <w:sdtContent>
      <w:p w:rsidR="0062525F" w14:paraId="30786692" w14:textId="6C286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2443" w:rsidRPr="007642F1" w:rsidP="007642F1" w14:paraId="4A847C83" w14:textId="77777777">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044C" w14:paraId="0D53B8D5" w14:textId="77777777">
      <w:r>
        <w:separator/>
      </w:r>
    </w:p>
  </w:footnote>
  <w:footnote w:type="continuationSeparator" w:id="1">
    <w:p w:rsidR="00CB044C" w14:paraId="27BDDD7B" w14:textId="77777777">
      <w:r>
        <w:continuationSeparator/>
      </w:r>
    </w:p>
  </w:footnote>
  <w:footnote w:id="2">
    <w:p w:rsidR="00116DD0" w14:paraId="16FE8C3E" w14:textId="6F0FF7DF">
      <w:pPr>
        <w:pStyle w:val="FootnoteText"/>
      </w:pPr>
      <w:r>
        <w:rPr>
          <w:rStyle w:val="FootnoteReference"/>
        </w:rPr>
        <w:footnoteRef/>
      </w:r>
      <w:r>
        <w:t xml:space="preserve"> The hourly wage estimate is taken from current BLS tables: </w:t>
      </w:r>
      <w:r w:rsidRPr="004E726D" w:rsidR="004E726D">
        <w:t>https://www.bls.gov/oes/current/oes535021.htm</w:t>
      </w:r>
      <w:r w:rsidR="008B5867">
        <w:t xml:space="preserve">. </w:t>
      </w:r>
      <w:bookmarkStart w:id="0" w:name="_Hlk161912866"/>
    </w:p>
    <w:bookmarkEnd w:id="0"/>
  </w:footnote>
  <w:footnote w:id="3">
    <w:p w:rsidR="008B5867" w:rsidRPr="008B5867" w:rsidP="008B5867" w14:paraId="7C654FE1" w14:textId="662DE6FA">
      <w:pPr>
        <w:pStyle w:val="FootnoteText"/>
      </w:pPr>
      <w:r>
        <w:rPr>
          <w:rStyle w:val="FootnoteReference"/>
        </w:rPr>
        <w:footnoteRef/>
      </w:r>
      <w:r>
        <w:t xml:space="preserve"> Per</w:t>
      </w:r>
      <w:r w:rsidRPr="008B5867">
        <w:t xml:space="preserve"> BLS Employee Compensation Memo</w:t>
      </w:r>
      <w:r>
        <w:t>, the total compensation rate for the private sector is</w:t>
      </w:r>
      <w:r w:rsidRPr="008B5867">
        <w:t xml:space="preserve"> 29%, </w:t>
      </w:r>
      <w:r>
        <w:t xml:space="preserve"> </w:t>
      </w:r>
      <w:r w:rsidRPr="008B5867">
        <w:t>:</w:t>
      </w:r>
      <w:hyperlink r:id="rId1" w:history="1">
        <w:r w:rsidRPr="007B72F9">
          <w:rPr>
            <w:rStyle w:val="Hyperlink"/>
          </w:rPr>
          <w:t>https://www.bls.gov/news.release/pdf/ecec.pdf</w:t>
        </w:r>
      </w:hyperlink>
      <w:r w:rsidRPr="008B5867">
        <w:t xml:space="preserve"> </w:t>
      </w:r>
    </w:p>
    <w:p w:rsidR="008B5867" w14:paraId="1A3397C2" w14:textId="55B6561C">
      <w:pPr>
        <w:pStyle w:val="FootnoteText"/>
      </w:pPr>
    </w:p>
  </w:footnote>
  <w:footnote w:id="4">
    <w:p w:rsidR="004E1E1A" w14:paraId="173333E2" w14:textId="0A992F7B">
      <w:pPr>
        <w:pStyle w:val="FootnoteText"/>
      </w:pPr>
      <w:r>
        <w:rPr>
          <w:rStyle w:val="FootnoteReference"/>
        </w:rPr>
        <w:footnoteRef/>
      </w:r>
      <w:r>
        <w:t xml:space="preserve"> The hourly federal government wage is taken from OPM 2024 wage tables: </w:t>
      </w:r>
      <w:bookmarkStart w:id="2" w:name="_Hlk164070462"/>
      <w:bookmarkStart w:id="3" w:name="_Hlk164070463"/>
      <w:bookmarkStart w:id="4" w:name="_Hlk164070464"/>
      <w:bookmarkStart w:id="5" w:name="_Hlk164070465"/>
      <w:hyperlink r:id="rId2" w:history="1">
        <w:r w:rsidRPr="00361C19" w:rsidR="004E726D">
          <w:rPr>
            <w:rStyle w:val="Hyperlink"/>
          </w:rPr>
          <w:t>https:</w:t>
        </w:r>
        <w:r w:rsidRPr="00361C19" w:rsidR="004E726D">
          <w:rPr>
            <w:rStyle w:val="Hyperlink"/>
          </w:rPr>
          <w:t>/</w:t>
        </w:r>
        <w:r w:rsidRPr="00361C19" w:rsidR="004E726D">
          <w:rPr>
            <w:rStyle w:val="Hyperlink"/>
          </w:rPr>
          <w:t>/www.opm.gov/policy-data-oversight/pay-leave/salaries-wages/salary-tables/24Tables/html/DCB_h.aspx</w:t>
        </w:r>
        <w:bookmarkEnd w:id="2"/>
        <w:bookmarkEnd w:id="3"/>
        <w:bookmarkEnd w:id="4"/>
        <w:bookmarkEnd w:id="5"/>
      </w:hyperlink>
      <w:r w:rsidR="004E726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45FB3"/>
    <w:multiLevelType w:val="hybridMultilevel"/>
    <w:tmpl w:val="010A5156"/>
    <w:lvl w:ilvl="0">
      <w:start w:val="1"/>
      <w:numFmt w:val="decimal"/>
      <w:lvlText w:val="%1."/>
      <w:lvlJc w:val="left"/>
      <w:pPr>
        <w:ind w:left="540" w:hanging="360"/>
      </w:pPr>
      <w:rPr>
        <w:b/>
        <w:bCs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63A20F1"/>
    <w:multiLevelType w:val="hybridMultilevel"/>
    <w:tmpl w:val="0C849C94"/>
    <w:lvl w:ilvl="0">
      <w:start w:val="1"/>
      <w:numFmt w:val="decimal"/>
      <w:lvlText w:val="%1."/>
      <w:lvlJc w:val="left"/>
      <w:pPr>
        <w:ind w:left="1080" w:hanging="360"/>
      </w:pPr>
      <w:rPr>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447D14"/>
    <w:multiLevelType w:val="hybridMultilevel"/>
    <w:tmpl w:val="E8FA55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68321D"/>
    <w:multiLevelType w:val="hybridMultilevel"/>
    <w:tmpl w:val="3106414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5">
    <w:nsid w:val="228742BD"/>
    <w:multiLevelType w:val="hybridMultilevel"/>
    <w:tmpl w:val="1A9648AC"/>
    <w:lvl w:ilvl="0">
      <w:start w:val="1"/>
      <w:numFmt w:val="decimal"/>
      <w:lvlText w:val="%1."/>
      <w:lvlJc w:val="left"/>
      <w:pPr>
        <w:ind w:left="1080" w:hanging="360"/>
      </w:pPr>
      <w:rPr>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74447B"/>
    <w:multiLevelType w:val="hybridMultilevel"/>
    <w:tmpl w:val="D4008DFC"/>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7">
    <w:nsid w:val="2EA525B4"/>
    <w:multiLevelType w:val="hybridMultilevel"/>
    <w:tmpl w:val="3F4A6F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F323D34"/>
    <w:multiLevelType w:val="hybridMultilevel"/>
    <w:tmpl w:val="8C88E36E"/>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512B48"/>
    <w:multiLevelType w:val="hybridMultilevel"/>
    <w:tmpl w:val="57A0E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A502F09"/>
    <w:multiLevelType w:val="hybridMultilevel"/>
    <w:tmpl w:val="626C5AE6"/>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356846"/>
    <w:multiLevelType w:val="hybridMultilevel"/>
    <w:tmpl w:val="4B1CE1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E3D091D"/>
    <w:multiLevelType w:val="hybridMultilevel"/>
    <w:tmpl w:val="EA24F7F0"/>
    <w:lvl w:ilvl="0">
      <w:start w:val="1"/>
      <w:numFmt w:val="upperLetter"/>
      <w:lvlText w:val="%1."/>
      <w:lvlJc w:val="left"/>
      <w:pPr>
        <w:ind w:left="360" w:hanging="360"/>
      </w:pPr>
    </w:lvl>
    <w:lvl w:ilvl="1">
      <w:start w:val="1"/>
      <w:numFmt w:val="decimal"/>
      <w:lvlText w:val="%2."/>
      <w:lvlJc w:val="left"/>
      <w:pPr>
        <w:ind w:left="1170" w:hanging="450"/>
      </w:pPr>
      <w:rPr>
        <w:rFonts w:hint="default"/>
        <w:b/>
        <w:u w:val="none"/>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56A4E52"/>
    <w:multiLevelType w:val="hybridMultilevel"/>
    <w:tmpl w:val="C0BA3428"/>
    <w:lvl w:ilvl="0">
      <w:start w:val="1"/>
      <w:numFmt w:val="decimal"/>
      <w:lvlText w:val="%1."/>
      <w:lvlJc w:val="left"/>
      <w:pPr>
        <w:ind w:left="1080" w:hanging="360"/>
      </w:pPr>
      <w:rPr>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6A04A1B"/>
    <w:multiLevelType w:val="hybridMultilevel"/>
    <w:tmpl w:val="79D0A384"/>
    <w:lvl w:ilvl="0">
      <w:start w:val="1"/>
      <w:numFmt w:val="bullet"/>
      <w:lvlText w:val=""/>
      <w:lvlJc w:val="left"/>
      <w:pPr>
        <w:ind w:left="898" w:hanging="360"/>
      </w:pPr>
      <w:rPr>
        <w:rFonts w:ascii="Symbol" w:hAnsi="Symbol" w:hint="default"/>
      </w:rPr>
    </w:lvl>
    <w:lvl w:ilvl="1" w:tentative="1">
      <w:start w:val="1"/>
      <w:numFmt w:val="bullet"/>
      <w:lvlText w:val="o"/>
      <w:lvlJc w:val="left"/>
      <w:pPr>
        <w:ind w:left="1618" w:hanging="360"/>
      </w:pPr>
      <w:rPr>
        <w:rFonts w:ascii="Courier New" w:hAnsi="Courier New" w:cs="Courier New" w:hint="default"/>
      </w:rPr>
    </w:lvl>
    <w:lvl w:ilvl="2" w:tentative="1">
      <w:start w:val="1"/>
      <w:numFmt w:val="bullet"/>
      <w:lvlText w:val=""/>
      <w:lvlJc w:val="left"/>
      <w:pPr>
        <w:ind w:left="2338" w:hanging="360"/>
      </w:pPr>
      <w:rPr>
        <w:rFonts w:ascii="Wingdings" w:hAnsi="Wingdings" w:hint="default"/>
      </w:rPr>
    </w:lvl>
    <w:lvl w:ilvl="3" w:tentative="1">
      <w:start w:val="1"/>
      <w:numFmt w:val="bullet"/>
      <w:lvlText w:val=""/>
      <w:lvlJc w:val="left"/>
      <w:pPr>
        <w:ind w:left="3058" w:hanging="360"/>
      </w:pPr>
      <w:rPr>
        <w:rFonts w:ascii="Symbol" w:hAnsi="Symbol" w:hint="default"/>
      </w:rPr>
    </w:lvl>
    <w:lvl w:ilvl="4" w:tentative="1">
      <w:start w:val="1"/>
      <w:numFmt w:val="bullet"/>
      <w:lvlText w:val="o"/>
      <w:lvlJc w:val="left"/>
      <w:pPr>
        <w:ind w:left="3778" w:hanging="360"/>
      </w:pPr>
      <w:rPr>
        <w:rFonts w:ascii="Courier New" w:hAnsi="Courier New" w:cs="Courier New" w:hint="default"/>
      </w:rPr>
    </w:lvl>
    <w:lvl w:ilvl="5" w:tentative="1">
      <w:start w:val="1"/>
      <w:numFmt w:val="bullet"/>
      <w:lvlText w:val=""/>
      <w:lvlJc w:val="left"/>
      <w:pPr>
        <w:ind w:left="4498" w:hanging="360"/>
      </w:pPr>
      <w:rPr>
        <w:rFonts w:ascii="Wingdings" w:hAnsi="Wingdings" w:hint="default"/>
      </w:rPr>
    </w:lvl>
    <w:lvl w:ilvl="6" w:tentative="1">
      <w:start w:val="1"/>
      <w:numFmt w:val="bullet"/>
      <w:lvlText w:val=""/>
      <w:lvlJc w:val="left"/>
      <w:pPr>
        <w:ind w:left="5218" w:hanging="360"/>
      </w:pPr>
      <w:rPr>
        <w:rFonts w:ascii="Symbol" w:hAnsi="Symbol" w:hint="default"/>
      </w:rPr>
    </w:lvl>
    <w:lvl w:ilvl="7" w:tentative="1">
      <w:start w:val="1"/>
      <w:numFmt w:val="bullet"/>
      <w:lvlText w:val="o"/>
      <w:lvlJc w:val="left"/>
      <w:pPr>
        <w:ind w:left="5938" w:hanging="360"/>
      </w:pPr>
      <w:rPr>
        <w:rFonts w:ascii="Courier New" w:hAnsi="Courier New" w:cs="Courier New" w:hint="default"/>
      </w:rPr>
    </w:lvl>
    <w:lvl w:ilvl="8" w:tentative="1">
      <w:start w:val="1"/>
      <w:numFmt w:val="bullet"/>
      <w:lvlText w:val=""/>
      <w:lvlJc w:val="left"/>
      <w:pPr>
        <w:ind w:left="6658" w:hanging="360"/>
      </w:pPr>
      <w:rPr>
        <w:rFonts w:ascii="Wingdings" w:hAnsi="Wingdings" w:hint="default"/>
      </w:rPr>
    </w:lvl>
  </w:abstractNum>
  <w:abstractNum w:abstractNumId="15">
    <w:nsid w:val="66E815D7"/>
    <w:multiLevelType w:val="hybridMultilevel"/>
    <w:tmpl w:val="14205D3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69801C77"/>
    <w:multiLevelType w:val="hybridMultilevel"/>
    <w:tmpl w:val="6C9E4C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D122D2D"/>
    <w:multiLevelType w:val="hybridMultilevel"/>
    <w:tmpl w:val="8390BC5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D2656"/>
    <w:multiLevelType w:val="hybridMultilevel"/>
    <w:tmpl w:val="F20AE89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7A2B1062"/>
    <w:multiLevelType w:val="hybridMultilevel"/>
    <w:tmpl w:val="7A4295EE"/>
    <w:lvl w:ilvl="0">
      <w:start w:val="1"/>
      <w:numFmt w:val="decimal"/>
      <w:lvlText w:val="%1."/>
      <w:lvlJc w:val="left"/>
      <w:pPr>
        <w:ind w:left="810" w:hanging="360"/>
      </w:pPr>
      <w:rPr>
        <w:b/>
        <w:b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1584683974">
    <w:abstractNumId w:val="15"/>
  </w:num>
  <w:num w:numId="2" w16cid:durableId="1231619950">
    <w:abstractNumId w:val="6"/>
  </w:num>
  <w:num w:numId="3" w16cid:durableId="1600989833">
    <w:abstractNumId w:val="16"/>
  </w:num>
  <w:num w:numId="4" w16cid:durableId="223368634">
    <w:abstractNumId w:val="7"/>
  </w:num>
  <w:num w:numId="5" w16cid:durableId="1340112004">
    <w:abstractNumId w:val="11"/>
  </w:num>
  <w:num w:numId="6" w16cid:durableId="1344939087">
    <w:abstractNumId w:val="9"/>
  </w:num>
  <w:num w:numId="7" w16cid:durableId="1425958050">
    <w:abstractNumId w:val="3"/>
  </w:num>
  <w:num w:numId="8" w16cid:durableId="1916162343">
    <w:abstractNumId w:val="4"/>
  </w:num>
  <w:num w:numId="9" w16cid:durableId="1766070262">
    <w:abstractNumId w:val="12"/>
  </w:num>
  <w:num w:numId="10" w16cid:durableId="1176924687">
    <w:abstractNumId w:val="8"/>
  </w:num>
  <w:num w:numId="11" w16cid:durableId="322856566">
    <w:abstractNumId w:val="0"/>
  </w:num>
  <w:num w:numId="12" w16cid:durableId="1599605876">
    <w:abstractNumId w:val="19"/>
  </w:num>
  <w:num w:numId="13" w16cid:durableId="976377815">
    <w:abstractNumId w:val="5"/>
  </w:num>
  <w:num w:numId="14" w16cid:durableId="979068419">
    <w:abstractNumId w:val="10"/>
  </w:num>
  <w:num w:numId="15" w16cid:durableId="517043067">
    <w:abstractNumId w:val="2"/>
  </w:num>
  <w:num w:numId="16" w16cid:durableId="1078283982">
    <w:abstractNumId w:val="17"/>
  </w:num>
  <w:num w:numId="17" w16cid:durableId="640307832">
    <w:abstractNumId w:val="1"/>
  </w:num>
  <w:num w:numId="18" w16cid:durableId="2109082766">
    <w:abstractNumId w:val="13"/>
  </w:num>
  <w:num w:numId="19" w16cid:durableId="751857670">
    <w:abstractNumId w:val="14"/>
  </w:num>
  <w:num w:numId="20" w16cid:durableId="7562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4CC5"/>
    <w:rsid w:val="00017A72"/>
    <w:rsid w:val="000407A7"/>
    <w:rsid w:val="0004749E"/>
    <w:rsid w:val="00057DA5"/>
    <w:rsid w:val="00062225"/>
    <w:rsid w:val="00065121"/>
    <w:rsid w:val="000A538D"/>
    <w:rsid w:val="000C409F"/>
    <w:rsid w:val="000F022C"/>
    <w:rsid w:val="000F40ED"/>
    <w:rsid w:val="000F4409"/>
    <w:rsid w:val="000F5372"/>
    <w:rsid w:val="001165B9"/>
    <w:rsid w:val="00116DD0"/>
    <w:rsid w:val="001206A7"/>
    <w:rsid w:val="0012567D"/>
    <w:rsid w:val="00136010"/>
    <w:rsid w:val="00156E04"/>
    <w:rsid w:val="00184F93"/>
    <w:rsid w:val="0019188D"/>
    <w:rsid w:val="001B0B0D"/>
    <w:rsid w:val="001C61D4"/>
    <w:rsid w:val="001E0237"/>
    <w:rsid w:val="001E0FE8"/>
    <w:rsid w:val="001E44F1"/>
    <w:rsid w:val="002068FA"/>
    <w:rsid w:val="0022107B"/>
    <w:rsid w:val="00230417"/>
    <w:rsid w:val="00242BB8"/>
    <w:rsid w:val="00244F79"/>
    <w:rsid w:val="00246B40"/>
    <w:rsid w:val="00261870"/>
    <w:rsid w:val="00281428"/>
    <w:rsid w:val="00281F48"/>
    <w:rsid w:val="00296BFD"/>
    <w:rsid w:val="002A1C2D"/>
    <w:rsid w:val="002D5FA4"/>
    <w:rsid w:val="002E2254"/>
    <w:rsid w:val="002E3BCA"/>
    <w:rsid w:val="002F29B5"/>
    <w:rsid w:val="003025E6"/>
    <w:rsid w:val="0030316E"/>
    <w:rsid w:val="003051FA"/>
    <w:rsid w:val="00307ED8"/>
    <w:rsid w:val="003124A4"/>
    <w:rsid w:val="00315F47"/>
    <w:rsid w:val="00322B34"/>
    <w:rsid w:val="00331A17"/>
    <w:rsid w:val="00341F75"/>
    <w:rsid w:val="00352F82"/>
    <w:rsid w:val="00361C19"/>
    <w:rsid w:val="00386E96"/>
    <w:rsid w:val="003A2BFB"/>
    <w:rsid w:val="003A3DD5"/>
    <w:rsid w:val="003A7D9B"/>
    <w:rsid w:val="003B09F6"/>
    <w:rsid w:val="003B2E10"/>
    <w:rsid w:val="003C14CD"/>
    <w:rsid w:val="003C345B"/>
    <w:rsid w:val="003C7742"/>
    <w:rsid w:val="003E10BD"/>
    <w:rsid w:val="003E639E"/>
    <w:rsid w:val="00400EF5"/>
    <w:rsid w:val="004035DD"/>
    <w:rsid w:val="004072AD"/>
    <w:rsid w:val="004245B9"/>
    <w:rsid w:val="00426DA7"/>
    <w:rsid w:val="00441967"/>
    <w:rsid w:val="00443BC3"/>
    <w:rsid w:val="00467091"/>
    <w:rsid w:val="00470720"/>
    <w:rsid w:val="00470E81"/>
    <w:rsid w:val="00480461"/>
    <w:rsid w:val="00487072"/>
    <w:rsid w:val="00491227"/>
    <w:rsid w:val="004963FC"/>
    <w:rsid w:val="004A0434"/>
    <w:rsid w:val="004A29E6"/>
    <w:rsid w:val="004B5867"/>
    <w:rsid w:val="004C01C5"/>
    <w:rsid w:val="004C4D39"/>
    <w:rsid w:val="004D027A"/>
    <w:rsid w:val="004E1E1A"/>
    <w:rsid w:val="004E256A"/>
    <w:rsid w:val="004E450B"/>
    <w:rsid w:val="004E598C"/>
    <w:rsid w:val="004E726D"/>
    <w:rsid w:val="00513DA9"/>
    <w:rsid w:val="00524D44"/>
    <w:rsid w:val="0052664B"/>
    <w:rsid w:val="00565659"/>
    <w:rsid w:val="0056576E"/>
    <w:rsid w:val="00576985"/>
    <w:rsid w:val="005779AF"/>
    <w:rsid w:val="00590B3A"/>
    <w:rsid w:val="00595CE3"/>
    <w:rsid w:val="005B5B7D"/>
    <w:rsid w:val="005C3AB2"/>
    <w:rsid w:val="005D3E24"/>
    <w:rsid w:val="005D7D36"/>
    <w:rsid w:val="005E6DD9"/>
    <w:rsid w:val="005E7671"/>
    <w:rsid w:val="005F7A94"/>
    <w:rsid w:val="006019E0"/>
    <w:rsid w:val="006061F5"/>
    <w:rsid w:val="0062525F"/>
    <w:rsid w:val="006317E4"/>
    <w:rsid w:val="00637A7B"/>
    <w:rsid w:val="00644123"/>
    <w:rsid w:val="006454A0"/>
    <w:rsid w:val="0064781E"/>
    <w:rsid w:val="006877E8"/>
    <w:rsid w:val="00690204"/>
    <w:rsid w:val="0069249A"/>
    <w:rsid w:val="006A22E8"/>
    <w:rsid w:val="006A3996"/>
    <w:rsid w:val="006B6787"/>
    <w:rsid w:val="006E0380"/>
    <w:rsid w:val="006F3295"/>
    <w:rsid w:val="006F46ED"/>
    <w:rsid w:val="006F561B"/>
    <w:rsid w:val="007057BC"/>
    <w:rsid w:val="00725F28"/>
    <w:rsid w:val="00737729"/>
    <w:rsid w:val="007409DD"/>
    <w:rsid w:val="007426CF"/>
    <w:rsid w:val="007642F1"/>
    <w:rsid w:val="007649BC"/>
    <w:rsid w:val="007677E4"/>
    <w:rsid w:val="00771321"/>
    <w:rsid w:val="007867E3"/>
    <w:rsid w:val="00786D54"/>
    <w:rsid w:val="0078791B"/>
    <w:rsid w:val="0079108C"/>
    <w:rsid w:val="007B4185"/>
    <w:rsid w:val="007B72F9"/>
    <w:rsid w:val="007C5E5C"/>
    <w:rsid w:val="007E3501"/>
    <w:rsid w:val="007E6F87"/>
    <w:rsid w:val="008001A7"/>
    <w:rsid w:val="00801BDE"/>
    <w:rsid w:val="008050D3"/>
    <w:rsid w:val="008124DF"/>
    <w:rsid w:val="008218AA"/>
    <w:rsid w:val="00830F5D"/>
    <w:rsid w:val="00840CE0"/>
    <w:rsid w:val="00842613"/>
    <w:rsid w:val="00844B78"/>
    <w:rsid w:val="008548EF"/>
    <w:rsid w:val="00855FE2"/>
    <w:rsid w:val="008574D0"/>
    <w:rsid w:val="00857C52"/>
    <w:rsid w:val="00861D00"/>
    <w:rsid w:val="00864998"/>
    <w:rsid w:val="008765FD"/>
    <w:rsid w:val="008919C7"/>
    <w:rsid w:val="00895F6C"/>
    <w:rsid w:val="00896741"/>
    <w:rsid w:val="008978F0"/>
    <w:rsid w:val="008A0C99"/>
    <w:rsid w:val="008A0D4C"/>
    <w:rsid w:val="008A1821"/>
    <w:rsid w:val="008B4B83"/>
    <w:rsid w:val="008B5867"/>
    <w:rsid w:val="008C2981"/>
    <w:rsid w:val="008E5BFE"/>
    <w:rsid w:val="008F5CF0"/>
    <w:rsid w:val="008F6273"/>
    <w:rsid w:val="008F66DB"/>
    <w:rsid w:val="00911E5A"/>
    <w:rsid w:val="009134B9"/>
    <w:rsid w:val="00924920"/>
    <w:rsid w:val="009310C6"/>
    <w:rsid w:val="00940C9D"/>
    <w:rsid w:val="009419FD"/>
    <w:rsid w:val="0094238F"/>
    <w:rsid w:val="00953F89"/>
    <w:rsid w:val="0096390A"/>
    <w:rsid w:val="009678E8"/>
    <w:rsid w:val="00982120"/>
    <w:rsid w:val="0098494A"/>
    <w:rsid w:val="00992009"/>
    <w:rsid w:val="0099323A"/>
    <w:rsid w:val="009B6590"/>
    <w:rsid w:val="009C145B"/>
    <w:rsid w:val="009D03D3"/>
    <w:rsid w:val="009D3082"/>
    <w:rsid w:val="009E3819"/>
    <w:rsid w:val="009F68DC"/>
    <w:rsid w:val="00A00D15"/>
    <w:rsid w:val="00A017A3"/>
    <w:rsid w:val="00A42FAB"/>
    <w:rsid w:val="00A44D7D"/>
    <w:rsid w:val="00A46413"/>
    <w:rsid w:val="00A56FEE"/>
    <w:rsid w:val="00A660BD"/>
    <w:rsid w:val="00A66C1A"/>
    <w:rsid w:val="00A731FB"/>
    <w:rsid w:val="00A84199"/>
    <w:rsid w:val="00A921BA"/>
    <w:rsid w:val="00AB3A5D"/>
    <w:rsid w:val="00AC09FA"/>
    <w:rsid w:val="00AC335E"/>
    <w:rsid w:val="00AC4A7D"/>
    <w:rsid w:val="00AD6FD8"/>
    <w:rsid w:val="00AE0F09"/>
    <w:rsid w:val="00B13A0D"/>
    <w:rsid w:val="00B13BFB"/>
    <w:rsid w:val="00B310EA"/>
    <w:rsid w:val="00B43CAE"/>
    <w:rsid w:val="00B4757E"/>
    <w:rsid w:val="00B508A8"/>
    <w:rsid w:val="00B60FEF"/>
    <w:rsid w:val="00B66FD1"/>
    <w:rsid w:val="00B76927"/>
    <w:rsid w:val="00B80FE1"/>
    <w:rsid w:val="00BA2F37"/>
    <w:rsid w:val="00BA5B66"/>
    <w:rsid w:val="00BC310A"/>
    <w:rsid w:val="00BE6A0A"/>
    <w:rsid w:val="00C21F3F"/>
    <w:rsid w:val="00C37AEF"/>
    <w:rsid w:val="00C510AA"/>
    <w:rsid w:val="00C53B30"/>
    <w:rsid w:val="00C65B36"/>
    <w:rsid w:val="00C71B01"/>
    <w:rsid w:val="00C83B37"/>
    <w:rsid w:val="00C871F1"/>
    <w:rsid w:val="00C87C38"/>
    <w:rsid w:val="00C9231E"/>
    <w:rsid w:val="00C949FA"/>
    <w:rsid w:val="00CA629B"/>
    <w:rsid w:val="00CB044C"/>
    <w:rsid w:val="00CC2555"/>
    <w:rsid w:val="00CD6F9D"/>
    <w:rsid w:val="00CE7C3B"/>
    <w:rsid w:val="00CF6761"/>
    <w:rsid w:val="00CF7990"/>
    <w:rsid w:val="00D0416D"/>
    <w:rsid w:val="00D1247D"/>
    <w:rsid w:val="00D17702"/>
    <w:rsid w:val="00D2359E"/>
    <w:rsid w:val="00D3252A"/>
    <w:rsid w:val="00D430A0"/>
    <w:rsid w:val="00D53DEE"/>
    <w:rsid w:val="00D55498"/>
    <w:rsid w:val="00D56AA9"/>
    <w:rsid w:val="00D56F15"/>
    <w:rsid w:val="00D6314D"/>
    <w:rsid w:val="00D6334C"/>
    <w:rsid w:val="00D646B0"/>
    <w:rsid w:val="00DB01E8"/>
    <w:rsid w:val="00DC5DFA"/>
    <w:rsid w:val="00DD114A"/>
    <w:rsid w:val="00DD1E06"/>
    <w:rsid w:val="00DE3C9D"/>
    <w:rsid w:val="00DF172A"/>
    <w:rsid w:val="00DF54FE"/>
    <w:rsid w:val="00DF589A"/>
    <w:rsid w:val="00E050E3"/>
    <w:rsid w:val="00E0708A"/>
    <w:rsid w:val="00E11F6D"/>
    <w:rsid w:val="00E2231B"/>
    <w:rsid w:val="00E47B9D"/>
    <w:rsid w:val="00E5618D"/>
    <w:rsid w:val="00E72D1D"/>
    <w:rsid w:val="00E82443"/>
    <w:rsid w:val="00E9680D"/>
    <w:rsid w:val="00E979AE"/>
    <w:rsid w:val="00EA59A6"/>
    <w:rsid w:val="00EB7F01"/>
    <w:rsid w:val="00EC13A5"/>
    <w:rsid w:val="00EC2266"/>
    <w:rsid w:val="00EC30B6"/>
    <w:rsid w:val="00EE62E0"/>
    <w:rsid w:val="00EF5048"/>
    <w:rsid w:val="00F104A6"/>
    <w:rsid w:val="00F148F5"/>
    <w:rsid w:val="00F23D75"/>
    <w:rsid w:val="00F26B01"/>
    <w:rsid w:val="00F279F6"/>
    <w:rsid w:val="00F370D8"/>
    <w:rsid w:val="00F557EC"/>
    <w:rsid w:val="00F56500"/>
    <w:rsid w:val="00F56CCB"/>
    <w:rsid w:val="00F655CE"/>
    <w:rsid w:val="00F6639B"/>
    <w:rsid w:val="00F67CE6"/>
    <w:rsid w:val="00F73995"/>
    <w:rsid w:val="00F835BD"/>
    <w:rsid w:val="00F85195"/>
    <w:rsid w:val="00F856E2"/>
    <w:rsid w:val="00F872A0"/>
    <w:rsid w:val="00F90CC9"/>
    <w:rsid w:val="00F966BD"/>
    <w:rsid w:val="00FA1B04"/>
    <w:rsid w:val="00FA7D61"/>
    <w:rsid w:val="00FC2047"/>
    <w:rsid w:val="00FC2331"/>
    <w:rsid w:val="00FC49A9"/>
    <w:rsid w:val="00FD5989"/>
    <w:rsid w:val="00FE64A3"/>
    <w:rsid w:val="00FF2BB4"/>
    <w:rsid w:val="00FF4FB8"/>
    <w:rsid w:val="00FF6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CC519D"/>
  <w15:chartTrackingRefBased/>
  <w15:docId w15:val="{C55C4333-5536-4362-88F1-0498F4AD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DocumentMap">
    <w:name w:val="Document Map"/>
    <w:basedOn w:val="Normal"/>
    <w:semiHidden/>
    <w:rsid w:val="008548EF"/>
    <w:pPr>
      <w:shd w:val="clear" w:color="auto" w:fill="000080"/>
    </w:pPr>
    <w:rPr>
      <w:rFonts w:ascii="Tahoma" w:hAnsi="Tahoma" w:cs="Tahoma"/>
    </w:rPr>
  </w:style>
  <w:style w:type="paragraph" w:styleId="BalloonText">
    <w:name w:val="Balloon Text"/>
    <w:basedOn w:val="Normal"/>
    <w:semiHidden/>
    <w:rsid w:val="00D1247D"/>
    <w:rPr>
      <w:rFonts w:ascii="Tahoma" w:hAnsi="Tahoma" w:cs="Tahoma"/>
      <w:sz w:val="16"/>
      <w:szCs w:val="16"/>
    </w:rPr>
  </w:style>
  <w:style w:type="paragraph" w:styleId="PlainText">
    <w:name w:val="Plain Text"/>
    <w:basedOn w:val="Normal"/>
    <w:rsid w:val="00637A7B"/>
    <w:pPr>
      <w:widowControl/>
      <w:autoSpaceDE/>
      <w:autoSpaceDN/>
      <w:adjustRightInd/>
    </w:pPr>
    <w:rPr>
      <w:rFonts w:ascii="Courier New" w:hAnsi="Courier New"/>
    </w:rPr>
  </w:style>
  <w:style w:type="paragraph" w:styleId="Header">
    <w:name w:val="header"/>
    <w:basedOn w:val="Normal"/>
    <w:rsid w:val="007642F1"/>
    <w:pPr>
      <w:tabs>
        <w:tab w:val="center" w:pos="4320"/>
        <w:tab w:val="right" w:pos="8640"/>
      </w:tabs>
    </w:pPr>
  </w:style>
  <w:style w:type="paragraph" w:customStyle="1" w:styleId="CM13">
    <w:name w:val="CM13"/>
    <w:basedOn w:val="Normal"/>
    <w:next w:val="Normal"/>
    <w:uiPriority w:val="99"/>
    <w:rsid w:val="003A2BFB"/>
    <w:pPr>
      <w:spacing w:after="278"/>
    </w:pPr>
    <w:rPr>
      <w:rFonts w:ascii="Times New Roman" w:hAnsi="Times New Roman"/>
      <w:sz w:val="24"/>
      <w:szCs w:val="24"/>
    </w:rPr>
  </w:style>
  <w:style w:type="paragraph" w:styleId="ListParagraph">
    <w:name w:val="List Paragraph"/>
    <w:basedOn w:val="Normal"/>
    <w:uiPriority w:val="34"/>
    <w:qFormat/>
    <w:rsid w:val="00513DA9"/>
    <w:pPr>
      <w:autoSpaceDE/>
      <w:autoSpaceDN/>
      <w:adjustRightInd/>
      <w:ind w:left="720"/>
      <w:contextualSpacing/>
    </w:pPr>
    <w:rPr>
      <w:rFonts w:ascii="Times New Roman" w:hAnsi="Times New Roman"/>
      <w:snapToGrid w:val="0"/>
      <w:sz w:val="24"/>
    </w:rPr>
  </w:style>
  <w:style w:type="paragraph" w:customStyle="1" w:styleId="Default">
    <w:name w:val="Default"/>
    <w:rsid w:val="002F29B5"/>
    <w:pPr>
      <w:autoSpaceDE w:val="0"/>
      <w:autoSpaceDN w:val="0"/>
      <w:adjustRightInd w:val="0"/>
    </w:pPr>
    <w:rPr>
      <w:color w:val="000000"/>
      <w:sz w:val="24"/>
      <w:szCs w:val="24"/>
    </w:rPr>
  </w:style>
  <w:style w:type="character" w:styleId="CommentReference">
    <w:name w:val="annotation reference"/>
    <w:rsid w:val="005779AF"/>
    <w:rPr>
      <w:sz w:val="16"/>
      <w:szCs w:val="16"/>
    </w:rPr>
  </w:style>
  <w:style w:type="paragraph" w:styleId="CommentText">
    <w:name w:val="annotation text"/>
    <w:basedOn w:val="Normal"/>
    <w:link w:val="CommentTextChar"/>
    <w:rsid w:val="005779AF"/>
  </w:style>
  <w:style w:type="character" w:customStyle="1" w:styleId="CommentTextChar">
    <w:name w:val="Comment Text Char"/>
    <w:link w:val="CommentText"/>
    <w:rsid w:val="005779AF"/>
    <w:rPr>
      <w:rFonts w:ascii="Letter Gothic 12cpi" w:hAnsi="Letter Gothic 12cpi"/>
    </w:rPr>
  </w:style>
  <w:style w:type="paragraph" w:styleId="CommentSubject">
    <w:name w:val="annotation subject"/>
    <w:basedOn w:val="CommentText"/>
    <w:next w:val="CommentText"/>
    <w:link w:val="CommentSubjectChar"/>
    <w:rsid w:val="005779AF"/>
    <w:rPr>
      <w:b/>
      <w:bCs/>
    </w:rPr>
  </w:style>
  <w:style w:type="character" w:customStyle="1" w:styleId="CommentSubjectChar">
    <w:name w:val="Comment Subject Char"/>
    <w:link w:val="CommentSubject"/>
    <w:rsid w:val="005779AF"/>
    <w:rPr>
      <w:rFonts w:ascii="Letter Gothic 12cpi" w:hAnsi="Letter Gothic 12cpi"/>
      <w:b/>
      <w:bCs/>
    </w:rPr>
  </w:style>
  <w:style w:type="paragraph" w:styleId="Revision">
    <w:name w:val="Revision"/>
    <w:hidden/>
    <w:uiPriority w:val="99"/>
    <w:semiHidden/>
    <w:rsid w:val="00953F89"/>
    <w:rPr>
      <w:rFonts w:ascii="Letter Gothic 12cpi" w:hAnsi="Letter Gothic 12cpi"/>
    </w:rPr>
  </w:style>
  <w:style w:type="character" w:customStyle="1" w:styleId="FooterChar">
    <w:name w:val="Footer Char"/>
    <w:basedOn w:val="DefaultParagraphFont"/>
    <w:link w:val="Footer"/>
    <w:uiPriority w:val="99"/>
    <w:rsid w:val="0062525F"/>
    <w:rPr>
      <w:rFonts w:ascii="Letter Gothic 12cpi" w:hAnsi="Letter Gothic 12cpi"/>
    </w:rPr>
  </w:style>
  <w:style w:type="character" w:styleId="UnresolvedMention">
    <w:name w:val="Unresolved Mention"/>
    <w:basedOn w:val="DefaultParagraphFont"/>
    <w:uiPriority w:val="99"/>
    <w:semiHidden/>
    <w:unhideWhenUsed/>
    <w:rsid w:val="000407A7"/>
    <w:rPr>
      <w:color w:val="605E5C"/>
      <w:shd w:val="clear" w:color="auto" w:fill="E1DFDD"/>
    </w:rPr>
  </w:style>
  <w:style w:type="paragraph" w:styleId="FootnoteText">
    <w:name w:val="footnote text"/>
    <w:basedOn w:val="Normal"/>
    <w:link w:val="FootnoteTextChar"/>
    <w:rsid w:val="00116DD0"/>
  </w:style>
  <w:style w:type="character" w:customStyle="1" w:styleId="FootnoteTextChar">
    <w:name w:val="Footnote Text Char"/>
    <w:basedOn w:val="DefaultParagraphFont"/>
    <w:link w:val="FootnoteText"/>
    <w:rsid w:val="00116DD0"/>
    <w:rPr>
      <w:rFonts w:ascii="Letter Gothic 12cpi" w:hAnsi="Letter Gothic 12cpi"/>
    </w:rPr>
  </w:style>
  <w:style w:type="character" w:styleId="FootnoteReference">
    <w:name w:val="footnote reference"/>
    <w:basedOn w:val="DefaultParagraphFont"/>
    <w:rsid w:val="00116DD0"/>
    <w:rPr>
      <w:vertAlign w:val="superscript"/>
    </w:rPr>
  </w:style>
  <w:style w:type="character" w:styleId="FollowedHyperlink">
    <w:name w:val="FollowedHyperlink"/>
    <w:basedOn w:val="DefaultParagraphFont"/>
    <w:rsid w:val="00EB7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aritime.dot.gov/data-report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73B8-A87C-43FA-80F3-44022BD5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Bolton, Tamelia (MARAD)</cp:lastModifiedBy>
  <cp:revision>3</cp:revision>
  <cp:lastPrinted>2018-02-14T17:45:00Z</cp:lastPrinted>
  <dcterms:created xsi:type="dcterms:W3CDTF">2024-07-18T17:01:00Z</dcterms:created>
  <dcterms:modified xsi:type="dcterms:W3CDTF">2024-07-18T17:05:00Z</dcterms:modified>
</cp:coreProperties>
</file>