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7FFC" w:rsidP="005346D8" w14:paraId="02C918B0" w14:textId="77777777">
      <w:pPr>
        <w:spacing w:after="0" w:line="280" w:lineRule="exact"/>
        <w:ind w:right="20"/>
        <w:jc w:val="center"/>
        <w:rPr>
          <w:rFonts w:ascii="Times New Roman" w:eastAsia="Times New Roman" w:hAnsi="Times New Roman" w:cs="Times New Roman"/>
          <w:b/>
          <w:bCs/>
          <w:w w:val="106"/>
          <w:sz w:val="24"/>
          <w:szCs w:val="24"/>
        </w:rPr>
      </w:pPr>
      <w:r>
        <w:rPr>
          <w:rFonts w:ascii="Times New Roman" w:eastAsia="Times New Roman" w:hAnsi="Times New Roman" w:cs="Times New Roman"/>
          <w:b/>
          <w:bCs/>
          <w:w w:val="106"/>
          <w:sz w:val="24"/>
          <w:szCs w:val="24"/>
        </w:rPr>
        <w:t>Department of Transportation</w:t>
      </w:r>
    </w:p>
    <w:p w:rsidR="008A7FFC" w:rsidP="005346D8" w14:paraId="77C4BF46" w14:textId="17BAEACE">
      <w:pPr>
        <w:spacing w:after="0" w:line="280" w:lineRule="exact"/>
        <w:ind w:right="20"/>
        <w:jc w:val="center"/>
        <w:rPr>
          <w:rFonts w:ascii="Times New Roman" w:eastAsia="Times New Roman" w:hAnsi="Times New Roman" w:cs="Times New Roman"/>
          <w:b/>
          <w:bCs/>
          <w:w w:val="106"/>
          <w:sz w:val="24"/>
          <w:szCs w:val="24"/>
        </w:rPr>
      </w:pPr>
      <w:r>
        <w:rPr>
          <w:rFonts w:ascii="Times New Roman" w:eastAsia="Times New Roman" w:hAnsi="Times New Roman" w:cs="Times New Roman"/>
          <w:b/>
          <w:bCs/>
          <w:w w:val="106"/>
          <w:sz w:val="24"/>
          <w:szCs w:val="24"/>
        </w:rPr>
        <w:t xml:space="preserve">Maritime Administration </w:t>
      </w:r>
    </w:p>
    <w:p w:rsidR="005F6CA0" w:rsidP="005346D8" w14:paraId="78CE9E6D" w14:textId="0C021F87">
      <w:pPr>
        <w:spacing w:after="0" w:line="280" w:lineRule="exact"/>
        <w:ind w:right="20"/>
        <w:jc w:val="center"/>
        <w:rPr>
          <w:rFonts w:ascii="Times New Roman" w:eastAsia="Times New Roman" w:hAnsi="Times New Roman" w:cs="Times New Roman"/>
          <w:b/>
          <w:bCs/>
          <w:w w:val="106"/>
          <w:sz w:val="24"/>
          <w:szCs w:val="24"/>
        </w:rPr>
      </w:pPr>
      <w:r>
        <w:rPr>
          <w:rFonts w:ascii="Times New Roman" w:eastAsia="Times New Roman" w:hAnsi="Times New Roman" w:cs="Times New Roman"/>
          <w:b/>
          <w:bCs/>
          <w:w w:val="106"/>
          <w:sz w:val="24"/>
          <w:szCs w:val="24"/>
        </w:rPr>
        <w:t>Information Collection Request (ICR)</w:t>
      </w:r>
    </w:p>
    <w:p w:rsidR="005F6CA0" w:rsidP="005346D8" w14:paraId="48802D53" w14:textId="72F0C430">
      <w:pPr>
        <w:spacing w:after="0" w:line="280" w:lineRule="exact"/>
        <w:ind w:right="20"/>
        <w:jc w:val="center"/>
        <w:rPr>
          <w:rFonts w:ascii="Times New Roman" w:eastAsia="Times New Roman" w:hAnsi="Times New Roman" w:cs="Times New Roman"/>
          <w:b/>
          <w:bCs/>
          <w:w w:val="106"/>
          <w:sz w:val="24"/>
          <w:szCs w:val="24"/>
        </w:rPr>
      </w:pPr>
      <w:r>
        <w:rPr>
          <w:rFonts w:ascii="Times New Roman" w:eastAsia="Times New Roman" w:hAnsi="Times New Roman" w:cs="Times New Roman"/>
          <w:b/>
          <w:bCs/>
          <w:w w:val="106"/>
          <w:sz w:val="24"/>
          <w:szCs w:val="24"/>
        </w:rPr>
        <w:t>OMB 2133-0018</w:t>
      </w:r>
    </w:p>
    <w:p w:rsidR="008A7FFC" w:rsidP="005346D8" w14:paraId="370C99E4" w14:textId="77777777">
      <w:pPr>
        <w:spacing w:after="0" w:line="280" w:lineRule="exact"/>
        <w:ind w:right="20"/>
        <w:jc w:val="center"/>
        <w:rPr>
          <w:rFonts w:ascii="Times New Roman" w:eastAsia="Times New Roman" w:hAnsi="Times New Roman" w:cs="Times New Roman"/>
          <w:b/>
          <w:bCs/>
          <w:w w:val="106"/>
          <w:sz w:val="24"/>
          <w:szCs w:val="24"/>
        </w:rPr>
      </w:pPr>
      <w:r>
        <w:rPr>
          <w:rFonts w:ascii="Times New Roman" w:eastAsia="Times New Roman" w:hAnsi="Times New Roman" w:cs="Times New Roman"/>
          <w:b/>
          <w:bCs/>
          <w:w w:val="106"/>
          <w:sz w:val="24"/>
          <w:szCs w:val="24"/>
        </w:rPr>
        <w:t>Title XI Obligation Guarantees – 46 CFR Part 298</w:t>
      </w:r>
    </w:p>
    <w:p w:rsidR="008A7FFC" w:rsidP="005346D8" w14:paraId="79789BFD" w14:textId="2C80033E">
      <w:pPr>
        <w:spacing w:after="0" w:line="280" w:lineRule="exact"/>
        <w:ind w:right="20"/>
        <w:jc w:val="center"/>
        <w:rPr>
          <w:rFonts w:ascii="Times New Roman" w:eastAsia="Times New Roman" w:hAnsi="Times New Roman" w:cs="Times New Roman"/>
          <w:b/>
          <w:bCs/>
          <w:w w:val="106"/>
          <w:sz w:val="24"/>
          <w:szCs w:val="24"/>
        </w:rPr>
      </w:pPr>
    </w:p>
    <w:p w:rsidR="005F6CA0" w:rsidP="005F6CA0" w14:paraId="57262904" w14:textId="77777777">
      <w:pPr>
        <w:spacing w:after="0" w:line="280" w:lineRule="exact"/>
        <w:ind w:right="20"/>
        <w:jc w:val="center"/>
        <w:rPr>
          <w:rFonts w:ascii="Times New Roman" w:eastAsia="Times New Roman" w:hAnsi="Times New Roman" w:cs="Times New Roman"/>
          <w:b/>
          <w:bCs/>
          <w:w w:val="106"/>
          <w:sz w:val="24"/>
          <w:szCs w:val="24"/>
        </w:rPr>
      </w:pPr>
      <w:r>
        <w:rPr>
          <w:rFonts w:ascii="Times New Roman" w:eastAsia="Times New Roman" w:hAnsi="Times New Roman" w:cs="Times New Roman"/>
          <w:b/>
          <w:bCs/>
          <w:w w:val="106"/>
          <w:sz w:val="24"/>
          <w:szCs w:val="24"/>
        </w:rPr>
        <w:t>SUPPORTING STATEMENT</w:t>
      </w:r>
    </w:p>
    <w:p w:rsidR="005F6CA0" w:rsidP="005346D8" w14:paraId="46091E97" w14:textId="77777777">
      <w:pPr>
        <w:spacing w:after="0" w:line="280" w:lineRule="exact"/>
        <w:ind w:right="20"/>
        <w:jc w:val="center"/>
        <w:rPr>
          <w:rFonts w:ascii="Times New Roman" w:eastAsia="Times New Roman" w:hAnsi="Times New Roman" w:cs="Times New Roman"/>
          <w:b/>
          <w:bCs/>
          <w:w w:val="106"/>
          <w:sz w:val="24"/>
          <w:szCs w:val="24"/>
        </w:rPr>
      </w:pPr>
    </w:p>
    <w:p w:rsidR="005F6CA0" w:rsidRPr="00545049" w:rsidP="006D5148" w14:paraId="59FA1969" w14:textId="142AB3D9">
      <w:pPr>
        <w:spacing w:after="0" w:line="280" w:lineRule="exact"/>
        <w:ind w:right="20"/>
        <w:rPr>
          <w:rFonts w:ascii="Times New Roman" w:hAnsi="Times New Roman" w:cs="Times New Roman"/>
          <w:sz w:val="24"/>
          <w:szCs w:val="24"/>
        </w:rPr>
      </w:pPr>
      <w:r w:rsidRPr="006D5148">
        <w:rPr>
          <w:rFonts w:ascii="Times New Roman" w:hAnsi="Times New Roman" w:cs="Times New Roman"/>
          <w:b/>
          <w:sz w:val="24"/>
          <w:szCs w:val="24"/>
        </w:rPr>
        <w:t>INTRODUCTION</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This </w:t>
      </w:r>
      <w:r>
        <w:rPr>
          <w:rFonts w:ascii="Times New Roman" w:hAnsi="Times New Roman" w:cs="Times New Roman"/>
          <w:sz w:val="24"/>
          <w:szCs w:val="24"/>
        </w:rPr>
        <w:t xml:space="preserve">submission </w:t>
      </w:r>
      <w:r>
        <w:rPr>
          <w:rFonts w:ascii="Times New Roman" w:hAnsi="Times New Roman" w:cs="Times New Roman"/>
          <w:sz w:val="24"/>
          <w:szCs w:val="24"/>
        </w:rPr>
        <w:t xml:space="preserve">is to request </w:t>
      </w:r>
      <w:r>
        <w:rPr>
          <w:rFonts w:ascii="Times New Roman" w:hAnsi="Times New Roman" w:cs="Times New Roman"/>
          <w:sz w:val="24"/>
          <w:szCs w:val="24"/>
        </w:rPr>
        <w:t xml:space="preserve">a three-year extension from </w:t>
      </w:r>
      <w:r>
        <w:rPr>
          <w:rFonts w:ascii="Times New Roman" w:hAnsi="Times New Roman" w:cs="Times New Roman"/>
          <w:sz w:val="24"/>
          <w:szCs w:val="24"/>
        </w:rPr>
        <w:t>the Office of Management and Budget</w:t>
      </w:r>
      <w:r>
        <w:rPr>
          <w:rFonts w:ascii="Times New Roman" w:hAnsi="Times New Roman" w:cs="Times New Roman"/>
          <w:sz w:val="24"/>
          <w:szCs w:val="24"/>
        </w:rPr>
        <w:t xml:space="preserve"> </w:t>
      </w:r>
      <w:r>
        <w:rPr>
          <w:rFonts w:ascii="Times New Roman" w:hAnsi="Times New Roman" w:cs="Times New Roman"/>
          <w:sz w:val="24"/>
          <w:szCs w:val="24"/>
        </w:rPr>
        <w:t>(OMB) for the information collection entitled</w:t>
      </w:r>
      <w:r>
        <w:rPr>
          <w:rFonts w:ascii="Times New Roman" w:hAnsi="Times New Roman" w:cs="Times New Roman"/>
          <w:sz w:val="24"/>
          <w:szCs w:val="24"/>
        </w:rPr>
        <w:t xml:space="preserve"> </w:t>
      </w:r>
      <w:bookmarkStart w:id="0" w:name="_Hlk163813454"/>
      <w:r>
        <w:rPr>
          <w:rFonts w:ascii="Times New Roman" w:hAnsi="Times New Roman" w:cs="Times New Roman"/>
          <w:sz w:val="24"/>
          <w:szCs w:val="24"/>
        </w:rPr>
        <w:t>OMB 2133-0018 (</w:t>
      </w:r>
      <w:r>
        <w:rPr>
          <w:rFonts w:ascii="Times New Roman" w:hAnsi="Times New Roman" w:cs="Times New Roman"/>
          <w:sz w:val="24"/>
          <w:szCs w:val="24"/>
        </w:rPr>
        <w:t>Title XI Obligation Guarantees – 46 CFR Part 298</w:t>
      </w:r>
      <w:r>
        <w:rPr>
          <w:rFonts w:ascii="Times New Roman" w:hAnsi="Times New Roman" w:cs="Times New Roman"/>
          <w:sz w:val="24"/>
          <w:szCs w:val="24"/>
        </w:rPr>
        <w:t>)</w:t>
      </w:r>
      <w:bookmarkEnd w:id="0"/>
      <w:r>
        <w:rPr>
          <w:rFonts w:ascii="Times New Roman" w:hAnsi="Times New Roman" w:cs="Times New Roman"/>
          <w:sz w:val="24"/>
          <w:szCs w:val="24"/>
        </w:rPr>
        <w:t xml:space="preserve">, </w:t>
      </w:r>
      <w:r>
        <w:rPr>
          <w:rFonts w:ascii="Times New Roman" w:hAnsi="Times New Roman" w:cs="Times New Roman"/>
          <w:sz w:val="24"/>
          <w:szCs w:val="24"/>
        </w:rPr>
        <w:t>which expire</w:t>
      </w:r>
      <w:r>
        <w:rPr>
          <w:rFonts w:ascii="Times New Roman" w:hAnsi="Times New Roman" w:cs="Times New Roman"/>
          <w:sz w:val="24"/>
          <w:szCs w:val="24"/>
        </w:rPr>
        <w:t>s</w:t>
      </w:r>
      <w:r>
        <w:rPr>
          <w:rFonts w:ascii="Times New Roman" w:hAnsi="Times New Roman" w:cs="Times New Roman"/>
          <w:sz w:val="24"/>
          <w:szCs w:val="24"/>
        </w:rPr>
        <w:t xml:space="preserve"> on </w:t>
      </w:r>
      <w:r w:rsidR="00E216F2">
        <w:rPr>
          <w:rFonts w:ascii="Times New Roman" w:hAnsi="Times New Roman" w:cs="Times New Roman"/>
          <w:sz w:val="24"/>
          <w:szCs w:val="24"/>
        </w:rPr>
        <w:t>September 30</w:t>
      </w:r>
      <w:r w:rsidR="00A72F28">
        <w:rPr>
          <w:rFonts w:ascii="Times New Roman" w:hAnsi="Times New Roman" w:cs="Times New Roman"/>
          <w:sz w:val="24"/>
          <w:szCs w:val="24"/>
        </w:rPr>
        <w:t>, 202</w:t>
      </w:r>
      <w:r w:rsidR="00E216F2">
        <w:rPr>
          <w:rFonts w:ascii="Times New Roman" w:hAnsi="Times New Roman" w:cs="Times New Roman"/>
          <w:sz w:val="24"/>
          <w:szCs w:val="24"/>
        </w:rPr>
        <w:t>4</w:t>
      </w:r>
      <w:r w:rsidR="00A72F28">
        <w:rPr>
          <w:rFonts w:ascii="Times New Roman" w:hAnsi="Times New Roman" w:cs="Times New Roman"/>
          <w:sz w:val="24"/>
          <w:szCs w:val="24"/>
        </w:rPr>
        <w:t>.</w:t>
      </w:r>
      <w:r w:rsidR="0027057D">
        <w:rPr>
          <w:rFonts w:ascii="Times New Roman" w:hAnsi="Times New Roman" w:cs="Times New Roman"/>
          <w:sz w:val="24"/>
          <w:szCs w:val="24"/>
        </w:rPr>
        <w:t xml:space="preserve"> </w:t>
      </w:r>
      <w:r w:rsidRPr="00545049" w:rsidR="0027057D">
        <w:rPr>
          <w:rFonts w:ascii="Times New Roman" w:hAnsi="Times New Roman" w:cs="Times New Roman"/>
          <w:sz w:val="24"/>
          <w:szCs w:val="24"/>
        </w:rPr>
        <w:t xml:space="preserve">There </w:t>
      </w:r>
      <w:r>
        <w:rPr>
          <w:rFonts w:ascii="Times New Roman" w:hAnsi="Times New Roman" w:cs="Times New Roman"/>
          <w:sz w:val="24"/>
          <w:szCs w:val="24"/>
        </w:rPr>
        <w:t xml:space="preserve">is a reduction </w:t>
      </w:r>
      <w:r w:rsidR="008C4231">
        <w:rPr>
          <w:rFonts w:ascii="Times New Roman" w:hAnsi="Times New Roman" w:cs="Times New Roman"/>
          <w:sz w:val="24"/>
          <w:szCs w:val="24"/>
        </w:rPr>
        <w:t>in</w:t>
      </w:r>
      <w:r>
        <w:rPr>
          <w:rFonts w:ascii="Times New Roman" w:hAnsi="Times New Roman" w:cs="Times New Roman"/>
          <w:sz w:val="24"/>
          <w:szCs w:val="24"/>
        </w:rPr>
        <w:t xml:space="preserve"> the public burden reported since the last renewal to reflect the </w:t>
      </w:r>
      <w:r w:rsidR="00FC51F2">
        <w:rPr>
          <w:rFonts w:ascii="Times New Roman" w:hAnsi="Times New Roman" w:cs="Times New Roman"/>
          <w:sz w:val="24"/>
          <w:szCs w:val="24"/>
        </w:rPr>
        <w:t>curren</w:t>
      </w:r>
      <w:r w:rsidR="007E5F3A">
        <w:rPr>
          <w:rFonts w:ascii="Times New Roman" w:hAnsi="Times New Roman" w:cs="Times New Roman"/>
          <w:sz w:val="24"/>
          <w:szCs w:val="24"/>
        </w:rPr>
        <w:t>t</w:t>
      </w:r>
      <w:r>
        <w:rPr>
          <w:rFonts w:ascii="Times New Roman" w:hAnsi="Times New Roman" w:cs="Times New Roman"/>
          <w:sz w:val="24"/>
          <w:szCs w:val="24"/>
        </w:rPr>
        <w:t xml:space="preserve"> respondents to this collection. </w:t>
      </w:r>
      <w:r w:rsidR="006D5148">
        <w:rPr>
          <w:rFonts w:ascii="Times New Roman" w:hAnsi="Times New Roman" w:cs="Times New Roman"/>
          <w:sz w:val="24"/>
          <w:szCs w:val="24"/>
        </w:rPr>
        <w:t>Additionally,</w:t>
      </w:r>
      <w:r>
        <w:rPr>
          <w:rFonts w:ascii="Times New Roman" w:hAnsi="Times New Roman" w:cs="Times New Roman"/>
          <w:sz w:val="24"/>
          <w:szCs w:val="24"/>
        </w:rPr>
        <w:t xml:space="preserve"> the instruction</w:t>
      </w:r>
      <w:r w:rsidR="00322D1E">
        <w:rPr>
          <w:rFonts w:ascii="Times New Roman" w:hAnsi="Times New Roman" w:cs="Times New Roman"/>
          <w:sz w:val="24"/>
          <w:szCs w:val="24"/>
        </w:rPr>
        <w:t>s</w:t>
      </w:r>
      <w:r>
        <w:rPr>
          <w:rFonts w:ascii="Times New Roman" w:hAnsi="Times New Roman" w:cs="Times New Roman"/>
          <w:sz w:val="24"/>
          <w:szCs w:val="24"/>
        </w:rPr>
        <w:t xml:space="preserve"> </w:t>
      </w:r>
      <w:r w:rsidR="007573B8">
        <w:rPr>
          <w:rFonts w:ascii="Times New Roman" w:hAnsi="Times New Roman" w:cs="Times New Roman"/>
          <w:sz w:val="24"/>
          <w:szCs w:val="24"/>
        </w:rPr>
        <w:t xml:space="preserve">for both forms associated this collection were </w:t>
      </w:r>
      <w:r w:rsidR="002B70E4">
        <w:rPr>
          <w:rFonts w:ascii="Times New Roman" w:hAnsi="Times New Roman" w:cs="Times New Roman"/>
          <w:sz w:val="24"/>
          <w:szCs w:val="24"/>
        </w:rPr>
        <w:t>modernized</w:t>
      </w:r>
      <w:r w:rsidR="007573B8">
        <w:rPr>
          <w:rFonts w:ascii="Times New Roman" w:hAnsi="Times New Roman" w:cs="Times New Roman"/>
          <w:sz w:val="24"/>
          <w:szCs w:val="24"/>
        </w:rPr>
        <w:t xml:space="preserve"> to include </w:t>
      </w:r>
      <w:r w:rsidR="002B70E4">
        <w:rPr>
          <w:rFonts w:ascii="Times New Roman" w:hAnsi="Times New Roman" w:cs="Times New Roman"/>
          <w:sz w:val="24"/>
          <w:szCs w:val="24"/>
        </w:rPr>
        <w:t xml:space="preserve">electronic </w:t>
      </w:r>
      <w:r>
        <w:rPr>
          <w:rFonts w:ascii="Times New Roman" w:hAnsi="Times New Roman" w:cs="Times New Roman"/>
          <w:sz w:val="24"/>
          <w:szCs w:val="24"/>
        </w:rPr>
        <w:t>submission</w:t>
      </w:r>
      <w:r w:rsidR="002B70E4">
        <w:rPr>
          <w:rFonts w:ascii="Times New Roman" w:hAnsi="Times New Roman" w:cs="Times New Roman"/>
          <w:sz w:val="24"/>
          <w:szCs w:val="24"/>
        </w:rPr>
        <w:t xml:space="preserve"> procedures</w:t>
      </w:r>
      <w:r>
        <w:rPr>
          <w:rFonts w:ascii="Times New Roman" w:hAnsi="Times New Roman" w:cs="Times New Roman"/>
          <w:sz w:val="24"/>
          <w:szCs w:val="24"/>
        </w:rPr>
        <w:t xml:space="preserve"> and clarification of </w:t>
      </w:r>
      <w:r w:rsidR="002B70E4">
        <w:rPr>
          <w:rFonts w:ascii="Times New Roman" w:hAnsi="Times New Roman" w:cs="Times New Roman"/>
          <w:sz w:val="24"/>
          <w:szCs w:val="24"/>
        </w:rPr>
        <w:t xml:space="preserve">previously used </w:t>
      </w:r>
      <w:r w:rsidR="007573B8">
        <w:rPr>
          <w:rFonts w:ascii="Times New Roman" w:hAnsi="Times New Roman" w:cs="Times New Roman"/>
          <w:sz w:val="24"/>
          <w:szCs w:val="24"/>
        </w:rPr>
        <w:t>terminology.</w:t>
      </w:r>
      <w:r w:rsidR="002B70E4">
        <w:rPr>
          <w:rFonts w:ascii="Times New Roman" w:hAnsi="Times New Roman" w:cs="Times New Roman"/>
          <w:sz w:val="24"/>
          <w:szCs w:val="24"/>
        </w:rPr>
        <w:t xml:space="preserve"> No new questions were added to either form.</w:t>
      </w:r>
      <w:r w:rsidR="00A17DBE">
        <w:rPr>
          <w:rFonts w:ascii="Times New Roman" w:hAnsi="Times New Roman" w:cs="Times New Roman"/>
          <w:sz w:val="24"/>
          <w:szCs w:val="24"/>
        </w:rPr>
        <w:t xml:space="preserve"> As such this collection will be submitted as </w:t>
      </w:r>
      <w:r w:rsidRPr="006D5148" w:rsidR="00A17DBE">
        <w:rPr>
          <w:rFonts w:ascii="Times New Roman" w:hAnsi="Times New Roman" w:cs="Times New Roman"/>
          <w:i/>
          <w:iCs/>
          <w:sz w:val="24"/>
          <w:szCs w:val="24"/>
        </w:rPr>
        <w:t>an extension with a minor change</w:t>
      </w:r>
      <w:r w:rsidR="00A17DBE">
        <w:rPr>
          <w:rFonts w:ascii="Times New Roman" w:hAnsi="Times New Roman" w:cs="Times New Roman"/>
          <w:i/>
          <w:iCs/>
          <w:sz w:val="24"/>
          <w:szCs w:val="24"/>
        </w:rPr>
        <w:t xml:space="preserve"> </w:t>
      </w:r>
      <w:r w:rsidR="00A17DBE">
        <w:rPr>
          <w:rFonts w:ascii="Times New Roman" w:hAnsi="Times New Roman" w:cs="Times New Roman"/>
          <w:sz w:val="24"/>
          <w:szCs w:val="24"/>
        </w:rPr>
        <w:t>request.</w:t>
      </w:r>
    </w:p>
    <w:p w:rsidR="008975BA" w:rsidRPr="008A7FFC" w:rsidP="005346D8" w14:paraId="203E0EA3" w14:textId="77777777">
      <w:pPr>
        <w:spacing w:after="0" w:line="280" w:lineRule="exact"/>
        <w:ind w:right="20"/>
        <w:rPr>
          <w:rFonts w:ascii="Times New Roman" w:hAnsi="Times New Roman" w:cs="Times New Roman"/>
          <w:sz w:val="24"/>
          <w:szCs w:val="24"/>
        </w:rPr>
      </w:pPr>
    </w:p>
    <w:p w:rsidR="000720CA" w:rsidRPr="006D5148" w:rsidP="006D5148" w14:paraId="07C436B2" w14:textId="23CEC857">
      <w:pPr>
        <w:pStyle w:val="ListParagraph"/>
        <w:numPr>
          <w:ilvl w:val="0"/>
          <w:numId w:val="7"/>
        </w:numPr>
        <w:tabs>
          <w:tab w:val="left" w:pos="450"/>
        </w:tabs>
        <w:spacing w:after="0" w:line="280" w:lineRule="exact"/>
        <w:ind w:right="20"/>
        <w:rPr>
          <w:rFonts w:ascii="Times New Roman" w:eastAsia="Times New Roman" w:hAnsi="Times New Roman" w:cs="Times New Roman"/>
          <w:b/>
          <w:sz w:val="24"/>
          <w:szCs w:val="24"/>
        </w:rPr>
      </w:pPr>
      <w:r w:rsidRPr="006D5148">
        <w:rPr>
          <w:rFonts w:ascii="Times New Roman" w:eastAsia="Times New Roman" w:hAnsi="Times New Roman" w:cs="Times New Roman"/>
          <w:b/>
          <w:w w:val="106"/>
          <w:sz w:val="24"/>
          <w:szCs w:val="24"/>
        </w:rPr>
        <w:t>JUSTIFICATION</w:t>
      </w:r>
    </w:p>
    <w:p w:rsidR="000720CA" w:rsidRPr="00B171A4" w:rsidP="005346D8" w14:paraId="0D72F5FA" w14:textId="77777777">
      <w:pPr>
        <w:spacing w:after="0" w:line="280" w:lineRule="exact"/>
        <w:ind w:right="20"/>
        <w:rPr>
          <w:rFonts w:ascii="Times New Roman" w:hAnsi="Times New Roman" w:cs="Times New Roman"/>
          <w:sz w:val="24"/>
          <w:szCs w:val="24"/>
        </w:rPr>
      </w:pPr>
    </w:p>
    <w:p w:rsidR="000720CA" w:rsidRPr="006D5148" w:rsidP="006D5148" w14:paraId="0E532ADA" w14:textId="026659D7">
      <w:pPr>
        <w:pStyle w:val="ListParagraph"/>
        <w:numPr>
          <w:ilvl w:val="0"/>
          <w:numId w:val="8"/>
        </w:numPr>
        <w:tabs>
          <w:tab w:val="left" w:pos="900"/>
        </w:tabs>
        <w:spacing w:after="0" w:line="280" w:lineRule="exact"/>
        <w:ind w:right="20"/>
        <w:rPr>
          <w:rFonts w:ascii="Times New Roman" w:eastAsia="Times New Roman" w:hAnsi="Times New Roman" w:cs="Times New Roman"/>
          <w:b/>
          <w:bCs/>
          <w:sz w:val="24"/>
          <w:szCs w:val="24"/>
        </w:rPr>
      </w:pPr>
      <w:r w:rsidRPr="00302F52">
        <w:rPr>
          <w:rFonts w:ascii="Times New Roman" w:eastAsia="Times New Roman" w:hAnsi="Times New Roman" w:cs="Times New Roman"/>
          <w:b/>
          <w:bCs/>
          <w:sz w:val="24"/>
          <w:szCs w:val="24"/>
        </w:rPr>
        <w:t>C</w:t>
      </w:r>
      <w:r w:rsidRPr="00302F52" w:rsidR="00C40146">
        <w:rPr>
          <w:rFonts w:ascii="Times New Roman" w:eastAsia="Times New Roman" w:hAnsi="Times New Roman" w:cs="Times New Roman"/>
          <w:b/>
          <w:bCs/>
          <w:sz w:val="24"/>
          <w:szCs w:val="24"/>
        </w:rPr>
        <w:t>ir</w:t>
      </w:r>
      <w:r w:rsidRPr="006D5148" w:rsidR="00C40146">
        <w:rPr>
          <w:rFonts w:ascii="Times New Roman" w:eastAsia="Times New Roman" w:hAnsi="Times New Roman" w:cs="Times New Roman"/>
          <w:b/>
          <w:bCs/>
          <w:sz w:val="24"/>
          <w:szCs w:val="24"/>
        </w:rPr>
        <w:t xml:space="preserve">cumstances </w:t>
      </w:r>
      <w:r>
        <w:rPr>
          <w:rFonts w:ascii="Times New Roman" w:eastAsia="Times New Roman" w:hAnsi="Times New Roman" w:cs="Times New Roman"/>
          <w:b/>
          <w:bCs/>
          <w:sz w:val="24"/>
          <w:szCs w:val="24"/>
        </w:rPr>
        <w:t>Making the</w:t>
      </w:r>
      <w:r w:rsidRPr="006D5148" w:rsidR="009237C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w:t>
      </w:r>
      <w:r w:rsidRPr="006D5148">
        <w:rPr>
          <w:rFonts w:ascii="Times New Roman" w:eastAsia="Times New Roman" w:hAnsi="Times New Roman" w:cs="Times New Roman"/>
          <w:b/>
          <w:bCs/>
          <w:sz w:val="24"/>
          <w:szCs w:val="24"/>
        </w:rPr>
        <w:t xml:space="preserve">ollection </w:t>
      </w:r>
      <w:r w:rsidRPr="006D5148" w:rsidR="009237C0">
        <w:rPr>
          <w:rFonts w:ascii="Times New Roman" w:eastAsia="Times New Roman" w:hAnsi="Times New Roman" w:cs="Times New Roman"/>
          <w:b/>
          <w:bCs/>
          <w:sz w:val="24"/>
          <w:szCs w:val="24"/>
        </w:rPr>
        <w:t xml:space="preserve">of </w:t>
      </w:r>
      <w:r>
        <w:rPr>
          <w:rFonts w:ascii="Times New Roman" w:eastAsia="Times New Roman" w:hAnsi="Times New Roman" w:cs="Times New Roman"/>
          <w:b/>
          <w:bCs/>
          <w:sz w:val="24"/>
          <w:szCs w:val="24"/>
        </w:rPr>
        <w:t>I</w:t>
      </w:r>
      <w:r w:rsidRPr="006D5148">
        <w:rPr>
          <w:rFonts w:ascii="Times New Roman" w:eastAsia="Times New Roman" w:hAnsi="Times New Roman" w:cs="Times New Roman"/>
          <w:b/>
          <w:bCs/>
          <w:sz w:val="24"/>
          <w:szCs w:val="24"/>
        </w:rPr>
        <w:t xml:space="preserve">nformation </w:t>
      </w:r>
      <w:r>
        <w:rPr>
          <w:rFonts w:ascii="Times New Roman" w:eastAsia="Times New Roman" w:hAnsi="Times New Roman" w:cs="Times New Roman"/>
          <w:b/>
          <w:bCs/>
          <w:sz w:val="24"/>
          <w:szCs w:val="24"/>
        </w:rPr>
        <w:t>N</w:t>
      </w:r>
      <w:r w:rsidRPr="006D5148">
        <w:rPr>
          <w:rFonts w:ascii="Times New Roman" w:eastAsia="Times New Roman" w:hAnsi="Times New Roman" w:cs="Times New Roman"/>
          <w:b/>
          <w:bCs/>
          <w:sz w:val="24"/>
          <w:szCs w:val="24"/>
        </w:rPr>
        <w:t>ecessary</w:t>
      </w:r>
    </w:p>
    <w:p w:rsidR="000720CA" w:rsidRPr="00B171A4" w:rsidP="005346D8" w14:paraId="279F950F" w14:textId="77777777">
      <w:pPr>
        <w:spacing w:after="0" w:line="280" w:lineRule="exact"/>
        <w:ind w:right="20"/>
        <w:rPr>
          <w:rFonts w:ascii="Times New Roman" w:hAnsi="Times New Roman" w:cs="Times New Roman"/>
          <w:sz w:val="24"/>
          <w:szCs w:val="24"/>
        </w:rPr>
      </w:pPr>
    </w:p>
    <w:p w:rsidR="000720CA" w:rsidRPr="006D5148" w:rsidP="006D5148" w14:paraId="30262C34" w14:textId="687ADD35">
      <w:pPr>
        <w:spacing w:after="0" w:line="280" w:lineRule="exact"/>
        <w:ind w:left="720"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 xml:space="preserve">Under 46 </w:t>
      </w:r>
      <w:r w:rsidR="00CE457E">
        <w:rPr>
          <w:rFonts w:ascii="Times New Roman" w:eastAsia="Times New Roman" w:hAnsi="Times New Roman" w:cs="Times New Roman"/>
          <w:iCs/>
          <w:sz w:val="24"/>
          <w:szCs w:val="24"/>
        </w:rPr>
        <w:t>United States Code (</w:t>
      </w:r>
      <w:r w:rsidRPr="006D5148">
        <w:rPr>
          <w:rFonts w:ascii="Times New Roman" w:eastAsia="Times New Roman" w:hAnsi="Times New Roman" w:cs="Times New Roman"/>
          <w:iCs/>
          <w:sz w:val="24"/>
          <w:szCs w:val="24"/>
        </w:rPr>
        <w:t>USC</w:t>
      </w:r>
      <w:r w:rsidR="00CE457E">
        <w:rPr>
          <w:rFonts w:ascii="Times New Roman" w:eastAsia="Times New Roman" w:hAnsi="Times New Roman" w:cs="Times New Roman"/>
          <w:iCs/>
          <w:sz w:val="24"/>
          <w:szCs w:val="24"/>
        </w:rPr>
        <w:t>)</w:t>
      </w:r>
      <w:r w:rsidRPr="006D5148">
        <w:rPr>
          <w:rFonts w:ascii="Times New Roman" w:eastAsia="Times New Roman" w:hAnsi="Times New Roman" w:cs="Times New Roman"/>
          <w:iCs/>
          <w:sz w:val="24"/>
          <w:szCs w:val="24"/>
        </w:rPr>
        <w:t xml:space="preserve"> Ch</w:t>
      </w:r>
      <w:r w:rsidR="00CE457E">
        <w:rPr>
          <w:rFonts w:ascii="Times New Roman" w:eastAsia="Times New Roman" w:hAnsi="Times New Roman" w:cs="Times New Roman"/>
          <w:iCs/>
          <w:sz w:val="24"/>
          <w:szCs w:val="24"/>
        </w:rPr>
        <w:t>apter</w:t>
      </w:r>
      <w:r w:rsidR="004504D5">
        <w:rPr>
          <w:rFonts w:ascii="Times New Roman" w:eastAsia="Times New Roman" w:hAnsi="Times New Roman" w:cs="Times New Roman"/>
          <w:iCs/>
          <w:sz w:val="24"/>
          <w:szCs w:val="24"/>
        </w:rPr>
        <w:t xml:space="preserve"> (Ch.)</w:t>
      </w:r>
      <w:r w:rsidRPr="006D5148">
        <w:rPr>
          <w:rFonts w:ascii="Times New Roman" w:eastAsia="Times New Roman" w:hAnsi="Times New Roman" w:cs="Times New Roman"/>
          <w:iCs/>
          <w:sz w:val="24"/>
          <w:szCs w:val="24"/>
        </w:rPr>
        <w:t xml:space="preserve"> 537, the Maritime Administration (MARAD) is authorized to execute a full faith and credit guarantee by the United States </w:t>
      </w:r>
      <w:r w:rsidR="008314BE">
        <w:rPr>
          <w:rFonts w:ascii="Times New Roman" w:eastAsia="Times New Roman" w:hAnsi="Times New Roman" w:cs="Times New Roman"/>
          <w:iCs/>
          <w:sz w:val="24"/>
          <w:szCs w:val="24"/>
        </w:rPr>
        <w:t xml:space="preserve">(U.S.) </w:t>
      </w:r>
      <w:r w:rsidRPr="006D5148">
        <w:rPr>
          <w:rFonts w:ascii="Times New Roman" w:eastAsia="Times New Roman" w:hAnsi="Times New Roman" w:cs="Times New Roman"/>
          <w:iCs/>
          <w:sz w:val="24"/>
          <w:szCs w:val="24"/>
        </w:rPr>
        <w:t>of debt obligations</w:t>
      </w:r>
      <w:r w:rsidR="00CE457E">
        <w:rPr>
          <w:rFonts w:ascii="Times New Roman" w:eastAsia="Times New Roman" w:hAnsi="Times New Roman" w:cs="Times New Roman"/>
          <w:iCs/>
          <w:sz w:val="24"/>
          <w:szCs w:val="24"/>
        </w:rPr>
        <w:t xml:space="preserve">, </w:t>
      </w:r>
      <w:r w:rsidRPr="006D5148">
        <w:rPr>
          <w:rFonts w:ascii="Times New Roman" w:eastAsia="Times New Roman" w:hAnsi="Times New Roman" w:cs="Times New Roman"/>
          <w:iCs/>
          <w:sz w:val="24"/>
          <w:szCs w:val="24"/>
        </w:rPr>
        <w:t>to finance or refinance the construction or reconstruction of vessels</w:t>
      </w:r>
      <w:r w:rsidR="00CE457E">
        <w:rPr>
          <w:rFonts w:ascii="Times New Roman" w:eastAsia="Times New Roman" w:hAnsi="Times New Roman" w:cs="Times New Roman"/>
          <w:iCs/>
          <w:sz w:val="24"/>
          <w:szCs w:val="24"/>
        </w:rPr>
        <w:t xml:space="preserve">, and to modernize and improve </w:t>
      </w:r>
      <w:r w:rsidRPr="006D5148">
        <w:rPr>
          <w:rFonts w:ascii="Times New Roman" w:eastAsia="Times New Roman" w:hAnsi="Times New Roman" w:cs="Times New Roman"/>
          <w:iCs/>
          <w:sz w:val="24"/>
          <w:szCs w:val="24"/>
        </w:rPr>
        <w:t>shipyard</w:t>
      </w:r>
      <w:r w:rsidR="00CE457E">
        <w:rPr>
          <w:rFonts w:ascii="Times New Roman" w:eastAsia="Times New Roman" w:hAnsi="Times New Roman" w:cs="Times New Roman"/>
          <w:iCs/>
          <w:sz w:val="24"/>
          <w:szCs w:val="24"/>
        </w:rPr>
        <w:t>s</w:t>
      </w:r>
      <w:r w:rsidRPr="006D5148">
        <w:rPr>
          <w:rFonts w:ascii="Times New Roman" w:eastAsia="Times New Roman" w:hAnsi="Times New Roman" w:cs="Times New Roman"/>
          <w:iCs/>
          <w:sz w:val="24"/>
          <w:szCs w:val="24"/>
        </w:rPr>
        <w:t xml:space="preserve">. </w:t>
      </w:r>
      <w:r w:rsidR="00CE457E">
        <w:rPr>
          <w:rFonts w:ascii="Times New Roman" w:eastAsia="Times New Roman" w:hAnsi="Times New Roman" w:cs="Times New Roman"/>
          <w:iCs/>
          <w:sz w:val="24"/>
          <w:szCs w:val="24"/>
        </w:rPr>
        <w:t>Specifically, S</w:t>
      </w:r>
      <w:r w:rsidRPr="006D5148" w:rsidR="00BC08DF">
        <w:rPr>
          <w:rFonts w:ascii="Times New Roman" w:eastAsia="Times New Roman" w:hAnsi="Times New Roman" w:cs="Times New Roman"/>
          <w:iCs/>
          <w:sz w:val="24"/>
          <w:szCs w:val="24"/>
        </w:rPr>
        <w:t>ection 53708</w:t>
      </w:r>
      <w:r w:rsidR="00CE457E">
        <w:rPr>
          <w:rFonts w:ascii="Times New Roman" w:eastAsia="Times New Roman" w:hAnsi="Times New Roman" w:cs="Times New Roman"/>
          <w:iCs/>
          <w:sz w:val="24"/>
          <w:szCs w:val="24"/>
        </w:rPr>
        <w:t xml:space="preserve"> clarifies</w:t>
      </w:r>
      <w:r w:rsidRPr="006D5148" w:rsidR="00BC08DF">
        <w:rPr>
          <w:rFonts w:ascii="Times New Roman" w:eastAsia="Times New Roman" w:hAnsi="Times New Roman" w:cs="Times New Roman"/>
          <w:iCs/>
          <w:sz w:val="24"/>
          <w:szCs w:val="24"/>
        </w:rPr>
        <w:t xml:space="preserve"> that p</w:t>
      </w:r>
      <w:r w:rsidRPr="006D5148">
        <w:rPr>
          <w:rFonts w:ascii="Times New Roman" w:eastAsia="Times New Roman" w:hAnsi="Times New Roman" w:cs="Times New Roman"/>
          <w:iCs/>
          <w:sz w:val="24"/>
          <w:szCs w:val="24"/>
        </w:rPr>
        <w:t xml:space="preserve">rior to </w:t>
      </w:r>
      <w:r w:rsidRPr="006D5148" w:rsidR="00C475A3">
        <w:rPr>
          <w:rFonts w:ascii="Times New Roman" w:eastAsia="Times New Roman" w:hAnsi="Times New Roman" w:cs="Times New Roman"/>
          <w:iCs/>
          <w:sz w:val="24"/>
          <w:szCs w:val="24"/>
        </w:rPr>
        <w:t>executi</w:t>
      </w:r>
      <w:r w:rsidR="00C475A3">
        <w:rPr>
          <w:rFonts w:ascii="Times New Roman" w:eastAsia="Times New Roman" w:hAnsi="Times New Roman" w:cs="Times New Roman"/>
          <w:iCs/>
          <w:sz w:val="24"/>
          <w:szCs w:val="24"/>
        </w:rPr>
        <w:t>ng</w:t>
      </w:r>
      <w:r w:rsidRPr="006D5148">
        <w:rPr>
          <w:rFonts w:ascii="Times New Roman" w:eastAsia="Times New Roman" w:hAnsi="Times New Roman" w:cs="Times New Roman"/>
          <w:iCs/>
          <w:sz w:val="24"/>
          <w:szCs w:val="24"/>
        </w:rPr>
        <w:t xml:space="preserve"> this guarantee, the Secretary of Transportation must, among other things, </w:t>
      </w:r>
      <w:r w:rsidR="00CE457E">
        <w:rPr>
          <w:rFonts w:ascii="Times New Roman" w:eastAsia="Times New Roman" w:hAnsi="Times New Roman" w:cs="Times New Roman"/>
          <w:iCs/>
          <w:sz w:val="24"/>
          <w:szCs w:val="24"/>
        </w:rPr>
        <w:t xml:space="preserve">determine the </w:t>
      </w:r>
      <w:r w:rsidRPr="006D5148">
        <w:rPr>
          <w:rFonts w:ascii="Times New Roman" w:eastAsia="Times New Roman" w:hAnsi="Times New Roman" w:cs="Times New Roman"/>
          <w:iCs/>
          <w:sz w:val="24"/>
          <w:szCs w:val="24"/>
        </w:rPr>
        <w:t xml:space="preserve">economic soundness of </w:t>
      </w:r>
      <w:r w:rsidR="00C475A3">
        <w:rPr>
          <w:rFonts w:ascii="Times New Roman" w:eastAsia="Times New Roman" w:hAnsi="Times New Roman" w:cs="Times New Roman"/>
          <w:iCs/>
          <w:sz w:val="24"/>
          <w:szCs w:val="24"/>
        </w:rPr>
        <w:t>a proposed</w:t>
      </w:r>
      <w:r w:rsidRPr="006D5148" w:rsidR="00C475A3">
        <w:rPr>
          <w:rFonts w:ascii="Times New Roman" w:eastAsia="Times New Roman" w:hAnsi="Times New Roman" w:cs="Times New Roman"/>
          <w:iCs/>
          <w:sz w:val="24"/>
          <w:szCs w:val="24"/>
        </w:rPr>
        <w:t xml:space="preserve"> </w:t>
      </w:r>
      <w:r w:rsidRPr="006D5148">
        <w:rPr>
          <w:rFonts w:ascii="Times New Roman" w:eastAsia="Times New Roman" w:hAnsi="Times New Roman" w:cs="Times New Roman"/>
          <w:iCs/>
          <w:sz w:val="24"/>
          <w:szCs w:val="24"/>
        </w:rPr>
        <w:t>project</w:t>
      </w:r>
      <w:r w:rsidR="00511993">
        <w:rPr>
          <w:rFonts w:ascii="Times New Roman" w:eastAsia="Times New Roman" w:hAnsi="Times New Roman" w:cs="Times New Roman"/>
          <w:iCs/>
          <w:sz w:val="24"/>
          <w:szCs w:val="24"/>
        </w:rPr>
        <w:t>,</w:t>
      </w:r>
      <w:r w:rsidR="001F7B8A">
        <w:rPr>
          <w:rFonts w:ascii="Times New Roman" w:eastAsia="Times New Roman" w:hAnsi="Times New Roman" w:cs="Times New Roman"/>
          <w:iCs/>
          <w:sz w:val="24"/>
          <w:szCs w:val="24"/>
        </w:rPr>
        <w:t xml:space="preserve"> and </w:t>
      </w:r>
      <w:r w:rsidRPr="006D5148">
        <w:rPr>
          <w:rFonts w:ascii="Times New Roman" w:eastAsia="Times New Roman" w:hAnsi="Times New Roman" w:cs="Times New Roman"/>
          <w:iCs/>
          <w:sz w:val="24"/>
          <w:szCs w:val="24"/>
        </w:rPr>
        <w:t xml:space="preserve">the financial and operating capability of the applicant. The </w:t>
      </w:r>
      <w:r w:rsidR="00C475A3">
        <w:rPr>
          <w:rFonts w:ascii="Times New Roman" w:eastAsia="Times New Roman" w:hAnsi="Times New Roman" w:cs="Times New Roman"/>
          <w:iCs/>
          <w:sz w:val="24"/>
          <w:szCs w:val="24"/>
        </w:rPr>
        <w:t xml:space="preserve">required </w:t>
      </w:r>
      <w:r w:rsidRPr="006D5148">
        <w:rPr>
          <w:rFonts w:ascii="Times New Roman" w:eastAsia="Times New Roman" w:hAnsi="Times New Roman" w:cs="Times New Roman"/>
          <w:iCs/>
          <w:sz w:val="24"/>
          <w:szCs w:val="24"/>
        </w:rPr>
        <w:t xml:space="preserve">information </w:t>
      </w:r>
      <w:r w:rsidR="00C475A3">
        <w:rPr>
          <w:rFonts w:ascii="Times New Roman" w:eastAsia="Times New Roman" w:hAnsi="Times New Roman" w:cs="Times New Roman"/>
          <w:iCs/>
          <w:sz w:val="24"/>
          <w:szCs w:val="24"/>
        </w:rPr>
        <w:t xml:space="preserve">is </w:t>
      </w:r>
      <w:r w:rsidRPr="006D5148">
        <w:rPr>
          <w:rFonts w:ascii="Times New Roman" w:eastAsia="Times New Roman" w:hAnsi="Times New Roman" w:cs="Times New Roman"/>
          <w:iCs/>
          <w:sz w:val="24"/>
          <w:szCs w:val="24"/>
        </w:rPr>
        <w:t xml:space="preserve">collected </w:t>
      </w:r>
      <w:r w:rsidR="00511993">
        <w:rPr>
          <w:rFonts w:ascii="Times New Roman" w:eastAsia="Times New Roman" w:hAnsi="Times New Roman" w:cs="Times New Roman"/>
          <w:iCs/>
          <w:sz w:val="24"/>
          <w:szCs w:val="24"/>
        </w:rPr>
        <w:t xml:space="preserve">through </w:t>
      </w:r>
      <w:r w:rsidRPr="00511993" w:rsidR="00511993">
        <w:rPr>
          <w:rFonts w:ascii="Times New Roman" w:eastAsia="Times New Roman" w:hAnsi="Times New Roman" w:cs="Times New Roman"/>
          <w:iCs/>
          <w:sz w:val="24"/>
          <w:szCs w:val="24"/>
        </w:rPr>
        <w:t xml:space="preserve">OMB 2133-0018 (Title XI Obligation Guarantees – 46 </w:t>
      </w:r>
      <w:r w:rsidR="00C475A3">
        <w:rPr>
          <w:rFonts w:ascii="Times New Roman" w:eastAsia="Times New Roman" w:hAnsi="Times New Roman" w:cs="Times New Roman"/>
          <w:iCs/>
          <w:sz w:val="24"/>
          <w:szCs w:val="24"/>
        </w:rPr>
        <w:t>Code of Federal Regulation (</w:t>
      </w:r>
      <w:r w:rsidRPr="00511993" w:rsidR="00511993">
        <w:rPr>
          <w:rFonts w:ascii="Times New Roman" w:eastAsia="Times New Roman" w:hAnsi="Times New Roman" w:cs="Times New Roman"/>
          <w:iCs/>
          <w:sz w:val="24"/>
          <w:szCs w:val="24"/>
        </w:rPr>
        <w:t>CFR</w:t>
      </w:r>
      <w:r w:rsidR="00C475A3">
        <w:rPr>
          <w:rFonts w:ascii="Times New Roman" w:eastAsia="Times New Roman" w:hAnsi="Times New Roman" w:cs="Times New Roman"/>
          <w:iCs/>
          <w:sz w:val="24"/>
          <w:szCs w:val="24"/>
        </w:rPr>
        <w:t>)</w:t>
      </w:r>
      <w:r w:rsidRPr="00511993" w:rsidR="00511993">
        <w:rPr>
          <w:rFonts w:ascii="Times New Roman" w:eastAsia="Times New Roman" w:hAnsi="Times New Roman" w:cs="Times New Roman"/>
          <w:iCs/>
          <w:sz w:val="24"/>
          <w:szCs w:val="24"/>
        </w:rPr>
        <w:t xml:space="preserve"> Part 298)</w:t>
      </w:r>
      <w:r w:rsidR="00511993">
        <w:rPr>
          <w:rFonts w:ascii="Times New Roman" w:eastAsia="Times New Roman" w:hAnsi="Times New Roman" w:cs="Times New Roman"/>
          <w:iCs/>
          <w:sz w:val="24"/>
          <w:szCs w:val="24"/>
        </w:rPr>
        <w:t xml:space="preserve"> (OMB 2133-0018)</w:t>
      </w:r>
      <w:r w:rsidR="00C475A3">
        <w:rPr>
          <w:rFonts w:ascii="Times New Roman" w:eastAsia="Times New Roman" w:hAnsi="Times New Roman" w:cs="Times New Roman"/>
          <w:iCs/>
          <w:sz w:val="24"/>
          <w:szCs w:val="24"/>
        </w:rPr>
        <w:t xml:space="preserve">, which </w:t>
      </w:r>
      <w:r w:rsidRPr="006D5148">
        <w:rPr>
          <w:rFonts w:ascii="Times New Roman" w:eastAsia="Times New Roman" w:hAnsi="Times New Roman" w:cs="Times New Roman"/>
          <w:iCs/>
          <w:sz w:val="24"/>
          <w:szCs w:val="24"/>
        </w:rPr>
        <w:t xml:space="preserve">is necessary to evaluate an applicant's project and capabilities, </w:t>
      </w:r>
      <w:r w:rsidR="00511993">
        <w:rPr>
          <w:rFonts w:ascii="Times New Roman" w:eastAsia="Times New Roman" w:hAnsi="Times New Roman" w:cs="Times New Roman"/>
          <w:iCs/>
          <w:sz w:val="24"/>
          <w:szCs w:val="24"/>
        </w:rPr>
        <w:t xml:space="preserve">to </w:t>
      </w:r>
      <w:r w:rsidRPr="006D5148">
        <w:rPr>
          <w:rFonts w:ascii="Times New Roman" w:eastAsia="Times New Roman" w:hAnsi="Times New Roman" w:cs="Times New Roman"/>
          <w:iCs/>
          <w:sz w:val="24"/>
          <w:szCs w:val="24"/>
        </w:rPr>
        <w:t>make the required determinations, and</w:t>
      </w:r>
      <w:r w:rsidR="00511993">
        <w:rPr>
          <w:rFonts w:ascii="Times New Roman" w:eastAsia="Times New Roman" w:hAnsi="Times New Roman" w:cs="Times New Roman"/>
          <w:iCs/>
          <w:sz w:val="24"/>
          <w:szCs w:val="24"/>
        </w:rPr>
        <w:t xml:space="preserve"> to</w:t>
      </w:r>
      <w:r w:rsidRPr="006D5148">
        <w:rPr>
          <w:rFonts w:ascii="Times New Roman" w:eastAsia="Times New Roman" w:hAnsi="Times New Roman" w:cs="Times New Roman"/>
          <w:iCs/>
          <w:sz w:val="24"/>
          <w:szCs w:val="24"/>
        </w:rPr>
        <w:t xml:space="preserve"> administer any agreements </w:t>
      </w:r>
      <w:r w:rsidRPr="006D5148" w:rsidR="00C40146">
        <w:rPr>
          <w:rFonts w:ascii="Times New Roman" w:eastAsia="Times New Roman" w:hAnsi="Times New Roman" w:cs="Times New Roman"/>
          <w:iCs/>
          <w:sz w:val="24"/>
          <w:szCs w:val="24"/>
        </w:rPr>
        <w:t>executed upon</w:t>
      </w:r>
      <w:r w:rsidRPr="006D5148">
        <w:rPr>
          <w:rFonts w:ascii="Times New Roman" w:eastAsia="Times New Roman" w:hAnsi="Times New Roman" w:cs="Times New Roman"/>
          <w:iCs/>
          <w:sz w:val="24"/>
          <w:szCs w:val="24"/>
        </w:rPr>
        <w:t xml:space="preserve"> approval of loan guarantees.</w:t>
      </w:r>
    </w:p>
    <w:p w:rsidR="000720CA" w:rsidRPr="006D5148" w:rsidP="006D5148" w14:paraId="437A92DE" w14:textId="77777777">
      <w:pPr>
        <w:spacing w:after="0" w:line="280" w:lineRule="exact"/>
        <w:ind w:left="720" w:right="20"/>
        <w:rPr>
          <w:rFonts w:ascii="Times New Roman" w:hAnsi="Times New Roman" w:cs="Times New Roman"/>
          <w:iCs/>
          <w:sz w:val="24"/>
          <w:szCs w:val="24"/>
        </w:rPr>
      </w:pPr>
    </w:p>
    <w:p w:rsidR="000720CA" w:rsidRPr="006D5148" w:rsidP="006D5148" w14:paraId="50612F88" w14:textId="6E2BBF0B">
      <w:pPr>
        <w:spacing w:after="0" w:line="280" w:lineRule="exact"/>
        <w:ind w:left="720" w:right="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Per the</w:t>
      </w:r>
      <w:r w:rsidRPr="006D5148" w:rsidR="009237C0">
        <w:rPr>
          <w:rFonts w:ascii="Times New Roman" w:eastAsia="Times New Roman" w:hAnsi="Times New Roman" w:cs="Times New Roman"/>
          <w:iCs/>
          <w:sz w:val="24"/>
          <w:szCs w:val="24"/>
        </w:rPr>
        <w:t xml:space="preserve"> Reserve Fund and Financial Agreement executed as part of the award of a loan guarantee, recipients are required to submit financial information on a semi-annual basis in accordance with 46 CFR 298.13. This financial information is </w:t>
      </w:r>
      <w:r w:rsidR="00511993">
        <w:rPr>
          <w:rFonts w:ascii="Times New Roman" w:eastAsia="Times New Roman" w:hAnsi="Times New Roman" w:cs="Times New Roman"/>
          <w:iCs/>
          <w:sz w:val="24"/>
          <w:szCs w:val="24"/>
        </w:rPr>
        <w:t xml:space="preserve">collected through </w:t>
      </w:r>
      <w:r w:rsidRPr="00081908" w:rsidR="00511993">
        <w:rPr>
          <w:rFonts w:ascii="Times New Roman" w:eastAsia="Times New Roman" w:hAnsi="Times New Roman" w:cs="Times New Roman"/>
          <w:iCs/>
          <w:sz w:val="24"/>
          <w:szCs w:val="24"/>
        </w:rPr>
        <w:t>Form MA-172</w:t>
      </w:r>
      <w:r w:rsidR="00511993">
        <w:rPr>
          <w:rFonts w:ascii="Times New Roman" w:eastAsia="Times New Roman" w:hAnsi="Times New Roman" w:cs="Times New Roman"/>
          <w:iCs/>
          <w:sz w:val="24"/>
          <w:szCs w:val="24"/>
        </w:rPr>
        <w:t xml:space="preserve"> Financial Report of Maritime Carrier, which is </w:t>
      </w:r>
      <w:r w:rsidRPr="006D5148" w:rsidR="009237C0">
        <w:rPr>
          <w:rFonts w:ascii="Times New Roman" w:eastAsia="Times New Roman" w:hAnsi="Times New Roman" w:cs="Times New Roman"/>
          <w:iCs/>
          <w:sz w:val="24"/>
          <w:szCs w:val="24"/>
        </w:rPr>
        <w:t xml:space="preserve">covered under MARAD </w:t>
      </w:r>
      <w:r w:rsidR="00511993">
        <w:rPr>
          <w:rFonts w:ascii="Times New Roman" w:eastAsia="Times New Roman" w:hAnsi="Times New Roman" w:cs="Times New Roman"/>
          <w:iCs/>
          <w:sz w:val="24"/>
          <w:szCs w:val="24"/>
        </w:rPr>
        <w:t xml:space="preserve">existing </w:t>
      </w:r>
      <w:r w:rsidRPr="006D5148" w:rsidR="009237C0">
        <w:rPr>
          <w:rFonts w:ascii="Times New Roman" w:eastAsia="Times New Roman" w:hAnsi="Times New Roman" w:cs="Times New Roman"/>
          <w:iCs/>
          <w:sz w:val="24"/>
          <w:szCs w:val="24"/>
        </w:rPr>
        <w:t>information collection</w:t>
      </w:r>
      <w:r w:rsidR="00511993">
        <w:rPr>
          <w:rFonts w:ascii="Times New Roman" w:eastAsia="Times New Roman" w:hAnsi="Times New Roman" w:cs="Times New Roman"/>
          <w:iCs/>
          <w:sz w:val="24"/>
          <w:szCs w:val="24"/>
        </w:rPr>
        <w:t xml:space="preserve"> OMB 2133-0005 (</w:t>
      </w:r>
      <w:r w:rsidRPr="006D5148" w:rsidR="009237C0">
        <w:rPr>
          <w:rFonts w:ascii="Times New Roman" w:eastAsia="Times New Roman" w:hAnsi="Times New Roman" w:cs="Times New Roman"/>
          <w:iCs/>
          <w:sz w:val="24"/>
          <w:szCs w:val="24"/>
        </w:rPr>
        <w:t>Uniform Financial Reporting Requirements</w:t>
      </w:r>
      <w:r w:rsidR="00C27402">
        <w:rPr>
          <w:rFonts w:ascii="Times New Roman" w:eastAsia="Times New Roman" w:hAnsi="Times New Roman" w:cs="Times New Roman"/>
          <w:iCs/>
          <w:sz w:val="24"/>
          <w:szCs w:val="24"/>
        </w:rPr>
        <w:t>)</w:t>
      </w:r>
      <w:r w:rsidRPr="006D5148" w:rsidR="00C27402">
        <w:rPr>
          <w:rFonts w:ascii="Times New Roman" w:eastAsia="Times New Roman" w:hAnsi="Times New Roman" w:cs="Times New Roman"/>
          <w:iCs/>
          <w:sz w:val="24"/>
          <w:szCs w:val="24"/>
        </w:rPr>
        <w:t xml:space="preserve"> and</w:t>
      </w:r>
      <w:r w:rsidRPr="006D5148" w:rsidR="009237C0">
        <w:rPr>
          <w:rFonts w:ascii="Times New Roman" w:eastAsia="Times New Roman" w:hAnsi="Times New Roman" w:cs="Times New Roman"/>
          <w:iCs/>
          <w:sz w:val="24"/>
          <w:szCs w:val="24"/>
        </w:rPr>
        <w:t xml:space="preserve"> </w:t>
      </w:r>
      <w:r w:rsidR="005D12DC">
        <w:rPr>
          <w:rFonts w:ascii="Times New Roman" w:eastAsia="Times New Roman" w:hAnsi="Times New Roman" w:cs="Times New Roman"/>
          <w:iCs/>
          <w:sz w:val="24"/>
          <w:szCs w:val="24"/>
        </w:rPr>
        <w:t>excluded from OMB</w:t>
      </w:r>
      <w:r w:rsidRPr="006D5148" w:rsidR="009237C0">
        <w:rPr>
          <w:rFonts w:ascii="Times New Roman" w:eastAsia="Times New Roman" w:hAnsi="Times New Roman" w:cs="Times New Roman"/>
          <w:iCs/>
          <w:sz w:val="24"/>
          <w:szCs w:val="24"/>
        </w:rPr>
        <w:t xml:space="preserve"> 2133-0018.</w:t>
      </w:r>
    </w:p>
    <w:p w:rsidR="000720CA" w:rsidRPr="006D5148" w:rsidP="006D5148" w14:paraId="3B6948ED" w14:textId="77777777">
      <w:pPr>
        <w:spacing w:after="0" w:line="280" w:lineRule="exact"/>
        <w:ind w:left="720" w:right="20"/>
        <w:rPr>
          <w:rFonts w:ascii="Times New Roman" w:eastAsia="Times New Roman" w:hAnsi="Times New Roman" w:cs="Times New Roman"/>
          <w:iCs/>
          <w:sz w:val="24"/>
          <w:szCs w:val="24"/>
        </w:rPr>
      </w:pPr>
    </w:p>
    <w:p w:rsidR="00C475A3" w:rsidRPr="006D5148" w:rsidP="006D5148" w14:paraId="5F3F3349" w14:textId="2100D154">
      <w:pPr>
        <w:spacing w:after="0" w:line="280" w:lineRule="exact"/>
        <w:ind w:left="720"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The loan guarantee program is one of MARAD's primary means of achieving the Department of Transportation's strategic goal</w:t>
      </w:r>
      <w:r w:rsidR="00045910">
        <w:rPr>
          <w:rFonts w:ascii="Times New Roman" w:eastAsia="Times New Roman" w:hAnsi="Times New Roman" w:cs="Times New Roman"/>
          <w:iCs/>
          <w:sz w:val="24"/>
          <w:szCs w:val="24"/>
        </w:rPr>
        <w:t xml:space="preserve"> of Global Economic Leadership</w:t>
      </w:r>
      <w:r w:rsidRPr="006D5148" w:rsidR="00BC08DF">
        <w:rPr>
          <w:rFonts w:ascii="Times New Roman" w:eastAsia="Times New Roman" w:hAnsi="Times New Roman" w:cs="Times New Roman"/>
          <w:iCs/>
          <w:sz w:val="24"/>
          <w:szCs w:val="24"/>
        </w:rPr>
        <w:t xml:space="preserve"> set under the </w:t>
      </w:r>
      <w:r w:rsidR="000F6850">
        <w:rPr>
          <w:rFonts w:ascii="Times New Roman" w:eastAsia="Times New Roman" w:hAnsi="Times New Roman" w:cs="Times New Roman"/>
          <w:iCs/>
          <w:sz w:val="24"/>
          <w:szCs w:val="24"/>
        </w:rPr>
        <w:t>2022-2026</w:t>
      </w:r>
      <w:r w:rsidRPr="006D5148" w:rsidR="00BC08DF">
        <w:rPr>
          <w:rFonts w:ascii="Times New Roman" w:eastAsia="Times New Roman" w:hAnsi="Times New Roman" w:cs="Times New Roman"/>
          <w:iCs/>
          <w:sz w:val="24"/>
          <w:szCs w:val="24"/>
        </w:rPr>
        <w:t xml:space="preserve"> Strategic Plan. </w:t>
      </w:r>
      <w:r w:rsidR="00045910">
        <w:rPr>
          <w:rFonts w:ascii="Times New Roman" w:eastAsia="Times New Roman" w:hAnsi="Times New Roman" w:cs="Times New Roman"/>
          <w:iCs/>
          <w:sz w:val="24"/>
          <w:szCs w:val="24"/>
        </w:rPr>
        <w:t>Specifically, t</w:t>
      </w:r>
      <w:r w:rsidRPr="006D5148" w:rsidR="00045910">
        <w:rPr>
          <w:rFonts w:ascii="Times New Roman" w:eastAsia="Times New Roman" w:hAnsi="Times New Roman" w:cs="Times New Roman"/>
          <w:iCs/>
          <w:sz w:val="24"/>
          <w:szCs w:val="24"/>
        </w:rPr>
        <w:t xml:space="preserve">his </w:t>
      </w:r>
      <w:r w:rsidRPr="006D5148" w:rsidR="00BC08DF">
        <w:rPr>
          <w:rFonts w:ascii="Times New Roman" w:eastAsia="Times New Roman" w:hAnsi="Times New Roman" w:cs="Times New Roman"/>
          <w:iCs/>
          <w:sz w:val="24"/>
          <w:szCs w:val="24"/>
        </w:rPr>
        <w:t xml:space="preserve">program is instrumental in achieving in </w:t>
      </w:r>
      <w:r w:rsidR="00045910">
        <w:rPr>
          <w:rFonts w:ascii="Times New Roman" w:eastAsia="Times New Roman" w:hAnsi="Times New Roman" w:cs="Times New Roman"/>
          <w:iCs/>
          <w:sz w:val="24"/>
          <w:szCs w:val="24"/>
        </w:rPr>
        <w:t xml:space="preserve">economic competitiveness in </w:t>
      </w:r>
      <w:r w:rsidRPr="006D5148" w:rsidR="00BC08DF">
        <w:rPr>
          <w:rFonts w:ascii="Times New Roman" w:eastAsia="Times New Roman" w:hAnsi="Times New Roman" w:cs="Times New Roman"/>
          <w:iCs/>
          <w:sz w:val="24"/>
          <w:szCs w:val="24"/>
        </w:rPr>
        <w:t xml:space="preserve">the </w:t>
      </w:r>
      <w:r w:rsidR="00A17DBE">
        <w:rPr>
          <w:rFonts w:ascii="Times New Roman" w:eastAsia="Times New Roman" w:hAnsi="Times New Roman" w:cs="Times New Roman"/>
          <w:iCs/>
          <w:sz w:val="24"/>
          <w:szCs w:val="24"/>
        </w:rPr>
        <w:t>m</w:t>
      </w:r>
      <w:r w:rsidRPr="006D5148" w:rsidR="00A17DBE">
        <w:rPr>
          <w:rFonts w:ascii="Times New Roman" w:eastAsia="Times New Roman" w:hAnsi="Times New Roman" w:cs="Times New Roman"/>
          <w:iCs/>
          <w:sz w:val="24"/>
          <w:szCs w:val="24"/>
        </w:rPr>
        <w:t xml:space="preserve">aritime </w:t>
      </w:r>
      <w:r w:rsidR="00A17DBE">
        <w:rPr>
          <w:rFonts w:ascii="Times New Roman" w:eastAsia="Times New Roman" w:hAnsi="Times New Roman" w:cs="Times New Roman"/>
          <w:iCs/>
          <w:sz w:val="24"/>
          <w:szCs w:val="24"/>
        </w:rPr>
        <w:t>i</w:t>
      </w:r>
      <w:r w:rsidRPr="006D5148" w:rsidR="00A17DBE">
        <w:rPr>
          <w:rFonts w:ascii="Times New Roman" w:eastAsia="Times New Roman" w:hAnsi="Times New Roman" w:cs="Times New Roman"/>
          <w:iCs/>
          <w:sz w:val="24"/>
          <w:szCs w:val="24"/>
        </w:rPr>
        <w:t xml:space="preserve">ndustry </w:t>
      </w:r>
      <w:r w:rsidRPr="006D5148" w:rsidR="00753B1C">
        <w:rPr>
          <w:rFonts w:ascii="Times New Roman" w:eastAsia="Times New Roman" w:hAnsi="Times New Roman" w:cs="Times New Roman"/>
          <w:iCs/>
          <w:sz w:val="24"/>
          <w:szCs w:val="24"/>
        </w:rPr>
        <w:t>by encouraging</w:t>
      </w:r>
      <w:r w:rsidRPr="006D5148">
        <w:rPr>
          <w:rFonts w:ascii="Times New Roman" w:eastAsia="Times New Roman" w:hAnsi="Times New Roman" w:cs="Times New Roman"/>
          <w:iCs/>
          <w:sz w:val="24"/>
          <w:szCs w:val="24"/>
        </w:rPr>
        <w:t xml:space="preserve"> growth </w:t>
      </w:r>
      <w:r w:rsidR="00A17DBE">
        <w:rPr>
          <w:rFonts w:ascii="Times New Roman" w:eastAsia="Times New Roman" w:hAnsi="Times New Roman" w:cs="Times New Roman"/>
          <w:iCs/>
          <w:sz w:val="24"/>
          <w:szCs w:val="24"/>
        </w:rPr>
        <w:t>in</w:t>
      </w:r>
      <w:r w:rsidRPr="006D5148" w:rsidR="00A17DBE">
        <w:rPr>
          <w:rFonts w:ascii="Times New Roman" w:eastAsia="Times New Roman" w:hAnsi="Times New Roman" w:cs="Times New Roman"/>
          <w:iCs/>
          <w:sz w:val="24"/>
          <w:szCs w:val="24"/>
        </w:rPr>
        <w:t xml:space="preserve"> </w:t>
      </w:r>
      <w:r w:rsidRPr="003E4B7C" w:rsidR="003E4B7C">
        <w:rPr>
          <w:rFonts w:ascii="Times New Roman" w:eastAsia="Times New Roman" w:hAnsi="Times New Roman" w:cs="Times New Roman"/>
          <w:iCs/>
          <w:sz w:val="24"/>
          <w:szCs w:val="24"/>
        </w:rPr>
        <w:t>trade and</w:t>
      </w:r>
      <w:r w:rsidRPr="006D5148">
        <w:rPr>
          <w:rFonts w:ascii="Times New Roman" w:eastAsia="Times New Roman" w:hAnsi="Times New Roman" w:cs="Times New Roman"/>
          <w:iCs/>
          <w:sz w:val="24"/>
          <w:szCs w:val="24"/>
        </w:rPr>
        <w:t xml:space="preserve"> </w:t>
      </w:r>
      <w:r w:rsidR="00A17DBE">
        <w:rPr>
          <w:rFonts w:ascii="Times New Roman" w:eastAsia="Times New Roman" w:hAnsi="Times New Roman" w:cs="Times New Roman"/>
          <w:iCs/>
          <w:sz w:val="24"/>
          <w:szCs w:val="24"/>
        </w:rPr>
        <w:t xml:space="preserve">enhancing </w:t>
      </w:r>
      <w:r w:rsidRPr="006D5148">
        <w:rPr>
          <w:rFonts w:ascii="Times New Roman" w:eastAsia="Times New Roman" w:hAnsi="Times New Roman" w:cs="Times New Roman"/>
          <w:iCs/>
          <w:sz w:val="24"/>
          <w:szCs w:val="24"/>
        </w:rPr>
        <w:t xml:space="preserve">the capability of the </w:t>
      </w:r>
      <w:r w:rsidRPr="006D5148" w:rsidR="00C40146">
        <w:rPr>
          <w:rFonts w:ascii="Times New Roman" w:eastAsia="Times New Roman" w:hAnsi="Times New Roman" w:cs="Times New Roman"/>
          <w:iCs/>
          <w:sz w:val="24"/>
          <w:szCs w:val="24"/>
        </w:rPr>
        <w:t>transportation system</w:t>
      </w:r>
      <w:r w:rsidRPr="006D5148">
        <w:rPr>
          <w:rFonts w:ascii="Times New Roman" w:eastAsia="Times New Roman" w:hAnsi="Times New Roman" w:cs="Times New Roman"/>
          <w:iCs/>
          <w:sz w:val="24"/>
          <w:szCs w:val="24"/>
        </w:rPr>
        <w:t xml:space="preserve"> to meet national defense needs.</w:t>
      </w:r>
    </w:p>
    <w:p w:rsidR="00A17DBE" w:rsidRPr="008C4231" w:rsidP="006D5148" w14:paraId="437023A1" w14:textId="77777777">
      <w:pPr>
        <w:spacing w:after="0" w:line="280" w:lineRule="exact"/>
        <w:ind w:left="720" w:right="20"/>
        <w:rPr>
          <w:rFonts w:ascii="Times New Roman" w:hAnsi="Times New Roman" w:cs="Times New Roman"/>
          <w:iCs/>
          <w:sz w:val="24"/>
          <w:szCs w:val="24"/>
        </w:rPr>
      </w:pPr>
    </w:p>
    <w:p w:rsidR="000720CA" w:rsidRPr="006D5148" w:rsidP="006D5148" w14:paraId="4C1FBC6F" w14:textId="2F477AB0">
      <w:pPr>
        <w:pStyle w:val="ListParagraph"/>
        <w:numPr>
          <w:ilvl w:val="0"/>
          <w:numId w:val="8"/>
        </w:numPr>
        <w:tabs>
          <w:tab w:val="left" w:pos="900"/>
        </w:tabs>
        <w:spacing w:after="0" w:line="280" w:lineRule="exact"/>
        <w:ind w:right="20"/>
        <w:rPr>
          <w:rFonts w:ascii="Times New Roman" w:eastAsia="Times New Roman" w:hAnsi="Times New Roman" w:cs="Times New Roman"/>
          <w:b/>
          <w:bCs/>
          <w:sz w:val="24"/>
          <w:szCs w:val="24"/>
        </w:rPr>
      </w:pPr>
      <w:r w:rsidRPr="006D5148">
        <w:rPr>
          <w:rFonts w:ascii="Times New Roman" w:eastAsia="Times New Roman" w:hAnsi="Times New Roman" w:cs="Times New Roman"/>
          <w:b/>
          <w:bCs/>
          <w:sz w:val="24"/>
          <w:szCs w:val="24"/>
        </w:rPr>
        <w:t>P</w:t>
      </w:r>
      <w:r w:rsidRPr="006D5148" w:rsidR="008A7FFC">
        <w:rPr>
          <w:rFonts w:ascii="Times New Roman" w:eastAsia="Times New Roman" w:hAnsi="Times New Roman" w:cs="Times New Roman"/>
          <w:b/>
          <w:bCs/>
          <w:sz w:val="24"/>
          <w:szCs w:val="24"/>
        </w:rPr>
        <w:t xml:space="preserve">urpose </w:t>
      </w:r>
      <w:r w:rsidRPr="006D5148">
        <w:rPr>
          <w:rFonts w:ascii="Times New Roman" w:eastAsia="Times New Roman" w:hAnsi="Times New Roman" w:cs="Times New Roman"/>
          <w:b/>
          <w:bCs/>
          <w:sz w:val="24"/>
          <w:szCs w:val="24"/>
        </w:rPr>
        <w:t>and Use of the I</w:t>
      </w:r>
      <w:r w:rsidRPr="006D5148" w:rsidR="008A7FFC">
        <w:rPr>
          <w:rFonts w:ascii="Times New Roman" w:eastAsia="Times New Roman" w:hAnsi="Times New Roman" w:cs="Times New Roman"/>
          <w:b/>
          <w:bCs/>
          <w:sz w:val="24"/>
          <w:szCs w:val="24"/>
        </w:rPr>
        <w:t xml:space="preserve">nformation </w:t>
      </w:r>
      <w:r w:rsidRPr="006D5148">
        <w:rPr>
          <w:rFonts w:ascii="Times New Roman" w:eastAsia="Times New Roman" w:hAnsi="Times New Roman" w:cs="Times New Roman"/>
          <w:b/>
          <w:bCs/>
          <w:sz w:val="24"/>
          <w:szCs w:val="24"/>
        </w:rPr>
        <w:t>Collection</w:t>
      </w:r>
    </w:p>
    <w:p w:rsidR="000720CA" w:rsidRPr="00B171A4" w:rsidP="005346D8" w14:paraId="788CCDEE" w14:textId="77777777">
      <w:pPr>
        <w:spacing w:after="0" w:line="280" w:lineRule="exact"/>
        <w:ind w:right="20"/>
        <w:rPr>
          <w:rFonts w:ascii="Times New Roman" w:hAnsi="Times New Roman" w:cs="Times New Roman"/>
          <w:sz w:val="24"/>
          <w:szCs w:val="24"/>
        </w:rPr>
      </w:pPr>
    </w:p>
    <w:p w:rsidR="000720CA" w:rsidRPr="006D5148" w:rsidP="006D5148" w14:paraId="4CC51AF9" w14:textId="1F4D096D">
      <w:pPr>
        <w:spacing w:after="0" w:line="280" w:lineRule="exact"/>
        <w:ind w:left="720"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MARAD personnel will use the</w:t>
      </w:r>
      <w:r w:rsidRPr="006D5148" w:rsidR="009237C0">
        <w:rPr>
          <w:rFonts w:ascii="Times New Roman" w:eastAsia="Times New Roman" w:hAnsi="Times New Roman" w:cs="Times New Roman"/>
          <w:iCs/>
          <w:sz w:val="24"/>
          <w:szCs w:val="24"/>
        </w:rPr>
        <w:t xml:space="preserve"> information </w:t>
      </w:r>
      <w:r w:rsidRPr="006D5148">
        <w:rPr>
          <w:rFonts w:ascii="Times New Roman" w:eastAsia="Times New Roman" w:hAnsi="Times New Roman" w:cs="Times New Roman"/>
          <w:iCs/>
          <w:sz w:val="24"/>
          <w:szCs w:val="24"/>
        </w:rPr>
        <w:t xml:space="preserve">collected through OMB 2133-0018 </w:t>
      </w:r>
      <w:r w:rsidRPr="006D5148" w:rsidR="009237C0">
        <w:rPr>
          <w:rFonts w:ascii="Times New Roman" w:eastAsia="Times New Roman" w:hAnsi="Times New Roman" w:cs="Times New Roman"/>
          <w:iCs/>
          <w:sz w:val="24"/>
          <w:szCs w:val="24"/>
        </w:rPr>
        <w:t>to evaluate each applicant</w:t>
      </w:r>
      <w:r w:rsidR="008314BE">
        <w:rPr>
          <w:rFonts w:ascii="Times New Roman" w:eastAsia="Times New Roman" w:hAnsi="Times New Roman" w:cs="Times New Roman"/>
          <w:iCs/>
          <w:sz w:val="24"/>
          <w:szCs w:val="24"/>
        </w:rPr>
        <w:t xml:space="preserve">’s </w:t>
      </w:r>
      <w:r w:rsidRPr="006D5148">
        <w:rPr>
          <w:rFonts w:ascii="Times New Roman" w:eastAsia="Times New Roman" w:hAnsi="Times New Roman" w:cs="Times New Roman"/>
          <w:iCs/>
          <w:sz w:val="24"/>
          <w:szCs w:val="24"/>
        </w:rPr>
        <w:t xml:space="preserve">eligibility for participation </w:t>
      </w:r>
      <w:r w:rsidRPr="006D5148" w:rsidR="000B4981">
        <w:rPr>
          <w:rFonts w:ascii="Times New Roman" w:eastAsia="Times New Roman" w:hAnsi="Times New Roman" w:cs="Times New Roman"/>
          <w:iCs/>
          <w:sz w:val="24"/>
          <w:szCs w:val="24"/>
        </w:rPr>
        <w:t xml:space="preserve">in </w:t>
      </w:r>
      <w:r w:rsidR="008314BE">
        <w:rPr>
          <w:rFonts w:ascii="Times New Roman" w:eastAsia="Times New Roman" w:hAnsi="Times New Roman" w:cs="Times New Roman"/>
          <w:iCs/>
          <w:sz w:val="24"/>
          <w:szCs w:val="24"/>
        </w:rPr>
        <w:t>a ship or shipyard financing</w:t>
      </w:r>
      <w:r w:rsidRPr="006D5148" w:rsidR="000B4981">
        <w:rPr>
          <w:rFonts w:ascii="Times New Roman" w:eastAsia="Times New Roman" w:hAnsi="Times New Roman" w:cs="Times New Roman"/>
          <w:iCs/>
          <w:sz w:val="24"/>
          <w:szCs w:val="24"/>
        </w:rPr>
        <w:t xml:space="preserve"> </w:t>
      </w:r>
      <w:r w:rsidR="004504D5">
        <w:rPr>
          <w:rFonts w:ascii="Times New Roman" w:eastAsia="Times New Roman" w:hAnsi="Times New Roman" w:cs="Times New Roman"/>
          <w:iCs/>
          <w:sz w:val="24"/>
          <w:szCs w:val="24"/>
        </w:rPr>
        <w:t xml:space="preserve">loan guarantee </w:t>
      </w:r>
      <w:r w:rsidRPr="006D5148" w:rsidR="000B4981">
        <w:rPr>
          <w:rFonts w:ascii="Times New Roman" w:eastAsia="Times New Roman" w:hAnsi="Times New Roman" w:cs="Times New Roman"/>
          <w:iCs/>
          <w:sz w:val="24"/>
          <w:szCs w:val="24"/>
        </w:rPr>
        <w:t>program</w:t>
      </w:r>
      <w:r w:rsidRPr="006D5148" w:rsidR="009237C0">
        <w:rPr>
          <w:rFonts w:ascii="Times New Roman" w:eastAsia="Times New Roman" w:hAnsi="Times New Roman" w:cs="Times New Roman"/>
          <w:iCs/>
          <w:sz w:val="24"/>
          <w:szCs w:val="24"/>
        </w:rPr>
        <w:t>. To simplify</w:t>
      </w:r>
      <w:r w:rsidR="008314BE">
        <w:rPr>
          <w:rFonts w:ascii="Times New Roman" w:eastAsia="Times New Roman" w:hAnsi="Times New Roman" w:cs="Times New Roman"/>
          <w:iCs/>
          <w:sz w:val="24"/>
          <w:szCs w:val="24"/>
        </w:rPr>
        <w:t xml:space="preserve"> data</w:t>
      </w:r>
      <w:r w:rsidRPr="006D5148" w:rsidR="009237C0">
        <w:rPr>
          <w:rFonts w:ascii="Times New Roman" w:eastAsia="Times New Roman" w:hAnsi="Times New Roman" w:cs="Times New Roman"/>
          <w:iCs/>
          <w:sz w:val="24"/>
          <w:szCs w:val="24"/>
        </w:rPr>
        <w:t xml:space="preserve"> collection and processing, two separate forms </w:t>
      </w:r>
      <w:r w:rsidR="000B4981">
        <w:rPr>
          <w:rFonts w:ascii="Times New Roman" w:eastAsia="Times New Roman" w:hAnsi="Times New Roman" w:cs="Times New Roman"/>
          <w:iCs/>
          <w:sz w:val="24"/>
          <w:szCs w:val="24"/>
        </w:rPr>
        <w:t xml:space="preserve">are used </w:t>
      </w:r>
      <w:bookmarkStart w:id="1" w:name="_Hlk163829491"/>
      <w:r w:rsidR="000B4981">
        <w:rPr>
          <w:rFonts w:ascii="Times New Roman" w:eastAsia="Times New Roman" w:hAnsi="Times New Roman" w:cs="Times New Roman"/>
          <w:iCs/>
          <w:sz w:val="24"/>
          <w:szCs w:val="24"/>
        </w:rPr>
        <w:t xml:space="preserve">(i.e., </w:t>
      </w:r>
      <w:r w:rsidRPr="006D5148" w:rsidR="009237C0">
        <w:rPr>
          <w:rFonts w:ascii="Times New Roman" w:eastAsia="Times New Roman" w:hAnsi="Times New Roman" w:cs="Times New Roman"/>
          <w:iCs/>
          <w:sz w:val="24"/>
          <w:szCs w:val="24"/>
        </w:rPr>
        <w:t xml:space="preserve">MA-163 </w:t>
      </w:r>
      <w:r w:rsidR="000B4981">
        <w:rPr>
          <w:rFonts w:ascii="Times New Roman" w:eastAsia="Times New Roman" w:hAnsi="Times New Roman" w:cs="Times New Roman"/>
          <w:iCs/>
          <w:sz w:val="24"/>
          <w:szCs w:val="24"/>
        </w:rPr>
        <w:t>(Instructions and Application for Ship Financing)</w:t>
      </w:r>
      <w:r w:rsidRPr="006D5148" w:rsidR="009237C0">
        <w:rPr>
          <w:rFonts w:ascii="Times New Roman" w:eastAsia="Times New Roman" w:hAnsi="Times New Roman" w:cs="Times New Roman"/>
          <w:iCs/>
          <w:sz w:val="24"/>
          <w:szCs w:val="24"/>
        </w:rPr>
        <w:t xml:space="preserve"> and</w:t>
      </w:r>
      <w:r w:rsidR="000B4981">
        <w:rPr>
          <w:rFonts w:ascii="Times New Roman" w:eastAsia="Times New Roman" w:hAnsi="Times New Roman" w:cs="Times New Roman"/>
          <w:iCs/>
          <w:sz w:val="24"/>
          <w:szCs w:val="24"/>
        </w:rPr>
        <w:t xml:space="preserve"> </w:t>
      </w:r>
      <w:r w:rsidRPr="006D5148" w:rsidR="009237C0">
        <w:rPr>
          <w:rFonts w:ascii="Times New Roman" w:eastAsia="Times New Roman" w:hAnsi="Times New Roman" w:cs="Times New Roman"/>
          <w:iCs/>
          <w:sz w:val="24"/>
          <w:szCs w:val="24"/>
        </w:rPr>
        <w:t xml:space="preserve">MA-163A </w:t>
      </w:r>
      <w:r w:rsidR="000B4981">
        <w:rPr>
          <w:rFonts w:ascii="Times New Roman" w:eastAsia="Times New Roman" w:hAnsi="Times New Roman" w:cs="Times New Roman"/>
          <w:iCs/>
          <w:sz w:val="24"/>
          <w:szCs w:val="24"/>
        </w:rPr>
        <w:t>(</w:t>
      </w:r>
      <w:r w:rsidRPr="000B4981" w:rsidR="000B4981">
        <w:rPr>
          <w:rFonts w:ascii="Times New Roman" w:eastAsia="Times New Roman" w:hAnsi="Times New Roman" w:cs="Times New Roman"/>
          <w:iCs/>
          <w:sz w:val="24"/>
          <w:szCs w:val="24"/>
        </w:rPr>
        <w:t xml:space="preserve">Instructions </w:t>
      </w:r>
      <w:r w:rsidR="000B4981">
        <w:rPr>
          <w:rFonts w:ascii="Times New Roman" w:eastAsia="Times New Roman" w:hAnsi="Times New Roman" w:cs="Times New Roman"/>
          <w:iCs/>
          <w:sz w:val="24"/>
          <w:szCs w:val="24"/>
        </w:rPr>
        <w:t>and</w:t>
      </w:r>
      <w:r w:rsidR="008314BE">
        <w:rPr>
          <w:rFonts w:ascii="Times New Roman" w:eastAsia="Times New Roman" w:hAnsi="Times New Roman" w:cs="Times New Roman"/>
          <w:iCs/>
          <w:sz w:val="24"/>
          <w:szCs w:val="24"/>
        </w:rPr>
        <w:t xml:space="preserve"> </w:t>
      </w:r>
      <w:r w:rsidRPr="000B4981" w:rsidR="000B4981">
        <w:rPr>
          <w:rFonts w:ascii="Times New Roman" w:eastAsia="Times New Roman" w:hAnsi="Times New Roman" w:cs="Times New Roman"/>
          <w:iCs/>
          <w:sz w:val="24"/>
          <w:szCs w:val="24"/>
        </w:rPr>
        <w:t>Application for Shipyard</w:t>
      </w:r>
      <w:r w:rsidR="000B4981">
        <w:rPr>
          <w:rFonts w:ascii="Times New Roman" w:eastAsia="Times New Roman" w:hAnsi="Times New Roman" w:cs="Times New Roman"/>
          <w:iCs/>
          <w:sz w:val="24"/>
          <w:szCs w:val="24"/>
        </w:rPr>
        <w:t xml:space="preserve"> </w:t>
      </w:r>
      <w:r w:rsidRPr="000B4981" w:rsidR="000B4981">
        <w:rPr>
          <w:rFonts w:ascii="Times New Roman" w:eastAsia="Times New Roman" w:hAnsi="Times New Roman" w:cs="Times New Roman"/>
          <w:iCs/>
          <w:sz w:val="24"/>
          <w:szCs w:val="24"/>
        </w:rPr>
        <w:t>Financing</w:t>
      </w:r>
      <w:r w:rsidR="000B4981">
        <w:rPr>
          <w:rFonts w:ascii="Times New Roman" w:eastAsia="Times New Roman" w:hAnsi="Times New Roman" w:cs="Times New Roman"/>
          <w:iCs/>
          <w:sz w:val="24"/>
          <w:szCs w:val="24"/>
        </w:rPr>
        <w:t>)</w:t>
      </w:r>
      <w:bookmarkEnd w:id="1"/>
      <w:r w:rsidR="008314BE">
        <w:rPr>
          <w:rFonts w:ascii="Times New Roman" w:eastAsia="Times New Roman" w:hAnsi="Times New Roman" w:cs="Times New Roman"/>
          <w:iCs/>
          <w:sz w:val="24"/>
          <w:szCs w:val="24"/>
        </w:rPr>
        <w:t>)</w:t>
      </w:r>
      <w:r w:rsidRPr="006D5148" w:rsidR="009237C0">
        <w:rPr>
          <w:rFonts w:ascii="Times New Roman" w:eastAsia="Times New Roman" w:hAnsi="Times New Roman" w:cs="Times New Roman"/>
          <w:iCs/>
          <w:sz w:val="24"/>
          <w:szCs w:val="24"/>
        </w:rPr>
        <w:t xml:space="preserve">. Some of the </w:t>
      </w:r>
      <w:r w:rsidRPr="006D5148" w:rsidR="00C40146">
        <w:rPr>
          <w:rFonts w:ascii="Times New Roman" w:eastAsia="Times New Roman" w:hAnsi="Times New Roman" w:cs="Times New Roman"/>
          <w:iCs/>
          <w:sz w:val="24"/>
          <w:szCs w:val="24"/>
        </w:rPr>
        <w:t xml:space="preserve">information </w:t>
      </w:r>
      <w:r w:rsidR="000B4981">
        <w:rPr>
          <w:rFonts w:ascii="Times New Roman" w:eastAsia="Times New Roman" w:hAnsi="Times New Roman" w:cs="Times New Roman"/>
          <w:iCs/>
          <w:sz w:val="24"/>
          <w:szCs w:val="24"/>
        </w:rPr>
        <w:t>request</w:t>
      </w:r>
      <w:r w:rsidR="008314BE">
        <w:rPr>
          <w:rFonts w:ascii="Times New Roman" w:eastAsia="Times New Roman" w:hAnsi="Times New Roman" w:cs="Times New Roman"/>
          <w:iCs/>
          <w:sz w:val="24"/>
          <w:szCs w:val="24"/>
        </w:rPr>
        <w:t>ed</w:t>
      </w:r>
      <w:r w:rsidR="000B4981">
        <w:rPr>
          <w:rFonts w:ascii="Times New Roman" w:eastAsia="Times New Roman" w:hAnsi="Times New Roman" w:cs="Times New Roman"/>
          <w:iCs/>
          <w:sz w:val="24"/>
          <w:szCs w:val="24"/>
        </w:rPr>
        <w:t xml:space="preserve"> </w:t>
      </w:r>
      <w:r w:rsidRPr="006D5148" w:rsidR="009237C0">
        <w:rPr>
          <w:rFonts w:ascii="Times New Roman" w:eastAsia="Times New Roman" w:hAnsi="Times New Roman" w:cs="Times New Roman"/>
          <w:iCs/>
          <w:sz w:val="24"/>
          <w:szCs w:val="24"/>
        </w:rPr>
        <w:t>is</w:t>
      </w:r>
      <w:r w:rsidRPr="006D5148" w:rsidR="00C40146">
        <w:rPr>
          <w:rFonts w:ascii="Times New Roman" w:eastAsia="Times New Roman" w:hAnsi="Times New Roman" w:cs="Times New Roman"/>
          <w:iCs/>
          <w:sz w:val="24"/>
          <w:szCs w:val="24"/>
        </w:rPr>
        <w:t xml:space="preserve"> </w:t>
      </w:r>
      <w:r w:rsidRPr="006D5148" w:rsidR="009237C0">
        <w:rPr>
          <w:rFonts w:ascii="Times New Roman" w:eastAsia="Times New Roman" w:hAnsi="Times New Roman" w:cs="Times New Roman"/>
          <w:iCs/>
          <w:sz w:val="24"/>
          <w:szCs w:val="24"/>
        </w:rPr>
        <w:t xml:space="preserve">specific to </w:t>
      </w:r>
      <w:r w:rsidR="008314BE">
        <w:rPr>
          <w:rFonts w:ascii="Times New Roman" w:eastAsia="Times New Roman" w:hAnsi="Times New Roman" w:cs="Times New Roman"/>
          <w:iCs/>
          <w:sz w:val="24"/>
          <w:szCs w:val="24"/>
        </w:rPr>
        <w:t xml:space="preserve">either financing </w:t>
      </w:r>
      <w:r w:rsidRPr="006D5148" w:rsidR="009237C0">
        <w:rPr>
          <w:rFonts w:ascii="Times New Roman" w:eastAsia="Times New Roman" w:hAnsi="Times New Roman" w:cs="Times New Roman"/>
          <w:iCs/>
          <w:sz w:val="24"/>
          <w:szCs w:val="24"/>
        </w:rPr>
        <w:t>project</w:t>
      </w:r>
      <w:r w:rsidR="000B4981">
        <w:rPr>
          <w:rFonts w:ascii="Times New Roman" w:eastAsia="Times New Roman" w:hAnsi="Times New Roman" w:cs="Times New Roman"/>
          <w:iCs/>
          <w:sz w:val="24"/>
          <w:szCs w:val="24"/>
        </w:rPr>
        <w:t>,</w:t>
      </w:r>
      <w:r w:rsidRPr="006D5148" w:rsidR="009237C0">
        <w:rPr>
          <w:rFonts w:ascii="Times New Roman" w:eastAsia="Times New Roman" w:hAnsi="Times New Roman" w:cs="Times New Roman"/>
          <w:iCs/>
          <w:sz w:val="24"/>
          <w:szCs w:val="24"/>
        </w:rPr>
        <w:t xml:space="preserve"> while </w:t>
      </w:r>
      <w:r w:rsidR="000B4981">
        <w:rPr>
          <w:rFonts w:ascii="Times New Roman" w:eastAsia="Times New Roman" w:hAnsi="Times New Roman" w:cs="Times New Roman"/>
          <w:iCs/>
          <w:sz w:val="24"/>
          <w:szCs w:val="24"/>
        </w:rPr>
        <w:t xml:space="preserve">other collected data is </w:t>
      </w:r>
      <w:r w:rsidR="004504D5">
        <w:rPr>
          <w:rFonts w:ascii="Times New Roman" w:eastAsia="Times New Roman" w:hAnsi="Times New Roman" w:cs="Times New Roman"/>
          <w:iCs/>
          <w:sz w:val="24"/>
          <w:szCs w:val="24"/>
        </w:rPr>
        <w:t>similar for</w:t>
      </w:r>
      <w:r w:rsidR="008314BE">
        <w:rPr>
          <w:rFonts w:ascii="Times New Roman" w:eastAsia="Times New Roman" w:hAnsi="Times New Roman" w:cs="Times New Roman"/>
          <w:iCs/>
          <w:sz w:val="24"/>
          <w:szCs w:val="24"/>
        </w:rPr>
        <w:t xml:space="preserve"> both</w:t>
      </w:r>
      <w:r w:rsidR="004504D5">
        <w:rPr>
          <w:rFonts w:ascii="Times New Roman" w:eastAsia="Times New Roman" w:hAnsi="Times New Roman" w:cs="Times New Roman"/>
          <w:iCs/>
          <w:sz w:val="24"/>
          <w:szCs w:val="24"/>
        </w:rPr>
        <w:t xml:space="preserve"> </w:t>
      </w:r>
      <w:r w:rsidR="008314BE">
        <w:rPr>
          <w:rFonts w:ascii="Times New Roman" w:eastAsia="Times New Roman" w:hAnsi="Times New Roman" w:cs="Times New Roman"/>
          <w:iCs/>
          <w:sz w:val="24"/>
          <w:szCs w:val="24"/>
        </w:rPr>
        <w:t>projects</w:t>
      </w:r>
      <w:r w:rsidRPr="006D5148" w:rsidR="009237C0">
        <w:rPr>
          <w:rFonts w:ascii="Times New Roman" w:eastAsia="Times New Roman" w:hAnsi="Times New Roman" w:cs="Times New Roman"/>
          <w:iCs/>
          <w:sz w:val="24"/>
          <w:szCs w:val="24"/>
        </w:rPr>
        <w:t xml:space="preserve">. The burden </w:t>
      </w:r>
      <w:r w:rsidRPr="006D5148" w:rsidR="00C40146">
        <w:rPr>
          <w:rFonts w:ascii="Times New Roman" w:eastAsia="Times New Roman" w:hAnsi="Times New Roman" w:cs="Times New Roman"/>
          <w:iCs/>
          <w:sz w:val="24"/>
          <w:szCs w:val="24"/>
        </w:rPr>
        <w:t>associated with</w:t>
      </w:r>
      <w:r w:rsidRPr="006D5148" w:rsidR="009237C0">
        <w:rPr>
          <w:rFonts w:ascii="Times New Roman" w:eastAsia="Times New Roman" w:hAnsi="Times New Roman" w:cs="Times New Roman"/>
          <w:iCs/>
          <w:sz w:val="24"/>
          <w:szCs w:val="24"/>
        </w:rPr>
        <w:t xml:space="preserve"> each form is equal. MARAD </w:t>
      </w:r>
      <w:r w:rsidR="000B4981">
        <w:rPr>
          <w:rFonts w:ascii="Times New Roman" w:eastAsia="Times New Roman" w:hAnsi="Times New Roman" w:cs="Times New Roman"/>
          <w:iCs/>
          <w:sz w:val="24"/>
          <w:szCs w:val="24"/>
        </w:rPr>
        <w:t xml:space="preserve">personnel will be unable to properly </w:t>
      </w:r>
      <w:r w:rsidRPr="006D5148" w:rsidR="009237C0">
        <w:rPr>
          <w:rFonts w:ascii="Times New Roman" w:eastAsia="Times New Roman" w:hAnsi="Times New Roman" w:cs="Times New Roman"/>
          <w:iCs/>
          <w:sz w:val="24"/>
          <w:szCs w:val="24"/>
        </w:rPr>
        <w:t xml:space="preserve">evaluate </w:t>
      </w:r>
      <w:r w:rsidR="000B4981">
        <w:rPr>
          <w:rFonts w:ascii="Times New Roman" w:eastAsia="Times New Roman" w:hAnsi="Times New Roman" w:cs="Times New Roman"/>
          <w:iCs/>
          <w:sz w:val="24"/>
          <w:szCs w:val="24"/>
        </w:rPr>
        <w:t xml:space="preserve">and </w:t>
      </w:r>
      <w:r w:rsidR="00060B7E">
        <w:rPr>
          <w:rFonts w:ascii="Times New Roman" w:eastAsia="Times New Roman" w:hAnsi="Times New Roman" w:cs="Times New Roman"/>
          <w:iCs/>
          <w:sz w:val="24"/>
          <w:szCs w:val="24"/>
        </w:rPr>
        <w:t xml:space="preserve">provide a decision to an applicant who </w:t>
      </w:r>
      <w:r w:rsidR="008314BE">
        <w:rPr>
          <w:rFonts w:ascii="Times New Roman" w:eastAsia="Times New Roman" w:hAnsi="Times New Roman" w:cs="Times New Roman"/>
          <w:iCs/>
          <w:sz w:val="24"/>
          <w:szCs w:val="24"/>
        </w:rPr>
        <w:t>submit</w:t>
      </w:r>
      <w:r w:rsidR="00C27402">
        <w:rPr>
          <w:rFonts w:ascii="Times New Roman" w:eastAsia="Times New Roman" w:hAnsi="Times New Roman" w:cs="Times New Roman"/>
          <w:iCs/>
          <w:sz w:val="24"/>
          <w:szCs w:val="24"/>
        </w:rPr>
        <w:t>s</w:t>
      </w:r>
      <w:r w:rsidR="00060B7E">
        <w:rPr>
          <w:rFonts w:ascii="Times New Roman" w:eastAsia="Times New Roman" w:hAnsi="Times New Roman" w:cs="Times New Roman"/>
          <w:iCs/>
          <w:sz w:val="24"/>
          <w:szCs w:val="24"/>
        </w:rPr>
        <w:t xml:space="preserve"> an incomplete application</w:t>
      </w:r>
      <w:r w:rsidR="008314BE">
        <w:rPr>
          <w:rFonts w:ascii="Times New Roman" w:eastAsia="Times New Roman" w:hAnsi="Times New Roman" w:cs="Times New Roman"/>
          <w:iCs/>
          <w:sz w:val="24"/>
          <w:szCs w:val="24"/>
        </w:rPr>
        <w:t>. An incomplete application could r</w:t>
      </w:r>
      <w:r w:rsidRPr="006D5148" w:rsidR="009237C0">
        <w:rPr>
          <w:rFonts w:ascii="Times New Roman" w:eastAsia="Times New Roman" w:hAnsi="Times New Roman" w:cs="Times New Roman"/>
          <w:iCs/>
          <w:sz w:val="24"/>
          <w:szCs w:val="24"/>
        </w:rPr>
        <w:t xml:space="preserve">esult in certain </w:t>
      </w:r>
      <w:r w:rsidR="008314BE">
        <w:rPr>
          <w:rFonts w:ascii="Times New Roman" w:eastAsia="Times New Roman" w:hAnsi="Times New Roman" w:cs="Times New Roman"/>
          <w:iCs/>
          <w:sz w:val="24"/>
          <w:szCs w:val="24"/>
        </w:rPr>
        <w:t xml:space="preserve">marine </w:t>
      </w:r>
      <w:r w:rsidRPr="006D5148" w:rsidR="009237C0">
        <w:rPr>
          <w:rFonts w:ascii="Times New Roman" w:eastAsia="Times New Roman" w:hAnsi="Times New Roman" w:cs="Times New Roman"/>
          <w:iCs/>
          <w:sz w:val="24"/>
          <w:szCs w:val="24"/>
        </w:rPr>
        <w:t xml:space="preserve">projects not being </w:t>
      </w:r>
      <w:r w:rsidRPr="006D5148" w:rsidR="00C40146">
        <w:rPr>
          <w:rFonts w:ascii="Times New Roman" w:eastAsia="Times New Roman" w:hAnsi="Times New Roman" w:cs="Times New Roman"/>
          <w:iCs/>
          <w:sz w:val="24"/>
          <w:szCs w:val="24"/>
        </w:rPr>
        <w:t>consummated</w:t>
      </w:r>
      <w:r w:rsidR="008314BE">
        <w:rPr>
          <w:rFonts w:ascii="Times New Roman" w:eastAsia="Times New Roman" w:hAnsi="Times New Roman" w:cs="Times New Roman"/>
          <w:iCs/>
          <w:sz w:val="24"/>
          <w:szCs w:val="24"/>
        </w:rPr>
        <w:t>,</w:t>
      </w:r>
      <w:r w:rsidRPr="006D5148" w:rsidR="00C40146">
        <w:rPr>
          <w:rFonts w:ascii="Times New Roman" w:eastAsia="Times New Roman" w:hAnsi="Times New Roman" w:cs="Times New Roman"/>
          <w:iCs/>
          <w:sz w:val="24"/>
          <w:szCs w:val="24"/>
        </w:rPr>
        <w:t xml:space="preserve"> </w:t>
      </w:r>
      <w:r w:rsidR="008314BE">
        <w:rPr>
          <w:rFonts w:ascii="Times New Roman" w:eastAsia="Times New Roman" w:hAnsi="Times New Roman" w:cs="Times New Roman"/>
          <w:iCs/>
          <w:sz w:val="24"/>
          <w:szCs w:val="24"/>
        </w:rPr>
        <w:t>which could negatively</w:t>
      </w:r>
      <w:r w:rsidRPr="006D5148" w:rsidR="009237C0">
        <w:rPr>
          <w:rFonts w:ascii="Times New Roman" w:eastAsia="Times New Roman" w:hAnsi="Times New Roman" w:cs="Times New Roman"/>
          <w:iCs/>
          <w:sz w:val="24"/>
          <w:szCs w:val="24"/>
        </w:rPr>
        <w:t xml:space="preserve"> impact the promotion, development</w:t>
      </w:r>
      <w:r w:rsidR="004504D5">
        <w:rPr>
          <w:rFonts w:ascii="Times New Roman" w:eastAsia="Times New Roman" w:hAnsi="Times New Roman" w:cs="Times New Roman"/>
          <w:iCs/>
          <w:sz w:val="24"/>
          <w:szCs w:val="24"/>
        </w:rPr>
        <w:t>,</w:t>
      </w:r>
      <w:r w:rsidRPr="006D5148" w:rsidR="009237C0">
        <w:rPr>
          <w:rFonts w:ascii="Times New Roman" w:eastAsia="Times New Roman" w:hAnsi="Times New Roman" w:cs="Times New Roman"/>
          <w:iCs/>
          <w:sz w:val="24"/>
          <w:szCs w:val="24"/>
        </w:rPr>
        <w:t xml:space="preserve"> and maintenance of the </w:t>
      </w:r>
      <w:r w:rsidR="004504D5">
        <w:rPr>
          <w:rFonts w:ascii="Times New Roman" w:eastAsia="Times New Roman" w:hAnsi="Times New Roman" w:cs="Times New Roman"/>
          <w:iCs/>
          <w:sz w:val="24"/>
          <w:szCs w:val="24"/>
        </w:rPr>
        <w:t xml:space="preserve">U.S. </w:t>
      </w:r>
      <w:r w:rsidRPr="006D5148" w:rsidR="009237C0">
        <w:rPr>
          <w:rFonts w:ascii="Times New Roman" w:eastAsia="Times New Roman" w:hAnsi="Times New Roman" w:cs="Times New Roman"/>
          <w:iCs/>
          <w:sz w:val="24"/>
          <w:szCs w:val="24"/>
        </w:rPr>
        <w:t>maritime industry</w:t>
      </w:r>
      <w:r w:rsidR="00C475A3">
        <w:rPr>
          <w:rFonts w:ascii="Times New Roman" w:eastAsia="Times New Roman" w:hAnsi="Times New Roman" w:cs="Times New Roman"/>
          <w:iCs/>
          <w:sz w:val="24"/>
          <w:szCs w:val="24"/>
        </w:rPr>
        <w:t>,</w:t>
      </w:r>
      <w:r w:rsidRPr="006D5148" w:rsidR="009237C0">
        <w:rPr>
          <w:rFonts w:ascii="Times New Roman" w:eastAsia="Times New Roman" w:hAnsi="Times New Roman" w:cs="Times New Roman"/>
          <w:iCs/>
          <w:sz w:val="24"/>
          <w:szCs w:val="24"/>
        </w:rPr>
        <w:t xml:space="preserve"> </w:t>
      </w:r>
      <w:r w:rsidR="008314BE">
        <w:rPr>
          <w:rFonts w:ascii="Times New Roman" w:eastAsia="Times New Roman" w:hAnsi="Times New Roman" w:cs="Times New Roman"/>
          <w:iCs/>
          <w:sz w:val="24"/>
          <w:szCs w:val="24"/>
        </w:rPr>
        <w:t>as</w:t>
      </w:r>
      <w:r w:rsidRPr="006D5148" w:rsidR="008314BE">
        <w:rPr>
          <w:rFonts w:ascii="Times New Roman" w:eastAsia="Times New Roman" w:hAnsi="Times New Roman" w:cs="Times New Roman"/>
          <w:iCs/>
          <w:sz w:val="24"/>
          <w:szCs w:val="24"/>
        </w:rPr>
        <w:t xml:space="preserve"> </w:t>
      </w:r>
      <w:r w:rsidR="004504D5">
        <w:rPr>
          <w:rFonts w:ascii="Times New Roman" w:eastAsia="Times New Roman" w:hAnsi="Times New Roman" w:cs="Times New Roman"/>
          <w:iCs/>
          <w:sz w:val="24"/>
          <w:szCs w:val="24"/>
        </w:rPr>
        <w:t>required</w:t>
      </w:r>
      <w:r w:rsidR="00C475A3">
        <w:rPr>
          <w:rFonts w:ascii="Times New Roman" w:eastAsia="Times New Roman" w:hAnsi="Times New Roman" w:cs="Times New Roman"/>
          <w:iCs/>
          <w:sz w:val="24"/>
          <w:szCs w:val="24"/>
        </w:rPr>
        <w:t xml:space="preserve"> by</w:t>
      </w:r>
      <w:r w:rsidR="004504D5">
        <w:rPr>
          <w:rFonts w:ascii="Times New Roman" w:eastAsia="Times New Roman" w:hAnsi="Times New Roman" w:cs="Times New Roman"/>
          <w:iCs/>
          <w:sz w:val="24"/>
          <w:szCs w:val="24"/>
        </w:rPr>
        <w:t xml:space="preserve"> </w:t>
      </w:r>
      <w:r w:rsidRPr="006D5148" w:rsidR="009237C0">
        <w:rPr>
          <w:rFonts w:ascii="Times New Roman" w:eastAsia="Times New Roman" w:hAnsi="Times New Roman" w:cs="Times New Roman"/>
          <w:iCs/>
          <w:sz w:val="24"/>
          <w:szCs w:val="24"/>
        </w:rPr>
        <w:t>46 U</w:t>
      </w:r>
      <w:r w:rsidR="004504D5">
        <w:rPr>
          <w:rFonts w:ascii="Times New Roman" w:eastAsia="Times New Roman" w:hAnsi="Times New Roman" w:cs="Times New Roman"/>
          <w:iCs/>
          <w:sz w:val="24"/>
          <w:szCs w:val="24"/>
        </w:rPr>
        <w:t xml:space="preserve">SC </w:t>
      </w:r>
      <w:r w:rsidRPr="006D5148" w:rsidR="009237C0">
        <w:rPr>
          <w:rFonts w:ascii="Times New Roman" w:eastAsia="Times New Roman" w:hAnsi="Times New Roman" w:cs="Times New Roman"/>
          <w:iCs/>
          <w:sz w:val="24"/>
          <w:szCs w:val="24"/>
        </w:rPr>
        <w:t>Ch. 501.</w:t>
      </w:r>
    </w:p>
    <w:p w:rsidR="000720CA" w:rsidRPr="00B171A4" w:rsidP="005346D8" w14:paraId="40A89182" w14:textId="77777777">
      <w:pPr>
        <w:spacing w:after="0" w:line="280" w:lineRule="exact"/>
        <w:ind w:right="20"/>
        <w:rPr>
          <w:rFonts w:ascii="Times New Roman" w:hAnsi="Times New Roman" w:cs="Times New Roman"/>
          <w:sz w:val="24"/>
          <w:szCs w:val="24"/>
        </w:rPr>
      </w:pPr>
    </w:p>
    <w:p w:rsidR="000720CA" w:rsidRPr="006D5148" w:rsidP="006D5148" w14:paraId="1DE2F3E8" w14:textId="0D87F834">
      <w:pPr>
        <w:pStyle w:val="ListParagraph"/>
        <w:numPr>
          <w:ilvl w:val="0"/>
          <w:numId w:val="8"/>
        </w:numPr>
        <w:tabs>
          <w:tab w:val="left" w:pos="900"/>
        </w:tabs>
        <w:spacing w:after="0" w:line="280" w:lineRule="exact"/>
        <w:ind w:right="20"/>
        <w:rPr>
          <w:rFonts w:ascii="Times New Roman" w:eastAsia="Times New Roman" w:hAnsi="Times New Roman" w:cs="Times New Roman"/>
          <w:sz w:val="24"/>
          <w:szCs w:val="24"/>
        </w:rPr>
      </w:pPr>
      <w:r w:rsidRPr="006D5148">
        <w:rPr>
          <w:rFonts w:ascii="Times New Roman" w:eastAsia="Times New Roman" w:hAnsi="Times New Roman" w:cs="Times New Roman"/>
          <w:b/>
          <w:bCs/>
          <w:sz w:val="24"/>
          <w:szCs w:val="24"/>
        </w:rPr>
        <w:t>Automation o</w:t>
      </w:r>
      <w:r w:rsidR="002E53F5">
        <w:rPr>
          <w:rFonts w:ascii="Times New Roman" w:eastAsia="Times New Roman" w:hAnsi="Times New Roman" w:cs="Times New Roman"/>
          <w:b/>
          <w:bCs/>
          <w:sz w:val="24"/>
          <w:szCs w:val="24"/>
        </w:rPr>
        <w:t>r</w:t>
      </w:r>
      <w:r w:rsidRPr="006D5148">
        <w:rPr>
          <w:rFonts w:ascii="Times New Roman" w:eastAsia="Times New Roman" w:hAnsi="Times New Roman" w:cs="Times New Roman"/>
          <w:b/>
          <w:bCs/>
          <w:sz w:val="24"/>
          <w:szCs w:val="24"/>
        </w:rPr>
        <w:t xml:space="preserve"> Use of</w:t>
      </w:r>
      <w:r w:rsidRPr="006D5148" w:rsidR="008A7FFC">
        <w:rPr>
          <w:rFonts w:ascii="Times New Roman" w:eastAsia="Times New Roman" w:hAnsi="Times New Roman" w:cs="Times New Roman"/>
          <w:b/>
          <w:bCs/>
          <w:sz w:val="24"/>
          <w:szCs w:val="24"/>
        </w:rPr>
        <w:t xml:space="preserve"> </w:t>
      </w:r>
      <w:r w:rsidRPr="006D5148">
        <w:rPr>
          <w:rFonts w:ascii="Times New Roman" w:eastAsia="Times New Roman" w:hAnsi="Times New Roman" w:cs="Times New Roman"/>
          <w:b/>
          <w:bCs/>
          <w:sz w:val="24"/>
          <w:szCs w:val="24"/>
        </w:rPr>
        <w:t>I</w:t>
      </w:r>
      <w:r w:rsidRPr="006D5148" w:rsidR="008A7FFC">
        <w:rPr>
          <w:rFonts w:ascii="Times New Roman" w:eastAsia="Times New Roman" w:hAnsi="Times New Roman" w:cs="Times New Roman"/>
          <w:b/>
          <w:bCs/>
          <w:sz w:val="24"/>
          <w:szCs w:val="24"/>
        </w:rPr>
        <w:t xml:space="preserve">nformation </w:t>
      </w:r>
      <w:r w:rsidRPr="006D5148">
        <w:rPr>
          <w:rFonts w:ascii="Times New Roman" w:eastAsia="Times New Roman" w:hAnsi="Times New Roman" w:cs="Times New Roman"/>
          <w:b/>
          <w:bCs/>
          <w:sz w:val="24"/>
          <w:szCs w:val="24"/>
        </w:rPr>
        <w:t>Technology</w:t>
      </w:r>
      <w:r w:rsidRPr="006D5148" w:rsidR="008A7FFC">
        <w:rPr>
          <w:rFonts w:ascii="Times New Roman" w:eastAsia="Times New Roman" w:hAnsi="Times New Roman" w:cs="Times New Roman"/>
          <w:sz w:val="24"/>
          <w:szCs w:val="24"/>
        </w:rPr>
        <w:t xml:space="preserve"> </w:t>
      </w:r>
    </w:p>
    <w:p w:rsidR="000720CA" w:rsidRPr="00B171A4" w:rsidP="005346D8" w14:paraId="26B3D04B" w14:textId="77777777">
      <w:pPr>
        <w:tabs>
          <w:tab w:val="left" w:pos="720"/>
        </w:tabs>
        <w:spacing w:after="0" w:line="280" w:lineRule="exact"/>
        <w:ind w:left="720" w:right="20" w:hanging="270"/>
        <w:rPr>
          <w:rFonts w:ascii="Times New Roman" w:eastAsia="Times New Roman" w:hAnsi="Times New Roman" w:cs="Times New Roman"/>
          <w:sz w:val="24"/>
          <w:szCs w:val="24"/>
        </w:rPr>
      </w:pPr>
    </w:p>
    <w:p w:rsidR="007A44A6" w:rsidRPr="006D5148" w:rsidP="006D5148" w14:paraId="5B4A8BE3" w14:textId="70016A54">
      <w:pPr>
        <w:spacing w:after="0" w:line="280" w:lineRule="exact"/>
        <w:ind w:left="720"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 xml:space="preserve">The loan guarantee application is available on the internet via MARAD's </w:t>
      </w:r>
      <w:r w:rsidRPr="004504D5" w:rsidR="004504D5">
        <w:rPr>
          <w:rFonts w:ascii="Times New Roman" w:eastAsia="Times New Roman" w:hAnsi="Times New Roman" w:cs="Times New Roman"/>
          <w:iCs/>
          <w:sz w:val="24"/>
          <w:szCs w:val="24"/>
        </w:rPr>
        <w:t>website</w:t>
      </w:r>
      <w:r w:rsidR="004504D5">
        <w:rPr>
          <w:rFonts w:ascii="Times New Roman" w:eastAsia="Times New Roman" w:hAnsi="Times New Roman" w:cs="Times New Roman"/>
          <w:iCs/>
          <w:sz w:val="24"/>
          <w:szCs w:val="24"/>
        </w:rPr>
        <w:t xml:space="preserve">, fully accessible, and can </w:t>
      </w:r>
      <w:r w:rsidR="00C475A3">
        <w:rPr>
          <w:rFonts w:ascii="Times New Roman" w:eastAsia="Times New Roman" w:hAnsi="Times New Roman" w:cs="Times New Roman"/>
          <w:iCs/>
          <w:sz w:val="24"/>
          <w:szCs w:val="24"/>
        </w:rPr>
        <w:t xml:space="preserve">now </w:t>
      </w:r>
      <w:r w:rsidR="004504D5">
        <w:rPr>
          <w:rFonts w:ascii="Times New Roman" w:eastAsia="Times New Roman" w:hAnsi="Times New Roman" w:cs="Times New Roman"/>
          <w:iCs/>
          <w:sz w:val="24"/>
          <w:szCs w:val="24"/>
        </w:rPr>
        <w:t>be completed and submitted electronically for processing</w:t>
      </w:r>
      <w:r w:rsidRPr="006D5148">
        <w:rPr>
          <w:rFonts w:ascii="Times New Roman" w:eastAsia="Times New Roman" w:hAnsi="Times New Roman" w:cs="Times New Roman"/>
          <w:iCs/>
          <w:sz w:val="24"/>
          <w:szCs w:val="24"/>
        </w:rPr>
        <w:t xml:space="preserve">. </w:t>
      </w:r>
      <w:r w:rsidRPr="006D5148" w:rsidR="00DC2373">
        <w:rPr>
          <w:rFonts w:ascii="Times New Roman" w:hAnsi="Times New Roman" w:cs="Times New Roman"/>
          <w:iCs/>
          <w:sz w:val="24"/>
          <w:szCs w:val="24"/>
        </w:rPr>
        <w:t xml:space="preserve">The application </w:t>
      </w:r>
      <w:r w:rsidRPr="006D5148" w:rsidR="0023799E">
        <w:rPr>
          <w:rFonts w:ascii="Times New Roman" w:hAnsi="Times New Roman" w:cs="Times New Roman"/>
          <w:iCs/>
          <w:sz w:val="24"/>
          <w:szCs w:val="24"/>
        </w:rPr>
        <w:t>must be</w:t>
      </w:r>
      <w:r w:rsidRPr="006D5148" w:rsidR="00D06CDB">
        <w:rPr>
          <w:rFonts w:ascii="Times New Roman" w:hAnsi="Times New Roman" w:cs="Times New Roman"/>
          <w:iCs/>
          <w:sz w:val="24"/>
          <w:szCs w:val="24"/>
        </w:rPr>
        <w:t xml:space="preserve"> duly executed and certified by the applicant</w:t>
      </w:r>
      <w:r w:rsidRPr="006D5148" w:rsidR="008F1861">
        <w:rPr>
          <w:rFonts w:ascii="Times New Roman" w:hAnsi="Times New Roman" w:cs="Times New Roman"/>
          <w:iCs/>
          <w:sz w:val="24"/>
          <w:szCs w:val="24"/>
        </w:rPr>
        <w:t xml:space="preserve"> at time of electronic submission</w:t>
      </w:r>
      <w:r w:rsidRPr="006D5148" w:rsidR="00D06CDB">
        <w:rPr>
          <w:rFonts w:ascii="Times New Roman" w:hAnsi="Times New Roman" w:cs="Times New Roman"/>
          <w:iCs/>
          <w:sz w:val="24"/>
          <w:szCs w:val="24"/>
        </w:rPr>
        <w:t>.</w:t>
      </w:r>
      <w:r w:rsidRPr="006D5148" w:rsidR="004970F2">
        <w:rPr>
          <w:rFonts w:ascii="Times New Roman" w:hAnsi="Times New Roman" w:cs="Times New Roman"/>
          <w:iCs/>
          <w:sz w:val="24"/>
          <w:szCs w:val="24"/>
        </w:rPr>
        <w:t xml:space="preserve"> </w:t>
      </w:r>
      <w:r w:rsidRPr="006D5148" w:rsidR="00D06CDB">
        <w:rPr>
          <w:rFonts w:ascii="Times New Roman" w:hAnsi="Times New Roman" w:cs="Times New Roman"/>
          <w:iCs/>
          <w:sz w:val="24"/>
          <w:szCs w:val="24"/>
        </w:rPr>
        <w:t xml:space="preserve">All required attachments must be included with the application. Applicants </w:t>
      </w:r>
      <w:r w:rsidRPr="006D5148" w:rsidR="007E6C22">
        <w:rPr>
          <w:rFonts w:ascii="Times New Roman" w:hAnsi="Times New Roman" w:cs="Times New Roman"/>
          <w:iCs/>
          <w:sz w:val="24"/>
          <w:szCs w:val="24"/>
        </w:rPr>
        <w:t>must</w:t>
      </w:r>
      <w:r w:rsidRPr="006D5148" w:rsidR="00D06CDB">
        <w:rPr>
          <w:rFonts w:ascii="Times New Roman" w:hAnsi="Times New Roman" w:cs="Times New Roman"/>
          <w:iCs/>
          <w:sz w:val="24"/>
          <w:szCs w:val="24"/>
        </w:rPr>
        <w:t xml:space="preserve"> submit </w:t>
      </w:r>
      <w:r w:rsidR="00C27402">
        <w:rPr>
          <w:rFonts w:ascii="Times New Roman" w:hAnsi="Times New Roman" w:cs="Times New Roman"/>
          <w:iCs/>
          <w:sz w:val="24"/>
          <w:szCs w:val="24"/>
        </w:rPr>
        <w:t>o</w:t>
      </w:r>
      <w:r w:rsidRPr="006D5148" w:rsidR="007D1878">
        <w:rPr>
          <w:rFonts w:ascii="Times New Roman" w:hAnsi="Times New Roman" w:cs="Times New Roman"/>
          <w:iCs/>
          <w:sz w:val="24"/>
          <w:szCs w:val="24"/>
        </w:rPr>
        <w:t>ne (1)</w:t>
      </w:r>
      <w:r w:rsidRPr="006D5148" w:rsidR="00D06CDB">
        <w:rPr>
          <w:rFonts w:ascii="Times New Roman" w:hAnsi="Times New Roman" w:cs="Times New Roman"/>
          <w:iCs/>
          <w:sz w:val="24"/>
          <w:szCs w:val="24"/>
        </w:rPr>
        <w:t xml:space="preserve"> electronic copy of the complete</w:t>
      </w:r>
      <w:r w:rsidR="00C475A3">
        <w:rPr>
          <w:rFonts w:ascii="Times New Roman" w:hAnsi="Times New Roman" w:cs="Times New Roman"/>
          <w:iCs/>
          <w:sz w:val="24"/>
          <w:szCs w:val="24"/>
        </w:rPr>
        <w:t>d</w:t>
      </w:r>
      <w:r w:rsidRPr="006D5148" w:rsidR="00D06CDB">
        <w:rPr>
          <w:rFonts w:ascii="Times New Roman" w:hAnsi="Times New Roman" w:cs="Times New Roman"/>
          <w:iCs/>
          <w:sz w:val="24"/>
          <w:szCs w:val="24"/>
        </w:rPr>
        <w:t xml:space="preserve"> application via the Office of Marine Financing's secure portal. Documents should be submitted in portable document format (.pdf)</w:t>
      </w:r>
      <w:r w:rsidR="00C475A3">
        <w:rPr>
          <w:rFonts w:ascii="Times New Roman" w:hAnsi="Times New Roman" w:cs="Times New Roman"/>
          <w:iCs/>
          <w:sz w:val="24"/>
          <w:szCs w:val="24"/>
        </w:rPr>
        <w:t>, while</w:t>
      </w:r>
      <w:r w:rsidRPr="006D5148" w:rsidR="00D06CDB">
        <w:rPr>
          <w:rFonts w:ascii="Times New Roman" w:hAnsi="Times New Roman" w:cs="Times New Roman"/>
          <w:iCs/>
          <w:sz w:val="24"/>
          <w:szCs w:val="24"/>
        </w:rPr>
        <w:t xml:space="preserve"> financial spreadsheets should be in an unlocked Excel format (.xls or .xlsx) with formulas.</w:t>
      </w:r>
    </w:p>
    <w:p w:rsidR="007A44A6" w:rsidRPr="004504D5" w:rsidP="006D5148" w14:paraId="55E5579C" w14:textId="77777777">
      <w:pPr>
        <w:spacing w:after="0" w:line="280" w:lineRule="exact"/>
        <w:ind w:left="720" w:right="20"/>
        <w:rPr>
          <w:rFonts w:ascii="Times New Roman" w:eastAsia="Times New Roman" w:hAnsi="Times New Roman" w:cs="Times New Roman"/>
          <w:iCs/>
          <w:sz w:val="24"/>
          <w:szCs w:val="24"/>
        </w:rPr>
      </w:pPr>
    </w:p>
    <w:p w:rsidR="00E81DD5" w:rsidRPr="006D5148" w:rsidP="006D5148" w14:paraId="5A5ED4D6" w14:textId="4FF94196">
      <w:pPr>
        <w:spacing w:after="0" w:line="280" w:lineRule="exact"/>
        <w:ind w:left="720"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 xml:space="preserve">The application review </w:t>
      </w:r>
      <w:r w:rsidR="004504D5">
        <w:rPr>
          <w:rFonts w:ascii="Times New Roman" w:eastAsia="Times New Roman" w:hAnsi="Times New Roman" w:cs="Times New Roman"/>
          <w:iCs/>
          <w:sz w:val="24"/>
          <w:szCs w:val="24"/>
        </w:rPr>
        <w:t xml:space="preserve">process </w:t>
      </w:r>
      <w:r w:rsidRPr="006D5148">
        <w:rPr>
          <w:rFonts w:ascii="Times New Roman" w:eastAsia="Times New Roman" w:hAnsi="Times New Roman" w:cs="Times New Roman"/>
          <w:iCs/>
          <w:sz w:val="24"/>
          <w:szCs w:val="24"/>
        </w:rPr>
        <w:t>involves multiple MARAD office</w:t>
      </w:r>
      <w:r w:rsidR="00E93B58">
        <w:rPr>
          <w:rFonts w:ascii="Times New Roman" w:eastAsia="Times New Roman" w:hAnsi="Times New Roman" w:cs="Times New Roman"/>
          <w:iCs/>
          <w:sz w:val="24"/>
          <w:szCs w:val="24"/>
        </w:rPr>
        <w:t xml:space="preserve"> personnel</w:t>
      </w:r>
      <w:r w:rsidRPr="006D5148">
        <w:rPr>
          <w:rFonts w:ascii="Times New Roman" w:eastAsia="Times New Roman" w:hAnsi="Times New Roman" w:cs="Times New Roman"/>
          <w:iCs/>
          <w:sz w:val="24"/>
          <w:szCs w:val="24"/>
        </w:rPr>
        <w:t xml:space="preserve"> with </w:t>
      </w:r>
      <w:r w:rsidRPr="006D5148" w:rsidR="00E93B58">
        <w:rPr>
          <w:rFonts w:ascii="Times New Roman" w:eastAsia="Times New Roman" w:hAnsi="Times New Roman" w:cs="Times New Roman"/>
          <w:iCs/>
          <w:sz w:val="24"/>
          <w:szCs w:val="24"/>
        </w:rPr>
        <w:t>diver</w:t>
      </w:r>
      <w:r w:rsidR="00E93B58">
        <w:rPr>
          <w:rFonts w:ascii="Times New Roman" w:eastAsia="Times New Roman" w:hAnsi="Times New Roman" w:cs="Times New Roman"/>
          <w:iCs/>
          <w:sz w:val="24"/>
          <w:szCs w:val="24"/>
        </w:rPr>
        <w:t>se</w:t>
      </w:r>
      <w:r w:rsidRPr="006D5148" w:rsidR="00E93B58">
        <w:rPr>
          <w:rFonts w:ascii="Times New Roman" w:eastAsia="Times New Roman" w:hAnsi="Times New Roman" w:cs="Times New Roman"/>
          <w:iCs/>
          <w:sz w:val="24"/>
          <w:szCs w:val="24"/>
        </w:rPr>
        <w:t xml:space="preserve"> </w:t>
      </w:r>
      <w:r w:rsidRPr="00E93B58" w:rsidR="00E93B58">
        <w:rPr>
          <w:rFonts w:ascii="Times New Roman" w:eastAsia="Times New Roman" w:hAnsi="Times New Roman" w:cs="Times New Roman"/>
          <w:iCs/>
          <w:sz w:val="24"/>
          <w:szCs w:val="24"/>
        </w:rPr>
        <w:t>responsibilities</w:t>
      </w:r>
      <w:r w:rsidR="00E93B58">
        <w:rPr>
          <w:rFonts w:ascii="Times New Roman" w:eastAsia="Times New Roman" w:hAnsi="Times New Roman" w:cs="Times New Roman"/>
          <w:iCs/>
          <w:sz w:val="24"/>
          <w:szCs w:val="24"/>
        </w:rPr>
        <w:t>. A</w:t>
      </w:r>
      <w:r w:rsidR="004504D5">
        <w:rPr>
          <w:rFonts w:ascii="Times New Roman" w:eastAsia="Times New Roman" w:hAnsi="Times New Roman" w:cs="Times New Roman"/>
          <w:iCs/>
          <w:sz w:val="24"/>
          <w:szCs w:val="24"/>
        </w:rPr>
        <w:t>s such</w:t>
      </w:r>
      <w:r w:rsidR="003F2B49">
        <w:rPr>
          <w:rFonts w:ascii="Times New Roman" w:eastAsia="Times New Roman" w:hAnsi="Times New Roman" w:cs="Times New Roman"/>
          <w:iCs/>
          <w:sz w:val="24"/>
          <w:szCs w:val="24"/>
        </w:rPr>
        <w:t>,</w:t>
      </w:r>
      <w:r w:rsidR="004504D5">
        <w:rPr>
          <w:rFonts w:ascii="Times New Roman" w:eastAsia="Times New Roman" w:hAnsi="Times New Roman" w:cs="Times New Roman"/>
          <w:iCs/>
          <w:sz w:val="24"/>
          <w:szCs w:val="24"/>
        </w:rPr>
        <w:t xml:space="preserve"> an effort is made to ensure that collected data is disseminated </w:t>
      </w:r>
      <w:r w:rsidR="00E93B58">
        <w:rPr>
          <w:rFonts w:ascii="Times New Roman" w:eastAsia="Times New Roman" w:hAnsi="Times New Roman" w:cs="Times New Roman"/>
          <w:iCs/>
          <w:sz w:val="24"/>
          <w:szCs w:val="24"/>
        </w:rPr>
        <w:t xml:space="preserve">promptly to each involved program office, to facilitate an expeditious </w:t>
      </w:r>
      <w:r w:rsidR="004504D5">
        <w:rPr>
          <w:rFonts w:ascii="Times New Roman" w:eastAsia="Times New Roman" w:hAnsi="Times New Roman" w:cs="Times New Roman"/>
          <w:iCs/>
          <w:sz w:val="24"/>
          <w:szCs w:val="24"/>
        </w:rPr>
        <w:t xml:space="preserve">review </w:t>
      </w:r>
      <w:r w:rsidR="003F2B49">
        <w:rPr>
          <w:rFonts w:ascii="Times New Roman" w:eastAsia="Times New Roman" w:hAnsi="Times New Roman" w:cs="Times New Roman"/>
          <w:iCs/>
          <w:sz w:val="24"/>
          <w:szCs w:val="24"/>
        </w:rPr>
        <w:t xml:space="preserve">and decision </w:t>
      </w:r>
      <w:r w:rsidR="004504D5">
        <w:rPr>
          <w:rFonts w:ascii="Times New Roman" w:eastAsia="Times New Roman" w:hAnsi="Times New Roman" w:cs="Times New Roman"/>
          <w:iCs/>
          <w:sz w:val="24"/>
          <w:szCs w:val="24"/>
        </w:rPr>
        <w:t>process</w:t>
      </w:r>
      <w:r w:rsidR="00E93B58">
        <w:rPr>
          <w:rFonts w:ascii="Times New Roman" w:eastAsia="Times New Roman" w:hAnsi="Times New Roman" w:cs="Times New Roman"/>
          <w:iCs/>
          <w:sz w:val="24"/>
          <w:szCs w:val="24"/>
        </w:rPr>
        <w:t>.</w:t>
      </w:r>
    </w:p>
    <w:p w:rsidR="000720CA" w:rsidRPr="00B171A4" w:rsidP="005346D8" w14:paraId="0317F56E" w14:textId="77777777">
      <w:pPr>
        <w:spacing w:after="0" w:line="280" w:lineRule="exact"/>
        <w:ind w:left="1260" w:right="20"/>
        <w:rPr>
          <w:rFonts w:ascii="Times New Roman" w:eastAsia="Times New Roman" w:hAnsi="Times New Roman" w:cs="Times New Roman"/>
          <w:sz w:val="24"/>
          <w:szCs w:val="24"/>
        </w:rPr>
      </w:pPr>
    </w:p>
    <w:p w:rsidR="000720CA" w:rsidRPr="006D5148" w:rsidP="006D5148" w14:paraId="492F2EB7" w14:textId="6916B0B9">
      <w:pPr>
        <w:pStyle w:val="ListParagraph"/>
        <w:numPr>
          <w:ilvl w:val="0"/>
          <w:numId w:val="8"/>
        </w:numPr>
        <w:tabs>
          <w:tab w:val="left" w:pos="900"/>
        </w:tabs>
        <w:spacing w:after="0" w:line="280" w:lineRule="exact"/>
        <w:ind w:right="20"/>
        <w:rPr>
          <w:rFonts w:ascii="Times New Roman" w:eastAsia="Times New Roman" w:hAnsi="Times New Roman" w:cs="Times New Roman"/>
          <w:b/>
          <w:bCs/>
          <w:sz w:val="24"/>
          <w:szCs w:val="24"/>
        </w:rPr>
      </w:pPr>
      <w:r w:rsidRPr="006D5148">
        <w:rPr>
          <w:rFonts w:ascii="Times New Roman" w:eastAsia="Times New Roman" w:hAnsi="Times New Roman" w:cs="Times New Roman"/>
          <w:b/>
          <w:bCs/>
          <w:sz w:val="24"/>
          <w:szCs w:val="24"/>
        </w:rPr>
        <w:t xml:space="preserve">Efforts to </w:t>
      </w:r>
      <w:r w:rsidR="00E93B58">
        <w:rPr>
          <w:rFonts w:ascii="Times New Roman" w:eastAsia="Times New Roman" w:hAnsi="Times New Roman" w:cs="Times New Roman"/>
          <w:b/>
          <w:bCs/>
          <w:sz w:val="24"/>
          <w:szCs w:val="24"/>
        </w:rPr>
        <w:t>I</w:t>
      </w:r>
      <w:r w:rsidRPr="006D5148" w:rsidR="00E93B58">
        <w:rPr>
          <w:rFonts w:ascii="Times New Roman" w:eastAsia="Times New Roman" w:hAnsi="Times New Roman" w:cs="Times New Roman"/>
          <w:b/>
          <w:bCs/>
          <w:sz w:val="24"/>
          <w:szCs w:val="24"/>
        </w:rPr>
        <w:t xml:space="preserve">dentify </w:t>
      </w:r>
      <w:r w:rsidR="00E93B58">
        <w:rPr>
          <w:rFonts w:ascii="Times New Roman" w:eastAsia="Times New Roman" w:hAnsi="Times New Roman" w:cs="Times New Roman"/>
          <w:b/>
          <w:bCs/>
          <w:sz w:val="24"/>
          <w:szCs w:val="24"/>
        </w:rPr>
        <w:t>D</w:t>
      </w:r>
      <w:r w:rsidRPr="006D5148" w:rsidR="00E93B58">
        <w:rPr>
          <w:rFonts w:ascii="Times New Roman" w:eastAsia="Times New Roman" w:hAnsi="Times New Roman" w:cs="Times New Roman"/>
          <w:b/>
          <w:bCs/>
          <w:sz w:val="24"/>
          <w:szCs w:val="24"/>
        </w:rPr>
        <w:t>uplication</w:t>
      </w:r>
      <w:r w:rsidRPr="006D5148">
        <w:rPr>
          <w:rFonts w:ascii="Times New Roman" w:eastAsia="Times New Roman" w:hAnsi="Times New Roman" w:cs="Times New Roman"/>
          <w:b/>
          <w:bCs/>
          <w:sz w:val="24"/>
          <w:szCs w:val="24"/>
        </w:rPr>
        <w:t xml:space="preserve">  </w:t>
      </w:r>
    </w:p>
    <w:p w:rsidR="000720CA" w:rsidRPr="00B171A4" w:rsidP="005346D8" w14:paraId="321FED56" w14:textId="77777777">
      <w:pPr>
        <w:spacing w:after="0" w:line="280" w:lineRule="exact"/>
        <w:ind w:right="20"/>
        <w:rPr>
          <w:rFonts w:ascii="Times New Roman" w:hAnsi="Times New Roman" w:cs="Times New Roman"/>
          <w:sz w:val="24"/>
          <w:szCs w:val="24"/>
        </w:rPr>
      </w:pPr>
    </w:p>
    <w:p w:rsidR="000720CA" w:rsidRPr="006D5148" w:rsidP="006D5148" w14:paraId="0DE0D855" w14:textId="0EEAD6B5">
      <w:pPr>
        <w:spacing w:after="0" w:line="280" w:lineRule="exact"/>
        <w:ind w:left="720"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 xml:space="preserve">With the exception of the </w:t>
      </w:r>
      <w:r w:rsidRPr="006D5148" w:rsidR="009237C0">
        <w:rPr>
          <w:rFonts w:ascii="Times New Roman" w:eastAsia="Times New Roman" w:hAnsi="Times New Roman" w:cs="Times New Roman"/>
          <w:iCs/>
          <w:sz w:val="24"/>
          <w:szCs w:val="24"/>
        </w:rPr>
        <w:t xml:space="preserve">audited financial statements, </w:t>
      </w:r>
      <w:r w:rsidRPr="006D5148">
        <w:rPr>
          <w:rFonts w:ascii="Times New Roman" w:eastAsia="Times New Roman" w:hAnsi="Times New Roman" w:cs="Times New Roman"/>
          <w:iCs/>
          <w:sz w:val="24"/>
          <w:szCs w:val="24"/>
        </w:rPr>
        <w:t xml:space="preserve">no other collection compiles </w:t>
      </w:r>
      <w:r w:rsidRPr="006D5148" w:rsidR="009237C0">
        <w:rPr>
          <w:rFonts w:ascii="Times New Roman" w:eastAsia="Times New Roman" w:hAnsi="Times New Roman" w:cs="Times New Roman"/>
          <w:iCs/>
          <w:sz w:val="24"/>
          <w:szCs w:val="24"/>
        </w:rPr>
        <w:t>similar data that can be used</w:t>
      </w:r>
      <w:r>
        <w:rPr>
          <w:rFonts w:ascii="Times New Roman" w:eastAsia="Times New Roman" w:hAnsi="Times New Roman" w:cs="Times New Roman"/>
          <w:iCs/>
          <w:sz w:val="24"/>
          <w:szCs w:val="24"/>
        </w:rPr>
        <w:t xml:space="preserve"> </w:t>
      </w:r>
      <w:r w:rsidRPr="006D5148" w:rsidR="009237C0">
        <w:rPr>
          <w:rFonts w:ascii="Times New Roman" w:eastAsia="Times New Roman" w:hAnsi="Times New Roman" w:cs="Times New Roman"/>
          <w:iCs/>
          <w:sz w:val="24"/>
          <w:szCs w:val="24"/>
        </w:rPr>
        <w:t>or modified for use</w:t>
      </w:r>
      <w:r>
        <w:rPr>
          <w:rFonts w:ascii="Times New Roman" w:eastAsia="Times New Roman" w:hAnsi="Times New Roman" w:cs="Times New Roman"/>
          <w:iCs/>
          <w:sz w:val="24"/>
          <w:szCs w:val="24"/>
        </w:rPr>
        <w:t xml:space="preserve"> for this collection</w:t>
      </w:r>
      <w:r w:rsidRPr="006D5148" w:rsidR="009237C0">
        <w:rPr>
          <w:rFonts w:ascii="Times New Roman" w:eastAsia="Times New Roman" w:hAnsi="Times New Roman" w:cs="Times New Roman"/>
          <w:iCs/>
          <w:sz w:val="24"/>
          <w:szCs w:val="24"/>
        </w:rPr>
        <w:t>.</w:t>
      </w:r>
    </w:p>
    <w:p w:rsidR="007A44A6" w:rsidRPr="00B171A4" w:rsidP="005346D8" w14:paraId="05D7F16D" w14:textId="77777777">
      <w:pPr>
        <w:spacing w:after="0" w:line="280" w:lineRule="exact"/>
        <w:ind w:right="20"/>
        <w:rPr>
          <w:rFonts w:ascii="Times New Roman" w:hAnsi="Times New Roman" w:cs="Times New Roman"/>
          <w:sz w:val="24"/>
          <w:szCs w:val="24"/>
        </w:rPr>
      </w:pPr>
    </w:p>
    <w:p w:rsidR="000720CA" w:rsidRPr="006D5148" w:rsidP="006D5148" w14:paraId="48558D15" w14:textId="0D655453">
      <w:pPr>
        <w:pStyle w:val="ListParagraph"/>
        <w:numPr>
          <w:ilvl w:val="0"/>
          <w:numId w:val="8"/>
        </w:numPr>
        <w:tabs>
          <w:tab w:val="left" w:pos="900"/>
        </w:tabs>
        <w:spacing w:after="0" w:line="280" w:lineRule="exact"/>
        <w:ind w:right="20"/>
        <w:rPr>
          <w:rFonts w:ascii="Times New Roman" w:eastAsia="Times New Roman" w:hAnsi="Times New Roman" w:cs="Times New Roman"/>
          <w:b/>
          <w:bCs/>
          <w:sz w:val="24"/>
          <w:szCs w:val="24"/>
        </w:rPr>
      </w:pPr>
      <w:r w:rsidRPr="00E93B58">
        <w:rPr>
          <w:rFonts w:ascii="Times New Roman" w:eastAsia="Times New Roman" w:hAnsi="Times New Roman" w:cs="Times New Roman"/>
          <w:b/>
          <w:bCs/>
          <w:sz w:val="24"/>
          <w:szCs w:val="24"/>
        </w:rPr>
        <w:t xml:space="preserve">Impacts on </w:t>
      </w:r>
      <w:r w:rsidRPr="006D5148">
        <w:rPr>
          <w:rFonts w:ascii="Times New Roman" w:eastAsia="Times New Roman" w:hAnsi="Times New Roman" w:cs="Times New Roman"/>
          <w:b/>
          <w:bCs/>
          <w:sz w:val="24"/>
          <w:szCs w:val="24"/>
        </w:rPr>
        <w:t>S</w:t>
      </w:r>
      <w:r w:rsidRPr="006D5148" w:rsidR="008A7FFC">
        <w:rPr>
          <w:rFonts w:ascii="Times New Roman" w:eastAsia="Times New Roman" w:hAnsi="Times New Roman" w:cs="Times New Roman"/>
          <w:b/>
          <w:bCs/>
          <w:sz w:val="24"/>
          <w:szCs w:val="24"/>
        </w:rPr>
        <w:t xml:space="preserve">mall </w:t>
      </w:r>
      <w:r w:rsidRPr="006D5148">
        <w:rPr>
          <w:rFonts w:ascii="Times New Roman" w:eastAsia="Times New Roman" w:hAnsi="Times New Roman" w:cs="Times New Roman"/>
          <w:b/>
          <w:bCs/>
          <w:sz w:val="24"/>
          <w:szCs w:val="24"/>
        </w:rPr>
        <w:t>Businesses or Other Small Entities</w:t>
      </w:r>
      <w:r w:rsidRPr="006D5148" w:rsidR="008A7FFC">
        <w:rPr>
          <w:rFonts w:ascii="Times New Roman" w:eastAsia="Times New Roman" w:hAnsi="Times New Roman" w:cs="Times New Roman"/>
          <w:b/>
          <w:bCs/>
          <w:sz w:val="24"/>
          <w:szCs w:val="24"/>
        </w:rPr>
        <w:t xml:space="preserve">.  </w:t>
      </w:r>
    </w:p>
    <w:p w:rsidR="000720CA" w:rsidRPr="006D5148" w:rsidP="005346D8" w14:paraId="15123819" w14:textId="77777777">
      <w:pPr>
        <w:tabs>
          <w:tab w:val="left" w:pos="900"/>
        </w:tabs>
        <w:spacing w:after="0" w:line="280" w:lineRule="exact"/>
        <w:ind w:left="900" w:right="20" w:hanging="450"/>
        <w:rPr>
          <w:rFonts w:ascii="Times New Roman" w:eastAsia="Times New Roman" w:hAnsi="Times New Roman" w:cs="Times New Roman"/>
          <w:b/>
          <w:bCs/>
          <w:sz w:val="24"/>
          <w:szCs w:val="24"/>
        </w:rPr>
      </w:pPr>
    </w:p>
    <w:p w:rsidR="000720CA" w:rsidRPr="006D5148" w:rsidP="006D5148" w14:paraId="76FEC5E9" w14:textId="0C23467D">
      <w:pPr>
        <w:spacing w:after="0" w:line="280" w:lineRule="exact"/>
        <w:ind w:left="720" w:right="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Per the</w:t>
      </w:r>
      <w:r w:rsidRPr="003F2B49">
        <w:rPr>
          <w:rFonts w:ascii="Times New Roman" w:eastAsia="Times New Roman" w:hAnsi="Times New Roman" w:cs="Times New Roman"/>
          <w:iCs/>
          <w:sz w:val="24"/>
          <w:szCs w:val="24"/>
        </w:rPr>
        <w:t xml:space="preserve"> </w:t>
      </w:r>
      <w:r w:rsidRPr="00081908">
        <w:rPr>
          <w:rFonts w:ascii="Times New Roman" w:eastAsia="Times New Roman" w:hAnsi="Times New Roman" w:cs="Times New Roman"/>
          <w:iCs/>
          <w:sz w:val="24"/>
          <w:szCs w:val="24"/>
        </w:rPr>
        <w:t>Small Business Administration's</w:t>
      </w:r>
      <w:r w:rsidR="00C475A3">
        <w:rPr>
          <w:rFonts w:ascii="Times New Roman" w:eastAsia="Times New Roman" w:hAnsi="Times New Roman" w:cs="Times New Roman"/>
          <w:iCs/>
          <w:sz w:val="24"/>
          <w:szCs w:val="24"/>
        </w:rPr>
        <w:t xml:space="preserve"> guidelines</w:t>
      </w:r>
      <w:r>
        <w:rPr>
          <w:rFonts w:ascii="Times New Roman" w:eastAsia="Times New Roman" w:hAnsi="Times New Roman" w:cs="Times New Roman"/>
          <w:iCs/>
          <w:sz w:val="24"/>
          <w:szCs w:val="24"/>
        </w:rPr>
        <w:t xml:space="preserve">, </w:t>
      </w:r>
      <w:r w:rsidRPr="006D5148" w:rsidR="00C40146">
        <w:rPr>
          <w:rFonts w:ascii="Times New Roman" w:eastAsia="Times New Roman" w:hAnsi="Times New Roman" w:cs="Times New Roman"/>
          <w:iCs/>
          <w:sz w:val="24"/>
          <w:szCs w:val="24"/>
        </w:rPr>
        <w:t>collected</w:t>
      </w:r>
      <w:r w:rsidR="00C475A3">
        <w:rPr>
          <w:rFonts w:ascii="Times New Roman" w:eastAsia="Times New Roman" w:hAnsi="Times New Roman" w:cs="Times New Roman"/>
          <w:iCs/>
          <w:sz w:val="24"/>
          <w:szCs w:val="24"/>
        </w:rPr>
        <w:t xml:space="preserve"> data</w:t>
      </w:r>
      <w:r>
        <w:rPr>
          <w:rFonts w:ascii="Times New Roman" w:eastAsia="Times New Roman" w:hAnsi="Times New Roman" w:cs="Times New Roman"/>
          <w:iCs/>
          <w:sz w:val="24"/>
          <w:szCs w:val="24"/>
        </w:rPr>
        <w:t xml:space="preserve"> </w:t>
      </w:r>
      <w:r w:rsidR="00C475A3">
        <w:rPr>
          <w:rFonts w:ascii="Times New Roman" w:eastAsia="Times New Roman" w:hAnsi="Times New Roman" w:cs="Times New Roman"/>
          <w:iCs/>
          <w:sz w:val="24"/>
          <w:szCs w:val="24"/>
        </w:rPr>
        <w:t xml:space="preserve">for this collection </w:t>
      </w:r>
      <w:r>
        <w:rPr>
          <w:rFonts w:ascii="Times New Roman" w:eastAsia="Times New Roman" w:hAnsi="Times New Roman" w:cs="Times New Roman"/>
          <w:iCs/>
          <w:sz w:val="24"/>
          <w:szCs w:val="24"/>
        </w:rPr>
        <w:t xml:space="preserve">has </w:t>
      </w:r>
      <w:r w:rsidRPr="006D5148" w:rsidR="009237C0">
        <w:rPr>
          <w:rFonts w:ascii="Times New Roman" w:eastAsia="Times New Roman" w:hAnsi="Times New Roman" w:cs="Times New Roman"/>
          <w:iCs/>
          <w:sz w:val="24"/>
          <w:szCs w:val="24"/>
        </w:rPr>
        <w:t>a minimal impact upon small business</w:t>
      </w:r>
      <w:r>
        <w:rPr>
          <w:rFonts w:ascii="Times New Roman" w:eastAsia="Times New Roman" w:hAnsi="Times New Roman" w:cs="Times New Roman"/>
          <w:iCs/>
          <w:sz w:val="24"/>
          <w:szCs w:val="24"/>
        </w:rPr>
        <w:t>.</w:t>
      </w:r>
    </w:p>
    <w:p w:rsidR="007A44A6" w:rsidRPr="00B171A4" w:rsidP="005346D8" w14:paraId="26FB69A4" w14:textId="77777777">
      <w:pPr>
        <w:spacing w:after="0" w:line="280" w:lineRule="exact"/>
        <w:ind w:right="20"/>
        <w:rPr>
          <w:rFonts w:ascii="Times New Roman" w:hAnsi="Times New Roman" w:cs="Times New Roman"/>
          <w:sz w:val="24"/>
          <w:szCs w:val="24"/>
        </w:rPr>
      </w:pPr>
    </w:p>
    <w:p w:rsidR="000720CA" w:rsidRPr="006D5148" w:rsidP="006D5148" w14:paraId="161084EF" w14:textId="771067EC">
      <w:pPr>
        <w:pStyle w:val="ListParagraph"/>
        <w:numPr>
          <w:ilvl w:val="0"/>
          <w:numId w:val="8"/>
        </w:numPr>
        <w:tabs>
          <w:tab w:val="left" w:pos="900"/>
        </w:tabs>
        <w:spacing w:after="0" w:line="280" w:lineRule="exact"/>
        <w:ind w:right="20"/>
        <w:rPr>
          <w:rFonts w:ascii="Times New Roman" w:eastAsia="Times New Roman" w:hAnsi="Times New Roman" w:cs="Times New Roman"/>
          <w:b/>
          <w:bCs/>
          <w:sz w:val="24"/>
          <w:szCs w:val="24"/>
        </w:rPr>
      </w:pPr>
      <w:r w:rsidRPr="006D5148">
        <w:rPr>
          <w:rFonts w:ascii="Times New Roman" w:eastAsia="Times New Roman" w:hAnsi="Times New Roman" w:cs="Times New Roman"/>
          <w:b/>
          <w:bCs/>
          <w:sz w:val="24"/>
          <w:szCs w:val="24"/>
        </w:rPr>
        <w:t xml:space="preserve">Impact of </w:t>
      </w:r>
      <w:r w:rsidRPr="006D5148" w:rsidR="003F2B49">
        <w:rPr>
          <w:rFonts w:ascii="Times New Roman" w:eastAsia="Times New Roman" w:hAnsi="Times New Roman" w:cs="Times New Roman"/>
          <w:b/>
          <w:bCs/>
          <w:sz w:val="24"/>
          <w:szCs w:val="24"/>
        </w:rPr>
        <w:t xml:space="preserve"> Not Conducting or L</w:t>
      </w:r>
      <w:r w:rsidRPr="006D5148">
        <w:rPr>
          <w:rFonts w:ascii="Times New Roman" w:eastAsia="Times New Roman" w:hAnsi="Times New Roman" w:cs="Times New Roman"/>
          <w:b/>
          <w:bCs/>
          <w:sz w:val="24"/>
          <w:szCs w:val="24"/>
        </w:rPr>
        <w:t xml:space="preserve">ess </w:t>
      </w:r>
      <w:r w:rsidRPr="006D5148" w:rsidR="003F2B49">
        <w:rPr>
          <w:rFonts w:ascii="Times New Roman" w:eastAsia="Times New Roman" w:hAnsi="Times New Roman" w:cs="Times New Roman"/>
          <w:b/>
          <w:bCs/>
          <w:sz w:val="24"/>
          <w:szCs w:val="24"/>
        </w:rPr>
        <w:t>F</w:t>
      </w:r>
      <w:r w:rsidRPr="006D5148">
        <w:rPr>
          <w:rFonts w:ascii="Times New Roman" w:eastAsia="Times New Roman" w:hAnsi="Times New Roman" w:cs="Times New Roman"/>
          <w:b/>
          <w:bCs/>
          <w:sz w:val="24"/>
          <w:szCs w:val="24"/>
        </w:rPr>
        <w:t xml:space="preserve">requent </w:t>
      </w:r>
      <w:r w:rsidRPr="006D5148" w:rsidR="003F2B49">
        <w:rPr>
          <w:rFonts w:ascii="Times New Roman" w:eastAsia="Times New Roman" w:hAnsi="Times New Roman" w:cs="Times New Roman"/>
          <w:b/>
          <w:bCs/>
          <w:sz w:val="24"/>
          <w:szCs w:val="24"/>
        </w:rPr>
        <w:t>C</w:t>
      </w:r>
      <w:r w:rsidRPr="006D5148">
        <w:rPr>
          <w:rFonts w:ascii="Times New Roman" w:eastAsia="Times New Roman" w:hAnsi="Times New Roman" w:cs="Times New Roman"/>
          <w:b/>
          <w:bCs/>
          <w:sz w:val="24"/>
          <w:szCs w:val="24"/>
        </w:rPr>
        <w:t xml:space="preserve">ollection of </w:t>
      </w:r>
      <w:r w:rsidRPr="006D5148" w:rsidR="003F2B49">
        <w:rPr>
          <w:rFonts w:ascii="Times New Roman" w:eastAsia="Times New Roman" w:hAnsi="Times New Roman" w:cs="Times New Roman"/>
          <w:b/>
          <w:bCs/>
          <w:sz w:val="24"/>
          <w:szCs w:val="24"/>
        </w:rPr>
        <w:t>Information</w:t>
      </w:r>
    </w:p>
    <w:p w:rsidR="000720CA" w:rsidRPr="00B171A4" w:rsidP="005346D8" w14:paraId="12C87BD3" w14:textId="77777777">
      <w:pPr>
        <w:spacing w:after="0" w:line="280" w:lineRule="exact"/>
        <w:ind w:left="1260" w:right="20"/>
        <w:rPr>
          <w:rFonts w:ascii="Times New Roman" w:eastAsia="Times New Roman" w:hAnsi="Times New Roman" w:cs="Times New Roman"/>
          <w:sz w:val="24"/>
          <w:szCs w:val="24"/>
        </w:rPr>
      </w:pPr>
    </w:p>
    <w:p w:rsidR="00C475A3" w:rsidRPr="006D5148" w:rsidP="006D5148" w14:paraId="6B177493" w14:textId="289AE37C">
      <w:pPr>
        <w:pStyle w:val="ListParagraph"/>
        <w:spacing w:after="0" w:line="280" w:lineRule="exact"/>
        <w:ind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The</w:t>
      </w:r>
      <w:r w:rsidRPr="006D5148" w:rsidR="0028615B">
        <w:rPr>
          <w:rFonts w:ascii="Times New Roman" w:eastAsia="Times New Roman" w:hAnsi="Times New Roman" w:cs="Times New Roman"/>
          <w:iCs/>
          <w:sz w:val="24"/>
          <w:szCs w:val="24"/>
        </w:rPr>
        <w:t xml:space="preserve"> collected i</w:t>
      </w:r>
      <w:r w:rsidRPr="006D5148">
        <w:rPr>
          <w:rFonts w:ascii="Times New Roman" w:eastAsia="Times New Roman" w:hAnsi="Times New Roman" w:cs="Times New Roman"/>
          <w:iCs/>
          <w:sz w:val="24"/>
          <w:szCs w:val="24"/>
        </w:rPr>
        <w:t xml:space="preserve">nformation </w:t>
      </w:r>
      <w:r w:rsidRPr="006D5148" w:rsidR="0028615B">
        <w:rPr>
          <w:rFonts w:ascii="Times New Roman" w:eastAsia="Times New Roman" w:hAnsi="Times New Roman" w:cs="Times New Roman"/>
          <w:iCs/>
          <w:sz w:val="24"/>
          <w:szCs w:val="24"/>
        </w:rPr>
        <w:t>will be used to</w:t>
      </w:r>
      <w:r w:rsidRPr="006D5148" w:rsidR="009237C0">
        <w:rPr>
          <w:rFonts w:ascii="Times New Roman" w:eastAsia="Times New Roman" w:hAnsi="Times New Roman" w:cs="Times New Roman"/>
          <w:iCs/>
          <w:sz w:val="24"/>
          <w:szCs w:val="24"/>
        </w:rPr>
        <w:t xml:space="preserve"> determin</w:t>
      </w:r>
      <w:r w:rsidRPr="006D5148" w:rsidR="0028615B">
        <w:rPr>
          <w:rFonts w:ascii="Times New Roman" w:eastAsia="Times New Roman" w:hAnsi="Times New Roman" w:cs="Times New Roman"/>
          <w:iCs/>
          <w:sz w:val="24"/>
          <w:szCs w:val="24"/>
        </w:rPr>
        <w:t>e</w:t>
      </w:r>
      <w:r w:rsidR="009E059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the </w:t>
      </w:r>
      <w:r w:rsidR="009E0597">
        <w:rPr>
          <w:rFonts w:ascii="Times New Roman" w:eastAsia="Times New Roman" w:hAnsi="Times New Roman" w:cs="Times New Roman"/>
          <w:iCs/>
          <w:sz w:val="24"/>
          <w:szCs w:val="24"/>
        </w:rPr>
        <w:t>applicant</w:t>
      </w:r>
      <w:r>
        <w:rPr>
          <w:rFonts w:ascii="Times New Roman" w:eastAsia="Times New Roman" w:hAnsi="Times New Roman" w:cs="Times New Roman"/>
          <w:iCs/>
          <w:sz w:val="24"/>
          <w:szCs w:val="24"/>
        </w:rPr>
        <w:t>’s</w:t>
      </w:r>
      <w:r w:rsidR="009E0597">
        <w:rPr>
          <w:rFonts w:ascii="Times New Roman" w:eastAsia="Times New Roman" w:hAnsi="Times New Roman" w:cs="Times New Roman"/>
          <w:iCs/>
          <w:sz w:val="24"/>
          <w:szCs w:val="24"/>
        </w:rPr>
        <w:t xml:space="preserve"> eligibility for</w:t>
      </w:r>
      <w:r w:rsidRPr="006D5148" w:rsidR="009237C0">
        <w:rPr>
          <w:rFonts w:ascii="Times New Roman" w:eastAsia="Times New Roman" w:hAnsi="Times New Roman" w:cs="Times New Roman"/>
          <w:iCs/>
          <w:sz w:val="24"/>
          <w:szCs w:val="24"/>
        </w:rPr>
        <w:t xml:space="preserve"> </w:t>
      </w:r>
      <w:r w:rsidRPr="006D5148">
        <w:rPr>
          <w:rFonts w:ascii="Times New Roman" w:eastAsia="Times New Roman" w:hAnsi="Times New Roman" w:cs="Times New Roman"/>
          <w:iCs/>
          <w:sz w:val="24"/>
          <w:szCs w:val="24"/>
        </w:rPr>
        <w:t xml:space="preserve">program </w:t>
      </w:r>
      <w:r>
        <w:rPr>
          <w:rFonts w:ascii="Times New Roman" w:eastAsia="Times New Roman" w:hAnsi="Times New Roman" w:cs="Times New Roman"/>
          <w:iCs/>
          <w:sz w:val="24"/>
          <w:szCs w:val="24"/>
        </w:rPr>
        <w:t>participation</w:t>
      </w:r>
      <w:r w:rsidRPr="006D5148" w:rsidR="009237C0">
        <w:rPr>
          <w:rFonts w:ascii="Times New Roman" w:eastAsia="Times New Roman" w:hAnsi="Times New Roman" w:cs="Times New Roman"/>
          <w:iCs/>
          <w:sz w:val="24"/>
          <w:szCs w:val="24"/>
        </w:rPr>
        <w:t xml:space="preserve">. </w:t>
      </w:r>
      <w:r w:rsidRPr="006D5148" w:rsidR="0028615B">
        <w:rPr>
          <w:rFonts w:ascii="Times New Roman" w:eastAsia="Times New Roman" w:hAnsi="Times New Roman" w:cs="Times New Roman"/>
          <w:iCs/>
          <w:sz w:val="24"/>
          <w:szCs w:val="24"/>
        </w:rPr>
        <w:t xml:space="preserve">Without the collected data </w:t>
      </w:r>
      <w:r w:rsidRPr="006D5148" w:rsidR="009237C0">
        <w:rPr>
          <w:rFonts w:ascii="Times New Roman" w:eastAsia="Times New Roman" w:hAnsi="Times New Roman" w:cs="Times New Roman"/>
          <w:iCs/>
          <w:sz w:val="24"/>
          <w:szCs w:val="24"/>
        </w:rPr>
        <w:t>MARAD</w:t>
      </w:r>
      <w:r w:rsidRPr="006D5148" w:rsidR="0028615B">
        <w:rPr>
          <w:rFonts w:ascii="Times New Roman" w:eastAsia="Times New Roman" w:hAnsi="Times New Roman" w:cs="Times New Roman"/>
          <w:iCs/>
          <w:sz w:val="24"/>
          <w:szCs w:val="24"/>
        </w:rPr>
        <w:t xml:space="preserve"> personnel would be unable</w:t>
      </w:r>
      <w:r w:rsidRPr="006D5148" w:rsidR="009237C0">
        <w:rPr>
          <w:rFonts w:ascii="Times New Roman" w:eastAsia="Times New Roman" w:hAnsi="Times New Roman" w:cs="Times New Roman"/>
          <w:iCs/>
          <w:sz w:val="24"/>
          <w:szCs w:val="24"/>
        </w:rPr>
        <w:t xml:space="preserve"> to properly administer </w:t>
      </w:r>
      <w:r w:rsidRPr="006D5148" w:rsidR="0028615B">
        <w:rPr>
          <w:rFonts w:ascii="Times New Roman" w:eastAsia="Times New Roman" w:hAnsi="Times New Roman" w:cs="Times New Roman"/>
          <w:iCs/>
          <w:sz w:val="24"/>
          <w:szCs w:val="24"/>
        </w:rPr>
        <w:t>both financing</w:t>
      </w:r>
      <w:r w:rsidRPr="006D5148" w:rsidR="009237C0">
        <w:rPr>
          <w:rFonts w:ascii="Times New Roman" w:eastAsia="Times New Roman" w:hAnsi="Times New Roman" w:cs="Times New Roman"/>
          <w:iCs/>
          <w:sz w:val="24"/>
          <w:szCs w:val="24"/>
        </w:rPr>
        <w:t xml:space="preserve"> program</w:t>
      </w:r>
      <w:r w:rsidRPr="006D5148" w:rsidR="0028615B">
        <w:rPr>
          <w:rFonts w:ascii="Times New Roman" w:eastAsia="Times New Roman" w:hAnsi="Times New Roman" w:cs="Times New Roman"/>
          <w:iCs/>
          <w:sz w:val="24"/>
          <w:szCs w:val="24"/>
        </w:rPr>
        <w:t>s</w:t>
      </w:r>
      <w:r w:rsidR="0028615B">
        <w:rPr>
          <w:rFonts w:ascii="Times New Roman" w:eastAsia="Times New Roman" w:hAnsi="Times New Roman" w:cs="Times New Roman"/>
          <w:iCs/>
          <w:sz w:val="24"/>
          <w:szCs w:val="24"/>
        </w:rPr>
        <w:t>.</w:t>
      </w:r>
    </w:p>
    <w:p w:rsidR="005346D8" w:rsidRPr="00B171A4" w:rsidP="006D5148" w14:paraId="176C4B32" w14:textId="77777777">
      <w:pPr>
        <w:pStyle w:val="ListParagraph"/>
        <w:spacing w:after="0" w:line="280" w:lineRule="exact"/>
        <w:ind w:right="20"/>
      </w:pPr>
    </w:p>
    <w:p w:rsidR="00BC08DF" w:rsidRPr="006D5148" w:rsidP="006D5148" w14:paraId="308D76A3" w14:textId="353B6881">
      <w:pPr>
        <w:pStyle w:val="ListParagraph"/>
        <w:numPr>
          <w:ilvl w:val="0"/>
          <w:numId w:val="8"/>
        </w:numPr>
        <w:tabs>
          <w:tab w:val="left" w:pos="900"/>
        </w:tabs>
        <w:spacing w:after="0" w:line="280" w:lineRule="exact"/>
        <w:ind w:right="20"/>
        <w:rPr>
          <w:rFonts w:ascii="Times New Roman" w:eastAsia="Times New Roman" w:hAnsi="Times New Roman" w:cs="Times New Roman"/>
          <w:b/>
          <w:bCs/>
          <w:sz w:val="24"/>
          <w:szCs w:val="24"/>
        </w:rPr>
      </w:pPr>
      <w:r w:rsidRPr="006D5148">
        <w:rPr>
          <w:rFonts w:ascii="Times New Roman" w:eastAsia="Times New Roman" w:hAnsi="Times New Roman" w:cs="Times New Roman"/>
          <w:b/>
          <w:bCs/>
          <w:sz w:val="24"/>
          <w:szCs w:val="24"/>
        </w:rPr>
        <w:t xml:space="preserve">Special </w:t>
      </w:r>
      <w:r w:rsidRPr="006D5148" w:rsidR="0028615B">
        <w:rPr>
          <w:rFonts w:ascii="Times New Roman" w:eastAsia="Times New Roman" w:hAnsi="Times New Roman" w:cs="Times New Roman"/>
          <w:b/>
          <w:bCs/>
          <w:sz w:val="24"/>
          <w:szCs w:val="24"/>
        </w:rPr>
        <w:t>Circumstances Relating to the Guidelines 5 CFR 1320.5</w:t>
      </w:r>
      <w:r w:rsidRPr="006D5148">
        <w:rPr>
          <w:rFonts w:ascii="Times New Roman" w:eastAsia="Times New Roman" w:hAnsi="Times New Roman" w:cs="Times New Roman"/>
          <w:b/>
          <w:bCs/>
          <w:sz w:val="24"/>
          <w:szCs w:val="24"/>
        </w:rPr>
        <w:t xml:space="preserve">.  </w:t>
      </w:r>
    </w:p>
    <w:p w:rsidR="000720CA" w:rsidRPr="00B171A4" w:rsidP="005346D8" w14:paraId="3E0D0AE8" w14:textId="77777777">
      <w:pPr>
        <w:spacing w:after="0" w:line="280" w:lineRule="exact"/>
        <w:ind w:left="1440" w:right="20" w:hanging="360"/>
        <w:rPr>
          <w:rFonts w:ascii="Times New Roman" w:hAnsi="Times New Roman" w:cs="Times New Roman"/>
          <w:sz w:val="24"/>
          <w:szCs w:val="24"/>
        </w:rPr>
      </w:pPr>
    </w:p>
    <w:p w:rsidR="000720CA" w:rsidP="006E1911" w14:paraId="156828E5" w14:textId="3BA60271">
      <w:pPr>
        <w:spacing w:after="0" w:line="280" w:lineRule="exact"/>
        <w:ind w:left="720"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MARAD requires the submission of up to 10 copies of the initial application</w:t>
      </w:r>
      <w:r w:rsidR="009E0597">
        <w:rPr>
          <w:rFonts w:ascii="Times New Roman" w:eastAsia="Times New Roman" w:hAnsi="Times New Roman" w:cs="Times New Roman"/>
          <w:iCs/>
          <w:sz w:val="24"/>
          <w:szCs w:val="24"/>
        </w:rPr>
        <w:t xml:space="preserve"> so</w:t>
      </w:r>
      <w:r w:rsidRPr="006D5148">
        <w:rPr>
          <w:rFonts w:ascii="Times New Roman" w:eastAsia="Times New Roman" w:hAnsi="Times New Roman" w:cs="Times New Roman"/>
          <w:iCs/>
          <w:sz w:val="24"/>
          <w:szCs w:val="24"/>
        </w:rPr>
        <w:t xml:space="preserve"> that </w:t>
      </w:r>
      <w:r w:rsidR="00C475A3">
        <w:rPr>
          <w:rFonts w:ascii="Times New Roman" w:eastAsia="Times New Roman" w:hAnsi="Times New Roman" w:cs="Times New Roman"/>
          <w:iCs/>
          <w:sz w:val="24"/>
          <w:szCs w:val="24"/>
        </w:rPr>
        <w:t xml:space="preserve">personnel in </w:t>
      </w:r>
      <w:r w:rsidRPr="006D5148">
        <w:rPr>
          <w:rFonts w:ascii="Times New Roman" w:eastAsia="Times New Roman" w:hAnsi="Times New Roman" w:cs="Times New Roman"/>
          <w:iCs/>
          <w:sz w:val="24"/>
          <w:szCs w:val="24"/>
        </w:rPr>
        <w:t xml:space="preserve">different </w:t>
      </w:r>
      <w:r w:rsidR="00C475A3">
        <w:rPr>
          <w:rFonts w:ascii="Times New Roman" w:eastAsia="Times New Roman" w:hAnsi="Times New Roman" w:cs="Times New Roman"/>
          <w:iCs/>
          <w:sz w:val="24"/>
          <w:szCs w:val="24"/>
        </w:rPr>
        <w:t xml:space="preserve">MARAD </w:t>
      </w:r>
      <w:r w:rsidRPr="006D5148">
        <w:rPr>
          <w:rFonts w:ascii="Times New Roman" w:eastAsia="Times New Roman" w:hAnsi="Times New Roman" w:cs="Times New Roman"/>
          <w:iCs/>
          <w:sz w:val="24"/>
          <w:szCs w:val="24"/>
        </w:rPr>
        <w:t xml:space="preserve">may provide simultaneous and timely </w:t>
      </w:r>
      <w:r w:rsidR="009E0597">
        <w:rPr>
          <w:rFonts w:ascii="Times New Roman" w:eastAsia="Times New Roman" w:hAnsi="Times New Roman" w:cs="Times New Roman"/>
          <w:iCs/>
          <w:sz w:val="24"/>
          <w:szCs w:val="24"/>
        </w:rPr>
        <w:t xml:space="preserve">review and </w:t>
      </w:r>
      <w:r w:rsidRPr="006D5148">
        <w:rPr>
          <w:rFonts w:ascii="Times New Roman" w:eastAsia="Times New Roman" w:hAnsi="Times New Roman" w:cs="Times New Roman"/>
          <w:iCs/>
          <w:sz w:val="24"/>
          <w:szCs w:val="24"/>
        </w:rPr>
        <w:t>analys</w:t>
      </w:r>
      <w:r w:rsidR="009E0597">
        <w:rPr>
          <w:rFonts w:ascii="Times New Roman" w:eastAsia="Times New Roman" w:hAnsi="Times New Roman" w:cs="Times New Roman"/>
          <w:iCs/>
          <w:sz w:val="24"/>
          <w:szCs w:val="24"/>
        </w:rPr>
        <w:t>i</w:t>
      </w:r>
      <w:r w:rsidRPr="006D5148">
        <w:rPr>
          <w:rFonts w:ascii="Times New Roman" w:eastAsia="Times New Roman" w:hAnsi="Times New Roman" w:cs="Times New Roman"/>
          <w:iCs/>
          <w:sz w:val="24"/>
          <w:szCs w:val="24"/>
        </w:rPr>
        <w:t xml:space="preserve">s of </w:t>
      </w:r>
      <w:r w:rsidR="009E0597">
        <w:rPr>
          <w:rFonts w:ascii="Times New Roman" w:eastAsia="Times New Roman" w:hAnsi="Times New Roman" w:cs="Times New Roman"/>
          <w:iCs/>
          <w:sz w:val="24"/>
          <w:szCs w:val="24"/>
        </w:rPr>
        <w:t>each</w:t>
      </w:r>
      <w:r w:rsidRPr="006D5148">
        <w:rPr>
          <w:rFonts w:ascii="Times New Roman" w:eastAsia="Times New Roman" w:hAnsi="Times New Roman" w:cs="Times New Roman"/>
          <w:iCs/>
          <w:sz w:val="24"/>
          <w:szCs w:val="24"/>
        </w:rPr>
        <w:t xml:space="preserve"> application.</w:t>
      </w:r>
    </w:p>
    <w:p w:rsidR="0043086C" w:rsidP="006E1911" w14:paraId="1673AB26" w14:textId="617E1078">
      <w:pPr>
        <w:spacing w:after="0" w:line="280" w:lineRule="exact"/>
        <w:ind w:left="720" w:right="20"/>
        <w:rPr>
          <w:rFonts w:ascii="Times New Roman" w:eastAsia="Times New Roman" w:hAnsi="Times New Roman" w:cs="Times New Roman"/>
          <w:iCs/>
          <w:sz w:val="24"/>
          <w:szCs w:val="24"/>
        </w:rPr>
      </w:pPr>
    </w:p>
    <w:p w:rsidR="0043086C" w:rsidP="006E1911" w14:paraId="3C4AB505" w14:textId="6AB87181">
      <w:pPr>
        <w:spacing w:after="0" w:line="280" w:lineRule="exact"/>
        <w:ind w:left="720" w:right="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There </w:t>
      </w:r>
      <w:r w:rsidR="00FC51F2">
        <w:rPr>
          <w:rFonts w:ascii="Times New Roman" w:eastAsia="Times New Roman" w:hAnsi="Times New Roman" w:cs="Times New Roman"/>
          <w:iCs/>
          <w:sz w:val="24"/>
          <w:szCs w:val="24"/>
        </w:rPr>
        <w:t>is</w:t>
      </w:r>
      <w:r>
        <w:rPr>
          <w:rFonts w:ascii="Times New Roman" w:eastAsia="Times New Roman" w:hAnsi="Times New Roman" w:cs="Times New Roman"/>
          <w:iCs/>
          <w:sz w:val="24"/>
          <w:szCs w:val="24"/>
        </w:rPr>
        <w:t xml:space="preserve"> no other special circumstance that require this collection of information to be collected conducted in a manner described below:</w:t>
      </w:r>
    </w:p>
    <w:p w:rsidR="0043086C" w:rsidP="006E1911" w14:paraId="1891385D" w14:textId="72F45304">
      <w:pPr>
        <w:spacing w:after="0" w:line="280" w:lineRule="exact"/>
        <w:ind w:left="720" w:right="20"/>
        <w:rPr>
          <w:rFonts w:ascii="Times New Roman" w:eastAsia="Times New Roman" w:hAnsi="Times New Roman" w:cs="Times New Roman"/>
          <w:iCs/>
          <w:sz w:val="24"/>
          <w:szCs w:val="24"/>
        </w:rPr>
      </w:pPr>
    </w:p>
    <w:p w:rsidR="0043086C" w:rsidRPr="00EC2266" w:rsidP="0043086C" w14:paraId="64C5C817" w14:textId="77777777">
      <w:pPr>
        <w:widowControl/>
        <w:numPr>
          <w:ilvl w:val="0"/>
          <w:numId w:val="10"/>
        </w:numPr>
        <w:tabs>
          <w:tab w:val="num" w:pos="720"/>
        </w:tabs>
        <w:spacing w:after="0" w:line="240" w:lineRule="auto"/>
        <w:rPr>
          <w:rFonts w:ascii="Times New Roman" w:hAnsi="Times New Roman"/>
          <w:bCs/>
          <w:sz w:val="24"/>
          <w:szCs w:val="24"/>
        </w:rPr>
      </w:pPr>
      <w:r w:rsidRPr="00EC2266">
        <w:rPr>
          <w:rFonts w:ascii="Times New Roman" w:hAnsi="Times New Roman"/>
          <w:bCs/>
          <w:sz w:val="24"/>
          <w:szCs w:val="24"/>
        </w:rPr>
        <w:t>Requiring respondents to report information to MARAD more often than quarterly;</w:t>
      </w:r>
    </w:p>
    <w:p w:rsidR="0043086C" w:rsidRPr="0043086C" w:rsidP="0043086C" w14:paraId="37E66C14" w14:textId="0A18DAD9">
      <w:pPr>
        <w:widowControl/>
        <w:numPr>
          <w:ilvl w:val="0"/>
          <w:numId w:val="10"/>
        </w:numPr>
        <w:tabs>
          <w:tab w:val="num" w:pos="720"/>
        </w:tabs>
        <w:spacing w:after="0" w:line="240" w:lineRule="auto"/>
        <w:rPr>
          <w:rFonts w:ascii="Times New Roman" w:hAnsi="Times New Roman"/>
          <w:bCs/>
          <w:sz w:val="24"/>
          <w:szCs w:val="24"/>
        </w:rPr>
      </w:pPr>
      <w:r w:rsidRPr="00EC2266">
        <w:rPr>
          <w:rFonts w:ascii="Times New Roman" w:hAnsi="Times New Roman"/>
          <w:bCs/>
          <w:sz w:val="24"/>
          <w:szCs w:val="24"/>
        </w:rPr>
        <w:t>Requiring respondents to prepare a written response in fewer than 30 days after receipt of a collection instrument;</w:t>
      </w:r>
    </w:p>
    <w:p w:rsidR="0043086C" w:rsidRPr="00EC2266" w:rsidP="0043086C" w14:paraId="1DCD0393" w14:textId="77777777">
      <w:pPr>
        <w:widowControl/>
        <w:numPr>
          <w:ilvl w:val="0"/>
          <w:numId w:val="10"/>
        </w:numPr>
        <w:tabs>
          <w:tab w:val="num" w:pos="720"/>
        </w:tabs>
        <w:spacing w:after="0" w:line="240" w:lineRule="auto"/>
        <w:rPr>
          <w:rFonts w:ascii="Times New Roman" w:hAnsi="Times New Roman"/>
          <w:bCs/>
          <w:sz w:val="24"/>
          <w:szCs w:val="24"/>
        </w:rPr>
      </w:pPr>
      <w:r w:rsidRPr="00EC2266">
        <w:rPr>
          <w:rFonts w:ascii="Times New Roman" w:hAnsi="Times New Roman"/>
          <w:bCs/>
          <w:sz w:val="24"/>
          <w:szCs w:val="24"/>
        </w:rPr>
        <w:t>Requiring respondents to retain records, other than health, medical, government contract, grant-in-aid, or tax records for more than three years;</w:t>
      </w:r>
    </w:p>
    <w:p w:rsidR="0043086C" w:rsidRPr="00EC2266" w:rsidP="0043086C" w14:paraId="5D0EDCBE" w14:textId="77777777">
      <w:pPr>
        <w:widowControl/>
        <w:numPr>
          <w:ilvl w:val="0"/>
          <w:numId w:val="10"/>
        </w:numPr>
        <w:tabs>
          <w:tab w:val="num" w:pos="720"/>
        </w:tabs>
        <w:spacing w:after="0" w:line="240" w:lineRule="auto"/>
        <w:rPr>
          <w:rFonts w:ascii="Times New Roman" w:hAnsi="Times New Roman"/>
          <w:bCs/>
          <w:sz w:val="24"/>
          <w:szCs w:val="24"/>
        </w:rPr>
      </w:pPr>
      <w:r w:rsidRPr="00EC2266">
        <w:rPr>
          <w:rFonts w:ascii="Times New Roman" w:hAnsi="Times New Roman"/>
          <w:bCs/>
          <w:sz w:val="24"/>
          <w:szCs w:val="24"/>
        </w:rPr>
        <w:t>Requiring the use of statistical data that is not designed to produce valid and reliable results that can be generalized to the universe of study;</w:t>
      </w:r>
    </w:p>
    <w:p w:rsidR="0043086C" w:rsidRPr="00EC2266" w:rsidP="0043086C" w14:paraId="1E3743A9" w14:textId="77777777">
      <w:pPr>
        <w:widowControl/>
        <w:numPr>
          <w:ilvl w:val="0"/>
          <w:numId w:val="10"/>
        </w:numPr>
        <w:tabs>
          <w:tab w:val="num" w:pos="720"/>
        </w:tabs>
        <w:spacing w:after="0" w:line="240" w:lineRule="auto"/>
        <w:rPr>
          <w:rFonts w:ascii="Times New Roman" w:hAnsi="Times New Roman"/>
          <w:bCs/>
          <w:sz w:val="24"/>
          <w:szCs w:val="24"/>
        </w:rPr>
      </w:pPr>
      <w:r w:rsidRPr="00EC2266">
        <w:rPr>
          <w:rFonts w:ascii="Times New Roman" w:hAnsi="Times New Roman"/>
          <w:bCs/>
          <w:sz w:val="24"/>
          <w:szCs w:val="24"/>
        </w:rPr>
        <w:t>Requiring the use of statistical data classification that has not been reviewed and approved by OMB;</w:t>
      </w:r>
    </w:p>
    <w:p w:rsidR="0043086C" w:rsidRPr="00EC2266" w:rsidP="0043086C" w14:paraId="492B6DAE" w14:textId="77777777">
      <w:pPr>
        <w:widowControl/>
        <w:numPr>
          <w:ilvl w:val="0"/>
          <w:numId w:val="10"/>
        </w:numPr>
        <w:tabs>
          <w:tab w:val="num" w:pos="720"/>
        </w:tabs>
        <w:spacing w:after="0" w:line="240" w:lineRule="auto"/>
        <w:rPr>
          <w:rFonts w:ascii="Times New Roman" w:hAnsi="Times New Roman"/>
          <w:bCs/>
          <w:sz w:val="24"/>
          <w:szCs w:val="24"/>
        </w:rPr>
      </w:pPr>
      <w:r w:rsidRPr="00EC2266">
        <w:rPr>
          <w:rFonts w:ascii="Times New Roman" w:hAnsi="Times New Roman"/>
          <w:bCs/>
          <w:sz w:val="24"/>
          <w:szCs w:val="24"/>
        </w:rPr>
        <w:t xml:space="preserve">Requiring a pledge of confidentiality; or </w:t>
      </w:r>
    </w:p>
    <w:p w:rsidR="0043086C" w:rsidRPr="00EC2266" w:rsidP="0043086C" w14:paraId="221B8A66" w14:textId="77777777">
      <w:pPr>
        <w:widowControl/>
        <w:numPr>
          <w:ilvl w:val="0"/>
          <w:numId w:val="10"/>
        </w:numPr>
        <w:tabs>
          <w:tab w:val="num" w:pos="720"/>
        </w:tabs>
        <w:spacing w:after="0" w:line="240" w:lineRule="auto"/>
        <w:rPr>
          <w:rFonts w:ascii="Times New Roman" w:hAnsi="Times New Roman"/>
          <w:bCs/>
          <w:sz w:val="24"/>
          <w:szCs w:val="24"/>
        </w:rPr>
      </w:pPr>
      <w:r w:rsidRPr="00EC2266">
        <w:rPr>
          <w:rFonts w:ascii="Times New Roman" w:hAnsi="Times New Roman"/>
          <w:bCs/>
          <w:sz w:val="24"/>
          <w:szCs w:val="24"/>
        </w:rPr>
        <w:t>Requiring respondents to submit any proprietary or trade secrets</w:t>
      </w:r>
    </w:p>
    <w:p w:rsidR="000720CA" w:rsidRPr="006D5148" w:rsidP="006D5148" w14:paraId="57F59F06" w14:textId="77777777">
      <w:pPr>
        <w:spacing w:after="0" w:line="280" w:lineRule="exact"/>
        <w:ind w:right="20"/>
        <w:rPr>
          <w:rFonts w:ascii="Times New Roman" w:hAnsi="Times New Roman" w:cs="Times New Roman"/>
          <w:iCs/>
          <w:sz w:val="24"/>
          <w:szCs w:val="24"/>
        </w:rPr>
      </w:pPr>
    </w:p>
    <w:p w:rsidR="0043086C" w:rsidP="006E1911" w14:paraId="34E43AEF" w14:textId="40E75481">
      <w:pPr>
        <w:pStyle w:val="ListParagraph"/>
        <w:numPr>
          <w:ilvl w:val="0"/>
          <w:numId w:val="8"/>
        </w:numPr>
        <w:tabs>
          <w:tab w:val="left" w:pos="900"/>
        </w:tabs>
        <w:spacing w:after="0" w:line="280" w:lineRule="exact"/>
        <w:ind w:right="20"/>
        <w:rPr>
          <w:rFonts w:ascii="Times New Roman" w:eastAsia="Times New Roman" w:hAnsi="Times New Roman" w:cs="Times New Roman"/>
          <w:sz w:val="24"/>
          <w:szCs w:val="24"/>
        </w:rPr>
      </w:pPr>
      <w:r w:rsidRPr="006D5148">
        <w:rPr>
          <w:rFonts w:ascii="Times New Roman" w:eastAsia="Times New Roman" w:hAnsi="Times New Roman" w:cs="Times New Roman"/>
          <w:b/>
          <w:bCs/>
          <w:sz w:val="24"/>
          <w:szCs w:val="24"/>
        </w:rPr>
        <w:t>Public Comments In Response to the Federal Register Notice and Outside Consultation</w:t>
      </w:r>
    </w:p>
    <w:p w:rsidR="0043086C" w:rsidP="006E1911" w14:paraId="3D18FDE4" w14:textId="77777777">
      <w:pPr>
        <w:pStyle w:val="ListParagraph"/>
        <w:tabs>
          <w:tab w:val="left" w:pos="900"/>
        </w:tabs>
        <w:spacing w:after="0" w:line="280" w:lineRule="exact"/>
        <w:ind w:right="20"/>
        <w:rPr>
          <w:rFonts w:ascii="Times New Roman" w:eastAsia="Times New Roman" w:hAnsi="Times New Roman" w:cs="Times New Roman"/>
          <w:sz w:val="24"/>
          <w:szCs w:val="24"/>
        </w:rPr>
      </w:pPr>
    </w:p>
    <w:p w:rsidR="00905427" w:rsidRPr="00CB2C2D" w:rsidP="006D5148" w14:paraId="0272955A" w14:textId="050FFB3D">
      <w:pPr>
        <w:pStyle w:val="ListParagraph"/>
        <w:rPr>
          <w:rFonts w:ascii="Times New Roman" w:eastAsia="Times New Roman" w:hAnsi="Times New Roman" w:cs="Times New Roman"/>
          <w:i/>
          <w:sz w:val="24"/>
          <w:szCs w:val="24"/>
        </w:rPr>
      </w:pPr>
      <w:r w:rsidRPr="00CB2C2D">
        <w:rPr>
          <w:rFonts w:ascii="Times New Roman" w:hAnsi="Times New Roman"/>
          <w:sz w:val="24"/>
          <w:szCs w:val="24"/>
        </w:rPr>
        <w:t>MARAD published a 60-day notice and request for comments on this information collection in the Federal Register (FR 36847, Vol 89, No. 87) on May 3, 2024, indicating comments should be submitted on or before July 2, 2024. No comments were received. A 30-day notice will now be published in the Federal Register to solicit public comments</w:t>
      </w:r>
      <w:r w:rsidRPr="00CB2C2D" w:rsidR="0043086C">
        <w:rPr>
          <w:rFonts w:ascii="Times New Roman" w:eastAsia="Times New Roman" w:hAnsi="Times New Roman" w:cs="Times New Roman"/>
          <w:bCs/>
          <w:sz w:val="24"/>
          <w:szCs w:val="24"/>
        </w:rPr>
        <w:t>.</w:t>
      </w:r>
    </w:p>
    <w:p w:rsidR="006E4C6C" w:rsidRPr="006D5148" w:rsidP="006D5148" w14:paraId="56596907" w14:textId="6A71E193">
      <w:pPr>
        <w:tabs>
          <w:tab w:val="left" w:pos="900"/>
        </w:tabs>
        <w:spacing w:after="0" w:line="280" w:lineRule="exact"/>
        <w:ind w:left="720"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 xml:space="preserve">Prior to </w:t>
      </w:r>
      <w:r w:rsidR="0043086C">
        <w:rPr>
          <w:rFonts w:ascii="Times New Roman" w:eastAsia="Times New Roman" w:hAnsi="Times New Roman" w:cs="Times New Roman"/>
          <w:iCs/>
          <w:sz w:val="24"/>
          <w:szCs w:val="24"/>
        </w:rPr>
        <w:t xml:space="preserve">submitting </w:t>
      </w:r>
      <w:r w:rsidRPr="006D5148" w:rsidR="00C40146">
        <w:rPr>
          <w:rFonts w:ascii="Times New Roman" w:eastAsia="Times New Roman" w:hAnsi="Times New Roman" w:cs="Times New Roman"/>
          <w:iCs/>
          <w:sz w:val="24"/>
          <w:szCs w:val="24"/>
        </w:rPr>
        <w:t>of</w:t>
      </w:r>
      <w:r w:rsidRPr="006D5148">
        <w:rPr>
          <w:rFonts w:ascii="Times New Roman" w:eastAsia="Times New Roman" w:hAnsi="Times New Roman" w:cs="Times New Roman"/>
          <w:iCs/>
          <w:sz w:val="24"/>
          <w:szCs w:val="24"/>
        </w:rPr>
        <w:t xml:space="preserve"> a loan guarantee application, applicants are </w:t>
      </w:r>
      <w:r w:rsidRPr="006D5148" w:rsidR="00C40146">
        <w:rPr>
          <w:rFonts w:ascii="Times New Roman" w:eastAsia="Times New Roman" w:hAnsi="Times New Roman" w:cs="Times New Roman"/>
          <w:iCs/>
          <w:sz w:val="24"/>
          <w:szCs w:val="24"/>
        </w:rPr>
        <w:t>encouraged to</w:t>
      </w:r>
      <w:r w:rsidRPr="006D5148">
        <w:rPr>
          <w:rFonts w:ascii="Times New Roman" w:eastAsia="Times New Roman" w:hAnsi="Times New Roman" w:cs="Times New Roman"/>
          <w:iCs/>
          <w:sz w:val="24"/>
          <w:szCs w:val="24"/>
        </w:rPr>
        <w:t xml:space="preserve"> meet with MARAD staff to discuss information to be included in the</w:t>
      </w:r>
      <w:r w:rsidR="00B07E8E">
        <w:rPr>
          <w:rFonts w:ascii="Times New Roman" w:eastAsia="Times New Roman" w:hAnsi="Times New Roman" w:cs="Times New Roman"/>
          <w:iCs/>
          <w:sz w:val="24"/>
          <w:szCs w:val="24"/>
        </w:rPr>
        <w:t>ir package</w:t>
      </w:r>
      <w:r w:rsidRPr="006D5148">
        <w:rPr>
          <w:rFonts w:ascii="Times New Roman" w:eastAsia="Times New Roman" w:hAnsi="Times New Roman" w:cs="Times New Roman"/>
          <w:iCs/>
          <w:sz w:val="24"/>
          <w:szCs w:val="24"/>
        </w:rPr>
        <w:t xml:space="preserve">. </w:t>
      </w:r>
      <w:r w:rsidR="00B07E8E">
        <w:rPr>
          <w:rFonts w:ascii="Times New Roman" w:eastAsia="Times New Roman" w:hAnsi="Times New Roman" w:cs="Times New Roman"/>
          <w:iCs/>
          <w:sz w:val="24"/>
          <w:szCs w:val="24"/>
        </w:rPr>
        <w:t xml:space="preserve">During these </w:t>
      </w:r>
      <w:r w:rsidRPr="006D5148">
        <w:rPr>
          <w:rFonts w:ascii="Times New Roman" w:eastAsia="Times New Roman" w:hAnsi="Times New Roman" w:cs="Times New Roman"/>
          <w:iCs/>
          <w:sz w:val="24"/>
          <w:szCs w:val="24"/>
        </w:rPr>
        <w:t xml:space="preserve"> meetings</w:t>
      </w:r>
      <w:r w:rsidR="009E0597">
        <w:rPr>
          <w:rFonts w:ascii="Times New Roman" w:eastAsia="Times New Roman" w:hAnsi="Times New Roman" w:cs="Times New Roman"/>
          <w:iCs/>
          <w:sz w:val="24"/>
          <w:szCs w:val="24"/>
        </w:rPr>
        <w:t>,</w:t>
      </w:r>
      <w:r w:rsidRPr="006D5148">
        <w:rPr>
          <w:rFonts w:ascii="Times New Roman" w:eastAsia="Times New Roman" w:hAnsi="Times New Roman" w:cs="Times New Roman"/>
          <w:iCs/>
          <w:sz w:val="24"/>
          <w:szCs w:val="24"/>
        </w:rPr>
        <w:t xml:space="preserve"> </w:t>
      </w:r>
      <w:r w:rsidR="00B07E8E">
        <w:rPr>
          <w:rFonts w:ascii="Times New Roman" w:eastAsia="Times New Roman" w:hAnsi="Times New Roman" w:cs="Times New Roman"/>
          <w:iCs/>
          <w:sz w:val="24"/>
          <w:szCs w:val="24"/>
        </w:rPr>
        <w:t xml:space="preserve">MARAD personnel will </w:t>
      </w:r>
      <w:r w:rsidRPr="006D5148">
        <w:rPr>
          <w:rFonts w:ascii="Times New Roman" w:eastAsia="Times New Roman" w:hAnsi="Times New Roman" w:cs="Times New Roman"/>
          <w:iCs/>
          <w:sz w:val="24"/>
          <w:szCs w:val="24"/>
        </w:rPr>
        <w:t xml:space="preserve">obtain </w:t>
      </w:r>
      <w:r w:rsidR="009E0597">
        <w:rPr>
          <w:rFonts w:ascii="Times New Roman" w:eastAsia="Times New Roman" w:hAnsi="Times New Roman" w:cs="Times New Roman"/>
          <w:iCs/>
          <w:sz w:val="24"/>
          <w:szCs w:val="24"/>
        </w:rPr>
        <w:t xml:space="preserve">feedback from </w:t>
      </w:r>
      <w:r w:rsidRPr="006D5148">
        <w:rPr>
          <w:rFonts w:ascii="Times New Roman" w:eastAsia="Times New Roman" w:hAnsi="Times New Roman" w:cs="Times New Roman"/>
          <w:iCs/>
          <w:sz w:val="24"/>
          <w:szCs w:val="24"/>
        </w:rPr>
        <w:t>applicant</w:t>
      </w:r>
      <w:r w:rsidR="009E0597">
        <w:rPr>
          <w:rFonts w:ascii="Times New Roman" w:eastAsia="Times New Roman" w:hAnsi="Times New Roman" w:cs="Times New Roman"/>
          <w:iCs/>
          <w:sz w:val="24"/>
          <w:szCs w:val="24"/>
        </w:rPr>
        <w:t>s</w:t>
      </w:r>
      <w:r w:rsidRPr="006D5148">
        <w:rPr>
          <w:rFonts w:ascii="Times New Roman" w:eastAsia="Times New Roman" w:hAnsi="Times New Roman" w:cs="Times New Roman"/>
          <w:iCs/>
          <w:sz w:val="24"/>
          <w:szCs w:val="24"/>
        </w:rPr>
        <w:t xml:space="preserve"> </w:t>
      </w:r>
      <w:r w:rsidR="009E0597">
        <w:rPr>
          <w:rFonts w:ascii="Times New Roman" w:eastAsia="Times New Roman" w:hAnsi="Times New Roman" w:cs="Times New Roman"/>
          <w:iCs/>
          <w:sz w:val="24"/>
          <w:szCs w:val="24"/>
        </w:rPr>
        <w:t xml:space="preserve">about </w:t>
      </w:r>
      <w:r w:rsidRPr="006D5148">
        <w:rPr>
          <w:rFonts w:ascii="Times New Roman" w:eastAsia="Times New Roman" w:hAnsi="Times New Roman" w:cs="Times New Roman"/>
          <w:iCs/>
          <w:sz w:val="24"/>
          <w:szCs w:val="24"/>
        </w:rPr>
        <w:t xml:space="preserve">the </w:t>
      </w:r>
      <w:r w:rsidRPr="006D5148" w:rsidR="00C40146">
        <w:rPr>
          <w:rFonts w:ascii="Times New Roman" w:eastAsia="Times New Roman" w:hAnsi="Times New Roman" w:cs="Times New Roman"/>
          <w:iCs/>
          <w:sz w:val="24"/>
          <w:szCs w:val="24"/>
        </w:rPr>
        <w:t>availability of</w:t>
      </w:r>
      <w:r w:rsidRPr="006D5148">
        <w:rPr>
          <w:rFonts w:ascii="Times New Roman" w:eastAsia="Times New Roman" w:hAnsi="Times New Roman" w:cs="Times New Roman"/>
          <w:iCs/>
          <w:sz w:val="24"/>
          <w:szCs w:val="24"/>
        </w:rPr>
        <w:t xml:space="preserve"> data, frequency of collection, and the clarity of instructions. MARAD staff members also communicate with </w:t>
      </w:r>
      <w:r w:rsidRPr="006D5148" w:rsidR="00C40146">
        <w:rPr>
          <w:rFonts w:ascii="Times New Roman" w:eastAsia="Times New Roman" w:hAnsi="Times New Roman" w:cs="Times New Roman"/>
          <w:iCs/>
          <w:sz w:val="24"/>
          <w:szCs w:val="24"/>
        </w:rPr>
        <w:t xml:space="preserve">respondents </w:t>
      </w:r>
      <w:r w:rsidR="009E0597">
        <w:rPr>
          <w:rFonts w:ascii="Times New Roman" w:eastAsia="Times New Roman" w:hAnsi="Times New Roman" w:cs="Times New Roman"/>
          <w:iCs/>
          <w:sz w:val="24"/>
          <w:szCs w:val="24"/>
        </w:rPr>
        <w:t xml:space="preserve">about </w:t>
      </w:r>
      <w:r w:rsidRPr="006D5148">
        <w:rPr>
          <w:rFonts w:ascii="Times New Roman" w:eastAsia="Times New Roman" w:hAnsi="Times New Roman" w:cs="Times New Roman"/>
          <w:iCs/>
          <w:sz w:val="24"/>
          <w:szCs w:val="24"/>
        </w:rPr>
        <w:t xml:space="preserve">the </w:t>
      </w:r>
      <w:r w:rsidR="00A46247">
        <w:rPr>
          <w:rFonts w:ascii="Times New Roman" w:eastAsia="Times New Roman" w:hAnsi="Times New Roman" w:cs="Times New Roman"/>
          <w:iCs/>
          <w:sz w:val="24"/>
          <w:szCs w:val="24"/>
        </w:rPr>
        <w:t>need and</w:t>
      </w:r>
      <w:r w:rsidRPr="006D5148">
        <w:rPr>
          <w:rFonts w:ascii="Times New Roman" w:eastAsia="Times New Roman" w:hAnsi="Times New Roman" w:cs="Times New Roman"/>
          <w:iCs/>
          <w:sz w:val="24"/>
          <w:szCs w:val="24"/>
        </w:rPr>
        <w:t xml:space="preserve"> reporting </w:t>
      </w:r>
      <w:r w:rsidR="009E0597">
        <w:rPr>
          <w:rFonts w:ascii="Times New Roman" w:eastAsia="Times New Roman" w:hAnsi="Times New Roman" w:cs="Times New Roman"/>
          <w:iCs/>
          <w:sz w:val="24"/>
          <w:szCs w:val="24"/>
        </w:rPr>
        <w:t>requirements for</w:t>
      </w:r>
      <w:r w:rsidRPr="006D5148" w:rsidR="009E0597">
        <w:rPr>
          <w:rFonts w:ascii="Times New Roman" w:eastAsia="Times New Roman" w:hAnsi="Times New Roman" w:cs="Times New Roman"/>
          <w:iCs/>
          <w:sz w:val="24"/>
          <w:szCs w:val="24"/>
        </w:rPr>
        <w:t xml:space="preserve"> </w:t>
      </w:r>
      <w:r w:rsidR="009E0597">
        <w:rPr>
          <w:rFonts w:ascii="Times New Roman" w:eastAsia="Times New Roman" w:hAnsi="Times New Roman" w:cs="Times New Roman"/>
          <w:iCs/>
          <w:sz w:val="24"/>
          <w:szCs w:val="24"/>
        </w:rPr>
        <w:t>collected</w:t>
      </w:r>
      <w:r w:rsidRPr="006D5148">
        <w:rPr>
          <w:rFonts w:ascii="Times New Roman" w:eastAsia="Times New Roman" w:hAnsi="Times New Roman" w:cs="Times New Roman"/>
          <w:iCs/>
          <w:sz w:val="24"/>
          <w:szCs w:val="24"/>
        </w:rPr>
        <w:t xml:space="preserve"> </w:t>
      </w:r>
      <w:r w:rsidRPr="006D5148" w:rsidR="00C40146">
        <w:rPr>
          <w:rFonts w:ascii="Times New Roman" w:eastAsia="Times New Roman" w:hAnsi="Times New Roman" w:cs="Times New Roman"/>
          <w:iCs/>
          <w:sz w:val="24"/>
          <w:szCs w:val="24"/>
        </w:rPr>
        <w:t>information</w:t>
      </w:r>
      <w:r w:rsidRPr="006D5148">
        <w:rPr>
          <w:rFonts w:ascii="Times New Roman" w:eastAsia="Times New Roman" w:hAnsi="Times New Roman" w:cs="Times New Roman"/>
          <w:iCs/>
          <w:sz w:val="24"/>
          <w:szCs w:val="24"/>
        </w:rPr>
        <w:t xml:space="preserve">. Revisions to the </w:t>
      </w:r>
      <w:r w:rsidRPr="006D5148" w:rsidR="00C40146">
        <w:rPr>
          <w:rFonts w:ascii="Times New Roman" w:eastAsia="Times New Roman" w:hAnsi="Times New Roman" w:cs="Times New Roman"/>
          <w:iCs/>
          <w:sz w:val="24"/>
          <w:szCs w:val="24"/>
        </w:rPr>
        <w:t>requirements are</w:t>
      </w:r>
      <w:r w:rsidRPr="006D5148">
        <w:rPr>
          <w:rFonts w:ascii="Times New Roman" w:eastAsia="Times New Roman" w:hAnsi="Times New Roman" w:cs="Times New Roman"/>
          <w:iCs/>
          <w:sz w:val="24"/>
          <w:szCs w:val="24"/>
        </w:rPr>
        <w:t xml:space="preserve"> routinely discussed with maritime industry officials outside MARAD.</w:t>
      </w:r>
    </w:p>
    <w:p w:rsidR="003D7162" w:rsidP="005346D8" w14:paraId="063310B7" w14:textId="77777777">
      <w:pPr>
        <w:tabs>
          <w:tab w:val="left" w:pos="900"/>
        </w:tabs>
        <w:spacing w:after="0" w:line="280" w:lineRule="exact"/>
        <w:ind w:left="900" w:right="20"/>
        <w:rPr>
          <w:rFonts w:ascii="Times New Roman" w:eastAsia="Times New Roman" w:hAnsi="Times New Roman" w:cs="Times New Roman"/>
          <w:i/>
          <w:sz w:val="24"/>
          <w:szCs w:val="24"/>
        </w:rPr>
      </w:pPr>
    </w:p>
    <w:p w:rsidR="000720CA" w:rsidRPr="006D5148" w:rsidP="006D5148" w14:paraId="1BD18259" w14:textId="20B4363B">
      <w:pPr>
        <w:pStyle w:val="ListParagraph"/>
        <w:numPr>
          <w:ilvl w:val="0"/>
          <w:numId w:val="8"/>
        </w:numPr>
        <w:tabs>
          <w:tab w:val="left" w:pos="900"/>
        </w:tabs>
        <w:spacing w:after="0" w:line="280" w:lineRule="exact"/>
        <w:ind w:right="20"/>
        <w:rPr>
          <w:rFonts w:ascii="Times New Roman" w:eastAsia="Times New Roman" w:hAnsi="Times New Roman" w:cs="Times New Roman"/>
          <w:b/>
          <w:bCs/>
          <w:sz w:val="24"/>
          <w:szCs w:val="24"/>
        </w:rPr>
      </w:pPr>
      <w:r w:rsidRPr="006E4C6C">
        <w:rPr>
          <w:rFonts w:ascii="Times New Roman" w:eastAsia="Times New Roman" w:hAnsi="Times New Roman" w:cs="Times New Roman"/>
          <w:b/>
          <w:bCs/>
          <w:iCs/>
          <w:sz w:val="24"/>
          <w:szCs w:val="24"/>
        </w:rPr>
        <w:t>Explanation</w:t>
      </w:r>
      <w:r w:rsidRPr="006D5148">
        <w:rPr>
          <w:rFonts w:ascii="Times New Roman" w:eastAsia="Times New Roman" w:hAnsi="Times New Roman" w:cs="Times New Roman"/>
          <w:b/>
          <w:bCs/>
          <w:iCs/>
          <w:sz w:val="24"/>
          <w:szCs w:val="24"/>
        </w:rPr>
        <w:t xml:space="preserve"> of Any </w:t>
      </w:r>
      <w:r w:rsidRPr="006D5148" w:rsidR="008C3318">
        <w:rPr>
          <w:rFonts w:ascii="Times New Roman" w:eastAsia="Times New Roman" w:hAnsi="Times New Roman" w:cs="Times New Roman"/>
          <w:b/>
          <w:bCs/>
          <w:iCs/>
          <w:sz w:val="24"/>
          <w:szCs w:val="24"/>
        </w:rPr>
        <w:t xml:space="preserve">Payment or </w:t>
      </w:r>
      <w:r w:rsidRPr="006D5148">
        <w:rPr>
          <w:rFonts w:ascii="Times New Roman" w:eastAsia="Times New Roman" w:hAnsi="Times New Roman" w:cs="Times New Roman"/>
          <w:b/>
          <w:bCs/>
          <w:iCs/>
          <w:sz w:val="24"/>
          <w:szCs w:val="24"/>
        </w:rPr>
        <w:t xml:space="preserve">Gifts </w:t>
      </w:r>
      <w:r w:rsidRPr="006D5148" w:rsidR="008C3318">
        <w:rPr>
          <w:rFonts w:ascii="Times New Roman" w:eastAsia="Times New Roman" w:hAnsi="Times New Roman" w:cs="Times New Roman"/>
          <w:b/>
          <w:bCs/>
          <w:iCs/>
          <w:sz w:val="24"/>
          <w:szCs w:val="24"/>
        </w:rPr>
        <w:t xml:space="preserve">to </w:t>
      </w:r>
      <w:r w:rsidRPr="006D5148">
        <w:rPr>
          <w:rFonts w:ascii="Times New Roman" w:eastAsia="Times New Roman" w:hAnsi="Times New Roman" w:cs="Times New Roman"/>
          <w:b/>
          <w:bCs/>
          <w:iCs/>
          <w:sz w:val="24"/>
          <w:szCs w:val="24"/>
        </w:rPr>
        <w:t>Respondents</w:t>
      </w:r>
      <w:r w:rsidRPr="006D5148" w:rsidR="008C3318">
        <w:rPr>
          <w:rFonts w:ascii="Times New Roman" w:eastAsia="Times New Roman" w:hAnsi="Times New Roman" w:cs="Times New Roman"/>
          <w:b/>
          <w:bCs/>
          <w:sz w:val="24"/>
          <w:szCs w:val="24"/>
        </w:rPr>
        <w:t xml:space="preserve">  </w:t>
      </w:r>
    </w:p>
    <w:p w:rsidR="000720CA" w:rsidRPr="00B171A4" w:rsidP="005346D8" w14:paraId="4F8259FC" w14:textId="77777777">
      <w:pPr>
        <w:spacing w:after="0" w:line="280" w:lineRule="exact"/>
        <w:ind w:right="20"/>
        <w:rPr>
          <w:rFonts w:ascii="Times New Roman" w:hAnsi="Times New Roman" w:cs="Times New Roman"/>
          <w:sz w:val="24"/>
          <w:szCs w:val="24"/>
        </w:rPr>
      </w:pPr>
    </w:p>
    <w:p w:rsidR="000720CA" w:rsidRPr="006D5148" w:rsidP="006D5148" w14:paraId="56C30797" w14:textId="573F859A">
      <w:pPr>
        <w:pStyle w:val="ListParagraph"/>
        <w:tabs>
          <w:tab w:val="left" w:pos="900"/>
        </w:tabs>
        <w:spacing w:after="0" w:line="280" w:lineRule="exact"/>
        <w:ind w:right="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There </w:t>
      </w:r>
      <w:r w:rsidR="009E0597">
        <w:rPr>
          <w:rFonts w:ascii="Times New Roman" w:eastAsia="Times New Roman" w:hAnsi="Times New Roman" w:cs="Times New Roman"/>
          <w:iCs/>
          <w:sz w:val="24"/>
          <w:szCs w:val="24"/>
        </w:rPr>
        <w:t>is</w:t>
      </w:r>
      <w:r>
        <w:rPr>
          <w:rFonts w:ascii="Times New Roman" w:eastAsia="Times New Roman" w:hAnsi="Times New Roman" w:cs="Times New Roman"/>
          <w:iCs/>
          <w:sz w:val="24"/>
          <w:szCs w:val="24"/>
        </w:rPr>
        <w:t xml:space="preserve"> n</w:t>
      </w:r>
      <w:r w:rsidRPr="006D5148" w:rsidR="009237C0">
        <w:rPr>
          <w:rFonts w:ascii="Times New Roman" w:eastAsia="Times New Roman" w:hAnsi="Times New Roman" w:cs="Times New Roman"/>
          <w:iCs/>
          <w:sz w:val="24"/>
          <w:szCs w:val="24"/>
        </w:rPr>
        <w:t>o payment or gift</w:t>
      </w:r>
      <w:r>
        <w:rPr>
          <w:rFonts w:ascii="Times New Roman" w:eastAsia="Times New Roman" w:hAnsi="Times New Roman" w:cs="Times New Roman"/>
          <w:iCs/>
          <w:sz w:val="24"/>
          <w:szCs w:val="24"/>
        </w:rPr>
        <w:t xml:space="preserve"> </w:t>
      </w:r>
      <w:r w:rsidRPr="006D5148" w:rsidR="009237C0">
        <w:rPr>
          <w:rFonts w:ascii="Times New Roman" w:eastAsia="Times New Roman" w:hAnsi="Times New Roman" w:cs="Times New Roman"/>
          <w:iCs/>
          <w:sz w:val="24"/>
          <w:szCs w:val="24"/>
        </w:rPr>
        <w:t>provided to respondents.</w:t>
      </w:r>
    </w:p>
    <w:p w:rsidR="0018538B" w:rsidRPr="00B171A4" w:rsidP="005346D8" w14:paraId="13070D0A" w14:textId="77777777">
      <w:pPr>
        <w:spacing w:after="0" w:line="280" w:lineRule="exact"/>
        <w:ind w:right="20"/>
        <w:rPr>
          <w:rFonts w:ascii="Times New Roman" w:hAnsi="Times New Roman" w:cs="Times New Roman"/>
          <w:sz w:val="24"/>
          <w:szCs w:val="24"/>
        </w:rPr>
      </w:pPr>
    </w:p>
    <w:p w:rsidR="000720CA" w:rsidRPr="006D5148" w:rsidP="006D5148" w14:paraId="108C02AA" w14:textId="6851FC73">
      <w:pPr>
        <w:pStyle w:val="ListParagraph"/>
        <w:numPr>
          <w:ilvl w:val="0"/>
          <w:numId w:val="8"/>
        </w:numPr>
        <w:tabs>
          <w:tab w:val="left" w:pos="900"/>
        </w:tabs>
        <w:spacing w:after="0" w:line="280" w:lineRule="exact"/>
        <w:ind w:right="20"/>
        <w:rPr>
          <w:rFonts w:ascii="Times New Roman" w:eastAsia="Times New Roman" w:hAnsi="Times New Roman" w:cs="Times New Roman"/>
          <w:b/>
          <w:bCs/>
          <w:sz w:val="24"/>
          <w:szCs w:val="24"/>
        </w:rPr>
      </w:pPr>
      <w:r w:rsidRPr="006D5148">
        <w:rPr>
          <w:rFonts w:ascii="Times New Roman" w:eastAsia="Times New Roman" w:hAnsi="Times New Roman" w:cs="Times New Roman"/>
          <w:b/>
          <w:bCs/>
          <w:sz w:val="24"/>
          <w:szCs w:val="24"/>
        </w:rPr>
        <w:t xml:space="preserve">Assurance of </w:t>
      </w:r>
      <w:r w:rsidRPr="006D5148" w:rsidR="006E4C6C">
        <w:rPr>
          <w:rFonts w:ascii="Times New Roman" w:eastAsia="Times New Roman" w:hAnsi="Times New Roman" w:cs="Times New Roman"/>
          <w:b/>
          <w:bCs/>
          <w:sz w:val="24"/>
          <w:szCs w:val="24"/>
        </w:rPr>
        <w:t>Confidentiality and Protection of Privacy</w:t>
      </w:r>
    </w:p>
    <w:p w:rsidR="000720CA" w:rsidRPr="00B171A4" w:rsidP="005346D8" w14:paraId="664EF8EA" w14:textId="77777777">
      <w:pPr>
        <w:tabs>
          <w:tab w:val="left" w:pos="900"/>
        </w:tabs>
        <w:spacing w:after="0" w:line="280" w:lineRule="exact"/>
        <w:ind w:left="900" w:right="20" w:hanging="450"/>
        <w:rPr>
          <w:rFonts w:ascii="Times New Roman" w:eastAsia="Times New Roman" w:hAnsi="Times New Roman" w:cs="Times New Roman"/>
          <w:sz w:val="24"/>
          <w:szCs w:val="24"/>
        </w:rPr>
      </w:pPr>
    </w:p>
    <w:p w:rsidR="00592C5F" w:rsidP="0085766B" w14:paraId="452D052E" w14:textId="188B653F">
      <w:pPr>
        <w:tabs>
          <w:tab w:val="left" w:pos="900"/>
        </w:tabs>
        <w:spacing w:after="0" w:line="280" w:lineRule="exact"/>
        <w:ind w:left="720"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 xml:space="preserve">Under the existing regulation governing the loan guarantee program, the applicant is provided </w:t>
      </w:r>
      <w:r w:rsidRPr="006D5148" w:rsidR="00C40146">
        <w:rPr>
          <w:rFonts w:ascii="Times New Roman" w:eastAsia="Times New Roman" w:hAnsi="Times New Roman" w:cs="Times New Roman"/>
          <w:iCs/>
          <w:sz w:val="24"/>
          <w:szCs w:val="24"/>
        </w:rPr>
        <w:t>information relating</w:t>
      </w:r>
      <w:r w:rsidRPr="006D5148">
        <w:rPr>
          <w:rFonts w:ascii="Times New Roman" w:eastAsia="Times New Roman" w:hAnsi="Times New Roman" w:cs="Times New Roman"/>
          <w:iCs/>
          <w:sz w:val="24"/>
          <w:szCs w:val="24"/>
        </w:rPr>
        <w:t xml:space="preserve"> to confidential treatment of the material supplied to MARAD</w:t>
      </w:r>
      <w:r w:rsidR="009E0597">
        <w:rPr>
          <w:rFonts w:ascii="Times New Roman" w:eastAsia="Times New Roman" w:hAnsi="Times New Roman" w:cs="Times New Roman"/>
          <w:iCs/>
          <w:sz w:val="24"/>
          <w:szCs w:val="24"/>
        </w:rPr>
        <w:t xml:space="preserve">, as provided </w:t>
      </w:r>
      <w:r w:rsidRPr="006D5148">
        <w:rPr>
          <w:rFonts w:ascii="Times New Roman" w:eastAsia="Times New Roman" w:hAnsi="Times New Roman" w:cs="Times New Roman"/>
          <w:iCs/>
          <w:sz w:val="24"/>
          <w:szCs w:val="24"/>
        </w:rPr>
        <w:t>in 46</w:t>
      </w:r>
      <w:r w:rsidR="006E4C6C">
        <w:rPr>
          <w:rFonts w:ascii="Times New Roman" w:eastAsia="Times New Roman" w:hAnsi="Times New Roman" w:cs="Times New Roman"/>
          <w:iCs/>
          <w:sz w:val="24"/>
          <w:szCs w:val="24"/>
        </w:rPr>
        <w:t xml:space="preserve"> Code of Federal Regulations (</w:t>
      </w:r>
      <w:r w:rsidRPr="006D5148">
        <w:rPr>
          <w:rFonts w:ascii="Times New Roman" w:eastAsia="Times New Roman" w:hAnsi="Times New Roman" w:cs="Times New Roman"/>
          <w:iCs/>
          <w:sz w:val="24"/>
          <w:szCs w:val="24"/>
        </w:rPr>
        <w:t>CFR</w:t>
      </w:r>
      <w:r w:rsidR="006E4C6C">
        <w:rPr>
          <w:rFonts w:ascii="Times New Roman" w:eastAsia="Times New Roman" w:hAnsi="Times New Roman" w:cs="Times New Roman"/>
          <w:iCs/>
          <w:sz w:val="24"/>
          <w:szCs w:val="24"/>
        </w:rPr>
        <w:t>)</w:t>
      </w:r>
      <w:r w:rsidRPr="006D5148">
        <w:rPr>
          <w:rFonts w:ascii="Times New Roman" w:eastAsia="Times New Roman" w:hAnsi="Times New Roman" w:cs="Times New Roman"/>
          <w:iCs/>
          <w:sz w:val="24"/>
          <w:szCs w:val="24"/>
        </w:rPr>
        <w:t xml:space="preserve"> 298.3(d) and 5</w:t>
      </w:r>
      <w:r w:rsidRPr="006D5148" w:rsidR="00C40146">
        <w:rPr>
          <w:rFonts w:ascii="Times New Roman" w:eastAsia="Times New Roman" w:hAnsi="Times New Roman" w:cs="Times New Roman"/>
          <w:iCs/>
          <w:sz w:val="24"/>
          <w:szCs w:val="24"/>
        </w:rPr>
        <w:t xml:space="preserve"> </w:t>
      </w:r>
      <w:r w:rsidR="006E4C6C">
        <w:rPr>
          <w:rFonts w:ascii="Times New Roman" w:eastAsia="Times New Roman" w:hAnsi="Times New Roman" w:cs="Times New Roman"/>
          <w:iCs/>
          <w:sz w:val="24"/>
          <w:szCs w:val="24"/>
        </w:rPr>
        <w:t>USC</w:t>
      </w:r>
      <w:r w:rsidRPr="006D5148">
        <w:rPr>
          <w:rFonts w:ascii="Times New Roman" w:eastAsia="Times New Roman" w:hAnsi="Times New Roman" w:cs="Times New Roman"/>
          <w:iCs/>
          <w:sz w:val="24"/>
          <w:szCs w:val="24"/>
        </w:rPr>
        <w:t xml:space="preserve"> 552. As the </w:t>
      </w:r>
      <w:r w:rsidR="009E0597">
        <w:rPr>
          <w:rFonts w:ascii="Times New Roman" w:eastAsia="Times New Roman" w:hAnsi="Times New Roman" w:cs="Times New Roman"/>
          <w:iCs/>
          <w:sz w:val="24"/>
          <w:szCs w:val="24"/>
        </w:rPr>
        <w:t xml:space="preserve">collected </w:t>
      </w:r>
      <w:r w:rsidRPr="006D5148">
        <w:rPr>
          <w:rFonts w:ascii="Times New Roman" w:eastAsia="Times New Roman" w:hAnsi="Times New Roman" w:cs="Times New Roman"/>
          <w:iCs/>
          <w:sz w:val="24"/>
          <w:szCs w:val="24"/>
        </w:rPr>
        <w:t>information</w:t>
      </w:r>
      <w:r w:rsidR="009E0597">
        <w:rPr>
          <w:rFonts w:ascii="Times New Roman" w:eastAsia="Times New Roman" w:hAnsi="Times New Roman" w:cs="Times New Roman"/>
          <w:iCs/>
          <w:sz w:val="24"/>
          <w:szCs w:val="24"/>
        </w:rPr>
        <w:t xml:space="preserve"> </w:t>
      </w:r>
      <w:r w:rsidRPr="006D5148">
        <w:rPr>
          <w:rFonts w:ascii="Times New Roman" w:eastAsia="Times New Roman" w:hAnsi="Times New Roman" w:cs="Times New Roman"/>
          <w:iCs/>
          <w:sz w:val="24"/>
          <w:szCs w:val="24"/>
        </w:rPr>
        <w:t xml:space="preserve">is voluntary, the applicant is not required to provide the </w:t>
      </w:r>
      <w:r w:rsidRPr="006D5148" w:rsidR="00C40146">
        <w:rPr>
          <w:rFonts w:ascii="Times New Roman" w:eastAsia="Times New Roman" w:hAnsi="Times New Roman" w:cs="Times New Roman"/>
          <w:iCs/>
          <w:sz w:val="24"/>
          <w:szCs w:val="24"/>
        </w:rPr>
        <w:t>information unless</w:t>
      </w:r>
      <w:r w:rsidRPr="006D5148">
        <w:rPr>
          <w:rFonts w:ascii="Times New Roman" w:eastAsia="Times New Roman" w:hAnsi="Times New Roman" w:cs="Times New Roman"/>
          <w:iCs/>
          <w:sz w:val="24"/>
          <w:szCs w:val="24"/>
        </w:rPr>
        <w:t xml:space="preserve"> </w:t>
      </w:r>
      <w:r w:rsidR="00A46247">
        <w:rPr>
          <w:rFonts w:ascii="Times New Roman" w:eastAsia="Times New Roman" w:hAnsi="Times New Roman" w:cs="Times New Roman"/>
          <w:iCs/>
          <w:sz w:val="24"/>
          <w:szCs w:val="24"/>
        </w:rPr>
        <w:t xml:space="preserve">they </w:t>
      </w:r>
      <w:r w:rsidRPr="006D5148">
        <w:rPr>
          <w:rFonts w:ascii="Times New Roman" w:eastAsia="Times New Roman" w:hAnsi="Times New Roman" w:cs="Times New Roman"/>
          <w:iCs/>
          <w:sz w:val="24"/>
          <w:szCs w:val="24"/>
        </w:rPr>
        <w:t>desire to participate in the loan guarantee program.</w:t>
      </w:r>
    </w:p>
    <w:p w:rsidR="00C27402" w:rsidRPr="00B171A4" w:rsidP="0085766B" w14:paraId="4F477CEC" w14:textId="77777777">
      <w:pPr>
        <w:tabs>
          <w:tab w:val="left" w:pos="900"/>
        </w:tabs>
        <w:spacing w:after="0" w:line="280" w:lineRule="exact"/>
        <w:ind w:left="720" w:right="20"/>
        <w:rPr>
          <w:rFonts w:ascii="Times New Roman" w:eastAsia="Times New Roman" w:hAnsi="Times New Roman" w:cs="Times New Roman"/>
          <w:sz w:val="24"/>
          <w:szCs w:val="24"/>
        </w:rPr>
      </w:pPr>
    </w:p>
    <w:p w:rsidR="006E4C6C" w:rsidRPr="006D5148" w:rsidP="006E4C6C" w14:paraId="31C0D9C8" w14:textId="2CFE457F">
      <w:pPr>
        <w:pStyle w:val="ListParagraph"/>
        <w:numPr>
          <w:ilvl w:val="0"/>
          <w:numId w:val="8"/>
        </w:numPr>
        <w:tabs>
          <w:tab w:val="left" w:pos="900"/>
        </w:tabs>
        <w:spacing w:after="0" w:line="280" w:lineRule="exact"/>
        <w:ind w:right="20"/>
        <w:rPr>
          <w:rFonts w:ascii="Times New Roman" w:eastAsia="Times New Roman" w:hAnsi="Times New Roman" w:cs="Times New Roman"/>
          <w:b/>
          <w:bCs/>
          <w:sz w:val="24"/>
          <w:szCs w:val="24"/>
        </w:rPr>
      </w:pPr>
      <w:r w:rsidRPr="006D5148">
        <w:rPr>
          <w:rFonts w:ascii="Times New Roman" w:eastAsia="Times New Roman" w:hAnsi="Times New Roman" w:cs="Times New Roman"/>
          <w:b/>
          <w:bCs/>
          <w:sz w:val="24"/>
          <w:szCs w:val="24"/>
        </w:rPr>
        <w:t xml:space="preserve">Justification for </w:t>
      </w:r>
      <w:r w:rsidRPr="006D5148">
        <w:rPr>
          <w:rFonts w:ascii="Times New Roman" w:eastAsia="Times New Roman" w:hAnsi="Times New Roman" w:cs="Times New Roman"/>
          <w:b/>
          <w:bCs/>
          <w:sz w:val="24"/>
          <w:szCs w:val="24"/>
        </w:rPr>
        <w:t>S</w:t>
      </w:r>
      <w:r w:rsidRPr="006D5148">
        <w:rPr>
          <w:rFonts w:ascii="Times New Roman" w:eastAsia="Times New Roman" w:hAnsi="Times New Roman" w:cs="Times New Roman"/>
          <w:b/>
          <w:bCs/>
          <w:sz w:val="24"/>
          <w:szCs w:val="24"/>
        </w:rPr>
        <w:t xml:space="preserve">ensitive </w:t>
      </w:r>
      <w:r w:rsidRPr="006D5148">
        <w:rPr>
          <w:rFonts w:ascii="Times New Roman" w:eastAsia="Times New Roman" w:hAnsi="Times New Roman" w:cs="Times New Roman"/>
          <w:b/>
          <w:bCs/>
          <w:sz w:val="24"/>
          <w:szCs w:val="24"/>
        </w:rPr>
        <w:t>Questions</w:t>
      </w:r>
      <w:r w:rsidRPr="006D5148">
        <w:rPr>
          <w:rFonts w:ascii="Times New Roman" w:eastAsia="Times New Roman" w:hAnsi="Times New Roman" w:cs="Times New Roman"/>
          <w:b/>
          <w:bCs/>
          <w:sz w:val="24"/>
          <w:szCs w:val="24"/>
        </w:rPr>
        <w:t xml:space="preserve">  </w:t>
      </w:r>
    </w:p>
    <w:p w:rsidR="006E4C6C" w:rsidP="006E1911" w14:paraId="70F0E794" w14:textId="77777777">
      <w:pPr>
        <w:pStyle w:val="ListParagraph"/>
        <w:tabs>
          <w:tab w:val="left" w:pos="900"/>
        </w:tabs>
        <w:spacing w:after="0" w:line="280" w:lineRule="exact"/>
        <w:ind w:right="20"/>
        <w:rPr>
          <w:rFonts w:ascii="Times New Roman" w:eastAsia="Times New Roman" w:hAnsi="Times New Roman" w:cs="Times New Roman"/>
          <w:sz w:val="24"/>
          <w:szCs w:val="24"/>
        </w:rPr>
      </w:pPr>
    </w:p>
    <w:p w:rsidR="000720CA" w:rsidRPr="006D5148" w:rsidP="006D5148" w14:paraId="198C2F5D" w14:textId="43730FA8">
      <w:pPr>
        <w:tabs>
          <w:tab w:val="left" w:pos="900"/>
        </w:tabs>
        <w:spacing w:after="0" w:line="280" w:lineRule="exact"/>
        <w:ind w:left="720" w:right="20"/>
        <w:rPr>
          <w:rFonts w:ascii="Times New Roman" w:eastAsia="Times New Roman" w:hAnsi="Times New Roman" w:cs="Times New Roman"/>
          <w:sz w:val="24"/>
          <w:szCs w:val="24"/>
        </w:rPr>
      </w:pPr>
      <w:r w:rsidRPr="006D5148">
        <w:rPr>
          <w:rFonts w:ascii="Times New Roman" w:eastAsia="Times New Roman" w:hAnsi="Times New Roman" w:cs="Times New Roman"/>
          <w:sz w:val="24"/>
          <w:szCs w:val="24"/>
        </w:rPr>
        <w:t>There are no questions of a sensitive nature.</w:t>
      </w:r>
    </w:p>
    <w:p w:rsidR="0018538B" w:rsidRPr="00B171A4" w:rsidP="0002529D" w14:paraId="3201D1C3" w14:textId="77777777">
      <w:pPr>
        <w:spacing w:after="0" w:line="280" w:lineRule="exact"/>
        <w:ind w:right="20"/>
        <w:rPr>
          <w:rFonts w:ascii="Times New Roman" w:hAnsi="Times New Roman" w:cs="Times New Roman"/>
          <w:sz w:val="24"/>
          <w:szCs w:val="24"/>
        </w:rPr>
      </w:pPr>
    </w:p>
    <w:p w:rsidR="000720CA" w14:paraId="0AD8EA8D" w14:textId="618E05A0">
      <w:pPr>
        <w:pStyle w:val="ListParagraph"/>
        <w:numPr>
          <w:ilvl w:val="0"/>
          <w:numId w:val="8"/>
        </w:numPr>
        <w:tabs>
          <w:tab w:val="left" w:pos="900"/>
        </w:tabs>
        <w:spacing w:after="0" w:line="280" w:lineRule="exact"/>
        <w:ind w:right="20"/>
        <w:rPr>
          <w:rFonts w:ascii="Times New Roman" w:eastAsia="Times New Roman" w:hAnsi="Times New Roman" w:cs="Times New Roman"/>
          <w:b/>
          <w:bCs/>
          <w:sz w:val="24"/>
          <w:szCs w:val="24"/>
        </w:rPr>
      </w:pPr>
      <w:r w:rsidRPr="006D5148">
        <w:rPr>
          <w:rFonts w:ascii="Times New Roman" w:eastAsia="Times New Roman" w:hAnsi="Times New Roman" w:cs="Times New Roman"/>
          <w:b/>
          <w:bCs/>
          <w:sz w:val="24"/>
          <w:szCs w:val="24"/>
        </w:rPr>
        <w:t xml:space="preserve">Estimate of </w:t>
      </w:r>
      <w:r w:rsidR="0002529D">
        <w:rPr>
          <w:rFonts w:ascii="Times New Roman" w:eastAsia="Times New Roman" w:hAnsi="Times New Roman" w:cs="Times New Roman"/>
          <w:b/>
          <w:bCs/>
          <w:sz w:val="24"/>
          <w:szCs w:val="24"/>
        </w:rPr>
        <w:t>Annualized B</w:t>
      </w:r>
      <w:r w:rsidRPr="006D5148">
        <w:rPr>
          <w:rFonts w:ascii="Times New Roman" w:eastAsia="Times New Roman" w:hAnsi="Times New Roman" w:cs="Times New Roman"/>
          <w:b/>
          <w:bCs/>
          <w:sz w:val="24"/>
          <w:szCs w:val="24"/>
        </w:rPr>
        <w:t xml:space="preserve">urden </w:t>
      </w:r>
      <w:r w:rsidR="0002529D">
        <w:rPr>
          <w:rFonts w:ascii="Times New Roman" w:eastAsia="Times New Roman" w:hAnsi="Times New Roman" w:cs="Times New Roman"/>
          <w:b/>
          <w:bCs/>
          <w:sz w:val="24"/>
          <w:szCs w:val="24"/>
        </w:rPr>
        <w:t>H</w:t>
      </w:r>
      <w:r w:rsidRPr="006D5148" w:rsidR="0002529D">
        <w:rPr>
          <w:rFonts w:ascii="Times New Roman" w:eastAsia="Times New Roman" w:hAnsi="Times New Roman" w:cs="Times New Roman"/>
          <w:b/>
          <w:bCs/>
          <w:sz w:val="24"/>
          <w:szCs w:val="24"/>
        </w:rPr>
        <w:t xml:space="preserve">ours </w:t>
      </w:r>
      <w:r w:rsidR="0002529D">
        <w:rPr>
          <w:rFonts w:ascii="Times New Roman" w:eastAsia="Times New Roman" w:hAnsi="Times New Roman" w:cs="Times New Roman"/>
          <w:b/>
          <w:bCs/>
          <w:sz w:val="24"/>
          <w:szCs w:val="24"/>
        </w:rPr>
        <w:t>and Cost</w:t>
      </w:r>
    </w:p>
    <w:p w:rsidR="003A5E08" w:rsidP="00D27B1E" w14:paraId="2FF3C2A9" w14:textId="7EA7CE63">
      <w:pPr>
        <w:pStyle w:val="ListParagraph"/>
        <w:tabs>
          <w:tab w:val="left" w:pos="900"/>
        </w:tabs>
        <w:spacing w:after="0" w:line="280" w:lineRule="exact"/>
        <w:ind w:right="20"/>
        <w:rPr>
          <w:rFonts w:ascii="Times New Roman" w:eastAsia="Times New Roman" w:hAnsi="Times New Roman" w:cs="Times New Roman"/>
          <w:b/>
          <w:bCs/>
          <w:sz w:val="24"/>
          <w:szCs w:val="24"/>
        </w:rPr>
      </w:pPr>
    </w:p>
    <w:p w:rsidR="003A5E08" w:rsidP="00D27B1E" w14:paraId="06A59B76" w14:textId="56068618">
      <w:pPr>
        <w:pStyle w:val="ListParagraph"/>
        <w:numPr>
          <w:ilvl w:val="0"/>
          <w:numId w:val="11"/>
        </w:numPr>
        <w:tabs>
          <w:tab w:val="left" w:pos="900"/>
        </w:tabs>
        <w:spacing w:after="0" w:line="280" w:lineRule="exact"/>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Estimate of Annualized Burden Hours</w:t>
      </w:r>
    </w:p>
    <w:p w:rsidR="003A5E08" w:rsidRPr="006D5148" w:rsidP="006D5148" w14:paraId="53532A5F" w14:textId="77777777">
      <w:pPr>
        <w:pStyle w:val="ListParagraph"/>
        <w:tabs>
          <w:tab w:val="left" w:pos="900"/>
        </w:tabs>
        <w:spacing w:after="0" w:line="280" w:lineRule="exact"/>
        <w:ind w:left="1080" w:right="20"/>
        <w:rPr>
          <w:rFonts w:ascii="Times New Roman" w:eastAsia="Times New Roman" w:hAnsi="Times New Roman" w:cs="Times New Roman"/>
          <w:b/>
          <w:bCs/>
          <w:sz w:val="24"/>
          <w:szCs w:val="24"/>
        </w:rPr>
      </w:pPr>
    </w:p>
    <w:p w:rsidR="0088471E" w:rsidRPr="006D5148" w:rsidP="006D5148" w14:paraId="51B9DF38" w14:textId="1CAFC28D">
      <w:pPr>
        <w:tabs>
          <w:tab w:val="left" w:pos="900"/>
        </w:tabs>
        <w:spacing w:after="0" w:line="280" w:lineRule="exact"/>
        <w:ind w:left="720"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 xml:space="preserve">An </w:t>
      </w:r>
      <w:r w:rsidRPr="006D5148">
        <w:rPr>
          <w:rFonts w:ascii="Times New Roman" w:eastAsia="Times New Roman" w:hAnsi="Times New Roman" w:cs="Times New Roman"/>
          <w:iCs/>
          <w:sz w:val="24"/>
          <w:szCs w:val="24"/>
        </w:rPr>
        <w:t>estimated</w:t>
      </w:r>
      <w:r w:rsidRPr="006D5148">
        <w:rPr>
          <w:rFonts w:ascii="Times New Roman" w:eastAsia="Times New Roman" w:hAnsi="Times New Roman" w:cs="Times New Roman"/>
          <w:iCs/>
          <w:sz w:val="24"/>
          <w:szCs w:val="24"/>
        </w:rPr>
        <w:t xml:space="preserve"> </w:t>
      </w:r>
      <w:r w:rsidRPr="006D5148">
        <w:rPr>
          <w:rFonts w:ascii="Times New Roman" w:eastAsia="Times New Roman" w:hAnsi="Times New Roman" w:cs="Times New Roman"/>
          <w:iCs/>
          <w:sz w:val="24"/>
          <w:szCs w:val="24"/>
        </w:rPr>
        <w:t xml:space="preserve">4  respondents will take approximately 150 hours </w:t>
      </w:r>
      <w:r w:rsidRPr="006D5148" w:rsidR="009E0597">
        <w:rPr>
          <w:rFonts w:ascii="Times New Roman" w:eastAsia="Times New Roman" w:hAnsi="Times New Roman" w:cs="Times New Roman"/>
          <w:iCs/>
          <w:sz w:val="24"/>
          <w:szCs w:val="24"/>
        </w:rPr>
        <w:t xml:space="preserve">each </w:t>
      </w:r>
      <w:r w:rsidRPr="006D5148">
        <w:rPr>
          <w:rFonts w:ascii="Times New Roman" w:eastAsia="Times New Roman" w:hAnsi="Times New Roman" w:cs="Times New Roman"/>
          <w:iCs/>
          <w:sz w:val="24"/>
          <w:szCs w:val="24"/>
        </w:rPr>
        <w:t xml:space="preserve">to </w:t>
      </w:r>
      <w:r w:rsidRPr="006D5148" w:rsidR="00C22359">
        <w:rPr>
          <w:rFonts w:ascii="Times New Roman" w:eastAsia="Times New Roman" w:hAnsi="Times New Roman" w:cs="Times New Roman"/>
          <w:iCs/>
          <w:sz w:val="24"/>
          <w:szCs w:val="24"/>
        </w:rPr>
        <w:t>respond once annually to</w:t>
      </w:r>
      <w:r w:rsidRPr="006D5148">
        <w:rPr>
          <w:rFonts w:ascii="Times New Roman" w:eastAsia="Times New Roman" w:hAnsi="Times New Roman" w:cs="Times New Roman"/>
          <w:iCs/>
          <w:sz w:val="24"/>
          <w:szCs w:val="24"/>
        </w:rPr>
        <w:t xml:space="preserve"> Form MA-163 (Instructions and Application for Ship Financing)</w:t>
      </w:r>
      <w:r w:rsidRPr="006D5148" w:rsidR="00C22359">
        <w:rPr>
          <w:rFonts w:ascii="Times New Roman" w:eastAsia="Times New Roman" w:hAnsi="Times New Roman" w:cs="Times New Roman"/>
          <w:iCs/>
          <w:sz w:val="24"/>
          <w:szCs w:val="24"/>
        </w:rPr>
        <w:t xml:space="preserve"> </w:t>
      </w:r>
      <w:r w:rsidRPr="006D5148">
        <w:rPr>
          <w:rFonts w:ascii="Times New Roman" w:eastAsia="Times New Roman" w:hAnsi="Times New Roman" w:cs="Times New Roman"/>
          <w:iCs/>
          <w:sz w:val="24"/>
          <w:szCs w:val="24"/>
        </w:rPr>
        <w:t xml:space="preserve">for a total 600 hours. </w:t>
      </w:r>
      <w:r w:rsidRPr="006D5148" w:rsidR="00C22359">
        <w:rPr>
          <w:rFonts w:ascii="Times New Roman" w:eastAsia="Times New Roman" w:hAnsi="Times New Roman" w:cs="Times New Roman"/>
          <w:iCs/>
          <w:sz w:val="24"/>
          <w:szCs w:val="24"/>
        </w:rPr>
        <w:t>On the other hand</w:t>
      </w:r>
      <w:r w:rsidRPr="006D5148" w:rsidR="009E0597">
        <w:rPr>
          <w:rFonts w:ascii="Times New Roman" w:eastAsia="Times New Roman" w:hAnsi="Times New Roman" w:cs="Times New Roman"/>
          <w:iCs/>
          <w:sz w:val="24"/>
          <w:szCs w:val="24"/>
        </w:rPr>
        <w:t>,</w:t>
      </w:r>
      <w:r w:rsidRPr="006D5148">
        <w:rPr>
          <w:rFonts w:ascii="Times New Roman" w:eastAsia="Times New Roman" w:hAnsi="Times New Roman" w:cs="Times New Roman"/>
          <w:iCs/>
          <w:sz w:val="24"/>
          <w:szCs w:val="24"/>
        </w:rPr>
        <w:t xml:space="preserve"> one respondent will take 150 hours</w:t>
      </w:r>
      <w:r w:rsidRPr="006D5148" w:rsidR="00C22359">
        <w:rPr>
          <w:rFonts w:ascii="Times New Roman" w:eastAsia="Times New Roman" w:hAnsi="Times New Roman" w:cs="Times New Roman"/>
          <w:iCs/>
          <w:sz w:val="24"/>
          <w:szCs w:val="24"/>
        </w:rPr>
        <w:t xml:space="preserve"> to respond once annually to MA-163A (Instructions and Application for Shipyard Financing)</w:t>
      </w:r>
      <w:r w:rsidRPr="006D5148">
        <w:rPr>
          <w:rFonts w:ascii="Times New Roman" w:eastAsia="Times New Roman" w:hAnsi="Times New Roman" w:cs="Times New Roman"/>
          <w:iCs/>
          <w:sz w:val="24"/>
          <w:szCs w:val="24"/>
        </w:rPr>
        <w:t xml:space="preserve"> for a total 150 hours. </w:t>
      </w:r>
      <w:r w:rsidRPr="006D5148" w:rsidR="009E0597">
        <w:rPr>
          <w:rFonts w:ascii="Times New Roman" w:eastAsia="Times New Roman" w:hAnsi="Times New Roman" w:cs="Times New Roman"/>
          <w:iCs/>
          <w:sz w:val="24"/>
          <w:szCs w:val="24"/>
        </w:rPr>
        <w:t>Altogether</w:t>
      </w:r>
      <w:r w:rsidRPr="006D5148" w:rsidR="00C22359">
        <w:rPr>
          <w:rFonts w:ascii="Times New Roman" w:eastAsia="Times New Roman" w:hAnsi="Times New Roman" w:cs="Times New Roman"/>
          <w:iCs/>
          <w:sz w:val="24"/>
          <w:szCs w:val="24"/>
        </w:rPr>
        <w:t>, a</w:t>
      </w:r>
      <w:r w:rsidRPr="006D5148">
        <w:rPr>
          <w:rFonts w:ascii="Times New Roman" w:eastAsia="Times New Roman" w:hAnsi="Times New Roman" w:cs="Times New Roman"/>
          <w:iCs/>
          <w:sz w:val="24"/>
          <w:szCs w:val="24"/>
        </w:rPr>
        <w:t xml:space="preserve"> total combined 5 respondents will take</w:t>
      </w:r>
      <w:r w:rsidRPr="006D5148" w:rsidR="009E0597">
        <w:rPr>
          <w:rFonts w:ascii="Times New Roman" w:eastAsia="Times New Roman" w:hAnsi="Times New Roman" w:cs="Times New Roman"/>
          <w:iCs/>
          <w:sz w:val="24"/>
          <w:szCs w:val="24"/>
        </w:rPr>
        <w:t xml:space="preserve"> </w:t>
      </w:r>
      <w:r w:rsidRPr="006D5148" w:rsidR="003A5E08">
        <w:rPr>
          <w:rFonts w:ascii="Times New Roman" w:eastAsia="Times New Roman" w:hAnsi="Times New Roman" w:cs="Times New Roman"/>
          <w:iCs/>
          <w:sz w:val="24"/>
          <w:szCs w:val="24"/>
        </w:rPr>
        <w:t xml:space="preserve">and average </w:t>
      </w:r>
      <w:r w:rsidRPr="006D5148">
        <w:rPr>
          <w:rFonts w:ascii="Times New Roman" w:eastAsia="Times New Roman" w:hAnsi="Times New Roman" w:cs="Times New Roman"/>
          <w:iCs/>
          <w:sz w:val="24"/>
          <w:szCs w:val="24"/>
        </w:rPr>
        <w:t>150</w:t>
      </w:r>
      <w:r w:rsidRPr="006D5148" w:rsidR="003A5E08">
        <w:rPr>
          <w:rFonts w:ascii="Times New Roman" w:eastAsia="Times New Roman" w:hAnsi="Times New Roman" w:cs="Times New Roman"/>
          <w:iCs/>
          <w:sz w:val="24"/>
          <w:szCs w:val="24"/>
        </w:rPr>
        <w:t xml:space="preserve"> hours</w:t>
      </w:r>
      <w:r w:rsidRPr="006D5148">
        <w:rPr>
          <w:rFonts w:ascii="Times New Roman" w:eastAsia="Times New Roman" w:hAnsi="Times New Roman" w:cs="Times New Roman"/>
          <w:iCs/>
          <w:sz w:val="24"/>
          <w:szCs w:val="24"/>
        </w:rPr>
        <w:t xml:space="preserve"> each to respondent </w:t>
      </w:r>
      <w:r w:rsidRPr="006D5148" w:rsidR="00C22359">
        <w:rPr>
          <w:rFonts w:ascii="Times New Roman" w:eastAsia="Times New Roman" w:hAnsi="Times New Roman" w:cs="Times New Roman"/>
          <w:iCs/>
          <w:sz w:val="24"/>
          <w:szCs w:val="24"/>
        </w:rPr>
        <w:t>once to this collection, for a total</w:t>
      </w:r>
      <w:r w:rsidRPr="006D5148" w:rsidR="003A5E08">
        <w:rPr>
          <w:rFonts w:ascii="Times New Roman" w:eastAsia="Times New Roman" w:hAnsi="Times New Roman" w:cs="Times New Roman"/>
          <w:iCs/>
          <w:sz w:val="24"/>
          <w:szCs w:val="24"/>
        </w:rPr>
        <w:t xml:space="preserve"> combined</w:t>
      </w:r>
      <w:r w:rsidRPr="006D5148" w:rsidR="00C22359">
        <w:rPr>
          <w:rFonts w:ascii="Times New Roman" w:eastAsia="Times New Roman" w:hAnsi="Times New Roman" w:cs="Times New Roman"/>
          <w:iCs/>
          <w:sz w:val="24"/>
          <w:szCs w:val="24"/>
        </w:rPr>
        <w:t xml:space="preserve"> </w:t>
      </w:r>
      <w:r w:rsidRPr="006D5148">
        <w:rPr>
          <w:rFonts w:ascii="Times New Roman" w:eastAsia="Times New Roman" w:hAnsi="Times New Roman" w:cs="Times New Roman"/>
          <w:iCs/>
          <w:sz w:val="24"/>
          <w:szCs w:val="24"/>
        </w:rPr>
        <w:t>75</w:t>
      </w:r>
      <w:r w:rsidRPr="006D5148" w:rsidR="00C22359">
        <w:rPr>
          <w:rFonts w:ascii="Times New Roman" w:eastAsia="Times New Roman" w:hAnsi="Times New Roman" w:cs="Times New Roman"/>
          <w:iCs/>
          <w:sz w:val="24"/>
          <w:szCs w:val="24"/>
        </w:rPr>
        <w:t>0</w:t>
      </w:r>
      <w:r w:rsidRPr="006D5148">
        <w:rPr>
          <w:rFonts w:ascii="Times New Roman" w:eastAsia="Times New Roman" w:hAnsi="Times New Roman" w:cs="Times New Roman"/>
          <w:iCs/>
          <w:sz w:val="24"/>
          <w:szCs w:val="24"/>
        </w:rPr>
        <w:t xml:space="preserve"> </w:t>
      </w:r>
      <w:r w:rsidRPr="006D5148" w:rsidR="00C22359">
        <w:rPr>
          <w:rFonts w:ascii="Times New Roman" w:eastAsia="Times New Roman" w:hAnsi="Times New Roman" w:cs="Times New Roman"/>
          <w:iCs/>
          <w:sz w:val="24"/>
          <w:szCs w:val="24"/>
        </w:rPr>
        <w:t xml:space="preserve">hours, </w:t>
      </w:r>
      <w:r w:rsidRPr="006D5148">
        <w:rPr>
          <w:rFonts w:ascii="Times New Roman" w:eastAsia="Times New Roman" w:hAnsi="Times New Roman" w:cs="Times New Roman"/>
          <w:iCs/>
          <w:sz w:val="24"/>
          <w:szCs w:val="24"/>
        </w:rPr>
        <w:t xml:space="preserve">which is calculated as shown in the table below: </w:t>
      </w:r>
    </w:p>
    <w:p w:rsidR="0088471E" w:rsidP="006E1911" w14:paraId="1C85A4B2" w14:textId="780DC63A">
      <w:pPr>
        <w:pStyle w:val="ListParagraph"/>
        <w:tabs>
          <w:tab w:val="left" w:pos="900"/>
        </w:tabs>
        <w:spacing w:after="0" w:line="280" w:lineRule="exact"/>
        <w:ind w:right="20"/>
        <w:rPr>
          <w:rFonts w:ascii="Times New Roman" w:eastAsia="Times New Roman" w:hAnsi="Times New Roman" w:cs="Times New Roman"/>
          <w:iCs/>
          <w:sz w:val="24"/>
          <w:szCs w:val="24"/>
        </w:rPr>
      </w:pPr>
    </w:p>
    <w:tbl>
      <w:tblPr>
        <w:tblW w:w="10923" w:type="dxa"/>
        <w:tblInd w:w="-195" w:type="dxa"/>
        <w:tblLook w:val="04A0"/>
      </w:tblPr>
      <w:tblGrid>
        <w:gridCol w:w="1697"/>
        <w:gridCol w:w="1404"/>
        <w:gridCol w:w="673"/>
        <w:gridCol w:w="1316"/>
        <w:gridCol w:w="867"/>
        <w:gridCol w:w="1180"/>
        <w:gridCol w:w="835"/>
        <w:gridCol w:w="1011"/>
        <w:gridCol w:w="835"/>
        <w:gridCol w:w="883"/>
        <w:gridCol w:w="222"/>
      </w:tblGrid>
      <w:tr w14:paraId="1A1A79F7" w14:textId="77777777" w:rsidTr="006D5148">
        <w:tblPrEx>
          <w:tblW w:w="10923" w:type="dxa"/>
          <w:tblInd w:w="-195" w:type="dxa"/>
          <w:tblLook w:val="04A0"/>
        </w:tblPrEx>
        <w:trPr>
          <w:gridAfter w:val="1"/>
          <w:wAfter w:w="222" w:type="dxa"/>
          <w:trHeight w:val="1161"/>
        </w:trPr>
        <w:tc>
          <w:tcPr>
            <w:tcW w:w="16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E1911" w:rsidRPr="006D5148" w:rsidP="006E1911" w14:paraId="216FAFAF" w14:textId="4FE426D2">
            <w:pPr>
              <w:widowControl/>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Form Type </w:t>
            </w:r>
          </w:p>
        </w:tc>
        <w:tc>
          <w:tcPr>
            <w:tcW w:w="140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E1911" w:rsidRPr="006D5148" w:rsidP="006E1911" w14:paraId="54B38FC9" w14:textId="77777777">
            <w:pPr>
              <w:widowControl/>
              <w:spacing w:after="0" w:line="240" w:lineRule="auto"/>
              <w:jc w:val="center"/>
              <w:rPr>
                <w:rFonts w:ascii="Times New Roman" w:eastAsia="Times New Roman" w:hAnsi="Times New Roman" w:cs="Times New Roman"/>
                <w:b/>
                <w:bCs/>
                <w:color w:val="000000"/>
                <w:sz w:val="20"/>
                <w:szCs w:val="20"/>
              </w:rPr>
            </w:pPr>
            <w:r w:rsidRPr="006D5148">
              <w:rPr>
                <w:rFonts w:ascii="Times New Roman" w:eastAsia="Times New Roman" w:hAnsi="Times New Roman" w:cs="Times New Roman"/>
                <w:b/>
                <w:bCs/>
                <w:color w:val="000000"/>
                <w:sz w:val="20"/>
                <w:szCs w:val="20"/>
              </w:rPr>
              <w:t>Total Respondents</w:t>
            </w:r>
          </w:p>
        </w:tc>
        <w:tc>
          <w:tcPr>
            <w:tcW w:w="67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E1911" w:rsidRPr="006D5148" w:rsidP="006E1911" w14:paraId="079FE93D" w14:textId="77777777">
            <w:pPr>
              <w:widowControl/>
              <w:spacing w:after="0" w:line="240" w:lineRule="auto"/>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w:t>
            </w:r>
          </w:p>
        </w:tc>
        <w:tc>
          <w:tcPr>
            <w:tcW w:w="131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E1911" w:rsidRPr="006D5148" w:rsidP="006E1911" w14:paraId="1CC38D1F" w14:textId="77777777">
            <w:pPr>
              <w:widowControl/>
              <w:spacing w:after="0" w:line="240" w:lineRule="auto"/>
              <w:jc w:val="center"/>
              <w:rPr>
                <w:rFonts w:ascii="Times New Roman" w:eastAsia="Times New Roman" w:hAnsi="Times New Roman" w:cs="Times New Roman"/>
                <w:b/>
                <w:bCs/>
                <w:color w:val="000000"/>
                <w:sz w:val="20"/>
                <w:szCs w:val="20"/>
              </w:rPr>
            </w:pPr>
            <w:r w:rsidRPr="006D5148">
              <w:rPr>
                <w:rFonts w:ascii="Times New Roman" w:eastAsia="Times New Roman" w:hAnsi="Times New Roman" w:cs="Times New Roman"/>
                <w:b/>
                <w:bCs/>
                <w:color w:val="000000"/>
                <w:sz w:val="20"/>
                <w:szCs w:val="20"/>
              </w:rPr>
              <w:t>Total Responses per Respondent</w:t>
            </w:r>
          </w:p>
        </w:tc>
        <w:tc>
          <w:tcPr>
            <w:tcW w:w="86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E1911" w:rsidRPr="006D5148" w:rsidP="006E1911" w14:paraId="1509AE70" w14:textId="77777777">
            <w:pPr>
              <w:widowControl/>
              <w:spacing w:after="0" w:line="240" w:lineRule="auto"/>
              <w:jc w:val="center"/>
              <w:rPr>
                <w:rFonts w:ascii="Times New Roman" w:eastAsia="Times New Roman" w:hAnsi="Times New Roman" w:cs="Times New Roman"/>
                <w:b/>
                <w:bCs/>
                <w:color w:val="000000"/>
                <w:sz w:val="20"/>
                <w:szCs w:val="20"/>
              </w:rPr>
            </w:pPr>
            <w:r w:rsidRPr="006D5148">
              <w:rPr>
                <w:rFonts w:ascii="Times New Roman" w:eastAsia="Times New Roman" w:hAnsi="Times New Roman" w:cs="Times New Roman"/>
                <w:b/>
                <w:bCs/>
                <w:color w:val="000000"/>
                <w:sz w:val="20"/>
                <w:szCs w:val="20"/>
              </w:rPr>
              <w:t> </w:t>
            </w:r>
          </w:p>
        </w:tc>
        <w:tc>
          <w:tcPr>
            <w:tcW w:w="11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E1911" w:rsidRPr="006D5148" w:rsidP="006E1911" w14:paraId="2F75BFCD" w14:textId="77777777">
            <w:pPr>
              <w:widowControl/>
              <w:spacing w:after="0" w:line="240" w:lineRule="auto"/>
              <w:jc w:val="center"/>
              <w:rPr>
                <w:rFonts w:ascii="Times New Roman" w:eastAsia="Times New Roman" w:hAnsi="Times New Roman" w:cs="Times New Roman"/>
                <w:b/>
                <w:bCs/>
                <w:color w:val="000000"/>
                <w:sz w:val="20"/>
                <w:szCs w:val="20"/>
              </w:rPr>
            </w:pPr>
            <w:r w:rsidRPr="006D5148">
              <w:rPr>
                <w:rFonts w:ascii="Times New Roman" w:eastAsia="Times New Roman" w:hAnsi="Times New Roman" w:cs="Times New Roman"/>
                <w:b/>
                <w:bCs/>
                <w:color w:val="000000"/>
                <w:sz w:val="20"/>
                <w:szCs w:val="20"/>
              </w:rPr>
              <w:t>Total Responses</w:t>
            </w:r>
          </w:p>
        </w:tc>
        <w:tc>
          <w:tcPr>
            <w:tcW w:w="83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6E1911" w:rsidRPr="006D5148" w:rsidP="006E1911" w14:paraId="534BEF64" w14:textId="77777777">
            <w:pPr>
              <w:widowControl/>
              <w:spacing w:after="0" w:line="240" w:lineRule="auto"/>
              <w:jc w:val="center"/>
              <w:rPr>
                <w:rFonts w:ascii="Times New Roman" w:eastAsia="Times New Roman" w:hAnsi="Times New Roman" w:cs="Times New Roman"/>
                <w:b/>
                <w:bCs/>
                <w:color w:val="000000"/>
                <w:sz w:val="20"/>
                <w:szCs w:val="20"/>
              </w:rPr>
            </w:pPr>
            <w:r w:rsidRPr="006D5148">
              <w:rPr>
                <w:rFonts w:ascii="Times New Roman" w:eastAsia="Times New Roman" w:hAnsi="Times New Roman" w:cs="Times New Roman"/>
                <w:b/>
                <w:bCs/>
                <w:color w:val="000000"/>
                <w:sz w:val="20"/>
                <w:szCs w:val="20"/>
              </w:rPr>
              <w:t> </w:t>
            </w:r>
          </w:p>
        </w:tc>
        <w:tc>
          <w:tcPr>
            <w:tcW w:w="1011" w:type="dxa"/>
            <w:tcBorders>
              <w:top w:val="single" w:sz="18" w:space="0" w:color="auto"/>
              <w:left w:val="single" w:sz="12" w:space="0" w:color="auto"/>
              <w:bottom w:val="single" w:sz="18" w:space="0" w:color="auto"/>
              <w:right w:val="single" w:sz="18" w:space="0" w:color="auto"/>
            </w:tcBorders>
            <w:shd w:val="clear" w:color="auto" w:fill="D9D9D9" w:themeFill="background1" w:themeFillShade="D9"/>
            <w:vAlign w:val="center"/>
            <w:hideMark/>
          </w:tcPr>
          <w:p w:rsidR="006E1911" w:rsidRPr="006D5148" w:rsidP="006E1911" w14:paraId="232BB9F4" w14:textId="77777777">
            <w:pPr>
              <w:widowControl/>
              <w:spacing w:after="0" w:line="240" w:lineRule="auto"/>
              <w:jc w:val="center"/>
              <w:rPr>
                <w:rFonts w:ascii="Times New Roman" w:eastAsia="Times New Roman" w:hAnsi="Times New Roman" w:cs="Times New Roman"/>
                <w:b/>
                <w:bCs/>
                <w:color w:val="000000"/>
                <w:sz w:val="20"/>
                <w:szCs w:val="20"/>
              </w:rPr>
            </w:pPr>
            <w:r w:rsidRPr="006D5148">
              <w:rPr>
                <w:rFonts w:ascii="Times New Roman" w:eastAsia="Times New Roman" w:hAnsi="Times New Roman" w:cs="Times New Roman"/>
                <w:b/>
                <w:bCs/>
                <w:color w:val="000000"/>
                <w:sz w:val="20"/>
                <w:szCs w:val="20"/>
              </w:rPr>
              <w:t>Average Time Taken to Respond (Hour)</w:t>
            </w:r>
          </w:p>
        </w:tc>
        <w:tc>
          <w:tcPr>
            <w:tcW w:w="83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6E1911" w:rsidRPr="006D5148" w:rsidP="006E1911" w14:paraId="5F898B53" w14:textId="77777777">
            <w:pPr>
              <w:widowControl/>
              <w:spacing w:after="0" w:line="240" w:lineRule="auto"/>
              <w:jc w:val="center"/>
              <w:rPr>
                <w:rFonts w:ascii="Times New Roman" w:eastAsia="Times New Roman" w:hAnsi="Times New Roman" w:cs="Times New Roman"/>
                <w:b/>
                <w:bCs/>
                <w:color w:val="000000"/>
                <w:sz w:val="20"/>
                <w:szCs w:val="20"/>
              </w:rPr>
            </w:pPr>
            <w:r w:rsidRPr="006D5148">
              <w:rPr>
                <w:rFonts w:ascii="Times New Roman" w:eastAsia="Times New Roman" w:hAnsi="Times New Roman" w:cs="Times New Roman"/>
                <w:b/>
                <w:bCs/>
                <w:color w:val="000000"/>
                <w:sz w:val="20"/>
                <w:szCs w:val="20"/>
              </w:rPr>
              <w:t> </w:t>
            </w:r>
          </w:p>
        </w:tc>
        <w:tc>
          <w:tcPr>
            <w:tcW w:w="88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6E1911" w:rsidRPr="006D5148" w:rsidP="006E1911" w14:paraId="3AB2C625" w14:textId="77777777">
            <w:pPr>
              <w:widowControl/>
              <w:spacing w:after="0" w:line="240" w:lineRule="auto"/>
              <w:jc w:val="center"/>
              <w:rPr>
                <w:rFonts w:ascii="Times New Roman" w:eastAsia="Times New Roman" w:hAnsi="Times New Roman" w:cs="Times New Roman"/>
                <w:b/>
                <w:bCs/>
                <w:color w:val="000000"/>
                <w:sz w:val="20"/>
                <w:szCs w:val="20"/>
              </w:rPr>
            </w:pPr>
            <w:r w:rsidRPr="006D5148">
              <w:rPr>
                <w:rFonts w:ascii="Times New Roman" w:eastAsia="Times New Roman" w:hAnsi="Times New Roman" w:cs="Times New Roman"/>
                <w:b/>
                <w:bCs/>
                <w:color w:val="000000"/>
                <w:sz w:val="20"/>
                <w:szCs w:val="20"/>
              </w:rPr>
              <w:t>Total Burden Hours</w:t>
            </w:r>
          </w:p>
        </w:tc>
      </w:tr>
      <w:tr w14:paraId="0D2FD8A3" w14:textId="77777777" w:rsidTr="006D5148">
        <w:tblPrEx>
          <w:tblW w:w="10923" w:type="dxa"/>
          <w:tblInd w:w="-195" w:type="dxa"/>
          <w:tblLook w:val="04A0"/>
        </w:tblPrEx>
        <w:trPr>
          <w:gridAfter w:val="1"/>
          <w:wAfter w:w="222" w:type="dxa"/>
          <w:trHeight w:val="1080"/>
        </w:trPr>
        <w:tc>
          <w:tcPr>
            <w:tcW w:w="169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E1911" w:rsidRPr="006D5148" w:rsidP="006E1911" w14:paraId="77A62A75"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Form MA-163 (Instructions and Application for Ship Financing) </w:t>
            </w:r>
          </w:p>
        </w:tc>
        <w:tc>
          <w:tcPr>
            <w:tcW w:w="140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E1911" w:rsidRPr="006D5148" w:rsidP="006E1911" w14:paraId="3CB7B0EE"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4</w:t>
            </w:r>
          </w:p>
        </w:tc>
        <w:tc>
          <w:tcPr>
            <w:tcW w:w="673" w:type="dxa"/>
            <w:vMerge w:val="restart"/>
            <w:tcBorders>
              <w:top w:val="single" w:sz="12" w:space="0" w:color="auto"/>
              <w:left w:val="single" w:sz="12" w:space="0" w:color="auto"/>
              <w:bottom w:val="nil"/>
              <w:right w:val="single" w:sz="12" w:space="0" w:color="auto"/>
            </w:tcBorders>
            <w:shd w:val="clear" w:color="auto" w:fill="auto"/>
            <w:vAlign w:val="center"/>
            <w:hideMark/>
          </w:tcPr>
          <w:p w:rsidR="006E1911" w:rsidRPr="006D5148" w:rsidP="006E1911" w14:paraId="6E0B7FFC"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w:t>
            </w:r>
          </w:p>
        </w:tc>
        <w:tc>
          <w:tcPr>
            <w:tcW w:w="1316"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6E1911" w:rsidRPr="006D5148" w:rsidP="006E1911" w14:paraId="4A39EB78"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1</w:t>
            </w:r>
          </w:p>
        </w:tc>
        <w:tc>
          <w:tcPr>
            <w:tcW w:w="867" w:type="dxa"/>
            <w:vMerge w:val="restart"/>
            <w:tcBorders>
              <w:top w:val="single" w:sz="12" w:space="0" w:color="auto"/>
              <w:left w:val="single" w:sz="12" w:space="0" w:color="auto"/>
              <w:bottom w:val="nil"/>
              <w:right w:val="single" w:sz="12" w:space="0" w:color="auto"/>
            </w:tcBorders>
            <w:shd w:val="clear" w:color="auto" w:fill="auto"/>
            <w:vAlign w:val="center"/>
            <w:hideMark/>
          </w:tcPr>
          <w:p w:rsidR="006E1911" w:rsidRPr="006D5148" w:rsidP="006E1911" w14:paraId="2B0B3D6D"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w:t>
            </w:r>
          </w:p>
        </w:tc>
        <w:tc>
          <w:tcPr>
            <w:tcW w:w="118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E1911" w:rsidRPr="006D5148" w:rsidP="006E1911" w14:paraId="6940487A"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4</w:t>
            </w:r>
          </w:p>
        </w:tc>
        <w:tc>
          <w:tcPr>
            <w:tcW w:w="835" w:type="dxa"/>
            <w:vMerge w:val="restart"/>
            <w:tcBorders>
              <w:top w:val="single" w:sz="12" w:space="0" w:color="auto"/>
              <w:left w:val="single" w:sz="12" w:space="0" w:color="auto"/>
              <w:bottom w:val="nil"/>
              <w:right w:val="single" w:sz="12" w:space="0" w:color="auto"/>
            </w:tcBorders>
            <w:shd w:val="clear" w:color="auto" w:fill="auto"/>
            <w:vAlign w:val="center"/>
            <w:hideMark/>
          </w:tcPr>
          <w:p w:rsidR="006E1911" w:rsidRPr="006D5148" w:rsidP="006E1911" w14:paraId="62294DE7"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w:t>
            </w:r>
          </w:p>
        </w:tc>
        <w:tc>
          <w:tcPr>
            <w:tcW w:w="1011" w:type="dxa"/>
            <w:vMerge w:val="restart"/>
            <w:tcBorders>
              <w:top w:val="single" w:sz="18" w:space="0" w:color="auto"/>
              <w:left w:val="single" w:sz="12" w:space="0" w:color="auto"/>
              <w:bottom w:val="single" w:sz="8" w:space="0" w:color="000000"/>
              <w:right w:val="single" w:sz="12" w:space="0" w:color="auto"/>
            </w:tcBorders>
            <w:shd w:val="clear" w:color="auto" w:fill="auto"/>
            <w:vAlign w:val="center"/>
            <w:hideMark/>
          </w:tcPr>
          <w:p w:rsidR="006E1911" w:rsidRPr="006D5148" w:rsidP="006E1911" w14:paraId="659E9219"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150</w:t>
            </w:r>
          </w:p>
        </w:tc>
        <w:tc>
          <w:tcPr>
            <w:tcW w:w="835" w:type="dxa"/>
            <w:vMerge w:val="restart"/>
            <w:tcBorders>
              <w:top w:val="single" w:sz="18" w:space="0" w:color="auto"/>
              <w:left w:val="single" w:sz="12" w:space="0" w:color="auto"/>
              <w:bottom w:val="nil"/>
              <w:right w:val="single" w:sz="12" w:space="0" w:color="auto"/>
            </w:tcBorders>
            <w:shd w:val="clear" w:color="auto" w:fill="auto"/>
            <w:vAlign w:val="center"/>
            <w:hideMark/>
          </w:tcPr>
          <w:p w:rsidR="006E1911" w:rsidRPr="006D5148" w:rsidP="006E1911" w14:paraId="0F57BA9A"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w:t>
            </w:r>
          </w:p>
        </w:tc>
        <w:tc>
          <w:tcPr>
            <w:tcW w:w="883" w:type="dxa"/>
            <w:tcBorders>
              <w:top w:val="single" w:sz="18" w:space="0" w:color="auto"/>
              <w:left w:val="single" w:sz="12" w:space="0" w:color="auto"/>
              <w:bottom w:val="single" w:sz="12" w:space="0" w:color="auto"/>
              <w:right w:val="single" w:sz="12" w:space="0" w:color="auto"/>
            </w:tcBorders>
            <w:shd w:val="clear" w:color="auto" w:fill="auto"/>
            <w:vAlign w:val="center"/>
            <w:hideMark/>
          </w:tcPr>
          <w:p w:rsidR="006E1911" w:rsidRPr="006D5148" w:rsidP="006E1911" w14:paraId="339E608A"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600</w:t>
            </w:r>
          </w:p>
        </w:tc>
      </w:tr>
      <w:tr w14:paraId="0432F711" w14:textId="77777777" w:rsidTr="00D27B1E">
        <w:tblPrEx>
          <w:tblW w:w="10923" w:type="dxa"/>
          <w:tblInd w:w="-195" w:type="dxa"/>
          <w:tblLook w:val="04A0"/>
        </w:tblPrEx>
        <w:trPr>
          <w:gridAfter w:val="1"/>
          <w:wAfter w:w="222" w:type="dxa"/>
          <w:trHeight w:val="860"/>
        </w:trPr>
        <w:tc>
          <w:tcPr>
            <w:tcW w:w="1697" w:type="dxa"/>
            <w:vMerge w:val="restart"/>
            <w:tcBorders>
              <w:top w:val="single" w:sz="12" w:space="0" w:color="auto"/>
              <w:left w:val="single" w:sz="12" w:space="0" w:color="auto"/>
              <w:bottom w:val="single" w:sz="8" w:space="0" w:color="000000"/>
              <w:right w:val="single" w:sz="8" w:space="0" w:color="auto"/>
            </w:tcBorders>
            <w:shd w:val="clear" w:color="auto" w:fill="auto"/>
            <w:vAlign w:val="center"/>
            <w:hideMark/>
          </w:tcPr>
          <w:p w:rsidR="006E1911" w:rsidRPr="006D5148" w:rsidP="006E1911" w14:paraId="04E2CA4A"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Form MA-163A (Instructions and Application for Shipyard Financing) </w:t>
            </w:r>
          </w:p>
        </w:tc>
        <w:tc>
          <w:tcPr>
            <w:tcW w:w="1404" w:type="dxa"/>
            <w:vMerge w:val="restart"/>
            <w:tcBorders>
              <w:top w:val="single" w:sz="12" w:space="0" w:color="auto"/>
              <w:left w:val="single" w:sz="8" w:space="0" w:color="auto"/>
              <w:bottom w:val="single" w:sz="8" w:space="0" w:color="000000"/>
              <w:right w:val="single" w:sz="12" w:space="0" w:color="auto"/>
            </w:tcBorders>
            <w:shd w:val="clear" w:color="auto" w:fill="auto"/>
            <w:vAlign w:val="center"/>
            <w:hideMark/>
          </w:tcPr>
          <w:p w:rsidR="006E1911" w:rsidRPr="006D5148" w:rsidP="006E1911" w14:paraId="0B771DFA"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1</w:t>
            </w:r>
          </w:p>
        </w:tc>
        <w:tc>
          <w:tcPr>
            <w:tcW w:w="673" w:type="dxa"/>
            <w:vMerge/>
            <w:tcBorders>
              <w:top w:val="single" w:sz="8" w:space="0" w:color="auto"/>
              <w:left w:val="single" w:sz="12" w:space="0" w:color="auto"/>
              <w:bottom w:val="nil"/>
              <w:right w:val="single" w:sz="12" w:space="0" w:color="auto"/>
            </w:tcBorders>
            <w:vAlign w:val="center"/>
            <w:hideMark/>
          </w:tcPr>
          <w:p w:rsidR="006E1911" w:rsidRPr="006D5148" w:rsidP="006E1911" w14:paraId="73C5AFEC" w14:textId="77777777">
            <w:pPr>
              <w:widowControl/>
              <w:spacing w:after="0" w:line="240" w:lineRule="auto"/>
              <w:rPr>
                <w:rFonts w:ascii="Times New Roman" w:eastAsia="Times New Roman" w:hAnsi="Times New Roman" w:cs="Times New Roman"/>
                <w:color w:val="000000"/>
                <w:sz w:val="20"/>
                <w:szCs w:val="20"/>
              </w:rPr>
            </w:pPr>
          </w:p>
        </w:tc>
        <w:tc>
          <w:tcPr>
            <w:tcW w:w="1316" w:type="dxa"/>
            <w:vMerge/>
            <w:tcBorders>
              <w:top w:val="single" w:sz="4" w:space="0" w:color="auto"/>
              <w:left w:val="single" w:sz="12" w:space="0" w:color="auto"/>
              <w:bottom w:val="single" w:sz="8" w:space="0" w:color="000000"/>
              <w:right w:val="single" w:sz="12" w:space="0" w:color="auto"/>
            </w:tcBorders>
            <w:vAlign w:val="center"/>
            <w:hideMark/>
          </w:tcPr>
          <w:p w:rsidR="006E1911" w:rsidRPr="006D5148" w:rsidP="006E1911" w14:paraId="01FAE21B" w14:textId="77777777">
            <w:pPr>
              <w:widowControl/>
              <w:spacing w:after="0" w:line="240" w:lineRule="auto"/>
              <w:rPr>
                <w:rFonts w:ascii="Times New Roman" w:eastAsia="Times New Roman" w:hAnsi="Times New Roman" w:cs="Times New Roman"/>
                <w:color w:val="000000"/>
                <w:sz w:val="20"/>
                <w:szCs w:val="20"/>
              </w:rPr>
            </w:pPr>
          </w:p>
        </w:tc>
        <w:tc>
          <w:tcPr>
            <w:tcW w:w="867" w:type="dxa"/>
            <w:vMerge/>
            <w:tcBorders>
              <w:top w:val="single" w:sz="4" w:space="0" w:color="auto"/>
              <w:left w:val="single" w:sz="12" w:space="0" w:color="auto"/>
              <w:bottom w:val="nil"/>
              <w:right w:val="single" w:sz="12" w:space="0" w:color="auto"/>
            </w:tcBorders>
            <w:vAlign w:val="center"/>
            <w:hideMark/>
          </w:tcPr>
          <w:p w:rsidR="006E1911" w:rsidRPr="006D5148" w:rsidP="006E1911" w14:paraId="10C0D28B" w14:textId="77777777">
            <w:pPr>
              <w:widowControl/>
              <w:spacing w:after="0" w:line="240" w:lineRule="auto"/>
              <w:rPr>
                <w:rFonts w:ascii="Times New Roman" w:eastAsia="Times New Roman" w:hAnsi="Times New Roman" w:cs="Times New Roman"/>
                <w:color w:val="000000"/>
                <w:sz w:val="20"/>
                <w:szCs w:val="20"/>
              </w:rPr>
            </w:pPr>
          </w:p>
        </w:tc>
        <w:tc>
          <w:tcPr>
            <w:tcW w:w="1180"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6E1911" w:rsidRPr="006D5148" w:rsidP="006E1911" w14:paraId="5059E2D5"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1</w:t>
            </w:r>
          </w:p>
        </w:tc>
        <w:tc>
          <w:tcPr>
            <w:tcW w:w="835" w:type="dxa"/>
            <w:vMerge/>
            <w:tcBorders>
              <w:top w:val="single" w:sz="4" w:space="0" w:color="auto"/>
              <w:left w:val="single" w:sz="12" w:space="0" w:color="auto"/>
              <w:bottom w:val="nil"/>
              <w:right w:val="single" w:sz="12" w:space="0" w:color="auto"/>
            </w:tcBorders>
            <w:vAlign w:val="center"/>
            <w:hideMark/>
          </w:tcPr>
          <w:p w:rsidR="006E1911" w:rsidRPr="006D5148" w:rsidP="006E1911" w14:paraId="235FE909" w14:textId="77777777">
            <w:pPr>
              <w:widowControl/>
              <w:spacing w:after="0" w:line="240" w:lineRule="auto"/>
              <w:rPr>
                <w:rFonts w:ascii="Times New Roman" w:eastAsia="Times New Roman" w:hAnsi="Times New Roman" w:cs="Times New Roman"/>
                <w:color w:val="000000"/>
                <w:sz w:val="20"/>
                <w:szCs w:val="20"/>
              </w:rPr>
            </w:pPr>
          </w:p>
        </w:tc>
        <w:tc>
          <w:tcPr>
            <w:tcW w:w="1011" w:type="dxa"/>
            <w:vMerge/>
            <w:tcBorders>
              <w:top w:val="single" w:sz="4" w:space="0" w:color="auto"/>
              <w:left w:val="single" w:sz="12" w:space="0" w:color="auto"/>
              <w:bottom w:val="single" w:sz="8" w:space="0" w:color="000000"/>
              <w:right w:val="single" w:sz="12" w:space="0" w:color="auto"/>
            </w:tcBorders>
            <w:vAlign w:val="center"/>
            <w:hideMark/>
          </w:tcPr>
          <w:p w:rsidR="006E1911" w:rsidRPr="006D5148" w:rsidP="006E1911" w14:paraId="317BC813" w14:textId="77777777">
            <w:pPr>
              <w:widowControl/>
              <w:spacing w:after="0" w:line="240" w:lineRule="auto"/>
              <w:rPr>
                <w:rFonts w:ascii="Times New Roman" w:eastAsia="Times New Roman" w:hAnsi="Times New Roman" w:cs="Times New Roman"/>
                <w:color w:val="000000"/>
                <w:sz w:val="20"/>
                <w:szCs w:val="20"/>
              </w:rPr>
            </w:pPr>
          </w:p>
        </w:tc>
        <w:tc>
          <w:tcPr>
            <w:tcW w:w="835" w:type="dxa"/>
            <w:vMerge/>
            <w:tcBorders>
              <w:top w:val="single" w:sz="4" w:space="0" w:color="auto"/>
              <w:left w:val="single" w:sz="12" w:space="0" w:color="auto"/>
              <w:bottom w:val="nil"/>
              <w:right w:val="single" w:sz="12" w:space="0" w:color="auto"/>
            </w:tcBorders>
            <w:vAlign w:val="center"/>
            <w:hideMark/>
          </w:tcPr>
          <w:p w:rsidR="006E1911" w:rsidRPr="006D5148" w:rsidP="006E1911" w14:paraId="74B75784" w14:textId="77777777">
            <w:pPr>
              <w:widowControl/>
              <w:spacing w:after="0" w:line="240" w:lineRule="auto"/>
              <w:rPr>
                <w:rFonts w:ascii="Times New Roman" w:eastAsia="Times New Roman" w:hAnsi="Times New Roman" w:cs="Times New Roman"/>
                <w:color w:val="000000"/>
                <w:sz w:val="20"/>
                <w:szCs w:val="20"/>
              </w:rPr>
            </w:pPr>
          </w:p>
        </w:tc>
        <w:tc>
          <w:tcPr>
            <w:tcW w:w="883"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6E1911" w:rsidRPr="006D5148" w:rsidP="006E1911" w14:paraId="38A56242"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150</w:t>
            </w:r>
          </w:p>
        </w:tc>
      </w:tr>
      <w:tr w14:paraId="6ED5A556" w14:textId="77777777" w:rsidTr="006D5148">
        <w:tblPrEx>
          <w:tblW w:w="10923" w:type="dxa"/>
          <w:tblInd w:w="-195" w:type="dxa"/>
          <w:tblLook w:val="04A0"/>
        </w:tblPrEx>
        <w:trPr>
          <w:trHeight w:val="300"/>
        </w:trPr>
        <w:tc>
          <w:tcPr>
            <w:tcW w:w="1697" w:type="dxa"/>
            <w:vMerge/>
            <w:tcBorders>
              <w:top w:val="nil"/>
              <w:left w:val="single" w:sz="12" w:space="0" w:color="auto"/>
              <w:bottom w:val="single" w:sz="8" w:space="0" w:color="auto"/>
              <w:right w:val="single" w:sz="8" w:space="0" w:color="auto"/>
            </w:tcBorders>
            <w:vAlign w:val="center"/>
            <w:hideMark/>
          </w:tcPr>
          <w:p w:rsidR="006E1911" w:rsidRPr="006D5148" w:rsidP="006E1911" w14:paraId="0171D878" w14:textId="77777777">
            <w:pPr>
              <w:widowControl/>
              <w:spacing w:after="0" w:line="240" w:lineRule="auto"/>
              <w:rPr>
                <w:rFonts w:ascii="Times New Roman" w:eastAsia="Times New Roman" w:hAnsi="Times New Roman" w:cs="Times New Roman"/>
                <w:color w:val="000000"/>
                <w:sz w:val="20"/>
                <w:szCs w:val="20"/>
              </w:rPr>
            </w:pPr>
          </w:p>
        </w:tc>
        <w:tc>
          <w:tcPr>
            <w:tcW w:w="1404" w:type="dxa"/>
            <w:vMerge/>
            <w:tcBorders>
              <w:top w:val="nil"/>
              <w:left w:val="single" w:sz="8" w:space="0" w:color="auto"/>
              <w:bottom w:val="single" w:sz="8" w:space="0" w:color="auto"/>
              <w:right w:val="single" w:sz="12" w:space="0" w:color="auto"/>
            </w:tcBorders>
            <w:vAlign w:val="center"/>
            <w:hideMark/>
          </w:tcPr>
          <w:p w:rsidR="006E1911" w:rsidRPr="006D5148" w:rsidP="006E1911" w14:paraId="078A12D8" w14:textId="77777777">
            <w:pPr>
              <w:widowControl/>
              <w:spacing w:after="0" w:line="240" w:lineRule="auto"/>
              <w:rPr>
                <w:rFonts w:ascii="Times New Roman" w:eastAsia="Times New Roman" w:hAnsi="Times New Roman" w:cs="Times New Roman"/>
                <w:color w:val="000000"/>
                <w:sz w:val="20"/>
                <w:szCs w:val="20"/>
              </w:rPr>
            </w:pPr>
          </w:p>
        </w:tc>
        <w:tc>
          <w:tcPr>
            <w:tcW w:w="673" w:type="dxa"/>
            <w:vMerge/>
            <w:tcBorders>
              <w:top w:val="single" w:sz="8" w:space="0" w:color="auto"/>
              <w:left w:val="single" w:sz="12" w:space="0" w:color="auto"/>
              <w:bottom w:val="single" w:sz="12" w:space="0" w:color="auto"/>
              <w:right w:val="single" w:sz="12" w:space="0" w:color="auto"/>
            </w:tcBorders>
            <w:vAlign w:val="center"/>
            <w:hideMark/>
          </w:tcPr>
          <w:p w:rsidR="006E1911" w:rsidRPr="006D5148" w:rsidP="006E1911" w14:paraId="57019221" w14:textId="77777777">
            <w:pPr>
              <w:widowControl/>
              <w:spacing w:after="0" w:line="240" w:lineRule="auto"/>
              <w:rPr>
                <w:rFonts w:ascii="Times New Roman" w:eastAsia="Times New Roman" w:hAnsi="Times New Roman" w:cs="Times New Roman"/>
                <w:color w:val="000000"/>
                <w:sz w:val="20"/>
                <w:szCs w:val="20"/>
              </w:rPr>
            </w:pPr>
          </w:p>
        </w:tc>
        <w:tc>
          <w:tcPr>
            <w:tcW w:w="1316" w:type="dxa"/>
            <w:vMerge/>
            <w:tcBorders>
              <w:top w:val="single" w:sz="4" w:space="0" w:color="auto"/>
              <w:left w:val="single" w:sz="12" w:space="0" w:color="auto"/>
              <w:bottom w:val="single" w:sz="12" w:space="0" w:color="auto"/>
              <w:right w:val="single" w:sz="12" w:space="0" w:color="auto"/>
            </w:tcBorders>
            <w:vAlign w:val="center"/>
            <w:hideMark/>
          </w:tcPr>
          <w:p w:rsidR="006E1911" w:rsidRPr="006D5148" w:rsidP="006E1911" w14:paraId="724FE107" w14:textId="77777777">
            <w:pPr>
              <w:widowControl/>
              <w:spacing w:after="0" w:line="240" w:lineRule="auto"/>
              <w:rPr>
                <w:rFonts w:ascii="Times New Roman" w:eastAsia="Times New Roman" w:hAnsi="Times New Roman" w:cs="Times New Roman"/>
                <w:color w:val="000000"/>
                <w:sz w:val="20"/>
                <w:szCs w:val="20"/>
              </w:rPr>
            </w:pPr>
          </w:p>
        </w:tc>
        <w:tc>
          <w:tcPr>
            <w:tcW w:w="867" w:type="dxa"/>
            <w:vMerge/>
            <w:tcBorders>
              <w:top w:val="single" w:sz="4" w:space="0" w:color="auto"/>
              <w:left w:val="single" w:sz="12" w:space="0" w:color="auto"/>
              <w:bottom w:val="single" w:sz="12" w:space="0" w:color="auto"/>
              <w:right w:val="single" w:sz="12" w:space="0" w:color="auto"/>
            </w:tcBorders>
            <w:vAlign w:val="center"/>
            <w:hideMark/>
          </w:tcPr>
          <w:p w:rsidR="006E1911" w:rsidRPr="006D5148" w:rsidP="006E1911" w14:paraId="7D78B463" w14:textId="77777777">
            <w:pPr>
              <w:widowControl/>
              <w:spacing w:after="0" w:line="240" w:lineRule="auto"/>
              <w:rPr>
                <w:rFonts w:ascii="Times New Roman" w:eastAsia="Times New Roman" w:hAnsi="Times New Roman" w:cs="Times New Roman"/>
                <w:color w:val="000000"/>
                <w:sz w:val="20"/>
                <w:szCs w:val="20"/>
              </w:rPr>
            </w:pPr>
          </w:p>
        </w:tc>
        <w:tc>
          <w:tcPr>
            <w:tcW w:w="1180" w:type="dxa"/>
            <w:vMerge/>
            <w:tcBorders>
              <w:top w:val="nil"/>
              <w:left w:val="single" w:sz="12" w:space="0" w:color="auto"/>
              <w:bottom w:val="single" w:sz="12" w:space="0" w:color="auto"/>
              <w:right w:val="single" w:sz="12" w:space="0" w:color="auto"/>
            </w:tcBorders>
            <w:vAlign w:val="center"/>
            <w:hideMark/>
          </w:tcPr>
          <w:p w:rsidR="006E1911" w:rsidRPr="006D5148" w:rsidP="006E1911" w14:paraId="1AAD3B12" w14:textId="77777777">
            <w:pPr>
              <w:widowControl/>
              <w:spacing w:after="0" w:line="240" w:lineRule="auto"/>
              <w:rPr>
                <w:rFonts w:ascii="Times New Roman" w:eastAsia="Times New Roman" w:hAnsi="Times New Roman" w:cs="Times New Roman"/>
                <w:color w:val="000000"/>
                <w:sz w:val="20"/>
                <w:szCs w:val="20"/>
              </w:rPr>
            </w:pPr>
          </w:p>
        </w:tc>
        <w:tc>
          <w:tcPr>
            <w:tcW w:w="835" w:type="dxa"/>
            <w:vMerge/>
            <w:tcBorders>
              <w:top w:val="single" w:sz="4" w:space="0" w:color="auto"/>
              <w:left w:val="single" w:sz="12" w:space="0" w:color="auto"/>
              <w:bottom w:val="single" w:sz="12" w:space="0" w:color="auto"/>
              <w:right w:val="single" w:sz="12" w:space="0" w:color="auto"/>
            </w:tcBorders>
            <w:vAlign w:val="center"/>
            <w:hideMark/>
          </w:tcPr>
          <w:p w:rsidR="006E1911" w:rsidRPr="006D5148" w:rsidP="006E1911" w14:paraId="02BFD3D2" w14:textId="77777777">
            <w:pPr>
              <w:widowControl/>
              <w:spacing w:after="0" w:line="240" w:lineRule="auto"/>
              <w:rPr>
                <w:rFonts w:ascii="Times New Roman" w:eastAsia="Times New Roman" w:hAnsi="Times New Roman" w:cs="Times New Roman"/>
                <w:color w:val="000000"/>
                <w:sz w:val="20"/>
                <w:szCs w:val="20"/>
              </w:rPr>
            </w:pPr>
          </w:p>
        </w:tc>
        <w:tc>
          <w:tcPr>
            <w:tcW w:w="1011" w:type="dxa"/>
            <w:vMerge/>
            <w:tcBorders>
              <w:top w:val="single" w:sz="4" w:space="0" w:color="auto"/>
              <w:left w:val="single" w:sz="12" w:space="0" w:color="auto"/>
              <w:bottom w:val="single" w:sz="12" w:space="0" w:color="auto"/>
              <w:right w:val="single" w:sz="12" w:space="0" w:color="auto"/>
            </w:tcBorders>
            <w:vAlign w:val="center"/>
            <w:hideMark/>
          </w:tcPr>
          <w:p w:rsidR="006E1911" w:rsidRPr="006D5148" w:rsidP="006E1911" w14:paraId="142DCE32" w14:textId="77777777">
            <w:pPr>
              <w:widowControl/>
              <w:spacing w:after="0" w:line="240" w:lineRule="auto"/>
              <w:rPr>
                <w:rFonts w:ascii="Times New Roman" w:eastAsia="Times New Roman" w:hAnsi="Times New Roman" w:cs="Times New Roman"/>
                <w:color w:val="000000"/>
                <w:sz w:val="20"/>
                <w:szCs w:val="20"/>
              </w:rPr>
            </w:pPr>
          </w:p>
        </w:tc>
        <w:tc>
          <w:tcPr>
            <w:tcW w:w="835" w:type="dxa"/>
            <w:vMerge/>
            <w:tcBorders>
              <w:top w:val="single" w:sz="4" w:space="0" w:color="auto"/>
              <w:left w:val="single" w:sz="12" w:space="0" w:color="auto"/>
              <w:bottom w:val="single" w:sz="12" w:space="0" w:color="auto"/>
              <w:right w:val="single" w:sz="12" w:space="0" w:color="auto"/>
            </w:tcBorders>
            <w:vAlign w:val="center"/>
            <w:hideMark/>
          </w:tcPr>
          <w:p w:rsidR="006E1911" w:rsidRPr="006D5148" w:rsidP="006E1911" w14:paraId="3C4C22C4" w14:textId="77777777">
            <w:pPr>
              <w:widowControl/>
              <w:spacing w:after="0" w:line="240" w:lineRule="auto"/>
              <w:rPr>
                <w:rFonts w:ascii="Times New Roman" w:eastAsia="Times New Roman" w:hAnsi="Times New Roman" w:cs="Times New Roman"/>
                <w:color w:val="000000"/>
                <w:sz w:val="20"/>
                <w:szCs w:val="20"/>
              </w:rPr>
            </w:pPr>
          </w:p>
        </w:tc>
        <w:tc>
          <w:tcPr>
            <w:tcW w:w="883" w:type="dxa"/>
            <w:vMerge/>
            <w:tcBorders>
              <w:top w:val="nil"/>
              <w:left w:val="single" w:sz="12" w:space="0" w:color="auto"/>
              <w:bottom w:val="single" w:sz="12" w:space="0" w:color="auto"/>
              <w:right w:val="single" w:sz="12" w:space="0" w:color="auto"/>
            </w:tcBorders>
            <w:vAlign w:val="center"/>
            <w:hideMark/>
          </w:tcPr>
          <w:p w:rsidR="006E1911" w:rsidRPr="006D5148" w:rsidP="006E1911" w14:paraId="4FDE9870" w14:textId="77777777">
            <w:pPr>
              <w:widowControl/>
              <w:spacing w:after="0" w:line="240" w:lineRule="auto"/>
              <w:rPr>
                <w:rFonts w:ascii="Times New Roman" w:eastAsia="Times New Roman" w:hAnsi="Times New Roman" w:cs="Times New Roman"/>
                <w:color w:val="000000"/>
                <w:sz w:val="20"/>
                <w:szCs w:val="20"/>
              </w:rPr>
            </w:pPr>
          </w:p>
        </w:tc>
        <w:tc>
          <w:tcPr>
            <w:tcW w:w="222" w:type="dxa"/>
            <w:tcBorders>
              <w:top w:val="nil"/>
              <w:left w:val="single" w:sz="12" w:space="0" w:color="auto"/>
              <w:bottom w:val="nil"/>
              <w:right w:val="nil"/>
            </w:tcBorders>
            <w:shd w:val="clear" w:color="auto" w:fill="auto"/>
            <w:noWrap/>
            <w:vAlign w:val="bottom"/>
            <w:hideMark/>
          </w:tcPr>
          <w:p w:rsidR="006E1911" w:rsidRPr="006D5148" w:rsidP="006E1911" w14:paraId="298AD55C" w14:textId="77777777">
            <w:pPr>
              <w:widowControl/>
              <w:spacing w:after="0" w:line="240" w:lineRule="auto"/>
              <w:jc w:val="center"/>
              <w:rPr>
                <w:rFonts w:ascii="Times New Roman" w:eastAsia="Times New Roman" w:hAnsi="Times New Roman" w:cs="Times New Roman"/>
                <w:color w:val="000000"/>
                <w:sz w:val="20"/>
                <w:szCs w:val="20"/>
              </w:rPr>
            </w:pPr>
          </w:p>
        </w:tc>
      </w:tr>
      <w:tr w14:paraId="41A0EBA6" w14:textId="77777777" w:rsidTr="006D5148">
        <w:tblPrEx>
          <w:tblW w:w="10923" w:type="dxa"/>
          <w:tblInd w:w="-195" w:type="dxa"/>
          <w:tblLook w:val="04A0"/>
        </w:tblPrEx>
        <w:trPr>
          <w:trHeight w:val="300"/>
        </w:trPr>
        <w:tc>
          <w:tcPr>
            <w:tcW w:w="1697" w:type="dxa"/>
            <w:tcBorders>
              <w:top w:val="single" w:sz="8" w:space="0" w:color="auto"/>
              <w:left w:val="single" w:sz="12" w:space="0" w:color="auto"/>
              <w:bottom w:val="single" w:sz="12" w:space="0" w:color="auto"/>
              <w:right w:val="single" w:sz="12" w:space="0" w:color="auto"/>
            </w:tcBorders>
            <w:shd w:val="clear" w:color="auto" w:fill="auto"/>
            <w:noWrap/>
            <w:vAlign w:val="bottom"/>
            <w:hideMark/>
          </w:tcPr>
          <w:p w:rsidR="006E1911" w:rsidRPr="006D5148" w:rsidP="006E1911" w14:paraId="6BEE4169"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TOTAL</w:t>
            </w:r>
          </w:p>
        </w:tc>
        <w:tc>
          <w:tcPr>
            <w:tcW w:w="1404" w:type="dxa"/>
            <w:tcBorders>
              <w:top w:val="single" w:sz="8" w:space="0" w:color="auto"/>
              <w:left w:val="single" w:sz="12" w:space="0" w:color="auto"/>
              <w:bottom w:val="single" w:sz="12" w:space="0" w:color="auto"/>
              <w:right w:val="single" w:sz="12" w:space="0" w:color="auto"/>
            </w:tcBorders>
            <w:shd w:val="clear" w:color="auto" w:fill="auto"/>
            <w:noWrap/>
            <w:vAlign w:val="bottom"/>
            <w:hideMark/>
          </w:tcPr>
          <w:p w:rsidR="006E1911" w:rsidRPr="006D5148" w:rsidP="006E1911" w14:paraId="2E505A3F"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5</w:t>
            </w:r>
          </w:p>
        </w:tc>
        <w:tc>
          <w:tcPr>
            <w:tcW w:w="67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E1911" w:rsidRPr="006D5148" w:rsidP="006E1911" w14:paraId="5BA2FB87"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w:t>
            </w:r>
          </w:p>
        </w:tc>
        <w:tc>
          <w:tcPr>
            <w:tcW w:w="131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E1911" w:rsidRPr="006D5148" w:rsidP="006E1911" w14:paraId="16983F50"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1</w:t>
            </w:r>
          </w:p>
        </w:tc>
        <w:tc>
          <w:tcPr>
            <w:tcW w:w="86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E1911" w:rsidRPr="006D5148" w:rsidP="006E1911" w14:paraId="69C1AEA9"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w:t>
            </w:r>
          </w:p>
        </w:tc>
        <w:tc>
          <w:tcPr>
            <w:tcW w:w="11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E1911" w:rsidRPr="006D5148" w:rsidP="006E1911" w14:paraId="465677FD"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5</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E1911" w:rsidRPr="006D5148" w:rsidP="006E1911" w14:paraId="7E4602A4"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w:t>
            </w:r>
          </w:p>
        </w:tc>
        <w:tc>
          <w:tcPr>
            <w:tcW w:w="101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E1911" w:rsidRPr="006D5148" w:rsidP="006E1911" w14:paraId="5EE056B2"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150</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E1911" w:rsidRPr="006D5148" w:rsidP="006E1911" w14:paraId="5F6AD416"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w:t>
            </w:r>
          </w:p>
        </w:tc>
        <w:tc>
          <w:tcPr>
            <w:tcW w:w="88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E1911" w:rsidRPr="006D5148" w:rsidP="006E1911" w14:paraId="20573FA3" w14:textId="7777777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750</w:t>
            </w:r>
          </w:p>
        </w:tc>
        <w:tc>
          <w:tcPr>
            <w:tcW w:w="222" w:type="dxa"/>
            <w:tcBorders>
              <w:left w:val="single" w:sz="12" w:space="0" w:color="auto"/>
            </w:tcBorders>
            <w:vAlign w:val="center"/>
            <w:hideMark/>
          </w:tcPr>
          <w:p w:rsidR="006E1911" w:rsidRPr="00D27B1E" w:rsidP="006E1911" w14:paraId="4E311C6B" w14:textId="77777777">
            <w:pPr>
              <w:widowControl/>
              <w:spacing w:after="0" w:line="240" w:lineRule="auto"/>
              <w:rPr>
                <w:rFonts w:ascii="Times New Roman" w:eastAsia="Times New Roman" w:hAnsi="Times New Roman" w:cs="Times New Roman"/>
                <w:sz w:val="20"/>
                <w:szCs w:val="20"/>
              </w:rPr>
            </w:pPr>
          </w:p>
        </w:tc>
      </w:tr>
    </w:tbl>
    <w:p w:rsidR="006E1911" w:rsidP="006E1911" w14:paraId="437AA9C3" w14:textId="4162A4FE">
      <w:pPr>
        <w:pStyle w:val="ListParagraph"/>
        <w:tabs>
          <w:tab w:val="left" w:pos="900"/>
        </w:tabs>
        <w:spacing w:after="0" w:line="280" w:lineRule="exact"/>
        <w:ind w:right="20"/>
        <w:rPr>
          <w:rFonts w:ascii="Times New Roman" w:eastAsia="Times New Roman" w:hAnsi="Times New Roman" w:cs="Times New Roman"/>
          <w:iCs/>
          <w:sz w:val="24"/>
          <w:szCs w:val="24"/>
        </w:rPr>
      </w:pPr>
    </w:p>
    <w:p w:rsidR="003A5E08" w:rsidRPr="006D5148" w:rsidP="006D5148" w14:paraId="40518AC3" w14:textId="66778093">
      <w:pPr>
        <w:pStyle w:val="ListParagraph"/>
        <w:numPr>
          <w:ilvl w:val="0"/>
          <w:numId w:val="11"/>
        </w:numPr>
        <w:tabs>
          <w:tab w:val="left" w:pos="900"/>
        </w:tabs>
        <w:spacing w:after="0" w:line="280" w:lineRule="exact"/>
        <w:ind w:left="990" w:right="20"/>
        <w:rPr>
          <w:rFonts w:ascii="Times New Roman" w:eastAsia="Times New Roman" w:hAnsi="Times New Roman" w:cs="Times New Roman"/>
          <w:b/>
          <w:bCs/>
          <w:iCs/>
          <w:sz w:val="24"/>
          <w:szCs w:val="24"/>
        </w:rPr>
      </w:pPr>
      <w:r w:rsidRPr="006D5148">
        <w:rPr>
          <w:rFonts w:ascii="Times New Roman" w:eastAsia="Times New Roman" w:hAnsi="Times New Roman" w:cs="Times New Roman"/>
          <w:b/>
          <w:bCs/>
          <w:iCs/>
          <w:sz w:val="24"/>
          <w:szCs w:val="24"/>
        </w:rPr>
        <w:t>Estimated Annualized Cost Burden</w:t>
      </w:r>
    </w:p>
    <w:p w:rsidR="003A5E08" w:rsidP="00D27B1E" w14:paraId="7F1C2800" w14:textId="11397A7B">
      <w:pPr>
        <w:tabs>
          <w:tab w:val="left" w:pos="900"/>
        </w:tabs>
        <w:spacing w:after="0" w:line="280" w:lineRule="exact"/>
        <w:ind w:right="20"/>
        <w:rPr>
          <w:rFonts w:ascii="Times New Roman" w:eastAsia="Times New Roman" w:hAnsi="Times New Roman" w:cs="Times New Roman"/>
          <w:iCs/>
          <w:sz w:val="24"/>
          <w:szCs w:val="24"/>
        </w:rPr>
      </w:pPr>
    </w:p>
    <w:p w:rsidR="00A46247" w:rsidP="00D27B1E" w14:paraId="6D58293B" w14:textId="1DC75A04">
      <w:pPr>
        <w:tabs>
          <w:tab w:val="left" w:pos="900"/>
        </w:tabs>
        <w:spacing w:after="0" w:line="280" w:lineRule="exact"/>
        <w:ind w:left="630" w:right="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 Bureau of Labor and Statistics (BLS)</w:t>
      </w:r>
      <w:r>
        <w:rPr>
          <w:rStyle w:val="FootnoteReference"/>
          <w:rFonts w:ascii="Times New Roman" w:eastAsia="Times New Roman" w:hAnsi="Times New Roman" w:cs="Times New Roman"/>
          <w:iCs/>
          <w:sz w:val="24"/>
          <w:szCs w:val="24"/>
        </w:rPr>
        <w:footnoteReference w:id="2"/>
      </w:r>
      <w:r>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estimates that the average hourly wage for the following professionals</w:t>
      </w:r>
      <w:r>
        <w:rPr>
          <w:rFonts w:ascii="Times New Roman" w:eastAsia="Times New Roman" w:hAnsi="Times New Roman" w:cs="Times New Roman"/>
          <w:iCs/>
          <w:sz w:val="24"/>
          <w:szCs w:val="24"/>
        </w:rPr>
        <w:t xml:space="preserve"> as follows</w:t>
      </w:r>
      <w:r>
        <w:rPr>
          <w:rFonts w:ascii="Times New Roman" w:eastAsia="Times New Roman" w:hAnsi="Times New Roman" w:cs="Times New Roman"/>
          <w:iCs/>
          <w:sz w:val="24"/>
          <w:szCs w:val="24"/>
        </w:rPr>
        <w:t xml:space="preserve">: </w:t>
      </w:r>
      <w:bookmarkStart w:id="2" w:name="_Hlk164062374"/>
      <w:r w:rsidRPr="00B75E18">
        <w:rPr>
          <w:rFonts w:ascii="Times New Roman" w:eastAsia="Times New Roman" w:hAnsi="Times New Roman" w:cs="Times New Roman"/>
          <w:iCs/>
          <w:sz w:val="24"/>
          <w:szCs w:val="24"/>
        </w:rPr>
        <w:t>Chief Executive (</w:t>
      </w:r>
      <w:r w:rsidRPr="006D5148">
        <w:rPr>
          <w:rFonts w:ascii="Times New Roman" w:eastAsia="Times New Roman" w:hAnsi="Times New Roman" w:cs="Times New Roman"/>
          <w:iCs/>
          <w:color w:val="000000"/>
          <w:sz w:val="24"/>
          <w:szCs w:val="24"/>
        </w:rPr>
        <w:t xml:space="preserve">11-1011) is </w:t>
      </w:r>
      <w:r w:rsidR="00B75E18">
        <w:rPr>
          <w:rFonts w:ascii="Times New Roman" w:eastAsia="Times New Roman" w:hAnsi="Times New Roman" w:cs="Times New Roman"/>
          <w:iCs/>
          <w:color w:val="000000"/>
          <w:sz w:val="24"/>
          <w:szCs w:val="24"/>
        </w:rPr>
        <w:t>$ 124.47</w:t>
      </w:r>
      <w:r w:rsidRPr="006D5148">
        <w:rPr>
          <w:rFonts w:ascii="Times New Roman" w:eastAsia="Times New Roman" w:hAnsi="Times New Roman" w:cs="Times New Roman"/>
          <w:iCs/>
          <w:color w:val="000000"/>
          <w:sz w:val="24"/>
          <w:szCs w:val="24"/>
        </w:rPr>
        <w:t>, Accountants and Auditors (13-2011)</w:t>
      </w:r>
      <w:r w:rsidR="00B75E18">
        <w:rPr>
          <w:rFonts w:ascii="Times New Roman" w:eastAsia="Times New Roman" w:hAnsi="Times New Roman" w:cs="Times New Roman"/>
          <w:iCs/>
          <w:color w:val="000000"/>
          <w:sz w:val="24"/>
          <w:szCs w:val="24"/>
        </w:rPr>
        <w:t xml:space="preserve"> </w:t>
      </w:r>
      <w:r w:rsidRPr="00B75E18" w:rsidR="00B75E18">
        <w:rPr>
          <w:rFonts w:ascii="Times New Roman" w:eastAsia="Times New Roman" w:hAnsi="Times New Roman" w:cs="Times New Roman"/>
          <w:iCs/>
          <w:color w:val="000000"/>
          <w:sz w:val="24"/>
          <w:szCs w:val="24"/>
        </w:rPr>
        <w:t>$</w:t>
      </w:r>
      <w:r w:rsidR="00B75E18">
        <w:rPr>
          <w:rFonts w:ascii="Times New Roman" w:eastAsia="Times New Roman" w:hAnsi="Times New Roman" w:cs="Times New Roman"/>
          <w:iCs/>
          <w:color w:val="000000"/>
          <w:sz w:val="24"/>
          <w:szCs w:val="24"/>
        </w:rPr>
        <w:t xml:space="preserve"> </w:t>
      </w:r>
      <w:r w:rsidRPr="00B75E18" w:rsidR="00B75E18">
        <w:rPr>
          <w:rFonts w:ascii="Times New Roman" w:eastAsia="Times New Roman" w:hAnsi="Times New Roman" w:cs="Times New Roman"/>
          <w:iCs/>
          <w:color w:val="000000"/>
          <w:sz w:val="24"/>
          <w:szCs w:val="24"/>
        </w:rPr>
        <w:t>43.65</w:t>
      </w:r>
      <w:r w:rsidRPr="006D5148" w:rsidR="00B75E18">
        <w:rPr>
          <w:rFonts w:ascii="Times New Roman" w:eastAsia="Times New Roman" w:hAnsi="Times New Roman" w:cs="Times New Roman"/>
          <w:iCs/>
          <w:color w:val="000000"/>
          <w:sz w:val="24"/>
          <w:szCs w:val="24"/>
        </w:rPr>
        <w:t>, Statisticians (15-2041)</w:t>
      </w:r>
      <w:r w:rsidR="00B75E18">
        <w:rPr>
          <w:rFonts w:ascii="Times New Roman" w:eastAsia="Times New Roman" w:hAnsi="Times New Roman" w:cs="Times New Roman"/>
          <w:iCs/>
          <w:color w:val="000000"/>
          <w:sz w:val="24"/>
          <w:szCs w:val="24"/>
        </w:rPr>
        <w:t xml:space="preserve"> is </w:t>
      </w:r>
      <w:r w:rsidRPr="00B75E18" w:rsidR="00B75E18">
        <w:rPr>
          <w:rFonts w:ascii="Times New Roman" w:eastAsia="Times New Roman" w:hAnsi="Times New Roman" w:cs="Times New Roman"/>
          <w:iCs/>
          <w:color w:val="000000"/>
          <w:sz w:val="24"/>
          <w:szCs w:val="24"/>
        </w:rPr>
        <w:t>$52.50</w:t>
      </w:r>
      <w:r w:rsidRPr="006D5148" w:rsidR="00B75E18">
        <w:rPr>
          <w:rFonts w:ascii="Times New Roman" w:eastAsia="Times New Roman" w:hAnsi="Times New Roman" w:cs="Times New Roman"/>
          <w:iCs/>
          <w:color w:val="000000"/>
          <w:sz w:val="24"/>
          <w:szCs w:val="24"/>
        </w:rPr>
        <w:t>, Lawyers (23-1011)</w:t>
      </w:r>
      <w:r w:rsidR="00B75E18">
        <w:rPr>
          <w:rFonts w:ascii="Times New Roman" w:eastAsia="Times New Roman" w:hAnsi="Times New Roman" w:cs="Times New Roman"/>
          <w:iCs/>
          <w:color w:val="000000"/>
          <w:sz w:val="24"/>
          <w:szCs w:val="24"/>
        </w:rPr>
        <w:t xml:space="preserve"> is </w:t>
      </w:r>
      <w:r w:rsidRPr="00B75E18" w:rsidR="00B75E18">
        <w:rPr>
          <w:rFonts w:ascii="Times New Roman" w:eastAsia="Times New Roman" w:hAnsi="Times New Roman" w:cs="Times New Roman"/>
          <w:iCs/>
          <w:color w:val="000000"/>
          <w:sz w:val="24"/>
          <w:szCs w:val="24"/>
        </w:rPr>
        <w:t>$84.84</w:t>
      </w:r>
      <w:r w:rsidRPr="006D5148" w:rsidR="00B75E18">
        <w:rPr>
          <w:rFonts w:ascii="Times New Roman" w:eastAsia="Times New Roman" w:hAnsi="Times New Roman" w:cs="Times New Roman"/>
          <w:iCs/>
          <w:color w:val="000000"/>
          <w:sz w:val="24"/>
          <w:szCs w:val="24"/>
        </w:rPr>
        <w:t>, Office</w:t>
      </w:r>
      <w:r w:rsidR="00F31DBF">
        <w:rPr>
          <w:rFonts w:ascii="Times New Roman" w:eastAsia="Times New Roman" w:hAnsi="Times New Roman" w:cs="Times New Roman"/>
          <w:iCs/>
          <w:color w:val="000000"/>
          <w:sz w:val="24"/>
          <w:szCs w:val="24"/>
        </w:rPr>
        <w:t xml:space="preserve"> </w:t>
      </w:r>
      <w:r w:rsidRPr="006D5148" w:rsidR="00B75E18">
        <w:rPr>
          <w:rFonts w:ascii="Times New Roman" w:eastAsia="Times New Roman" w:hAnsi="Times New Roman" w:cs="Times New Roman"/>
          <w:iCs/>
          <w:color w:val="000000"/>
          <w:sz w:val="24"/>
          <w:szCs w:val="24"/>
        </w:rPr>
        <w:t>Clerks</w:t>
      </w:r>
      <w:r w:rsidR="00F31DBF">
        <w:rPr>
          <w:rFonts w:ascii="Times New Roman" w:eastAsia="Times New Roman" w:hAnsi="Times New Roman" w:cs="Times New Roman"/>
          <w:iCs/>
          <w:color w:val="000000"/>
          <w:sz w:val="24"/>
          <w:szCs w:val="24"/>
        </w:rPr>
        <w:t>,</w:t>
      </w:r>
      <w:r w:rsidRPr="006D5148" w:rsidR="00B75E18">
        <w:rPr>
          <w:rFonts w:ascii="Times New Roman" w:eastAsia="Times New Roman" w:hAnsi="Times New Roman" w:cs="Times New Roman"/>
          <w:iCs/>
          <w:color w:val="000000"/>
          <w:sz w:val="24"/>
          <w:szCs w:val="24"/>
        </w:rPr>
        <w:t xml:space="preserve"> General (4</w:t>
      </w:r>
      <w:r w:rsidR="00F31DBF">
        <w:rPr>
          <w:rFonts w:ascii="Times New Roman" w:eastAsia="Times New Roman" w:hAnsi="Times New Roman" w:cs="Times New Roman"/>
          <w:iCs/>
          <w:color w:val="000000"/>
          <w:sz w:val="24"/>
          <w:szCs w:val="24"/>
        </w:rPr>
        <w:t>3</w:t>
      </w:r>
      <w:r w:rsidRPr="006D5148" w:rsidR="00B75E18">
        <w:rPr>
          <w:rFonts w:ascii="Times New Roman" w:eastAsia="Times New Roman" w:hAnsi="Times New Roman" w:cs="Times New Roman"/>
          <w:iCs/>
          <w:color w:val="000000"/>
          <w:sz w:val="24"/>
          <w:szCs w:val="24"/>
        </w:rPr>
        <w:t>-9061)</w:t>
      </w:r>
      <w:r w:rsidR="00F31DBF">
        <w:rPr>
          <w:rFonts w:ascii="Times New Roman" w:eastAsia="Times New Roman" w:hAnsi="Times New Roman" w:cs="Times New Roman"/>
          <w:iCs/>
          <w:color w:val="000000"/>
          <w:sz w:val="24"/>
          <w:szCs w:val="24"/>
        </w:rPr>
        <w:t xml:space="preserve"> is </w:t>
      </w:r>
      <w:r w:rsidRPr="00F31DBF" w:rsidR="00F31DBF">
        <w:rPr>
          <w:rFonts w:ascii="Times New Roman" w:eastAsia="Times New Roman" w:hAnsi="Times New Roman" w:cs="Times New Roman"/>
          <w:iCs/>
          <w:color w:val="000000"/>
          <w:sz w:val="24"/>
          <w:szCs w:val="24"/>
        </w:rPr>
        <w:t>$20.94</w:t>
      </w:r>
      <w:r w:rsidRPr="006D5148" w:rsidR="00B75E18">
        <w:rPr>
          <w:rFonts w:ascii="Times New Roman" w:eastAsia="Times New Roman" w:hAnsi="Times New Roman" w:cs="Times New Roman"/>
          <w:iCs/>
          <w:color w:val="000000"/>
          <w:sz w:val="24"/>
          <w:szCs w:val="24"/>
        </w:rPr>
        <w:t>, Office and Administrative Support Workers</w:t>
      </w:r>
      <w:r w:rsidR="00F31DBF">
        <w:rPr>
          <w:rFonts w:ascii="Times New Roman" w:eastAsia="Times New Roman" w:hAnsi="Times New Roman" w:cs="Times New Roman"/>
          <w:iCs/>
          <w:color w:val="000000"/>
          <w:sz w:val="24"/>
          <w:szCs w:val="24"/>
        </w:rPr>
        <w:t xml:space="preserve">, All Other </w:t>
      </w:r>
      <w:r w:rsidRPr="006D5148" w:rsidR="00B75E18">
        <w:rPr>
          <w:rFonts w:ascii="Times New Roman" w:eastAsia="Times New Roman" w:hAnsi="Times New Roman" w:cs="Times New Roman"/>
          <w:iCs/>
          <w:color w:val="000000"/>
          <w:sz w:val="24"/>
          <w:szCs w:val="24"/>
        </w:rPr>
        <w:t>(43-9199)</w:t>
      </w:r>
      <w:r>
        <w:rPr>
          <w:rFonts w:ascii="Times New Roman" w:eastAsia="Times New Roman" w:hAnsi="Times New Roman" w:cs="Times New Roman"/>
          <w:iCs/>
          <w:sz w:val="24"/>
          <w:szCs w:val="24"/>
        </w:rPr>
        <w:t xml:space="preserve"> </w:t>
      </w:r>
      <w:r w:rsidR="00F31DBF">
        <w:rPr>
          <w:rFonts w:ascii="Times New Roman" w:eastAsia="Times New Roman" w:hAnsi="Times New Roman" w:cs="Times New Roman"/>
          <w:iCs/>
          <w:sz w:val="24"/>
          <w:szCs w:val="24"/>
        </w:rPr>
        <w:t>is</w:t>
      </w:r>
      <w:r>
        <w:rPr>
          <w:rFonts w:ascii="Times New Roman" w:eastAsia="Times New Roman" w:hAnsi="Times New Roman" w:cs="Times New Roman"/>
          <w:iCs/>
          <w:sz w:val="24"/>
          <w:szCs w:val="24"/>
        </w:rPr>
        <w:t xml:space="preserve"> </w:t>
      </w:r>
      <w:r w:rsidRPr="00F31DBF" w:rsidR="00F31DBF">
        <w:rPr>
          <w:rFonts w:ascii="Times New Roman" w:eastAsia="Times New Roman" w:hAnsi="Times New Roman" w:cs="Times New Roman"/>
          <w:iCs/>
          <w:sz w:val="24"/>
          <w:szCs w:val="24"/>
        </w:rPr>
        <w:t>$22.41</w:t>
      </w:r>
      <w:r w:rsidR="00F31DBF">
        <w:rPr>
          <w:rFonts w:ascii="Times New Roman" w:eastAsia="Times New Roman" w:hAnsi="Times New Roman" w:cs="Times New Roman"/>
          <w:iCs/>
          <w:sz w:val="24"/>
          <w:szCs w:val="24"/>
        </w:rPr>
        <w:t xml:space="preserve">. </w:t>
      </w:r>
      <w:bookmarkEnd w:id="2"/>
    </w:p>
    <w:p w:rsidR="00A46247" w:rsidP="00D27B1E" w14:paraId="23216EC3" w14:textId="77777777">
      <w:pPr>
        <w:tabs>
          <w:tab w:val="left" w:pos="900"/>
        </w:tabs>
        <w:spacing w:after="0" w:line="280" w:lineRule="exact"/>
        <w:ind w:left="630" w:right="20"/>
        <w:rPr>
          <w:rFonts w:ascii="Times New Roman" w:eastAsia="Times New Roman" w:hAnsi="Times New Roman" w:cs="Times New Roman"/>
          <w:iCs/>
          <w:sz w:val="24"/>
          <w:szCs w:val="24"/>
        </w:rPr>
      </w:pPr>
    </w:p>
    <w:p w:rsidR="003A5E08" w:rsidRPr="00A46247" w:rsidP="00D27B1E" w14:paraId="651C6B18" w14:textId="246F6347">
      <w:pPr>
        <w:tabs>
          <w:tab w:val="left" w:pos="900"/>
        </w:tabs>
        <w:spacing w:after="0" w:line="280" w:lineRule="exact"/>
        <w:ind w:left="630" w:right="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When combined the total compensation rate of 29%</w:t>
      </w:r>
      <w:r>
        <w:rPr>
          <w:rStyle w:val="FootnoteReference"/>
          <w:rFonts w:ascii="Times New Roman" w:eastAsia="Times New Roman" w:hAnsi="Times New Roman" w:cs="Times New Roman"/>
          <w:iCs/>
          <w:sz w:val="24"/>
          <w:szCs w:val="24"/>
        </w:rPr>
        <w:footnoteReference w:id="3"/>
      </w:r>
      <w:r>
        <w:rPr>
          <w:rFonts w:ascii="Times New Roman" w:eastAsia="Times New Roman" w:hAnsi="Times New Roman" w:cs="Times New Roman"/>
          <w:iCs/>
          <w:sz w:val="24"/>
          <w:szCs w:val="24"/>
        </w:rPr>
        <w:t xml:space="preserve">, the annualized hourly rate for each </w:t>
      </w:r>
      <w:r>
        <w:rPr>
          <w:rFonts w:ascii="Times New Roman" w:eastAsia="Times New Roman" w:hAnsi="Times New Roman" w:cs="Times New Roman"/>
          <w:iCs/>
          <w:sz w:val="24"/>
          <w:szCs w:val="24"/>
        </w:rPr>
        <w:t>professional is as follow</w:t>
      </w:r>
      <w:r w:rsidR="00A46247">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 xml:space="preserve">: </w:t>
      </w:r>
      <w:r w:rsidRPr="00F31DBF">
        <w:rPr>
          <w:rFonts w:ascii="Times New Roman" w:eastAsia="Times New Roman" w:hAnsi="Times New Roman" w:cs="Times New Roman"/>
          <w:iCs/>
          <w:sz w:val="24"/>
          <w:szCs w:val="24"/>
        </w:rPr>
        <w:t>Chief Executive (11-1011) is $</w:t>
      </w:r>
      <w:r w:rsidR="00310130">
        <w:rPr>
          <w:rFonts w:ascii="Times New Roman" w:eastAsia="Times New Roman" w:hAnsi="Times New Roman" w:cs="Times New Roman"/>
          <w:iCs/>
          <w:sz w:val="24"/>
          <w:szCs w:val="24"/>
        </w:rPr>
        <w:t xml:space="preserve"> </w:t>
      </w:r>
      <w:r w:rsidRPr="00310130" w:rsidR="00310130">
        <w:rPr>
          <w:rFonts w:ascii="Times New Roman" w:eastAsia="Times New Roman" w:hAnsi="Times New Roman" w:cs="Times New Roman"/>
          <w:iCs/>
          <w:sz w:val="24"/>
          <w:szCs w:val="24"/>
        </w:rPr>
        <w:t>160.57</w:t>
      </w:r>
      <w:r w:rsidRPr="00F31DBF">
        <w:rPr>
          <w:rFonts w:ascii="Times New Roman" w:eastAsia="Times New Roman" w:hAnsi="Times New Roman" w:cs="Times New Roman"/>
          <w:iCs/>
          <w:sz w:val="24"/>
          <w:szCs w:val="24"/>
        </w:rPr>
        <w:t xml:space="preserve">, Accountants and Auditors (13-2011) </w:t>
      </w:r>
      <w:r w:rsidR="00E258F7">
        <w:rPr>
          <w:rFonts w:ascii="Times New Roman" w:eastAsia="Times New Roman" w:hAnsi="Times New Roman" w:cs="Times New Roman"/>
          <w:iCs/>
          <w:sz w:val="24"/>
          <w:szCs w:val="24"/>
        </w:rPr>
        <w:t>is</w:t>
      </w:r>
      <w:r w:rsidR="00310130">
        <w:rPr>
          <w:rFonts w:ascii="Times New Roman" w:eastAsia="Times New Roman" w:hAnsi="Times New Roman" w:cs="Times New Roman"/>
          <w:iCs/>
          <w:sz w:val="24"/>
          <w:szCs w:val="24"/>
        </w:rPr>
        <w:t xml:space="preserve"> $ </w:t>
      </w:r>
      <w:r w:rsidRPr="00310130" w:rsidR="00310130">
        <w:rPr>
          <w:rFonts w:ascii="Times New Roman" w:eastAsia="Times New Roman" w:hAnsi="Times New Roman" w:cs="Times New Roman"/>
          <w:iCs/>
          <w:sz w:val="24"/>
          <w:szCs w:val="24"/>
        </w:rPr>
        <w:t>56.31</w:t>
      </w:r>
      <w:r w:rsidRPr="00F31DBF">
        <w:rPr>
          <w:rFonts w:ascii="Times New Roman" w:eastAsia="Times New Roman" w:hAnsi="Times New Roman" w:cs="Times New Roman"/>
          <w:iCs/>
          <w:sz w:val="24"/>
          <w:szCs w:val="24"/>
        </w:rPr>
        <w:t>, Statisticians (15-2041)</w:t>
      </w:r>
      <w:r w:rsidR="00310130">
        <w:rPr>
          <w:rFonts w:ascii="Times New Roman" w:eastAsia="Times New Roman" w:hAnsi="Times New Roman" w:cs="Times New Roman"/>
          <w:iCs/>
          <w:sz w:val="24"/>
          <w:szCs w:val="24"/>
        </w:rPr>
        <w:t xml:space="preserve"> is</w:t>
      </w:r>
      <w:r w:rsidRPr="00F31DBF">
        <w:rPr>
          <w:rFonts w:ascii="Times New Roman" w:eastAsia="Times New Roman" w:hAnsi="Times New Roman" w:cs="Times New Roman"/>
          <w:iCs/>
          <w:sz w:val="24"/>
          <w:szCs w:val="24"/>
        </w:rPr>
        <w:t xml:space="preserve"> </w:t>
      </w:r>
      <w:r w:rsidR="00310130">
        <w:rPr>
          <w:rFonts w:ascii="Times New Roman" w:eastAsia="Times New Roman" w:hAnsi="Times New Roman" w:cs="Times New Roman"/>
          <w:iCs/>
          <w:sz w:val="24"/>
          <w:szCs w:val="24"/>
        </w:rPr>
        <w:t>$</w:t>
      </w:r>
      <w:r w:rsidRPr="00310130" w:rsidR="00310130">
        <w:rPr>
          <w:rFonts w:ascii="Times New Roman" w:eastAsia="Times New Roman" w:hAnsi="Times New Roman" w:cs="Times New Roman"/>
          <w:iCs/>
          <w:sz w:val="24"/>
          <w:szCs w:val="24"/>
        </w:rPr>
        <w:t>67.73</w:t>
      </w:r>
      <w:r w:rsidRPr="00F31DBF">
        <w:rPr>
          <w:rFonts w:ascii="Times New Roman" w:eastAsia="Times New Roman" w:hAnsi="Times New Roman" w:cs="Times New Roman"/>
          <w:iCs/>
          <w:sz w:val="24"/>
          <w:szCs w:val="24"/>
        </w:rPr>
        <w:t xml:space="preserve"> Lawyers (23-1011) is</w:t>
      </w:r>
      <w:r w:rsidR="00310130">
        <w:rPr>
          <w:rFonts w:ascii="Times New Roman" w:eastAsia="Times New Roman" w:hAnsi="Times New Roman" w:cs="Times New Roman"/>
          <w:iCs/>
          <w:sz w:val="24"/>
          <w:szCs w:val="24"/>
        </w:rPr>
        <w:t xml:space="preserve"> $</w:t>
      </w:r>
      <w:r w:rsidRPr="00310130" w:rsidR="00310130">
        <w:rPr>
          <w:rFonts w:ascii="Times New Roman" w:eastAsia="Times New Roman" w:hAnsi="Times New Roman" w:cs="Times New Roman"/>
          <w:iCs/>
          <w:sz w:val="24"/>
          <w:szCs w:val="24"/>
        </w:rPr>
        <w:t>109.44</w:t>
      </w:r>
      <w:r w:rsidRPr="00F31DBF">
        <w:rPr>
          <w:rFonts w:ascii="Times New Roman" w:eastAsia="Times New Roman" w:hAnsi="Times New Roman" w:cs="Times New Roman"/>
          <w:iCs/>
          <w:sz w:val="24"/>
          <w:szCs w:val="24"/>
        </w:rPr>
        <w:t xml:space="preserve"> , Office Clerks, General (43-9061) is</w:t>
      </w:r>
      <w:r w:rsidR="00310130">
        <w:rPr>
          <w:rFonts w:ascii="Times New Roman" w:eastAsia="Times New Roman" w:hAnsi="Times New Roman" w:cs="Times New Roman"/>
          <w:iCs/>
          <w:sz w:val="24"/>
          <w:szCs w:val="24"/>
        </w:rPr>
        <w:t xml:space="preserve"> $ </w:t>
      </w:r>
      <w:r w:rsidRPr="00310130" w:rsidR="00310130">
        <w:rPr>
          <w:rFonts w:ascii="Times New Roman" w:eastAsia="Times New Roman" w:hAnsi="Times New Roman" w:cs="Times New Roman"/>
          <w:iCs/>
          <w:sz w:val="24"/>
          <w:szCs w:val="24"/>
        </w:rPr>
        <w:t>27.01</w:t>
      </w:r>
      <w:r w:rsidRPr="00F31DBF">
        <w:rPr>
          <w:rFonts w:ascii="Times New Roman" w:eastAsia="Times New Roman" w:hAnsi="Times New Roman" w:cs="Times New Roman"/>
          <w:iCs/>
          <w:sz w:val="24"/>
          <w:szCs w:val="24"/>
        </w:rPr>
        <w:t>, Office and Administrative Support Workers, All Other (43-9199) is</w:t>
      </w:r>
      <w:r w:rsidR="00310130">
        <w:rPr>
          <w:rFonts w:ascii="Times New Roman" w:eastAsia="Times New Roman" w:hAnsi="Times New Roman" w:cs="Times New Roman"/>
          <w:iCs/>
          <w:sz w:val="24"/>
          <w:szCs w:val="24"/>
        </w:rPr>
        <w:t xml:space="preserve"> $</w:t>
      </w:r>
      <w:r w:rsidRPr="00310130" w:rsidR="00310130">
        <w:rPr>
          <w:rFonts w:ascii="Times New Roman" w:eastAsia="Times New Roman" w:hAnsi="Times New Roman" w:cs="Times New Roman"/>
          <w:iCs/>
          <w:sz w:val="24"/>
          <w:szCs w:val="24"/>
        </w:rPr>
        <w:t>28.91</w:t>
      </w:r>
      <w:r w:rsidRPr="00F31DBF">
        <w:rPr>
          <w:rFonts w:ascii="Times New Roman" w:eastAsia="Times New Roman" w:hAnsi="Times New Roman" w:cs="Times New Roman"/>
          <w:iCs/>
          <w:sz w:val="24"/>
          <w:szCs w:val="24"/>
        </w:rPr>
        <w:t>.</w:t>
      </w:r>
      <w:r w:rsidR="00A46247">
        <w:rPr>
          <w:rFonts w:ascii="Times New Roman" w:eastAsia="Times New Roman" w:hAnsi="Times New Roman" w:cs="Times New Roman"/>
          <w:iCs/>
          <w:sz w:val="24"/>
          <w:szCs w:val="24"/>
        </w:rPr>
        <w:t xml:space="preserve"> Therefore the total annualized cost burden for all individuals associated with preparing and submitting data in response to this collection is </w:t>
      </w:r>
      <w:r w:rsidRPr="009B2C38" w:rsidR="00A46247">
        <w:rPr>
          <w:rFonts w:ascii="Times New Roman" w:eastAsia="Times New Roman" w:hAnsi="Times New Roman" w:cs="Times New Roman"/>
          <w:color w:val="000000"/>
          <w:sz w:val="20"/>
          <w:szCs w:val="20"/>
        </w:rPr>
        <w:t xml:space="preserve"> </w:t>
      </w:r>
      <w:r w:rsidRPr="006D5148" w:rsidR="00A46247">
        <w:rPr>
          <w:rFonts w:ascii="Times New Roman" w:eastAsia="Times New Roman" w:hAnsi="Times New Roman" w:cs="Times New Roman"/>
          <w:color w:val="000000"/>
          <w:sz w:val="24"/>
          <w:szCs w:val="24"/>
        </w:rPr>
        <w:t>$ 83,889.25</w:t>
      </w:r>
      <w:r w:rsidR="00A46247">
        <w:rPr>
          <w:rFonts w:ascii="Times New Roman" w:eastAsia="Times New Roman" w:hAnsi="Times New Roman" w:cs="Times New Roman"/>
          <w:color w:val="000000"/>
          <w:sz w:val="24"/>
          <w:szCs w:val="24"/>
        </w:rPr>
        <w:t>, which can be calculated as show in the table below:</w:t>
      </w:r>
    </w:p>
    <w:p w:rsidR="004B0196" w:rsidP="00D27B1E" w14:paraId="6A699E10" w14:textId="1892056D">
      <w:pPr>
        <w:tabs>
          <w:tab w:val="left" w:pos="900"/>
        </w:tabs>
        <w:spacing w:after="0" w:line="280" w:lineRule="exact"/>
        <w:ind w:left="630" w:right="20"/>
        <w:rPr>
          <w:rFonts w:ascii="Times New Roman" w:eastAsia="Times New Roman" w:hAnsi="Times New Roman" w:cs="Times New Roman"/>
          <w:iCs/>
          <w:sz w:val="24"/>
          <w:szCs w:val="24"/>
        </w:rPr>
      </w:pPr>
    </w:p>
    <w:tbl>
      <w:tblPr>
        <w:tblW w:w="10882" w:type="dxa"/>
        <w:tblInd w:w="-555" w:type="dxa"/>
        <w:tblLook w:val="04A0"/>
      </w:tblPr>
      <w:tblGrid>
        <w:gridCol w:w="2140"/>
        <w:gridCol w:w="1573"/>
        <w:gridCol w:w="329"/>
        <w:gridCol w:w="9"/>
        <w:gridCol w:w="1245"/>
        <w:gridCol w:w="524"/>
        <w:gridCol w:w="1573"/>
        <w:gridCol w:w="365"/>
        <w:gridCol w:w="1292"/>
        <w:gridCol w:w="379"/>
        <w:gridCol w:w="1453"/>
      </w:tblGrid>
      <w:tr w14:paraId="6C5920A0" w14:textId="77777777" w:rsidTr="006D5148">
        <w:tblPrEx>
          <w:tblW w:w="10882" w:type="dxa"/>
          <w:tblInd w:w="-555" w:type="dxa"/>
          <w:tblLook w:val="04A0"/>
        </w:tblPrEx>
        <w:trPr>
          <w:trHeight w:val="1435"/>
        </w:trPr>
        <w:tc>
          <w:tcPr>
            <w:tcW w:w="214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004C" w:rsidRPr="006D5148" w:rsidP="006D5148" w14:paraId="428AC46D" w14:textId="786D2BB5">
            <w:pPr>
              <w:widowControl/>
              <w:spacing w:after="0" w:line="240" w:lineRule="auto"/>
              <w:jc w:val="center"/>
              <w:rPr>
                <w:rFonts w:ascii="Times New Roman" w:eastAsia="Times New Roman" w:hAnsi="Times New Roman" w:cs="Times New Roman"/>
                <w:b/>
                <w:bCs/>
                <w:color w:val="000000"/>
                <w:sz w:val="20"/>
                <w:szCs w:val="20"/>
              </w:rPr>
            </w:pPr>
            <w:r w:rsidRPr="006D5148">
              <w:rPr>
                <w:rFonts w:ascii="Times New Roman" w:eastAsia="Times New Roman" w:hAnsi="Times New Roman" w:cs="Times New Roman"/>
                <w:b/>
                <w:bCs/>
                <w:color w:val="000000"/>
                <w:sz w:val="20"/>
                <w:szCs w:val="20"/>
              </w:rPr>
              <w:t>Title and Code of  Respondents</w:t>
            </w:r>
          </w:p>
        </w:tc>
        <w:tc>
          <w:tcPr>
            <w:tcW w:w="157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004C" w:rsidRPr="006D5148" w:rsidP="006D5148" w14:paraId="39DA9485" w14:textId="442E95E9">
            <w:pPr>
              <w:widowControl/>
              <w:spacing w:after="0" w:line="240" w:lineRule="auto"/>
              <w:jc w:val="center"/>
              <w:rPr>
                <w:rFonts w:ascii="Times New Roman" w:eastAsia="Times New Roman" w:hAnsi="Times New Roman" w:cs="Times New Roman"/>
                <w:b/>
                <w:bCs/>
                <w:color w:val="000000"/>
                <w:sz w:val="20"/>
                <w:szCs w:val="20"/>
              </w:rPr>
            </w:pPr>
            <w:r w:rsidRPr="006D5148">
              <w:rPr>
                <w:rFonts w:ascii="Times New Roman" w:eastAsia="Times New Roman" w:hAnsi="Times New Roman" w:cs="Times New Roman"/>
                <w:b/>
                <w:bCs/>
                <w:color w:val="000000"/>
                <w:sz w:val="20"/>
                <w:szCs w:val="20"/>
              </w:rPr>
              <w:t xml:space="preserve">Average Hourly </w:t>
            </w:r>
            <w:r w:rsidRPr="006D5148" w:rsidR="009A529D">
              <w:rPr>
                <w:rFonts w:ascii="Times New Roman" w:eastAsia="Times New Roman" w:hAnsi="Times New Roman" w:cs="Times New Roman"/>
                <w:b/>
                <w:bCs/>
                <w:color w:val="000000"/>
                <w:sz w:val="20"/>
                <w:szCs w:val="20"/>
              </w:rPr>
              <w:t xml:space="preserve">Wage Rate With </w:t>
            </w:r>
            <w:r w:rsidRPr="006D5148">
              <w:rPr>
                <w:rFonts w:ascii="Times New Roman" w:eastAsia="Times New Roman" w:hAnsi="Times New Roman" w:cs="Times New Roman"/>
                <w:b/>
                <w:bCs/>
                <w:color w:val="000000"/>
                <w:sz w:val="20"/>
                <w:szCs w:val="20"/>
              </w:rPr>
              <w:t>29%</w:t>
            </w:r>
            <w:r w:rsidRPr="006D5148" w:rsidR="009A529D">
              <w:rPr>
                <w:rFonts w:ascii="Times New Roman" w:eastAsia="Times New Roman" w:hAnsi="Times New Roman" w:cs="Times New Roman"/>
                <w:b/>
                <w:bCs/>
                <w:color w:val="000000"/>
                <w:sz w:val="20"/>
                <w:szCs w:val="20"/>
              </w:rPr>
              <w:t xml:space="preserve"> Compensation</w:t>
            </w:r>
          </w:p>
        </w:tc>
        <w:tc>
          <w:tcPr>
            <w:tcW w:w="338"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31004C" w:rsidRPr="006D5148" w:rsidP="006D5148" w14:paraId="030311B4" w14:textId="77777777">
            <w:pPr>
              <w:widowControl/>
              <w:spacing w:after="0" w:line="240" w:lineRule="auto"/>
              <w:jc w:val="center"/>
              <w:rPr>
                <w:rFonts w:ascii="Times New Roman" w:eastAsia="Times New Roman" w:hAnsi="Times New Roman" w:cs="Times New Roman"/>
                <w:b/>
                <w:bCs/>
                <w:color w:val="000000"/>
                <w:sz w:val="20"/>
                <w:szCs w:val="20"/>
              </w:rPr>
            </w:pPr>
          </w:p>
        </w:tc>
        <w:tc>
          <w:tcPr>
            <w:tcW w:w="124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004C" w:rsidRPr="006D5148" w:rsidP="006D5148" w14:paraId="11808D6F" w14:textId="26DD854F">
            <w:pPr>
              <w:widowControl/>
              <w:spacing w:after="0" w:line="240" w:lineRule="auto"/>
              <w:jc w:val="center"/>
              <w:rPr>
                <w:rFonts w:ascii="Times New Roman" w:eastAsia="Times New Roman" w:hAnsi="Times New Roman" w:cs="Times New Roman"/>
                <w:b/>
                <w:bCs/>
                <w:color w:val="000000"/>
                <w:sz w:val="20"/>
                <w:szCs w:val="20"/>
              </w:rPr>
            </w:pPr>
            <w:r w:rsidRPr="006D5148">
              <w:rPr>
                <w:rFonts w:ascii="Times New Roman" w:eastAsia="Times New Roman" w:hAnsi="Times New Roman" w:cs="Times New Roman"/>
                <w:b/>
                <w:bCs/>
                <w:color w:val="000000"/>
                <w:sz w:val="20"/>
                <w:szCs w:val="20"/>
              </w:rPr>
              <w:t>Number of Employees</w:t>
            </w:r>
          </w:p>
        </w:tc>
        <w:tc>
          <w:tcPr>
            <w:tcW w:w="52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31004C" w:rsidRPr="006D5148" w:rsidP="006D5148" w14:paraId="557C8E81" w14:textId="77777777">
            <w:pPr>
              <w:widowControl/>
              <w:spacing w:after="0" w:line="240" w:lineRule="auto"/>
              <w:jc w:val="center"/>
              <w:rPr>
                <w:rFonts w:ascii="Times New Roman" w:eastAsia="Times New Roman" w:hAnsi="Times New Roman" w:cs="Times New Roman"/>
                <w:b/>
                <w:bCs/>
                <w:color w:val="000000"/>
                <w:sz w:val="20"/>
                <w:szCs w:val="20"/>
              </w:rPr>
            </w:pPr>
          </w:p>
        </w:tc>
        <w:tc>
          <w:tcPr>
            <w:tcW w:w="157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004C" w:rsidRPr="006D5148" w:rsidP="006D5148" w14:paraId="0BBE8A02" w14:textId="5EF0C32D">
            <w:pPr>
              <w:widowControl/>
              <w:spacing w:after="0" w:line="240" w:lineRule="auto"/>
              <w:jc w:val="center"/>
              <w:rPr>
                <w:rFonts w:ascii="Times New Roman" w:eastAsia="Times New Roman" w:hAnsi="Times New Roman" w:cs="Times New Roman"/>
                <w:b/>
                <w:bCs/>
                <w:color w:val="000000"/>
                <w:sz w:val="20"/>
                <w:szCs w:val="20"/>
              </w:rPr>
            </w:pPr>
            <w:r w:rsidRPr="006D5148">
              <w:rPr>
                <w:rFonts w:ascii="Times New Roman" w:eastAsia="Times New Roman" w:hAnsi="Times New Roman" w:cs="Times New Roman"/>
                <w:b/>
                <w:bCs/>
                <w:color w:val="000000"/>
                <w:sz w:val="20"/>
                <w:szCs w:val="20"/>
              </w:rPr>
              <w:t>Total Compensation Rate for Employees</w:t>
            </w:r>
          </w:p>
        </w:tc>
        <w:tc>
          <w:tcPr>
            <w:tcW w:w="36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31004C" w:rsidRPr="006D5148" w:rsidP="006D5148" w14:paraId="1F8D394E" w14:textId="77777777">
            <w:pPr>
              <w:widowControl/>
              <w:spacing w:after="0" w:line="240" w:lineRule="auto"/>
              <w:jc w:val="center"/>
              <w:rPr>
                <w:rFonts w:ascii="Times New Roman" w:eastAsia="Times New Roman" w:hAnsi="Times New Roman" w:cs="Times New Roman"/>
                <w:b/>
                <w:bCs/>
                <w:color w:val="000000"/>
                <w:sz w:val="20"/>
                <w:szCs w:val="20"/>
              </w:rPr>
            </w:pPr>
          </w:p>
        </w:tc>
        <w:tc>
          <w:tcPr>
            <w:tcW w:w="129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004C" w:rsidRPr="006D5148" w:rsidP="006D5148" w14:paraId="27C1286C" w14:textId="6B546400">
            <w:pPr>
              <w:widowControl/>
              <w:spacing w:after="0" w:line="240" w:lineRule="auto"/>
              <w:jc w:val="center"/>
              <w:rPr>
                <w:rFonts w:ascii="Times New Roman" w:eastAsia="Times New Roman" w:hAnsi="Times New Roman" w:cs="Times New Roman"/>
                <w:b/>
                <w:bCs/>
                <w:color w:val="000000"/>
                <w:sz w:val="20"/>
                <w:szCs w:val="20"/>
              </w:rPr>
            </w:pPr>
            <w:r w:rsidRPr="006D5148">
              <w:rPr>
                <w:rFonts w:ascii="Times New Roman" w:eastAsia="Times New Roman" w:hAnsi="Times New Roman" w:cs="Times New Roman"/>
                <w:b/>
                <w:bCs/>
                <w:color w:val="000000"/>
                <w:sz w:val="20"/>
                <w:szCs w:val="20"/>
              </w:rPr>
              <w:t>Total Annualized Burden Hours</w:t>
            </w:r>
          </w:p>
        </w:tc>
        <w:tc>
          <w:tcPr>
            <w:tcW w:w="37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31004C" w:rsidRPr="006D5148" w:rsidP="006D5148" w14:paraId="5DCB269D" w14:textId="77777777">
            <w:pPr>
              <w:widowControl/>
              <w:spacing w:after="0" w:line="240" w:lineRule="auto"/>
              <w:jc w:val="center"/>
              <w:rPr>
                <w:rFonts w:ascii="Times New Roman" w:eastAsia="Times New Roman" w:hAnsi="Times New Roman" w:cs="Times New Roman"/>
                <w:b/>
                <w:bCs/>
                <w:color w:val="000000"/>
                <w:sz w:val="20"/>
                <w:szCs w:val="20"/>
              </w:rPr>
            </w:pPr>
          </w:p>
        </w:tc>
        <w:tc>
          <w:tcPr>
            <w:tcW w:w="145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31004C" w:rsidRPr="006D5148" w:rsidP="006D5148" w14:paraId="38388BD4" w14:textId="1B4FF960">
            <w:pPr>
              <w:widowControl/>
              <w:spacing w:after="0" w:line="240" w:lineRule="auto"/>
              <w:jc w:val="center"/>
              <w:rPr>
                <w:rFonts w:ascii="Times New Roman" w:eastAsia="Times New Roman" w:hAnsi="Times New Roman" w:cs="Times New Roman"/>
                <w:b/>
                <w:bCs/>
                <w:color w:val="000000"/>
                <w:sz w:val="20"/>
                <w:szCs w:val="20"/>
              </w:rPr>
            </w:pPr>
            <w:r w:rsidRPr="006D5148">
              <w:rPr>
                <w:rFonts w:ascii="Times New Roman" w:eastAsia="Times New Roman" w:hAnsi="Times New Roman" w:cs="Times New Roman"/>
                <w:b/>
                <w:bCs/>
                <w:color w:val="000000"/>
                <w:sz w:val="20"/>
                <w:szCs w:val="20"/>
              </w:rPr>
              <w:t>Total Annualized Cost Burden</w:t>
            </w:r>
          </w:p>
        </w:tc>
      </w:tr>
      <w:tr w14:paraId="3A5C4459" w14:textId="77777777" w:rsidTr="00D27B1E">
        <w:tblPrEx>
          <w:tblW w:w="10882" w:type="dxa"/>
          <w:tblInd w:w="-555" w:type="dxa"/>
          <w:tblLook w:val="04A0"/>
        </w:tblPrEx>
        <w:trPr>
          <w:trHeight w:val="287"/>
        </w:trPr>
        <w:tc>
          <w:tcPr>
            <w:tcW w:w="2140"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31004C" w:rsidRPr="006D5148" w:rsidP="004B0196" w14:paraId="32458772" w14:textId="7C816D49">
            <w:pPr>
              <w:widowControl/>
              <w:spacing w:after="0" w:line="240" w:lineRule="auto"/>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Chief Executive </w:t>
            </w:r>
            <w:r w:rsidRPr="006D5148" w:rsidR="0085350A">
              <w:rPr>
                <w:rFonts w:ascii="Times New Roman" w:eastAsia="Times New Roman" w:hAnsi="Times New Roman" w:cs="Times New Roman"/>
                <w:color w:val="000000"/>
                <w:sz w:val="20"/>
                <w:szCs w:val="20"/>
              </w:rPr>
              <w:t xml:space="preserve">       </w:t>
            </w:r>
            <w:r w:rsidRPr="006D5148">
              <w:rPr>
                <w:rFonts w:ascii="Times New Roman" w:eastAsia="Times New Roman" w:hAnsi="Times New Roman" w:cs="Times New Roman"/>
                <w:color w:val="000000"/>
                <w:sz w:val="20"/>
                <w:szCs w:val="20"/>
              </w:rPr>
              <w:t xml:space="preserve">(11-1011) </w:t>
            </w:r>
          </w:p>
        </w:tc>
        <w:tc>
          <w:tcPr>
            <w:tcW w:w="157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6D5148" w14:paraId="6CC96040" w14:textId="69E46EB3">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$ 160.57</w:t>
            </w:r>
          </w:p>
        </w:tc>
        <w:tc>
          <w:tcPr>
            <w:tcW w:w="338" w:type="dxa"/>
            <w:gridSpan w:val="2"/>
            <w:vMerge w:val="restart"/>
            <w:tcBorders>
              <w:top w:val="single" w:sz="12" w:space="0" w:color="auto"/>
              <w:left w:val="single" w:sz="12" w:space="0" w:color="auto"/>
              <w:right w:val="single" w:sz="12" w:space="0" w:color="auto"/>
            </w:tcBorders>
            <w:vAlign w:val="center"/>
          </w:tcPr>
          <w:p w:rsidR="0031004C" w:rsidRPr="006D5148" w:rsidP="006D5148" w14:paraId="2D681C10" w14:textId="47EA8537">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w:t>
            </w:r>
          </w:p>
        </w:tc>
        <w:tc>
          <w:tcPr>
            <w:tcW w:w="124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6D5148" w14:paraId="047E560A" w14:textId="27CAE2B6">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1</w:t>
            </w:r>
          </w:p>
        </w:tc>
        <w:tc>
          <w:tcPr>
            <w:tcW w:w="524" w:type="dxa"/>
            <w:vMerge w:val="restart"/>
            <w:tcBorders>
              <w:top w:val="single" w:sz="12" w:space="0" w:color="auto"/>
              <w:left w:val="single" w:sz="12" w:space="0" w:color="auto"/>
              <w:right w:val="single" w:sz="12" w:space="0" w:color="auto"/>
            </w:tcBorders>
            <w:vAlign w:val="center"/>
          </w:tcPr>
          <w:p w:rsidR="0031004C" w:rsidRPr="006D5148" w:rsidP="006D5148" w14:paraId="46672FDC" w14:textId="42613EBF">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w:t>
            </w:r>
          </w:p>
        </w:tc>
        <w:tc>
          <w:tcPr>
            <w:tcW w:w="157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1004C" w:rsidRPr="006D5148" w:rsidP="006D5148" w14:paraId="7DB76890" w14:textId="794D7802">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 </w:t>
            </w:r>
            <w:r w:rsidRPr="006D5148">
              <w:rPr>
                <w:rFonts w:ascii="Times New Roman" w:eastAsia="Times New Roman" w:hAnsi="Times New Roman" w:cs="Times New Roman"/>
                <w:color w:val="000000"/>
                <w:sz w:val="20"/>
                <w:szCs w:val="20"/>
              </w:rPr>
              <w:t>160.57</w:t>
            </w:r>
          </w:p>
        </w:tc>
        <w:tc>
          <w:tcPr>
            <w:tcW w:w="365" w:type="dxa"/>
            <w:vMerge w:val="restart"/>
            <w:tcBorders>
              <w:top w:val="single" w:sz="12" w:space="0" w:color="auto"/>
              <w:left w:val="single" w:sz="12" w:space="0" w:color="auto"/>
              <w:right w:val="single" w:sz="12" w:space="0" w:color="auto"/>
            </w:tcBorders>
            <w:vAlign w:val="center"/>
          </w:tcPr>
          <w:p w:rsidR="0031004C" w:rsidRPr="006D5148" w:rsidP="006D5148" w14:paraId="25038EF5" w14:textId="38F4DCE0">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w:t>
            </w:r>
          </w:p>
        </w:tc>
        <w:tc>
          <w:tcPr>
            <w:tcW w:w="12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1004C" w:rsidRPr="006D5148" w:rsidP="006D5148" w14:paraId="00335F97" w14:textId="07DC2EFF">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100</w:t>
            </w:r>
          </w:p>
        </w:tc>
        <w:tc>
          <w:tcPr>
            <w:tcW w:w="379" w:type="dxa"/>
            <w:vMerge w:val="restart"/>
            <w:tcBorders>
              <w:top w:val="single" w:sz="12" w:space="0" w:color="auto"/>
              <w:left w:val="single" w:sz="12" w:space="0" w:color="auto"/>
              <w:right w:val="single" w:sz="12" w:space="0" w:color="auto"/>
            </w:tcBorders>
            <w:vAlign w:val="center"/>
          </w:tcPr>
          <w:p w:rsidR="0031004C" w:rsidRPr="006D5148" w:rsidP="006D5148" w14:paraId="5AF9ED98" w14:textId="5F26822B">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w:t>
            </w:r>
          </w:p>
        </w:tc>
        <w:tc>
          <w:tcPr>
            <w:tcW w:w="145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4B0196" w14:paraId="4DE6E052" w14:textId="5595480D">
            <w:pPr>
              <w:widowControl/>
              <w:spacing w:after="0" w:line="240" w:lineRule="auto"/>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 $ 16,057.00 </w:t>
            </w:r>
          </w:p>
        </w:tc>
      </w:tr>
      <w:tr w14:paraId="5FE7FC7E" w14:textId="77777777" w:rsidTr="006D5148">
        <w:tblPrEx>
          <w:tblW w:w="10882" w:type="dxa"/>
          <w:tblInd w:w="-555" w:type="dxa"/>
          <w:tblLook w:val="04A0"/>
        </w:tblPrEx>
        <w:trPr>
          <w:trHeight w:val="574"/>
        </w:trPr>
        <w:tc>
          <w:tcPr>
            <w:tcW w:w="2140"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31004C" w:rsidRPr="006D5148" w:rsidP="004B0196" w14:paraId="6F7A10E0" w14:textId="77777777">
            <w:pPr>
              <w:widowControl/>
              <w:spacing w:after="0" w:line="240" w:lineRule="auto"/>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Accountants and Auditors (13-2011)</w:t>
            </w:r>
          </w:p>
        </w:tc>
        <w:tc>
          <w:tcPr>
            <w:tcW w:w="157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6D5148" w14:paraId="77C1AD60" w14:textId="5A3EFDF6">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$ 56.31</w:t>
            </w:r>
          </w:p>
        </w:tc>
        <w:tc>
          <w:tcPr>
            <w:tcW w:w="338" w:type="dxa"/>
            <w:gridSpan w:val="2"/>
            <w:vMerge/>
            <w:tcBorders>
              <w:left w:val="single" w:sz="12" w:space="0" w:color="auto"/>
              <w:right w:val="single" w:sz="12" w:space="0" w:color="auto"/>
            </w:tcBorders>
          </w:tcPr>
          <w:p w:rsidR="0031004C" w:rsidRPr="006D5148" w:rsidP="004B0196" w14:paraId="19F25D2A" w14:textId="270A0EE7">
            <w:pPr>
              <w:widowControl/>
              <w:spacing w:after="0" w:line="240" w:lineRule="auto"/>
              <w:jc w:val="right"/>
              <w:rPr>
                <w:rFonts w:ascii="Times New Roman" w:eastAsia="Times New Roman" w:hAnsi="Times New Roman" w:cs="Times New Roman"/>
                <w:color w:val="000000"/>
                <w:sz w:val="20"/>
                <w:szCs w:val="20"/>
              </w:rPr>
            </w:pPr>
          </w:p>
        </w:tc>
        <w:tc>
          <w:tcPr>
            <w:tcW w:w="124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6D5148" w14:paraId="5C253E66" w14:textId="0E096848">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1</w:t>
            </w:r>
          </w:p>
        </w:tc>
        <w:tc>
          <w:tcPr>
            <w:tcW w:w="524" w:type="dxa"/>
            <w:vMerge/>
            <w:tcBorders>
              <w:left w:val="single" w:sz="12" w:space="0" w:color="auto"/>
              <w:right w:val="single" w:sz="12" w:space="0" w:color="auto"/>
            </w:tcBorders>
          </w:tcPr>
          <w:p w:rsidR="0031004C" w:rsidRPr="006D5148" w:rsidP="004B0196" w14:paraId="4C470D20" w14:textId="790A8940">
            <w:pPr>
              <w:widowControl/>
              <w:spacing w:after="0" w:line="240" w:lineRule="auto"/>
              <w:jc w:val="right"/>
              <w:rPr>
                <w:rFonts w:ascii="Times New Roman" w:eastAsia="Times New Roman" w:hAnsi="Times New Roman" w:cs="Times New Roman"/>
                <w:color w:val="000000"/>
                <w:sz w:val="20"/>
                <w:szCs w:val="20"/>
              </w:rPr>
            </w:pPr>
          </w:p>
        </w:tc>
        <w:tc>
          <w:tcPr>
            <w:tcW w:w="157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1004C" w:rsidRPr="006D5148" w:rsidP="006D5148" w14:paraId="1BD7B915" w14:textId="23E3EFD0">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 </w:t>
            </w:r>
            <w:r w:rsidRPr="006D5148">
              <w:rPr>
                <w:rFonts w:ascii="Times New Roman" w:eastAsia="Times New Roman" w:hAnsi="Times New Roman" w:cs="Times New Roman"/>
                <w:color w:val="000000"/>
                <w:sz w:val="20"/>
                <w:szCs w:val="20"/>
              </w:rPr>
              <w:t>56.31</w:t>
            </w:r>
          </w:p>
        </w:tc>
        <w:tc>
          <w:tcPr>
            <w:tcW w:w="365" w:type="dxa"/>
            <w:vMerge/>
            <w:tcBorders>
              <w:left w:val="single" w:sz="12" w:space="0" w:color="auto"/>
              <w:right w:val="single" w:sz="12" w:space="0" w:color="auto"/>
            </w:tcBorders>
          </w:tcPr>
          <w:p w:rsidR="0031004C" w:rsidRPr="006D5148" w:rsidP="004B0196" w14:paraId="7488F3AE" w14:textId="542F62F9">
            <w:pPr>
              <w:widowControl/>
              <w:spacing w:after="0" w:line="240" w:lineRule="auto"/>
              <w:jc w:val="right"/>
              <w:rPr>
                <w:rFonts w:ascii="Times New Roman" w:eastAsia="Times New Roman" w:hAnsi="Times New Roman" w:cs="Times New Roman"/>
                <w:color w:val="000000"/>
                <w:sz w:val="20"/>
                <w:szCs w:val="20"/>
              </w:rPr>
            </w:pPr>
          </w:p>
        </w:tc>
        <w:tc>
          <w:tcPr>
            <w:tcW w:w="12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1004C" w:rsidRPr="006D5148" w:rsidP="006D5148" w14:paraId="3DE40EEE" w14:textId="149007D3">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225</w:t>
            </w:r>
          </w:p>
        </w:tc>
        <w:tc>
          <w:tcPr>
            <w:tcW w:w="379" w:type="dxa"/>
            <w:vMerge/>
            <w:tcBorders>
              <w:left w:val="single" w:sz="12" w:space="0" w:color="auto"/>
              <w:right w:val="single" w:sz="12" w:space="0" w:color="auto"/>
            </w:tcBorders>
          </w:tcPr>
          <w:p w:rsidR="0031004C" w:rsidRPr="006D5148" w:rsidP="004B0196" w14:paraId="057F6A1C" w14:textId="66EE4DAB">
            <w:pPr>
              <w:widowControl/>
              <w:spacing w:after="0" w:line="240" w:lineRule="auto"/>
              <w:rPr>
                <w:rFonts w:ascii="Times New Roman" w:eastAsia="Times New Roman" w:hAnsi="Times New Roman" w:cs="Times New Roman"/>
                <w:color w:val="000000"/>
                <w:sz w:val="20"/>
                <w:szCs w:val="20"/>
              </w:rPr>
            </w:pPr>
          </w:p>
        </w:tc>
        <w:tc>
          <w:tcPr>
            <w:tcW w:w="145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4B0196" w14:paraId="711D920E" w14:textId="411CB603">
            <w:pPr>
              <w:widowControl/>
              <w:spacing w:after="0" w:line="240" w:lineRule="auto"/>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 $ 12,669.75 </w:t>
            </w:r>
          </w:p>
        </w:tc>
      </w:tr>
      <w:tr w14:paraId="51607F65" w14:textId="77777777" w:rsidTr="006D5148">
        <w:tblPrEx>
          <w:tblW w:w="10882" w:type="dxa"/>
          <w:tblInd w:w="-555" w:type="dxa"/>
          <w:tblLook w:val="04A0"/>
        </w:tblPrEx>
        <w:trPr>
          <w:trHeight w:val="287"/>
        </w:trPr>
        <w:tc>
          <w:tcPr>
            <w:tcW w:w="2140"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31004C" w:rsidRPr="006D5148" w:rsidP="004B0196" w14:paraId="3F2F0C5C" w14:textId="260F9A80">
            <w:pPr>
              <w:widowControl/>
              <w:spacing w:after="0" w:line="240" w:lineRule="auto"/>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Statisticians</w:t>
            </w:r>
            <w:r w:rsidRPr="006D5148" w:rsidR="0085350A">
              <w:rPr>
                <w:rFonts w:ascii="Times New Roman" w:eastAsia="Times New Roman" w:hAnsi="Times New Roman" w:cs="Times New Roman"/>
                <w:color w:val="000000"/>
                <w:sz w:val="20"/>
                <w:szCs w:val="20"/>
              </w:rPr>
              <w:t xml:space="preserve">                </w:t>
            </w:r>
            <w:r w:rsidRPr="006D5148">
              <w:rPr>
                <w:rFonts w:ascii="Times New Roman" w:eastAsia="Times New Roman" w:hAnsi="Times New Roman" w:cs="Times New Roman"/>
                <w:color w:val="000000"/>
                <w:sz w:val="20"/>
                <w:szCs w:val="20"/>
              </w:rPr>
              <w:t xml:space="preserve"> (15-2041)</w:t>
            </w:r>
          </w:p>
        </w:tc>
        <w:tc>
          <w:tcPr>
            <w:tcW w:w="157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6D5148" w14:paraId="3197B7F9" w14:textId="3CF18BEB">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67.73</w:t>
            </w:r>
          </w:p>
        </w:tc>
        <w:tc>
          <w:tcPr>
            <w:tcW w:w="338" w:type="dxa"/>
            <w:gridSpan w:val="2"/>
            <w:vMerge/>
            <w:tcBorders>
              <w:left w:val="single" w:sz="12" w:space="0" w:color="auto"/>
              <w:right w:val="single" w:sz="12" w:space="0" w:color="auto"/>
            </w:tcBorders>
          </w:tcPr>
          <w:p w:rsidR="0031004C" w:rsidRPr="006D5148" w:rsidP="004B0196" w14:paraId="72B1B4BC" w14:textId="56DA33B6">
            <w:pPr>
              <w:widowControl/>
              <w:spacing w:after="0" w:line="240" w:lineRule="auto"/>
              <w:jc w:val="right"/>
              <w:rPr>
                <w:rFonts w:ascii="Times New Roman" w:eastAsia="Times New Roman" w:hAnsi="Times New Roman" w:cs="Times New Roman"/>
                <w:color w:val="000000"/>
                <w:sz w:val="20"/>
                <w:szCs w:val="20"/>
              </w:rPr>
            </w:pPr>
          </w:p>
        </w:tc>
        <w:tc>
          <w:tcPr>
            <w:tcW w:w="124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6D5148" w14:paraId="24799A95" w14:textId="01ECC0EB">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2</w:t>
            </w:r>
          </w:p>
        </w:tc>
        <w:tc>
          <w:tcPr>
            <w:tcW w:w="524" w:type="dxa"/>
            <w:vMerge/>
            <w:tcBorders>
              <w:left w:val="single" w:sz="12" w:space="0" w:color="auto"/>
              <w:right w:val="single" w:sz="12" w:space="0" w:color="auto"/>
            </w:tcBorders>
          </w:tcPr>
          <w:p w:rsidR="0031004C" w:rsidRPr="006D5148" w:rsidP="004B0196" w14:paraId="1B25845F" w14:textId="09CB3584">
            <w:pPr>
              <w:widowControl/>
              <w:spacing w:after="0" w:line="240" w:lineRule="auto"/>
              <w:jc w:val="right"/>
              <w:rPr>
                <w:rFonts w:ascii="Times New Roman" w:eastAsia="Times New Roman" w:hAnsi="Times New Roman" w:cs="Times New Roman"/>
                <w:color w:val="000000"/>
                <w:sz w:val="20"/>
                <w:szCs w:val="20"/>
              </w:rPr>
            </w:pPr>
          </w:p>
        </w:tc>
        <w:tc>
          <w:tcPr>
            <w:tcW w:w="157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1004C" w:rsidRPr="006D5148" w:rsidP="006D5148" w14:paraId="682C18C6" w14:textId="284AF5AB">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 </w:t>
            </w:r>
            <w:r w:rsidRPr="006D5148">
              <w:rPr>
                <w:rFonts w:ascii="Times New Roman" w:eastAsia="Times New Roman" w:hAnsi="Times New Roman" w:cs="Times New Roman"/>
                <w:color w:val="000000"/>
                <w:sz w:val="20"/>
                <w:szCs w:val="20"/>
              </w:rPr>
              <w:t>135.46</w:t>
            </w:r>
          </w:p>
        </w:tc>
        <w:tc>
          <w:tcPr>
            <w:tcW w:w="365" w:type="dxa"/>
            <w:vMerge/>
            <w:tcBorders>
              <w:left w:val="single" w:sz="12" w:space="0" w:color="auto"/>
              <w:right w:val="single" w:sz="12" w:space="0" w:color="auto"/>
            </w:tcBorders>
          </w:tcPr>
          <w:p w:rsidR="0031004C" w:rsidRPr="006D5148" w:rsidP="004B0196" w14:paraId="29F509F3" w14:textId="02CBB3CD">
            <w:pPr>
              <w:widowControl/>
              <w:spacing w:after="0" w:line="240" w:lineRule="auto"/>
              <w:jc w:val="right"/>
              <w:rPr>
                <w:rFonts w:ascii="Times New Roman" w:eastAsia="Times New Roman" w:hAnsi="Times New Roman" w:cs="Times New Roman"/>
                <w:color w:val="000000"/>
                <w:sz w:val="20"/>
                <w:szCs w:val="20"/>
              </w:rPr>
            </w:pPr>
          </w:p>
        </w:tc>
        <w:tc>
          <w:tcPr>
            <w:tcW w:w="12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1004C" w:rsidRPr="006D5148" w:rsidP="006D5148" w14:paraId="7EBF4B2D" w14:textId="44F945BC">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225</w:t>
            </w:r>
          </w:p>
        </w:tc>
        <w:tc>
          <w:tcPr>
            <w:tcW w:w="379" w:type="dxa"/>
            <w:vMerge/>
            <w:tcBorders>
              <w:left w:val="single" w:sz="12" w:space="0" w:color="auto"/>
              <w:right w:val="single" w:sz="12" w:space="0" w:color="auto"/>
            </w:tcBorders>
          </w:tcPr>
          <w:p w:rsidR="0031004C" w:rsidRPr="006D5148" w:rsidP="004B0196" w14:paraId="695CAAF1" w14:textId="24D2C8FF">
            <w:pPr>
              <w:widowControl/>
              <w:spacing w:after="0" w:line="240" w:lineRule="auto"/>
              <w:rPr>
                <w:rFonts w:ascii="Times New Roman" w:eastAsia="Times New Roman" w:hAnsi="Times New Roman" w:cs="Times New Roman"/>
                <w:color w:val="000000"/>
                <w:sz w:val="20"/>
                <w:szCs w:val="20"/>
              </w:rPr>
            </w:pPr>
          </w:p>
        </w:tc>
        <w:tc>
          <w:tcPr>
            <w:tcW w:w="145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4B0196" w14:paraId="0BB40918" w14:textId="04165F8F">
            <w:pPr>
              <w:widowControl/>
              <w:spacing w:after="0" w:line="240" w:lineRule="auto"/>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 $ 30,478.50 </w:t>
            </w:r>
          </w:p>
        </w:tc>
      </w:tr>
      <w:tr w14:paraId="590CA0B1" w14:textId="77777777" w:rsidTr="006D5148">
        <w:tblPrEx>
          <w:tblW w:w="10882" w:type="dxa"/>
          <w:tblInd w:w="-555" w:type="dxa"/>
          <w:tblLook w:val="04A0"/>
        </w:tblPrEx>
        <w:trPr>
          <w:trHeight w:val="287"/>
        </w:trPr>
        <w:tc>
          <w:tcPr>
            <w:tcW w:w="2140"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31004C" w:rsidRPr="006D5148" w:rsidP="004B0196" w14:paraId="2BE94C9D" w14:textId="4E0F88ED">
            <w:pPr>
              <w:widowControl/>
              <w:spacing w:after="0" w:line="240" w:lineRule="auto"/>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Lawyers (23-1011)</w:t>
            </w:r>
          </w:p>
        </w:tc>
        <w:tc>
          <w:tcPr>
            <w:tcW w:w="157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6D5148" w14:paraId="4977E8D7" w14:textId="1B231082">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$ 109.44</w:t>
            </w:r>
          </w:p>
        </w:tc>
        <w:tc>
          <w:tcPr>
            <w:tcW w:w="338" w:type="dxa"/>
            <w:gridSpan w:val="2"/>
            <w:vMerge/>
            <w:tcBorders>
              <w:left w:val="single" w:sz="12" w:space="0" w:color="auto"/>
              <w:right w:val="single" w:sz="12" w:space="0" w:color="auto"/>
            </w:tcBorders>
          </w:tcPr>
          <w:p w:rsidR="0031004C" w:rsidRPr="006D5148" w:rsidP="004B0196" w14:paraId="1FAB96E7" w14:textId="77777777">
            <w:pPr>
              <w:widowControl/>
              <w:spacing w:after="0" w:line="240" w:lineRule="auto"/>
              <w:jc w:val="right"/>
              <w:rPr>
                <w:rFonts w:ascii="Times New Roman" w:eastAsia="Times New Roman" w:hAnsi="Times New Roman" w:cs="Times New Roman"/>
                <w:color w:val="000000"/>
                <w:sz w:val="20"/>
                <w:szCs w:val="20"/>
              </w:rPr>
            </w:pPr>
          </w:p>
        </w:tc>
        <w:tc>
          <w:tcPr>
            <w:tcW w:w="124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6D5148" w14:paraId="182C5381" w14:textId="266F8770">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2</w:t>
            </w:r>
          </w:p>
        </w:tc>
        <w:tc>
          <w:tcPr>
            <w:tcW w:w="524" w:type="dxa"/>
            <w:vMerge/>
            <w:tcBorders>
              <w:left w:val="single" w:sz="12" w:space="0" w:color="auto"/>
              <w:right w:val="single" w:sz="12" w:space="0" w:color="auto"/>
            </w:tcBorders>
          </w:tcPr>
          <w:p w:rsidR="0031004C" w:rsidRPr="006D5148" w:rsidP="004B0196" w14:paraId="71C8B94E" w14:textId="77777777">
            <w:pPr>
              <w:widowControl/>
              <w:spacing w:after="0" w:line="240" w:lineRule="auto"/>
              <w:jc w:val="right"/>
              <w:rPr>
                <w:rFonts w:ascii="Times New Roman" w:eastAsia="Times New Roman" w:hAnsi="Times New Roman" w:cs="Times New Roman"/>
                <w:color w:val="000000"/>
                <w:sz w:val="20"/>
                <w:szCs w:val="20"/>
              </w:rPr>
            </w:pPr>
          </w:p>
        </w:tc>
        <w:tc>
          <w:tcPr>
            <w:tcW w:w="157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1004C" w:rsidRPr="006D5148" w:rsidP="006D5148" w14:paraId="778C35B4" w14:textId="11B4F9B8">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 </w:t>
            </w:r>
            <w:r w:rsidRPr="006D5148">
              <w:rPr>
                <w:rFonts w:ascii="Times New Roman" w:eastAsia="Times New Roman" w:hAnsi="Times New Roman" w:cs="Times New Roman"/>
                <w:color w:val="000000"/>
                <w:sz w:val="20"/>
                <w:szCs w:val="20"/>
              </w:rPr>
              <w:t>218.88</w:t>
            </w:r>
          </w:p>
        </w:tc>
        <w:tc>
          <w:tcPr>
            <w:tcW w:w="365" w:type="dxa"/>
            <w:vMerge/>
            <w:tcBorders>
              <w:left w:val="single" w:sz="12" w:space="0" w:color="auto"/>
              <w:right w:val="single" w:sz="12" w:space="0" w:color="auto"/>
            </w:tcBorders>
          </w:tcPr>
          <w:p w:rsidR="0031004C" w:rsidRPr="006D5148" w:rsidP="004B0196" w14:paraId="5B0CC199" w14:textId="71AF3E41">
            <w:pPr>
              <w:widowControl/>
              <w:spacing w:after="0" w:line="240" w:lineRule="auto"/>
              <w:jc w:val="right"/>
              <w:rPr>
                <w:rFonts w:ascii="Times New Roman" w:eastAsia="Times New Roman" w:hAnsi="Times New Roman" w:cs="Times New Roman"/>
                <w:color w:val="000000"/>
                <w:sz w:val="20"/>
                <w:szCs w:val="20"/>
              </w:rPr>
            </w:pPr>
          </w:p>
        </w:tc>
        <w:tc>
          <w:tcPr>
            <w:tcW w:w="12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1004C" w:rsidRPr="006D5148" w:rsidP="006D5148" w14:paraId="58F54349" w14:textId="388B8226">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100</w:t>
            </w:r>
          </w:p>
        </w:tc>
        <w:tc>
          <w:tcPr>
            <w:tcW w:w="379" w:type="dxa"/>
            <w:vMerge/>
            <w:tcBorders>
              <w:left w:val="single" w:sz="12" w:space="0" w:color="auto"/>
              <w:right w:val="single" w:sz="12" w:space="0" w:color="auto"/>
            </w:tcBorders>
          </w:tcPr>
          <w:p w:rsidR="0031004C" w:rsidRPr="006D5148" w:rsidP="004B0196" w14:paraId="3D371BF2" w14:textId="24146362">
            <w:pPr>
              <w:widowControl/>
              <w:spacing w:after="0" w:line="240" w:lineRule="auto"/>
              <w:rPr>
                <w:rFonts w:ascii="Times New Roman" w:eastAsia="Times New Roman" w:hAnsi="Times New Roman" w:cs="Times New Roman"/>
                <w:color w:val="000000"/>
                <w:sz w:val="20"/>
                <w:szCs w:val="20"/>
              </w:rPr>
            </w:pPr>
          </w:p>
        </w:tc>
        <w:tc>
          <w:tcPr>
            <w:tcW w:w="145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4B0196" w14:paraId="54231BF6" w14:textId="2316D005">
            <w:pPr>
              <w:widowControl/>
              <w:spacing w:after="0" w:line="240" w:lineRule="auto"/>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 $ 21,888.00 </w:t>
            </w:r>
          </w:p>
        </w:tc>
      </w:tr>
      <w:tr w14:paraId="5C9AE6E5" w14:textId="77777777" w:rsidTr="006D5148">
        <w:tblPrEx>
          <w:tblW w:w="10882" w:type="dxa"/>
          <w:tblInd w:w="-555" w:type="dxa"/>
          <w:tblLook w:val="04A0"/>
        </w:tblPrEx>
        <w:trPr>
          <w:trHeight w:val="574"/>
        </w:trPr>
        <w:tc>
          <w:tcPr>
            <w:tcW w:w="2140"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31004C" w:rsidRPr="006D5148" w:rsidP="004B0196" w14:paraId="00E0E1FC" w14:textId="0C63D06D">
            <w:pPr>
              <w:widowControl/>
              <w:spacing w:after="0" w:line="240" w:lineRule="auto"/>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Office Clerks, General </w:t>
            </w:r>
            <w:r w:rsidRPr="006D5148" w:rsidR="006C78D8">
              <w:rPr>
                <w:rFonts w:ascii="Times New Roman" w:eastAsia="Times New Roman" w:hAnsi="Times New Roman" w:cs="Times New Roman"/>
                <w:color w:val="000000"/>
                <w:sz w:val="20"/>
                <w:szCs w:val="20"/>
              </w:rPr>
              <w:t xml:space="preserve"> </w:t>
            </w:r>
            <w:r w:rsidRPr="006D5148">
              <w:rPr>
                <w:rFonts w:ascii="Times New Roman" w:eastAsia="Times New Roman" w:hAnsi="Times New Roman" w:cs="Times New Roman"/>
                <w:color w:val="000000"/>
                <w:sz w:val="20"/>
                <w:szCs w:val="20"/>
              </w:rPr>
              <w:t xml:space="preserve">(43-9061) </w:t>
            </w:r>
          </w:p>
        </w:tc>
        <w:tc>
          <w:tcPr>
            <w:tcW w:w="157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6D5148" w14:paraId="0FB1FC3E" w14:textId="7417139A">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$ 27.01</w:t>
            </w:r>
          </w:p>
        </w:tc>
        <w:tc>
          <w:tcPr>
            <w:tcW w:w="338" w:type="dxa"/>
            <w:gridSpan w:val="2"/>
            <w:vMerge/>
            <w:tcBorders>
              <w:left w:val="single" w:sz="12" w:space="0" w:color="auto"/>
              <w:right w:val="single" w:sz="12" w:space="0" w:color="auto"/>
            </w:tcBorders>
          </w:tcPr>
          <w:p w:rsidR="0031004C" w:rsidRPr="006D5148" w:rsidP="004B0196" w14:paraId="76648BE3" w14:textId="77777777">
            <w:pPr>
              <w:widowControl/>
              <w:spacing w:after="0" w:line="240" w:lineRule="auto"/>
              <w:jc w:val="right"/>
              <w:rPr>
                <w:rFonts w:ascii="Times New Roman" w:eastAsia="Times New Roman" w:hAnsi="Times New Roman" w:cs="Times New Roman"/>
                <w:color w:val="000000"/>
                <w:sz w:val="20"/>
                <w:szCs w:val="20"/>
              </w:rPr>
            </w:pPr>
          </w:p>
        </w:tc>
        <w:tc>
          <w:tcPr>
            <w:tcW w:w="124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6D5148" w14:paraId="3A26A161" w14:textId="14C8CCC6">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1</w:t>
            </w:r>
          </w:p>
        </w:tc>
        <w:tc>
          <w:tcPr>
            <w:tcW w:w="524" w:type="dxa"/>
            <w:vMerge/>
            <w:tcBorders>
              <w:left w:val="single" w:sz="12" w:space="0" w:color="auto"/>
              <w:right w:val="single" w:sz="12" w:space="0" w:color="auto"/>
            </w:tcBorders>
          </w:tcPr>
          <w:p w:rsidR="0031004C" w:rsidRPr="006D5148" w:rsidP="004B0196" w14:paraId="28F50D13" w14:textId="77777777">
            <w:pPr>
              <w:widowControl/>
              <w:spacing w:after="0" w:line="240" w:lineRule="auto"/>
              <w:jc w:val="right"/>
              <w:rPr>
                <w:rFonts w:ascii="Times New Roman" w:eastAsia="Times New Roman" w:hAnsi="Times New Roman" w:cs="Times New Roman"/>
                <w:color w:val="000000"/>
                <w:sz w:val="20"/>
                <w:szCs w:val="20"/>
              </w:rPr>
            </w:pPr>
          </w:p>
        </w:tc>
        <w:tc>
          <w:tcPr>
            <w:tcW w:w="157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1004C" w:rsidRPr="006D5148" w:rsidP="006D5148" w14:paraId="7709CB52" w14:textId="3601AD35">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 </w:t>
            </w:r>
            <w:r w:rsidRPr="006D5148">
              <w:rPr>
                <w:rFonts w:ascii="Times New Roman" w:eastAsia="Times New Roman" w:hAnsi="Times New Roman" w:cs="Times New Roman"/>
                <w:color w:val="000000"/>
                <w:sz w:val="20"/>
                <w:szCs w:val="20"/>
              </w:rPr>
              <w:t>27.01</w:t>
            </w:r>
          </w:p>
        </w:tc>
        <w:tc>
          <w:tcPr>
            <w:tcW w:w="365" w:type="dxa"/>
            <w:vMerge/>
            <w:tcBorders>
              <w:left w:val="single" w:sz="12" w:space="0" w:color="auto"/>
              <w:right w:val="single" w:sz="12" w:space="0" w:color="auto"/>
            </w:tcBorders>
          </w:tcPr>
          <w:p w:rsidR="0031004C" w:rsidRPr="006D5148" w:rsidP="004B0196" w14:paraId="2D073655" w14:textId="77777777">
            <w:pPr>
              <w:widowControl/>
              <w:spacing w:after="0" w:line="240" w:lineRule="auto"/>
              <w:jc w:val="right"/>
              <w:rPr>
                <w:rFonts w:ascii="Times New Roman" w:eastAsia="Times New Roman" w:hAnsi="Times New Roman" w:cs="Times New Roman"/>
                <w:color w:val="000000"/>
                <w:sz w:val="20"/>
                <w:szCs w:val="20"/>
              </w:rPr>
            </w:pPr>
          </w:p>
        </w:tc>
        <w:tc>
          <w:tcPr>
            <w:tcW w:w="12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1004C" w:rsidRPr="006D5148" w:rsidP="006D5148" w14:paraId="4DC9F4C3" w14:textId="136BE39A">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50</w:t>
            </w:r>
          </w:p>
        </w:tc>
        <w:tc>
          <w:tcPr>
            <w:tcW w:w="379" w:type="dxa"/>
            <w:vMerge/>
            <w:tcBorders>
              <w:left w:val="single" w:sz="12" w:space="0" w:color="auto"/>
              <w:right w:val="single" w:sz="12" w:space="0" w:color="auto"/>
            </w:tcBorders>
          </w:tcPr>
          <w:p w:rsidR="0031004C" w:rsidRPr="006D5148" w:rsidP="004B0196" w14:paraId="27E797CA" w14:textId="77777777">
            <w:pPr>
              <w:widowControl/>
              <w:spacing w:after="0" w:line="240" w:lineRule="auto"/>
              <w:rPr>
                <w:rFonts w:ascii="Times New Roman" w:eastAsia="Times New Roman" w:hAnsi="Times New Roman" w:cs="Times New Roman"/>
                <w:color w:val="000000"/>
                <w:sz w:val="20"/>
                <w:szCs w:val="20"/>
              </w:rPr>
            </w:pPr>
          </w:p>
        </w:tc>
        <w:tc>
          <w:tcPr>
            <w:tcW w:w="145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4B0196" w14:paraId="57BFACF0" w14:textId="0637DB60">
            <w:pPr>
              <w:widowControl/>
              <w:spacing w:after="0" w:line="240" w:lineRule="auto"/>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 $   1,350.50 </w:t>
            </w:r>
          </w:p>
        </w:tc>
      </w:tr>
      <w:tr w14:paraId="030904E6" w14:textId="77777777" w:rsidTr="00D27B1E">
        <w:tblPrEx>
          <w:tblW w:w="10882" w:type="dxa"/>
          <w:tblInd w:w="-555" w:type="dxa"/>
          <w:tblLook w:val="04A0"/>
        </w:tblPrEx>
        <w:trPr>
          <w:trHeight w:val="861"/>
        </w:trPr>
        <w:tc>
          <w:tcPr>
            <w:tcW w:w="2140"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31004C" w:rsidRPr="006D5148" w:rsidP="004B0196" w14:paraId="7749ABB4" w14:textId="454D2A89">
            <w:pPr>
              <w:widowControl/>
              <w:spacing w:after="0" w:line="240" w:lineRule="auto"/>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Office and Administrative Support Workers, All Other </w:t>
            </w:r>
            <w:r w:rsidRPr="006D5148" w:rsidR="006C78D8">
              <w:rPr>
                <w:rFonts w:ascii="Times New Roman" w:eastAsia="Times New Roman" w:hAnsi="Times New Roman" w:cs="Times New Roman"/>
                <w:color w:val="000000"/>
                <w:sz w:val="20"/>
                <w:szCs w:val="20"/>
              </w:rPr>
              <w:t xml:space="preserve"> </w:t>
            </w:r>
            <w:r w:rsidRPr="006D5148">
              <w:rPr>
                <w:rFonts w:ascii="Times New Roman" w:eastAsia="Times New Roman" w:hAnsi="Times New Roman" w:cs="Times New Roman"/>
                <w:color w:val="000000"/>
                <w:sz w:val="20"/>
                <w:szCs w:val="20"/>
              </w:rPr>
              <w:t xml:space="preserve">(43-9199) </w:t>
            </w:r>
          </w:p>
        </w:tc>
        <w:tc>
          <w:tcPr>
            <w:tcW w:w="157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6D5148" w14:paraId="056DF6BC" w14:textId="184E598C">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$ 28.91</w:t>
            </w:r>
          </w:p>
        </w:tc>
        <w:tc>
          <w:tcPr>
            <w:tcW w:w="338" w:type="dxa"/>
            <w:gridSpan w:val="2"/>
            <w:vMerge/>
            <w:tcBorders>
              <w:left w:val="single" w:sz="12" w:space="0" w:color="auto"/>
              <w:bottom w:val="single" w:sz="12" w:space="0" w:color="auto"/>
              <w:right w:val="single" w:sz="12" w:space="0" w:color="auto"/>
            </w:tcBorders>
          </w:tcPr>
          <w:p w:rsidR="0031004C" w:rsidRPr="006D5148" w:rsidP="004B0196" w14:paraId="58F039A0" w14:textId="77777777">
            <w:pPr>
              <w:widowControl/>
              <w:spacing w:after="0" w:line="240" w:lineRule="auto"/>
              <w:jc w:val="right"/>
              <w:rPr>
                <w:rFonts w:ascii="Times New Roman" w:eastAsia="Times New Roman" w:hAnsi="Times New Roman" w:cs="Times New Roman"/>
                <w:color w:val="000000"/>
                <w:sz w:val="20"/>
                <w:szCs w:val="20"/>
              </w:rPr>
            </w:pPr>
          </w:p>
        </w:tc>
        <w:tc>
          <w:tcPr>
            <w:tcW w:w="124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6D5148" w14:paraId="669F2C03" w14:textId="0A577A01">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1</w:t>
            </w:r>
          </w:p>
        </w:tc>
        <w:tc>
          <w:tcPr>
            <w:tcW w:w="524" w:type="dxa"/>
            <w:vMerge/>
            <w:tcBorders>
              <w:left w:val="single" w:sz="12" w:space="0" w:color="auto"/>
              <w:bottom w:val="single" w:sz="12" w:space="0" w:color="auto"/>
              <w:right w:val="single" w:sz="12" w:space="0" w:color="auto"/>
            </w:tcBorders>
          </w:tcPr>
          <w:p w:rsidR="0031004C" w:rsidRPr="006D5148" w:rsidP="004B0196" w14:paraId="07EAA4FD" w14:textId="77777777">
            <w:pPr>
              <w:widowControl/>
              <w:spacing w:after="0" w:line="240" w:lineRule="auto"/>
              <w:jc w:val="right"/>
              <w:rPr>
                <w:rFonts w:ascii="Times New Roman" w:eastAsia="Times New Roman" w:hAnsi="Times New Roman" w:cs="Times New Roman"/>
                <w:color w:val="000000"/>
                <w:sz w:val="20"/>
                <w:szCs w:val="20"/>
              </w:rPr>
            </w:pPr>
          </w:p>
        </w:tc>
        <w:tc>
          <w:tcPr>
            <w:tcW w:w="157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1004C" w:rsidRPr="006D5148" w:rsidP="006D5148" w14:paraId="03686541" w14:textId="7E934EFA">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 </w:t>
            </w:r>
            <w:r w:rsidRPr="006D5148">
              <w:rPr>
                <w:rFonts w:ascii="Times New Roman" w:eastAsia="Times New Roman" w:hAnsi="Times New Roman" w:cs="Times New Roman"/>
                <w:color w:val="000000"/>
                <w:sz w:val="20"/>
                <w:szCs w:val="20"/>
              </w:rPr>
              <w:t>28.91</w:t>
            </w:r>
          </w:p>
        </w:tc>
        <w:tc>
          <w:tcPr>
            <w:tcW w:w="365" w:type="dxa"/>
            <w:vMerge/>
            <w:tcBorders>
              <w:left w:val="single" w:sz="12" w:space="0" w:color="auto"/>
              <w:bottom w:val="single" w:sz="12" w:space="0" w:color="auto"/>
              <w:right w:val="single" w:sz="12" w:space="0" w:color="auto"/>
            </w:tcBorders>
          </w:tcPr>
          <w:p w:rsidR="0031004C" w:rsidRPr="006D5148" w:rsidP="004B0196" w14:paraId="32799F7B" w14:textId="77777777">
            <w:pPr>
              <w:widowControl/>
              <w:spacing w:after="0" w:line="240" w:lineRule="auto"/>
              <w:jc w:val="right"/>
              <w:rPr>
                <w:rFonts w:ascii="Times New Roman" w:eastAsia="Times New Roman" w:hAnsi="Times New Roman" w:cs="Times New Roman"/>
                <w:color w:val="000000"/>
                <w:sz w:val="20"/>
                <w:szCs w:val="20"/>
              </w:rPr>
            </w:pPr>
          </w:p>
        </w:tc>
        <w:tc>
          <w:tcPr>
            <w:tcW w:w="12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1004C" w:rsidRPr="006D5148" w:rsidP="006D5148" w14:paraId="5701333F" w14:textId="08BC14E1">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50</w:t>
            </w:r>
          </w:p>
        </w:tc>
        <w:tc>
          <w:tcPr>
            <w:tcW w:w="379" w:type="dxa"/>
            <w:vMerge/>
            <w:tcBorders>
              <w:left w:val="single" w:sz="12" w:space="0" w:color="auto"/>
              <w:bottom w:val="single" w:sz="12" w:space="0" w:color="auto"/>
              <w:right w:val="single" w:sz="12" w:space="0" w:color="auto"/>
            </w:tcBorders>
          </w:tcPr>
          <w:p w:rsidR="0031004C" w:rsidRPr="006D5148" w:rsidP="004B0196" w14:paraId="5825F454" w14:textId="77777777">
            <w:pPr>
              <w:widowControl/>
              <w:spacing w:after="0" w:line="240" w:lineRule="auto"/>
              <w:rPr>
                <w:rFonts w:ascii="Times New Roman" w:eastAsia="Times New Roman" w:hAnsi="Times New Roman" w:cs="Times New Roman"/>
                <w:color w:val="000000"/>
                <w:sz w:val="20"/>
                <w:szCs w:val="20"/>
              </w:rPr>
            </w:pPr>
          </w:p>
        </w:tc>
        <w:tc>
          <w:tcPr>
            <w:tcW w:w="145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4B0196" w14:paraId="6417E069" w14:textId="7AB6F6C6">
            <w:pPr>
              <w:widowControl/>
              <w:spacing w:after="0" w:line="240" w:lineRule="auto"/>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 $   1,445.50 </w:t>
            </w:r>
          </w:p>
        </w:tc>
      </w:tr>
      <w:tr w14:paraId="2440E85A" w14:textId="77777777" w:rsidTr="006D5148">
        <w:tblPrEx>
          <w:tblW w:w="10882" w:type="dxa"/>
          <w:tblInd w:w="-555" w:type="dxa"/>
          <w:tblLook w:val="04A0"/>
        </w:tblPrEx>
        <w:trPr>
          <w:trHeight w:val="287"/>
        </w:trPr>
        <w:tc>
          <w:tcPr>
            <w:tcW w:w="2140" w:type="dxa"/>
            <w:tcBorders>
              <w:top w:val="single" w:sz="12" w:space="0" w:color="auto"/>
              <w:left w:val="nil"/>
              <w:bottom w:val="nil"/>
              <w:right w:val="nil"/>
            </w:tcBorders>
            <w:shd w:val="clear" w:color="auto" w:fill="auto"/>
            <w:vAlign w:val="bottom"/>
            <w:hideMark/>
          </w:tcPr>
          <w:p w:rsidR="0031004C" w:rsidRPr="006D5148" w:rsidP="004B0196" w14:paraId="0C0D9C7D" w14:textId="77777777">
            <w:pPr>
              <w:widowControl/>
              <w:spacing w:after="0" w:line="240" w:lineRule="auto"/>
              <w:rPr>
                <w:rFonts w:ascii="Times New Roman" w:eastAsia="Times New Roman" w:hAnsi="Times New Roman" w:cs="Times New Roman"/>
                <w:color w:val="000000"/>
                <w:sz w:val="20"/>
                <w:szCs w:val="20"/>
              </w:rPr>
            </w:pPr>
          </w:p>
        </w:tc>
        <w:tc>
          <w:tcPr>
            <w:tcW w:w="1573" w:type="dxa"/>
            <w:tcBorders>
              <w:top w:val="single" w:sz="12" w:space="0" w:color="auto"/>
              <w:left w:val="nil"/>
              <w:bottom w:val="nil"/>
              <w:right w:val="nil"/>
            </w:tcBorders>
            <w:shd w:val="clear" w:color="auto" w:fill="auto"/>
            <w:noWrap/>
            <w:vAlign w:val="bottom"/>
            <w:hideMark/>
          </w:tcPr>
          <w:p w:rsidR="0031004C" w:rsidRPr="00D27B1E" w:rsidP="004B0196" w14:paraId="048D58DF" w14:textId="77777777">
            <w:pPr>
              <w:widowControl/>
              <w:spacing w:after="0" w:line="240" w:lineRule="auto"/>
              <w:rPr>
                <w:rFonts w:ascii="Times New Roman" w:eastAsia="Times New Roman" w:hAnsi="Times New Roman" w:cs="Times New Roman"/>
                <w:sz w:val="20"/>
                <w:szCs w:val="20"/>
              </w:rPr>
            </w:pPr>
          </w:p>
        </w:tc>
        <w:tc>
          <w:tcPr>
            <w:tcW w:w="329" w:type="dxa"/>
            <w:tcBorders>
              <w:top w:val="single" w:sz="12" w:space="0" w:color="auto"/>
              <w:left w:val="nil"/>
              <w:bottom w:val="nil"/>
              <w:right w:val="single" w:sz="12" w:space="0" w:color="auto"/>
            </w:tcBorders>
          </w:tcPr>
          <w:p w:rsidR="0031004C" w:rsidRPr="006D5148" w:rsidP="004B0196" w14:paraId="25C9CF91" w14:textId="77777777">
            <w:pPr>
              <w:widowControl/>
              <w:spacing w:after="0" w:line="240" w:lineRule="auto"/>
              <w:rPr>
                <w:rFonts w:ascii="Times New Roman" w:eastAsia="Times New Roman" w:hAnsi="Times New Roman" w:cs="Times New Roman"/>
                <w:sz w:val="20"/>
                <w:szCs w:val="20"/>
              </w:rPr>
            </w:pPr>
          </w:p>
        </w:tc>
        <w:tc>
          <w:tcPr>
            <w:tcW w:w="371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1004C" w:rsidRPr="006D5148" w:rsidP="006D5148" w14:paraId="2500DD05" w14:textId="055262D2">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sz w:val="20"/>
                <w:szCs w:val="20"/>
              </w:rPr>
              <w:t>TOTAL</w:t>
            </w:r>
          </w:p>
        </w:tc>
        <w:tc>
          <w:tcPr>
            <w:tcW w:w="12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31004C" w:rsidRPr="006D5148" w:rsidP="006D5148" w14:paraId="2E70DEF8" w14:textId="7EE7FDCF">
            <w:pPr>
              <w:widowControl/>
              <w:spacing w:after="0" w:line="240" w:lineRule="auto"/>
              <w:jc w:val="center"/>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750</w:t>
            </w:r>
          </w:p>
        </w:tc>
        <w:tc>
          <w:tcPr>
            <w:tcW w:w="379" w:type="dxa"/>
            <w:tcBorders>
              <w:top w:val="single" w:sz="12" w:space="0" w:color="auto"/>
              <w:left w:val="single" w:sz="12" w:space="0" w:color="auto"/>
              <w:bottom w:val="single" w:sz="12" w:space="0" w:color="auto"/>
              <w:right w:val="single" w:sz="12" w:space="0" w:color="auto"/>
            </w:tcBorders>
          </w:tcPr>
          <w:p w:rsidR="0031004C" w:rsidRPr="006D5148" w:rsidP="004B0196" w14:paraId="00813D64" w14:textId="77777777">
            <w:pPr>
              <w:widowControl/>
              <w:spacing w:after="0" w:line="240" w:lineRule="auto"/>
              <w:rPr>
                <w:rFonts w:ascii="Times New Roman" w:eastAsia="Times New Roman" w:hAnsi="Times New Roman" w:cs="Times New Roman"/>
                <w:color w:val="000000"/>
                <w:sz w:val="20"/>
                <w:szCs w:val="20"/>
              </w:rPr>
            </w:pPr>
          </w:p>
        </w:tc>
        <w:tc>
          <w:tcPr>
            <w:tcW w:w="145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1004C" w:rsidRPr="006D5148" w:rsidP="004B0196" w14:paraId="3B269FBE" w14:textId="431B11A8">
            <w:pPr>
              <w:widowControl/>
              <w:spacing w:after="0" w:line="240" w:lineRule="auto"/>
              <w:rPr>
                <w:rFonts w:ascii="Times New Roman" w:eastAsia="Times New Roman" w:hAnsi="Times New Roman" w:cs="Times New Roman"/>
                <w:color w:val="000000"/>
                <w:sz w:val="20"/>
                <w:szCs w:val="20"/>
              </w:rPr>
            </w:pPr>
            <w:r w:rsidRPr="006D5148">
              <w:rPr>
                <w:rFonts w:ascii="Times New Roman" w:eastAsia="Times New Roman" w:hAnsi="Times New Roman" w:cs="Times New Roman"/>
                <w:color w:val="000000"/>
                <w:sz w:val="20"/>
                <w:szCs w:val="20"/>
              </w:rPr>
              <w:t xml:space="preserve"> $ 83,889.25 </w:t>
            </w:r>
          </w:p>
        </w:tc>
      </w:tr>
    </w:tbl>
    <w:p w:rsidR="00FA639F" w:rsidRPr="00753B1C" w:rsidP="006D5148" w14:paraId="2734A7B1" w14:textId="77777777">
      <w:pPr>
        <w:tabs>
          <w:tab w:val="left" w:pos="900"/>
        </w:tabs>
        <w:spacing w:after="0" w:line="280" w:lineRule="exact"/>
        <w:ind w:right="20"/>
        <w:rPr>
          <w:rFonts w:ascii="Times New Roman" w:eastAsia="Times New Roman" w:hAnsi="Times New Roman" w:cs="Times New Roman"/>
          <w:i/>
          <w:sz w:val="24"/>
          <w:szCs w:val="24"/>
        </w:rPr>
      </w:pPr>
    </w:p>
    <w:p w:rsidR="009C195F" w:rsidRPr="008F0887" w:rsidP="006D5148" w14:paraId="19C899D3" w14:textId="75E323B4">
      <w:pPr>
        <w:pStyle w:val="ListParagraph"/>
        <w:numPr>
          <w:ilvl w:val="0"/>
          <w:numId w:val="8"/>
        </w:numPr>
      </w:pPr>
      <w:r w:rsidRPr="006D5148">
        <w:rPr>
          <w:rFonts w:ascii="Times New Roman" w:hAnsi="Times New Roman" w:cs="Times New Roman"/>
          <w:b/>
          <w:bCs/>
          <w:sz w:val="24"/>
          <w:szCs w:val="24"/>
        </w:rPr>
        <w:t>E</w:t>
      </w:r>
      <w:r w:rsidRPr="006D5148" w:rsidR="00B76C72">
        <w:rPr>
          <w:rFonts w:ascii="Times New Roman" w:hAnsi="Times New Roman" w:cs="Times New Roman"/>
          <w:b/>
          <w:bCs/>
          <w:sz w:val="24"/>
          <w:szCs w:val="24"/>
        </w:rPr>
        <w:t xml:space="preserve">stimate of </w:t>
      </w:r>
      <w:r w:rsidRPr="006D5148">
        <w:rPr>
          <w:rFonts w:ascii="Times New Roman" w:hAnsi="Times New Roman" w:cs="Times New Roman"/>
          <w:b/>
          <w:bCs/>
          <w:sz w:val="24"/>
          <w:szCs w:val="24"/>
        </w:rPr>
        <w:t xml:space="preserve">Total Annual Cost Burden </w:t>
      </w:r>
      <w:r w:rsidRPr="006D5148" w:rsidR="00B76C72">
        <w:rPr>
          <w:rFonts w:ascii="Times New Roman" w:hAnsi="Times New Roman" w:cs="Times New Roman"/>
          <w:b/>
          <w:bCs/>
          <w:sz w:val="24"/>
          <w:szCs w:val="24"/>
        </w:rPr>
        <w:t xml:space="preserve">to </w:t>
      </w:r>
      <w:r w:rsidRPr="006D5148">
        <w:rPr>
          <w:rFonts w:ascii="Times New Roman" w:hAnsi="Times New Roman" w:cs="Times New Roman"/>
          <w:b/>
          <w:bCs/>
          <w:sz w:val="24"/>
          <w:szCs w:val="24"/>
        </w:rPr>
        <w:t>R</w:t>
      </w:r>
      <w:r w:rsidRPr="006D5148" w:rsidR="00B76C72">
        <w:rPr>
          <w:rFonts w:ascii="Times New Roman" w:hAnsi="Times New Roman" w:cs="Times New Roman"/>
          <w:b/>
          <w:bCs/>
          <w:sz w:val="24"/>
          <w:szCs w:val="24"/>
        </w:rPr>
        <w:t>espondents</w:t>
      </w:r>
      <w:r w:rsidRPr="006D5148">
        <w:rPr>
          <w:rFonts w:ascii="Times New Roman" w:hAnsi="Times New Roman" w:cs="Times New Roman"/>
          <w:b/>
          <w:bCs/>
          <w:sz w:val="24"/>
          <w:szCs w:val="24"/>
        </w:rPr>
        <w:t xml:space="preserve"> and/or Record Keepers</w:t>
      </w:r>
    </w:p>
    <w:p w:rsidR="009C195F" w:rsidP="005346D8" w14:paraId="3FC1E10F" w14:textId="77777777">
      <w:pPr>
        <w:tabs>
          <w:tab w:val="left" w:pos="900"/>
        </w:tabs>
        <w:spacing w:after="0" w:line="280" w:lineRule="exact"/>
        <w:ind w:left="900" w:right="20" w:hanging="450"/>
        <w:rPr>
          <w:rFonts w:ascii="Times New Roman" w:eastAsia="Times New Roman" w:hAnsi="Times New Roman" w:cs="Times New Roman"/>
          <w:sz w:val="24"/>
          <w:szCs w:val="24"/>
        </w:rPr>
      </w:pPr>
    </w:p>
    <w:p w:rsidR="008F0887" w:rsidP="00D27B1E" w14:paraId="52F28159" w14:textId="28CB237F">
      <w:pPr>
        <w:pStyle w:val="ListParagraph"/>
        <w:numPr>
          <w:ilvl w:val="0"/>
          <w:numId w:val="13"/>
        </w:numPr>
        <w:tabs>
          <w:tab w:val="left" w:pos="900"/>
          <w:tab w:val="left" w:pos="1350"/>
        </w:tabs>
        <w:spacing w:after="0" w:line="280" w:lineRule="exact"/>
        <w:ind w:left="990" w:right="20"/>
        <w:rPr>
          <w:rFonts w:ascii="Times New Roman" w:eastAsia="Times New Roman" w:hAnsi="Times New Roman" w:cs="Times New Roman"/>
          <w:iCs/>
          <w:sz w:val="24"/>
          <w:szCs w:val="24"/>
        </w:rPr>
      </w:pPr>
      <w:r>
        <w:rPr>
          <w:rFonts w:ascii="Times New Roman" w:eastAsia="Times New Roman" w:hAnsi="Times New Roman" w:cs="Times New Roman"/>
          <w:i/>
          <w:sz w:val="24"/>
          <w:szCs w:val="24"/>
        </w:rPr>
        <w:t xml:space="preserve"> </w:t>
      </w:r>
      <w:r w:rsidRPr="006D5148" w:rsidR="009C195F">
        <w:rPr>
          <w:rFonts w:ascii="Times New Roman" w:eastAsia="Times New Roman" w:hAnsi="Times New Roman" w:cs="Times New Roman"/>
          <w:b/>
          <w:bCs/>
          <w:iCs/>
          <w:sz w:val="24"/>
          <w:szCs w:val="24"/>
        </w:rPr>
        <w:t xml:space="preserve">The </w:t>
      </w:r>
      <w:r w:rsidRPr="006D5148">
        <w:rPr>
          <w:rFonts w:ascii="Times New Roman" w:eastAsia="Times New Roman" w:hAnsi="Times New Roman" w:cs="Times New Roman"/>
          <w:b/>
          <w:bCs/>
          <w:iCs/>
          <w:sz w:val="24"/>
          <w:szCs w:val="24"/>
        </w:rPr>
        <w:t>Estimated Annual Cost</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iCs/>
          <w:sz w:val="24"/>
          <w:szCs w:val="24"/>
        </w:rPr>
        <w:t>The total annual cost</w:t>
      </w:r>
      <w:r w:rsidRPr="006D5148" w:rsidR="009C195F">
        <w:rPr>
          <w:rFonts w:ascii="Times New Roman" w:eastAsia="Times New Roman" w:hAnsi="Times New Roman" w:cs="Times New Roman"/>
          <w:iCs/>
          <w:sz w:val="24"/>
          <w:szCs w:val="24"/>
        </w:rPr>
        <w:t xml:space="preserve"> for respondents </w:t>
      </w:r>
      <w:r>
        <w:rPr>
          <w:rFonts w:ascii="Times New Roman" w:eastAsia="Times New Roman" w:hAnsi="Times New Roman" w:cs="Times New Roman"/>
          <w:iCs/>
          <w:sz w:val="24"/>
          <w:szCs w:val="24"/>
        </w:rPr>
        <w:t xml:space="preserve">to respond to this collection </w:t>
      </w:r>
      <w:r w:rsidRPr="006D5148" w:rsidR="009C195F">
        <w:rPr>
          <w:rFonts w:ascii="Times New Roman" w:eastAsia="Times New Roman" w:hAnsi="Times New Roman" w:cs="Times New Roman"/>
          <w:iCs/>
          <w:sz w:val="24"/>
          <w:szCs w:val="24"/>
        </w:rPr>
        <w:t>is $</w:t>
      </w:r>
      <w:r w:rsidRPr="006D5148">
        <w:rPr>
          <w:rFonts w:ascii="Times New Roman" w:eastAsia="Times New Roman" w:hAnsi="Times New Roman" w:cs="Times New Roman"/>
          <w:iCs/>
          <w:sz w:val="24"/>
          <w:szCs w:val="24"/>
        </w:rPr>
        <w:t>25,000</w:t>
      </w:r>
      <w:r>
        <w:rPr>
          <w:rFonts w:ascii="Times New Roman" w:eastAsia="Times New Roman" w:hAnsi="Times New Roman" w:cs="Times New Roman"/>
          <w:iCs/>
          <w:sz w:val="24"/>
          <w:szCs w:val="24"/>
        </w:rPr>
        <w:t>, which is calculated as follows:</w:t>
      </w:r>
    </w:p>
    <w:p w:rsidR="008F0887" w:rsidP="00D27B1E" w14:paraId="2EBA959E" w14:textId="141D7DEE">
      <w:pPr>
        <w:pStyle w:val="ListParagraph"/>
        <w:tabs>
          <w:tab w:val="left" w:pos="900"/>
          <w:tab w:val="left" w:pos="1350"/>
        </w:tabs>
        <w:spacing w:after="0" w:line="280" w:lineRule="exact"/>
        <w:ind w:left="990" w:right="20"/>
        <w:rPr>
          <w:rFonts w:ascii="Times New Roman" w:eastAsia="Times New Roman" w:hAnsi="Times New Roman" w:cs="Times New Roman"/>
          <w:iCs/>
          <w:sz w:val="24"/>
          <w:szCs w:val="24"/>
        </w:rPr>
      </w:pPr>
    </w:p>
    <w:p w:rsidR="009C195F" w:rsidRPr="006D5148" w:rsidP="006D5148" w14:paraId="0BE3D924" w14:textId="287B14AB">
      <w:pPr>
        <w:pStyle w:val="ListParagraph"/>
        <w:tabs>
          <w:tab w:val="left" w:pos="900"/>
          <w:tab w:val="left" w:pos="1350"/>
        </w:tabs>
        <w:spacing w:after="0" w:line="280" w:lineRule="exact"/>
        <w:ind w:left="990"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 xml:space="preserve">$5,000 </w:t>
      </w:r>
      <w:r w:rsidR="008F0887">
        <w:rPr>
          <w:rFonts w:ascii="Times New Roman" w:eastAsia="Times New Roman" w:hAnsi="Times New Roman" w:cs="Times New Roman"/>
          <w:iCs/>
          <w:sz w:val="24"/>
          <w:szCs w:val="24"/>
        </w:rPr>
        <w:t xml:space="preserve">(Total </w:t>
      </w:r>
      <w:r w:rsidRPr="006D5148">
        <w:rPr>
          <w:rFonts w:ascii="Times New Roman" w:eastAsia="Times New Roman" w:hAnsi="Times New Roman" w:cs="Times New Roman"/>
          <w:iCs/>
          <w:sz w:val="24"/>
          <w:szCs w:val="24"/>
        </w:rPr>
        <w:t>application</w:t>
      </w:r>
      <w:r w:rsidR="008F0887">
        <w:rPr>
          <w:rFonts w:ascii="Times New Roman" w:eastAsia="Times New Roman" w:hAnsi="Times New Roman" w:cs="Times New Roman"/>
          <w:iCs/>
          <w:sz w:val="24"/>
          <w:szCs w:val="24"/>
        </w:rPr>
        <w:t xml:space="preserve"> </w:t>
      </w:r>
      <w:r w:rsidRPr="006D5148">
        <w:rPr>
          <w:rFonts w:ascii="Times New Roman" w:eastAsia="Times New Roman" w:hAnsi="Times New Roman" w:cs="Times New Roman"/>
          <w:iCs/>
          <w:sz w:val="24"/>
          <w:szCs w:val="24"/>
        </w:rPr>
        <w:t>fee per respondent</w:t>
      </w:r>
      <w:r w:rsidR="008F0887">
        <w:rPr>
          <w:rFonts w:ascii="Times New Roman" w:eastAsia="Times New Roman" w:hAnsi="Times New Roman" w:cs="Times New Roman"/>
          <w:iCs/>
          <w:sz w:val="24"/>
          <w:szCs w:val="24"/>
        </w:rPr>
        <w:t xml:space="preserve">) * </w:t>
      </w:r>
      <w:r w:rsidRPr="006D5148">
        <w:rPr>
          <w:rFonts w:ascii="Times New Roman" w:eastAsia="Times New Roman" w:hAnsi="Times New Roman" w:cs="Times New Roman"/>
          <w:iCs/>
          <w:sz w:val="24"/>
          <w:szCs w:val="24"/>
        </w:rPr>
        <w:t xml:space="preserve"> </w:t>
      </w:r>
      <w:r w:rsidRPr="006D5148" w:rsidR="008F0887">
        <w:rPr>
          <w:rFonts w:ascii="Times New Roman" w:eastAsia="Times New Roman" w:hAnsi="Times New Roman" w:cs="Times New Roman"/>
          <w:iCs/>
          <w:sz w:val="24"/>
          <w:szCs w:val="24"/>
        </w:rPr>
        <w:t>5</w:t>
      </w:r>
      <w:r w:rsidR="008F0887">
        <w:rPr>
          <w:rFonts w:ascii="Times New Roman" w:eastAsia="Times New Roman" w:hAnsi="Times New Roman" w:cs="Times New Roman"/>
          <w:iCs/>
          <w:sz w:val="24"/>
          <w:szCs w:val="24"/>
        </w:rPr>
        <w:t xml:space="preserve"> (Total respondents</w:t>
      </w:r>
      <w:r w:rsidRPr="006D5148">
        <w:rPr>
          <w:rFonts w:ascii="Times New Roman" w:eastAsia="Times New Roman" w:hAnsi="Times New Roman" w:cs="Times New Roman"/>
          <w:iCs/>
          <w:sz w:val="24"/>
          <w:szCs w:val="24"/>
        </w:rPr>
        <w:t>)</w:t>
      </w:r>
      <w:r w:rsidR="008F0887">
        <w:rPr>
          <w:rFonts w:ascii="Times New Roman" w:eastAsia="Times New Roman" w:hAnsi="Times New Roman" w:cs="Times New Roman"/>
          <w:iCs/>
          <w:sz w:val="24"/>
          <w:szCs w:val="24"/>
        </w:rPr>
        <w:t xml:space="preserve"> = $ 25,000.00</w:t>
      </w:r>
    </w:p>
    <w:p w:rsidR="00377D95" w:rsidRPr="006D5148" w:rsidP="009C195F" w14:paraId="3F0DE1A4" w14:textId="77777777">
      <w:pPr>
        <w:tabs>
          <w:tab w:val="left" w:pos="900"/>
          <w:tab w:val="left" w:pos="1350"/>
        </w:tabs>
        <w:spacing w:after="0" w:line="280" w:lineRule="exact"/>
        <w:ind w:left="900"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ab/>
      </w:r>
    </w:p>
    <w:p w:rsidR="00377D95" w:rsidRPr="006D5148" w:rsidP="006D5148" w14:paraId="129626D3" w14:textId="3EE7A1CB">
      <w:pPr>
        <w:pStyle w:val="ListParagraph"/>
        <w:numPr>
          <w:ilvl w:val="0"/>
          <w:numId w:val="13"/>
        </w:numPr>
        <w:tabs>
          <w:tab w:val="left" w:pos="1350"/>
          <w:tab w:val="left" w:pos="1710"/>
          <w:tab w:val="left" w:pos="2160"/>
        </w:tabs>
        <w:spacing w:after="0" w:line="280" w:lineRule="exact"/>
        <w:ind w:left="990" w:right="20"/>
        <w:rPr>
          <w:rFonts w:ascii="Times New Roman" w:eastAsia="Times New Roman" w:hAnsi="Times New Roman" w:cs="Times New Roman"/>
          <w:iCs/>
          <w:sz w:val="24"/>
          <w:szCs w:val="24"/>
        </w:rPr>
      </w:pPr>
      <w:r w:rsidRPr="006D5148">
        <w:rPr>
          <w:rFonts w:ascii="Times New Roman" w:eastAsia="Times New Roman" w:hAnsi="Times New Roman" w:cs="Times New Roman"/>
          <w:b/>
          <w:bCs/>
          <w:iCs/>
          <w:sz w:val="24"/>
          <w:szCs w:val="24"/>
        </w:rPr>
        <w:t>Total Operation and Maintenance and Purchase of Services</w:t>
      </w:r>
      <w:r w:rsidRPr="006D5148" w:rsidR="008F0887">
        <w:rPr>
          <w:rFonts w:ascii="Times New Roman" w:eastAsia="Times New Roman" w:hAnsi="Times New Roman" w:cs="Times New Roman"/>
          <w:b/>
          <w:bCs/>
          <w:iCs/>
          <w:sz w:val="24"/>
          <w:szCs w:val="24"/>
        </w:rPr>
        <w:t>:</w:t>
      </w:r>
      <w:r w:rsidR="008F0887">
        <w:rPr>
          <w:rFonts w:ascii="Times New Roman" w:eastAsia="Times New Roman" w:hAnsi="Times New Roman" w:cs="Times New Roman"/>
          <w:iCs/>
          <w:sz w:val="24"/>
          <w:szCs w:val="24"/>
        </w:rPr>
        <w:t xml:space="preserve"> </w:t>
      </w:r>
      <w:r w:rsidRPr="006D5148">
        <w:rPr>
          <w:rFonts w:ascii="Times New Roman" w:eastAsia="Times New Roman" w:hAnsi="Times New Roman" w:cs="Times New Roman"/>
          <w:iCs/>
          <w:sz w:val="24"/>
          <w:szCs w:val="24"/>
        </w:rPr>
        <w:t>There</w:t>
      </w:r>
    </w:p>
    <w:p w:rsidR="000720CA" w:rsidRPr="006D5148" w:rsidP="006D5148" w14:paraId="255C22C1" w14:textId="77777777">
      <w:pPr>
        <w:tabs>
          <w:tab w:val="left" w:pos="1350"/>
        </w:tabs>
        <w:spacing w:after="0" w:line="280" w:lineRule="exact"/>
        <w:ind w:left="990" w:right="20" w:hanging="27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ab/>
      </w:r>
      <w:r w:rsidRPr="006D5148" w:rsidR="009237C0">
        <w:rPr>
          <w:rFonts w:ascii="Times New Roman" w:eastAsia="Times New Roman" w:hAnsi="Times New Roman" w:cs="Times New Roman"/>
          <w:iCs/>
          <w:sz w:val="24"/>
          <w:szCs w:val="24"/>
        </w:rPr>
        <w:t>are no operational and maintenance and/or purchase of service costs associated with this information collection.</w:t>
      </w:r>
    </w:p>
    <w:p w:rsidR="00212F26" w:rsidRPr="00B171A4" w:rsidP="005346D8" w14:paraId="5AADFF22" w14:textId="77777777">
      <w:pPr>
        <w:spacing w:after="0" w:line="280" w:lineRule="exact"/>
        <w:ind w:right="20"/>
        <w:rPr>
          <w:rFonts w:ascii="Times New Roman" w:hAnsi="Times New Roman" w:cs="Times New Roman"/>
          <w:sz w:val="24"/>
          <w:szCs w:val="24"/>
        </w:rPr>
      </w:pPr>
    </w:p>
    <w:p w:rsidR="000720CA" w:rsidRPr="006D5148" w:rsidP="006D5148" w14:paraId="60219DF5" w14:textId="379B9048">
      <w:pPr>
        <w:pStyle w:val="ListParagraph"/>
        <w:numPr>
          <w:ilvl w:val="0"/>
          <w:numId w:val="8"/>
        </w:numPr>
        <w:tabs>
          <w:tab w:val="left" w:pos="900"/>
        </w:tabs>
        <w:spacing w:after="0" w:line="280" w:lineRule="exact"/>
        <w:ind w:right="20"/>
        <w:rPr>
          <w:rFonts w:ascii="Times New Roman" w:eastAsia="Times New Roman" w:hAnsi="Times New Roman" w:cs="Times New Roman"/>
          <w:b/>
          <w:bCs/>
          <w:sz w:val="24"/>
          <w:szCs w:val="24"/>
        </w:rPr>
      </w:pPr>
      <w:r w:rsidRPr="006D5148">
        <w:rPr>
          <w:rFonts w:ascii="Times New Roman" w:eastAsia="Times New Roman" w:hAnsi="Times New Roman" w:cs="Times New Roman"/>
          <w:b/>
          <w:bCs/>
          <w:sz w:val="24"/>
          <w:szCs w:val="24"/>
        </w:rPr>
        <w:t>Estimate of Federal Government</w:t>
      </w:r>
      <w:r w:rsidR="00B203C6">
        <w:rPr>
          <w:rFonts w:ascii="Times New Roman" w:eastAsia="Times New Roman" w:hAnsi="Times New Roman" w:cs="Times New Roman"/>
          <w:b/>
          <w:bCs/>
          <w:sz w:val="24"/>
          <w:szCs w:val="24"/>
        </w:rPr>
        <w:t xml:space="preserve"> Costs</w:t>
      </w:r>
    </w:p>
    <w:p w:rsidR="000720CA" w:rsidRPr="00B171A4" w:rsidP="005346D8" w14:paraId="04B59B58" w14:textId="77777777">
      <w:pPr>
        <w:tabs>
          <w:tab w:val="left" w:pos="720"/>
        </w:tabs>
        <w:spacing w:after="0" w:line="280" w:lineRule="exact"/>
        <w:ind w:left="720" w:right="20" w:hanging="270"/>
        <w:rPr>
          <w:rFonts w:ascii="Times New Roman" w:eastAsia="Times New Roman" w:hAnsi="Times New Roman" w:cs="Times New Roman"/>
          <w:sz w:val="24"/>
          <w:szCs w:val="24"/>
        </w:rPr>
      </w:pPr>
    </w:p>
    <w:p w:rsidR="000720CA" w:rsidRPr="006D5148" w:rsidP="005346D8" w14:paraId="4615428E" w14:textId="112CC5B4">
      <w:pPr>
        <w:tabs>
          <w:tab w:val="left" w:pos="900"/>
        </w:tabs>
        <w:spacing w:after="0" w:line="280" w:lineRule="exact"/>
        <w:ind w:left="900"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 xml:space="preserve">The total annual cost to the Federal Government for processing </w:t>
      </w:r>
      <w:r w:rsidR="00E83F34">
        <w:rPr>
          <w:rFonts w:ascii="Times New Roman" w:eastAsia="Times New Roman" w:hAnsi="Times New Roman" w:cs="Times New Roman"/>
          <w:iCs/>
          <w:sz w:val="24"/>
          <w:szCs w:val="24"/>
        </w:rPr>
        <w:t xml:space="preserve">applications associate with this </w:t>
      </w:r>
      <w:r w:rsidRPr="006D5148">
        <w:rPr>
          <w:rFonts w:ascii="Times New Roman" w:eastAsia="Times New Roman" w:hAnsi="Times New Roman" w:cs="Times New Roman"/>
          <w:iCs/>
          <w:sz w:val="24"/>
          <w:szCs w:val="24"/>
        </w:rPr>
        <w:t xml:space="preserve">collection is </w:t>
      </w:r>
      <w:r w:rsidRPr="00E83F34" w:rsidR="00E83F34">
        <w:rPr>
          <w:rFonts w:ascii="Times New Roman" w:eastAsia="Times New Roman" w:hAnsi="Times New Roman" w:cs="Times New Roman"/>
          <w:iCs/>
          <w:sz w:val="24"/>
          <w:szCs w:val="24"/>
        </w:rPr>
        <w:t xml:space="preserve">$ </w:t>
      </w:r>
      <w:r w:rsidRPr="006D5148" w:rsidR="00400B81">
        <w:rPr>
          <w:rFonts w:ascii="Times New Roman" w:eastAsia="Times New Roman" w:hAnsi="Times New Roman" w:cs="Times New Roman"/>
          <w:iCs/>
          <w:sz w:val="24"/>
          <w:szCs w:val="24"/>
        </w:rPr>
        <w:t>483,453.75</w:t>
      </w:r>
      <w:r w:rsidRPr="006D5148" w:rsidR="00D47527">
        <w:rPr>
          <w:rFonts w:ascii="Times New Roman" w:eastAsia="Times New Roman" w:hAnsi="Times New Roman" w:cs="Times New Roman"/>
          <w:iCs/>
          <w:sz w:val="24"/>
          <w:szCs w:val="24"/>
        </w:rPr>
        <w:t>.</w:t>
      </w:r>
    </w:p>
    <w:p w:rsidR="000720CA" w:rsidRPr="006D5148" w:rsidP="005346D8" w14:paraId="38A71548" w14:textId="77777777">
      <w:pPr>
        <w:tabs>
          <w:tab w:val="left" w:pos="900"/>
        </w:tabs>
        <w:spacing w:after="0" w:line="280" w:lineRule="exact"/>
        <w:ind w:left="900" w:right="20"/>
        <w:rPr>
          <w:rFonts w:ascii="Times New Roman" w:eastAsia="Times New Roman" w:hAnsi="Times New Roman" w:cs="Times New Roman"/>
          <w:iCs/>
          <w:sz w:val="24"/>
          <w:szCs w:val="24"/>
        </w:rPr>
      </w:pPr>
    </w:p>
    <w:p w:rsidR="000720CA" w:rsidRPr="006D5148" w:rsidP="005346D8" w14:paraId="7CE840DF" w14:textId="0FD18807">
      <w:pPr>
        <w:tabs>
          <w:tab w:val="left" w:pos="900"/>
        </w:tabs>
        <w:spacing w:after="0" w:line="280" w:lineRule="exact"/>
        <w:ind w:left="900"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Accordin</w:t>
      </w:r>
      <w:r w:rsidRPr="006D5148" w:rsidR="004E60F7">
        <w:rPr>
          <w:rFonts w:ascii="Times New Roman" w:eastAsia="Times New Roman" w:hAnsi="Times New Roman" w:cs="Times New Roman"/>
          <w:iCs/>
          <w:sz w:val="24"/>
          <w:szCs w:val="24"/>
        </w:rPr>
        <w:t>g</w:t>
      </w:r>
      <w:r w:rsidRPr="006D5148">
        <w:rPr>
          <w:rFonts w:ascii="Times New Roman" w:eastAsia="Times New Roman" w:hAnsi="Times New Roman" w:cs="Times New Roman"/>
          <w:iCs/>
          <w:sz w:val="24"/>
          <w:szCs w:val="24"/>
        </w:rPr>
        <w:t xml:space="preserve"> to the Office of Personnel Management (OPM)</w:t>
      </w:r>
      <w:r>
        <w:rPr>
          <w:rStyle w:val="FootnoteReference"/>
          <w:rFonts w:ascii="Times New Roman" w:eastAsia="Times New Roman" w:hAnsi="Times New Roman" w:cs="Times New Roman"/>
          <w:iCs/>
          <w:sz w:val="24"/>
          <w:szCs w:val="24"/>
        </w:rPr>
        <w:footnoteReference w:id="4"/>
      </w:r>
      <w:r w:rsidR="00E83F34">
        <w:rPr>
          <w:rFonts w:ascii="Times New Roman" w:eastAsia="Times New Roman" w:hAnsi="Times New Roman" w:cs="Times New Roman"/>
          <w:iCs/>
          <w:sz w:val="24"/>
          <w:szCs w:val="24"/>
        </w:rPr>
        <w:t xml:space="preserve"> </w:t>
      </w:r>
      <w:r w:rsidRPr="006D5148">
        <w:rPr>
          <w:rFonts w:ascii="Times New Roman" w:eastAsia="Times New Roman" w:hAnsi="Times New Roman" w:cs="Times New Roman"/>
          <w:iCs/>
          <w:sz w:val="24"/>
          <w:szCs w:val="24"/>
        </w:rPr>
        <w:t xml:space="preserve">wage tables, </w:t>
      </w:r>
      <w:r w:rsidRPr="006D5148" w:rsidR="009A529D">
        <w:rPr>
          <w:rFonts w:ascii="Times New Roman" w:eastAsia="Times New Roman" w:hAnsi="Times New Roman" w:cs="Times New Roman"/>
          <w:iCs/>
          <w:sz w:val="24"/>
          <w:szCs w:val="24"/>
        </w:rPr>
        <w:t xml:space="preserve">the  hourly wage </w:t>
      </w:r>
      <w:r w:rsidRPr="006D5148" w:rsidR="009A529D">
        <w:rPr>
          <w:rFonts w:ascii="Times New Roman" w:eastAsia="Times New Roman" w:hAnsi="Times New Roman" w:cs="Times New Roman"/>
          <w:iCs/>
          <w:sz w:val="24"/>
          <w:szCs w:val="24"/>
        </w:rPr>
        <w:t>rate for one GS-14</w:t>
      </w:r>
      <w:r w:rsidR="00400B81">
        <w:rPr>
          <w:rFonts w:ascii="Times New Roman" w:eastAsia="Times New Roman" w:hAnsi="Times New Roman" w:cs="Times New Roman"/>
          <w:iCs/>
          <w:sz w:val="24"/>
          <w:szCs w:val="24"/>
        </w:rPr>
        <w:t xml:space="preserve"> -Step 5</w:t>
      </w:r>
      <w:r w:rsidRPr="006D5148" w:rsidR="009A529D">
        <w:rPr>
          <w:rFonts w:ascii="Times New Roman" w:eastAsia="Times New Roman" w:hAnsi="Times New Roman" w:cs="Times New Roman"/>
          <w:iCs/>
          <w:sz w:val="24"/>
          <w:szCs w:val="24"/>
        </w:rPr>
        <w:t xml:space="preserve"> employee with a Washington-Baltimore-Arlington locality pay is $ 75.70. When combine</w:t>
      </w:r>
      <w:r w:rsidR="00E83F34">
        <w:rPr>
          <w:rFonts w:ascii="Times New Roman" w:eastAsia="Times New Roman" w:hAnsi="Times New Roman" w:cs="Times New Roman"/>
          <w:iCs/>
          <w:sz w:val="24"/>
          <w:szCs w:val="24"/>
        </w:rPr>
        <w:t>d</w:t>
      </w:r>
      <w:r w:rsidRPr="006D5148" w:rsidR="009A529D">
        <w:rPr>
          <w:rFonts w:ascii="Times New Roman" w:eastAsia="Times New Roman" w:hAnsi="Times New Roman" w:cs="Times New Roman"/>
          <w:iCs/>
          <w:sz w:val="24"/>
          <w:szCs w:val="24"/>
        </w:rPr>
        <w:t xml:space="preserve"> with the Federal Employee Compensation rate of 31%</w:t>
      </w:r>
      <w:r>
        <w:rPr>
          <w:rStyle w:val="FootnoteReference"/>
          <w:rFonts w:ascii="Times New Roman" w:eastAsia="Times New Roman" w:hAnsi="Times New Roman" w:cs="Times New Roman"/>
          <w:iCs/>
          <w:sz w:val="24"/>
          <w:szCs w:val="24"/>
        </w:rPr>
        <w:footnoteReference w:id="5"/>
      </w:r>
      <w:r w:rsidRPr="006D5148" w:rsidR="009A529D">
        <w:rPr>
          <w:rFonts w:ascii="Times New Roman" w:eastAsia="Times New Roman" w:hAnsi="Times New Roman" w:cs="Times New Roman"/>
          <w:iCs/>
          <w:sz w:val="24"/>
          <w:szCs w:val="24"/>
        </w:rPr>
        <w:t>, the total hourly wage rate</w:t>
      </w:r>
      <w:r w:rsidR="00B203C6">
        <w:rPr>
          <w:rFonts w:ascii="Times New Roman" w:eastAsia="Times New Roman" w:hAnsi="Times New Roman" w:cs="Times New Roman"/>
          <w:iCs/>
          <w:sz w:val="24"/>
          <w:szCs w:val="24"/>
        </w:rPr>
        <w:t xml:space="preserve"> for this employee</w:t>
      </w:r>
      <w:r w:rsidRPr="006D5148" w:rsidR="009A529D">
        <w:rPr>
          <w:rFonts w:ascii="Times New Roman" w:eastAsia="Times New Roman" w:hAnsi="Times New Roman" w:cs="Times New Roman"/>
          <w:iCs/>
          <w:sz w:val="24"/>
          <w:szCs w:val="24"/>
        </w:rPr>
        <w:t xml:space="preserve"> is $99.17. Therefore, </w:t>
      </w:r>
      <w:r w:rsidR="00B203C6">
        <w:rPr>
          <w:rFonts w:ascii="Times New Roman" w:eastAsia="Times New Roman" w:hAnsi="Times New Roman" w:cs="Times New Roman"/>
          <w:iCs/>
          <w:sz w:val="24"/>
          <w:szCs w:val="24"/>
        </w:rPr>
        <w:t>the total cost for</w:t>
      </w:r>
      <w:r w:rsidRPr="006D5148" w:rsidR="009A529D">
        <w:rPr>
          <w:rFonts w:ascii="Times New Roman" w:eastAsia="Times New Roman" w:hAnsi="Times New Roman" w:cs="Times New Roman"/>
          <w:iCs/>
          <w:sz w:val="24"/>
          <w:szCs w:val="24"/>
        </w:rPr>
        <w:t xml:space="preserve"> 15 GS 14</w:t>
      </w:r>
      <w:r w:rsidR="00400B81">
        <w:rPr>
          <w:rFonts w:ascii="Times New Roman" w:eastAsia="Times New Roman" w:hAnsi="Times New Roman" w:cs="Times New Roman"/>
          <w:iCs/>
          <w:sz w:val="24"/>
          <w:szCs w:val="24"/>
        </w:rPr>
        <w:t xml:space="preserve"> (Step 5)</w:t>
      </w:r>
      <w:r w:rsidRPr="006D5148" w:rsidR="009A529D">
        <w:rPr>
          <w:rFonts w:ascii="Times New Roman" w:eastAsia="Times New Roman" w:hAnsi="Times New Roman" w:cs="Times New Roman"/>
          <w:iCs/>
          <w:sz w:val="24"/>
          <w:szCs w:val="24"/>
        </w:rPr>
        <w:t xml:space="preserve"> employee</w:t>
      </w:r>
      <w:r w:rsidR="00400B81">
        <w:rPr>
          <w:rFonts w:ascii="Times New Roman" w:eastAsia="Times New Roman" w:hAnsi="Times New Roman" w:cs="Times New Roman"/>
          <w:iCs/>
          <w:sz w:val="24"/>
          <w:szCs w:val="24"/>
        </w:rPr>
        <w:t>s</w:t>
      </w:r>
      <w:r w:rsidRPr="006D5148" w:rsidR="009237C0">
        <w:rPr>
          <w:rFonts w:ascii="Times New Roman" w:eastAsia="Times New Roman" w:hAnsi="Times New Roman" w:cs="Times New Roman"/>
          <w:iCs/>
          <w:sz w:val="24"/>
          <w:szCs w:val="24"/>
        </w:rPr>
        <w:t xml:space="preserve"> in various areas of the Maritime Admin</w:t>
      </w:r>
      <w:r w:rsidRPr="006D5148" w:rsidR="001179CF">
        <w:rPr>
          <w:rFonts w:ascii="Times New Roman" w:eastAsia="Times New Roman" w:hAnsi="Times New Roman" w:cs="Times New Roman"/>
          <w:iCs/>
          <w:sz w:val="24"/>
          <w:szCs w:val="24"/>
        </w:rPr>
        <w:t xml:space="preserve">istration </w:t>
      </w:r>
      <w:r w:rsidR="00B203C6">
        <w:rPr>
          <w:rFonts w:ascii="Times New Roman" w:eastAsia="Times New Roman" w:hAnsi="Times New Roman" w:cs="Times New Roman"/>
          <w:iCs/>
          <w:sz w:val="24"/>
          <w:szCs w:val="24"/>
        </w:rPr>
        <w:t xml:space="preserve">who </w:t>
      </w:r>
      <w:r w:rsidRPr="006D5148" w:rsidR="001179CF">
        <w:rPr>
          <w:rFonts w:ascii="Times New Roman" w:eastAsia="Times New Roman" w:hAnsi="Times New Roman" w:cs="Times New Roman"/>
          <w:iCs/>
          <w:sz w:val="24"/>
          <w:szCs w:val="24"/>
        </w:rPr>
        <w:t>spend an average of 65</w:t>
      </w:r>
      <w:r w:rsidRPr="006D5148" w:rsidR="009237C0">
        <w:rPr>
          <w:rFonts w:ascii="Times New Roman" w:eastAsia="Times New Roman" w:hAnsi="Times New Roman" w:cs="Times New Roman"/>
          <w:iCs/>
          <w:sz w:val="24"/>
          <w:szCs w:val="24"/>
        </w:rPr>
        <w:t xml:space="preserve"> hours of their time collecting and assimilating information submitted</w:t>
      </w:r>
      <w:r w:rsidR="00400B81">
        <w:rPr>
          <w:rFonts w:ascii="Times New Roman" w:eastAsia="Times New Roman" w:hAnsi="Times New Roman" w:cs="Times New Roman"/>
          <w:iCs/>
          <w:sz w:val="24"/>
          <w:szCs w:val="24"/>
        </w:rPr>
        <w:t xml:space="preserve"> for </w:t>
      </w:r>
      <w:r w:rsidRPr="006D5148" w:rsidR="009A529D">
        <w:rPr>
          <w:rFonts w:ascii="Times New Roman" w:eastAsia="Times New Roman" w:hAnsi="Times New Roman" w:cs="Times New Roman"/>
          <w:iCs/>
          <w:sz w:val="24"/>
          <w:szCs w:val="24"/>
        </w:rPr>
        <w:t xml:space="preserve">five </w:t>
      </w:r>
      <w:r w:rsidRPr="006D5148" w:rsidR="009237C0">
        <w:rPr>
          <w:rFonts w:ascii="Times New Roman" w:eastAsia="Times New Roman" w:hAnsi="Times New Roman" w:cs="Times New Roman"/>
          <w:iCs/>
          <w:sz w:val="24"/>
          <w:szCs w:val="24"/>
        </w:rPr>
        <w:t>application</w:t>
      </w:r>
      <w:r w:rsidRPr="006D5148" w:rsidR="009A529D">
        <w:rPr>
          <w:rFonts w:ascii="Times New Roman" w:eastAsia="Times New Roman" w:hAnsi="Times New Roman" w:cs="Times New Roman"/>
          <w:iCs/>
          <w:sz w:val="24"/>
          <w:szCs w:val="24"/>
        </w:rPr>
        <w:t xml:space="preserve">s </w:t>
      </w:r>
      <w:r w:rsidR="00400B81">
        <w:rPr>
          <w:rFonts w:ascii="Times New Roman" w:eastAsia="Times New Roman" w:hAnsi="Times New Roman" w:cs="Times New Roman"/>
          <w:iCs/>
          <w:sz w:val="24"/>
          <w:szCs w:val="24"/>
        </w:rPr>
        <w:t>annually</w:t>
      </w:r>
      <w:r w:rsidRPr="006D5148" w:rsidR="009A529D">
        <w:rPr>
          <w:rFonts w:ascii="Times New Roman" w:eastAsia="Times New Roman" w:hAnsi="Times New Roman" w:cs="Times New Roman"/>
          <w:iCs/>
          <w:sz w:val="24"/>
          <w:szCs w:val="24"/>
        </w:rPr>
        <w:t>,</w:t>
      </w:r>
      <w:r w:rsidR="00B203C6">
        <w:rPr>
          <w:rFonts w:ascii="Times New Roman" w:eastAsia="Times New Roman" w:hAnsi="Times New Roman" w:cs="Times New Roman"/>
          <w:iCs/>
          <w:sz w:val="24"/>
          <w:szCs w:val="24"/>
        </w:rPr>
        <w:t xml:space="preserve"> </w:t>
      </w:r>
      <w:r w:rsidRPr="006D5148" w:rsidR="009A529D">
        <w:rPr>
          <w:rFonts w:ascii="Times New Roman" w:eastAsia="Times New Roman" w:hAnsi="Times New Roman" w:cs="Times New Roman"/>
          <w:iCs/>
          <w:sz w:val="24"/>
          <w:szCs w:val="24"/>
        </w:rPr>
        <w:t>can be calculated as shown in the table below</w:t>
      </w:r>
      <w:r w:rsidRPr="006D5148" w:rsidR="00400B81">
        <w:rPr>
          <w:rFonts w:ascii="Times New Roman" w:eastAsia="Times New Roman" w:hAnsi="Times New Roman" w:cs="Times New Roman"/>
          <w:iCs/>
          <w:sz w:val="24"/>
          <w:szCs w:val="24"/>
        </w:rPr>
        <w:t xml:space="preserve">: </w:t>
      </w:r>
      <w:r w:rsidRPr="006D5148" w:rsidR="009A529D">
        <w:rPr>
          <w:rFonts w:ascii="Times New Roman" w:eastAsia="Times New Roman" w:hAnsi="Times New Roman" w:cs="Times New Roman"/>
          <w:iCs/>
          <w:sz w:val="24"/>
          <w:szCs w:val="24"/>
        </w:rPr>
        <w:t xml:space="preserve"> </w:t>
      </w:r>
    </w:p>
    <w:p w:rsidR="00400B81" w:rsidP="005346D8" w14:paraId="1569A3C2" w14:textId="4EB6CE5C">
      <w:pPr>
        <w:tabs>
          <w:tab w:val="left" w:pos="900"/>
        </w:tabs>
        <w:spacing w:after="0" w:line="280" w:lineRule="exact"/>
        <w:ind w:left="900" w:right="20"/>
        <w:rPr>
          <w:rFonts w:ascii="Times New Roman" w:eastAsia="Times New Roman" w:hAnsi="Times New Roman" w:cs="Times New Roman"/>
          <w:i/>
          <w:sz w:val="24"/>
          <w:szCs w:val="24"/>
        </w:rPr>
      </w:pPr>
    </w:p>
    <w:tbl>
      <w:tblPr>
        <w:tblW w:w="9186" w:type="dxa"/>
        <w:tblInd w:w="2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20"/>
        <w:gridCol w:w="1450"/>
        <w:gridCol w:w="316"/>
        <w:gridCol w:w="1170"/>
        <w:gridCol w:w="330"/>
        <w:gridCol w:w="1410"/>
        <w:gridCol w:w="316"/>
        <w:gridCol w:w="1172"/>
        <w:gridCol w:w="330"/>
        <w:gridCol w:w="1172"/>
      </w:tblGrid>
      <w:tr w14:paraId="2D0277F1" w14:textId="77777777" w:rsidTr="006D5148">
        <w:tblPrEx>
          <w:tblW w:w="9186" w:type="dxa"/>
          <w:tblInd w:w="2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167"/>
        </w:trPr>
        <w:tc>
          <w:tcPr>
            <w:tcW w:w="1520" w:type="dxa"/>
            <w:shd w:val="clear" w:color="auto" w:fill="D9D9D9" w:themeFill="background1" w:themeFillShade="D9"/>
            <w:vAlign w:val="center"/>
            <w:hideMark/>
          </w:tcPr>
          <w:p w:rsidR="00E83F34" w:rsidRPr="00400B81" w:rsidP="00400B81" w14:paraId="7B725E0A" w14:textId="77777777">
            <w:pPr>
              <w:widowControl/>
              <w:spacing w:after="0" w:line="240" w:lineRule="auto"/>
              <w:rPr>
                <w:rFonts w:ascii="Times New Roman" w:eastAsia="Times New Roman" w:hAnsi="Times New Roman" w:cs="Times New Roman"/>
                <w:b/>
                <w:bCs/>
                <w:color w:val="000000"/>
                <w:sz w:val="20"/>
                <w:szCs w:val="20"/>
              </w:rPr>
            </w:pPr>
            <w:r w:rsidRPr="00400B81">
              <w:rPr>
                <w:rFonts w:ascii="Times New Roman" w:eastAsia="Times New Roman" w:hAnsi="Times New Roman" w:cs="Times New Roman"/>
                <w:b/>
                <w:bCs/>
                <w:color w:val="000000"/>
                <w:sz w:val="20"/>
                <w:szCs w:val="20"/>
              </w:rPr>
              <w:t>FTE Grade and Step</w:t>
            </w:r>
          </w:p>
        </w:tc>
        <w:tc>
          <w:tcPr>
            <w:tcW w:w="1450" w:type="dxa"/>
            <w:shd w:val="clear" w:color="auto" w:fill="D9D9D9" w:themeFill="background1" w:themeFillShade="D9"/>
            <w:vAlign w:val="center"/>
            <w:hideMark/>
          </w:tcPr>
          <w:p w:rsidR="00E83F34" w:rsidRPr="00400B81" w:rsidP="00400B81" w14:paraId="6D8E981F" w14:textId="77777777">
            <w:pPr>
              <w:widowControl/>
              <w:spacing w:after="0" w:line="240" w:lineRule="auto"/>
              <w:rPr>
                <w:rFonts w:ascii="Times New Roman" w:eastAsia="Times New Roman" w:hAnsi="Times New Roman" w:cs="Times New Roman"/>
                <w:b/>
                <w:bCs/>
                <w:color w:val="000000"/>
                <w:sz w:val="20"/>
                <w:szCs w:val="20"/>
              </w:rPr>
            </w:pPr>
            <w:r w:rsidRPr="00400B81">
              <w:rPr>
                <w:rFonts w:ascii="Times New Roman" w:eastAsia="Times New Roman" w:hAnsi="Times New Roman" w:cs="Times New Roman"/>
                <w:b/>
                <w:bCs/>
                <w:color w:val="000000"/>
                <w:sz w:val="20"/>
                <w:szCs w:val="20"/>
              </w:rPr>
              <w:t xml:space="preserve">Average Hourly Wage Rate with 31% Compensation   </w:t>
            </w:r>
          </w:p>
        </w:tc>
        <w:tc>
          <w:tcPr>
            <w:tcW w:w="316" w:type="dxa"/>
            <w:shd w:val="clear" w:color="auto" w:fill="D9D9D9" w:themeFill="background1" w:themeFillShade="D9"/>
          </w:tcPr>
          <w:p w:rsidR="00E83F34" w:rsidRPr="00400B81" w:rsidP="00400B81" w14:paraId="339E9588" w14:textId="77777777">
            <w:pPr>
              <w:widowControl/>
              <w:spacing w:after="0" w:line="240" w:lineRule="auto"/>
              <w:rPr>
                <w:rFonts w:ascii="Times New Roman" w:eastAsia="Times New Roman" w:hAnsi="Times New Roman" w:cs="Times New Roman"/>
                <w:b/>
                <w:bCs/>
                <w:color w:val="000000"/>
                <w:sz w:val="20"/>
                <w:szCs w:val="20"/>
              </w:rPr>
            </w:pPr>
          </w:p>
        </w:tc>
        <w:tc>
          <w:tcPr>
            <w:tcW w:w="1170" w:type="dxa"/>
            <w:shd w:val="clear" w:color="auto" w:fill="D9D9D9" w:themeFill="background1" w:themeFillShade="D9"/>
            <w:vAlign w:val="center"/>
            <w:hideMark/>
          </w:tcPr>
          <w:p w:rsidR="00E83F34" w:rsidRPr="00400B81" w:rsidP="00400B81" w14:paraId="126ECC15" w14:textId="79A1148E">
            <w:pPr>
              <w:widowControl/>
              <w:spacing w:after="0" w:line="240" w:lineRule="auto"/>
              <w:rPr>
                <w:rFonts w:ascii="Times New Roman" w:eastAsia="Times New Roman" w:hAnsi="Times New Roman" w:cs="Times New Roman"/>
                <w:b/>
                <w:bCs/>
                <w:color w:val="000000"/>
                <w:sz w:val="20"/>
                <w:szCs w:val="20"/>
              </w:rPr>
            </w:pPr>
            <w:r w:rsidRPr="00400B81">
              <w:rPr>
                <w:rFonts w:ascii="Times New Roman" w:eastAsia="Times New Roman" w:hAnsi="Times New Roman" w:cs="Times New Roman"/>
                <w:b/>
                <w:bCs/>
                <w:color w:val="000000"/>
                <w:sz w:val="20"/>
                <w:szCs w:val="20"/>
              </w:rPr>
              <w:t xml:space="preserve">Total Employees </w:t>
            </w:r>
          </w:p>
        </w:tc>
        <w:tc>
          <w:tcPr>
            <w:tcW w:w="330" w:type="dxa"/>
            <w:shd w:val="clear" w:color="auto" w:fill="D9D9D9" w:themeFill="background1" w:themeFillShade="D9"/>
          </w:tcPr>
          <w:p w:rsidR="00E83F34" w:rsidRPr="00400B81" w:rsidP="00400B81" w14:paraId="646F01E7" w14:textId="77777777">
            <w:pPr>
              <w:widowControl/>
              <w:spacing w:after="0" w:line="240" w:lineRule="auto"/>
              <w:rPr>
                <w:rFonts w:ascii="Times New Roman" w:eastAsia="Times New Roman" w:hAnsi="Times New Roman" w:cs="Times New Roman"/>
                <w:b/>
                <w:bCs/>
                <w:color w:val="000000"/>
                <w:sz w:val="20"/>
                <w:szCs w:val="20"/>
              </w:rPr>
            </w:pPr>
          </w:p>
        </w:tc>
        <w:tc>
          <w:tcPr>
            <w:tcW w:w="1410" w:type="dxa"/>
            <w:shd w:val="clear" w:color="auto" w:fill="D9D9D9" w:themeFill="background1" w:themeFillShade="D9"/>
            <w:vAlign w:val="center"/>
            <w:hideMark/>
          </w:tcPr>
          <w:p w:rsidR="00E83F34" w:rsidRPr="00400B81" w:rsidP="00400B81" w14:paraId="3F980DFB" w14:textId="609452A5">
            <w:pPr>
              <w:widowControl/>
              <w:spacing w:after="0" w:line="240" w:lineRule="auto"/>
              <w:rPr>
                <w:rFonts w:ascii="Times New Roman" w:eastAsia="Times New Roman" w:hAnsi="Times New Roman" w:cs="Times New Roman"/>
                <w:b/>
                <w:bCs/>
                <w:color w:val="000000"/>
                <w:sz w:val="20"/>
                <w:szCs w:val="20"/>
              </w:rPr>
            </w:pPr>
            <w:r w:rsidRPr="00400B81">
              <w:rPr>
                <w:rFonts w:ascii="Times New Roman" w:eastAsia="Times New Roman" w:hAnsi="Times New Roman" w:cs="Times New Roman"/>
                <w:b/>
                <w:bCs/>
                <w:color w:val="000000"/>
                <w:sz w:val="20"/>
                <w:szCs w:val="20"/>
              </w:rPr>
              <w:t xml:space="preserve">Total </w:t>
            </w:r>
            <w:r>
              <w:rPr>
                <w:rFonts w:ascii="Times New Roman" w:eastAsia="Times New Roman" w:hAnsi="Times New Roman" w:cs="Times New Roman"/>
                <w:b/>
                <w:bCs/>
                <w:color w:val="000000"/>
                <w:sz w:val="20"/>
                <w:szCs w:val="20"/>
              </w:rPr>
              <w:t>Cost for each</w:t>
            </w:r>
            <w:r w:rsidRPr="00400B81">
              <w:rPr>
                <w:rFonts w:ascii="Times New Roman" w:eastAsia="Times New Roman" w:hAnsi="Times New Roman" w:cs="Times New Roman"/>
                <w:b/>
                <w:bCs/>
                <w:color w:val="000000"/>
                <w:sz w:val="20"/>
                <w:szCs w:val="20"/>
              </w:rPr>
              <w:t xml:space="preserve"> Employee </w:t>
            </w:r>
          </w:p>
        </w:tc>
        <w:tc>
          <w:tcPr>
            <w:tcW w:w="316" w:type="dxa"/>
            <w:shd w:val="clear" w:color="auto" w:fill="D9D9D9" w:themeFill="background1" w:themeFillShade="D9"/>
          </w:tcPr>
          <w:p w:rsidR="00E83F34" w:rsidRPr="00400B81" w:rsidP="00400B81" w14:paraId="074B970D" w14:textId="77777777">
            <w:pPr>
              <w:widowControl/>
              <w:spacing w:after="0" w:line="240" w:lineRule="auto"/>
              <w:rPr>
                <w:rFonts w:ascii="Times New Roman" w:eastAsia="Times New Roman" w:hAnsi="Times New Roman" w:cs="Times New Roman"/>
                <w:b/>
                <w:bCs/>
                <w:color w:val="000000"/>
                <w:sz w:val="20"/>
                <w:szCs w:val="20"/>
              </w:rPr>
            </w:pPr>
          </w:p>
        </w:tc>
        <w:tc>
          <w:tcPr>
            <w:tcW w:w="1172" w:type="dxa"/>
            <w:shd w:val="clear" w:color="auto" w:fill="D9D9D9" w:themeFill="background1" w:themeFillShade="D9"/>
            <w:vAlign w:val="center"/>
            <w:hideMark/>
          </w:tcPr>
          <w:p w:rsidR="00E83F34" w:rsidRPr="00400B81" w:rsidP="00400B81" w14:paraId="475D338B" w14:textId="2985A65A">
            <w:pPr>
              <w:widowControl/>
              <w:spacing w:after="0" w:line="240" w:lineRule="auto"/>
              <w:rPr>
                <w:rFonts w:ascii="Times New Roman" w:eastAsia="Times New Roman" w:hAnsi="Times New Roman" w:cs="Times New Roman"/>
                <w:b/>
                <w:bCs/>
                <w:color w:val="000000"/>
                <w:sz w:val="20"/>
                <w:szCs w:val="20"/>
              </w:rPr>
            </w:pPr>
            <w:r w:rsidRPr="00400B81">
              <w:rPr>
                <w:rFonts w:ascii="Times New Roman" w:eastAsia="Times New Roman" w:hAnsi="Times New Roman" w:cs="Times New Roman"/>
                <w:b/>
                <w:bCs/>
                <w:color w:val="000000"/>
                <w:sz w:val="20"/>
                <w:szCs w:val="20"/>
              </w:rPr>
              <w:t>Total Hours (per application</w:t>
            </w:r>
          </w:p>
        </w:tc>
        <w:tc>
          <w:tcPr>
            <w:tcW w:w="330" w:type="dxa"/>
            <w:shd w:val="clear" w:color="auto" w:fill="D9D9D9" w:themeFill="background1" w:themeFillShade="D9"/>
          </w:tcPr>
          <w:p w:rsidR="00E83F34" w:rsidRPr="00400B81" w:rsidP="00400B81" w14:paraId="00F80713" w14:textId="77777777">
            <w:pPr>
              <w:widowControl/>
              <w:spacing w:after="0" w:line="240" w:lineRule="auto"/>
              <w:rPr>
                <w:rFonts w:ascii="Times New Roman" w:eastAsia="Times New Roman" w:hAnsi="Times New Roman" w:cs="Times New Roman"/>
                <w:b/>
                <w:bCs/>
                <w:color w:val="000000"/>
                <w:sz w:val="20"/>
                <w:szCs w:val="20"/>
              </w:rPr>
            </w:pPr>
          </w:p>
        </w:tc>
        <w:tc>
          <w:tcPr>
            <w:tcW w:w="1172" w:type="dxa"/>
            <w:shd w:val="clear" w:color="auto" w:fill="D9D9D9" w:themeFill="background1" w:themeFillShade="D9"/>
            <w:vAlign w:val="center"/>
            <w:hideMark/>
          </w:tcPr>
          <w:p w:rsidR="00E83F34" w:rsidRPr="00400B81" w:rsidP="00400B81" w14:paraId="5D8F41C6" w14:textId="2E72B0DE">
            <w:pPr>
              <w:widowControl/>
              <w:spacing w:after="0" w:line="240" w:lineRule="auto"/>
              <w:rPr>
                <w:rFonts w:ascii="Times New Roman" w:eastAsia="Times New Roman" w:hAnsi="Times New Roman" w:cs="Times New Roman"/>
                <w:b/>
                <w:bCs/>
                <w:color w:val="000000"/>
                <w:sz w:val="20"/>
                <w:szCs w:val="20"/>
              </w:rPr>
            </w:pPr>
            <w:r w:rsidRPr="00400B81">
              <w:rPr>
                <w:rFonts w:ascii="Times New Roman" w:eastAsia="Times New Roman" w:hAnsi="Times New Roman" w:cs="Times New Roman"/>
                <w:b/>
                <w:bCs/>
                <w:color w:val="000000"/>
                <w:sz w:val="20"/>
                <w:szCs w:val="20"/>
              </w:rPr>
              <w:t xml:space="preserve">Total Cost Per application  </w:t>
            </w:r>
          </w:p>
        </w:tc>
      </w:tr>
      <w:tr w14:paraId="68163AD0" w14:textId="77777777" w:rsidTr="006D5148">
        <w:tblPrEx>
          <w:tblW w:w="9186" w:type="dxa"/>
          <w:tblInd w:w="265" w:type="dxa"/>
          <w:tblLook w:val="04A0"/>
        </w:tblPrEx>
        <w:trPr>
          <w:trHeight w:val="290"/>
        </w:trPr>
        <w:tc>
          <w:tcPr>
            <w:tcW w:w="1520" w:type="dxa"/>
            <w:shd w:val="clear" w:color="auto" w:fill="auto"/>
            <w:noWrap/>
            <w:vAlign w:val="center"/>
            <w:hideMark/>
          </w:tcPr>
          <w:p w:rsidR="00E83F34" w:rsidRPr="00400B81" w:rsidP="00B203C6" w14:paraId="52C01B2A" w14:textId="732B28E6">
            <w:pPr>
              <w:widowControl/>
              <w:spacing w:after="0" w:line="240" w:lineRule="auto"/>
              <w:jc w:val="center"/>
              <w:rPr>
                <w:rFonts w:ascii="Times New Roman" w:eastAsia="Times New Roman" w:hAnsi="Times New Roman" w:cs="Times New Roman"/>
                <w:b/>
                <w:bCs/>
                <w:color w:val="000000"/>
                <w:sz w:val="20"/>
                <w:szCs w:val="20"/>
              </w:rPr>
            </w:pPr>
            <w:r w:rsidRPr="00400B81">
              <w:rPr>
                <w:rFonts w:ascii="Times New Roman" w:eastAsia="Times New Roman" w:hAnsi="Times New Roman" w:cs="Times New Roman"/>
                <w:b/>
                <w:bCs/>
                <w:color w:val="000000"/>
                <w:sz w:val="20"/>
                <w:szCs w:val="20"/>
              </w:rPr>
              <w:t>GS 14</w:t>
            </w:r>
            <w:r w:rsidR="00B203C6">
              <w:rPr>
                <w:rFonts w:ascii="Times New Roman" w:eastAsia="Times New Roman" w:hAnsi="Times New Roman" w:cs="Times New Roman"/>
                <w:b/>
                <w:bCs/>
                <w:color w:val="000000"/>
                <w:sz w:val="20"/>
                <w:szCs w:val="20"/>
              </w:rPr>
              <w:t xml:space="preserve"> </w:t>
            </w:r>
            <w:r w:rsidRPr="00400B81">
              <w:rPr>
                <w:rFonts w:ascii="Times New Roman" w:eastAsia="Times New Roman" w:hAnsi="Times New Roman" w:cs="Times New Roman"/>
                <w:b/>
                <w:bCs/>
                <w:color w:val="000000"/>
                <w:sz w:val="20"/>
                <w:szCs w:val="20"/>
              </w:rPr>
              <w:t>(Step 5)</w:t>
            </w:r>
          </w:p>
        </w:tc>
        <w:tc>
          <w:tcPr>
            <w:tcW w:w="1450" w:type="dxa"/>
            <w:shd w:val="clear" w:color="auto" w:fill="auto"/>
            <w:noWrap/>
            <w:vAlign w:val="center"/>
            <w:hideMark/>
          </w:tcPr>
          <w:p w:rsidR="00E83F34" w:rsidRPr="00400B81" w:rsidP="00B203C6" w14:paraId="2EDEEB98" w14:textId="766AA0A3">
            <w:pPr>
              <w:widowControl/>
              <w:spacing w:after="0" w:line="240" w:lineRule="auto"/>
              <w:jc w:val="center"/>
              <w:rPr>
                <w:rFonts w:ascii="Times New Roman" w:eastAsia="Times New Roman" w:hAnsi="Times New Roman" w:cs="Times New Roman"/>
                <w:b/>
                <w:bCs/>
                <w:color w:val="000000"/>
                <w:sz w:val="20"/>
                <w:szCs w:val="20"/>
              </w:rPr>
            </w:pPr>
            <w:r w:rsidRPr="00400B81">
              <w:rPr>
                <w:rFonts w:ascii="Times New Roman" w:eastAsia="Times New Roman" w:hAnsi="Times New Roman" w:cs="Times New Roman"/>
                <w:b/>
                <w:bCs/>
                <w:color w:val="000000"/>
                <w:sz w:val="20"/>
                <w:szCs w:val="20"/>
              </w:rPr>
              <w:t>$    99.17</w:t>
            </w:r>
          </w:p>
        </w:tc>
        <w:tc>
          <w:tcPr>
            <w:tcW w:w="316" w:type="dxa"/>
            <w:vAlign w:val="center"/>
          </w:tcPr>
          <w:p w:rsidR="00E83F34" w:rsidRPr="00400B81" w:rsidP="00B203C6" w14:paraId="27FF1622" w14:textId="166494FA">
            <w:pPr>
              <w:widowControl/>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170" w:type="dxa"/>
            <w:shd w:val="clear" w:color="auto" w:fill="auto"/>
            <w:noWrap/>
            <w:vAlign w:val="center"/>
            <w:hideMark/>
          </w:tcPr>
          <w:p w:rsidR="00E83F34" w:rsidRPr="00400B81" w:rsidP="00B203C6" w14:paraId="3900F365" w14:textId="65DB4551">
            <w:pPr>
              <w:widowControl/>
              <w:spacing w:after="0" w:line="240" w:lineRule="auto"/>
              <w:jc w:val="center"/>
              <w:rPr>
                <w:rFonts w:ascii="Times New Roman" w:eastAsia="Times New Roman" w:hAnsi="Times New Roman" w:cs="Times New Roman"/>
                <w:b/>
                <w:bCs/>
                <w:color w:val="000000"/>
                <w:sz w:val="20"/>
                <w:szCs w:val="20"/>
              </w:rPr>
            </w:pPr>
            <w:r w:rsidRPr="00400B81">
              <w:rPr>
                <w:rFonts w:ascii="Times New Roman" w:eastAsia="Times New Roman" w:hAnsi="Times New Roman" w:cs="Times New Roman"/>
                <w:b/>
                <w:bCs/>
                <w:color w:val="000000"/>
                <w:sz w:val="20"/>
                <w:szCs w:val="20"/>
              </w:rPr>
              <w:t>15</w:t>
            </w:r>
          </w:p>
        </w:tc>
        <w:tc>
          <w:tcPr>
            <w:tcW w:w="330" w:type="dxa"/>
            <w:vAlign w:val="center"/>
          </w:tcPr>
          <w:p w:rsidR="00E83F34" w:rsidP="00B203C6" w14:paraId="30CCD763" w14:textId="77777777">
            <w:pPr>
              <w:widowControl/>
              <w:spacing w:after="0" w:line="240" w:lineRule="auto"/>
              <w:jc w:val="center"/>
              <w:rPr>
                <w:rFonts w:ascii="Times New Roman" w:eastAsia="Times New Roman" w:hAnsi="Times New Roman" w:cs="Times New Roman"/>
                <w:b/>
                <w:bCs/>
                <w:color w:val="000000"/>
                <w:sz w:val="20"/>
                <w:szCs w:val="20"/>
              </w:rPr>
            </w:pPr>
          </w:p>
          <w:p w:rsidR="00E83F34" w:rsidRPr="00400B81" w:rsidP="00B203C6" w14:paraId="18D3BBAA" w14:textId="49392853">
            <w:pPr>
              <w:widowControl/>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410" w:type="dxa"/>
            <w:shd w:val="clear" w:color="auto" w:fill="auto"/>
            <w:noWrap/>
            <w:vAlign w:val="center"/>
            <w:hideMark/>
          </w:tcPr>
          <w:p w:rsidR="00E83F34" w:rsidRPr="00400B81" w:rsidP="00B203C6" w14:paraId="748646F9" w14:textId="73A18CD1">
            <w:pPr>
              <w:widowControl/>
              <w:spacing w:after="0" w:line="240" w:lineRule="auto"/>
              <w:jc w:val="center"/>
              <w:rPr>
                <w:rFonts w:ascii="Times New Roman" w:eastAsia="Times New Roman" w:hAnsi="Times New Roman" w:cs="Times New Roman"/>
                <w:b/>
                <w:bCs/>
                <w:color w:val="000000"/>
                <w:sz w:val="20"/>
                <w:szCs w:val="20"/>
              </w:rPr>
            </w:pPr>
            <w:r w:rsidRPr="00400B81">
              <w:rPr>
                <w:rFonts w:ascii="Times New Roman" w:eastAsia="Times New Roman" w:hAnsi="Times New Roman" w:cs="Times New Roman"/>
                <w:b/>
                <w:bCs/>
                <w:color w:val="000000"/>
                <w:sz w:val="20"/>
                <w:szCs w:val="20"/>
              </w:rPr>
              <w:t>$ 1,487.55</w:t>
            </w:r>
          </w:p>
        </w:tc>
        <w:tc>
          <w:tcPr>
            <w:tcW w:w="316" w:type="dxa"/>
            <w:vAlign w:val="center"/>
          </w:tcPr>
          <w:p w:rsidR="00E83F34" w:rsidRPr="00400B81" w:rsidP="00B203C6" w14:paraId="4E666D1F" w14:textId="2B7B14FB">
            <w:pPr>
              <w:widowControl/>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172" w:type="dxa"/>
            <w:shd w:val="clear" w:color="auto" w:fill="auto"/>
            <w:noWrap/>
            <w:vAlign w:val="center"/>
            <w:hideMark/>
          </w:tcPr>
          <w:p w:rsidR="00E83F34" w:rsidRPr="00400B81" w:rsidP="00B203C6" w14:paraId="5E5DC421" w14:textId="79EE84B8">
            <w:pPr>
              <w:widowControl/>
              <w:spacing w:after="0" w:line="240" w:lineRule="auto"/>
              <w:jc w:val="center"/>
              <w:rPr>
                <w:rFonts w:ascii="Times New Roman" w:eastAsia="Times New Roman" w:hAnsi="Times New Roman" w:cs="Times New Roman"/>
                <w:b/>
                <w:bCs/>
                <w:color w:val="000000"/>
                <w:sz w:val="20"/>
                <w:szCs w:val="20"/>
              </w:rPr>
            </w:pPr>
            <w:r w:rsidRPr="00400B81">
              <w:rPr>
                <w:rFonts w:ascii="Times New Roman" w:eastAsia="Times New Roman" w:hAnsi="Times New Roman" w:cs="Times New Roman"/>
                <w:b/>
                <w:bCs/>
                <w:color w:val="000000"/>
                <w:sz w:val="20"/>
                <w:szCs w:val="20"/>
              </w:rPr>
              <w:t>65</w:t>
            </w:r>
          </w:p>
        </w:tc>
        <w:tc>
          <w:tcPr>
            <w:tcW w:w="330" w:type="dxa"/>
            <w:vAlign w:val="center"/>
          </w:tcPr>
          <w:p w:rsidR="00E83F34" w:rsidP="00B203C6" w14:paraId="1C4CA09B" w14:textId="77777777">
            <w:pPr>
              <w:widowControl/>
              <w:spacing w:after="0" w:line="240" w:lineRule="auto"/>
              <w:jc w:val="center"/>
              <w:rPr>
                <w:rFonts w:ascii="Times New Roman" w:eastAsia="Times New Roman" w:hAnsi="Times New Roman" w:cs="Times New Roman"/>
                <w:b/>
                <w:bCs/>
                <w:color w:val="000000"/>
                <w:sz w:val="20"/>
                <w:szCs w:val="20"/>
              </w:rPr>
            </w:pPr>
          </w:p>
          <w:p w:rsidR="00E83F34" w:rsidRPr="00400B81" w:rsidP="00B203C6" w14:paraId="565242D8" w14:textId="68795B78">
            <w:pPr>
              <w:widowControl/>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172" w:type="dxa"/>
            <w:shd w:val="clear" w:color="auto" w:fill="auto"/>
            <w:noWrap/>
            <w:vAlign w:val="center"/>
            <w:hideMark/>
          </w:tcPr>
          <w:p w:rsidR="00E83F34" w:rsidRPr="00400B81" w:rsidP="00B203C6" w14:paraId="4E3A01A0" w14:textId="17A414A8">
            <w:pPr>
              <w:widowControl/>
              <w:spacing w:after="0" w:line="240" w:lineRule="auto"/>
              <w:jc w:val="center"/>
              <w:rPr>
                <w:rFonts w:ascii="Times New Roman" w:eastAsia="Times New Roman" w:hAnsi="Times New Roman" w:cs="Times New Roman"/>
                <w:b/>
                <w:bCs/>
                <w:color w:val="000000"/>
                <w:sz w:val="20"/>
                <w:szCs w:val="20"/>
              </w:rPr>
            </w:pPr>
            <w:r w:rsidRPr="00400B81">
              <w:rPr>
                <w:rFonts w:ascii="Times New Roman" w:eastAsia="Times New Roman" w:hAnsi="Times New Roman" w:cs="Times New Roman"/>
                <w:b/>
                <w:bCs/>
                <w:color w:val="000000"/>
                <w:sz w:val="20"/>
                <w:szCs w:val="20"/>
              </w:rPr>
              <w:t>$96,690.75</w:t>
            </w:r>
          </w:p>
        </w:tc>
      </w:tr>
    </w:tbl>
    <w:p w:rsidR="00400B81" w:rsidP="005346D8" w14:paraId="56178D1E" w14:textId="2C34C0A4">
      <w:pPr>
        <w:tabs>
          <w:tab w:val="left" w:pos="900"/>
        </w:tabs>
        <w:spacing w:after="0" w:line="280" w:lineRule="exact"/>
        <w:ind w:left="900" w:right="20"/>
        <w:rPr>
          <w:rFonts w:ascii="Times New Roman" w:eastAsia="Times New Roman" w:hAnsi="Times New Roman" w:cs="Times New Roman"/>
          <w:i/>
          <w:sz w:val="24"/>
          <w:szCs w:val="24"/>
        </w:rPr>
      </w:pPr>
    </w:p>
    <w:tbl>
      <w:tblPr>
        <w:tblW w:w="7005" w:type="dxa"/>
        <w:jc w:val="center"/>
        <w:tblLook w:val="04A0"/>
      </w:tblPr>
      <w:tblGrid>
        <w:gridCol w:w="2064"/>
        <w:gridCol w:w="440"/>
        <w:gridCol w:w="1339"/>
        <w:gridCol w:w="541"/>
        <w:gridCol w:w="2621"/>
      </w:tblGrid>
      <w:tr w14:paraId="680669D5" w14:textId="77777777" w:rsidTr="00CD34FA">
        <w:tblPrEx>
          <w:tblW w:w="7005" w:type="dxa"/>
          <w:jc w:val="center"/>
          <w:tblLook w:val="04A0"/>
        </w:tblPrEx>
        <w:trPr>
          <w:trHeight w:val="667"/>
          <w:jc w:val="center"/>
        </w:trPr>
        <w:tc>
          <w:tcPr>
            <w:tcW w:w="20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83F34" w:rsidRPr="00400B81" w:rsidP="009B2C38" w14:paraId="3202E20E" w14:textId="1F9B5920">
            <w:pPr>
              <w:widowControl/>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Total Cost </w:t>
            </w:r>
            <w:r w:rsidR="00B203C6">
              <w:rPr>
                <w:rFonts w:ascii="Times New Roman" w:eastAsia="Times New Roman" w:hAnsi="Times New Roman" w:cs="Times New Roman"/>
                <w:b/>
                <w:bCs/>
                <w:color w:val="000000"/>
                <w:sz w:val="20"/>
                <w:szCs w:val="20"/>
              </w:rPr>
              <w:t xml:space="preserve"> to Process an </w:t>
            </w:r>
            <w:r>
              <w:rPr>
                <w:rFonts w:ascii="Times New Roman" w:eastAsia="Times New Roman" w:hAnsi="Times New Roman" w:cs="Times New Roman"/>
                <w:b/>
                <w:bCs/>
                <w:color w:val="000000"/>
                <w:sz w:val="20"/>
                <w:szCs w:val="20"/>
              </w:rPr>
              <w:t xml:space="preserve">Application </w:t>
            </w:r>
          </w:p>
        </w:tc>
        <w:tc>
          <w:tcPr>
            <w:tcW w:w="4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83F34" w:rsidRPr="00400B81" w:rsidP="009B2C38" w14:paraId="788C0381" w14:textId="77777777">
            <w:pPr>
              <w:widowControl/>
              <w:spacing w:after="0" w:line="240" w:lineRule="auto"/>
              <w:rPr>
                <w:rFonts w:ascii="Times New Roman" w:eastAsia="Times New Roman" w:hAnsi="Times New Roman" w:cs="Times New Roman"/>
                <w:b/>
                <w:bCs/>
                <w:color w:val="000000"/>
                <w:sz w:val="20"/>
                <w:szCs w:val="20"/>
              </w:rPr>
            </w:pPr>
          </w:p>
        </w:tc>
        <w:tc>
          <w:tcPr>
            <w:tcW w:w="133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E83F34" w:rsidRPr="00400B81" w:rsidP="00E83F34" w14:paraId="33A6F759" w14:textId="350F90F6">
            <w:pPr>
              <w:widowControl/>
              <w:spacing w:after="0" w:line="240" w:lineRule="auto"/>
              <w:rPr>
                <w:rFonts w:ascii="Times New Roman" w:eastAsia="Times New Roman" w:hAnsi="Times New Roman" w:cs="Times New Roman"/>
                <w:b/>
                <w:bCs/>
                <w:color w:val="000000"/>
                <w:sz w:val="20"/>
                <w:szCs w:val="20"/>
              </w:rPr>
            </w:pPr>
            <w:r w:rsidRPr="00400B81">
              <w:rPr>
                <w:rFonts w:ascii="Times New Roman" w:eastAsia="Times New Roman" w:hAnsi="Times New Roman" w:cs="Times New Roman"/>
                <w:b/>
                <w:bCs/>
                <w:color w:val="000000"/>
                <w:sz w:val="20"/>
                <w:szCs w:val="20"/>
              </w:rPr>
              <w:t>Total Application</w:t>
            </w:r>
            <w:r w:rsidR="00B203C6">
              <w:rPr>
                <w:rFonts w:ascii="Times New Roman" w:eastAsia="Times New Roman" w:hAnsi="Times New Roman" w:cs="Times New Roman"/>
                <w:b/>
                <w:bCs/>
                <w:color w:val="000000"/>
                <w:sz w:val="20"/>
                <w:szCs w:val="20"/>
              </w:rPr>
              <w:t>s</w:t>
            </w:r>
          </w:p>
        </w:tc>
        <w:tc>
          <w:tcPr>
            <w:tcW w:w="54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83F34" w:rsidRPr="00400B81" w:rsidP="00D27B1E" w14:paraId="420890BD" w14:textId="77777777">
            <w:pPr>
              <w:widowControl/>
              <w:spacing w:after="0" w:line="240" w:lineRule="auto"/>
              <w:ind w:right="211"/>
              <w:rPr>
                <w:rFonts w:ascii="Times New Roman" w:eastAsia="Times New Roman" w:hAnsi="Times New Roman" w:cs="Times New Roman"/>
                <w:b/>
                <w:bCs/>
                <w:color w:val="000000"/>
                <w:sz w:val="20"/>
                <w:szCs w:val="20"/>
              </w:rPr>
            </w:pPr>
          </w:p>
        </w:tc>
        <w:tc>
          <w:tcPr>
            <w:tcW w:w="262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83F34" w:rsidP="009B2C38" w14:paraId="667CFAD8" w14:textId="77777777">
            <w:pPr>
              <w:widowControl/>
              <w:spacing w:after="0" w:line="240" w:lineRule="auto"/>
              <w:rPr>
                <w:rFonts w:ascii="Times New Roman" w:eastAsia="Times New Roman" w:hAnsi="Times New Roman" w:cs="Times New Roman"/>
                <w:b/>
                <w:bCs/>
                <w:color w:val="000000"/>
                <w:sz w:val="20"/>
                <w:szCs w:val="20"/>
              </w:rPr>
            </w:pPr>
          </w:p>
          <w:p w:rsidR="00E83F34" w:rsidRPr="00400B81" w:rsidP="009B2C38" w14:paraId="6F248B71" w14:textId="2A25BB76">
            <w:pPr>
              <w:widowControl/>
              <w:spacing w:after="0" w:line="240" w:lineRule="auto"/>
              <w:rPr>
                <w:rFonts w:ascii="Times New Roman" w:eastAsia="Times New Roman" w:hAnsi="Times New Roman" w:cs="Times New Roman"/>
                <w:b/>
                <w:bCs/>
                <w:color w:val="000000"/>
                <w:sz w:val="20"/>
                <w:szCs w:val="20"/>
              </w:rPr>
            </w:pPr>
            <w:r w:rsidRPr="00400B81">
              <w:rPr>
                <w:rFonts w:ascii="Times New Roman" w:eastAsia="Times New Roman" w:hAnsi="Times New Roman" w:cs="Times New Roman"/>
                <w:b/>
                <w:bCs/>
                <w:color w:val="000000"/>
                <w:sz w:val="20"/>
                <w:szCs w:val="20"/>
              </w:rPr>
              <w:t xml:space="preserve">Total </w:t>
            </w:r>
            <w:r>
              <w:rPr>
                <w:rFonts w:ascii="Times New Roman" w:eastAsia="Times New Roman" w:hAnsi="Times New Roman" w:cs="Times New Roman"/>
                <w:b/>
                <w:bCs/>
                <w:color w:val="000000"/>
                <w:sz w:val="20"/>
                <w:szCs w:val="20"/>
              </w:rPr>
              <w:t xml:space="preserve">Federal Government </w:t>
            </w:r>
            <w:r w:rsidRPr="00400B81">
              <w:rPr>
                <w:rFonts w:ascii="Times New Roman" w:eastAsia="Times New Roman" w:hAnsi="Times New Roman" w:cs="Times New Roman"/>
                <w:b/>
                <w:bCs/>
                <w:color w:val="000000"/>
                <w:sz w:val="20"/>
                <w:szCs w:val="20"/>
              </w:rPr>
              <w:t xml:space="preserve">Wages </w:t>
            </w:r>
          </w:p>
        </w:tc>
      </w:tr>
      <w:tr w14:paraId="4405537B" w14:textId="77777777" w:rsidTr="006D5148">
        <w:tblPrEx>
          <w:tblW w:w="7005" w:type="dxa"/>
          <w:jc w:val="center"/>
          <w:tblLook w:val="04A0"/>
        </w:tblPrEx>
        <w:trPr>
          <w:trHeight w:val="237"/>
          <w:jc w:val="center"/>
        </w:trPr>
        <w:tc>
          <w:tcPr>
            <w:tcW w:w="2064" w:type="dxa"/>
            <w:tcBorders>
              <w:top w:val="single" w:sz="12" w:space="0" w:color="auto"/>
              <w:left w:val="single" w:sz="12" w:space="0" w:color="auto"/>
              <w:bottom w:val="single" w:sz="12" w:space="0" w:color="auto"/>
              <w:right w:val="single" w:sz="12" w:space="0" w:color="auto"/>
            </w:tcBorders>
          </w:tcPr>
          <w:p w:rsidR="00E83F34" w:rsidRPr="00400B81" w:rsidP="006D5148" w14:paraId="5F8BB35C" w14:textId="008368F7">
            <w:pPr>
              <w:widowControl/>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400B81">
              <w:rPr>
                <w:rFonts w:ascii="Times New Roman" w:eastAsia="Times New Roman" w:hAnsi="Times New Roman" w:cs="Times New Roman"/>
                <w:b/>
                <w:bCs/>
                <w:color w:val="000000"/>
                <w:sz w:val="20"/>
                <w:szCs w:val="20"/>
              </w:rPr>
              <w:t>$96,690.75</w:t>
            </w:r>
          </w:p>
        </w:tc>
        <w:tc>
          <w:tcPr>
            <w:tcW w:w="440" w:type="dxa"/>
            <w:tcBorders>
              <w:top w:val="single" w:sz="12" w:space="0" w:color="auto"/>
              <w:left w:val="single" w:sz="12" w:space="0" w:color="auto"/>
              <w:bottom w:val="single" w:sz="12" w:space="0" w:color="auto"/>
              <w:right w:val="single" w:sz="12" w:space="0" w:color="auto"/>
            </w:tcBorders>
            <w:vAlign w:val="center"/>
          </w:tcPr>
          <w:p w:rsidR="00E83F34" w:rsidRPr="00400B81" w:rsidP="00E83F34" w14:paraId="02CB42ED" w14:textId="386F1FDB">
            <w:pPr>
              <w:widowControl/>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33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83F34" w:rsidRPr="00400B81" w:rsidP="00E83F34" w14:paraId="0D6CAEE9" w14:textId="2E6F66E6">
            <w:pPr>
              <w:widowControl/>
              <w:spacing w:after="0" w:line="240" w:lineRule="auto"/>
              <w:jc w:val="center"/>
              <w:rPr>
                <w:rFonts w:ascii="Times New Roman" w:eastAsia="Times New Roman" w:hAnsi="Times New Roman" w:cs="Times New Roman"/>
                <w:b/>
                <w:bCs/>
                <w:color w:val="000000"/>
                <w:sz w:val="20"/>
                <w:szCs w:val="20"/>
              </w:rPr>
            </w:pPr>
            <w:r w:rsidRPr="00400B81">
              <w:rPr>
                <w:rFonts w:ascii="Times New Roman" w:eastAsia="Times New Roman" w:hAnsi="Times New Roman" w:cs="Times New Roman"/>
                <w:b/>
                <w:bCs/>
                <w:color w:val="000000"/>
                <w:sz w:val="20"/>
                <w:szCs w:val="20"/>
              </w:rPr>
              <w:t>5</w:t>
            </w:r>
          </w:p>
        </w:tc>
        <w:tc>
          <w:tcPr>
            <w:tcW w:w="541" w:type="dxa"/>
            <w:tcBorders>
              <w:top w:val="single" w:sz="12" w:space="0" w:color="auto"/>
              <w:left w:val="single" w:sz="12" w:space="0" w:color="auto"/>
              <w:bottom w:val="single" w:sz="12" w:space="0" w:color="auto"/>
              <w:right w:val="single" w:sz="12" w:space="0" w:color="auto"/>
            </w:tcBorders>
            <w:vAlign w:val="center"/>
          </w:tcPr>
          <w:p w:rsidR="00E83F34" w:rsidRPr="00400B81" w:rsidP="00E83F34" w14:paraId="31134742" w14:textId="2F477730">
            <w:pPr>
              <w:widowControl/>
              <w:spacing w:after="0" w:line="240" w:lineRule="auto"/>
              <w:ind w:right="211"/>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621" w:type="dxa"/>
            <w:tcBorders>
              <w:top w:val="single" w:sz="12" w:space="0" w:color="auto"/>
              <w:left w:val="single" w:sz="12" w:space="0" w:color="auto"/>
              <w:bottom w:val="single" w:sz="12" w:space="0" w:color="auto"/>
              <w:right w:val="single" w:sz="12" w:space="0" w:color="auto"/>
            </w:tcBorders>
            <w:vAlign w:val="center"/>
          </w:tcPr>
          <w:p w:rsidR="00E83F34" w:rsidRPr="00400B81" w:rsidP="006D5148" w14:paraId="25E457B4" w14:textId="1FEA7973">
            <w:pPr>
              <w:widowControl/>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400B81">
              <w:rPr>
                <w:rFonts w:ascii="Times New Roman" w:eastAsia="Times New Roman" w:hAnsi="Times New Roman" w:cs="Times New Roman"/>
                <w:b/>
                <w:bCs/>
                <w:color w:val="000000"/>
                <w:sz w:val="20"/>
                <w:szCs w:val="20"/>
              </w:rPr>
              <w:t xml:space="preserve">$  </w:t>
            </w:r>
            <w:bookmarkStart w:id="4" w:name="_Hlk164073286"/>
            <w:r w:rsidRPr="00400B81">
              <w:rPr>
                <w:rFonts w:ascii="Times New Roman" w:eastAsia="Times New Roman" w:hAnsi="Times New Roman" w:cs="Times New Roman"/>
                <w:b/>
                <w:bCs/>
                <w:color w:val="000000"/>
                <w:sz w:val="20"/>
                <w:szCs w:val="20"/>
              </w:rPr>
              <w:t>483,453.75</w:t>
            </w:r>
            <w:bookmarkEnd w:id="4"/>
          </w:p>
        </w:tc>
      </w:tr>
    </w:tbl>
    <w:p w:rsidR="00E83F34" w:rsidP="005346D8" w14:paraId="7ECF1F7A" w14:textId="116987B2">
      <w:pPr>
        <w:tabs>
          <w:tab w:val="left" w:pos="900"/>
        </w:tabs>
        <w:spacing w:after="0" w:line="280" w:lineRule="exact"/>
        <w:ind w:left="900" w:right="20"/>
        <w:rPr>
          <w:rFonts w:ascii="Times New Roman" w:eastAsia="Times New Roman" w:hAnsi="Times New Roman" w:cs="Times New Roman"/>
          <w:i/>
          <w:sz w:val="24"/>
          <w:szCs w:val="24"/>
        </w:rPr>
      </w:pPr>
    </w:p>
    <w:p w:rsidR="00E83F34" w:rsidRPr="00417B00" w:rsidP="005346D8" w14:paraId="188776FB" w14:textId="77777777">
      <w:pPr>
        <w:tabs>
          <w:tab w:val="left" w:pos="900"/>
        </w:tabs>
        <w:spacing w:after="0" w:line="280" w:lineRule="exact"/>
        <w:ind w:left="900" w:right="20"/>
        <w:rPr>
          <w:rFonts w:ascii="Times New Roman" w:eastAsia="Times New Roman" w:hAnsi="Times New Roman" w:cs="Times New Roman"/>
          <w:i/>
          <w:sz w:val="24"/>
          <w:szCs w:val="24"/>
        </w:rPr>
      </w:pPr>
    </w:p>
    <w:p w:rsidR="00B203C6" w:rsidRPr="006D5148" w:rsidP="006D5148" w14:paraId="0066EB36" w14:textId="1DDF745A">
      <w:pPr>
        <w:pStyle w:val="ListParagraph"/>
        <w:numPr>
          <w:ilvl w:val="0"/>
          <w:numId w:val="8"/>
        </w:numPr>
        <w:spacing w:after="0" w:line="280" w:lineRule="exact"/>
        <w:ind w:right="20"/>
        <w:rPr>
          <w:rFonts w:ascii="Times New Roman" w:hAnsi="Times New Roman" w:cs="Times New Roman"/>
          <w:b/>
          <w:bCs/>
          <w:sz w:val="24"/>
          <w:szCs w:val="24"/>
        </w:rPr>
      </w:pPr>
      <w:r w:rsidRPr="006D5148">
        <w:rPr>
          <w:b/>
          <w:bCs/>
          <w:noProof/>
        </w:rPr>
        <mc:AlternateContent>
          <mc:Choice Requires="wpg">
            <w:drawing>
              <wp:anchor distT="0" distB="0" distL="114300" distR="114300" simplePos="0" relativeHeight="251658240" behindDoc="1" locked="0" layoutInCell="1" allowOverlap="1">
                <wp:simplePos x="0" y="0"/>
                <wp:positionH relativeFrom="page">
                  <wp:posOffset>4445</wp:posOffset>
                </wp:positionH>
                <wp:positionV relativeFrom="paragraph">
                  <wp:posOffset>4445</wp:posOffset>
                </wp:positionV>
                <wp:extent cx="1270" cy="476885"/>
                <wp:effectExtent l="13970" t="13970" r="3810" b="13970"/>
                <wp:wrapNone/>
                <wp:docPr id="1"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476885"/>
                          <a:chOff x="7" y="7"/>
                          <a:chExt cx="2" cy="751"/>
                        </a:xfrm>
                      </wpg:grpSpPr>
                      <wps:wsp xmlns:wps="http://schemas.microsoft.com/office/word/2010/wordprocessingShape">
                        <wps:cNvPr id="3" name="Freeform 4"/>
                        <wps:cNvSpPr/>
                        <wps:spPr bwMode="auto">
                          <a:xfrm>
                            <a:off x="7" y="7"/>
                            <a:ext cx="2" cy="751"/>
                          </a:xfrm>
                          <a:custGeom>
                            <a:avLst/>
                            <a:gdLst>
                              <a:gd name="T0" fmla="+- 0 758 7"/>
                              <a:gd name="T1" fmla="*/ 758 h 751"/>
                              <a:gd name="T2" fmla="+- 0 7 7"/>
                              <a:gd name="T3" fmla="*/ 7 h 751"/>
                            </a:gdLst>
                            <a:cxnLst>
                              <a:cxn ang="0">
                                <a:pos x="0" y="T1"/>
                              </a:cxn>
                              <a:cxn ang="0">
                                <a:pos x="0" y="T3"/>
                              </a:cxn>
                            </a:cxnLst>
                            <a:rect l="0" t="0" r="r" b="b"/>
                            <a:pathLst>
                              <a:path fill="norm" h="751" stroke="1">
                                <a:moveTo>
                                  <a:pt x="0" y="751"/>
                                </a:moveTo>
                                <a:lnTo>
                                  <a:pt x="0" y="0"/>
                                </a:lnTo>
                              </a:path>
                            </a:pathLst>
                          </a:custGeom>
                          <a:noFill/>
                          <a:ln w="30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25" style="width:0.1pt;height:37.55pt;margin-top:0.35pt;margin-left:0.35pt;mso-position-horizontal-relative:page;position:absolute;z-index:-251657216" coordorigin="7,7" coordsize="2,751">
                <v:shape id="Freeform 4" o:spid="_x0000_s1026" style="width:2;height:751;left:7;mso-wrap-style:square;position:absolute;top:7;visibility:visible;v-text-anchor:top" coordsize="2,751" path="m,751l,e" filled="f" strokeweight="0.24pt">
                  <v:path arrowok="t" o:connecttype="custom" o:connectlocs="0,758;0,7" o:connectangles="0,0"/>
                </v:shape>
              </v:group>
            </w:pict>
          </mc:Fallback>
        </mc:AlternateContent>
      </w:r>
      <w:r w:rsidRPr="006D5148" w:rsidR="00417B00">
        <w:rPr>
          <w:rFonts w:ascii="Times New Roman" w:hAnsi="Times New Roman" w:cs="Times New Roman"/>
          <w:b/>
          <w:bCs/>
          <w:sz w:val="24"/>
          <w:szCs w:val="24"/>
        </w:rPr>
        <w:t xml:space="preserve">Explanation of </w:t>
      </w:r>
      <w:r w:rsidRPr="006D5148">
        <w:rPr>
          <w:rFonts w:ascii="Times New Roman" w:hAnsi="Times New Roman" w:cs="Times New Roman"/>
          <w:b/>
          <w:bCs/>
          <w:sz w:val="24"/>
          <w:szCs w:val="24"/>
        </w:rPr>
        <w:t xml:space="preserve">Program Changes </w:t>
      </w:r>
      <w:r w:rsidRPr="006D5148" w:rsidR="00417B00">
        <w:rPr>
          <w:rFonts w:ascii="Times New Roman" w:hAnsi="Times New Roman" w:cs="Times New Roman"/>
          <w:b/>
          <w:bCs/>
          <w:sz w:val="24"/>
          <w:szCs w:val="24"/>
        </w:rPr>
        <w:t xml:space="preserve">or </w:t>
      </w:r>
      <w:r w:rsidRPr="006D5148">
        <w:rPr>
          <w:rFonts w:ascii="Times New Roman" w:hAnsi="Times New Roman" w:cs="Times New Roman"/>
          <w:b/>
          <w:bCs/>
          <w:sz w:val="24"/>
          <w:szCs w:val="24"/>
        </w:rPr>
        <w:t>Adjustments</w:t>
      </w:r>
    </w:p>
    <w:p w:rsidR="000720CA" w:rsidRPr="00B203C6" w:rsidP="006D5148" w14:paraId="7BCBCC70" w14:textId="77777777">
      <w:pPr>
        <w:pStyle w:val="ListParagraph"/>
        <w:spacing w:after="0" w:line="280" w:lineRule="exact"/>
        <w:ind w:right="20"/>
        <w:rPr>
          <w:rFonts w:ascii="Times New Roman" w:hAnsi="Times New Roman" w:cs="Times New Roman"/>
          <w:sz w:val="24"/>
          <w:szCs w:val="24"/>
        </w:rPr>
      </w:pPr>
    </w:p>
    <w:p w:rsidR="00CA6499" w:rsidRPr="006D5148" w:rsidP="006D5148" w14:paraId="546ECC76" w14:textId="080A9035">
      <w:pPr>
        <w:spacing w:after="0" w:line="280" w:lineRule="exact"/>
        <w:ind w:left="720" w:right="20"/>
        <w:rPr>
          <w:rFonts w:ascii="Times New Roman" w:hAnsi="Times New Roman" w:cs="Times New Roman"/>
          <w:iCs/>
          <w:sz w:val="24"/>
          <w:szCs w:val="24"/>
        </w:rPr>
      </w:pPr>
      <w:r w:rsidRPr="006D5148">
        <w:rPr>
          <w:rFonts w:ascii="Times New Roman" w:hAnsi="Times New Roman" w:cs="Times New Roman"/>
          <w:iCs/>
          <w:sz w:val="24"/>
          <w:szCs w:val="24"/>
        </w:rPr>
        <w:t>Since the last renewal</w:t>
      </w:r>
      <w:r>
        <w:rPr>
          <w:rFonts w:ascii="Times New Roman" w:hAnsi="Times New Roman" w:cs="Times New Roman"/>
          <w:iCs/>
          <w:sz w:val="24"/>
          <w:szCs w:val="24"/>
        </w:rPr>
        <w:t>,</w:t>
      </w:r>
      <w:r w:rsidRPr="006D5148">
        <w:rPr>
          <w:rFonts w:ascii="Times New Roman" w:hAnsi="Times New Roman" w:cs="Times New Roman"/>
          <w:iCs/>
          <w:sz w:val="24"/>
          <w:szCs w:val="24"/>
        </w:rPr>
        <w:t xml:space="preserve"> there has been change </w:t>
      </w:r>
      <w:r w:rsidRPr="006D5148" w:rsidR="00E05B4B">
        <w:rPr>
          <w:rFonts w:ascii="Times New Roman" w:hAnsi="Times New Roman" w:cs="Times New Roman"/>
          <w:iCs/>
          <w:sz w:val="24"/>
          <w:szCs w:val="24"/>
        </w:rPr>
        <w:t xml:space="preserve">in the public burden reported in this collection. </w:t>
      </w:r>
      <w:r w:rsidRPr="006D5148">
        <w:rPr>
          <w:rFonts w:ascii="Times New Roman" w:hAnsi="Times New Roman" w:cs="Times New Roman"/>
          <w:iCs/>
          <w:sz w:val="24"/>
          <w:szCs w:val="24"/>
        </w:rPr>
        <w:t xml:space="preserve">Specifically the total respondents and burden hours have reduced from </w:t>
      </w:r>
      <w:r w:rsidRPr="006D5148" w:rsidR="00E05B4B">
        <w:rPr>
          <w:rFonts w:ascii="Times New Roman" w:hAnsi="Times New Roman" w:cs="Times New Roman"/>
          <w:iCs/>
          <w:sz w:val="24"/>
          <w:szCs w:val="24"/>
        </w:rPr>
        <w:t xml:space="preserve">10 </w:t>
      </w:r>
      <w:r w:rsidRPr="006D5148">
        <w:rPr>
          <w:rFonts w:ascii="Times New Roman" w:hAnsi="Times New Roman" w:cs="Times New Roman"/>
          <w:iCs/>
          <w:sz w:val="24"/>
          <w:szCs w:val="24"/>
        </w:rPr>
        <w:t>and</w:t>
      </w:r>
      <w:r w:rsidRPr="006D5148" w:rsidR="00E05B4B">
        <w:rPr>
          <w:rFonts w:ascii="Times New Roman" w:hAnsi="Times New Roman" w:cs="Times New Roman"/>
          <w:iCs/>
          <w:sz w:val="24"/>
          <w:szCs w:val="24"/>
        </w:rPr>
        <w:t xml:space="preserve"> 1</w:t>
      </w:r>
      <w:r w:rsidR="00A46247">
        <w:rPr>
          <w:rFonts w:ascii="Times New Roman" w:hAnsi="Times New Roman" w:cs="Times New Roman"/>
          <w:iCs/>
          <w:sz w:val="24"/>
          <w:szCs w:val="24"/>
        </w:rPr>
        <w:t>,</w:t>
      </w:r>
      <w:r w:rsidRPr="006D5148" w:rsidR="00E05B4B">
        <w:rPr>
          <w:rFonts w:ascii="Times New Roman" w:hAnsi="Times New Roman" w:cs="Times New Roman"/>
          <w:iCs/>
          <w:sz w:val="24"/>
          <w:szCs w:val="24"/>
        </w:rPr>
        <w:t>500 hours</w:t>
      </w:r>
      <w:r w:rsidRPr="006D5148">
        <w:rPr>
          <w:rFonts w:ascii="Times New Roman" w:hAnsi="Times New Roman" w:cs="Times New Roman"/>
          <w:iCs/>
          <w:sz w:val="24"/>
          <w:szCs w:val="24"/>
        </w:rPr>
        <w:t xml:space="preserve"> in 2021, to </w:t>
      </w:r>
      <w:r w:rsidRPr="006D5148" w:rsidR="00156038">
        <w:rPr>
          <w:rFonts w:ascii="Times New Roman" w:hAnsi="Times New Roman" w:cs="Times New Roman"/>
          <w:iCs/>
          <w:sz w:val="24"/>
          <w:szCs w:val="24"/>
        </w:rPr>
        <w:t xml:space="preserve">5 respondents </w:t>
      </w:r>
      <w:r w:rsidRPr="006D5148">
        <w:rPr>
          <w:rFonts w:ascii="Times New Roman" w:hAnsi="Times New Roman" w:cs="Times New Roman"/>
          <w:iCs/>
          <w:sz w:val="24"/>
          <w:szCs w:val="24"/>
        </w:rPr>
        <w:t>and a</w:t>
      </w:r>
      <w:r w:rsidRPr="006D5148" w:rsidR="00156038">
        <w:rPr>
          <w:rFonts w:ascii="Times New Roman" w:hAnsi="Times New Roman" w:cs="Times New Roman"/>
          <w:iCs/>
          <w:sz w:val="24"/>
          <w:szCs w:val="24"/>
        </w:rPr>
        <w:t xml:space="preserve"> total of 750 hours</w:t>
      </w:r>
      <w:r w:rsidRPr="006D5148">
        <w:rPr>
          <w:rFonts w:ascii="Times New Roman" w:hAnsi="Times New Roman" w:cs="Times New Roman"/>
          <w:iCs/>
          <w:sz w:val="24"/>
          <w:szCs w:val="24"/>
        </w:rPr>
        <w:t xml:space="preserve"> </w:t>
      </w:r>
      <w:r w:rsidRPr="00A46247" w:rsidR="00A46247">
        <w:rPr>
          <w:rFonts w:ascii="Times New Roman" w:hAnsi="Times New Roman" w:cs="Times New Roman"/>
          <w:iCs/>
          <w:sz w:val="24"/>
          <w:szCs w:val="24"/>
        </w:rPr>
        <w:t>respectivel</w:t>
      </w:r>
      <w:r w:rsidR="00A46247">
        <w:rPr>
          <w:rFonts w:ascii="Times New Roman" w:hAnsi="Times New Roman" w:cs="Times New Roman"/>
          <w:iCs/>
          <w:sz w:val="24"/>
          <w:szCs w:val="24"/>
        </w:rPr>
        <w:t>y</w:t>
      </w:r>
      <w:r>
        <w:rPr>
          <w:rFonts w:ascii="Times New Roman" w:hAnsi="Times New Roman" w:cs="Times New Roman"/>
          <w:iCs/>
          <w:sz w:val="24"/>
          <w:szCs w:val="24"/>
        </w:rPr>
        <w:t xml:space="preserve"> in the current renewal</w:t>
      </w:r>
      <w:r w:rsidRPr="006D5148" w:rsidR="00156038">
        <w:rPr>
          <w:rFonts w:ascii="Times New Roman" w:hAnsi="Times New Roman" w:cs="Times New Roman"/>
          <w:iCs/>
          <w:sz w:val="24"/>
          <w:szCs w:val="24"/>
        </w:rPr>
        <w:t xml:space="preserve">. </w:t>
      </w:r>
    </w:p>
    <w:p w:rsidR="00CA6499" w:rsidRPr="00B171A4" w:rsidP="006D5148" w14:paraId="39A6BABC" w14:textId="77777777">
      <w:pPr>
        <w:tabs>
          <w:tab w:val="left" w:pos="900"/>
        </w:tabs>
        <w:spacing w:after="0" w:line="280" w:lineRule="exact"/>
        <w:ind w:left="720" w:right="20" w:hanging="450"/>
        <w:rPr>
          <w:rFonts w:ascii="Times New Roman" w:eastAsia="Times New Roman" w:hAnsi="Times New Roman" w:cs="Times New Roman"/>
          <w:sz w:val="24"/>
          <w:szCs w:val="24"/>
        </w:rPr>
      </w:pPr>
    </w:p>
    <w:p w:rsidR="000720CA" w:rsidRPr="006D5148" w:rsidP="006D5148" w14:paraId="4C569F67" w14:textId="5C6EA41E">
      <w:pPr>
        <w:pStyle w:val="ListParagraph"/>
        <w:numPr>
          <w:ilvl w:val="0"/>
          <w:numId w:val="8"/>
        </w:numPr>
        <w:tabs>
          <w:tab w:val="left" w:pos="900"/>
        </w:tabs>
        <w:spacing w:after="0" w:line="280" w:lineRule="exact"/>
        <w:ind w:right="20"/>
        <w:rPr>
          <w:rFonts w:ascii="Times New Roman" w:eastAsia="Times New Roman" w:hAnsi="Times New Roman" w:cs="Times New Roman"/>
          <w:b/>
          <w:bCs/>
          <w:sz w:val="24"/>
          <w:szCs w:val="24"/>
        </w:rPr>
      </w:pPr>
      <w:r w:rsidRPr="006D5148">
        <w:rPr>
          <w:rFonts w:ascii="Times New Roman" w:eastAsia="Times New Roman" w:hAnsi="Times New Roman" w:cs="Times New Roman"/>
          <w:b/>
          <w:bCs/>
          <w:sz w:val="24"/>
          <w:szCs w:val="24"/>
        </w:rPr>
        <w:t xml:space="preserve">Publication of </w:t>
      </w:r>
      <w:r w:rsidRPr="006D5148" w:rsidR="00B203C6">
        <w:rPr>
          <w:rFonts w:ascii="Times New Roman" w:eastAsia="Times New Roman" w:hAnsi="Times New Roman" w:cs="Times New Roman"/>
          <w:b/>
          <w:bCs/>
          <w:sz w:val="24"/>
          <w:szCs w:val="24"/>
        </w:rPr>
        <w:t>D</w:t>
      </w:r>
      <w:r w:rsidRPr="006D5148">
        <w:rPr>
          <w:rFonts w:ascii="Times New Roman" w:eastAsia="Times New Roman" w:hAnsi="Times New Roman" w:cs="Times New Roman"/>
          <w:b/>
          <w:bCs/>
          <w:sz w:val="24"/>
          <w:szCs w:val="24"/>
        </w:rPr>
        <w:t xml:space="preserve">ata </w:t>
      </w:r>
      <w:r w:rsidRPr="006D5148" w:rsidR="00B203C6">
        <w:rPr>
          <w:rFonts w:ascii="Times New Roman" w:eastAsia="Times New Roman" w:hAnsi="Times New Roman" w:cs="Times New Roman"/>
          <w:b/>
          <w:bCs/>
          <w:sz w:val="24"/>
          <w:szCs w:val="24"/>
        </w:rPr>
        <w:t>Collection Results</w:t>
      </w:r>
      <w:r w:rsidRPr="006D5148">
        <w:rPr>
          <w:rFonts w:ascii="Times New Roman" w:eastAsia="Times New Roman" w:hAnsi="Times New Roman" w:cs="Times New Roman"/>
          <w:b/>
          <w:bCs/>
          <w:sz w:val="24"/>
          <w:szCs w:val="24"/>
        </w:rPr>
        <w:t xml:space="preserve"> </w:t>
      </w:r>
    </w:p>
    <w:p w:rsidR="00551BA8" w:rsidRPr="00B171A4" w:rsidP="005346D8" w14:paraId="322E1BD8" w14:textId="77777777">
      <w:pPr>
        <w:spacing w:after="0" w:line="280" w:lineRule="exact"/>
        <w:ind w:right="20"/>
        <w:rPr>
          <w:rFonts w:ascii="Times New Roman" w:hAnsi="Times New Roman" w:cs="Times New Roman"/>
          <w:sz w:val="24"/>
          <w:szCs w:val="24"/>
        </w:rPr>
      </w:pPr>
    </w:p>
    <w:p w:rsidR="00551BA8" w:rsidRPr="006D5148" w:rsidP="006D5148" w14:paraId="2DEEF6C0" w14:textId="29334489">
      <w:pPr>
        <w:tabs>
          <w:tab w:val="left" w:pos="900"/>
        </w:tabs>
        <w:spacing w:after="0" w:line="280" w:lineRule="exact"/>
        <w:ind w:left="720" w:right="20"/>
        <w:rPr>
          <w:rFonts w:ascii="Times New Roman" w:eastAsia="Times New Roman" w:hAnsi="Times New Roman" w:cs="Times New Roman"/>
          <w:iCs/>
          <w:sz w:val="24"/>
          <w:szCs w:val="24"/>
        </w:rPr>
      </w:pPr>
      <w:r w:rsidRPr="006D5148">
        <w:rPr>
          <w:rFonts w:ascii="Times New Roman" w:eastAsia="Times New Roman" w:hAnsi="Times New Roman" w:cs="Times New Roman"/>
          <w:iCs/>
          <w:sz w:val="24"/>
          <w:szCs w:val="24"/>
        </w:rPr>
        <w:t>All information supplied in part I of the application will be released for public information purposes</w:t>
      </w:r>
      <w:r w:rsidR="00A46247">
        <w:rPr>
          <w:rFonts w:ascii="Times New Roman" w:eastAsia="Times New Roman" w:hAnsi="Times New Roman" w:cs="Times New Roman"/>
          <w:iCs/>
          <w:sz w:val="24"/>
          <w:szCs w:val="24"/>
        </w:rPr>
        <w:t xml:space="preserve"> only</w:t>
      </w:r>
      <w:r w:rsidRPr="006D5148">
        <w:rPr>
          <w:rFonts w:ascii="Times New Roman" w:eastAsia="Times New Roman" w:hAnsi="Times New Roman" w:cs="Times New Roman"/>
          <w:iCs/>
          <w:sz w:val="24"/>
          <w:szCs w:val="24"/>
        </w:rPr>
        <w:t xml:space="preserve">. </w:t>
      </w:r>
      <w:r w:rsidR="00A46247">
        <w:rPr>
          <w:rFonts w:ascii="Times New Roman" w:eastAsia="Times New Roman" w:hAnsi="Times New Roman" w:cs="Times New Roman"/>
          <w:iCs/>
          <w:sz w:val="24"/>
          <w:szCs w:val="24"/>
        </w:rPr>
        <w:t xml:space="preserve">Specifically, data </w:t>
      </w:r>
      <w:r w:rsidRPr="006D5148">
        <w:rPr>
          <w:rFonts w:ascii="Times New Roman" w:eastAsia="Times New Roman" w:hAnsi="Times New Roman" w:cs="Times New Roman"/>
          <w:iCs/>
          <w:sz w:val="24"/>
          <w:szCs w:val="24"/>
        </w:rPr>
        <w:t xml:space="preserve">supplied in </w:t>
      </w:r>
      <w:r w:rsidR="00D27B1E">
        <w:rPr>
          <w:rFonts w:ascii="Times New Roman" w:eastAsia="Times New Roman" w:hAnsi="Times New Roman" w:cs="Times New Roman"/>
          <w:iCs/>
          <w:sz w:val="24"/>
          <w:szCs w:val="24"/>
        </w:rPr>
        <w:t>P</w:t>
      </w:r>
      <w:r w:rsidRPr="006D5148" w:rsidR="00D27B1E">
        <w:rPr>
          <w:rFonts w:ascii="Times New Roman" w:eastAsia="Times New Roman" w:hAnsi="Times New Roman" w:cs="Times New Roman"/>
          <w:iCs/>
          <w:sz w:val="24"/>
          <w:szCs w:val="24"/>
        </w:rPr>
        <w:t xml:space="preserve">arts </w:t>
      </w:r>
      <w:r w:rsidRPr="006D5148">
        <w:rPr>
          <w:rFonts w:ascii="Times New Roman" w:eastAsia="Times New Roman" w:hAnsi="Times New Roman" w:cs="Times New Roman"/>
          <w:iCs/>
          <w:sz w:val="24"/>
          <w:szCs w:val="24"/>
        </w:rPr>
        <w:t>II through V</w:t>
      </w:r>
      <w:r w:rsidR="00D27B1E">
        <w:rPr>
          <w:rFonts w:ascii="Times New Roman" w:eastAsia="Times New Roman" w:hAnsi="Times New Roman" w:cs="Times New Roman"/>
          <w:iCs/>
          <w:sz w:val="24"/>
          <w:szCs w:val="24"/>
        </w:rPr>
        <w:t xml:space="preserve"> of both applications</w:t>
      </w:r>
      <w:r w:rsidRPr="006D5148">
        <w:rPr>
          <w:rFonts w:ascii="Times New Roman" w:eastAsia="Times New Roman" w:hAnsi="Times New Roman" w:cs="Times New Roman"/>
          <w:iCs/>
          <w:sz w:val="24"/>
          <w:szCs w:val="24"/>
        </w:rPr>
        <w:t xml:space="preserve"> will be subject to</w:t>
      </w:r>
      <w:r w:rsidRPr="006D5148" w:rsidR="00B203C6">
        <w:rPr>
          <w:rFonts w:ascii="Times New Roman" w:eastAsia="Times New Roman" w:hAnsi="Times New Roman" w:cs="Times New Roman"/>
          <w:iCs/>
          <w:sz w:val="24"/>
          <w:szCs w:val="24"/>
        </w:rPr>
        <w:t xml:space="preserve"> </w:t>
      </w:r>
      <w:r w:rsidR="00D27B1E">
        <w:rPr>
          <w:rFonts w:ascii="Times New Roman" w:eastAsia="Times New Roman" w:hAnsi="Times New Roman" w:cs="Times New Roman"/>
          <w:iCs/>
          <w:sz w:val="24"/>
          <w:szCs w:val="24"/>
        </w:rPr>
        <w:t>disclosure under the provisions of the F</w:t>
      </w:r>
      <w:r w:rsidRPr="006D5148" w:rsidR="00D27B1E">
        <w:rPr>
          <w:rFonts w:ascii="Times New Roman" w:eastAsia="Times New Roman" w:hAnsi="Times New Roman" w:cs="Times New Roman"/>
          <w:iCs/>
          <w:sz w:val="24"/>
          <w:szCs w:val="24"/>
        </w:rPr>
        <w:t xml:space="preserve">reedom of </w:t>
      </w:r>
      <w:r w:rsidR="00D27B1E">
        <w:rPr>
          <w:rFonts w:ascii="Times New Roman" w:eastAsia="Times New Roman" w:hAnsi="Times New Roman" w:cs="Times New Roman"/>
          <w:iCs/>
          <w:sz w:val="24"/>
          <w:szCs w:val="24"/>
        </w:rPr>
        <w:t>I</w:t>
      </w:r>
      <w:r w:rsidRPr="006D5148" w:rsidR="00D27B1E">
        <w:rPr>
          <w:rFonts w:ascii="Times New Roman" w:eastAsia="Times New Roman" w:hAnsi="Times New Roman" w:cs="Times New Roman"/>
          <w:iCs/>
          <w:sz w:val="24"/>
          <w:szCs w:val="24"/>
        </w:rPr>
        <w:t>nformation act (FOIA), 5 U</w:t>
      </w:r>
      <w:r w:rsidR="00A2325C">
        <w:rPr>
          <w:rFonts w:ascii="Times New Roman" w:eastAsia="Times New Roman" w:hAnsi="Times New Roman" w:cs="Times New Roman"/>
          <w:iCs/>
          <w:sz w:val="24"/>
          <w:szCs w:val="24"/>
        </w:rPr>
        <w:t>SC</w:t>
      </w:r>
      <w:r w:rsidRPr="006D5148" w:rsidR="00D27B1E">
        <w:rPr>
          <w:rFonts w:ascii="Times New Roman" w:eastAsia="Times New Roman" w:hAnsi="Times New Roman" w:cs="Times New Roman"/>
          <w:iCs/>
          <w:sz w:val="24"/>
          <w:szCs w:val="24"/>
        </w:rPr>
        <w:t xml:space="preserve"> 552</w:t>
      </w:r>
      <w:r w:rsidR="00D27B1E">
        <w:rPr>
          <w:rFonts w:ascii="Times New Roman" w:eastAsia="Times New Roman" w:hAnsi="Times New Roman" w:cs="Times New Roman"/>
          <w:iCs/>
          <w:sz w:val="24"/>
          <w:szCs w:val="24"/>
        </w:rPr>
        <w:t>.</w:t>
      </w:r>
      <w:r w:rsidRPr="00D27B1E" w:rsidR="00D27B1E">
        <w:rPr>
          <w:rFonts w:ascii="Times New Roman" w:eastAsia="Times New Roman" w:hAnsi="Times New Roman" w:cs="Times New Roman"/>
          <w:iCs/>
          <w:sz w:val="24"/>
          <w:szCs w:val="24"/>
        </w:rPr>
        <w:t xml:space="preserve"> </w:t>
      </w:r>
    </w:p>
    <w:p w:rsidR="00551BA8" w:rsidRPr="00B171A4" w:rsidP="006D5148" w14:paraId="5AC9DB55" w14:textId="77777777">
      <w:pPr>
        <w:tabs>
          <w:tab w:val="left" w:pos="900"/>
        </w:tabs>
        <w:spacing w:after="0" w:line="280" w:lineRule="exact"/>
        <w:ind w:right="20"/>
        <w:rPr>
          <w:rFonts w:ascii="Times New Roman" w:eastAsia="Times New Roman" w:hAnsi="Times New Roman" w:cs="Times New Roman"/>
          <w:sz w:val="24"/>
          <w:szCs w:val="24"/>
        </w:rPr>
      </w:pPr>
    </w:p>
    <w:p w:rsidR="000720CA" w:rsidRPr="006D5148" w:rsidP="006D5148" w14:paraId="0CF022A6" w14:textId="4A6BB60F">
      <w:pPr>
        <w:pStyle w:val="ListParagraph"/>
        <w:numPr>
          <w:ilvl w:val="0"/>
          <w:numId w:val="8"/>
        </w:numPr>
        <w:tabs>
          <w:tab w:val="left" w:pos="900"/>
        </w:tabs>
        <w:spacing w:after="0" w:line="280" w:lineRule="exact"/>
        <w:ind w:right="20"/>
        <w:rPr>
          <w:rFonts w:ascii="Times New Roman" w:eastAsia="Times New Roman" w:hAnsi="Times New Roman" w:cs="Times New Roman"/>
          <w:b/>
          <w:bCs/>
          <w:sz w:val="24"/>
          <w:szCs w:val="24"/>
        </w:rPr>
      </w:pPr>
      <w:r w:rsidRPr="006D5148">
        <w:rPr>
          <w:rFonts w:ascii="Times New Roman" w:eastAsia="Times New Roman" w:hAnsi="Times New Roman" w:cs="Times New Roman"/>
          <w:b/>
          <w:bCs/>
          <w:sz w:val="24"/>
          <w:szCs w:val="24"/>
        </w:rPr>
        <w:t xml:space="preserve">Display of </w:t>
      </w:r>
      <w:r w:rsidRPr="006D5148" w:rsidR="00417B00">
        <w:rPr>
          <w:rFonts w:ascii="Times New Roman" w:eastAsia="Times New Roman" w:hAnsi="Times New Roman" w:cs="Times New Roman"/>
          <w:b/>
          <w:bCs/>
          <w:sz w:val="24"/>
          <w:szCs w:val="24"/>
        </w:rPr>
        <w:t>the</w:t>
      </w:r>
      <w:r w:rsidRPr="006D5148">
        <w:rPr>
          <w:rFonts w:ascii="Times New Roman" w:eastAsia="Times New Roman" w:hAnsi="Times New Roman" w:cs="Times New Roman"/>
          <w:b/>
          <w:bCs/>
          <w:sz w:val="24"/>
          <w:szCs w:val="24"/>
        </w:rPr>
        <w:t xml:space="preserve"> OMB </w:t>
      </w:r>
      <w:r w:rsidRPr="006D5148" w:rsidR="00417B00">
        <w:rPr>
          <w:rFonts w:ascii="Times New Roman" w:eastAsia="Times New Roman" w:hAnsi="Times New Roman" w:cs="Times New Roman"/>
          <w:b/>
          <w:bCs/>
          <w:sz w:val="24"/>
          <w:szCs w:val="24"/>
        </w:rPr>
        <w:t xml:space="preserve"> </w:t>
      </w:r>
      <w:r w:rsidRPr="006D5148">
        <w:rPr>
          <w:rFonts w:ascii="Times New Roman" w:eastAsia="Times New Roman" w:hAnsi="Times New Roman" w:cs="Times New Roman"/>
          <w:b/>
          <w:bCs/>
          <w:sz w:val="24"/>
          <w:szCs w:val="24"/>
        </w:rPr>
        <w:t xml:space="preserve">Expiration Date </w:t>
      </w:r>
      <w:r w:rsidRPr="006D5148" w:rsidR="00417B00">
        <w:rPr>
          <w:rFonts w:ascii="Times New Roman" w:eastAsia="Times New Roman" w:hAnsi="Times New Roman" w:cs="Times New Roman"/>
          <w:b/>
          <w:bCs/>
          <w:sz w:val="24"/>
          <w:szCs w:val="24"/>
        </w:rPr>
        <w:t xml:space="preserve">  </w:t>
      </w:r>
    </w:p>
    <w:p w:rsidR="000720CA" w:rsidRPr="00B171A4" w:rsidP="005346D8" w14:paraId="736DFAD1" w14:textId="77777777">
      <w:pPr>
        <w:tabs>
          <w:tab w:val="left" w:pos="720"/>
        </w:tabs>
        <w:spacing w:after="0" w:line="280" w:lineRule="exact"/>
        <w:ind w:left="720" w:right="20" w:hanging="270"/>
        <w:rPr>
          <w:rFonts w:ascii="Times New Roman" w:eastAsia="Times New Roman" w:hAnsi="Times New Roman" w:cs="Times New Roman"/>
          <w:sz w:val="24"/>
          <w:szCs w:val="24"/>
        </w:rPr>
      </w:pPr>
    </w:p>
    <w:p w:rsidR="000720CA" w:rsidRPr="006D5148" w:rsidP="006D5148" w14:paraId="5D3C0CD3" w14:textId="13CD9519">
      <w:pPr>
        <w:tabs>
          <w:tab w:val="left" w:pos="720"/>
        </w:tabs>
        <w:spacing w:after="0" w:line="280" w:lineRule="exact"/>
        <w:ind w:right="20"/>
        <w:rPr>
          <w:rFonts w:ascii="Times New Roman" w:eastAsia="Times New Roman" w:hAnsi="Times New Roman" w:cs="Times New Roman"/>
          <w:iCs/>
          <w:sz w:val="24"/>
          <w:szCs w:val="24"/>
        </w:rPr>
      </w:pPr>
      <w:r>
        <w:rPr>
          <w:rFonts w:ascii="Times New Roman" w:eastAsia="Times New Roman" w:hAnsi="Times New Roman" w:cs="Times New Roman"/>
          <w:i/>
          <w:sz w:val="24"/>
          <w:szCs w:val="24"/>
        </w:rPr>
        <w:tab/>
      </w:r>
      <w:r w:rsidRPr="006D5148" w:rsidR="005D5C19">
        <w:rPr>
          <w:rFonts w:ascii="Times New Roman" w:hAnsi="Times New Roman" w:cs="Times New Roman"/>
          <w:iCs/>
          <w:sz w:val="24"/>
          <w:szCs w:val="24"/>
        </w:rPr>
        <w:t>MARAD is not seeking approval</w:t>
      </w:r>
      <w:r w:rsidRPr="006D5148">
        <w:rPr>
          <w:rFonts w:ascii="Times New Roman" w:hAnsi="Times New Roman" w:cs="Times New Roman"/>
          <w:iCs/>
          <w:sz w:val="24"/>
          <w:szCs w:val="24"/>
        </w:rPr>
        <w:t xml:space="preserve"> to omit displaying the expiration date for this collection</w:t>
      </w:r>
    </w:p>
    <w:p w:rsidR="00551BA8" w:rsidRPr="00B171A4" w:rsidP="005346D8" w14:paraId="63C4DFE1" w14:textId="77777777">
      <w:pPr>
        <w:spacing w:after="0" w:line="280" w:lineRule="exact"/>
        <w:ind w:right="20"/>
        <w:rPr>
          <w:rFonts w:ascii="Times New Roman" w:hAnsi="Times New Roman" w:cs="Times New Roman"/>
          <w:sz w:val="24"/>
          <w:szCs w:val="24"/>
        </w:rPr>
      </w:pPr>
    </w:p>
    <w:p w:rsidR="000720CA" w:rsidRPr="006D5148" w:rsidP="006D5148" w14:paraId="12CDA3CA" w14:textId="70FC76A0">
      <w:pPr>
        <w:pStyle w:val="ListParagraph"/>
        <w:numPr>
          <w:ilvl w:val="0"/>
          <w:numId w:val="8"/>
        </w:numPr>
        <w:tabs>
          <w:tab w:val="left" w:pos="900"/>
        </w:tabs>
        <w:spacing w:after="0" w:line="280" w:lineRule="exact"/>
        <w:ind w:right="20"/>
        <w:rPr>
          <w:rFonts w:ascii="Times New Roman" w:eastAsia="Times New Roman" w:hAnsi="Times New Roman" w:cs="Times New Roman"/>
          <w:sz w:val="24"/>
          <w:szCs w:val="24"/>
        </w:rPr>
      </w:pPr>
      <w:r w:rsidRPr="006D5148">
        <w:rPr>
          <w:rFonts w:ascii="Times New Roman" w:eastAsia="Times New Roman" w:hAnsi="Times New Roman" w:cs="Times New Roman"/>
          <w:b/>
          <w:bCs/>
          <w:sz w:val="24"/>
          <w:szCs w:val="24"/>
        </w:rPr>
        <w:t xml:space="preserve">Exceptions to </w:t>
      </w:r>
      <w:r w:rsidRPr="006D5148" w:rsidR="00D27B1E">
        <w:rPr>
          <w:rFonts w:ascii="Times New Roman" w:eastAsia="Times New Roman" w:hAnsi="Times New Roman" w:cs="Times New Roman"/>
          <w:b/>
          <w:bCs/>
          <w:sz w:val="24"/>
          <w:szCs w:val="24"/>
        </w:rPr>
        <w:t>the C</w:t>
      </w:r>
      <w:r w:rsidRPr="006D5148">
        <w:rPr>
          <w:rFonts w:ascii="Times New Roman" w:eastAsia="Times New Roman" w:hAnsi="Times New Roman" w:cs="Times New Roman"/>
          <w:b/>
          <w:bCs/>
          <w:sz w:val="24"/>
          <w:szCs w:val="24"/>
        </w:rPr>
        <w:t xml:space="preserve">ertification </w:t>
      </w:r>
      <w:r w:rsidRPr="006D5148" w:rsidR="00D27B1E">
        <w:rPr>
          <w:rFonts w:ascii="Times New Roman" w:eastAsia="Times New Roman" w:hAnsi="Times New Roman" w:cs="Times New Roman"/>
          <w:b/>
          <w:bCs/>
          <w:sz w:val="24"/>
          <w:szCs w:val="24"/>
        </w:rPr>
        <w:t>Statements</w:t>
      </w:r>
      <w:r w:rsidRPr="006D5148">
        <w:rPr>
          <w:rFonts w:ascii="Times New Roman" w:eastAsia="Times New Roman" w:hAnsi="Times New Roman" w:cs="Times New Roman"/>
          <w:sz w:val="24"/>
          <w:szCs w:val="24"/>
        </w:rPr>
        <w:t xml:space="preserve"> </w:t>
      </w:r>
      <w:r w:rsidRPr="006D5148" w:rsidR="00863C45">
        <w:rPr>
          <w:rFonts w:ascii="Times New Roman" w:eastAsia="Times New Roman" w:hAnsi="Times New Roman" w:cs="Times New Roman"/>
          <w:sz w:val="24"/>
          <w:szCs w:val="24"/>
        </w:rPr>
        <w:t xml:space="preserve"> </w:t>
      </w:r>
    </w:p>
    <w:p w:rsidR="000720CA" w:rsidRPr="00B171A4" w:rsidP="005346D8" w14:paraId="7611492E" w14:textId="77777777">
      <w:pPr>
        <w:tabs>
          <w:tab w:val="left" w:pos="720"/>
        </w:tabs>
        <w:spacing w:after="0" w:line="280" w:lineRule="exact"/>
        <w:ind w:left="720" w:right="20" w:hanging="270"/>
        <w:rPr>
          <w:rFonts w:ascii="Times New Roman" w:eastAsia="Times New Roman" w:hAnsi="Times New Roman" w:cs="Times New Roman"/>
          <w:sz w:val="24"/>
          <w:szCs w:val="24"/>
        </w:rPr>
      </w:pPr>
    </w:p>
    <w:p w:rsidR="000720CA" w:rsidRPr="006D5148" w:rsidP="006D5148" w14:paraId="103170E3" w14:textId="775AD399">
      <w:pPr>
        <w:tabs>
          <w:tab w:val="left" w:pos="720"/>
        </w:tabs>
        <w:spacing w:after="0" w:line="280" w:lineRule="exact"/>
        <w:ind w:right="20"/>
        <w:rPr>
          <w:rFonts w:ascii="Times New Roman" w:eastAsia="Times New Roman" w:hAnsi="Times New Roman" w:cs="Times New Roman"/>
          <w:iCs/>
          <w:sz w:val="24"/>
          <w:szCs w:val="24"/>
        </w:rPr>
      </w:pPr>
      <w:r>
        <w:rPr>
          <w:rFonts w:ascii="Times New Roman" w:eastAsia="Times New Roman" w:hAnsi="Times New Roman" w:cs="Times New Roman"/>
          <w:i/>
          <w:sz w:val="24"/>
          <w:szCs w:val="24"/>
        </w:rPr>
        <w:tab/>
      </w:r>
      <w:r w:rsidRPr="006D5148" w:rsidR="009237C0">
        <w:rPr>
          <w:rFonts w:ascii="Times New Roman" w:eastAsia="Times New Roman" w:hAnsi="Times New Roman" w:cs="Times New Roman"/>
          <w:iCs/>
          <w:sz w:val="24"/>
          <w:szCs w:val="24"/>
        </w:rPr>
        <w:t>There are no exceptions to th</w:t>
      </w:r>
      <w:r w:rsidRPr="006D5148">
        <w:rPr>
          <w:rFonts w:ascii="Times New Roman" w:eastAsia="Times New Roman" w:hAnsi="Times New Roman" w:cs="Times New Roman"/>
          <w:iCs/>
          <w:sz w:val="24"/>
          <w:szCs w:val="24"/>
        </w:rPr>
        <w:t>is</w:t>
      </w:r>
      <w:r w:rsidRPr="006D5148" w:rsidR="009237C0">
        <w:rPr>
          <w:rFonts w:ascii="Times New Roman" w:eastAsia="Times New Roman" w:hAnsi="Times New Roman" w:cs="Times New Roman"/>
          <w:iCs/>
          <w:sz w:val="24"/>
          <w:szCs w:val="24"/>
        </w:rPr>
        <w:t xml:space="preserve"> certificate statement.</w:t>
      </w:r>
    </w:p>
    <w:sectPr w:rsidSect="006D5148">
      <w:footerReference w:type="default" r:id="rId6"/>
      <w:type w:val="nextColumn"/>
      <w:pgSz w:w="12240" w:h="15840" w:code="1"/>
      <w:pgMar w:top="1440" w:right="1440" w:bottom="1296" w:left="11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6689010"/>
      <w:docPartObj>
        <w:docPartGallery w:val="Page Numbers (Bottom of Page)"/>
        <w:docPartUnique/>
      </w:docPartObj>
    </w:sdtPr>
    <w:sdtEndPr>
      <w:rPr>
        <w:noProof/>
      </w:rPr>
    </w:sdtEndPr>
    <w:sdtContent>
      <w:p w:rsidR="00A17DBE" w14:paraId="51FA0016" w14:textId="33B3EB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17DBE" w14:paraId="5BB219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7272" w:rsidP="00881932" w14:paraId="571B7EEC" w14:textId="77777777">
      <w:pPr>
        <w:spacing w:after="0" w:line="240" w:lineRule="auto"/>
      </w:pPr>
      <w:r>
        <w:separator/>
      </w:r>
    </w:p>
  </w:footnote>
  <w:footnote w:type="continuationSeparator" w:id="1">
    <w:p w:rsidR="00D37272" w:rsidP="00881932" w14:paraId="57FF2FF8" w14:textId="77777777">
      <w:pPr>
        <w:spacing w:after="0" w:line="240" w:lineRule="auto"/>
      </w:pPr>
      <w:r>
        <w:continuationSeparator/>
      </w:r>
    </w:p>
  </w:footnote>
  <w:footnote w:id="2">
    <w:p w:rsidR="00B75E18" w:rsidRPr="0002645D" w14:paraId="1AEA7D48" w14:textId="2A700E4C">
      <w:pPr>
        <w:pStyle w:val="FootnoteText"/>
        <w:rPr>
          <w:rFonts w:ascii="Times New Roman" w:hAnsi="Times New Roman" w:cs="Times New Roman"/>
        </w:rPr>
      </w:pPr>
      <w:r w:rsidRPr="0002645D">
        <w:rPr>
          <w:rStyle w:val="FootnoteReference"/>
          <w:rFonts w:ascii="Times New Roman" w:hAnsi="Times New Roman" w:cs="Times New Roman"/>
        </w:rPr>
        <w:footnoteRef/>
      </w:r>
      <w:r w:rsidRPr="0002645D">
        <w:rPr>
          <w:rFonts w:ascii="Times New Roman" w:hAnsi="Times New Roman" w:cs="Times New Roman"/>
        </w:rPr>
        <w:t xml:space="preserve"> The hourly wage estimate is taken from current BLS tables: </w:t>
      </w:r>
      <w:hyperlink r:id="rId1" w:history="1">
        <w:r w:rsidRPr="0002645D">
          <w:rPr>
            <w:rStyle w:val="Hyperlink"/>
            <w:rFonts w:ascii="Times New Roman" w:hAnsi="Times New Roman" w:cs="Times New Roman"/>
          </w:rPr>
          <w:t>https://www.bls.g</w:t>
        </w:r>
        <w:r w:rsidRPr="0002645D">
          <w:rPr>
            <w:rStyle w:val="Hyperlink"/>
            <w:rFonts w:ascii="Times New Roman" w:hAnsi="Times New Roman" w:cs="Times New Roman"/>
          </w:rPr>
          <w:t>o</w:t>
        </w:r>
        <w:r w:rsidRPr="0002645D">
          <w:rPr>
            <w:rStyle w:val="Hyperlink"/>
            <w:rFonts w:ascii="Times New Roman" w:hAnsi="Times New Roman" w:cs="Times New Roman"/>
          </w:rPr>
          <w:t>v/oes/current/oes_nat.htm</w:t>
        </w:r>
      </w:hyperlink>
      <w:r w:rsidRPr="0002645D">
        <w:rPr>
          <w:rFonts w:ascii="Times New Roman" w:hAnsi="Times New Roman" w:cs="Times New Roman"/>
        </w:rPr>
        <w:t>.</w:t>
      </w:r>
    </w:p>
  </w:footnote>
  <w:footnote w:id="3">
    <w:p w:rsidR="007C21F2" w14:paraId="19A259E2" w14:textId="190168B5">
      <w:pPr>
        <w:pStyle w:val="FootnoteText"/>
      </w:pPr>
      <w:r w:rsidRPr="0002645D">
        <w:rPr>
          <w:rStyle w:val="FootnoteReference"/>
          <w:rFonts w:ascii="Times New Roman" w:hAnsi="Times New Roman" w:cs="Times New Roman"/>
        </w:rPr>
        <w:footnoteRef/>
      </w:r>
      <w:r w:rsidRPr="0002645D">
        <w:rPr>
          <w:rFonts w:ascii="Times New Roman" w:hAnsi="Times New Roman" w:cs="Times New Roman"/>
        </w:rPr>
        <w:t xml:space="preserve"> </w:t>
      </w:r>
      <w:bookmarkStart w:id="3" w:name="_Hlk164072686"/>
      <w:r w:rsidRPr="0002645D">
        <w:rPr>
          <w:rFonts w:ascii="Times New Roman" w:hAnsi="Times New Roman" w:cs="Times New Roman"/>
        </w:rPr>
        <w:t>Per BLS Employee Compensation Memo, the total compensation rate for the private sector is 29%,  :</w:t>
      </w:r>
      <w:hyperlink r:id="rId2" w:history="1">
        <w:r w:rsidRPr="0002645D">
          <w:rPr>
            <w:rStyle w:val="Hyperlink"/>
            <w:rFonts w:ascii="Times New Roman" w:hAnsi="Times New Roman" w:cs="Times New Roman"/>
          </w:rPr>
          <w:t>https://www.bls.gov/news.release/pdf/ecec.pdf</w:t>
        </w:r>
      </w:hyperlink>
      <w:bookmarkEnd w:id="3"/>
    </w:p>
  </w:footnote>
  <w:footnote w:id="4">
    <w:p w:rsidR="004E60F7" w:rsidRPr="0002645D" w:rsidP="004E60F7" w14:paraId="602ED859" w14:textId="5F68FCCA">
      <w:pPr>
        <w:pStyle w:val="FootnoteText"/>
        <w:rPr>
          <w:rFonts w:ascii="Times New Roman" w:hAnsi="Times New Roman" w:cs="Times New Roman"/>
        </w:rPr>
      </w:pPr>
      <w:r w:rsidRPr="0002645D">
        <w:rPr>
          <w:rStyle w:val="FootnoteReference"/>
          <w:rFonts w:ascii="Times New Roman" w:hAnsi="Times New Roman" w:cs="Times New Roman"/>
        </w:rPr>
        <w:footnoteRef/>
      </w:r>
      <w:r w:rsidRPr="0002645D">
        <w:rPr>
          <w:rFonts w:ascii="Times New Roman" w:hAnsi="Times New Roman" w:cs="Times New Roman"/>
        </w:rPr>
        <w:t xml:space="preserve"> The hourly Federal Government wage is taken from OMB 2024 wage tables: </w:t>
      </w:r>
      <w:hyperlink r:id="rId3" w:history="1">
        <w:r w:rsidRPr="001809EF" w:rsidR="00A2325C">
          <w:rPr>
            <w:rStyle w:val="Hyperlink"/>
            <w:rFonts w:ascii="Times New Roman" w:hAnsi="Times New Roman" w:cs="Times New Roman"/>
          </w:rPr>
          <w:t>https://www.opm.gov/policy-data-oversight/pay-leave/salaries-wages/salary-tables/24Tables/html/DC</w:t>
        </w:r>
        <w:r w:rsidRPr="001809EF" w:rsidR="00A2325C">
          <w:rPr>
            <w:rStyle w:val="Hyperlink"/>
            <w:rFonts w:ascii="Times New Roman" w:hAnsi="Times New Roman" w:cs="Times New Roman"/>
          </w:rPr>
          <w:t>B</w:t>
        </w:r>
        <w:r w:rsidRPr="001809EF" w:rsidR="00A2325C">
          <w:rPr>
            <w:rStyle w:val="Hyperlink"/>
            <w:rFonts w:ascii="Times New Roman" w:hAnsi="Times New Roman" w:cs="Times New Roman"/>
          </w:rPr>
          <w:t>_h.aspx</w:t>
        </w:r>
      </w:hyperlink>
      <w:r w:rsidR="00A2325C">
        <w:rPr>
          <w:rFonts w:ascii="Times New Roman" w:hAnsi="Times New Roman" w:cs="Times New Roman"/>
        </w:rPr>
        <w:t xml:space="preserve"> </w:t>
      </w:r>
    </w:p>
    <w:p w:rsidR="004E60F7" w14:paraId="6F447184" w14:textId="002EC40C">
      <w:pPr>
        <w:pStyle w:val="FootnoteText"/>
      </w:pPr>
    </w:p>
  </w:footnote>
  <w:footnote w:id="5">
    <w:p w:rsidR="009A529D" w14:paraId="4D765857" w14:textId="1E819A5B">
      <w:pPr>
        <w:pStyle w:val="FootnoteText"/>
      </w:pPr>
      <w:r>
        <w:rPr>
          <w:rStyle w:val="FootnoteReference"/>
        </w:rPr>
        <w:footnoteRef/>
      </w:r>
      <w:r>
        <w:t xml:space="preserve"> </w:t>
      </w:r>
      <w:r w:rsidRPr="007C21F2">
        <w:t xml:space="preserve">Per BLS Employee Compensation Memo, the total compensation rate for the </w:t>
      </w:r>
      <w:r>
        <w:t xml:space="preserve">Federal Government </w:t>
      </w:r>
      <w:r w:rsidRPr="007C21F2">
        <w:t xml:space="preserve"> is </w:t>
      </w:r>
      <w:r>
        <w:t>31</w:t>
      </w:r>
      <w:r w:rsidRPr="007C21F2">
        <w:t>%,  :</w:t>
      </w:r>
      <w:hyperlink r:id="rId2" w:history="1">
        <w:r w:rsidRPr="007C21F2">
          <w:rPr>
            <w:rStyle w:val="Hyperlink"/>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202B0"/>
    <w:multiLevelType w:val="hybridMultilevel"/>
    <w:tmpl w:val="627EF5A8"/>
    <w:lvl w:ilvl="0">
      <w:start w:val="1"/>
      <w:numFmt w:val="upperLetter"/>
      <w:lvlText w:val="%1."/>
      <w:lvlJc w:val="left"/>
      <w:pPr>
        <w:ind w:left="360" w:hanging="360"/>
      </w:pPr>
    </w:lvl>
    <w:lvl w:ilvl="1">
      <w:start w:val="1"/>
      <w:numFmt w:val="decimal"/>
      <w:lvlText w:val="%2."/>
      <w:lvlJc w:val="left"/>
      <w:pPr>
        <w:ind w:left="1170" w:hanging="45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787B87"/>
    <w:multiLevelType w:val="hybridMultilevel"/>
    <w:tmpl w:val="5736247E"/>
    <w:lvl w:ilvl="0">
      <w:start w:val="1"/>
      <w:numFmt w:val="lowerLetter"/>
      <w:lvlText w:val="(%1)"/>
      <w:lvlJc w:val="left"/>
      <w:pPr>
        <w:ind w:left="1350" w:hanging="360"/>
      </w:pPr>
      <w:rPr>
        <w:rFonts w:hint="default"/>
      </w:rPr>
    </w:lvl>
    <w:lvl w:ilvl="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
    <w:nsid w:val="1AA309F3"/>
    <w:multiLevelType w:val="hybridMultilevel"/>
    <w:tmpl w:val="6220E76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8E2ECD"/>
    <w:multiLevelType w:val="hybridMultilevel"/>
    <w:tmpl w:val="35A444F0"/>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
    <w:nsid w:val="3F7D4D9C"/>
    <w:multiLevelType w:val="hybridMultilevel"/>
    <w:tmpl w:val="56FC81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2AA086F"/>
    <w:multiLevelType w:val="hybridMultilevel"/>
    <w:tmpl w:val="7F36B20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5571226B"/>
    <w:multiLevelType w:val="hybridMultilevel"/>
    <w:tmpl w:val="1B8E5C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E37A8E"/>
    <w:multiLevelType w:val="hybridMultilevel"/>
    <w:tmpl w:val="B704917A"/>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
    <w:nsid w:val="61AE219D"/>
    <w:multiLevelType w:val="hybridMultilevel"/>
    <w:tmpl w:val="15108CCA"/>
    <w:lvl w:ilvl="0">
      <w:start w:val="1"/>
      <w:numFmt w:val="lowerLetter"/>
      <w:lvlText w:val="%1."/>
      <w:lvlJc w:val="left"/>
      <w:pPr>
        <w:ind w:left="1080" w:hanging="360"/>
      </w:pPr>
      <w:rPr>
        <w:b/>
        <w:bCs/>
        <w:i w:val="0"/>
        <w:i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6202C21"/>
    <w:multiLevelType w:val="hybridMultilevel"/>
    <w:tmpl w:val="0838AFD2"/>
    <w:lvl w:ilvl="0">
      <w:start w:val="0"/>
      <w:numFmt w:val="bullet"/>
      <w:lvlText w:val="•"/>
      <w:lvlJc w:val="left"/>
      <w:pPr>
        <w:ind w:left="1185" w:hanging="825"/>
      </w:pPr>
      <w:rPr>
        <w:rFonts w:ascii="Times New Roman" w:eastAsia="Times New Roman" w:hAnsi="Times New Roman" w:cs="Times New Roman" w:hint="default"/>
        <w:w w:val="15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D8836ED"/>
    <w:multiLevelType w:val="hybridMultilevel"/>
    <w:tmpl w:val="C1E027D6"/>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3095E67"/>
    <w:multiLevelType w:val="hybridMultilevel"/>
    <w:tmpl w:val="68B66FA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51D2656"/>
    <w:multiLevelType w:val="hybridMultilevel"/>
    <w:tmpl w:val="F20AE89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776B19EE"/>
    <w:multiLevelType w:val="hybridMultilevel"/>
    <w:tmpl w:val="76CCDB2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565140545">
    <w:abstractNumId w:val="4"/>
  </w:num>
  <w:num w:numId="2" w16cid:durableId="252513662">
    <w:abstractNumId w:val="9"/>
  </w:num>
  <w:num w:numId="3" w16cid:durableId="2117015424">
    <w:abstractNumId w:val="5"/>
  </w:num>
  <w:num w:numId="4" w16cid:durableId="1781101236">
    <w:abstractNumId w:val="2"/>
  </w:num>
  <w:num w:numId="5" w16cid:durableId="1932545847">
    <w:abstractNumId w:val="13"/>
  </w:num>
  <w:num w:numId="6" w16cid:durableId="867372232">
    <w:abstractNumId w:val="1"/>
  </w:num>
  <w:num w:numId="7" w16cid:durableId="419762233">
    <w:abstractNumId w:val="0"/>
  </w:num>
  <w:num w:numId="8" w16cid:durableId="1148278245">
    <w:abstractNumId w:val="10"/>
  </w:num>
  <w:num w:numId="9" w16cid:durableId="845631421">
    <w:abstractNumId w:val="6"/>
  </w:num>
  <w:num w:numId="10" w16cid:durableId="210965915">
    <w:abstractNumId w:val="12"/>
  </w:num>
  <w:num w:numId="11" w16cid:durableId="1022516479">
    <w:abstractNumId w:val="11"/>
  </w:num>
  <w:num w:numId="12" w16cid:durableId="1946880292">
    <w:abstractNumId w:val="7"/>
  </w:num>
  <w:num w:numId="13" w16cid:durableId="952978288">
    <w:abstractNumId w:val="8"/>
  </w:num>
  <w:num w:numId="14" w16cid:durableId="2035031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PersonalInformation/>
  <w:removeDateAndTime/>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CA"/>
    <w:rsid w:val="0000561D"/>
    <w:rsid w:val="000123CB"/>
    <w:rsid w:val="0002529D"/>
    <w:rsid w:val="0002645D"/>
    <w:rsid w:val="00026F4A"/>
    <w:rsid w:val="00045910"/>
    <w:rsid w:val="00060B7E"/>
    <w:rsid w:val="000720CA"/>
    <w:rsid w:val="00081908"/>
    <w:rsid w:val="00090439"/>
    <w:rsid w:val="000A4879"/>
    <w:rsid w:val="000B4981"/>
    <w:rsid w:val="000C1C48"/>
    <w:rsid w:val="000C7AAC"/>
    <w:rsid w:val="000F6850"/>
    <w:rsid w:val="001070A7"/>
    <w:rsid w:val="001179CF"/>
    <w:rsid w:val="001270D9"/>
    <w:rsid w:val="00133E5A"/>
    <w:rsid w:val="00142E9A"/>
    <w:rsid w:val="00145C54"/>
    <w:rsid w:val="00152427"/>
    <w:rsid w:val="00156038"/>
    <w:rsid w:val="001620C8"/>
    <w:rsid w:val="0016532B"/>
    <w:rsid w:val="001809EF"/>
    <w:rsid w:val="00183FB0"/>
    <w:rsid w:val="0018538B"/>
    <w:rsid w:val="001973C2"/>
    <w:rsid w:val="001A7580"/>
    <w:rsid w:val="001D2A7B"/>
    <w:rsid w:val="001E0BF9"/>
    <w:rsid w:val="001F7B8A"/>
    <w:rsid w:val="00212F26"/>
    <w:rsid w:val="00236262"/>
    <w:rsid w:val="0023799E"/>
    <w:rsid w:val="0024607B"/>
    <w:rsid w:val="0027057D"/>
    <w:rsid w:val="0027524E"/>
    <w:rsid w:val="002826CF"/>
    <w:rsid w:val="0028615B"/>
    <w:rsid w:val="002A7202"/>
    <w:rsid w:val="002B70E4"/>
    <w:rsid w:val="002C1DDF"/>
    <w:rsid w:val="002D32F7"/>
    <w:rsid w:val="002D74D4"/>
    <w:rsid w:val="002E53F5"/>
    <w:rsid w:val="002F4EA9"/>
    <w:rsid w:val="00300EDD"/>
    <w:rsid w:val="00302F52"/>
    <w:rsid w:val="0031004C"/>
    <w:rsid w:val="00310130"/>
    <w:rsid w:val="003170CE"/>
    <w:rsid w:val="00322D1E"/>
    <w:rsid w:val="0033258C"/>
    <w:rsid w:val="003549C5"/>
    <w:rsid w:val="00362F21"/>
    <w:rsid w:val="00364ACB"/>
    <w:rsid w:val="00365EA3"/>
    <w:rsid w:val="00372080"/>
    <w:rsid w:val="00377D95"/>
    <w:rsid w:val="00381ECD"/>
    <w:rsid w:val="003A5E08"/>
    <w:rsid w:val="003B5C53"/>
    <w:rsid w:val="003B65C2"/>
    <w:rsid w:val="003B71A5"/>
    <w:rsid w:val="003C7E88"/>
    <w:rsid w:val="003D7162"/>
    <w:rsid w:val="003E4B7C"/>
    <w:rsid w:val="003F2B49"/>
    <w:rsid w:val="00400B81"/>
    <w:rsid w:val="00402224"/>
    <w:rsid w:val="00417B00"/>
    <w:rsid w:val="0043086C"/>
    <w:rsid w:val="004363BA"/>
    <w:rsid w:val="004504D5"/>
    <w:rsid w:val="00465C73"/>
    <w:rsid w:val="0047230C"/>
    <w:rsid w:val="004970F2"/>
    <w:rsid w:val="004B0196"/>
    <w:rsid w:val="004B1328"/>
    <w:rsid w:val="004B22AE"/>
    <w:rsid w:val="004E0C7F"/>
    <w:rsid w:val="004E38D8"/>
    <w:rsid w:val="004E60F7"/>
    <w:rsid w:val="004F1042"/>
    <w:rsid w:val="00500E52"/>
    <w:rsid w:val="00506196"/>
    <w:rsid w:val="00506BF9"/>
    <w:rsid w:val="00511993"/>
    <w:rsid w:val="00516C3E"/>
    <w:rsid w:val="00524287"/>
    <w:rsid w:val="005346D8"/>
    <w:rsid w:val="00545049"/>
    <w:rsid w:val="00551BA8"/>
    <w:rsid w:val="00575C91"/>
    <w:rsid w:val="00590CB1"/>
    <w:rsid w:val="00592C5F"/>
    <w:rsid w:val="005D12DC"/>
    <w:rsid w:val="005D305C"/>
    <w:rsid w:val="005D5C19"/>
    <w:rsid w:val="005D7860"/>
    <w:rsid w:val="005D7A5E"/>
    <w:rsid w:val="005E0BE4"/>
    <w:rsid w:val="005F6CA0"/>
    <w:rsid w:val="0061189B"/>
    <w:rsid w:val="006149AA"/>
    <w:rsid w:val="00615576"/>
    <w:rsid w:val="0061563C"/>
    <w:rsid w:val="00615D09"/>
    <w:rsid w:val="00644A75"/>
    <w:rsid w:val="00651883"/>
    <w:rsid w:val="006614E2"/>
    <w:rsid w:val="00667F3A"/>
    <w:rsid w:val="00686121"/>
    <w:rsid w:val="0069116B"/>
    <w:rsid w:val="0069484D"/>
    <w:rsid w:val="006A1613"/>
    <w:rsid w:val="006B3255"/>
    <w:rsid w:val="006C17A5"/>
    <w:rsid w:val="006C4A4E"/>
    <w:rsid w:val="006C78D8"/>
    <w:rsid w:val="006D39FB"/>
    <w:rsid w:val="006D5148"/>
    <w:rsid w:val="006D77E0"/>
    <w:rsid w:val="006E1911"/>
    <w:rsid w:val="006E4C6C"/>
    <w:rsid w:val="006F2D85"/>
    <w:rsid w:val="006F6339"/>
    <w:rsid w:val="0072691C"/>
    <w:rsid w:val="00736CC7"/>
    <w:rsid w:val="00745F32"/>
    <w:rsid w:val="00753B1C"/>
    <w:rsid w:val="007573B8"/>
    <w:rsid w:val="00776E56"/>
    <w:rsid w:val="007A44A6"/>
    <w:rsid w:val="007C21F2"/>
    <w:rsid w:val="007C4D3E"/>
    <w:rsid w:val="007D1878"/>
    <w:rsid w:val="007E5F3A"/>
    <w:rsid w:val="007E6C22"/>
    <w:rsid w:val="007E7E33"/>
    <w:rsid w:val="007F33A7"/>
    <w:rsid w:val="0080169A"/>
    <w:rsid w:val="0080740E"/>
    <w:rsid w:val="008314BE"/>
    <w:rsid w:val="008518A3"/>
    <w:rsid w:val="0085350A"/>
    <w:rsid w:val="0085766B"/>
    <w:rsid w:val="00863C45"/>
    <w:rsid w:val="00876331"/>
    <w:rsid w:val="00881932"/>
    <w:rsid w:val="0088471E"/>
    <w:rsid w:val="008975BA"/>
    <w:rsid w:val="008A2128"/>
    <w:rsid w:val="008A7FFC"/>
    <w:rsid w:val="008C28E4"/>
    <w:rsid w:val="008C3318"/>
    <w:rsid w:val="008C4231"/>
    <w:rsid w:val="008D331D"/>
    <w:rsid w:val="008D623F"/>
    <w:rsid w:val="008F0887"/>
    <w:rsid w:val="008F1861"/>
    <w:rsid w:val="008F6040"/>
    <w:rsid w:val="008F758B"/>
    <w:rsid w:val="009035F4"/>
    <w:rsid w:val="00905427"/>
    <w:rsid w:val="009054F6"/>
    <w:rsid w:val="00907A8E"/>
    <w:rsid w:val="00917C2A"/>
    <w:rsid w:val="009237C0"/>
    <w:rsid w:val="0093032B"/>
    <w:rsid w:val="00954E23"/>
    <w:rsid w:val="009606CB"/>
    <w:rsid w:val="00972274"/>
    <w:rsid w:val="00982774"/>
    <w:rsid w:val="009849DD"/>
    <w:rsid w:val="009A4646"/>
    <w:rsid w:val="009A529D"/>
    <w:rsid w:val="009B1F0D"/>
    <w:rsid w:val="009B2C38"/>
    <w:rsid w:val="009B72C5"/>
    <w:rsid w:val="009C195F"/>
    <w:rsid w:val="009E0597"/>
    <w:rsid w:val="009E081A"/>
    <w:rsid w:val="009F6A48"/>
    <w:rsid w:val="00A12B44"/>
    <w:rsid w:val="00A15A9B"/>
    <w:rsid w:val="00A17DBE"/>
    <w:rsid w:val="00A2325C"/>
    <w:rsid w:val="00A30080"/>
    <w:rsid w:val="00A34881"/>
    <w:rsid w:val="00A35D98"/>
    <w:rsid w:val="00A411F2"/>
    <w:rsid w:val="00A44D9C"/>
    <w:rsid w:val="00A46247"/>
    <w:rsid w:val="00A53083"/>
    <w:rsid w:val="00A61BD4"/>
    <w:rsid w:val="00A62DDA"/>
    <w:rsid w:val="00A65105"/>
    <w:rsid w:val="00A72F28"/>
    <w:rsid w:val="00A77886"/>
    <w:rsid w:val="00A824A1"/>
    <w:rsid w:val="00AA2CE7"/>
    <w:rsid w:val="00AA5946"/>
    <w:rsid w:val="00AB7FCC"/>
    <w:rsid w:val="00AC476C"/>
    <w:rsid w:val="00AE4AE3"/>
    <w:rsid w:val="00B0652B"/>
    <w:rsid w:val="00B06EE7"/>
    <w:rsid w:val="00B07E8E"/>
    <w:rsid w:val="00B10790"/>
    <w:rsid w:val="00B171A4"/>
    <w:rsid w:val="00B203C6"/>
    <w:rsid w:val="00B246E5"/>
    <w:rsid w:val="00B301E7"/>
    <w:rsid w:val="00B31DE7"/>
    <w:rsid w:val="00B359D3"/>
    <w:rsid w:val="00B57C3F"/>
    <w:rsid w:val="00B70DF8"/>
    <w:rsid w:val="00B75E18"/>
    <w:rsid w:val="00B76C72"/>
    <w:rsid w:val="00B840DD"/>
    <w:rsid w:val="00BA5F41"/>
    <w:rsid w:val="00BB42F0"/>
    <w:rsid w:val="00BC08DF"/>
    <w:rsid w:val="00BF3E0C"/>
    <w:rsid w:val="00C06218"/>
    <w:rsid w:val="00C063A6"/>
    <w:rsid w:val="00C22359"/>
    <w:rsid w:val="00C22637"/>
    <w:rsid w:val="00C27402"/>
    <w:rsid w:val="00C3204A"/>
    <w:rsid w:val="00C40146"/>
    <w:rsid w:val="00C475A3"/>
    <w:rsid w:val="00C528C1"/>
    <w:rsid w:val="00C54591"/>
    <w:rsid w:val="00C73399"/>
    <w:rsid w:val="00C92561"/>
    <w:rsid w:val="00CA6499"/>
    <w:rsid w:val="00CB2C2D"/>
    <w:rsid w:val="00CC13A1"/>
    <w:rsid w:val="00CD69BC"/>
    <w:rsid w:val="00CE457E"/>
    <w:rsid w:val="00CF5E68"/>
    <w:rsid w:val="00D06CDB"/>
    <w:rsid w:val="00D27B1E"/>
    <w:rsid w:val="00D30289"/>
    <w:rsid w:val="00D31169"/>
    <w:rsid w:val="00D363AE"/>
    <w:rsid w:val="00D37272"/>
    <w:rsid w:val="00D45E5E"/>
    <w:rsid w:val="00D47527"/>
    <w:rsid w:val="00D50D0D"/>
    <w:rsid w:val="00D61B6B"/>
    <w:rsid w:val="00D70E27"/>
    <w:rsid w:val="00D865F9"/>
    <w:rsid w:val="00DB1D52"/>
    <w:rsid w:val="00DC2373"/>
    <w:rsid w:val="00DC2763"/>
    <w:rsid w:val="00DC2B63"/>
    <w:rsid w:val="00DF03D6"/>
    <w:rsid w:val="00E01BE9"/>
    <w:rsid w:val="00E05B4B"/>
    <w:rsid w:val="00E05C45"/>
    <w:rsid w:val="00E1155F"/>
    <w:rsid w:val="00E216F2"/>
    <w:rsid w:val="00E21C2B"/>
    <w:rsid w:val="00E258F7"/>
    <w:rsid w:val="00E34DF9"/>
    <w:rsid w:val="00E57304"/>
    <w:rsid w:val="00E81DD5"/>
    <w:rsid w:val="00E83F34"/>
    <w:rsid w:val="00E93B58"/>
    <w:rsid w:val="00E9730A"/>
    <w:rsid w:val="00E9756F"/>
    <w:rsid w:val="00EC2266"/>
    <w:rsid w:val="00ED0A13"/>
    <w:rsid w:val="00EF6D7F"/>
    <w:rsid w:val="00F217A2"/>
    <w:rsid w:val="00F240B0"/>
    <w:rsid w:val="00F31DBF"/>
    <w:rsid w:val="00F3469F"/>
    <w:rsid w:val="00F42D44"/>
    <w:rsid w:val="00F4475B"/>
    <w:rsid w:val="00F55630"/>
    <w:rsid w:val="00F60C45"/>
    <w:rsid w:val="00F619B9"/>
    <w:rsid w:val="00F704FF"/>
    <w:rsid w:val="00F83CF7"/>
    <w:rsid w:val="00F87456"/>
    <w:rsid w:val="00FA4585"/>
    <w:rsid w:val="00FA639F"/>
    <w:rsid w:val="00FC51F2"/>
    <w:rsid w:val="00FC683D"/>
    <w:rsid w:val="00FD0A31"/>
    <w:rsid w:val="00FE7B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08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0146"/>
    <w:rPr>
      <w:sz w:val="16"/>
      <w:szCs w:val="16"/>
    </w:rPr>
  </w:style>
  <w:style w:type="paragraph" w:styleId="CommentText">
    <w:name w:val="annotation text"/>
    <w:basedOn w:val="Normal"/>
    <w:link w:val="CommentTextChar"/>
    <w:uiPriority w:val="99"/>
    <w:semiHidden/>
    <w:unhideWhenUsed/>
    <w:rsid w:val="00C40146"/>
    <w:pPr>
      <w:spacing w:line="240" w:lineRule="auto"/>
    </w:pPr>
    <w:rPr>
      <w:sz w:val="20"/>
      <w:szCs w:val="20"/>
    </w:rPr>
  </w:style>
  <w:style w:type="character" w:customStyle="1" w:styleId="CommentTextChar">
    <w:name w:val="Comment Text Char"/>
    <w:basedOn w:val="DefaultParagraphFont"/>
    <w:link w:val="CommentText"/>
    <w:uiPriority w:val="99"/>
    <w:semiHidden/>
    <w:rsid w:val="00C40146"/>
    <w:rPr>
      <w:sz w:val="20"/>
      <w:szCs w:val="20"/>
    </w:rPr>
  </w:style>
  <w:style w:type="paragraph" w:styleId="CommentSubject">
    <w:name w:val="annotation subject"/>
    <w:basedOn w:val="CommentText"/>
    <w:next w:val="CommentText"/>
    <w:link w:val="CommentSubjectChar"/>
    <w:uiPriority w:val="99"/>
    <w:semiHidden/>
    <w:unhideWhenUsed/>
    <w:rsid w:val="00C40146"/>
    <w:rPr>
      <w:b/>
      <w:bCs/>
    </w:rPr>
  </w:style>
  <w:style w:type="character" w:customStyle="1" w:styleId="CommentSubjectChar">
    <w:name w:val="Comment Subject Char"/>
    <w:basedOn w:val="CommentTextChar"/>
    <w:link w:val="CommentSubject"/>
    <w:uiPriority w:val="99"/>
    <w:semiHidden/>
    <w:rsid w:val="00C40146"/>
    <w:rPr>
      <w:b/>
      <w:bCs/>
      <w:sz w:val="20"/>
      <w:szCs w:val="20"/>
    </w:rPr>
  </w:style>
  <w:style w:type="paragraph" w:styleId="BalloonText">
    <w:name w:val="Balloon Text"/>
    <w:basedOn w:val="Normal"/>
    <w:link w:val="BalloonTextChar"/>
    <w:uiPriority w:val="99"/>
    <w:semiHidden/>
    <w:unhideWhenUsed/>
    <w:rsid w:val="00C4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146"/>
    <w:rPr>
      <w:rFonts w:ascii="Tahoma" w:hAnsi="Tahoma" w:cs="Tahoma"/>
      <w:sz w:val="16"/>
      <w:szCs w:val="16"/>
    </w:rPr>
  </w:style>
  <w:style w:type="paragraph" w:styleId="ListParagraph">
    <w:name w:val="List Paragraph"/>
    <w:basedOn w:val="Normal"/>
    <w:uiPriority w:val="34"/>
    <w:qFormat/>
    <w:rsid w:val="005D7860"/>
    <w:pPr>
      <w:ind w:left="720"/>
      <w:contextualSpacing/>
    </w:pPr>
  </w:style>
  <w:style w:type="character" w:styleId="Hyperlink">
    <w:name w:val="Hyperlink"/>
    <w:basedOn w:val="DefaultParagraphFont"/>
    <w:uiPriority w:val="99"/>
    <w:unhideWhenUsed/>
    <w:rsid w:val="00AE4AE3"/>
    <w:rPr>
      <w:color w:val="0000FF" w:themeColor="hyperlink"/>
      <w:u w:val="single"/>
    </w:rPr>
  </w:style>
  <w:style w:type="paragraph" w:styleId="Revision">
    <w:name w:val="Revision"/>
    <w:hidden/>
    <w:uiPriority w:val="99"/>
    <w:semiHidden/>
    <w:rsid w:val="00776E56"/>
    <w:pPr>
      <w:widowControl/>
      <w:spacing w:after="0" w:line="240" w:lineRule="auto"/>
    </w:pPr>
  </w:style>
  <w:style w:type="paragraph" w:customStyle="1" w:styleId="Default">
    <w:name w:val="Default"/>
    <w:rsid w:val="0093032B"/>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semiHidden/>
    <w:unhideWhenUsed/>
    <w:rsid w:val="0093032B"/>
    <w:rPr>
      <w:color w:val="2B579A"/>
      <w:shd w:val="clear" w:color="auto" w:fill="E6E6E6"/>
    </w:rPr>
  </w:style>
  <w:style w:type="character" w:styleId="UnresolvedMention">
    <w:name w:val="Unresolved Mention"/>
    <w:basedOn w:val="DefaultParagraphFont"/>
    <w:uiPriority w:val="99"/>
    <w:semiHidden/>
    <w:unhideWhenUsed/>
    <w:rsid w:val="00A72F28"/>
    <w:rPr>
      <w:color w:val="808080"/>
      <w:shd w:val="clear" w:color="auto" w:fill="E6E6E6"/>
    </w:rPr>
  </w:style>
  <w:style w:type="character" w:styleId="FollowedHyperlink">
    <w:name w:val="FollowedHyperlink"/>
    <w:basedOn w:val="DefaultParagraphFont"/>
    <w:uiPriority w:val="99"/>
    <w:semiHidden/>
    <w:unhideWhenUsed/>
    <w:rsid w:val="00A72F28"/>
    <w:rPr>
      <w:color w:val="800080" w:themeColor="followedHyperlink"/>
      <w:u w:val="single"/>
    </w:rPr>
  </w:style>
  <w:style w:type="paragraph" w:styleId="Header">
    <w:name w:val="header"/>
    <w:basedOn w:val="Normal"/>
    <w:link w:val="HeaderChar"/>
    <w:uiPriority w:val="99"/>
    <w:unhideWhenUsed/>
    <w:rsid w:val="00881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932"/>
  </w:style>
  <w:style w:type="paragraph" w:styleId="Footer">
    <w:name w:val="footer"/>
    <w:basedOn w:val="Normal"/>
    <w:link w:val="FooterChar"/>
    <w:uiPriority w:val="99"/>
    <w:unhideWhenUsed/>
    <w:rsid w:val="00881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932"/>
  </w:style>
  <w:style w:type="paragraph" w:styleId="FootnoteText">
    <w:name w:val="footnote text"/>
    <w:basedOn w:val="Normal"/>
    <w:link w:val="FootnoteTextChar"/>
    <w:uiPriority w:val="99"/>
    <w:semiHidden/>
    <w:unhideWhenUsed/>
    <w:rsid w:val="00B75E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E18"/>
    <w:rPr>
      <w:sz w:val="20"/>
      <w:szCs w:val="20"/>
    </w:rPr>
  </w:style>
  <w:style w:type="character" w:styleId="FootnoteReference">
    <w:name w:val="footnote reference"/>
    <w:basedOn w:val="DefaultParagraphFont"/>
    <w:uiPriority w:val="99"/>
    <w:semiHidden/>
    <w:unhideWhenUsed/>
    <w:rsid w:val="00B75E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DC78A-0DE2-4F70-A1F3-4F1BD62A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2024-07-24T14:25:00Z</dcterms:created>
  <dcterms:modified xsi:type="dcterms:W3CDTF">2024-07-24T14:38:00Z</dcterms:modified>
</cp:coreProperties>
</file>