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325E6D" w:rsidP="006C7FAE" w14:paraId="732B28C0" w14:textId="77777777">
      <w:pPr>
        <w:jc w:val="center"/>
        <w:rPr>
          <w:b/>
          <w:sz w:val="28"/>
          <w:szCs w:val="28"/>
        </w:rPr>
      </w:pPr>
      <w:r w:rsidRPr="00325E6D">
        <w:rPr>
          <w:b/>
          <w:sz w:val="28"/>
          <w:szCs w:val="28"/>
        </w:rPr>
        <w:t>Supporting Statement for Paperwork Reduction Act Submissions</w:t>
      </w:r>
    </w:p>
    <w:p w:rsidR="00167E53" w:rsidRPr="00325E6D" w14:paraId="59C74C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szCs w:val="28"/>
        </w:rPr>
      </w:pPr>
      <w:bookmarkStart w:id="0" w:name="_Hlk177399459"/>
      <w:r w:rsidRPr="00325E6D">
        <w:rPr>
          <w:b/>
          <w:sz w:val="28"/>
          <w:szCs w:val="28"/>
        </w:rPr>
        <w:t>Evaluation of Emergency Housing Voucher (EHV) Program</w:t>
      </w:r>
    </w:p>
    <w:p w:rsidR="00167E53" w:rsidRPr="00325E6D" w14:paraId="4DC71E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szCs w:val="28"/>
        </w:rPr>
      </w:pPr>
      <w:r w:rsidRPr="00325E6D">
        <w:rPr>
          <w:b/>
          <w:sz w:val="28"/>
          <w:szCs w:val="28"/>
        </w:rPr>
        <w:t xml:space="preserve">(OMB# </w:t>
      </w:r>
      <w:r w:rsidRPr="00325E6D" w:rsidR="00B16E76">
        <w:rPr>
          <w:b/>
          <w:sz w:val="28"/>
          <w:szCs w:val="28"/>
        </w:rPr>
        <w:t>2528</w:t>
      </w:r>
      <w:r w:rsidRPr="00325E6D" w:rsidR="006C7FAE">
        <w:rPr>
          <w:b/>
          <w:sz w:val="28"/>
          <w:szCs w:val="28"/>
        </w:rPr>
        <w:t>-</w:t>
      </w:r>
      <w:r w:rsidRPr="00325E6D" w:rsidR="00B16E76">
        <w:rPr>
          <w:b/>
          <w:sz w:val="28"/>
          <w:szCs w:val="28"/>
        </w:rPr>
        <w:t>new</w:t>
      </w:r>
      <w:r w:rsidRPr="00325E6D">
        <w:rPr>
          <w:b/>
          <w:sz w:val="28"/>
          <w:szCs w:val="28"/>
        </w:rPr>
        <w:t>)</w:t>
      </w:r>
      <w:bookmarkEnd w:id="0"/>
    </w:p>
    <w:p w:rsidR="009E13B1" w:rsidP="006C7FAE" w14:paraId="6ADFABBA" w14:textId="77777777">
      <w:pPr>
        <w:rPr>
          <w:b/>
          <w:sz w:val="24"/>
          <w:szCs w:val="24"/>
        </w:rPr>
      </w:pPr>
    </w:p>
    <w:p w:rsidR="009E13B1" w:rsidRPr="00761BB3" w:rsidP="008E02D7" w14:paraId="21CBE6CC" w14:textId="77777777">
      <w:pPr>
        <w:pStyle w:val="Heading1"/>
      </w:pPr>
      <w:r w:rsidRPr="00761BB3">
        <w:t xml:space="preserve">A. </w:t>
      </w:r>
      <w:r w:rsidRPr="00761BB3">
        <w:tab/>
        <w:t>Justification</w:t>
      </w:r>
    </w:p>
    <w:p w:rsidR="00C90B32" w:rsidP="007F675F" w14:paraId="12EA86E3" w14:textId="77777777">
      <w:pPr>
        <w:pStyle w:val="ListParagraph"/>
        <w:keepLines/>
        <w:tabs>
          <w:tab w:val="left" w:pos="360"/>
        </w:tabs>
        <w:spacing w:after="80"/>
        <w:ind w:left="0"/>
        <w:rPr>
          <w:b/>
          <w:bCs/>
          <w:sz w:val="24"/>
          <w:szCs w:val="24"/>
        </w:rPr>
      </w:pPr>
    </w:p>
    <w:p w:rsidR="009E13B1" w:rsidRPr="007F675F" w:rsidP="00C90B32" w14:paraId="15D04732" w14:textId="0BF00B34">
      <w:pPr>
        <w:pStyle w:val="ListParagraph"/>
        <w:keepLines/>
        <w:numPr>
          <w:ilvl w:val="0"/>
          <w:numId w:val="21"/>
        </w:numPr>
        <w:tabs>
          <w:tab w:val="left" w:pos="360"/>
        </w:tabs>
        <w:spacing w:after="80"/>
        <w:rPr>
          <w:b/>
          <w:bCs/>
          <w:sz w:val="24"/>
          <w:szCs w:val="24"/>
        </w:rPr>
      </w:pPr>
      <w:r w:rsidRPr="007F675F">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7A35" w:rsidP="00377A35" w14:paraId="72480E78" w14:textId="77777777">
      <w:pPr>
        <w:keepLines/>
        <w:tabs>
          <w:tab w:val="left" w:pos="360"/>
        </w:tabs>
        <w:spacing w:after="80"/>
        <w:ind w:left="360"/>
        <w:rPr>
          <w:b/>
          <w:bCs/>
          <w:sz w:val="24"/>
          <w:szCs w:val="24"/>
        </w:rPr>
      </w:pPr>
    </w:p>
    <w:p w:rsidR="00377A35" w:rsidP="00C90B32" w14:paraId="51601278" w14:textId="0A9142F3">
      <w:pPr>
        <w:overflowPunct/>
        <w:autoSpaceDE/>
        <w:autoSpaceDN/>
        <w:adjustRightInd/>
        <w:spacing w:after="180" w:line="264" w:lineRule="auto"/>
        <w:ind w:left="720"/>
        <w:textAlignment w:val="auto"/>
        <w:rPr>
          <w:sz w:val="24"/>
          <w:szCs w:val="24"/>
        </w:rPr>
      </w:pPr>
      <w:bookmarkStart w:id="1" w:name="_Hlk44499063"/>
      <w:r>
        <w:rPr>
          <w:sz w:val="24"/>
          <w:szCs w:val="24"/>
        </w:rPr>
        <w:t>Th</w:t>
      </w:r>
      <w:r w:rsidR="000326D6">
        <w:rPr>
          <w:sz w:val="24"/>
          <w:szCs w:val="24"/>
        </w:rPr>
        <w:t xml:space="preserve">is new collection, sponsored by the </w:t>
      </w:r>
      <w:r>
        <w:rPr>
          <w:sz w:val="24"/>
          <w:szCs w:val="24"/>
        </w:rPr>
        <w:t>U</w:t>
      </w:r>
      <w:r w:rsidR="00CD1249">
        <w:rPr>
          <w:sz w:val="24"/>
          <w:szCs w:val="24"/>
        </w:rPr>
        <w:t>.</w:t>
      </w:r>
      <w:r>
        <w:rPr>
          <w:sz w:val="24"/>
          <w:szCs w:val="24"/>
        </w:rPr>
        <w:t>S</w:t>
      </w:r>
      <w:r w:rsidR="00CD1249">
        <w:rPr>
          <w:sz w:val="24"/>
          <w:szCs w:val="24"/>
        </w:rPr>
        <w:t xml:space="preserve">. </w:t>
      </w:r>
      <w:r>
        <w:rPr>
          <w:sz w:val="24"/>
          <w:szCs w:val="24"/>
        </w:rPr>
        <w:t>Department of Housing and Urban</w:t>
      </w:r>
      <w:r w:rsidR="00C15267">
        <w:rPr>
          <w:sz w:val="24"/>
          <w:szCs w:val="24"/>
        </w:rPr>
        <w:t xml:space="preserve"> Development</w:t>
      </w:r>
      <w:r w:rsidR="009F5957">
        <w:rPr>
          <w:sz w:val="24"/>
          <w:szCs w:val="24"/>
        </w:rPr>
        <w:t xml:space="preserve"> (HUD)</w:t>
      </w:r>
      <w:r>
        <w:rPr>
          <w:sz w:val="24"/>
          <w:szCs w:val="24"/>
        </w:rPr>
        <w:t xml:space="preserve">, </w:t>
      </w:r>
      <w:r w:rsidR="000326D6">
        <w:rPr>
          <w:sz w:val="24"/>
          <w:szCs w:val="24"/>
        </w:rPr>
        <w:t>seeks to examine the implementation and outcomes associated with the Emergency Housing Voucher</w:t>
      </w:r>
      <w:r w:rsidR="00C15267">
        <w:rPr>
          <w:sz w:val="24"/>
          <w:szCs w:val="24"/>
        </w:rPr>
        <w:t xml:space="preserve"> (EHV)</w:t>
      </w:r>
      <w:r w:rsidR="000326D6">
        <w:rPr>
          <w:sz w:val="24"/>
          <w:szCs w:val="24"/>
        </w:rPr>
        <w:t xml:space="preserve"> program</w:t>
      </w:r>
      <w:r w:rsidR="008B01D5">
        <w:rPr>
          <w:sz w:val="24"/>
          <w:szCs w:val="24"/>
        </w:rPr>
        <w:t>,</w:t>
      </w:r>
      <w:r w:rsidR="000326D6">
        <w:rPr>
          <w:sz w:val="24"/>
          <w:szCs w:val="24"/>
        </w:rPr>
        <w:t xml:space="preserve"> which was created under the</w:t>
      </w:r>
      <w:r w:rsidR="008B01D5">
        <w:rPr>
          <w:sz w:val="24"/>
          <w:szCs w:val="24"/>
        </w:rPr>
        <w:t xml:space="preserve"> American Rescue Plan Act (ARP</w:t>
      </w:r>
      <w:r w:rsidR="008C0E7B">
        <w:rPr>
          <w:sz w:val="24"/>
          <w:szCs w:val="24"/>
        </w:rPr>
        <w:t>A</w:t>
      </w:r>
      <w:r w:rsidR="008B01D5">
        <w:rPr>
          <w:sz w:val="24"/>
          <w:szCs w:val="24"/>
        </w:rPr>
        <w:t xml:space="preserve">) </w:t>
      </w:r>
      <w:r w:rsidR="00012854">
        <w:rPr>
          <w:sz w:val="24"/>
          <w:szCs w:val="24"/>
        </w:rPr>
        <w:t>of</w:t>
      </w:r>
      <w:r w:rsidR="008B01D5">
        <w:rPr>
          <w:sz w:val="24"/>
          <w:szCs w:val="24"/>
        </w:rPr>
        <w:t xml:space="preserve"> 2021, </w:t>
      </w:r>
      <w:r w:rsidR="000326D6">
        <w:rPr>
          <w:sz w:val="24"/>
          <w:szCs w:val="24"/>
        </w:rPr>
        <w:t>in response to the COVID-19 pandemic</w:t>
      </w:r>
      <w:r w:rsidR="00C15267">
        <w:rPr>
          <w:sz w:val="24"/>
          <w:szCs w:val="24"/>
        </w:rPr>
        <w:t xml:space="preserve">. </w:t>
      </w:r>
      <w:r w:rsidR="00994116">
        <w:rPr>
          <w:sz w:val="24"/>
          <w:szCs w:val="24"/>
        </w:rPr>
        <w:t>The EHV program awarded roughly 70,00</w:t>
      </w:r>
      <w:r w:rsidR="00497076">
        <w:rPr>
          <w:sz w:val="24"/>
          <w:szCs w:val="24"/>
        </w:rPr>
        <w:t>0</w:t>
      </w:r>
      <w:r w:rsidR="00994116">
        <w:rPr>
          <w:sz w:val="24"/>
          <w:szCs w:val="24"/>
        </w:rPr>
        <w:t xml:space="preserve"> new Housing Choice Vouchers</w:t>
      </w:r>
      <w:r w:rsidR="00497076">
        <w:rPr>
          <w:sz w:val="24"/>
          <w:szCs w:val="24"/>
        </w:rPr>
        <w:t xml:space="preserve"> (HCV)</w:t>
      </w:r>
      <w:r w:rsidR="00994116">
        <w:rPr>
          <w:sz w:val="24"/>
          <w:szCs w:val="24"/>
        </w:rPr>
        <w:t xml:space="preserve"> to 611 public housing agencies</w:t>
      </w:r>
      <w:r w:rsidR="00497076">
        <w:rPr>
          <w:sz w:val="24"/>
          <w:szCs w:val="24"/>
        </w:rPr>
        <w:t xml:space="preserve"> (PHA)</w:t>
      </w:r>
      <w:r w:rsidR="00994116">
        <w:rPr>
          <w:sz w:val="24"/>
          <w:szCs w:val="24"/>
        </w:rPr>
        <w:t xml:space="preserve"> </w:t>
      </w:r>
      <w:r w:rsidR="008E3C9D">
        <w:rPr>
          <w:sz w:val="24"/>
          <w:szCs w:val="24"/>
        </w:rPr>
        <w:t>that were targeted</w:t>
      </w:r>
      <w:r w:rsidR="00C15267">
        <w:rPr>
          <w:sz w:val="24"/>
          <w:szCs w:val="24"/>
        </w:rPr>
        <w:t xml:space="preserve"> to </w:t>
      </w:r>
      <w:r w:rsidR="00CD1249">
        <w:rPr>
          <w:sz w:val="24"/>
          <w:szCs w:val="24"/>
        </w:rPr>
        <w:t>households</w:t>
      </w:r>
      <w:r w:rsidR="00C15267">
        <w:rPr>
          <w:sz w:val="24"/>
          <w:szCs w:val="24"/>
        </w:rPr>
        <w:t xml:space="preserve"> experiencing or at-risk of experiencing homelessness</w:t>
      </w:r>
      <w:r w:rsidR="000326D6">
        <w:rPr>
          <w:sz w:val="24"/>
          <w:szCs w:val="24"/>
        </w:rPr>
        <w:t xml:space="preserve">. </w:t>
      </w:r>
      <w:r w:rsidR="008B01D5">
        <w:rPr>
          <w:sz w:val="24"/>
          <w:szCs w:val="24"/>
        </w:rPr>
        <w:t xml:space="preserve">The </w:t>
      </w:r>
      <w:r>
        <w:rPr>
          <w:sz w:val="24"/>
          <w:szCs w:val="24"/>
        </w:rPr>
        <w:t>collection</w:t>
      </w:r>
      <w:r w:rsidR="008B01D5">
        <w:rPr>
          <w:sz w:val="24"/>
          <w:szCs w:val="24"/>
        </w:rPr>
        <w:t xml:space="preserve"> aims to explore the structure of the EHV program compared to its </w:t>
      </w:r>
      <w:r w:rsidR="00FD16C7">
        <w:rPr>
          <w:sz w:val="24"/>
          <w:szCs w:val="24"/>
        </w:rPr>
        <w:t>analogous</w:t>
      </w:r>
      <w:r w:rsidR="004D7CA2">
        <w:rPr>
          <w:sz w:val="24"/>
          <w:szCs w:val="24"/>
        </w:rPr>
        <w:t xml:space="preserve"> </w:t>
      </w:r>
      <w:r w:rsidR="008B01D5">
        <w:rPr>
          <w:sz w:val="24"/>
          <w:szCs w:val="24"/>
        </w:rPr>
        <w:t xml:space="preserve">program, </w:t>
      </w:r>
      <w:r w:rsidR="00CC7ACB">
        <w:rPr>
          <w:sz w:val="24"/>
          <w:szCs w:val="24"/>
        </w:rPr>
        <w:t xml:space="preserve">the </w:t>
      </w:r>
      <w:r w:rsidR="008B01D5">
        <w:rPr>
          <w:sz w:val="24"/>
          <w:szCs w:val="24"/>
        </w:rPr>
        <w:t xml:space="preserve">Housing Choice Voucher program (HCV). Additionally, the evaluation </w:t>
      </w:r>
      <w:r w:rsidR="00012854">
        <w:rPr>
          <w:sz w:val="24"/>
          <w:szCs w:val="24"/>
        </w:rPr>
        <w:t>will</w:t>
      </w:r>
      <w:r w:rsidR="008B01D5">
        <w:rPr>
          <w:sz w:val="24"/>
          <w:szCs w:val="24"/>
        </w:rPr>
        <w:t xml:space="preserve"> examine</w:t>
      </w:r>
      <w:r w:rsidR="00012854">
        <w:rPr>
          <w:sz w:val="24"/>
          <w:szCs w:val="24"/>
        </w:rPr>
        <w:t xml:space="preserve"> unique features of the EHV program, e.g., </w:t>
      </w:r>
      <w:r w:rsidR="008B01D5">
        <w:rPr>
          <w:sz w:val="24"/>
          <w:szCs w:val="24"/>
        </w:rPr>
        <w:t xml:space="preserve">the partnerships </w:t>
      </w:r>
      <w:r w:rsidR="00012854">
        <w:rPr>
          <w:sz w:val="24"/>
          <w:szCs w:val="24"/>
        </w:rPr>
        <w:t xml:space="preserve">formed </w:t>
      </w:r>
      <w:r w:rsidR="008B01D5">
        <w:rPr>
          <w:sz w:val="24"/>
          <w:szCs w:val="24"/>
        </w:rPr>
        <w:t>between Public Housing A</w:t>
      </w:r>
      <w:r w:rsidR="00CD1249">
        <w:rPr>
          <w:sz w:val="24"/>
          <w:szCs w:val="24"/>
        </w:rPr>
        <w:t xml:space="preserve">gencies </w:t>
      </w:r>
      <w:r w:rsidR="008B01D5">
        <w:rPr>
          <w:sz w:val="24"/>
          <w:szCs w:val="24"/>
        </w:rPr>
        <w:t>(PHAs) and Continuums of Care</w:t>
      </w:r>
      <w:r w:rsidR="00CC7ACB">
        <w:rPr>
          <w:sz w:val="24"/>
          <w:szCs w:val="24"/>
        </w:rPr>
        <w:t xml:space="preserve"> (CoCs)</w:t>
      </w:r>
      <w:r w:rsidR="00012854">
        <w:rPr>
          <w:sz w:val="24"/>
          <w:szCs w:val="24"/>
        </w:rPr>
        <w:t xml:space="preserve">, and </w:t>
      </w:r>
      <w:r w:rsidR="00CC7ACB">
        <w:rPr>
          <w:sz w:val="24"/>
          <w:szCs w:val="24"/>
        </w:rPr>
        <w:t>program features such</w:t>
      </w:r>
      <w:r w:rsidR="00012854">
        <w:rPr>
          <w:sz w:val="24"/>
          <w:szCs w:val="24"/>
        </w:rPr>
        <w:t xml:space="preserve"> as the use of administrative fees and waivers to assist program beneficiaries.</w:t>
      </w:r>
      <w:r w:rsidR="008B01D5">
        <w:rPr>
          <w:sz w:val="24"/>
          <w:szCs w:val="24"/>
        </w:rPr>
        <w:t xml:space="preserve"> </w:t>
      </w:r>
    </w:p>
    <w:bookmarkEnd w:id="1"/>
    <w:p w:rsidR="0092671C" w:rsidP="00C90B32" w14:paraId="6DB16F9D" w14:textId="44EDBCA0">
      <w:pPr>
        <w:overflowPunct/>
        <w:autoSpaceDE/>
        <w:autoSpaceDN/>
        <w:adjustRightInd/>
        <w:spacing w:after="180" w:line="264" w:lineRule="auto"/>
        <w:ind w:left="720"/>
        <w:textAlignment w:val="auto"/>
        <w:rPr>
          <w:sz w:val="24"/>
          <w:szCs w:val="24"/>
        </w:rPr>
      </w:pPr>
      <w:r>
        <w:rPr>
          <w:sz w:val="24"/>
          <w:szCs w:val="24"/>
        </w:rPr>
        <w:t xml:space="preserve">In this context, </w:t>
      </w:r>
      <w:bookmarkStart w:id="2" w:name="_Hlk161317346"/>
      <w:r>
        <w:rPr>
          <w:sz w:val="24"/>
          <w:szCs w:val="24"/>
        </w:rPr>
        <w:t>HUD contracted</w:t>
      </w:r>
      <w:r w:rsidR="005E4528">
        <w:rPr>
          <w:sz w:val="24"/>
          <w:szCs w:val="24"/>
        </w:rPr>
        <w:t xml:space="preserve"> with</w:t>
      </w:r>
      <w:r>
        <w:rPr>
          <w:sz w:val="24"/>
          <w:szCs w:val="24"/>
        </w:rPr>
        <w:t xml:space="preserve"> Social Policy Research Associates</w:t>
      </w:r>
      <w:r w:rsidR="00896A3D">
        <w:rPr>
          <w:sz w:val="24"/>
          <w:szCs w:val="24"/>
        </w:rPr>
        <w:t xml:space="preserve"> (SPR)</w:t>
      </w:r>
      <w:r>
        <w:rPr>
          <w:sz w:val="24"/>
          <w:szCs w:val="24"/>
        </w:rPr>
        <w:t xml:space="preserve"> and its subcontractor</w:t>
      </w:r>
      <w:r w:rsidR="00854A1D">
        <w:rPr>
          <w:sz w:val="24"/>
          <w:szCs w:val="24"/>
        </w:rPr>
        <w:t>,</w:t>
      </w:r>
      <w:r>
        <w:rPr>
          <w:sz w:val="24"/>
          <w:szCs w:val="24"/>
        </w:rPr>
        <w:t xml:space="preserve"> Abt </w:t>
      </w:r>
      <w:r w:rsidR="00CD1249">
        <w:rPr>
          <w:sz w:val="24"/>
          <w:szCs w:val="24"/>
        </w:rPr>
        <w:t xml:space="preserve">Global </w:t>
      </w:r>
      <w:r w:rsidR="00C15267">
        <w:rPr>
          <w:sz w:val="24"/>
          <w:szCs w:val="24"/>
        </w:rPr>
        <w:t>(Abt)</w:t>
      </w:r>
      <w:r w:rsidR="00BC6AF8">
        <w:rPr>
          <w:sz w:val="24"/>
          <w:szCs w:val="24"/>
        </w:rPr>
        <w:t xml:space="preserve"> (“the research team”)</w:t>
      </w:r>
      <w:r w:rsidR="00854A1D">
        <w:rPr>
          <w:sz w:val="24"/>
          <w:szCs w:val="24"/>
        </w:rPr>
        <w:t>,</w:t>
      </w:r>
      <w:r>
        <w:rPr>
          <w:sz w:val="24"/>
          <w:szCs w:val="24"/>
        </w:rPr>
        <w:t xml:space="preserve"> to evaluate the EHV program and collect data from three sources: 1) administrative data, </w:t>
      </w:r>
      <w:r w:rsidR="00C15267">
        <w:rPr>
          <w:sz w:val="24"/>
          <w:szCs w:val="24"/>
        </w:rPr>
        <w:t xml:space="preserve">2) </w:t>
      </w:r>
      <w:r>
        <w:rPr>
          <w:sz w:val="24"/>
          <w:szCs w:val="24"/>
        </w:rPr>
        <w:t>a national web survey of PHAs and CoCs, and</w:t>
      </w:r>
      <w:r w:rsidR="00C15267">
        <w:rPr>
          <w:sz w:val="24"/>
          <w:szCs w:val="24"/>
        </w:rPr>
        <w:t xml:space="preserve"> 3)</w:t>
      </w:r>
      <w:r>
        <w:rPr>
          <w:sz w:val="24"/>
          <w:szCs w:val="24"/>
        </w:rPr>
        <w:t xml:space="preserve"> follow-up telephone </w:t>
      </w:r>
      <w:r w:rsidR="00C15267">
        <w:rPr>
          <w:sz w:val="24"/>
          <w:szCs w:val="24"/>
        </w:rPr>
        <w:t>interviews with</w:t>
      </w:r>
      <w:r>
        <w:rPr>
          <w:sz w:val="24"/>
          <w:szCs w:val="24"/>
        </w:rPr>
        <w:t xml:space="preserve"> a selected sample of PHAs</w:t>
      </w:r>
      <w:r w:rsidR="00C15267">
        <w:rPr>
          <w:sz w:val="24"/>
          <w:szCs w:val="24"/>
        </w:rPr>
        <w:t xml:space="preserve">, </w:t>
      </w:r>
      <w:r>
        <w:rPr>
          <w:sz w:val="24"/>
          <w:szCs w:val="24"/>
        </w:rPr>
        <w:t>CoCs</w:t>
      </w:r>
      <w:r w:rsidR="00C15267">
        <w:rPr>
          <w:sz w:val="24"/>
          <w:szCs w:val="24"/>
        </w:rPr>
        <w:t>, and other PHA partner organizations</w:t>
      </w:r>
      <w:r>
        <w:rPr>
          <w:sz w:val="24"/>
          <w:szCs w:val="24"/>
        </w:rPr>
        <w:t xml:space="preserve"> in 25 communities. The evaluation will use a mixed-methods approach </w:t>
      </w:r>
      <w:r w:rsidR="00694F16">
        <w:rPr>
          <w:sz w:val="24"/>
          <w:szCs w:val="24"/>
        </w:rPr>
        <w:t>with</w:t>
      </w:r>
      <w:r>
        <w:rPr>
          <w:sz w:val="24"/>
          <w:szCs w:val="24"/>
        </w:rPr>
        <w:t xml:space="preserve"> administrative data and web survey data to measure outcomes in key interest areas. </w:t>
      </w:r>
      <w:r w:rsidR="00C15267">
        <w:rPr>
          <w:sz w:val="24"/>
          <w:szCs w:val="24"/>
        </w:rPr>
        <w:t xml:space="preserve">The </w:t>
      </w:r>
      <w:r>
        <w:rPr>
          <w:sz w:val="24"/>
          <w:szCs w:val="24"/>
        </w:rPr>
        <w:t xml:space="preserve">follow-up </w:t>
      </w:r>
      <w:r w:rsidR="00CD1249">
        <w:rPr>
          <w:sz w:val="24"/>
          <w:szCs w:val="24"/>
        </w:rPr>
        <w:t>tele</w:t>
      </w:r>
      <w:r>
        <w:rPr>
          <w:sz w:val="24"/>
          <w:szCs w:val="24"/>
        </w:rPr>
        <w:t>phone interviews will collect information on the experiences of program staff in implementing the EHV program.</w:t>
      </w:r>
    </w:p>
    <w:bookmarkEnd w:id="2"/>
    <w:p w:rsidR="0092671C" w:rsidRPr="00377A35" w:rsidP="00C90B32" w14:paraId="4B13DB10" w14:textId="77777777">
      <w:pPr>
        <w:overflowPunct/>
        <w:autoSpaceDE/>
        <w:autoSpaceDN/>
        <w:adjustRightInd/>
        <w:spacing w:after="180" w:line="264" w:lineRule="auto"/>
        <w:ind w:left="720"/>
        <w:textAlignment w:val="auto"/>
        <w:rPr>
          <w:sz w:val="24"/>
          <w:szCs w:val="24"/>
        </w:rPr>
      </w:pPr>
      <w:r>
        <w:rPr>
          <w:sz w:val="24"/>
          <w:szCs w:val="24"/>
        </w:rPr>
        <w:t xml:space="preserve">Data from this evaluation </w:t>
      </w:r>
      <w:r w:rsidR="00C15267">
        <w:rPr>
          <w:sz w:val="24"/>
          <w:szCs w:val="24"/>
        </w:rPr>
        <w:t>will</w:t>
      </w:r>
      <w:r>
        <w:rPr>
          <w:sz w:val="24"/>
          <w:szCs w:val="24"/>
        </w:rPr>
        <w:t xml:space="preserve"> hel</w:t>
      </w:r>
      <w:r w:rsidR="00C15267">
        <w:rPr>
          <w:sz w:val="24"/>
          <w:szCs w:val="24"/>
        </w:rPr>
        <w:t>p</w:t>
      </w:r>
      <w:r>
        <w:rPr>
          <w:sz w:val="24"/>
          <w:szCs w:val="24"/>
        </w:rPr>
        <w:t xml:space="preserve"> guide</w:t>
      </w:r>
      <w:r w:rsidR="00C15267">
        <w:rPr>
          <w:sz w:val="24"/>
          <w:szCs w:val="24"/>
        </w:rPr>
        <w:t xml:space="preserve"> any</w:t>
      </w:r>
      <w:r>
        <w:rPr>
          <w:sz w:val="24"/>
          <w:szCs w:val="24"/>
        </w:rPr>
        <w:t xml:space="preserve"> future</w:t>
      </w:r>
      <w:r w:rsidR="00C15267">
        <w:rPr>
          <w:sz w:val="24"/>
          <w:szCs w:val="24"/>
        </w:rPr>
        <w:t xml:space="preserve"> emergency housing voucher</w:t>
      </w:r>
      <w:r>
        <w:rPr>
          <w:sz w:val="24"/>
          <w:szCs w:val="24"/>
        </w:rPr>
        <w:t xml:space="preserve"> program</w:t>
      </w:r>
      <w:r w:rsidR="00C15267">
        <w:rPr>
          <w:sz w:val="24"/>
          <w:szCs w:val="24"/>
        </w:rPr>
        <w:t>s</w:t>
      </w:r>
      <w:r>
        <w:rPr>
          <w:sz w:val="24"/>
          <w:szCs w:val="24"/>
        </w:rPr>
        <w:t xml:space="preserve"> and </w:t>
      </w:r>
      <w:r w:rsidR="00C15267">
        <w:rPr>
          <w:sz w:val="24"/>
          <w:szCs w:val="24"/>
        </w:rPr>
        <w:t>could also</w:t>
      </w:r>
      <w:r>
        <w:rPr>
          <w:sz w:val="24"/>
          <w:szCs w:val="24"/>
        </w:rPr>
        <w:t xml:space="preserve"> inform</w:t>
      </w:r>
      <w:r w:rsidR="00C15267">
        <w:rPr>
          <w:sz w:val="24"/>
          <w:szCs w:val="24"/>
        </w:rPr>
        <w:t xml:space="preserve"> possible changes to the</w:t>
      </w:r>
      <w:r>
        <w:rPr>
          <w:sz w:val="24"/>
          <w:szCs w:val="24"/>
        </w:rPr>
        <w:t xml:space="preserve"> HCV program to serve </w:t>
      </w:r>
      <w:r w:rsidR="00CD1249">
        <w:rPr>
          <w:sz w:val="24"/>
          <w:szCs w:val="24"/>
        </w:rPr>
        <w:t>households</w:t>
      </w:r>
      <w:r>
        <w:rPr>
          <w:sz w:val="24"/>
          <w:szCs w:val="24"/>
        </w:rPr>
        <w:t xml:space="preserve"> who are experiencing or at risk of experiencing homelessness. </w:t>
      </w:r>
      <w:r w:rsidRPr="009F5957">
        <w:rPr>
          <w:sz w:val="24"/>
          <w:szCs w:val="24"/>
        </w:rPr>
        <w:t>The authority to collect</w:t>
      </w:r>
      <w:r>
        <w:rPr>
          <w:sz w:val="24"/>
          <w:szCs w:val="24"/>
        </w:rPr>
        <w:t xml:space="preserve"> this</w:t>
      </w:r>
      <w:r w:rsidRPr="009F5957">
        <w:rPr>
          <w:sz w:val="24"/>
          <w:szCs w:val="24"/>
        </w:rPr>
        <w:t xml:space="preserve"> information is in Sections 501 and 502 of the Housing and Urban Development Act of 1970 (Public Law 91-609) (12 USC §§ 1701z-1; 1701z-2(d) and (g)). Please see Appendix A for the relevant section of HUD's statutory authority</w:t>
      </w:r>
      <w:r>
        <w:rPr>
          <w:sz w:val="24"/>
          <w:szCs w:val="24"/>
        </w:rPr>
        <w:t>.</w:t>
      </w:r>
    </w:p>
    <w:p w:rsidR="00C90B32" w:rsidP="004018F1" w14:paraId="6C58974E" w14:textId="77777777">
      <w:pPr>
        <w:pStyle w:val="ListParagraph"/>
        <w:keepLines/>
        <w:tabs>
          <w:tab w:val="left" w:pos="360"/>
        </w:tabs>
        <w:spacing w:after="80"/>
        <w:ind w:left="0"/>
        <w:rPr>
          <w:b/>
          <w:bCs/>
          <w:sz w:val="24"/>
          <w:szCs w:val="24"/>
        </w:rPr>
      </w:pPr>
    </w:p>
    <w:p w:rsidR="003B78FD" w:rsidP="00C90B32" w14:paraId="53C7C68F" w14:textId="7BF3DC6E">
      <w:pPr>
        <w:pStyle w:val="ListParagraph"/>
        <w:keepLines/>
        <w:numPr>
          <w:ilvl w:val="0"/>
          <w:numId w:val="21"/>
        </w:numPr>
        <w:tabs>
          <w:tab w:val="left" w:pos="360"/>
        </w:tabs>
        <w:spacing w:after="80"/>
        <w:rPr>
          <w:b/>
          <w:bCs/>
          <w:sz w:val="24"/>
          <w:szCs w:val="24"/>
        </w:rPr>
      </w:pPr>
      <w:r w:rsidRPr="007F675F">
        <w:rPr>
          <w:b/>
          <w:bCs/>
          <w:sz w:val="24"/>
          <w:szCs w:val="24"/>
        </w:rPr>
        <w:t>Indicate how, by whom and for what purpose the information is to be used. Except for a new collection, indicate the actual use the agency has made of the information received from the current collection.</w:t>
      </w:r>
      <w:r w:rsidRPr="004018F1">
        <w:rPr>
          <w:b/>
          <w:bCs/>
          <w:sz w:val="24"/>
          <w:szCs w:val="24"/>
        </w:rPr>
        <w:t xml:space="preserve"> </w:t>
      </w:r>
    </w:p>
    <w:p w:rsidR="004018F1" w:rsidRPr="004018F1" w:rsidP="004018F1" w14:paraId="75EA61D2" w14:textId="77777777">
      <w:pPr>
        <w:pStyle w:val="ListParagraph"/>
        <w:keepLines/>
        <w:tabs>
          <w:tab w:val="left" w:pos="360"/>
        </w:tabs>
        <w:spacing w:after="80"/>
        <w:ind w:left="0"/>
        <w:rPr>
          <w:b/>
          <w:bCs/>
          <w:sz w:val="24"/>
          <w:szCs w:val="24"/>
        </w:rPr>
      </w:pPr>
    </w:p>
    <w:p w:rsidR="003B78FD" w:rsidRPr="004018F1" w:rsidP="00C90B32" w14:paraId="32193C4F" w14:textId="7ACB4822">
      <w:pPr>
        <w:overflowPunct/>
        <w:autoSpaceDE/>
        <w:autoSpaceDN/>
        <w:adjustRightInd/>
        <w:spacing w:after="180" w:line="264" w:lineRule="auto"/>
        <w:ind w:left="720"/>
        <w:textAlignment w:val="auto"/>
        <w:rPr>
          <w:sz w:val="24"/>
          <w:szCs w:val="24"/>
        </w:rPr>
      </w:pPr>
      <w:r>
        <w:rPr>
          <w:sz w:val="24"/>
          <w:szCs w:val="24"/>
        </w:rPr>
        <w:t xml:space="preserve">This is a new information collection.  </w:t>
      </w:r>
      <w:r w:rsidR="00EB74A3">
        <w:rPr>
          <w:sz w:val="24"/>
          <w:szCs w:val="24"/>
        </w:rPr>
        <w:t xml:space="preserve">HUD will use the information collected to understand how communities implemented the EHV Program </w:t>
      </w:r>
      <w:r w:rsidR="00630AF2">
        <w:rPr>
          <w:sz w:val="24"/>
          <w:szCs w:val="24"/>
        </w:rPr>
        <w:t xml:space="preserve">and the outcomes of the </w:t>
      </w:r>
      <w:r w:rsidR="00A429C0">
        <w:rPr>
          <w:sz w:val="24"/>
          <w:szCs w:val="24"/>
        </w:rPr>
        <w:t xml:space="preserve">program.  </w:t>
      </w:r>
      <w:r w:rsidRPr="004018F1">
        <w:rPr>
          <w:sz w:val="24"/>
          <w:szCs w:val="24"/>
        </w:rPr>
        <w:t>The evaluation</w:t>
      </w:r>
      <w:r w:rsidRPr="004018F1" w:rsidR="003D015F">
        <w:rPr>
          <w:sz w:val="24"/>
          <w:szCs w:val="24"/>
        </w:rPr>
        <w:t xml:space="preserve"> of the EHV program will </w:t>
      </w:r>
      <w:r w:rsidRPr="004018F1">
        <w:rPr>
          <w:sz w:val="24"/>
          <w:szCs w:val="24"/>
        </w:rPr>
        <w:t xml:space="preserve">use qualitative and quantitative methods to </w:t>
      </w:r>
      <w:r w:rsidR="00A429C0">
        <w:rPr>
          <w:sz w:val="24"/>
          <w:szCs w:val="24"/>
        </w:rPr>
        <w:t>address</w:t>
      </w:r>
      <w:r w:rsidRPr="004018F1" w:rsidR="00A429C0">
        <w:rPr>
          <w:sz w:val="24"/>
          <w:szCs w:val="24"/>
        </w:rPr>
        <w:t xml:space="preserve"> </w:t>
      </w:r>
      <w:r w:rsidRPr="004018F1">
        <w:rPr>
          <w:sz w:val="24"/>
          <w:szCs w:val="24"/>
        </w:rPr>
        <w:t xml:space="preserve">the following research objectives: </w:t>
      </w:r>
    </w:p>
    <w:p w:rsidR="00C90B32" w:rsidRPr="00C90B32" w:rsidP="00C90B32" w14:paraId="3F89DF4F" w14:textId="7CEE462E">
      <w:pPr>
        <w:pStyle w:val="Bullet"/>
        <w:numPr>
          <w:ilvl w:val="0"/>
          <w:numId w:val="18"/>
        </w:numPr>
        <w:rPr>
          <w:rFonts w:ascii="Times New Roman" w:hAnsi="Times New Roman" w:cs="Times New Roman"/>
          <w:lang w:val="en-US"/>
        </w:rPr>
      </w:pPr>
      <w:r w:rsidRPr="00C90B32">
        <w:rPr>
          <w:rFonts w:ascii="Times New Roman" w:hAnsi="Times New Roman" w:cs="Times New Roman"/>
        </w:rPr>
        <w:t>Document how PHAs and CoCs structured and implemented their EHV programs, including the extent to which each of the four populations eligible for EHVs were served by the program and how the CoC prioritized EHV receipt among people currently or recently experiencing homelessness;</w:t>
      </w:r>
    </w:p>
    <w:p w:rsidR="00A503D4" w:rsidRPr="00C90B32" w:rsidP="00C90B32" w14:paraId="55F9E6F6" w14:textId="6345AA1F">
      <w:pPr>
        <w:pStyle w:val="Bullet"/>
        <w:numPr>
          <w:ilvl w:val="0"/>
          <w:numId w:val="18"/>
        </w:numPr>
        <w:rPr>
          <w:rFonts w:ascii="Times New Roman" w:hAnsi="Times New Roman" w:cs="Times New Roman"/>
          <w:lang w:val="en-US"/>
        </w:rPr>
      </w:pPr>
      <w:r w:rsidRPr="00C90B32">
        <w:rPr>
          <w:rFonts w:ascii="Times New Roman" w:hAnsi="Times New Roman" w:cs="Times New Roman"/>
          <w:lang w:val="en-US"/>
        </w:rPr>
        <w:t>Learn how PHAs applied administrative fees and chose among and implemented alternative program features and gaining the perspective of PHAs regarding their value;</w:t>
      </w:r>
    </w:p>
    <w:p w:rsidR="00A503D4" w:rsidRPr="00A503D4" w:rsidP="00C90B32" w14:paraId="6F1E5A2F" w14:textId="5C5217F2">
      <w:pPr>
        <w:pStyle w:val="Bullet"/>
        <w:numPr>
          <w:ilvl w:val="0"/>
          <w:numId w:val="18"/>
        </w:numPr>
        <w:rPr>
          <w:rFonts w:ascii="Times New Roman" w:hAnsi="Times New Roman" w:cs="Times New Roman"/>
        </w:rPr>
      </w:pPr>
      <w:r w:rsidRPr="00A503D4">
        <w:rPr>
          <w:rFonts w:ascii="Times New Roman" w:hAnsi="Times New Roman" w:cs="Times New Roman"/>
        </w:rPr>
        <w:t>Detail the extent to which PHAs and CoCs considered and incorporated equity principles and approaches into their EHV programs, including the prioritization of households who most needed housing and incorporating people with lived experience of homelessness to inform the CoC’s prioritization strategy; and</w:t>
      </w:r>
    </w:p>
    <w:p w:rsidR="00A503D4" w:rsidRPr="00A503D4" w:rsidP="00C90B32" w14:paraId="7A76AFB6" w14:textId="184F2221">
      <w:pPr>
        <w:pStyle w:val="Bullet"/>
        <w:numPr>
          <w:ilvl w:val="0"/>
          <w:numId w:val="18"/>
        </w:numPr>
        <w:rPr>
          <w:rFonts w:ascii="Times New Roman" w:hAnsi="Times New Roman" w:cs="Times New Roman"/>
          <w:lang w:val="en-US"/>
        </w:rPr>
      </w:pPr>
      <w:r w:rsidRPr="0BF33FB6">
        <w:rPr>
          <w:rFonts w:ascii="Times New Roman" w:hAnsi="Times New Roman" w:cs="Times New Roman"/>
          <w:lang w:val="en-US"/>
        </w:rPr>
        <w:t xml:space="preserve">Describe the households that were referred to the PHAs and issued EHVs and their success rates and compare them and their success rates to households using HCVs. </w:t>
      </w:r>
    </w:p>
    <w:p w:rsidR="003F4BAA" w:rsidRPr="003F4BAA" w:rsidP="00C90B32" w14:paraId="7984AA8D" w14:textId="687FF105">
      <w:pPr>
        <w:overflowPunct/>
        <w:autoSpaceDE/>
        <w:autoSpaceDN/>
        <w:adjustRightInd/>
        <w:spacing w:after="180" w:line="264" w:lineRule="auto"/>
        <w:ind w:left="720"/>
        <w:textAlignment w:val="auto"/>
        <w:rPr>
          <w:sz w:val="24"/>
          <w:szCs w:val="24"/>
        </w:rPr>
      </w:pPr>
      <w:r w:rsidRPr="003F4BAA">
        <w:rPr>
          <w:sz w:val="24"/>
          <w:szCs w:val="24"/>
        </w:rPr>
        <w:t>The research study intends to explore the following research questions in detail:</w:t>
      </w:r>
    </w:p>
    <w:p w:rsidR="00C90B32" w:rsidP="00C90B32" w14:paraId="6430E402" w14:textId="77777777">
      <w:pPr>
        <w:pStyle w:val="ListParagraph"/>
        <w:numPr>
          <w:ilvl w:val="0"/>
          <w:numId w:val="20"/>
        </w:numPr>
        <w:overflowPunct/>
        <w:autoSpaceDE/>
        <w:autoSpaceDN/>
        <w:adjustRightInd/>
        <w:spacing w:after="180" w:line="264" w:lineRule="auto"/>
        <w:textAlignment w:val="auto"/>
        <w:rPr>
          <w:sz w:val="24"/>
          <w:szCs w:val="24"/>
        </w:rPr>
      </w:pPr>
      <w:r w:rsidRPr="00C90B32">
        <w:rPr>
          <w:sz w:val="24"/>
          <w:szCs w:val="24"/>
        </w:rPr>
        <w:t>Partnerships Established Between PHAs and CoCs: One of the primary objectives of the study is to examine the partnerships established between PHAs and CoCs as a result of the EHV program. This will include analyzing the nature of these partnerships, the level of collaboration between the two organizations, and how they work</w:t>
      </w:r>
      <w:r w:rsidRPr="00C90B32" w:rsidR="0019398F">
        <w:rPr>
          <w:sz w:val="24"/>
          <w:szCs w:val="24"/>
        </w:rPr>
        <w:t xml:space="preserve">ed </w:t>
      </w:r>
      <w:r w:rsidRPr="00C90B32" w:rsidR="009B5FE9">
        <w:rPr>
          <w:sz w:val="24"/>
          <w:szCs w:val="24"/>
        </w:rPr>
        <w:t>t</w:t>
      </w:r>
      <w:r w:rsidRPr="00C90B32">
        <w:rPr>
          <w:sz w:val="24"/>
          <w:szCs w:val="24"/>
        </w:rPr>
        <w:t>ogether to meet the housing needs of the program's primary audience.</w:t>
      </w:r>
      <w:r w:rsidRPr="00C90B32" w:rsidR="00BC15D9">
        <w:rPr>
          <w:sz w:val="24"/>
          <w:szCs w:val="24"/>
        </w:rPr>
        <w:t xml:space="preserve"> </w:t>
      </w:r>
    </w:p>
    <w:p w:rsidR="00C90B32" w:rsidP="00C90B32" w14:paraId="3DD48B78" w14:textId="77777777">
      <w:pPr>
        <w:pStyle w:val="ListParagraph"/>
        <w:numPr>
          <w:ilvl w:val="0"/>
          <w:numId w:val="20"/>
        </w:numPr>
        <w:overflowPunct/>
        <w:autoSpaceDE/>
        <w:autoSpaceDN/>
        <w:adjustRightInd/>
        <w:spacing w:after="180" w:line="264" w:lineRule="auto"/>
        <w:textAlignment w:val="auto"/>
        <w:rPr>
          <w:sz w:val="24"/>
          <w:szCs w:val="24"/>
        </w:rPr>
      </w:pPr>
      <w:r w:rsidRPr="00C90B32">
        <w:rPr>
          <w:sz w:val="24"/>
          <w:szCs w:val="24"/>
        </w:rPr>
        <w:t>Referrals and Eligibility Assessments Administered by Partners: The study will also examine the referral and eligibility assessment processes that partners involved in the EHV program follow</w:t>
      </w:r>
      <w:r w:rsidRPr="00C90B32" w:rsidR="00BC05F7">
        <w:rPr>
          <w:sz w:val="24"/>
          <w:szCs w:val="24"/>
        </w:rPr>
        <w:t>ed</w:t>
      </w:r>
      <w:r w:rsidRPr="00C90B32">
        <w:rPr>
          <w:sz w:val="24"/>
          <w:szCs w:val="24"/>
        </w:rPr>
        <w:t xml:space="preserve">. This will involve analyzing the criteria used to determine eligibility, the referral process, and how these processes </w:t>
      </w:r>
      <w:r w:rsidRPr="00C90B32" w:rsidR="008242D0">
        <w:rPr>
          <w:sz w:val="24"/>
          <w:szCs w:val="24"/>
        </w:rPr>
        <w:t xml:space="preserve">were </w:t>
      </w:r>
      <w:r w:rsidRPr="00C90B32">
        <w:rPr>
          <w:sz w:val="24"/>
          <w:szCs w:val="24"/>
        </w:rPr>
        <w:t>streamlined to ensure that households in need c</w:t>
      </w:r>
      <w:r w:rsidRPr="00C90B32" w:rsidR="008242D0">
        <w:rPr>
          <w:sz w:val="24"/>
          <w:szCs w:val="24"/>
        </w:rPr>
        <w:t>ould</w:t>
      </w:r>
      <w:r w:rsidRPr="00C90B32">
        <w:rPr>
          <w:sz w:val="24"/>
          <w:szCs w:val="24"/>
        </w:rPr>
        <w:t xml:space="preserve"> access the program's benefits as quickly as possible.</w:t>
      </w:r>
    </w:p>
    <w:p w:rsidR="00121292" w:rsidP="00121292" w14:paraId="076CA1C6" w14:textId="77777777">
      <w:pPr>
        <w:pStyle w:val="ListParagraph"/>
        <w:numPr>
          <w:ilvl w:val="0"/>
          <w:numId w:val="20"/>
        </w:numPr>
        <w:overflowPunct/>
        <w:autoSpaceDE/>
        <w:autoSpaceDN/>
        <w:adjustRightInd/>
        <w:spacing w:after="180" w:line="264" w:lineRule="auto"/>
        <w:textAlignment w:val="auto"/>
        <w:rPr>
          <w:sz w:val="24"/>
          <w:szCs w:val="24"/>
        </w:rPr>
      </w:pPr>
      <w:r w:rsidRPr="00C90B32">
        <w:rPr>
          <w:sz w:val="24"/>
          <w:szCs w:val="24"/>
        </w:rPr>
        <w:t>Practices in Helping Households During the Lease-Up Process: Another key area of inquiry will be to identify the best practices for helping households during the lease-up process and</w:t>
      </w:r>
      <w:r w:rsidRPr="00C90B32" w:rsidR="008242D0">
        <w:rPr>
          <w:sz w:val="24"/>
          <w:szCs w:val="24"/>
        </w:rPr>
        <w:t xml:space="preserve"> </w:t>
      </w:r>
      <w:r w:rsidRPr="00C90B32" w:rsidR="000E5194">
        <w:rPr>
          <w:sz w:val="24"/>
          <w:szCs w:val="24"/>
        </w:rPr>
        <w:t>in</w:t>
      </w:r>
      <w:r w:rsidRPr="00C90B32">
        <w:rPr>
          <w:sz w:val="24"/>
          <w:szCs w:val="24"/>
        </w:rPr>
        <w:t xml:space="preserve"> securing a housing unit. This will include analyzing the types of support provided to households during this process, the challenges faced by households during this process, and how these challenges </w:t>
      </w:r>
      <w:r w:rsidRPr="00C90B32" w:rsidR="000E5194">
        <w:rPr>
          <w:sz w:val="24"/>
          <w:szCs w:val="24"/>
        </w:rPr>
        <w:t>were</w:t>
      </w:r>
      <w:r w:rsidRPr="00C90B32">
        <w:rPr>
          <w:sz w:val="24"/>
          <w:szCs w:val="24"/>
        </w:rPr>
        <w:t xml:space="preserve"> addressed.</w:t>
      </w:r>
    </w:p>
    <w:p w:rsidR="00595FA7" w:rsidRPr="00121292" w:rsidP="00121292" w14:paraId="0EBC8BBC" w14:textId="38A0AF2A">
      <w:pPr>
        <w:pStyle w:val="ListParagraph"/>
        <w:numPr>
          <w:ilvl w:val="0"/>
          <w:numId w:val="20"/>
        </w:numPr>
        <w:overflowPunct/>
        <w:autoSpaceDE/>
        <w:autoSpaceDN/>
        <w:adjustRightInd/>
        <w:spacing w:after="180" w:line="264" w:lineRule="auto"/>
        <w:textAlignment w:val="auto"/>
        <w:rPr>
          <w:sz w:val="24"/>
          <w:szCs w:val="24"/>
        </w:rPr>
      </w:pPr>
      <w:r w:rsidRPr="00121292">
        <w:rPr>
          <w:sz w:val="24"/>
          <w:szCs w:val="24"/>
        </w:rPr>
        <w:t xml:space="preserve">Administrative Fee Waiver and Its Role in </w:t>
      </w:r>
      <w:r w:rsidRPr="00121292" w:rsidR="000E5194">
        <w:rPr>
          <w:sz w:val="24"/>
          <w:szCs w:val="24"/>
        </w:rPr>
        <w:t>the Program:</w:t>
      </w:r>
      <w:r w:rsidRPr="00121292">
        <w:rPr>
          <w:sz w:val="24"/>
          <w:szCs w:val="24"/>
        </w:rPr>
        <w:t xml:space="preserve"> Finally, the study will seek to understand administrative fee waiver</w:t>
      </w:r>
      <w:r w:rsidRPr="00121292" w:rsidR="009262E2">
        <w:rPr>
          <w:sz w:val="24"/>
          <w:szCs w:val="24"/>
        </w:rPr>
        <w:t>s</w:t>
      </w:r>
      <w:r w:rsidRPr="00121292">
        <w:rPr>
          <w:sz w:val="24"/>
          <w:szCs w:val="24"/>
        </w:rPr>
        <w:t xml:space="preserve"> and </w:t>
      </w:r>
      <w:r w:rsidRPr="00121292" w:rsidR="00E75457">
        <w:rPr>
          <w:sz w:val="24"/>
          <w:szCs w:val="24"/>
        </w:rPr>
        <w:t>their</w:t>
      </w:r>
      <w:r w:rsidRPr="00121292">
        <w:rPr>
          <w:sz w:val="24"/>
          <w:szCs w:val="24"/>
        </w:rPr>
        <w:t xml:space="preserve"> role in</w:t>
      </w:r>
      <w:r w:rsidRPr="00121292" w:rsidR="005527F5">
        <w:rPr>
          <w:sz w:val="24"/>
          <w:szCs w:val="24"/>
        </w:rPr>
        <w:t xml:space="preserve"> the program</w:t>
      </w:r>
      <w:r w:rsidRPr="00121292">
        <w:rPr>
          <w:sz w:val="24"/>
          <w:szCs w:val="24"/>
        </w:rPr>
        <w:t>. This will involve analyzing the criteria used to determine eligibility for the fee waiver, the benefits it provide</w:t>
      </w:r>
      <w:r w:rsidRPr="00121292" w:rsidR="00E75457">
        <w:rPr>
          <w:sz w:val="24"/>
          <w:szCs w:val="24"/>
        </w:rPr>
        <w:t>d</w:t>
      </w:r>
      <w:r w:rsidRPr="00121292">
        <w:rPr>
          <w:sz w:val="24"/>
          <w:szCs w:val="24"/>
        </w:rPr>
        <w:t xml:space="preserve"> to households, and how it has helped to make the EHV program more accessible to those in need.</w:t>
      </w:r>
    </w:p>
    <w:p w:rsidR="00140793" w:rsidRPr="006B56D4" w:rsidP="00C90B32" w14:paraId="72495BFF" w14:textId="712FB44C">
      <w:pPr>
        <w:overflowPunct/>
        <w:autoSpaceDE/>
        <w:autoSpaceDN/>
        <w:adjustRightInd/>
        <w:spacing w:after="180" w:line="264" w:lineRule="auto"/>
        <w:ind w:left="720"/>
        <w:textAlignment w:val="auto"/>
        <w:rPr>
          <w:sz w:val="24"/>
          <w:szCs w:val="24"/>
        </w:rPr>
      </w:pPr>
      <w:r w:rsidRPr="006B56D4">
        <w:rPr>
          <w:sz w:val="24"/>
          <w:szCs w:val="24"/>
        </w:rPr>
        <w:t>The collection will also gather information to guide future efforts developed by HUD. The following questions will be used to collect this information:</w:t>
      </w:r>
    </w:p>
    <w:p w:rsidR="005B1BB5" w:rsidP="00C90B32" w14:paraId="035B4864" w14:textId="73EA0A1E">
      <w:pPr>
        <w:keepLines/>
        <w:numPr>
          <w:ilvl w:val="0"/>
          <w:numId w:val="7"/>
        </w:numPr>
        <w:tabs>
          <w:tab w:val="left" w:pos="360"/>
        </w:tabs>
        <w:spacing w:after="80"/>
        <w:ind w:left="1080"/>
        <w:rPr>
          <w:bCs/>
          <w:sz w:val="24"/>
          <w:szCs w:val="24"/>
        </w:rPr>
      </w:pPr>
      <w:r w:rsidRPr="005B1BB5">
        <w:rPr>
          <w:bCs/>
          <w:sz w:val="24"/>
          <w:szCs w:val="24"/>
        </w:rPr>
        <w:t>What aspects of EHV should be carried over to the regular HCV program or future allocations of emergency vouchers?</w:t>
      </w:r>
    </w:p>
    <w:p w:rsidR="005B1BB5" w:rsidP="00C90B32" w14:paraId="5FF4D674" w14:textId="4989A9B7">
      <w:pPr>
        <w:keepLines/>
        <w:numPr>
          <w:ilvl w:val="0"/>
          <w:numId w:val="7"/>
        </w:numPr>
        <w:tabs>
          <w:tab w:val="left" w:pos="360"/>
        </w:tabs>
        <w:spacing w:after="80"/>
        <w:ind w:left="1080"/>
        <w:rPr>
          <w:bCs/>
          <w:sz w:val="24"/>
          <w:szCs w:val="24"/>
        </w:rPr>
      </w:pPr>
      <w:r w:rsidRPr="005B1BB5">
        <w:rPr>
          <w:bCs/>
          <w:sz w:val="24"/>
          <w:szCs w:val="24"/>
        </w:rPr>
        <w:t xml:space="preserve">What strategies were adopted by communities to monitor program implementation?  </w:t>
      </w:r>
    </w:p>
    <w:p w:rsidR="00121292" w:rsidP="00121292" w14:paraId="35CC03C4" w14:textId="77777777">
      <w:pPr>
        <w:keepLines/>
        <w:numPr>
          <w:ilvl w:val="0"/>
          <w:numId w:val="7"/>
        </w:numPr>
        <w:tabs>
          <w:tab w:val="left" w:pos="360"/>
        </w:tabs>
        <w:spacing w:after="80"/>
        <w:ind w:left="1080"/>
        <w:rPr>
          <w:bCs/>
          <w:sz w:val="24"/>
          <w:szCs w:val="24"/>
        </w:rPr>
      </w:pPr>
      <w:r w:rsidRPr="005B1BB5">
        <w:rPr>
          <w:bCs/>
          <w:sz w:val="24"/>
          <w:szCs w:val="24"/>
        </w:rPr>
        <w:t>Are there any ongoing local evaluations of the EHV program that the community is aware of?</w:t>
      </w:r>
    </w:p>
    <w:p w:rsidR="00473064" w14:paraId="56709F7A" w14:textId="77777777">
      <w:pPr>
        <w:overflowPunct/>
        <w:autoSpaceDE/>
        <w:autoSpaceDN/>
        <w:adjustRightInd/>
        <w:spacing w:after="180" w:line="264" w:lineRule="auto"/>
        <w:ind w:left="720"/>
        <w:textAlignment w:val="auto"/>
        <w:rPr>
          <w:sz w:val="24"/>
          <w:szCs w:val="24"/>
        </w:rPr>
      </w:pPr>
    </w:p>
    <w:p w:rsidR="00DA196A" w:rsidRPr="00EB5188" w:rsidP="004B0E75" w14:paraId="233724E8" w14:textId="3249DB58">
      <w:pPr>
        <w:overflowPunct/>
        <w:autoSpaceDE/>
        <w:autoSpaceDN/>
        <w:adjustRightInd/>
        <w:spacing w:after="180" w:line="264" w:lineRule="auto"/>
        <w:ind w:left="720"/>
        <w:textAlignment w:val="auto"/>
        <w:rPr>
          <w:sz w:val="24"/>
          <w:szCs w:val="24"/>
        </w:rPr>
      </w:pPr>
      <w:r w:rsidRPr="00EB5188">
        <w:rPr>
          <w:sz w:val="24"/>
          <w:szCs w:val="24"/>
        </w:rPr>
        <w:t>This submission requests OMB approval for the following data collection activities:</w:t>
      </w:r>
    </w:p>
    <w:p w:rsidR="00DA196A" w:rsidRPr="00EB5188" w:rsidP="004B0E75" w14:paraId="158F9174" w14:textId="77777777">
      <w:pPr>
        <w:pStyle w:val="ListParagraph"/>
        <w:numPr>
          <w:ilvl w:val="0"/>
          <w:numId w:val="13"/>
        </w:numPr>
        <w:overflowPunct/>
        <w:autoSpaceDE/>
        <w:autoSpaceDN/>
        <w:adjustRightInd/>
        <w:spacing w:after="180" w:line="264" w:lineRule="auto"/>
        <w:ind w:left="1440"/>
        <w:contextualSpacing/>
        <w:textAlignment w:val="auto"/>
        <w:rPr>
          <w:sz w:val="24"/>
          <w:szCs w:val="24"/>
        </w:rPr>
      </w:pPr>
      <w:r>
        <w:rPr>
          <w:sz w:val="24"/>
          <w:szCs w:val="24"/>
        </w:rPr>
        <w:t xml:space="preserve">A web survey for PHA staff </w:t>
      </w:r>
      <w:r w:rsidRPr="00EB5188">
        <w:rPr>
          <w:sz w:val="24"/>
          <w:szCs w:val="24"/>
        </w:rPr>
        <w:t>(</w:t>
      </w:r>
      <w:r>
        <w:rPr>
          <w:sz w:val="24"/>
          <w:szCs w:val="24"/>
        </w:rPr>
        <w:t>see</w:t>
      </w:r>
      <w:r w:rsidRPr="00EB5188">
        <w:rPr>
          <w:sz w:val="24"/>
          <w:szCs w:val="24"/>
        </w:rPr>
        <w:t xml:space="preserve"> </w:t>
      </w:r>
      <w:r>
        <w:rPr>
          <w:sz w:val="24"/>
          <w:szCs w:val="24"/>
        </w:rPr>
        <w:t>Appendix B)</w:t>
      </w:r>
    </w:p>
    <w:p w:rsidR="00DA196A" w:rsidRPr="00EB5188" w:rsidP="004B0E75" w14:paraId="3FCBD952" w14:textId="77777777">
      <w:pPr>
        <w:pStyle w:val="ListParagraph"/>
        <w:numPr>
          <w:ilvl w:val="0"/>
          <w:numId w:val="13"/>
        </w:numPr>
        <w:overflowPunct/>
        <w:autoSpaceDE/>
        <w:autoSpaceDN/>
        <w:adjustRightInd/>
        <w:spacing w:after="180" w:line="264" w:lineRule="auto"/>
        <w:ind w:left="1440"/>
        <w:contextualSpacing/>
        <w:textAlignment w:val="auto"/>
        <w:rPr>
          <w:sz w:val="24"/>
          <w:szCs w:val="24"/>
        </w:rPr>
      </w:pPr>
      <w:r>
        <w:rPr>
          <w:sz w:val="24"/>
          <w:szCs w:val="24"/>
        </w:rPr>
        <w:t>A web survey for CoC staff</w:t>
      </w:r>
      <w:r w:rsidRPr="00EB5188">
        <w:rPr>
          <w:sz w:val="24"/>
          <w:szCs w:val="24"/>
        </w:rPr>
        <w:t xml:space="preserve"> (</w:t>
      </w:r>
      <w:r>
        <w:rPr>
          <w:sz w:val="24"/>
          <w:szCs w:val="24"/>
        </w:rPr>
        <w:t>see Appendix C)</w:t>
      </w:r>
    </w:p>
    <w:p w:rsidR="00DA196A" w:rsidRPr="00EB5188" w:rsidP="004B0E75" w14:paraId="0A5CF1E3" w14:textId="77777777">
      <w:pPr>
        <w:pStyle w:val="ListParagraph"/>
        <w:numPr>
          <w:ilvl w:val="0"/>
          <w:numId w:val="13"/>
        </w:numPr>
        <w:overflowPunct/>
        <w:autoSpaceDE/>
        <w:autoSpaceDN/>
        <w:adjustRightInd/>
        <w:spacing w:after="180" w:line="264" w:lineRule="auto"/>
        <w:ind w:left="1440"/>
        <w:contextualSpacing/>
        <w:textAlignment w:val="auto"/>
        <w:rPr>
          <w:sz w:val="24"/>
          <w:szCs w:val="24"/>
        </w:rPr>
      </w:pPr>
      <w:r>
        <w:rPr>
          <w:sz w:val="24"/>
          <w:szCs w:val="24"/>
        </w:rPr>
        <w:t>Phone/virtual interviews with PHA staff</w:t>
      </w:r>
      <w:r w:rsidRPr="00EB5188">
        <w:rPr>
          <w:sz w:val="24"/>
          <w:szCs w:val="24"/>
        </w:rPr>
        <w:t xml:space="preserve"> (see </w:t>
      </w:r>
      <w:r>
        <w:rPr>
          <w:sz w:val="24"/>
          <w:szCs w:val="24"/>
        </w:rPr>
        <w:t>Appendix D)</w:t>
      </w:r>
    </w:p>
    <w:p w:rsidR="00DA196A" w:rsidP="004B0E75" w14:paraId="2AB855CD" w14:textId="77777777">
      <w:pPr>
        <w:pStyle w:val="ListParagraph"/>
        <w:numPr>
          <w:ilvl w:val="0"/>
          <w:numId w:val="13"/>
        </w:numPr>
        <w:spacing w:after="180" w:line="264" w:lineRule="auto"/>
        <w:ind w:left="1440"/>
        <w:contextualSpacing/>
        <w:rPr>
          <w:sz w:val="24"/>
          <w:szCs w:val="24"/>
        </w:rPr>
      </w:pPr>
      <w:r w:rsidRPr="00784FD6">
        <w:rPr>
          <w:sz w:val="24"/>
          <w:szCs w:val="24"/>
        </w:rPr>
        <w:t>Phone/</w:t>
      </w:r>
      <w:r>
        <w:rPr>
          <w:sz w:val="24"/>
          <w:szCs w:val="24"/>
        </w:rPr>
        <w:t>v</w:t>
      </w:r>
      <w:r w:rsidRPr="00784FD6">
        <w:rPr>
          <w:sz w:val="24"/>
          <w:szCs w:val="24"/>
        </w:rPr>
        <w:t xml:space="preserve">irtual </w:t>
      </w:r>
      <w:r>
        <w:rPr>
          <w:sz w:val="24"/>
          <w:szCs w:val="24"/>
        </w:rPr>
        <w:t>i</w:t>
      </w:r>
      <w:r w:rsidRPr="00784FD6">
        <w:rPr>
          <w:sz w:val="24"/>
          <w:szCs w:val="24"/>
        </w:rPr>
        <w:t>nterviews with CoCs and non-CoC partner organization staff</w:t>
      </w:r>
      <w:r w:rsidRPr="00784FD6">
        <w:rPr>
          <w:sz w:val="24"/>
          <w:szCs w:val="24"/>
        </w:rPr>
        <w:t xml:space="preserve"> </w:t>
      </w:r>
      <w:r w:rsidRPr="461D5F21">
        <w:rPr>
          <w:sz w:val="24"/>
          <w:szCs w:val="24"/>
        </w:rPr>
        <w:t>(see Appendix E)</w:t>
      </w:r>
    </w:p>
    <w:p w:rsidR="00DA196A" w:rsidP="004B0E75" w14:paraId="7CC0661F" w14:textId="77777777">
      <w:pPr>
        <w:spacing w:after="180" w:line="264" w:lineRule="auto"/>
        <w:ind w:left="720"/>
        <w:contextualSpacing/>
        <w:rPr>
          <w:sz w:val="24"/>
          <w:szCs w:val="24"/>
        </w:rPr>
      </w:pPr>
      <w:r w:rsidRPr="461D5F21">
        <w:rPr>
          <w:sz w:val="24"/>
          <w:szCs w:val="24"/>
        </w:rPr>
        <w:t>Additionally, this submission contains outreach materials that will be used to support the data collection activities outlined above:</w:t>
      </w:r>
    </w:p>
    <w:p w:rsidR="00DA196A" w:rsidP="004B0E75" w14:paraId="7C1AAC7E" w14:textId="77777777">
      <w:pPr>
        <w:pStyle w:val="ListParagraph"/>
        <w:numPr>
          <w:ilvl w:val="0"/>
          <w:numId w:val="13"/>
        </w:numPr>
        <w:overflowPunct/>
        <w:autoSpaceDE/>
        <w:autoSpaceDN/>
        <w:adjustRightInd/>
        <w:spacing w:after="180" w:line="264" w:lineRule="auto"/>
        <w:ind w:left="1440"/>
        <w:contextualSpacing/>
        <w:textAlignment w:val="auto"/>
        <w:rPr>
          <w:sz w:val="24"/>
          <w:szCs w:val="24"/>
        </w:rPr>
      </w:pPr>
      <w:r>
        <w:rPr>
          <w:sz w:val="24"/>
          <w:szCs w:val="24"/>
        </w:rPr>
        <w:t>Outreach materials for a web survey for PHA staff (see Appendix F)</w:t>
      </w:r>
    </w:p>
    <w:p w:rsidR="00DA196A" w:rsidP="004B0E75" w14:paraId="26585A15" w14:textId="77777777">
      <w:pPr>
        <w:pStyle w:val="ListParagraph"/>
        <w:numPr>
          <w:ilvl w:val="0"/>
          <w:numId w:val="13"/>
        </w:numPr>
        <w:overflowPunct/>
        <w:autoSpaceDE/>
        <w:autoSpaceDN/>
        <w:adjustRightInd/>
        <w:spacing w:after="180" w:line="264" w:lineRule="auto"/>
        <w:ind w:left="1440"/>
        <w:contextualSpacing/>
        <w:textAlignment w:val="auto"/>
        <w:rPr>
          <w:sz w:val="24"/>
          <w:szCs w:val="24"/>
        </w:rPr>
      </w:pPr>
      <w:r w:rsidRPr="461D5F21">
        <w:rPr>
          <w:sz w:val="24"/>
          <w:szCs w:val="24"/>
        </w:rPr>
        <w:t xml:space="preserve">Outreach materials for </w:t>
      </w:r>
      <w:r>
        <w:rPr>
          <w:sz w:val="24"/>
          <w:szCs w:val="24"/>
        </w:rPr>
        <w:t xml:space="preserve">a web survey for </w:t>
      </w:r>
      <w:r w:rsidRPr="461D5F21">
        <w:rPr>
          <w:sz w:val="24"/>
          <w:szCs w:val="24"/>
        </w:rPr>
        <w:t>CoC staff (see Appendix G)</w:t>
      </w:r>
    </w:p>
    <w:p w:rsidR="00DA196A" w:rsidP="004B0E75" w14:paraId="2684984B" w14:textId="77777777">
      <w:pPr>
        <w:pStyle w:val="ListParagraph"/>
        <w:numPr>
          <w:ilvl w:val="0"/>
          <w:numId w:val="13"/>
        </w:numPr>
        <w:overflowPunct/>
        <w:autoSpaceDE/>
        <w:autoSpaceDN/>
        <w:adjustRightInd/>
        <w:spacing w:after="180" w:line="264" w:lineRule="auto"/>
        <w:ind w:left="1440"/>
        <w:contextualSpacing/>
        <w:textAlignment w:val="auto"/>
        <w:rPr>
          <w:sz w:val="24"/>
          <w:szCs w:val="24"/>
        </w:rPr>
      </w:pPr>
      <w:r>
        <w:rPr>
          <w:sz w:val="24"/>
          <w:szCs w:val="24"/>
        </w:rPr>
        <w:t>Outreach materials for phone/virtual interviews with PHA staff (see Appendix H)</w:t>
      </w:r>
    </w:p>
    <w:p w:rsidR="00DA196A" w:rsidP="004B0E75" w14:paraId="47D345B8" w14:textId="77777777">
      <w:pPr>
        <w:pStyle w:val="ListParagraph"/>
        <w:numPr>
          <w:ilvl w:val="0"/>
          <w:numId w:val="13"/>
        </w:numPr>
        <w:overflowPunct/>
        <w:autoSpaceDE/>
        <w:autoSpaceDN/>
        <w:adjustRightInd/>
        <w:spacing w:after="180" w:line="264" w:lineRule="auto"/>
        <w:ind w:left="1440"/>
        <w:contextualSpacing/>
        <w:textAlignment w:val="auto"/>
        <w:rPr>
          <w:sz w:val="24"/>
          <w:szCs w:val="24"/>
        </w:rPr>
      </w:pPr>
      <w:r>
        <w:rPr>
          <w:sz w:val="24"/>
          <w:szCs w:val="24"/>
        </w:rPr>
        <w:t>Outreach materials for p</w:t>
      </w:r>
      <w:r w:rsidRPr="00784FD6">
        <w:rPr>
          <w:sz w:val="24"/>
          <w:szCs w:val="24"/>
        </w:rPr>
        <w:t>hone/</w:t>
      </w:r>
      <w:r>
        <w:rPr>
          <w:sz w:val="24"/>
          <w:szCs w:val="24"/>
        </w:rPr>
        <w:t>v</w:t>
      </w:r>
      <w:r w:rsidRPr="00784FD6">
        <w:rPr>
          <w:sz w:val="24"/>
          <w:szCs w:val="24"/>
        </w:rPr>
        <w:t xml:space="preserve">irtual </w:t>
      </w:r>
      <w:r>
        <w:rPr>
          <w:sz w:val="24"/>
          <w:szCs w:val="24"/>
        </w:rPr>
        <w:t>i</w:t>
      </w:r>
      <w:r w:rsidRPr="00784FD6">
        <w:rPr>
          <w:sz w:val="24"/>
          <w:szCs w:val="24"/>
        </w:rPr>
        <w:t>nterviews with CoCs and non-CoC partner organization staff</w:t>
      </w:r>
      <w:r w:rsidRPr="00784FD6">
        <w:rPr>
          <w:sz w:val="24"/>
          <w:szCs w:val="24"/>
        </w:rPr>
        <w:t xml:space="preserve"> </w:t>
      </w:r>
      <w:r>
        <w:rPr>
          <w:sz w:val="24"/>
          <w:szCs w:val="24"/>
        </w:rPr>
        <w:t>(see Appendix I)</w:t>
      </w:r>
    </w:p>
    <w:p w:rsidR="00DA196A" w:rsidP="004B0E75" w14:paraId="0F2680D5" w14:textId="77777777">
      <w:pPr>
        <w:overflowPunct/>
        <w:autoSpaceDE/>
        <w:autoSpaceDN/>
        <w:adjustRightInd/>
        <w:spacing w:after="180" w:line="264" w:lineRule="auto"/>
        <w:ind w:left="720"/>
        <w:contextualSpacing/>
        <w:textAlignment w:val="auto"/>
        <w:rPr>
          <w:sz w:val="24"/>
          <w:szCs w:val="24"/>
        </w:rPr>
      </w:pPr>
      <w:r w:rsidRPr="008E02D7">
        <w:rPr>
          <w:sz w:val="24"/>
          <w:szCs w:val="24"/>
        </w:rPr>
        <w:t>Appendix J contains a copy of the published 60-Day Federal Register Notice.</w:t>
      </w:r>
    </w:p>
    <w:p w:rsidR="00DA196A" w:rsidRPr="007E441D" w:rsidP="004B0E75" w14:paraId="53292ED0" w14:textId="77777777">
      <w:pPr>
        <w:overflowPunct/>
        <w:autoSpaceDE/>
        <w:autoSpaceDN/>
        <w:adjustRightInd/>
        <w:spacing w:after="180" w:line="264" w:lineRule="auto"/>
        <w:ind w:left="720"/>
        <w:contextualSpacing/>
        <w:textAlignment w:val="auto"/>
        <w:rPr>
          <w:sz w:val="24"/>
          <w:szCs w:val="24"/>
        </w:rPr>
      </w:pPr>
    </w:p>
    <w:p w:rsidR="00DA196A" w:rsidRPr="00E57E60" w:rsidP="004B0E75" w14:paraId="6DF5CDAE" w14:textId="77777777">
      <w:pPr>
        <w:keepLines/>
        <w:tabs>
          <w:tab w:val="left" w:pos="360"/>
        </w:tabs>
        <w:spacing w:after="80"/>
        <w:ind w:left="720"/>
        <w:rPr>
          <w:b/>
          <w:sz w:val="24"/>
          <w:szCs w:val="24"/>
        </w:rPr>
      </w:pPr>
      <w:r w:rsidRPr="00E57E60">
        <w:rPr>
          <w:b/>
          <w:sz w:val="24"/>
          <w:szCs w:val="24"/>
        </w:rPr>
        <w:t>Information Collection Request Overview</w:t>
      </w:r>
    </w:p>
    <w:p w:rsidR="00DA196A" w:rsidP="004B0E75" w14:paraId="09E0908A" w14:textId="77777777">
      <w:pPr>
        <w:keepLines/>
        <w:tabs>
          <w:tab w:val="left" w:pos="360"/>
        </w:tabs>
        <w:spacing w:after="80"/>
        <w:ind w:left="720"/>
        <w:rPr>
          <w:sz w:val="24"/>
          <w:szCs w:val="24"/>
        </w:rPr>
      </w:pPr>
      <w:r w:rsidRPr="461D5F21">
        <w:rPr>
          <w:sz w:val="24"/>
          <w:szCs w:val="24"/>
        </w:rPr>
        <w:t>In total, HUD plans to conduct a web survey of all of 611 PHAs that received an allocation of EHVs, a web survey of 371 CoCs, 25 telephone/virtual interviews with PHAs, and 25 telephone/virtual interviews with CoCs or other partner organizations.</w:t>
      </w:r>
    </w:p>
    <w:p w:rsidR="00DA196A" w:rsidP="004B0E75" w14:paraId="0715A938" w14:textId="77777777">
      <w:pPr>
        <w:keepLines/>
        <w:tabs>
          <w:tab w:val="left" w:pos="360"/>
        </w:tabs>
        <w:spacing w:after="80"/>
        <w:ind w:left="720"/>
        <w:rPr>
          <w:bCs/>
          <w:sz w:val="24"/>
          <w:szCs w:val="24"/>
        </w:rPr>
      </w:pPr>
      <w:r w:rsidRPr="00E57E60">
        <w:rPr>
          <w:bCs/>
          <w:sz w:val="24"/>
          <w:szCs w:val="24"/>
        </w:rPr>
        <w:t>This Information Collection Request (ICR) includes data collection instruments to collect information from</w:t>
      </w:r>
      <w:r>
        <w:rPr>
          <w:bCs/>
          <w:sz w:val="24"/>
          <w:szCs w:val="24"/>
        </w:rPr>
        <w:t xml:space="preserve"> PHAs and CoCs staff.</w:t>
      </w:r>
    </w:p>
    <w:p w:rsidR="00DA196A" w:rsidRPr="00736A25" w:rsidP="004B0E75" w14:paraId="65098DD4" w14:textId="77777777">
      <w:pPr>
        <w:keepLines/>
        <w:tabs>
          <w:tab w:val="left" w:pos="360"/>
        </w:tabs>
        <w:spacing w:after="80"/>
        <w:ind w:left="720"/>
        <w:rPr>
          <w:bCs/>
          <w:sz w:val="24"/>
          <w:szCs w:val="24"/>
        </w:rPr>
      </w:pPr>
    </w:p>
    <w:p w:rsidR="00DA196A" w:rsidP="004B0E75" w14:paraId="3A92D89B" w14:textId="77777777">
      <w:pPr>
        <w:keepLines/>
        <w:tabs>
          <w:tab w:val="left" w:pos="360"/>
        </w:tabs>
        <w:spacing w:after="80"/>
        <w:ind w:left="720"/>
        <w:rPr>
          <w:sz w:val="24"/>
          <w:szCs w:val="24"/>
        </w:rPr>
      </w:pPr>
      <w:r>
        <w:rPr>
          <w:sz w:val="24"/>
          <w:szCs w:val="24"/>
        </w:rPr>
        <w:t xml:space="preserve">Both the PHA web survey and the CoC web survey will be fielded electronically using Forsta (formerly called Confirmit), a secure online survey platform. </w:t>
      </w:r>
    </w:p>
    <w:p w:rsidR="00DA196A" w:rsidP="004B0E75" w14:paraId="2E8C7CF0" w14:textId="77777777">
      <w:pPr>
        <w:keepLines/>
        <w:numPr>
          <w:ilvl w:val="0"/>
          <w:numId w:val="11"/>
        </w:numPr>
        <w:tabs>
          <w:tab w:val="left" w:pos="360"/>
        </w:tabs>
        <w:spacing w:after="80"/>
        <w:ind w:left="1440"/>
        <w:rPr>
          <w:sz w:val="24"/>
          <w:szCs w:val="24"/>
        </w:rPr>
      </w:pPr>
      <w:r>
        <w:rPr>
          <w:sz w:val="24"/>
          <w:szCs w:val="24"/>
        </w:rPr>
        <w:t xml:space="preserve">For the </w:t>
      </w:r>
      <w:r w:rsidRPr="00B7502B">
        <w:rPr>
          <w:b/>
          <w:bCs/>
          <w:sz w:val="24"/>
          <w:szCs w:val="24"/>
        </w:rPr>
        <w:t>PHA web survey</w:t>
      </w:r>
      <w:r>
        <w:rPr>
          <w:b/>
          <w:bCs/>
          <w:sz w:val="24"/>
          <w:szCs w:val="24"/>
        </w:rPr>
        <w:t xml:space="preserve"> (Appendix B)</w:t>
      </w:r>
      <w:r>
        <w:rPr>
          <w:sz w:val="24"/>
          <w:szCs w:val="24"/>
        </w:rPr>
        <w:t>, the respondents’ sample is limited to the 611 PHAs who received EHV funding since the program’s enactment. The survey will take approximately 30 minutes to complete, in addition to 5 minutes spent reading outreach materials (Appendix F).</w:t>
      </w:r>
    </w:p>
    <w:p w:rsidR="00DA196A" w:rsidP="004B0E75" w14:paraId="5EA1D9BA" w14:textId="77777777">
      <w:pPr>
        <w:keepLines/>
        <w:numPr>
          <w:ilvl w:val="0"/>
          <w:numId w:val="11"/>
        </w:numPr>
        <w:tabs>
          <w:tab w:val="left" w:pos="360"/>
        </w:tabs>
        <w:spacing w:after="80"/>
        <w:ind w:left="1440"/>
        <w:rPr>
          <w:sz w:val="24"/>
          <w:szCs w:val="24"/>
        </w:rPr>
      </w:pPr>
      <w:r>
        <w:rPr>
          <w:sz w:val="24"/>
          <w:szCs w:val="24"/>
        </w:rPr>
        <w:t xml:space="preserve">For the </w:t>
      </w:r>
      <w:r w:rsidRPr="00B7502B">
        <w:rPr>
          <w:b/>
          <w:bCs/>
          <w:sz w:val="24"/>
          <w:szCs w:val="24"/>
        </w:rPr>
        <w:t xml:space="preserve">CoC </w:t>
      </w:r>
      <w:r>
        <w:rPr>
          <w:b/>
          <w:bCs/>
          <w:sz w:val="24"/>
          <w:szCs w:val="24"/>
        </w:rPr>
        <w:t xml:space="preserve">web </w:t>
      </w:r>
      <w:r w:rsidRPr="00B7502B">
        <w:rPr>
          <w:b/>
          <w:bCs/>
          <w:sz w:val="24"/>
          <w:szCs w:val="24"/>
        </w:rPr>
        <w:t>survey</w:t>
      </w:r>
      <w:r>
        <w:rPr>
          <w:b/>
          <w:bCs/>
          <w:sz w:val="24"/>
          <w:szCs w:val="24"/>
        </w:rPr>
        <w:t xml:space="preserve"> (Appendix C)</w:t>
      </w:r>
      <w:r>
        <w:rPr>
          <w:sz w:val="24"/>
          <w:szCs w:val="24"/>
        </w:rPr>
        <w:t xml:space="preserve">, the respondents’ sample is limited to the 371 CoCs that PHAs partnered with to implement the EHV program. This survey will gather information on how these organizations partnered with the PHAs as part of their community’s strategy to address and end homelessness. The response times for CoCs will vary. CoCs that worked with more than one PHA will have a longer response time than those who partnered with just one PHA. While 114 CoCs partnered with only one PHA, the remaining 257 CoCs partnered with two or more PHAs (this is because CoCs sometimes cover a larger geographic area than PHAs). CoCs can fill out up to five subsections of the survey per PHA, with each subsection averaging about 15 minutes to complete. CoCs with two to five PHA partners will be instructed to fill out the PHA subsection of the survey for each of their partners. CoCs with more than five PHA partners will be instructed to fill out the PHA subsection of the survey for only five of their partners (the three largest PHAs and up to two that they select). Thus, the maximum response time for a CoC will be 90 minutes. </w:t>
      </w:r>
    </w:p>
    <w:p w:rsidR="00DA196A" w:rsidP="004B0E75" w14:paraId="022AACE9" w14:textId="77777777">
      <w:pPr>
        <w:keepLines/>
        <w:tabs>
          <w:tab w:val="left" w:pos="360"/>
        </w:tabs>
        <w:spacing w:after="80"/>
        <w:ind w:left="720"/>
        <w:rPr>
          <w:sz w:val="24"/>
          <w:szCs w:val="24"/>
        </w:rPr>
      </w:pPr>
    </w:p>
    <w:p w:rsidR="00DA196A" w:rsidRPr="00DA196A" w:rsidP="004B0E75" w14:paraId="32DAC113" w14:textId="2933CC0A">
      <w:pPr>
        <w:keepLines/>
        <w:tabs>
          <w:tab w:val="left" w:pos="360"/>
        </w:tabs>
        <w:spacing w:after="80"/>
        <w:ind w:left="720"/>
        <w:rPr>
          <w:sz w:val="24"/>
          <w:szCs w:val="24"/>
        </w:rPr>
      </w:pPr>
      <w:r>
        <w:rPr>
          <w:sz w:val="24"/>
          <w:szCs w:val="24"/>
        </w:rPr>
        <w:t xml:space="preserve">The </w:t>
      </w:r>
      <w:r w:rsidRPr="00B7502B">
        <w:rPr>
          <w:b/>
          <w:bCs/>
          <w:sz w:val="24"/>
          <w:szCs w:val="24"/>
        </w:rPr>
        <w:t>follow-up telephone interview</w:t>
      </w:r>
      <w:r>
        <w:rPr>
          <w:sz w:val="24"/>
          <w:szCs w:val="24"/>
        </w:rPr>
        <w:t xml:space="preserve"> sample is limited to 25 communities in which both the PHA and partner CoC completed the web-survey. From this universe, the research team will purposefully select 25 communities to represent a variety of program strategies, contexts, and implementation experiences. The research team will conduct two separate interviews in each community: one with 1-2 PHA administrators and one with 1-2 CoC or other partner organization administrators. </w:t>
      </w:r>
    </w:p>
    <w:p w:rsidR="00DA196A" w:rsidP="004B0E75" w14:paraId="1BC73C23" w14:textId="77777777">
      <w:pPr>
        <w:keepLines/>
        <w:tabs>
          <w:tab w:val="left" w:pos="360"/>
        </w:tabs>
        <w:spacing w:after="80"/>
        <w:rPr>
          <w:bCs/>
          <w:sz w:val="24"/>
          <w:szCs w:val="24"/>
        </w:rPr>
      </w:pPr>
    </w:p>
    <w:p w:rsidR="0064413F" w:rsidRPr="00121292" w:rsidP="00121292" w14:paraId="008B278E" w14:textId="279CF975">
      <w:pPr>
        <w:pStyle w:val="ListParagraph"/>
        <w:keepLines/>
        <w:numPr>
          <w:ilvl w:val="0"/>
          <w:numId w:val="21"/>
        </w:numPr>
        <w:tabs>
          <w:tab w:val="left" w:pos="360"/>
        </w:tabs>
        <w:spacing w:after="80"/>
        <w:rPr>
          <w:bCs/>
          <w:sz w:val="24"/>
          <w:szCs w:val="24"/>
        </w:rPr>
      </w:pPr>
      <w:r w:rsidRPr="00121292">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0793" w:rsidRPr="00E57E60" w:rsidP="00121292" w14:paraId="42A7D1A4" w14:textId="039BC2A4">
      <w:pPr>
        <w:pStyle w:val="NoSpacing"/>
        <w:ind w:left="720"/>
      </w:pPr>
      <w:r>
        <w:t xml:space="preserve">Throughout the information collection, the contractor will seek to </w:t>
      </w:r>
      <w:r w:rsidRPr="00E57E60">
        <w:t>minimize any burden on the public.</w:t>
      </w:r>
    </w:p>
    <w:p w:rsidR="00121292" w:rsidP="00121292" w14:paraId="2DB67937" w14:textId="77777777">
      <w:pPr>
        <w:pStyle w:val="NoSpacing"/>
        <w:ind w:left="720"/>
      </w:pPr>
    </w:p>
    <w:p w:rsidR="00121292" w:rsidP="00121292" w14:paraId="495F5652" w14:textId="77777777">
      <w:pPr>
        <w:pStyle w:val="NoSpacing"/>
        <w:ind w:left="720"/>
      </w:pPr>
      <w:r w:rsidRPr="00E57E60">
        <w:t xml:space="preserve">The </w:t>
      </w:r>
      <w:r w:rsidRPr="006A6E65" w:rsidR="00B7502B">
        <w:rPr>
          <w:b/>
          <w:bCs/>
        </w:rPr>
        <w:t xml:space="preserve">web </w:t>
      </w:r>
      <w:r w:rsidRPr="006A6E65" w:rsidR="006D24D1">
        <w:rPr>
          <w:b/>
          <w:bCs/>
        </w:rPr>
        <w:t>survey</w:t>
      </w:r>
      <w:r w:rsidRPr="006A6E65" w:rsidR="00B7502B">
        <w:rPr>
          <w:b/>
          <w:bCs/>
        </w:rPr>
        <w:t>s</w:t>
      </w:r>
      <w:r w:rsidRPr="00E57E60">
        <w:t xml:space="preserve"> will be offered </w:t>
      </w:r>
      <w:r w:rsidR="00391A2E">
        <w:t xml:space="preserve">using computer-assisted survey technology </w:t>
      </w:r>
      <w:r w:rsidRPr="00E57E60">
        <w:t xml:space="preserve">to </w:t>
      </w:r>
      <w:r w:rsidR="005F3CBF">
        <w:t xml:space="preserve">reduce respondent burden and </w:t>
      </w:r>
      <w:r w:rsidR="00FD16C7">
        <w:t xml:space="preserve">to </w:t>
      </w:r>
      <w:r w:rsidR="005F3CBF">
        <w:t xml:space="preserve">ease the completion of the survey. </w:t>
      </w:r>
      <w:r w:rsidRPr="00E57E60">
        <w:t>The sub-contractor will program the survey</w:t>
      </w:r>
      <w:r w:rsidR="00B7502B">
        <w:t>s</w:t>
      </w:r>
      <w:r w:rsidRPr="00E57E60">
        <w:t xml:space="preserve"> in </w:t>
      </w:r>
      <w:r w:rsidR="005F3CBF">
        <w:t>Forsta</w:t>
      </w:r>
      <w:r w:rsidR="00A109EE">
        <w:t xml:space="preserve"> (formerly known as Confirmit)</w:t>
      </w:r>
      <w:r w:rsidRPr="00E57E60">
        <w:t xml:space="preserve">, a </w:t>
      </w:r>
      <w:r w:rsidR="005F3CBF">
        <w:t>research technology platform</w:t>
      </w:r>
      <w:r w:rsidRPr="00E57E60">
        <w:t xml:space="preserve">. Using Forsta, the survey can be </w:t>
      </w:r>
      <w:r w:rsidR="00391A2E">
        <w:t>easily</w:t>
      </w:r>
      <w:r w:rsidRPr="00E57E60">
        <w:t xml:space="preserve"> administered</w:t>
      </w:r>
      <w:r w:rsidR="00B7502B">
        <w:t xml:space="preserve"> online</w:t>
      </w:r>
      <w:r w:rsidRPr="00E57E60">
        <w:t>. The web instrument allow</w:t>
      </w:r>
      <w:r w:rsidR="00B7502B">
        <w:t>s</w:t>
      </w:r>
      <w:r w:rsidRPr="00E57E60">
        <w:t xml:space="preserve"> respondents to complete the survey at a convenient time without the risk of losing a paper survey questionnaire. </w:t>
      </w:r>
    </w:p>
    <w:p w:rsidR="00121292" w:rsidP="00121292" w14:paraId="656177ED" w14:textId="77777777">
      <w:pPr>
        <w:pStyle w:val="NoSpacing"/>
        <w:ind w:left="720"/>
      </w:pPr>
    </w:p>
    <w:p w:rsidR="00140793" w:rsidP="00121292" w14:paraId="3B226941" w14:textId="54F56646">
      <w:pPr>
        <w:pStyle w:val="NoSpacing"/>
        <w:ind w:left="720"/>
      </w:pPr>
      <w:r w:rsidRPr="00E57E60">
        <w:t xml:space="preserve">If respondents cannot complete the survey in one sitting, they may save their place in the survey and return to the questionnaire at another time. The survey automatically skips to the next appropriate question based on respondents' answers, reducing missing data. </w:t>
      </w:r>
      <w:r>
        <w:t>Respondents will receive a</w:t>
      </w:r>
      <w:r w:rsidR="00780040">
        <w:t>n email</w:t>
      </w:r>
      <w:r w:rsidR="005F3CBF">
        <w:t xml:space="preserve"> from HUD leadership</w:t>
      </w:r>
      <w:r>
        <w:t xml:space="preserve"> provid</w:t>
      </w:r>
      <w:r w:rsidR="005F3CBF">
        <w:t>ing</w:t>
      </w:r>
      <w:r>
        <w:t xml:space="preserve"> information about the</w:t>
      </w:r>
      <w:r w:rsidR="005F3CBF">
        <w:t xml:space="preserve"> evaluation</w:t>
      </w:r>
      <w:r>
        <w:t xml:space="preserve">, </w:t>
      </w:r>
      <w:r w:rsidR="00780040">
        <w:t xml:space="preserve">which will </w:t>
      </w:r>
      <w:r>
        <w:t>display the OMB control number and other required PRA language</w:t>
      </w:r>
      <w:r w:rsidR="00780040">
        <w:t xml:space="preserve">. </w:t>
      </w:r>
      <w:r w:rsidR="00B7502B">
        <w:t xml:space="preserve">A separate introductory </w:t>
      </w:r>
      <w:r w:rsidR="00780040">
        <w:t>email will</w:t>
      </w:r>
      <w:r>
        <w:t xml:space="preserve"> provide a </w:t>
      </w:r>
      <w:r w:rsidR="00780040">
        <w:t>URL</w:t>
      </w:r>
      <w:r>
        <w:t xml:space="preserve"> to complete the survey online</w:t>
      </w:r>
      <w:r w:rsidR="00456D4D">
        <w:t xml:space="preserve"> (</w:t>
      </w:r>
      <w:r w:rsidRPr="003669EA" w:rsidR="00456D4D">
        <w:t>Appendi</w:t>
      </w:r>
      <w:r w:rsidRPr="003669EA" w:rsidR="0019500A">
        <w:t>ces</w:t>
      </w:r>
      <w:r w:rsidRPr="003669EA" w:rsidR="00F822A9">
        <w:t xml:space="preserve"> B and C</w:t>
      </w:r>
      <w:r w:rsidR="0019500A">
        <w:t>)</w:t>
      </w:r>
      <w:r>
        <w:t xml:space="preserve">. The </w:t>
      </w:r>
      <w:r w:rsidR="00780040">
        <w:t>email</w:t>
      </w:r>
      <w:r>
        <w:t xml:space="preserve"> will offer information </w:t>
      </w:r>
      <w:r w:rsidR="00627E04">
        <w:t>on how to take</w:t>
      </w:r>
      <w:r w:rsidR="00B7502B">
        <w:t xml:space="preserve"> the</w:t>
      </w:r>
      <w:r w:rsidR="00627E04">
        <w:t xml:space="preserve"> </w:t>
      </w:r>
      <w:r w:rsidR="00B7502B">
        <w:t xml:space="preserve">PHA and CoC surveys </w:t>
      </w:r>
      <w:r w:rsidR="00627E04">
        <w:t>over the phone for</w:t>
      </w:r>
      <w:r>
        <w:t xml:space="preserve"> individuals with visual </w:t>
      </w:r>
      <w:r w:rsidR="00780040">
        <w:t>impairments. Additionally, the</w:t>
      </w:r>
      <w:r>
        <w:t xml:space="preserve"> </w:t>
      </w:r>
      <w:r w:rsidR="005F3CBF">
        <w:t xml:space="preserve">web survey </w:t>
      </w:r>
      <w:r w:rsidR="00F95A6C">
        <w:t xml:space="preserve">will </w:t>
      </w:r>
      <w:r w:rsidR="00780040">
        <w:t>be available in English and Spanish.</w:t>
      </w:r>
    </w:p>
    <w:p w:rsidR="00780040" w:rsidRPr="00E57E60" w:rsidP="00121292" w14:paraId="322CB2F0" w14:textId="77777777">
      <w:pPr>
        <w:pStyle w:val="NoSpacing"/>
        <w:ind w:left="720"/>
      </w:pPr>
    </w:p>
    <w:p w:rsidR="000C58F9" w:rsidP="00121292" w14:paraId="78239A91" w14:textId="6EF2FA02">
      <w:pPr>
        <w:pStyle w:val="NoSpacing"/>
        <w:ind w:left="720"/>
      </w:pPr>
      <w:r w:rsidRPr="4E60D268">
        <w:t xml:space="preserve">The research team </w:t>
      </w:r>
      <w:r w:rsidRPr="4E60D268" w:rsidR="00F95A6C">
        <w:t>will conduct</w:t>
      </w:r>
      <w:r w:rsidRPr="4E60D268" w:rsidR="00A109EE">
        <w:t xml:space="preserve"> </w:t>
      </w:r>
      <w:r w:rsidRPr="4E60D268" w:rsidR="009C03A3">
        <w:t>50</w:t>
      </w:r>
      <w:r w:rsidRPr="4E60D268" w:rsidR="00F95A6C">
        <w:t xml:space="preserve"> </w:t>
      </w:r>
      <w:r w:rsidRPr="4E60D268" w:rsidR="0019500A">
        <w:rPr>
          <w:b/>
          <w:bCs/>
        </w:rPr>
        <w:t xml:space="preserve">follow-up telephone </w:t>
      </w:r>
      <w:r w:rsidRPr="4E60D268" w:rsidR="00F95A6C">
        <w:rPr>
          <w:b/>
          <w:bCs/>
        </w:rPr>
        <w:t>interviews</w:t>
      </w:r>
      <w:r w:rsidRPr="4E60D268" w:rsidR="00F95A6C">
        <w:t xml:space="preserve"> by </w:t>
      </w:r>
      <w:r w:rsidRPr="4E60D268" w:rsidR="00B7502B">
        <w:t>tele</w:t>
      </w:r>
      <w:r w:rsidRPr="4E60D268" w:rsidR="00F95A6C">
        <w:t>phone or using an online teleconference platform</w:t>
      </w:r>
      <w:r w:rsidRPr="4E60D268" w:rsidR="00986D2E">
        <w:t xml:space="preserve"> across 25 selected communities</w:t>
      </w:r>
      <w:r w:rsidRPr="4E60D268" w:rsidR="00A109EE">
        <w:t xml:space="preserve"> (two interviews will be done in each community)</w:t>
      </w:r>
      <w:r w:rsidRPr="4E60D268" w:rsidR="00986D2E">
        <w:t xml:space="preserve">. </w:t>
      </w:r>
      <w:r w:rsidRPr="4E60D268" w:rsidR="00F95A6C">
        <w:t>Interviews will be conducted with</w:t>
      </w:r>
      <w:r w:rsidRPr="4E60D268" w:rsidR="00A109EE">
        <w:t xml:space="preserve"> approximately</w:t>
      </w:r>
      <w:r w:rsidRPr="4E60D268" w:rsidR="00F95A6C">
        <w:t xml:space="preserve"> </w:t>
      </w:r>
      <w:r w:rsidRPr="4E60D268" w:rsidR="00A109EE">
        <w:t>50</w:t>
      </w:r>
      <w:r w:rsidRPr="4E60D268" w:rsidR="00986D2E">
        <w:t xml:space="preserve"> </w:t>
      </w:r>
      <w:r w:rsidRPr="4E60D268" w:rsidR="00F95A6C">
        <w:t>representative</w:t>
      </w:r>
      <w:r w:rsidRPr="4E60D268" w:rsidR="00986D2E">
        <w:t>s</w:t>
      </w:r>
      <w:r w:rsidRPr="4E60D268" w:rsidR="00F95A6C">
        <w:t xml:space="preserve"> from a PHA</w:t>
      </w:r>
      <w:r w:rsidRPr="4E60D268" w:rsidR="00A109EE">
        <w:t xml:space="preserve"> (25 interviews with two staff people on each call), 40 representatives from a CoC (20 interviews with two </w:t>
      </w:r>
      <w:r w:rsidRPr="4E60D268" w:rsidR="009C03A3">
        <w:t>staff people</w:t>
      </w:r>
      <w:r w:rsidRPr="4E60D268" w:rsidR="00A109EE">
        <w:t xml:space="preserve"> on each call), and 10 representatives from a non-CoC partner of the PHA, such as a Vi</w:t>
      </w:r>
      <w:r w:rsidR="007D3600">
        <w:t>ctim</w:t>
      </w:r>
      <w:r w:rsidRPr="4E60D268" w:rsidR="00A109EE">
        <w:t xml:space="preserve"> Service Provider (VSP) (five interviews with two staff people on each call). This will total 50</w:t>
      </w:r>
      <w:r w:rsidRPr="4E60D268" w:rsidR="00F95A6C">
        <w:t xml:space="preserve"> interviews</w:t>
      </w:r>
      <w:r w:rsidRPr="4E60D268" w:rsidR="00A109EE">
        <w:t xml:space="preserve"> </w:t>
      </w:r>
      <w:r w:rsidRPr="4E60D268" w:rsidR="009C03A3">
        <w:t>that will include</w:t>
      </w:r>
      <w:r w:rsidRPr="4E60D268" w:rsidR="00A109EE">
        <w:t xml:space="preserve"> </w:t>
      </w:r>
      <w:r w:rsidR="0091530C">
        <w:t xml:space="preserve">up to </w:t>
      </w:r>
      <w:r w:rsidRPr="4E60D268" w:rsidR="00A109EE">
        <w:t>100 respondents</w:t>
      </w:r>
      <w:r w:rsidRPr="4E60D268" w:rsidR="00F95A6C">
        <w:t>. These interviews will allow the research team</w:t>
      </w:r>
      <w:r w:rsidRPr="4E60D268">
        <w:t xml:space="preserve"> to capture information needed to understand </w:t>
      </w:r>
      <w:r w:rsidRPr="4E60D268" w:rsidR="00B35C89">
        <w:t>different</w:t>
      </w:r>
      <w:r w:rsidRPr="4E60D268">
        <w:t xml:space="preserve"> </w:t>
      </w:r>
      <w:r w:rsidRPr="4E60D268" w:rsidR="00F95A6C">
        <w:t>EHV</w:t>
      </w:r>
      <w:r w:rsidRPr="4E60D268" w:rsidR="00A109EE">
        <w:t xml:space="preserve"> implementation experiences and to probe more about findings from the administrative data and web-surveys.</w:t>
      </w:r>
      <w:r w:rsidRPr="4E60D268" w:rsidR="00F95A6C">
        <w:t xml:space="preserve"> </w:t>
      </w:r>
      <w:r w:rsidRPr="4E60D268">
        <w:t>Respondents will be allowed to skip any question they cannot or do not want to respond to, and interviewers will adhere to</w:t>
      </w:r>
      <w:r w:rsidR="00E72F41">
        <w:t xml:space="preserve"> 90 minutes for </w:t>
      </w:r>
      <w:r>
        <w:t>each PHA interview and</w:t>
      </w:r>
      <w:r w:rsidRPr="4E60D268">
        <w:t xml:space="preserve"> one hour for each</w:t>
      </w:r>
      <w:r>
        <w:t xml:space="preserve"> CoC or other partner</w:t>
      </w:r>
      <w:r w:rsidRPr="4E60D268">
        <w:t xml:space="preserve"> interview. With the respondents' permission, the </w:t>
      </w:r>
      <w:r w:rsidRPr="4E60D268" w:rsidR="00F95A6C">
        <w:t>research</w:t>
      </w:r>
      <w:r w:rsidRPr="4E60D268">
        <w:t xml:space="preserve"> team will audio-record the interviews to minimize the time needed for potential follow-up for clarification and to support interview transcription. </w:t>
      </w:r>
    </w:p>
    <w:p w:rsidR="00121292" w:rsidP="00121292" w14:paraId="0108FFD4" w14:textId="77777777">
      <w:pPr>
        <w:pStyle w:val="NoSpacing"/>
        <w:ind w:left="720"/>
      </w:pPr>
    </w:p>
    <w:p w:rsidR="00D37A85" w:rsidP="00121292" w14:paraId="14E2DD60" w14:textId="67429989">
      <w:pPr>
        <w:pStyle w:val="NoSpacing"/>
        <w:ind w:left="720"/>
      </w:pPr>
      <w:r w:rsidRPr="4E60D268">
        <w:t xml:space="preserve">Following Section 508 procedures, </w:t>
      </w:r>
      <w:r w:rsidRPr="4E60D268" w:rsidR="00195749">
        <w:t>t</w:t>
      </w:r>
      <w:r w:rsidRPr="4E60D268">
        <w:t xml:space="preserve">he research team </w:t>
      </w:r>
      <w:r w:rsidRPr="38D703A2" w:rsidR="15FB9A73">
        <w:t xml:space="preserve">will provide reasonable accommodations for individuals with disabilities. For the web-based survey, individuals can elect to participate in the web-based survey with a live person over the phone. For the phone interviews, </w:t>
      </w:r>
      <w:r w:rsidR="004F4022">
        <w:t>the research team</w:t>
      </w:r>
      <w:r w:rsidRPr="38D703A2" w:rsidR="15FB9A73">
        <w:t xml:space="preserve"> will provide closed captioning and/or a sign language interpreter for anyone requesting such accommodations. </w:t>
      </w:r>
      <w:r w:rsidR="004F4022">
        <w:t xml:space="preserve">HUD and the research team </w:t>
      </w:r>
      <w:r w:rsidRPr="38D703A2" w:rsidR="15FB9A73">
        <w:t>welcome</w:t>
      </w:r>
      <w:r w:rsidR="006C008B">
        <w:t xml:space="preserve"> </w:t>
      </w:r>
      <w:r w:rsidRPr="38D703A2" w:rsidR="15FB9A73">
        <w:t xml:space="preserve">and </w:t>
      </w:r>
      <w:r w:rsidR="006C008B">
        <w:t>are</w:t>
      </w:r>
      <w:r w:rsidRPr="38D703A2" w:rsidR="15FB9A73">
        <w:t xml:space="preserve"> prepared to receive calls from individuals who are deaf or hard of hearing, as well as individuals with speech or communication disabilities. </w:t>
      </w:r>
      <w:r w:rsidR="006C008B">
        <w:t>W</w:t>
      </w:r>
      <w:r w:rsidRPr="006C008B" w:rsidR="006C008B">
        <w:t>hen telephoning p</w:t>
      </w:r>
      <w:r w:rsidR="004F4022">
        <w:t>ro</w:t>
      </w:r>
      <w:r w:rsidRPr="006C008B" w:rsidR="006C008B">
        <w:t xml:space="preserve">spective participants, the research team </w:t>
      </w:r>
      <w:r w:rsidR="006C008B">
        <w:t>will</w:t>
      </w:r>
      <w:r w:rsidRPr="006C008B" w:rsidR="006C008B">
        <w:t xml:space="preserve"> ask if participants need a reasonable accommodation or language access service.</w:t>
      </w:r>
      <w:r w:rsidR="006C008B">
        <w:t xml:space="preserve"> </w:t>
      </w:r>
      <w:r w:rsidR="004F4022">
        <w:t>HUD and the research team</w:t>
      </w:r>
      <w:r w:rsidRPr="38D703A2" w:rsidR="15FB9A73">
        <w:t xml:space="preserve"> will use translation services as needed for individuals with Limited English Proficiency.</w:t>
      </w:r>
      <w:r w:rsidR="00DA6245">
        <w:t xml:space="preserve"> </w:t>
      </w:r>
      <w:bookmarkStart w:id="3" w:name="_Hlk168916572"/>
      <w:r w:rsidRPr="00DA6245" w:rsidR="00DA6245">
        <w:t xml:space="preserve">If </w:t>
      </w:r>
      <w:r w:rsidR="007D2DB9">
        <w:t xml:space="preserve">prospective </w:t>
      </w:r>
      <w:r w:rsidR="00DA6245">
        <w:t xml:space="preserve">participants </w:t>
      </w:r>
      <w:r w:rsidRPr="00DA6245" w:rsidR="00DA6245">
        <w:t xml:space="preserve">require information to be presented in an accessible format, reasonable accommodations, or language assistance to participate in this study, </w:t>
      </w:r>
      <w:r w:rsidR="00DA6245">
        <w:t>they will be invited to</w:t>
      </w:r>
      <w:r w:rsidRPr="00DA6245" w:rsidR="00DA6245">
        <w:t xml:space="preserve"> contact [INSERT STAFF CONTACT], the </w:t>
      </w:r>
      <w:r w:rsidR="00BC6AF8">
        <w:t>[TITLE/ROLE]</w:t>
      </w:r>
      <w:r w:rsidRPr="00DA6245" w:rsidR="00DA6245">
        <w:t>, by phone at (XXX) XXX-XXXX or by email at [INSERT EMAIL ADDRESS].</w:t>
      </w:r>
      <w:bookmarkEnd w:id="3"/>
    </w:p>
    <w:p w:rsidR="00121292" w:rsidP="00121292" w14:paraId="046F5934" w14:textId="77777777">
      <w:pPr>
        <w:keepLines/>
        <w:tabs>
          <w:tab w:val="left" w:pos="360"/>
        </w:tabs>
        <w:spacing w:after="80"/>
        <w:rPr>
          <w:b/>
          <w:bCs/>
          <w:sz w:val="24"/>
          <w:szCs w:val="24"/>
        </w:rPr>
      </w:pPr>
    </w:p>
    <w:p w:rsidR="001F340B" w:rsidRPr="00121292" w:rsidP="00121292" w14:paraId="310D7C67" w14:textId="0F1C74FE">
      <w:pPr>
        <w:pStyle w:val="ListParagraph"/>
        <w:keepLines/>
        <w:numPr>
          <w:ilvl w:val="0"/>
          <w:numId w:val="21"/>
        </w:numPr>
        <w:tabs>
          <w:tab w:val="left" w:pos="360"/>
        </w:tabs>
        <w:spacing w:after="80"/>
        <w:rPr>
          <w:b/>
          <w:bCs/>
          <w:sz w:val="24"/>
          <w:szCs w:val="24"/>
        </w:rPr>
      </w:pPr>
      <w:r w:rsidRPr="00121292">
        <w:rPr>
          <w:b/>
          <w:bCs/>
          <w:sz w:val="24"/>
          <w:szCs w:val="24"/>
        </w:rPr>
        <w:t>Describe efforts to identify duplication. Show specifically why any similar information already available cannot be used or modified for use for the purposes described in Item 2 above.</w:t>
      </w:r>
    </w:p>
    <w:p w:rsidR="007D6D5F" w:rsidP="00121292" w14:paraId="7567BD5A" w14:textId="77777777">
      <w:pPr>
        <w:pStyle w:val="NoSpacing"/>
        <w:ind w:left="720"/>
      </w:pPr>
      <w:r w:rsidRPr="007D6D5F">
        <w:t xml:space="preserve">HUD is unaware of any other studies for which this study represents a duplicate research effort. </w:t>
      </w:r>
      <w:r w:rsidR="00E95567">
        <w:t xml:space="preserve">PHAs first implemented the EHV program in 2021 and no national studies of its implementation or outcomes have been conducted. </w:t>
      </w:r>
      <w:r w:rsidRPr="007D6D5F">
        <w:t xml:space="preserve">No other data source, either public or private, has been identified that provides the </w:t>
      </w:r>
      <w:r w:rsidR="00E95567">
        <w:t>i</w:t>
      </w:r>
      <w:r w:rsidRPr="007D6D5F">
        <w:t xml:space="preserve">nformation available from these data collections. No similar information is available at the national, regional, or local level that could be used or modified for the purposes described. </w:t>
      </w:r>
    </w:p>
    <w:p w:rsidR="00121292" w:rsidP="00121292" w14:paraId="031E0A3F" w14:textId="77777777">
      <w:pPr>
        <w:pStyle w:val="NoSpacing"/>
        <w:ind w:left="720"/>
      </w:pPr>
    </w:p>
    <w:p w:rsidR="007D6D5F" w:rsidRPr="007D6D5F" w:rsidP="00121292" w14:paraId="27D81EEE" w14:textId="4B25C5B2">
      <w:pPr>
        <w:pStyle w:val="NoSpacing"/>
        <w:ind w:left="720"/>
      </w:pPr>
      <w:r w:rsidRPr="007D6D5F">
        <w:t xml:space="preserve">The data collection instruments were designed so that no two instruments collect the same information, even when addressing the same research question. Respondents may be asked the same questions to capture different knowledge and perspectives. </w:t>
      </w:r>
    </w:p>
    <w:p w:rsidR="00121292" w:rsidP="00121292" w14:paraId="3A05E508" w14:textId="77777777">
      <w:pPr>
        <w:keepLines/>
        <w:tabs>
          <w:tab w:val="left" w:pos="360"/>
        </w:tabs>
        <w:spacing w:after="80"/>
        <w:rPr>
          <w:sz w:val="24"/>
          <w:szCs w:val="24"/>
        </w:rPr>
      </w:pPr>
    </w:p>
    <w:p w:rsidR="009E13B1" w:rsidRPr="00121292" w:rsidP="00121292" w14:paraId="6790645E" w14:textId="07FF0078">
      <w:pPr>
        <w:pStyle w:val="ListParagraph"/>
        <w:keepLines/>
        <w:numPr>
          <w:ilvl w:val="0"/>
          <w:numId w:val="21"/>
        </w:numPr>
        <w:tabs>
          <w:tab w:val="left" w:pos="360"/>
        </w:tabs>
        <w:spacing w:after="80"/>
        <w:rPr>
          <w:b/>
          <w:bCs/>
          <w:sz w:val="24"/>
          <w:szCs w:val="24"/>
        </w:rPr>
      </w:pPr>
      <w:r w:rsidRPr="00121292">
        <w:rPr>
          <w:b/>
          <w:bCs/>
          <w:sz w:val="24"/>
          <w:szCs w:val="24"/>
        </w:rPr>
        <w:t>If the collection of information impacts small businesses or other small entities describe any methods used to minimize burden.</w:t>
      </w:r>
      <w:r w:rsidRPr="00121292" w:rsidR="00D5517A">
        <w:rPr>
          <w:b/>
          <w:bCs/>
          <w:sz w:val="24"/>
          <w:szCs w:val="24"/>
        </w:rPr>
        <w:t xml:space="preserve"> </w:t>
      </w:r>
    </w:p>
    <w:p w:rsidR="00D5517A" w:rsidRPr="00BF12E8" w:rsidP="00121292" w14:paraId="29675A05" w14:textId="385A659A">
      <w:pPr>
        <w:pStyle w:val="NoSpacing"/>
        <w:ind w:left="720"/>
        <w:rPr>
          <w:b/>
          <w:bCs/>
        </w:rPr>
      </w:pPr>
      <w:r w:rsidRPr="00D5517A">
        <w:t>The information collection mentioned here will not significantly impact small entities.</w:t>
      </w:r>
      <w:r w:rsidR="00C04E10">
        <w:t xml:space="preserve"> </w:t>
      </w:r>
      <w:r w:rsidRPr="00D5517A">
        <w:t>Representatives from small entities and service providers may be asked to participate in</w:t>
      </w:r>
      <w:r w:rsidR="00E95567">
        <w:t xml:space="preserve"> surveys or</w:t>
      </w:r>
      <w:r w:rsidRPr="00D5517A">
        <w:t xml:space="preserve"> interviews, but participation is voluntary. </w:t>
      </w:r>
      <w:r w:rsidR="00E95567">
        <w:t>The surveys will be conducted via the web and will take between 3</w:t>
      </w:r>
      <w:r w:rsidR="009E2021">
        <w:t>0</w:t>
      </w:r>
      <w:r w:rsidR="00E95567">
        <w:t xml:space="preserve"> and 9</w:t>
      </w:r>
      <w:r w:rsidR="009E2021">
        <w:t>0</w:t>
      </w:r>
      <w:r w:rsidR="00E95567">
        <w:t xml:space="preserve"> minutes to complete. Participants will be able to skip questions and save the survey to return to at a later time. </w:t>
      </w:r>
      <w:r w:rsidRPr="00D5517A">
        <w:t xml:space="preserve">The interviews will be conducted through </w:t>
      </w:r>
      <w:r w:rsidR="00F01B47">
        <w:t xml:space="preserve">telephone or virtual </w:t>
      </w:r>
      <w:r w:rsidRPr="00D5517A">
        <w:t xml:space="preserve">communication to capture the necessary information to understand the </w:t>
      </w:r>
      <w:r w:rsidR="00391A2E">
        <w:t>EHV</w:t>
      </w:r>
      <w:r w:rsidRPr="00D5517A">
        <w:t xml:space="preserve"> program's outcomes. </w:t>
      </w:r>
      <w:r w:rsidR="00830FC9">
        <w:t xml:space="preserve">The interviews will last between 60 to 90 minutes depending on the type of </w:t>
      </w:r>
      <w:r w:rsidR="00734F30">
        <w:t xml:space="preserve">respondent. </w:t>
      </w:r>
      <w:r w:rsidRPr="00D5517A">
        <w:t xml:space="preserve">Respondents will have the option to skip any question they cannot or do not wish to answer. </w:t>
      </w:r>
    </w:p>
    <w:p w:rsidR="009E13B1" w:rsidRPr="006C7FAE" w:rsidP="00121292" w14:paraId="7CF52C8F" w14:textId="77777777">
      <w:pPr>
        <w:pStyle w:val="NoSpacing"/>
      </w:pPr>
    </w:p>
    <w:p w:rsidR="00E319AB" w:rsidP="00121292" w14:paraId="017A533C" w14:textId="12D8A926">
      <w:pPr>
        <w:pStyle w:val="ListParagraph"/>
        <w:keepLines/>
        <w:numPr>
          <w:ilvl w:val="0"/>
          <w:numId w:val="21"/>
        </w:numPr>
        <w:tabs>
          <w:tab w:val="left" w:pos="360"/>
        </w:tabs>
        <w:spacing w:after="80"/>
        <w:rPr>
          <w:b/>
          <w:bCs/>
          <w:sz w:val="24"/>
          <w:szCs w:val="24"/>
        </w:rPr>
      </w:pPr>
      <w:r w:rsidRPr="00121292">
        <w:rPr>
          <w:b/>
          <w:bCs/>
          <w:sz w:val="24"/>
          <w:szCs w:val="24"/>
        </w:rPr>
        <w:t>Describe the consequence to Federal program or policy activities if the collection is not conducted or is conducted less frequently, as well as any technical or legal obstacles to reducing burden.</w:t>
      </w:r>
      <w:r w:rsidRPr="00121292">
        <w:rPr>
          <w:b/>
          <w:bCs/>
          <w:sz w:val="24"/>
          <w:szCs w:val="24"/>
        </w:rPr>
        <w:t xml:space="preserve"> </w:t>
      </w:r>
    </w:p>
    <w:p w:rsidR="00121292" w:rsidRPr="00121292" w:rsidP="009865C7" w14:paraId="6F99E084" w14:textId="77777777">
      <w:pPr>
        <w:pStyle w:val="NoSpacing"/>
      </w:pPr>
    </w:p>
    <w:p w:rsidR="00E319AB" w:rsidRPr="006C7FAE" w:rsidP="00121292" w14:paraId="4CD7D19B" w14:textId="77777777">
      <w:pPr>
        <w:pStyle w:val="NoSpacing"/>
        <w:ind w:left="720"/>
      </w:pPr>
      <w:r w:rsidRPr="00E319AB">
        <w:t>The survey</w:t>
      </w:r>
      <w:r w:rsidR="00BC030B">
        <w:t xml:space="preserve"> and phone interviews</w:t>
      </w:r>
      <w:r w:rsidRPr="00E319AB">
        <w:t xml:space="preserve"> </w:t>
      </w:r>
      <w:r w:rsidRPr="00E319AB" w:rsidR="00503D3F">
        <w:t>are</w:t>
      </w:r>
      <w:r w:rsidRPr="00E319AB">
        <w:t xml:space="preserve"> </w:t>
      </w:r>
      <w:r w:rsidR="00E95567">
        <w:t>both</w:t>
      </w:r>
      <w:r w:rsidRPr="00E319AB">
        <w:t xml:space="preserve"> one-time data collection event</w:t>
      </w:r>
      <w:r w:rsidR="00E95567">
        <w:t>s</w:t>
      </w:r>
      <w:r w:rsidRPr="00E319AB">
        <w:t xml:space="preserve">, with no repetition of data collection planned. The survey and interviews will only take place once with each respondent. The proposed data collection activities aim to provide the government with evidence on the EHV program's outcomes </w:t>
      </w:r>
      <w:r w:rsidR="00315086">
        <w:t>a</w:t>
      </w:r>
      <w:r w:rsidRPr="00E319AB">
        <w:t xml:space="preserve">nd </w:t>
      </w:r>
      <w:r w:rsidR="00BC030B">
        <w:t>the lessons learned from its implementation</w:t>
      </w:r>
      <w:r w:rsidRPr="00E319AB">
        <w:t>. If the proposed activity is not implemented, the government will have to rely on incomplete or limited information to recommend program or policy improvements</w:t>
      </w:r>
      <w:r w:rsidR="00BC030B">
        <w:t xml:space="preserve"> for the existing Housing Choice Voucher program</w:t>
      </w:r>
      <w:r w:rsidR="00E95567">
        <w:t xml:space="preserve"> or for any future emergency housing programs</w:t>
      </w:r>
      <w:r w:rsidR="00BC030B">
        <w:t>.</w:t>
      </w:r>
    </w:p>
    <w:p w:rsidR="009E13B1" w:rsidRPr="006C7FAE" w14:paraId="0E90F29E" w14:textId="77777777">
      <w:pPr>
        <w:keepLines/>
        <w:tabs>
          <w:tab w:val="left" w:pos="360"/>
          <w:tab w:val="left" w:pos="720"/>
        </w:tabs>
        <w:ind w:left="360"/>
        <w:rPr>
          <w:sz w:val="24"/>
          <w:szCs w:val="24"/>
        </w:rPr>
      </w:pPr>
    </w:p>
    <w:p w:rsidR="00A65F9E" w:rsidRPr="00121292" w:rsidP="00121292" w14:paraId="69B84507" w14:textId="056682C1">
      <w:pPr>
        <w:pStyle w:val="ListParagraph"/>
        <w:numPr>
          <w:ilvl w:val="0"/>
          <w:numId w:val="21"/>
        </w:numPr>
        <w:tabs>
          <w:tab w:val="left" w:pos="360"/>
        </w:tabs>
        <w:rPr>
          <w:b/>
          <w:bCs/>
          <w:sz w:val="24"/>
          <w:szCs w:val="24"/>
        </w:rPr>
      </w:pPr>
      <w:r w:rsidRPr="00121292">
        <w:rPr>
          <w:b/>
          <w:bCs/>
          <w:sz w:val="24"/>
          <w:szCs w:val="24"/>
        </w:rPr>
        <w:t>Explain any special circumstances that would cause an information collection to be conducted in a manner:</w:t>
      </w:r>
    </w:p>
    <w:p w:rsidR="009E13B1" w:rsidRPr="006C7FAE" w:rsidP="00A65F9E" w14:paraId="5D3D0F22" w14:textId="77777777">
      <w:pPr>
        <w:tabs>
          <w:tab w:val="left" w:pos="360"/>
        </w:tabs>
        <w:ind w:left="360"/>
        <w:rPr>
          <w:sz w:val="24"/>
          <w:szCs w:val="24"/>
        </w:rPr>
      </w:pPr>
      <w:r w:rsidRPr="006C7FAE">
        <w:rPr>
          <w:sz w:val="24"/>
          <w:szCs w:val="24"/>
        </w:rPr>
        <w:t xml:space="preserve"> </w:t>
      </w:r>
    </w:p>
    <w:p w:rsidR="001A6EF7" w:rsidRPr="00E57E60" w:rsidP="00121292" w14:paraId="3CB1AC17" w14:textId="0398C94D">
      <w:pPr>
        <w:keepLines/>
        <w:tabs>
          <w:tab w:val="left" w:pos="360"/>
        </w:tabs>
        <w:spacing w:after="80"/>
        <w:ind w:left="720"/>
        <w:rPr>
          <w:sz w:val="24"/>
          <w:szCs w:val="24"/>
        </w:rPr>
      </w:pPr>
      <w:r w:rsidRPr="00E57E60">
        <w:rPr>
          <w:sz w:val="24"/>
          <w:szCs w:val="24"/>
        </w:rPr>
        <w:t xml:space="preserve">The proposed data collection activities are consistent with the guidelines set forth in 5 CFR </w:t>
      </w:r>
      <w:r>
        <w:rPr>
          <w:sz w:val="24"/>
          <w:szCs w:val="24"/>
        </w:rPr>
        <w:t>§</w:t>
      </w:r>
      <w:r w:rsidRPr="00E57E60">
        <w:rPr>
          <w:sz w:val="24"/>
          <w:szCs w:val="24"/>
        </w:rPr>
        <w:t xml:space="preserve">1320 (Controlling Paperwork Burdens on the Public). There are no special circumstances that require deviation from these guidelines. The following below are </w:t>
      </w:r>
      <w:r w:rsidRPr="00032ADE">
        <w:rPr>
          <w:sz w:val="24"/>
          <w:szCs w:val="24"/>
        </w:rPr>
        <w:t>“</w:t>
      </w:r>
      <w:r w:rsidRPr="00032ADE">
        <w:rPr>
          <w:b/>
          <w:bCs/>
          <w:sz w:val="24"/>
          <w:szCs w:val="24"/>
        </w:rPr>
        <w:t>Not Applicable</w:t>
      </w:r>
      <w:r w:rsidRPr="00032ADE">
        <w:rPr>
          <w:sz w:val="24"/>
          <w:szCs w:val="24"/>
        </w:rPr>
        <w:t>”</w:t>
      </w:r>
      <w:r w:rsidRPr="00E57E60">
        <w:rPr>
          <w:sz w:val="24"/>
          <w:szCs w:val="24"/>
        </w:rPr>
        <w:t xml:space="preserve"> to this collection:</w:t>
      </w:r>
    </w:p>
    <w:p w:rsidR="001A6EF7" w:rsidRPr="00E57E60" w:rsidP="00121292" w14:paraId="0723BE28" w14:textId="77777777">
      <w:pPr>
        <w:tabs>
          <w:tab w:val="left" w:pos="-1440"/>
        </w:tabs>
        <w:ind w:left="2160" w:hanging="720"/>
        <w:rPr>
          <w:sz w:val="24"/>
          <w:szCs w:val="24"/>
        </w:rPr>
      </w:pPr>
    </w:p>
    <w:p w:rsidR="001A6EF7" w:rsidRPr="00E57E60" w:rsidP="00121292" w14:paraId="0142C92B" w14:textId="77777777">
      <w:pPr>
        <w:widowControl w:val="0"/>
        <w:numPr>
          <w:ilvl w:val="0"/>
          <w:numId w:val="8"/>
        </w:numPr>
        <w:tabs>
          <w:tab w:val="left" w:pos="-1440"/>
        </w:tabs>
        <w:overflowPunct/>
        <w:ind w:left="1080"/>
        <w:textAlignment w:val="auto"/>
        <w:rPr>
          <w:sz w:val="24"/>
          <w:szCs w:val="24"/>
        </w:rPr>
      </w:pPr>
      <w:r w:rsidRPr="00E57E60">
        <w:rPr>
          <w:sz w:val="24"/>
          <w:szCs w:val="24"/>
        </w:rPr>
        <w:t>requiring respondents to report information to the agency more than quarterly – “</w:t>
      </w:r>
      <w:r w:rsidRPr="00E57E60">
        <w:rPr>
          <w:b/>
          <w:sz w:val="24"/>
          <w:szCs w:val="24"/>
        </w:rPr>
        <w:t>Not Applicable</w:t>
      </w:r>
      <w:r w:rsidRPr="00E57E60">
        <w:rPr>
          <w:sz w:val="24"/>
          <w:szCs w:val="24"/>
        </w:rPr>
        <w:t xml:space="preserve">”; </w:t>
      </w:r>
    </w:p>
    <w:p w:rsidR="001A6EF7" w:rsidRPr="00E57E60" w:rsidP="00121292" w14:paraId="7A2C38C8" w14:textId="77777777">
      <w:pPr>
        <w:widowControl w:val="0"/>
        <w:numPr>
          <w:ilvl w:val="0"/>
          <w:numId w:val="8"/>
        </w:numPr>
        <w:tabs>
          <w:tab w:val="left" w:pos="-1440"/>
        </w:tabs>
        <w:overflowPunct/>
        <w:ind w:left="1080"/>
        <w:textAlignment w:val="auto"/>
        <w:rPr>
          <w:sz w:val="24"/>
          <w:szCs w:val="24"/>
        </w:rPr>
      </w:pPr>
      <w:r w:rsidRPr="00E57E60">
        <w:rPr>
          <w:sz w:val="24"/>
          <w:szCs w:val="24"/>
        </w:rPr>
        <w:t>requiring respondents to prepare a written response to a collection of information in fewer than 30 days after receipt of it – “</w:t>
      </w:r>
      <w:r w:rsidRPr="00E57E60">
        <w:rPr>
          <w:b/>
          <w:sz w:val="24"/>
          <w:szCs w:val="24"/>
        </w:rPr>
        <w:t>Not Applicable</w:t>
      </w:r>
      <w:r w:rsidRPr="00E57E60">
        <w:rPr>
          <w:sz w:val="24"/>
          <w:szCs w:val="24"/>
        </w:rPr>
        <w:t xml:space="preserve">”; </w:t>
      </w:r>
    </w:p>
    <w:p w:rsidR="001A6EF7" w:rsidRPr="00E57E60" w:rsidP="00121292" w14:paraId="0D8B3969" w14:textId="77777777">
      <w:pPr>
        <w:widowControl w:val="0"/>
        <w:numPr>
          <w:ilvl w:val="0"/>
          <w:numId w:val="8"/>
        </w:numPr>
        <w:tabs>
          <w:tab w:val="left" w:pos="-1440"/>
        </w:tabs>
        <w:overflowPunct/>
        <w:ind w:left="1080"/>
        <w:textAlignment w:val="auto"/>
        <w:rPr>
          <w:sz w:val="24"/>
          <w:szCs w:val="24"/>
        </w:rPr>
      </w:pPr>
      <w:r w:rsidRPr="00E57E60">
        <w:rPr>
          <w:sz w:val="24"/>
          <w:szCs w:val="24"/>
        </w:rPr>
        <w:t>requiring respondents to submit more than an original and two copies of any document – “</w:t>
      </w:r>
      <w:r w:rsidRPr="00E57E60">
        <w:rPr>
          <w:b/>
          <w:sz w:val="24"/>
          <w:szCs w:val="24"/>
        </w:rPr>
        <w:t>Not Applicable</w:t>
      </w:r>
      <w:r w:rsidRPr="00E57E60">
        <w:rPr>
          <w:sz w:val="24"/>
          <w:szCs w:val="24"/>
        </w:rPr>
        <w:t xml:space="preserve">”; </w:t>
      </w:r>
    </w:p>
    <w:p w:rsidR="001A6EF7" w:rsidRPr="00E57E60" w:rsidP="00121292" w14:paraId="31262D9D" w14:textId="77777777">
      <w:pPr>
        <w:widowControl w:val="0"/>
        <w:numPr>
          <w:ilvl w:val="0"/>
          <w:numId w:val="8"/>
        </w:numPr>
        <w:tabs>
          <w:tab w:val="left" w:pos="-1440"/>
        </w:tabs>
        <w:overflowPunct/>
        <w:ind w:left="1080"/>
        <w:textAlignment w:val="auto"/>
        <w:rPr>
          <w:sz w:val="24"/>
          <w:szCs w:val="24"/>
        </w:rPr>
      </w:pPr>
      <w:r w:rsidRPr="00E57E60">
        <w:rPr>
          <w:sz w:val="24"/>
          <w:szCs w:val="24"/>
        </w:rPr>
        <w:t>requiring respondents to retain records other than health, medical, government contract, grant-in-aid, or tax records for more than three years – “</w:t>
      </w:r>
      <w:r w:rsidRPr="00E57E60">
        <w:rPr>
          <w:b/>
          <w:sz w:val="24"/>
          <w:szCs w:val="24"/>
        </w:rPr>
        <w:t>Not Applicable</w:t>
      </w:r>
      <w:r w:rsidRPr="00E57E60">
        <w:rPr>
          <w:sz w:val="24"/>
          <w:szCs w:val="24"/>
        </w:rPr>
        <w:t xml:space="preserve">”; </w:t>
      </w:r>
    </w:p>
    <w:p w:rsidR="001A6EF7" w:rsidRPr="00E57E60" w:rsidP="00121292" w14:paraId="20B0A9EB" w14:textId="77777777">
      <w:pPr>
        <w:widowControl w:val="0"/>
        <w:numPr>
          <w:ilvl w:val="0"/>
          <w:numId w:val="8"/>
        </w:numPr>
        <w:tabs>
          <w:tab w:val="left" w:pos="-1440"/>
        </w:tabs>
        <w:overflowPunct/>
        <w:ind w:left="1080"/>
        <w:textAlignment w:val="auto"/>
        <w:rPr>
          <w:sz w:val="24"/>
          <w:szCs w:val="24"/>
        </w:rPr>
      </w:pPr>
      <w:r w:rsidRPr="00E57E60">
        <w:rPr>
          <w:sz w:val="24"/>
          <w:szCs w:val="24"/>
        </w:rPr>
        <w:t>in connection with a statistical survey, that is not designed to produce valid and reliable results than can be generalized to the universe of study – “</w:t>
      </w:r>
      <w:r w:rsidRPr="00E57E60">
        <w:rPr>
          <w:b/>
          <w:sz w:val="24"/>
          <w:szCs w:val="24"/>
        </w:rPr>
        <w:t>Not Applicable</w:t>
      </w:r>
      <w:r w:rsidRPr="00E57E60">
        <w:rPr>
          <w:sz w:val="24"/>
          <w:szCs w:val="24"/>
        </w:rPr>
        <w:t xml:space="preserve">”; </w:t>
      </w:r>
    </w:p>
    <w:p w:rsidR="001A6EF7" w:rsidRPr="00E57E60" w:rsidP="00121292" w14:paraId="34735398" w14:textId="77777777">
      <w:pPr>
        <w:widowControl w:val="0"/>
        <w:numPr>
          <w:ilvl w:val="0"/>
          <w:numId w:val="8"/>
        </w:numPr>
        <w:tabs>
          <w:tab w:val="left" w:pos="-1440"/>
        </w:tabs>
        <w:overflowPunct/>
        <w:ind w:left="1080"/>
        <w:textAlignment w:val="auto"/>
        <w:rPr>
          <w:sz w:val="24"/>
          <w:szCs w:val="24"/>
        </w:rPr>
      </w:pPr>
      <w:r w:rsidRPr="00E57E60">
        <w:rPr>
          <w:sz w:val="24"/>
          <w:szCs w:val="24"/>
        </w:rPr>
        <w:t>requiring the use of a statistical data classification that has not been reviewed and approved by OMB – “</w:t>
      </w:r>
      <w:r w:rsidRPr="00E57E60">
        <w:rPr>
          <w:b/>
          <w:sz w:val="24"/>
          <w:szCs w:val="24"/>
        </w:rPr>
        <w:t>Not Applicable</w:t>
      </w:r>
      <w:r w:rsidRPr="00E57E60">
        <w:rPr>
          <w:sz w:val="24"/>
          <w:szCs w:val="24"/>
        </w:rPr>
        <w:t xml:space="preserve">”; </w:t>
      </w:r>
    </w:p>
    <w:p w:rsidR="001A6EF7" w:rsidRPr="00E57E60" w:rsidP="00121292" w14:paraId="475AC30A" w14:textId="77777777">
      <w:pPr>
        <w:widowControl w:val="0"/>
        <w:numPr>
          <w:ilvl w:val="0"/>
          <w:numId w:val="8"/>
        </w:numPr>
        <w:tabs>
          <w:tab w:val="left" w:pos="-1440"/>
        </w:tabs>
        <w:overflowPunct/>
        <w:ind w:left="1080"/>
        <w:textAlignment w:val="auto"/>
        <w:rPr>
          <w:sz w:val="24"/>
          <w:szCs w:val="24"/>
        </w:rPr>
      </w:pPr>
      <w:r w:rsidRPr="00E57E60">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E57E60">
        <w:rPr>
          <w:b/>
          <w:sz w:val="24"/>
          <w:szCs w:val="24"/>
        </w:rPr>
        <w:t>Not Applicable</w:t>
      </w:r>
      <w:r w:rsidRPr="00E57E60">
        <w:rPr>
          <w:sz w:val="24"/>
          <w:szCs w:val="24"/>
        </w:rPr>
        <w:t xml:space="preserve">”; or </w:t>
      </w:r>
    </w:p>
    <w:p w:rsidR="001A6EF7" w:rsidRPr="00E57E60" w:rsidP="00121292" w14:paraId="7FF921C8" w14:textId="77777777">
      <w:pPr>
        <w:widowControl w:val="0"/>
        <w:numPr>
          <w:ilvl w:val="0"/>
          <w:numId w:val="8"/>
        </w:numPr>
        <w:tabs>
          <w:tab w:val="left" w:pos="-1440"/>
        </w:tabs>
        <w:overflowPunct/>
        <w:ind w:left="1080"/>
        <w:textAlignment w:val="auto"/>
        <w:rPr>
          <w:sz w:val="24"/>
          <w:szCs w:val="24"/>
        </w:rPr>
      </w:pPr>
      <w:r w:rsidRPr="00E57E60">
        <w:rPr>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E57E60">
        <w:rPr>
          <w:b/>
          <w:sz w:val="24"/>
          <w:szCs w:val="24"/>
        </w:rPr>
        <w:t>Not Applicable</w:t>
      </w:r>
      <w:r w:rsidRPr="00E57E60">
        <w:rPr>
          <w:sz w:val="24"/>
          <w:szCs w:val="24"/>
        </w:rPr>
        <w:t>”.</w:t>
      </w:r>
    </w:p>
    <w:p w:rsidR="009E13B1" w:rsidP="00121292" w14:paraId="1391FCFB" w14:textId="77777777">
      <w:pPr>
        <w:tabs>
          <w:tab w:val="left" w:pos="360"/>
        </w:tabs>
        <w:ind w:left="1440" w:hanging="360"/>
        <w:rPr>
          <w:sz w:val="24"/>
          <w:szCs w:val="24"/>
        </w:rPr>
      </w:pPr>
    </w:p>
    <w:p w:rsidR="00A65F9E" w:rsidRPr="00121292" w:rsidP="00121292" w14:paraId="1D3D0DF7" w14:textId="3BA877F3">
      <w:pPr>
        <w:pStyle w:val="ListParagraph"/>
        <w:numPr>
          <w:ilvl w:val="0"/>
          <w:numId w:val="21"/>
        </w:numPr>
        <w:tabs>
          <w:tab w:val="left" w:pos="360"/>
        </w:tabs>
        <w:rPr>
          <w:b/>
          <w:bCs/>
          <w:sz w:val="24"/>
          <w:szCs w:val="24"/>
        </w:rPr>
      </w:pPr>
      <w:r w:rsidRPr="00121292">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21292" w:rsidR="00C47956">
        <w:rPr>
          <w:b/>
          <w:bCs/>
          <w:sz w:val="24"/>
          <w:szCs w:val="24"/>
        </w:rPr>
        <w:t xml:space="preserve"> </w:t>
      </w:r>
    </w:p>
    <w:p w:rsidR="009E13B1" w:rsidRPr="00C47956" w:rsidP="00121292" w14:paraId="4A4D7FF1" w14:textId="77777777">
      <w:pPr>
        <w:pStyle w:val="NoSpacing"/>
      </w:pPr>
      <w:r w:rsidRPr="00C47956">
        <w:t xml:space="preserve"> </w:t>
      </w:r>
    </w:p>
    <w:p w:rsidR="009E13B1" w:rsidRPr="00C47956" w:rsidP="00121292" w14:paraId="1A3217C5" w14:textId="77777777">
      <w:pPr>
        <w:pStyle w:val="NoSpacing"/>
        <w:numPr>
          <w:ilvl w:val="0"/>
          <w:numId w:val="22"/>
        </w:numPr>
        <w:ind w:left="1080"/>
      </w:pPr>
      <w:r w:rsidRPr="7229DBFF">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RPr="00C47956" w:rsidP="00121292" w14:paraId="0EC6A488" w14:textId="77777777">
      <w:pPr>
        <w:pStyle w:val="NoSpacing"/>
        <w:ind w:left="360"/>
      </w:pPr>
    </w:p>
    <w:p w:rsidR="009E13B1" w:rsidP="00121292" w14:paraId="75A29F37" w14:textId="77777777">
      <w:pPr>
        <w:pStyle w:val="NoSpacing"/>
        <w:numPr>
          <w:ilvl w:val="0"/>
          <w:numId w:val="22"/>
        </w:numPr>
        <w:ind w:left="1080"/>
      </w:pPr>
      <w:r w:rsidRPr="7229DBFF">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DB4759" w:rsidP="00121292" w14:paraId="7AC2E874" w14:textId="77777777">
      <w:pPr>
        <w:pStyle w:val="NoSpacing"/>
      </w:pPr>
    </w:p>
    <w:p w:rsidR="00DB4759" w:rsidP="00121292" w14:paraId="225CA480" w14:textId="3C0856CA">
      <w:pPr>
        <w:pStyle w:val="NoSpacing"/>
        <w:ind w:left="1080"/>
      </w:pPr>
      <w:r w:rsidRPr="4E60D268">
        <w:t xml:space="preserve">Following 5 CFR § 1320.8 (Paperwork Reduction Act of 1995), a Notice of Proposed Information Collection for publication in the Federal register has been prepared to announce the agency's intention to request an OMB review of data collection </w:t>
      </w:r>
      <w:r w:rsidRPr="009E2021">
        <w:t xml:space="preserve">activities for the </w:t>
      </w:r>
      <w:r w:rsidRPr="009E2021" w:rsidR="00DA1ADE">
        <w:t xml:space="preserve">Evaluation of the </w:t>
      </w:r>
      <w:r w:rsidRPr="009E2021">
        <w:t xml:space="preserve">Emergency Housing Voucher Program. HUD published a 60-Day Notice of Proposed Information Collection in the Federal Register on </w:t>
      </w:r>
      <w:r w:rsidRPr="008E02D7" w:rsidR="007711B7">
        <w:t>May 20, 2024</w:t>
      </w:r>
      <w:r w:rsidR="004F4022">
        <w:t xml:space="preserve"> (Volume 89, No. 98, pp. 43869 to 43870)</w:t>
      </w:r>
      <w:r w:rsidRPr="009E2021">
        <w:t xml:space="preserve">. The notice provided a 60-day period for public comments, and comments </w:t>
      </w:r>
      <w:r w:rsidR="007E70E2">
        <w:t>were</w:t>
      </w:r>
      <w:r w:rsidRPr="009E2021">
        <w:t xml:space="preserve"> due on </w:t>
      </w:r>
      <w:r w:rsidRPr="008E02D7" w:rsidR="007711B7">
        <w:t>July 19, 2024</w:t>
      </w:r>
      <w:r w:rsidRPr="009E2021">
        <w:t xml:space="preserve">. </w:t>
      </w:r>
      <w:r w:rsidR="007E70E2">
        <w:t xml:space="preserve">No comments were received. </w:t>
      </w:r>
      <w:r w:rsidRPr="009E2021">
        <w:t xml:space="preserve">A copy of the </w:t>
      </w:r>
      <w:r w:rsidRPr="009E2021" w:rsidR="00876E0A">
        <w:t xml:space="preserve">published 60-Day Federal Register Notice </w:t>
      </w:r>
      <w:r w:rsidRPr="009E2021">
        <w:t xml:space="preserve">is included </w:t>
      </w:r>
      <w:r w:rsidRPr="009E2021" w:rsidR="002874AA">
        <w:t>as</w:t>
      </w:r>
      <w:r w:rsidRPr="009E2021">
        <w:t xml:space="preserve"> </w:t>
      </w:r>
      <w:r w:rsidRPr="008E02D7">
        <w:t xml:space="preserve">Appendix </w:t>
      </w:r>
      <w:r w:rsidRPr="008E02D7" w:rsidR="00B460E3">
        <w:t>J</w:t>
      </w:r>
      <w:r w:rsidRPr="008E02D7" w:rsidR="00E5554E">
        <w:t>.</w:t>
      </w:r>
      <w:r w:rsidRPr="4E60D268">
        <w:t xml:space="preserve"> </w:t>
      </w:r>
    </w:p>
    <w:p w:rsidR="0062091D" w:rsidRPr="00DB4759" w:rsidP="00121292" w14:paraId="6FA76CDC" w14:textId="77777777">
      <w:pPr>
        <w:pStyle w:val="NoSpacing"/>
        <w:ind w:left="1080"/>
      </w:pPr>
    </w:p>
    <w:p w:rsidR="00DB4759" w:rsidRPr="006C7FAE" w:rsidP="00121292" w14:paraId="571F8DCD" w14:textId="5C57B38E">
      <w:pPr>
        <w:pStyle w:val="NoSpacing"/>
        <w:ind w:left="1080"/>
      </w:pPr>
      <w:r w:rsidRPr="00DB4759">
        <w:t xml:space="preserve">The Evaluation of the </w:t>
      </w:r>
      <w:r>
        <w:t>Emergency Housing Voucher</w:t>
      </w:r>
      <w:r w:rsidRPr="00DB4759">
        <w:t xml:space="preserve"> Program was developed and is being implemented with the assistance of </w:t>
      </w:r>
      <w:r>
        <w:t>Social Policy Research Associates</w:t>
      </w:r>
      <w:r w:rsidR="002F346A">
        <w:t xml:space="preserve"> (SPR)</w:t>
      </w:r>
      <w:r w:rsidRPr="00DB4759">
        <w:t>, the study’s contractor. Key members of the</w:t>
      </w:r>
      <w:r>
        <w:t xml:space="preserve"> SPR</w:t>
      </w:r>
      <w:r w:rsidRPr="00DB4759">
        <w:t xml:space="preserve">’s team include Project </w:t>
      </w:r>
      <w:r w:rsidR="008E6898">
        <w:t>Directo</w:t>
      </w:r>
      <w:r w:rsidRPr="00DB4759">
        <w:t xml:space="preserve">r </w:t>
      </w:r>
      <w:r>
        <w:t>Anne Paprocki</w:t>
      </w:r>
      <w:r w:rsidRPr="00DB4759">
        <w:t xml:space="preserve">; Co-Principal Investigator </w:t>
      </w:r>
      <w:r>
        <w:t>Christian Geckeler</w:t>
      </w:r>
      <w:r w:rsidR="008E6898">
        <w:t>,</w:t>
      </w:r>
      <w:r>
        <w:t xml:space="preserve"> an</w:t>
      </w:r>
      <w:r w:rsidR="00765EF7">
        <w:t>d</w:t>
      </w:r>
      <w:r>
        <w:t xml:space="preserve"> </w:t>
      </w:r>
      <w:r w:rsidR="008E6898">
        <w:t xml:space="preserve">Statistical Task Lead </w:t>
      </w:r>
      <w:r>
        <w:t>Colleen Bullock</w:t>
      </w:r>
      <w:r w:rsidRPr="00DB4759">
        <w:t xml:space="preserve">; and </w:t>
      </w:r>
      <w:r w:rsidR="00546C65">
        <w:t xml:space="preserve">the </w:t>
      </w:r>
      <w:r>
        <w:t>study’s subcontractor</w:t>
      </w:r>
      <w:r w:rsidR="00765EF7">
        <w:t xml:space="preserve"> Abt </w:t>
      </w:r>
      <w:r w:rsidR="00314489">
        <w:t>Global</w:t>
      </w:r>
      <w:r w:rsidR="00546C65">
        <w:t xml:space="preserve"> and its representatives, Laur</w:t>
      </w:r>
      <w:r w:rsidR="00314489">
        <w:t>en</w:t>
      </w:r>
      <w:r w:rsidR="00546C65">
        <w:t xml:space="preserve"> Dunt</w:t>
      </w:r>
      <w:r w:rsidR="002C0893">
        <w:t>on</w:t>
      </w:r>
      <w:r w:rsidR="00CB3A99">
        <w:t>, Co-Principal Investigator,</w:t>
      </w:r>
      <w:r w:rsidR="002C0893">
        <w:t xml:space="preserve"> and Judy Geyer</w:t>
      </w:r>
      <w:r w:rsidR="00CB3A99">
        <w:t>, Administrative Data Lead</w:t>
      </w:r>
      <w:r w:rsidR="002C0893">
        <w:t>.</w:t>
      </w:r>
    </w:p>
    <w:p w:rsidR="009E13B1" w:rsidRPr="006C7FAE" w14:paraId="708FE05D" w14:textId="77777777">
      <w:pPr>
        <w:tabs>
          <w:tab w:val="left" w:pos="360"/>
        </w:tabs>
        <w:ind w:left="360" w:hanging="360"/>
        <w:rPr>
          <w:sz w:val="24"/>
          <w:szCs w:val="24"/>
        </w:rPr>
      </w:pPr>
    </w:p>
    <w:p w:rsidR="00C47956" w:rsidRPr="00121292" w:rsidP="00121292" w14:paraId="5A9F4964" w14:textId="56F4EC4F">
      <w:pPr>
        <w:pStyle w:val="ListParagraph"/>
        <w:keepLines/>
        <w:numPr>
          <w:ilvl w:val="0"/>
          <w:numId w:val="21"/>
        </w:numPr>
        <w:tabs>
          <w:tab w:val="left" w:pos="360"/>
        </w:tabs>
        <w:spacing w:after="80"/>
        <w:rPr>
          <w:b/>
          <w:bCs/>
          <w:sz w:val="24"/>
          <w:szCs w:val="24"/>
        </w:rPr>
      </w:pPr>
      <w:r w:rsidRPr="00121292">
        <w:rPr>
          <w:b/>
          <w:bCs/>
          <w:sz w:val="24"/>
          <w:szCs w:val="24"/>
        </w:rPr>
        <w:t>Explain any decision to provide any payment or gift to respondents, other than renumeration of contractors or grantees</w:t>
      </w:r>
      <w:r w:rsidRPr="00121292">
        <w:rPr>
          <w:sz w:val="24"/>
          <w:szCs w:val="24"/>
        </w:rPr>
        <w:t>.</w:t>
      </w:r>
    </w:p>
    <w:p w:rsidR="00121292" w:rsidP="00121292" w14:paraId="1C6E480D" w14:textId="77777777">
      <w:pPr>
        <w:pStyle w:val="NoSpacing"/>
      </w:pPr>
    </w:p>
    <w:p w:rsidR="008E6898" w:rsidP="00121292" w14:paraId="2BCF7A0A" w14:textId="4DCEEC78">
      <w:pPr>
        <w:pStyle w:val="NoSpacing"/>
        <w:ind w:left="720"/>
      </w:pPr>
      <w:r>
        <w:t>R</w:t>
      </w:r>
      <w:r w:rsidR="0081174F">
        <w:t xml:space="preserve">espondents will not </w:t>
      </w:r>
      <w:r w:rsidR="00DD0C71">
        <w:t>receive</w:t>
      </w:r>
      <w:r w:rsidR="0081174F">
        <w:t xml:space="preserve"> any form of compensation</w:t>
      </w:r>
      <w:r w:rsidR="003E71E0">
        <w:t xml:space="preserve"> for their time spent</w:t>
      </w:r>
      <w:r w:rsidR="00314489">
        <w:t xml:space="preserve"> participating</w:t>
      </w:r>
      <w:r w:rsidR="003E71E0">
        <w:t xml:space="preserve"> in this evaluation.</w:t>
      </w:r>
    </w:p>
    <w:p w:rsidR="00121292" w:rsidP="00121292" w14:paraId="799C35BE" w14:textId="01195AE4">
      <w:pPr>
        <w:pStyle w:val="NoSpacing"/>
        <w:ind w:left="720"/>
      </w:pPr>
    </w:p>
    <w:p w:rsidR="009E13B1" w:rsidRPr="00121292" w:rsidP="00121292" w14:paraId="27594B97" w14:textId="402D50AF">
      <w:pPr>
        <w:pStyle w:val="ListParagraph"/>
        <w:keepLines/>
        <w:numPr>
          <w:ilvl w:val="0"/>
          <w:numId w:val="21"/>
        </w:numPr>
        <w:tabs>
          <w:tab w:val="left" w:pos="360"/>
        </w:tabs>
        <w:spacing w:after="80"/>
        <w:rPr>
          <w:b/>
          <w:bCs/>
          <w:sz w:val="24"/>
          <w:szCs w:val="24"/>
        </w:rPr>
      </w:pPr>
      <w:r w:rsidRPr="00121292">
        <w:rPr>
          <w:b/>
          <w:bCs/>
          <w:sz w:val="24"/>
          <w:szCs w:val="24"/>
        </w:rPr>
        <w:t>Describe any assurance of confidentiality provided to respondents and the basis for assurance in statute, regulation or agency policy.</w:t>
      </w:r>
      <w:r w:rsidRPr="00121292" w:rsidR="000D5079">
        <w:rPr>
          <w:b/>
          <w:bCs/>
        </w:rPr>
        <w:t xml:space="preserve"> </w:t>
      </w:r>
      <w:r w:rsidRPr="00121292" w:rsidR="000D5079">
        <w:rPr>
          <w:b/>
          <w:bCs/>
          <w:sz w:val="24"/>
          <w:szCs w:val="24"/>
        </w:rPr>
        <w:t xml:space="preserve">If the collection requires a </w:t>
      </w:r>
      <w:r w:rsidRPr="00121292" w:rsidR="00BB2518">
        <w:rPr>
          <w:b/>
          <w:bCs/>
          <w:sz w:val="24"/>
          <w:szCs w:val="24"/>
        </w:rPr>
        <w:t>system of records notice (SORN)</w:t>
      </w:r>
      <w:r w:rsidRPr="00121292" w:rsidR="000D5079">
        <w:rPr>
          <w:b/>
          <w:bCs/>
          <w:sz w:val="24"/>
          <w:szCs w:val="24"/>
        </w:rPr>
        <w:t xml:space="preserve"> or privacy impact assessment (PIA), those should be cited and described here.</w:t>
      </w:r>
      <w:r w:rsidRPr="00121292" w:rsidR="003E71E0">
        <w:rPr>
          <w:b/>
          <w:bCs/>
          <w:sz w:val="24"/>
          <w:szCs w:val="24"/>
        </w:rPr>
        <w:t xml:space="preserve"> </w:t>
      </w:r>
    </w:p>
    <w:p w:rsidR="003E71E0" w:rsidP="00121292" w14:paraId="27B5AEFB" w14:textId="77777777">
      <w:pPr>
        <w:pStyle w:val="NoSpacing"/>
        <w:ind w:left="720"/>
      </w:pPr>
      <w:r>
        <w:tab/>
      </w:r>
    </w:p>
    <w:p w:rsidR="0030461F" w:rsidRPr="006B50FF" w:rsidP="00121292" w14:paraId="54272B7A" w14:textId="792E71A6">
      <w:pPr>
        <w:pStyle w:val="NoSpacing"/>
        <w:ind w:left="720"/>
      </w:pPr>
      <w:r w:rsidRPr="006B50FF">
        <w:t xml:space="preserve">HUD has </w:t>
      </w:r>
      <w:r w:rsidRPr="006B50FF" w:rsidR="00DD0C71">
        <w:t>entered</w:t>
      </w:r>
      <w:r w:rsidRPr="006B50FF">
        <w:t xml:space="preserve"> </w:t>
      </w:r>
      <w:r w:rsidR="00201B90">
        <w:t xml:space="preserve">into </w:t>
      </w:r>
      <w:r w:rsidRPr="006B50FF">
        <w:t>a contract with</w:t>
      </w:r>
      <w:r w:rsidRPr="006B50FF" w:rsidR="008E6898">
        <w:t xml:space="preserve"> </w:t>
      </w:r>
      <w:r w:rsidRPr="006B50FF" w:rsidR="009D621C">
        <w:t>SPR</w:t>
      </w:r>
      <w:r w:rsidRPr="006B50FF" w:rsidR="008E6898">
        <w:t>,</w:t>
      </w:r>
      <w:r w:rsidRPr="006B50FF">
        <w:t xml:space="preserve"> an independent research firm, </w:t>
      </w:r>
      <w:r w:rsidRPr="006B50FF" w:rsidR="00485685">
        <w:t xml:space="preserve">and </w:t>
      </w:r>
      <w:r w:rsidRPr="006B50FF" w:rsidR="002A0AA5">
        <w:t>its</w:t>
      </w:r>
      <w:r w:rsidRPr="006B50FF" w:rsidR="00485685">
        <w:t xml:space="preserve"> subcontract</w:t>
      </w:r>
      <w:r w:rsidRPr="006B50FF" w:rsidR="008E6898">
        <w:t>or</w:t>
      </w:r>
      <w:r w:rsidRPr="006B50FF" w:rsidR="00CB3A99">
        <w:t>,</w:t>
      </w:r>
      <w:r w:rsidRPr="006B50FF" w:rsidR="00485685">
        <w:t xml:space="preserve"> Abt </w:t>
      </w:r>
      <w:r w:rsidRPr="006B50FF" w:rsidR="00314489">
        <w:t>Global</w:t>
      </w:r>
      <w:r w:rsidRPr="006B50FF" w:rsidR="00CB3A99">
        <w:t>,</w:t>
      </w:r>
      <w:r w:rsidRPr="006B50FF">
        <w:t xml:space="preserve"> to conduct this research effort. HUD and </w:t>
      </w:r>
      <w:r w:rsidRPr="006B50FF" w:rsidR="009D621C">
        <w:t>SPR</w:t>
      </w:r>
      <w:r w:rsidRPr="006B50FF" w:rsidR="00485685">
        <w:t xml:space="preserve"> </w:t>
      </w:r>
      <w:r w:rsidRPr="006B50FF">
        <w:t xml:space="preserve">will make every effort to maintain the privacy of respondents to the extent permitted by law. </w:t>
      </w:r>
      <w:r w:rsidRPr="006B50FF">
        <w:t xml:space="preserve">The information requested under this collection is protected and held confidential in accordance with 42 U.S.C. 1306, 20 CFR 401 and 402, 5 U.S.C.552 (Freedom of Information Act), 5 U.S.C. 552a (Privacy Act of 1974) and OMB Circular No. A-130. </w:t>
      </w:r>
    </w:p>
    <w:p w:rsidR="0091094F" w:rsidP="00121292" w14:paraId="380B09AF" w14:textId="77777777">
      <w:pPr>
        <w:pStyle w:val="NoSpacing"/>
        <w:ind w:left="720"/>
      </w:pPr>
    </w:p>
    <w:p w:rsidR="003E71E0" w:rsidP="00121292" w14:paraId="0EE01796" w14:textId="1F130748">
      <w:pPr>
        <w:pStyle w:val="NoSpacing"/>
        <w:ind w:left="720"/>
      </w:pPr>
      <w:r w:rsidRPr="55C15260">
        <w:t xml:space="preserve">Additionally, individuals </w:t>
      </w:r>
      <w:r w:rsidRPr="55C15260" w:rsidR="00DD0C71">
        <w:t xml:space="preserve">and the names of organizations </w:t>
      </w:r>
      <w:r w:rsidRPr="55C15260">
        <w:t>will not be cited as sources of information in prepared reports</w:t>
      </w:r>
      <w:r w:rsidRPr="55C15260" w:rsidR="00DD0C71">
        <w:t xml:space="preserve">. </w:t>
      </w:r>
      <w:r w:rsidR="00A6763F">
        <w:t>Administrative and survey d</w:t>
      </w:r>
      <w:r w:rsidRPr="003E71E0">
        <w:t>ata will be publicly reported in aggregate form only</w:t>
      </w:r>
      <w:r w:rsidR="00D2299A">
        <w:t xml:space="preserve">. </w:t>
      </w:r>
      <w:r w:rsidR="00A6763F">
        <w:t xml:space="preserve">Quotations or examples from the follow-up telephone interviews </w:t>
      </w:r>
      <w:r w:rsidR="00EB746A">
        <w:t xml:space="preserve">may be used in the presentation of findings, but they will be anonymized. </w:t>
      </w:r>
      <w:r w:rsidR="00D2299A">
        <w:t>The</w:t>
      </w:r>
      <w:r w:rsidRPr="003E71E0">
        <w:t xml:space="preserve"> contractor will safeguard all data, and only authorized users will have access to them. Information gathered for this study will be made available only to researchers authorized to work on the study. Information will not be maintained in a paper or electronic system from which data are directly retrieved by individuals’ personal identifiers. </w:t>
      </w:r>
    </w:p>
    <w:p w:rsidR="009E13B1" w:rsidRPr="006C7FAE" w:rsidP="00121292" w14:paraId="6119BA5B" w14:textId="77777777">
      <w:pPr>
        <w:pStyle w:val="NoSpacing"/>
        <w:ind w:left="720"/>
      </w:pPr>
      <w:r>
        <w:tab/>
      </w:r>
      <w:r w:rsidR="00251EB4">
        <w:t xml:space="preserve"> </w:t>
      </w:r>
    </w:p>
    <w:p w:rsidR="009E13B1" w:rsidRPr="00121292" w:rsidP="00121292" w14:paraId="330F1F75" w14:textId="6CDE1559">
      <w:pPr>
        <w:pStyle w:val="ListParagraph"/>
        <w:keepLines/>
        <w:numPr>
          <w:ilvl w:val="0"/>
          <w:numId w:val="21"/>
        </w:numPr>
        <w:tabs>
          <w:tab w:val="left" w:pos="360"/>
        </w:tabs>
        <w:spacing w:after="80"/>
        <w:rPr>
          <w:sz w:val="24"/>
          <w:szCs w:val="24"/>
        </w:rPr>
      </w:pPr>
      <w:r w:rsidRPr="00121292">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65F9E" w:rsidP="00121292" w14:paraId="6636A2A5" w14:textId="77777777">
      <w:pPr>
        <w:pStyle w:val="NoSpacing"/>
        <w:ind w:left="720"/>
      </w:pPr>
    </w:p>
    <w:p w:rsidR="00A65F9E" w:rsidP="00121292" w14:paraId="590A774C" w14:textId="4BE15D18">
      <w:pPr>
        <w:pStyle w:val="NoSpacing"/>
        <w:ind w:left="720"/>
      </w:pPr>
      <w:r w:rsidRPr="00796C82">
        <w:t>No sensitive questions will be asked as part of th</w:t>
      </w:r>
      <w:r w:rsidR="007059D8">
        <w:t>is evaluation</w:t>
      </w:r>
      <w:r w:rsidRPr="00796C82">
        <w:t>.</w:t>
      </w:r>
      <w:r w:rsidR="007059D8">
        <w:t xml:space="preserve"> However, b</w:t>
      </w:r>
      <w:r w:rsidRPr="00796C82">
        <w:t>efore starting the survey</w:t>
      </w:r>
      <w:r w:rsidR="00AF0181">
        <w:t xml:space="preserve"> or a follow-up telephone interview</w:t>
      </w:r>
      <w:r w:rsidRPr="00796C82">
        <w:t xml:space="preserve">, respondents will be informed that their identities </w:t>
      </w:r>
      <w:r w:rsidR="00EF65DE">
        <w:t xml:space="preserve">and their work affiliation </w:t>
      </w:r>
      <w:r w:rsidRPr="00796C82">
        <w:t xml:space="preserve">will be kept private and that they do not have to answer any question that makes them uncomfortable. </w:t>
      </w:r>
    </w:p>
    <w:p w:rsidR="00A65F9E" w:rsidP="00121292" w14:paraId="018F72E8" w14:textId="77777777">
      <w:pPr>
        <w:pStyle w:val="NoSpacing"/>
        <w:ind w:left="720"/>
      </w:pPr>
    </w:p>
    <w:p w:rsidR="000D5079" w:rsidRPr="00121292" w:rsidP="00121292" w14:paraId="37D96A42" w14:textId="2DF8936C">
      <w:pPr>
        <w:pStyle w:val="ListParagraph"/>
        <w:numPr>
          <w:ilvl w:val="0"/>
          <w:numId w:val="21"/>
        </w:numPr>
        <w:tabs>
          <w:tab w:val="left" w:pos="360"/>
        </w:tabs>
        <w:rPr>
          <w:b/>
          <w:bCs/>
          <w:sz w:val="24"/>
          <w:szCs w:val="24"/>
        </w:rPr>
      </w:pPr>
      <w:r w:rsidRPr="00121292">
        <w:rPr>
          <w:b/>
          <w:bCs/>
          <w:sz w:val="24"/>
          <w:szCs w:val="24"/>
        </w:rPr>
        <w:t>Provide estimates of the hour burden of the collection of information. The statement should:</w:t>
      </w:r>
    </w:p>
    <w:p w:rsidR="009E13B1" w:rsidRPr="006C7FAE" w14:paraId="2ACE4A75" w14:textId="77777777">
      <w:pPr>
        <w:tabs>
          <w:tab w:val="left" w:pos="360"/>
        </w:tabs>
        <w:ind w:left="360" w:hanging="360"/>
        <w:rPr>
          <w:sz w:val="24"/>
          <w:szCs w:val="24"/>
        </w:rPr>
      </w:pPr>
      <w:r w:rsidRPr="006C7FAE">
        <w:rPr>
          <w:sz w:val="24"/>
          <w:szCs w:val="24"/>
        </w:rPr>
        <w:t xml:space="preserve"> </w:t>
      </w:r>
    </w:p>
    <w:p w:rsidR="009E13B1" w:rsidRPr="00796C82" w:rsidP="00B55B94" w14:paraId="470B343C" w14:textId="77777777">
      <w:pPr>
        <w:numPr>
          <w:ilvl w:val="0"/>
          <w:numId w:val="2"/>
        </w:numPr>
        <w:tabs>
          <w:tab w:val="left" w:pos="480"/>
        </w:tabs>
        <w:ind w:left="768"/>
        <w:rPr>
          <w:b/>
          <w:bCs/>
          <w:sz w:val="24"/>
          <w:szCs w:val="24"/>
        </w:rPr>
      </w:pPr>
      <w:r w:rsidRPr="7229DBFF">
        <w:rPr>
          <w:b/>
          <w:bCs/>
          <w:sz w:val="24"/>
          <w:szCs w:val="24"/>
        </w:rPr>
        <w:t>I</w:t>
      </w:r>
      <w:r w:rsidRPr="7229DBFF">
        <w:rPr>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7229DBFF" w:rsidR="006C7FAE">
        <w:rPr>
          <w:b/>
          <w:bCs/>
          <w:sz w:val="24"/>
          <w:szCs w:val="24"/>
        </w:rPr>
        <w:t>Generally,</w:t>
      </w:r>
      <w:r w:rsidRPr="7229DBFF">
        <w:rPr>
          <w:b/>
          <w:bCs/>
          <w:sz w:val="24"/>
          <w:szCs w:val="24"/>
        </w:rPr>
        <w:t xml:space="preserve"> estimates should not include burden hours for customary and usual business practices; </w:t>
      </w:r>
    </w:p>
    <w:p w:rsidR="009E13B1" w:rsidRPr="00796C82" w:rsidP="00B55B94" w14:paraId="13DFB173" w14:textId="77777777">
      <w:pPr>
        <w:numPr>
          <w:ilvl w:val="0"/>
          <w:numId w:val="2"/>
        </w:numPr>
        <w:tabs>
          <w:tab w:val="left" w:pos="480"/>
        </w:tabs>
        <w:ind w:left="768"/>
        <w:rPr>
          <w:b/>
          <w:bCs/>
          <w:sz w:val="24"/>
          <w:szCs w:val="24"/>
        </w:rPr>
      </w:pPr>
      <w:r w:rsidRPr="7229DBFF">
        <w:rPr>
          <w:b/>
          <w:bCs/>
          <w:sz w:val="24"/>
          <w:szCs w:val="24"/>
        </w:rPr>
        <w:t>I</w:t>
      </w:r>
      <w:r w:rsidRPr="7229DBFF">
        <w:rPr>
          <w:b/>
          <w:bCs/>
          <w:sz w:val="24"/>
          <w:szCs w:val="24"/>
        </w:rPr>
        <w:t xml:space="preserve">f this request covers more than one form, provide separate hour burden estimates for each form and aggregate the hour burdens in </w:t>
      </w:r>
      <w:r w:rsidRPr="7229DBFF" w:rsidR="00CA06CC">
        <w:rPr>
          <w:b/>
          <w:bCs/>
          <w:sz w:val="24"/>
          <w:szCs w:val="24"/>
        </w:rPr>
        <w:t>chart below</w:t>
      </w:r>
      <w:r w:rsidRPr="7229DBFF">
        <w:rPr>
          <w:b/>
          <w:bCs/>
          <w:sz w:val="24"/>
          <w:szCs w:val="24"/>
        </w:rPr>
        <w:t xml:space="preserve">; and </w:t>
      </w:r>
    </w:p>
    <w:p w:rsidR="005031CE" w:rsidP="00B55B94" w14:paraId="07A73F7B" w14:textId="77777777">
      <w:pPr>
        <w:keepLines/>
        <w:numPr>
          <w:ilvl w:val="0"/>
          <w:numId w:val="2"/>
        </w:numPr>
        <w:tabs>
          <w:tab w:val="left" w:pos="480"/>
        </w:tabs>
        <w:spacing w:after="80"/>
        <w:ind w:left="768"/>
        <w:rPr>
          <w:b/>
          <w:bCs/>
          <w:sz w:val="24"/>
          <w:szCs w:val="24"/>
        </w:rPr>
      </w:pPr>
      <w:r w:rsidRPr="7229DBFF">
        <w:rPr>
          <w:b/>
          <w:bCs/>
          <w:sz w:val="24"/>
          <w:szCs w:val="24"/>
        </w:rPr>
        <w:t>P</w:t>
      </w:r>
      <w:r w:rsidRPr="7229DBFF" w:rsidR="009E13B1">
        <w:rPr>
          <w:b/>
          <w:bCs/>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7229DBFF" w:rsidR="00CA06CC">
        <w:rPr>
          <w:b/>
          <w:bCs/>
          <w:sz w:val="24"/>
          <w:szCs w:val="24"/>
        </w:rPr>
        <w:t>Instead,</w:t>
      </w:r>
      <w:r w:rsidRPr="7229DBFF" w:rsidR="009E13B1">
        <w:rPr>
          <w:b/>
          <w:bCs/>
          <w:sz w:val="24"/>
          <w:szCs w:val="24"/>
        </w:rPr>
        <w:t xml:space="preserve"> this cost should be included in Item 13.</w:t>
      </w:r>
    </w:p>
    <w:p w:rsidR="00EF65DE" w:rsidRPr="00896A3D" w:rsidP="00AF0181" w14:paraId="363AF5BA" w14:textId="77777777">
      <w:pPr>
        <w:keepLines/>
        <w:tabs>
          <w:tab w:val="left" w:pos="480"/>
        </w:tabs>
        <w:spacing w:after="80"/>
        <w:rPr>
          <w:b/>
          <w:bCs/>
          <w:sz w:val="24"/>
          <w:szCs w:val="24"/>
        </w:rPr>
      </w:pPr>
    </w:p>
    <w:p w:rsidR="005031CE" w:rsidP="00B55B94" w14:paraId="0EF1A236" w14:textId="05CAEFC2">
      <w:pPr>
        <w:pStyle w:val="NoSpacing"/>
        <w:ind w:left="720"/>
      </w:pPr>
      <w:r>
        <w:t>Table 1</w:t>
      </w:r>
      <w:r w:rsidRPr="00E57E60">
        <w:t xml:space="preserve"> shows the projected burden hour estimates for data collection for the</w:t>
      </w:r>
      <w:r>
        <w:t xml:space="preserve"> web</w:t>
      </w:r>
      <w:r w:rsidRPr="00E57E60">
        <w:t xml:space="preserve"> survey and qualitative interviews with </w:t>
      </w:r>
      <w:r>
        <w:t>PHA and CoC</w:t>
      </w:r>
      <w:r w:rsidRPr="00E57E60">
        <w:t xml:space="preserve"> staff. These estimates assume the maximum possible number of study participants. The estimates included in </w:t>
      </w:r>
      <w:r w:rsidR="00B73997">
        <w:rPr>
          <w:b/>
          <w:bCs/>
        </w:rPr>
        <w:t>Table 1</w:t>
      </w:r>
      <w:r w:rsidRPr="00E57E60">
        <w:t xml:space="preserve"> are based on the time needed to complete these data collection activities. The total annual cost burden to respondents is approximately </w:t>
      </w:r>
      <w:r w:rsidRPr="009E206B" w:rsidR="009E206B">
        <w:t>$</w:t>
      </w:r>
      <w:r w:rsidR="00E668C0">
        <w:t>51,324.1</w:t>
      </w:r>
      <w:r w:rsidR="00D656E7">
        <w:t>1</w:t>
      </w:r>
      <w:r w:rsidRPr="009E206B" w:rsidR="009E206B">
        <w:t>.</w:t>
      </w:r>
    </w:p>
    <w:p w:rsidR="009865C7" w:rsidP="009C03A3" w14:paraId="52062DB0" w14:textId="77777777">
      <w:pPr>
        <w:keepLines/>
        <w:tabs>
          <w:tab w:val="left" w:pos="480"/>
        </w:tabs>
        <w:spacing w:after="80"/>
        <w:rPr>
          <w:sz w:val="24"/>
          <w:szCs w:val="24"/>
        </w:rPr>
      </w:pPr>
    </w:p>
    <w:p w:rsidR="004F4022" w:rsidRPr="005031CE" w:rsidP="009865C7" w14:paraId="2CEDAF32" w14:textId="4D690C35">
      <w:pPr>
        <w:keepLines/>
        <w:tabs>
          <w:tab w:val="left" w:pos="480"/>
        </w:tabs>
        <w:spacing w:after="80"/>
        <w:ind w:left="480"/>
        <w:rPr>
          <w:sz w:val="24"/>
          <w:szCs w:val="24"/>
        </w:rPr>
      </w:pPr>
      <w:r>
        <w:rPr>
          <w:b/>
          <w:color w:val="000000"/>
          <w:sz w:val="24"/>
          <w:szCs w:val="24"/>
        </w:rPr>
        <w:t>Table 1</w:t>
      </w:r>
      <w:r w:rsidRPr="005031CE">
        <w:rPr>
          <w:b/>
          <w:color w:val="000000"/>
          <w:sz w:val="24"/>
          <w:szCs w:val="24"/>
        </w:rPr>
        <w:t>: Estimated Hour and Cost Burden of Information Collection</w:t>
      </w:r>
    </w:p>
    <w:tbl>
      <w:tblPr>
        <w:tblW w:w="9800" w:type="dxa"/>
        <w:jc w:val="center"/>
        <w:tblLayout w:type="fixed"/>
        <w:tblCellMar>
          <w:left w:w="0" w:type="dxa"/>
          <w:right w:w="0" w:type="dxa"/>
        </w:tblCellMar>
        <w:tblLook w:val="04A0"/>
      </w:tblPr>
      <w:tblGrid>
        <w:gridCol w:w="1790"/>
        <w:gridCol w:w="1170"/>
        <w:gridCol w:w="1170"/>
        <w:gridCol w:w="1080"/>
        <w:gridCol w:w="1260"/>
        <w:gridCol w:w="1260"/>
        <w:gridCol w:w="990"/>
        <w:gridCol w:w="1080"/>
      </w:tblGrid>
      <w:tr w14:paraId="0A79273D" w14:textId="77777777" w:rsidTr="009865C7">
        <w:tblPrEx>
          <w:tblW w:w="9800" w:type="dxa"/>
          <w:jc w:val="center"/>
          <w:tblLayout w:type="fixed"/>
          <w:tblCellMar>
            <w:left w:w="0" w:type="dxa"/>
            <w:right w:w="0" w:type="dxa"/>
          </w:tblCellMar>
          <w:tblLook w:val="04A0"/>
        </w:tblPrEx>
        <w:trPr>
          <w:trHeight w:val="574"/>
          <w:jc w:val="center"/>
        </w:trPr>
        <w:tc>
          <w:tcPr>
            <w:tcW w:w="17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96C82" w:rsidRPr="009865C7" w:rsidP="009865C7" w14:paraId="125E013D" w14:textId="77777777">
            <w:pPr>
              <w:pStyle w:val="NoSpacing"/>
              <w:rPr>
                <w:sz w:val="18"/>
                <w:szCs w:val="18"/>
              </w:rPr>
            </w:pPr>
            <w:bookmarkStart w:id="4" w:name="_Hlk161319148"/>
            <w:r w:rsidRPr="009865C7">
              <w:rPr>
                <w:rFonts w:eastAsia="Calibri"/>
                <w:sz w:val="18"/>
                <w:szCs w:val="18"/>
              </w:rPr>
              <w:br w:type="page"/>
            </w:r>
            <w:r w:rsidRPr="009865C7">
              <w:rPr>
                <w:sz w:val="18"/>
                <w:szCs w:val="18"/>
              </w:rPr>
              <w:t>Information Collection</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96C82" w:rsidRPr="009865C7" w:rsidP="009865C7" w14:paraId="3B62396F" w14:textId="77777777">
            <w:pPr>
              <w:pStyle w:val="NoSpacing"/>
              <w:rPr>
                <w:sz w:val="18"/>
                <w:szCs w:val="18"/>
              </w:rPr>
            </w:pPr>
            <w:r w:rsidRPr="009865C7">
              <w:rPr>
                <w:sz w:val="18"/>
                <w:szCs w:val="18"/>
              </w:rPr>
              <w:t>Number of Respondents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96C82" w:rsidRPr="009865C7" w:rsidP="009865C7" w14:paraId="42421A9C" w14:textId="77777777">
            <w:pPr>
              <w:pStyle w:val="NoSpacing"/>
              <w:rPr>
                <w:sz w:val="18"/>
                <w:szCs w:val="18"/>
              </w:rPr>
            </w:pPr>
            <w:r w:rsidRPr="009865C7">
              <w:rPr>
                <w:sz w:val="18"/>
                <w:szCs w:val="18"/>
              </w:rPr>
              <w:t>Frequency of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96C82" w:rsidRPr="009865C7" w:rsidP="009865C7" w14:paraId="7D03B0DA" w14:textId="77777777">
            <w:pPr>
              <w:pStyle w:val="NoSpacing"/>
              <w:rPr>
                <w:sz w:val="18"/>
                <w:szCs w:val="18"/>
              </w:rPr>
            </w:pPr>
            <w:r w:rsidRPr="009865C7">
              <w:rPr>
                <w:sz w:val="18"/>
                <w:szCs w:val="18"/>
              </w:rPr>
              <w:t>Responses</w:t>
            </w:r>
          </w:p>
          <w:p w:rsidR="00796C82" w:rsidRPr="009865C7" w:rsidP="009865C7" w14:paraId="74C4B463" w14:textId="5D029FE8">
            <w:pPr>
              <w:pStyle w:val="NoSpacing"/>
              <w:rPr>
                <w:sz w:val="18"/>
                <w:szCs w:val="18"/>
              </w:rPr>
            </w:pPr>
            <w:r w:rsidRPr="009865C7">
              <w:rPr>
                <w:sz w:val="18"/>
                <w:szCs w:val="18"/>
              </w:rPr>
              <w:t>Per Annum</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96C82" w:rsidRPr="009865C7" w:rsidP="009865C7" w14:paraId="39491DEC" w14:textId="77777777">
            <w:pPr>
              <w:pStyle w:val="NoSpacing"/>
              <w:rPr>
                <w:sz w:val="18"/>
                <w:szCs w:val="18"/>
              </w:rPr>
            </w:pPr>
            <w:r w:rsidRPr="009865C7">
              <w:rPr>
                <w:sz w:val="18"/>
                <w:szCs w:val="18"/>
              </w:rPr>
              <w:t>Burden Hour Per Response</w:t>
            </w:r>
          </w:p>
          <w:p w:rsidR="00796C82" w:rsidRPr="009865C7" w:rsidP="009865C7" w14:paraId="450DA633" w14:textId="77777777">
            <w:pPr>
              <w:pStyle w:val="NoSpacing"/>
              <w:rPr>
                <w:sz w:val="18"/>
                <w:szCs w:val="18"/>
              </w:rPr>
            </w:pP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96C82" w:rsidRPr="009865C7" w:rsidP="009865C7" w14:paraId="20A8ADC8" w14:textId="72789904">
            <w:pPr>
              <w:pStyle w:val="NoSpacing"/>
              <w:rPr>
                <w:sz w:val="18"/>
                <w:szCs w:val="18"/>
              </w:rPr>
            </w:pPr>
            <w:r w:rsidRPr="009865C7">
              <w:rPr>
                <w:sz w:val="18"/>
                <w:szCs w:val="18"/>
              </w:rPr>
              <w:t>Annual Burden Hours</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796C82" w:rsidRPr="009865C7" w:rsidP="009865C7" w14:paraId="021F8F1A" w14:textId="77777777">
            <w:pPr>
              <w:pStyle w:val="NoSpacing"/>
              <w:rPr>
                <w:sz w:val="18"/>
                <w:szCs w:val="18"/>
              </w:rPr>
            </w:pPr>
            <w:r w:rsidRPr="009865C7">
              <w:rPr>
                <w:sz w:val="18"/>
                <w:szCs w:val="18"/>
              </w:rPr>
              <w:t>Hourly Cost Per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96C82" w:rsidRPr="009865C7" w:rsidP="009865C7" w14:paraId="0ED13208" w14:textId="59EC659A">
            <w:pPr>
              <w:pStyle w:val="NoSpacing"/>
              <w:rPr>
                <w:sz w:val="18"/>
                <w:szCs w:val="18"/>
              </w:rPr>
            </w:pPr>
            <w:r w:rsidRPr="009865C7">
              <w:rPr>
                <w:sz w:val="18"/>
                <w:szCs w:val="18"/>
              </w:rPr>
              <w:t>Cost</w:t>
            </w:r>
          </w:p>
        </w:tc>
      </w:tr>
      <w:tr w14:paraId="7DF0646E" w14:textId="77777777" w:rsidTr="009865C7">
        <w:tblPrEx>
          <w:tblW w:w="9800" w:type="dxa"/>
          <w:jc w:val="center"/>
          <w:tblLayout w:type="fixed"/>
          <w:tblCellMar>
            <w:left w:w="0" w:type="dxa"/>
            <w:right w:w="0" w:type="dxa"/>
          </w:tblCellMar>
          <w:tblLook w:val="04A0"/>
        </w:tblPrEx>
        <w:trPr>
          <w:jc w:val="center"/>
        </w:trPr>
        <w:tc>
          <w:tcPr>
            <w:tcW w:w="17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96C82" w:rsidRPr="009865C7" w:rsidP="009865C7" w14:paraId="64E309D4" w14:textId="77777777">
            <w:pPr>
              <w:pStyle w:val="NoSpacing"/>
              <w:rPr>
                <w:sz w:val="18"/>
                <w:szCs w:val="18"/>
              </w:rPr>
            </w:pPr>
            <w:r w:rsidRPr="009865C7">
              <w:rPr>
                <w:sz w:val="18"/>
                <w:szCs w:val="18"/>
              </w:rPr>
              <w:t xml:space="preserve">Web </w:t>
            </w:r>
            <w:r w:rsidRPr="009865C7">
              <w:rPr>
                <w:sz w:val="18"/>
                <w:szCs w:val="18"/>
              </w:rPr>
              <w:t>survey</w:t>
            </w:r>
            <w:r w:rsidRPr="009865C7">
              <w:rPr>
                <w:sz w:val="18"/>
                <w:szCs w:val="18"/>
              </w:rPr>
              <w:t xml:space="preserve"> for PHA staff</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6C82" w:rsidRPr="009865C7" w:rsidP="009865C7" w14:paraId="74FCEC78" w14:textId="77777777">
            <w:pPr>
              <w:pStyle w:val="NoSpacing"/>
              <w:rPr>
                <w:sz w:val="18"/>
                <w:szCs w:val="18"/>
              </w:rPr>
            </w:pPr>
            <w:r w:rsidRPr="009865C7">
              <w:rPr>
                <w:sz w:val="18"/>
                <w:szCs w:val="18"/>
              </w:rPr>
              <w:t>6</w:t>
            </w:r>
            <w:r w:rsidRPr="009865C7" w:rsidR="00BF00C5">
              <w:rPr>
                <w:sz w:val="18"/>
                <w:szCs w:val="18"/>
              </w:rPr>
              <w:t>11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6C82" w:rsidRPr="009865C7" w:rsidP="009865C7" w14:paraId="2608AB5C" w14:textId="77777777">
            <w:pPr>
              <w:pStyle w:val="NoSpacing"/>
              <w:rPr>
                <w:sz w:val="18"/>
                <w:szCs w:val="18"/>
              </w:rPr>
            </w:pPr>
            <w:r w:rsidRPr="009865C7">
              <w:rPr>
                <w:sz w:val="18"/>
                <w:szCs w:val="18"/>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6C82" w:rsidRPr="009865C7" w:rsidP="009865C7" w14:paraId="35A2B453" w14:textId="77777777">
            <w:pPr>
              <w:pStyle w:val="NoSpacing"/>
              <w:rPr>
                <w:sz w:val="18"/>
                <w:szCs w:val="18"/>
              </w:rPr>
            </w:pPr>
            <w:r w:rsidRPr="009865C7">
              <w:rPr>
                <w:sz w:val="18"/>
                <w:szCs w:val="18"/>
              </w:rPr>
              <w:t>6</w:t>
            </w:r>
            <w:r w:rsidRPr="009865C7" w:rsidR="00BF00C5">
              <w:rPr>
                <w:sz w:val="18"/>
                <w:szCs w:val="18"/>
              </w:rPr>
              <w:t>11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6C82" w:rsidRPr="009865C7" w:rsidP="009865C7" w14:paraId="3DECAE11" w14:textId="471E1817">
            <w:pPr>
              <w:pStyle w:val="NoSpacing"/>
              <w:rPr>
                <w:sz w:val="18"/>
                <w:szCs w:val="18"/>
              </w:rPr>
            </w:pPr>
            <w:r w:rsidRPr="009865C7">
              <w:rPr>
                <w:sz w:val="18"/>
                <w:szCs w:val="18"/>
              </w:rPr>
              <w:t>.</w:t>
            </w:r>
            <w:r w:rsidRPr="009865C7" w:rsidR="00770E83">
              <w:rPr>
                <w:sz w:val="18"/>
                <w:szCs w:val="18"/>
              </w:rPr>
              <w:t>5</w:t>
            </w:r>
            <w:r w:rsidRPr="009865C7" w:rsidR="00713FD8">
              <w:rPr>
                <w:sz w:val="18"/>
                <w:szCs w:val="18"/>
              </w:rPr>
              <w:t>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6C82" w:rsidRPr="009865C7" w:rsidP="009865C7" w14:paraId="3BDE9AD1" w14:textId="7B971D29">
            <w:pPr>
              <w:pStyle w:val="NoSpacing"/>
              <w:rPr>
                <w:sz w:val="18"/>
                <w:szCs w:val="18"/>
              </w:rPr>
            </w:pPr>
            <w:r w:rsidRPr="009865C7">
              <w:rPr>
                <w:sz w:val="18"/>
                <w:szCs w:val="18"/>
              </w:rPr>
              <w:t>305.50</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6C82" w:rsidRPr="009865C7" w:rsidP="009865C7" w14:paraId="65E61931" w14:textId="77777777">
            <w:pPr>
              <w:pStyle w:val="NoSpacing"/>
              <w:rPr>
                <w:sz w:val="18"/>
                <w:szCs w:val="18"/>
              </w:rPr>
            </w:pPr>
            <w:r w:rsidRPr="009865C7">
              <w:rPr>
                <w:sz w:val="18"/>
                <w:szCs w:val="18"/>
              </w:rPr>
              <w:t>$</w:t>
            </w:r>
            <w:r w:rsidRPr="009865C7" w:rsidR="0096150B">
              <w:rPr>
                <w:sz w:val="18"/>
                <w:szCs w:val="18"/>
              </w:rPr>
              <w:t>59.90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96C82" w:rsidRPr="009865C7" w:rsidP="009865C7" w14:paraId="476161C4" w14:textId="25292AC8">
            <w:pPr>
              <w:pStyle w:val="NoSpacing"/>
              <w:rPr>
                <w:sz w:val="18"/>
                <w:szCs w:val="18"/>
              </w:rPr>
            </w:pPr>
            <w:r w:rsidRPr="009865C7">
              <w:rPr>
                <w:sz w:val="18"/>
                <w:szCs w:val="18"/>
              </w:rPr>
              <w:t>$</w:t>
            </w:r>
            <w:r w:rsidRPr="009865C7" w:rsidR="005A5309">
              <w:rPr>
                <w:sz w:val="18"/>
                <w:szCs w:val="18"/>
              </w:rPr>
              <w:t>18,299.45</w:t>
            </w:r>
          </w:p>
        </w:tc>
      </w:tr>
      <w:tr w14:paraId="233EC261" w14:textId="77777777" w:rsidTr="009865C7">
        <w:tblPrEx>
          <w:tblW w:w="9800" w:type="dxa"/>
          <w:jc w:val="center"/>
          <w:tblLayout w:type="fixed"/>
          <w:tblCellMar>
            <w:left w:w="0" w:type="dxa"/>
            <w:right w:w="0" w:type="dxa"/>
          </w:tblCellMar>
          <w:tblLook w:val="04A0"/>
        </w:tblPrEx>
        <w:trPr>
          <w:jc w:val="center"/>
        </w:trPr>
        <w:tc>
          <w:tcPr>
            <w:tcW w:w="17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31CE" w:rsidRPr="009865C7" w:rsidP="009865C7" w14:paraId="0A49D410" w14:textId="33E05DE4">
            <w:pPr>
              <w:pStyle w:val="NoSpacing"/>
              <w:rPr>
                <w:sz w:val="18"/>
                <w:szCs w:val="18"/>
              </w:rPr>
            </w:pPr>
            <w:r w:rsidRPr="009865C7">
              <w:rPr>
                <w:sz w:val="18"/>
                <w:szCs w:val="18"/>
              </w:rPr>
              <w:t>Web survey for CoC staff</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31CE" w:rsidRPr="009865C7" w:rsidP="009865C7" w14:paraId="701E6208" w14:textId="16BAA96B">
            <w:pPr>
              <w:pStyle w:val="NoSpacing"/>
              <w:rPr>
                <w:sz w:val="18"/>
                <w:szCs w:val="18"/>
              </w:rPr>
            </w:pPr>
            <w:r w:rsidRPr="009865C7">
              <w:rPr>
                <w:sz w:val="18"/>
                <w:szCs w:val="18"/>
              </w:rPr>
              <w:t>371</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31CE" w:rsidRPr="009865C7" w:rsidP="009865C7" w14:paraId="1F903674" w14:textId="77777777">
            <w:pPr>
              <w:pStyle w:val="NoSpacing"/>
              <w:rPr>
                <w:sz w:val="18"/>
                <w:szCs w:val="18"/>
              </w:rPr>
            </w:pPr>
            <w:r w:rsidRPr="009865C7">
              <w:rPr>
                <w:sz w:val="18"/>
                <w:szCs w:val="18"/>
              </w:rPr>
              <w:t>1</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E01B7" w:rsidRPr="009865C7" w:rsidP="009865C7" w14:paraId="7AE0312C" w14:textId="7F08ABDF">
            <w:pPr>
              <w:pStyle w:val="NoSpacing"/>
              <w:rPr>
                <w:sz w:val="18"/>
                <w:szCs w:val="18"/>
              </w:rPr>
            </w:pPr>
            <w:r w:rsidRPr="009865C7">
              <w:rPr>
                <w:sz w:val="18"/>
                <w:szCs w:val="18"/>
              </w:rPr>
              <w:t>371</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E01B7" w:rsidRPr="009865C7" w:rsidP="009865C7" w14:paraId="67463090" w14:textId="1BF383BD">
            <w:pPr>
              <w:pStyle w:val="NoSpacing"/>
              <w:rPr>
                <w:sz w:val="18"/>
                <w:szCs w:val="18"/>
              </w:rPr>
            </w:pPr>
            <w:r w:rsidRPr="009865C7">
              <w:rPr>
                <w:sz w:val="18"/>
                <w:szCs w:val="18"/>
              </w:rPr>
              <w:t>.</w:t>
            </w:r>
            <w:r w:rsidRPr="009865C7" w:rsidR="00713FD8">
              <w:rPr>
                <w:sz w:val="18"/>
                <w:szCs w:val="18"/>
              </w:rPr>
              <w:t>87</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B15CF" w:rsidRPr="009865C7" w:rsidP="009865C7" w14:paraId="4B62E51B" w14:textId="2D2A3E90">
            <w:pPr>
              <w:pStyle w:val="NoSpacing"/>
              <w:rPr>
                <w:sz w:val="18"/>
                <w:szCs w:val="18"/>
              </w:rPr>
            </w:pPr>
            <w:r w:rsidRPr="009865C7">
              <w:rPr>
                <w:sz w:val="18"/>
                <w:szCs w:val="18"/>
              </w:rPr>
              <w:t>322.77</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031CE" w:rsidRPr="009865C7" w:rsidP="009865C7" w14:paraId="01680B32" w14:textId="77777777">
            <w:pPr>
              <w:pStyle w:val="NoSpacing"/>
              <w:rPr>
                <w:sz w:val="18"/>
                <w:szCs w:val="18"/>
              </w:rPr>
            </w:pPr>
            <w:r w:rsidRPr="009865C7">
              <w:rPr>
                <w:sz w:val="18"/>
                <w:szCs w:val="18"/>
              </w:rPr>
              <w:t>$59.90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E39C4" w:rsidRPr="009865C7" w:rsidP="009865C7" w14:paraId="10A4F459" w14:textId="75E4E2C1">
            <w:pPr>
              <w:pStyle w:val="NoSpacing"/>
              <w:rPr>
                <w:sz w:val="18"/>
                <w:szCs w:val="18"/>
              </w:rPr>
            </w:pPr>
            <w:r w:rsidRPr="009865C7">
              <w:rPr>
                <w:sz w:val="18"/>
                <w:szCs w:val="18"/>
              </w:rPr>
              <w:t>$</w:t>
            </w:r>
            <w:r w:rsidRPr="009865C7" w:rsidR="005A5309">
              <w:rPr>
                <w:sz w:val="18"/>
                <w:szCs w:val="18"/>
              </w:rPr>
              <w:t>19,333.92</w:t>
            </w:r>
          </w:p>
        </w:tc>
      </w:tr>
      <w:tr w14:paraId="31FF6D78" w14:textId="77777777" w:rsidTr="009865C7">
        <w:tblPrEx>
          <w:tblW w:w="9800" w:type="dxa"/>
          <w:jc w:val="center"/>
          <w:tblLayout w:type="fixed"/>
          <w:tblCellMar>
            <w:left w:w="0" w:type="dxa"/>
            <w:right w:w="0" w:type="dxa"/>
          </w:tblCellMar>
          <w:tblLook w:val="04A0"/>
        </w:tblPrEx>
        <w:trPr>
          <w:jc w:val="center"/>
        </w:trPr>
        <w:tc>
          <w:tcPr>
            <w:tcW w:w="17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B8" w:rsidRPr="009865C7" w:rsidP="009865C7" w14:paraId="0D19EEC7" w14:textId="73E9B46C">
            <w:pPr>
              <w:pStyle w:val="NoSpacing"/>
              <w:rPr>
                <w:sz w:val="18"/>
                <w:szCs w:val="18"/>
              </w:rPr>
            </w:pPr>
            <w:r w:rsidRPr="009865C7">
              <w:rPr>
                <w:sz w:val="18"/>
                <w:szCs w:val="18"/>
              </w:rPr>
              <w:t>Phone/Virtual Interviews with PHA sta</w:t>
            </w:r>
            <w:r w:rsidR="00AC4E87">
              <w:rPr>
                <w:sz w:val="18"/>
                <w:szCs w:val="18"/>
              </w:rPr>
              <w:t>f</w:t>
            </w:r>
            <w:r w:rsidRPr="009865C7">
              <w:rPr>
                <w:sz w:val="18"/>
                <w:szCs w:val="18"/>
              </w:rPr>
              <w:t>f</w:t>
            </w:r>
          </w:p>
        </w:tc>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B8" w:rsidRPr="009865C7" w:rsidP="009865C7" w14:paraId="474D3EAE" w14:textId="77777777">
            <w:pPr>
              <w:pStyle w:val="NoSpacing"/>
              <w:rPr>
                <w:sz w:val="18"/>
                <w:szCs w:val="18"/>
              </w:rPr>
            </w:pPr>
            <w:r w:rsidRPr="009865C7">
              <w:rPr>
                <w:sz w:val="18"/>
                <w:szCs w:val="18"/>
              </w:rPr>
              <w:t>50</w:t>
            </w:r>
          </w:p>
        </w:tc>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4BA1" w:rsidRPr="009865C7" w:rsidP="009865C7" w14:paraId="796A7E36" w14:textId="77777777">
            <w:pPr>
              <w:pStyle w:val="NoSpacing"/>
              <w:rPr>
                <w:sz w:val="18"/>
                <w:szCs w:val="18"/>
              </w:rPr>
            </w:pPr>
          </w:p>
          <w:p w:rsidR="002355B8" w:rsidRPr="009865C7" w:rsidP="009865C7" w14:paraId="0578D821" w14:textId="77777777">
            <w:pPr>
              <w:pStyle w:val="NoSpacing"/>
              <w:rPr>
                <w:sz w:val="18"/>
                <w:szCs w:val="18"/>
              </w:rPr>
            </w:pPr>
            <w:r w:rsidRPr="009865C7">
              <w:rPr>
                <w:sz w:val="18"/>
                <w:szCs w:val="18"/>
              </w:rPr>
              <w:t>1</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4BA1" w:rsidRPr="009865C7" w:rsidP="009865C7" w14:paraId="08081CDE" w14:textId="77777777">
            <w:pPr>
              <w:pStyle w:val="NoSpacing"/>
              <w:rPr>
                <w:sz w:val="18"/>
                <w:szCs w:val="18"/>
              </w:rPr>
            </w:pPr>
          </w:p>
          <w:p w:rsidR="002355B8" w:rsidRPr="009865C7" w:rsidP="009865C7" w14:paraId="3A4830F0" w14:textId="77777777">
            <w:pPr>
              <w:pStyle w:val="NoSpacing"/>
              <w:rPr>
                <w:sz w:val="18"/>
                <w:szCs w:val="18"/>
              </w:rPr>
            </w:pPr>
            <w:r w:rsidRPr="009865C7">
              <w:rPr>
                <w:sz w:val="18"/>
                <w:szCs w:val="18"/>
              </w:rPr>
              <w:t>50</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4BA1" w:rsidRPr="009865C7" w:rsidP="009865C7" w14:paraId="7E8A3B2E" w14:textId="77777777">
            <w:pPr>
              <w:pStyle w:val="NoSpacing"/>
              <w:rPr>
                <w:sz w:val="18"/>
                <w:szCs w:val="18"/>
              </w:rPr>
            </w:pPr>
          </w:p>
          <w:p w:rsidR="002355B8" w:rsidRPr="009865C7" w:rsidP="009865C7" w14:paraId="180D454E" w14:textId="0366697F">
            <w:pPr>
              <w:pStyle w:val="NoSpacing"/>
              <w:rPr>
                <w:sz w:val="18"/>
                <w:szCs w:val="18"/>
              </w:rPr>
            </w:pPr>
            <w:r w:rsidRPr="009865C7">
              <w:rPr>
                <w:sz w:val="18"/>
                <w:szCs w:val="18"/>
              </w:rPr>
              <w:t>1</w:t>
            </w:r>
            <w:r w:rsidRPr="009865C7" w:rsidR="00EC0807">
              <w:rPr>
                <w:sz w:val="18"/>
                <w:szCs w:val="18"/>
              </w:rPr>
              <w:t>.</w:t>
            </w:r>
            <w:r w:rsidRPr="009865C7" w:rsidR="00713FD8">
              <w:rPr>
                <w:sz w:val="18"/>
                <w:szCs w:val="18"/>
              </w:rPr>
              <w:t>50</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4BA1" w:rsidRPr="009865C7" w:rsidP="009865C7" w14:paraId="502882E6" w14:textId="77777777">
            <w:pPr>
              <w:pStyle w:val="NoSpacing"/>
              <w:rPr>
                <w:sz w:val="18"/>
                <w:szCs w:val="18"/>
              </w:rPr>
            </w:pPr>
          </w:p>
          <w:p w:rsidR="002355B8" w:rsidRPr="009865C7" w:rsidP="009865C7" w14:paraId="3D3288EC" w14:textId="5EC8D8BB">
            <w:pPr>
              <w:pStyle w:val="NoSpacing"/>
              <w:rPr>
                <w:sz w:val="18"/>
                <w:szCs w:val="18"/>
              </w:rPr>
            </w:pPr>
            <w:r w:rsidRPr="009865C7">
              <w:rPr>
                <w:sz w:val="18"/>
                <w:szCs w:val="18"/>
              </w:rPr>
              <w:t>75.0</w:t>
            </w:r>
            <w:r w:rsidRPr="009865C7" w:rsidR="005A5309">
              <w:rPr>
                <w:sz w:val="18"/>
                <w:szCs w:val="18"/>
              </w:rPr>
              <w:t>0</w:t>
            </w:r>
          </w:p>
        </w:tc>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5B8" w:rsidRPr="009865C7" w:rsidP="009865C7" w14:paraId="56BB97A1" w14:textId="77777777">
            <w:pPr>
              <w:pStyle w:val="NoSpacing"/>
              <w:rPr>
                <w:sz w:val="18"/>
                <w:szCs w:val="18"/>
              </w:rPr>
            </w:pPr>
          </w:p>
          <w:p w:rsidR="002355B8" w:rsidRPr="009865C7" w:rsidP="009865C7" w14:paraId="75B4E9C8" w14:textId="77777777">
            <w:pPr>
              <w:pStyle w:val="NoSpacing"/>
              <w:rPr>
                <w:sz w:val="18"/>
                <w:szCs w:val="18"/>
              </w:rPr>
            </w:pPr>
            <w:r w:rsidRPr="009865C7">
              <w:rPr>
                <w:sz w:val="18"/>
                <w:szCs w:val="18"/>
              </w:rPr>
              <w:t>$</w:t>
            </w:r>
            <w:r w:rsidRPr="009865C7" w:rsidR="0096150B">
              <w:rPr>
                <w:sz w:val="18"/>
                <w:szCs w:val="18"/>
              </w:rPr>
              <w:t>59.90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F4BA1" w:rsidRPr="009865C7" w:rsidP="009865C7" w14:paraId="387985E2" w14:textId="77777777">
            <w:pPr>
              <w:pStyle w:val="NoSpacing"/>
              <w:rPr>
                <w:sz w:val="18"/>
                <w:szCs w:val="18"/>
              </w:rPr>
            </w:pPr>
          </w:p>
          <w:p w:rsidR="002355B8" w:rsidRPr="009865C7" w:rsidP="009865C7" w14:paraId="2911FC0E" w14:textId="711F75C4">
            <w:pPr>
              <w:pStyle w:val="NoSpacing"/>
              <w:rPr>
                <w:sz w:val="18"/>
                <w:szCs w:val="18"/>
              </w:rPr>
            </w:pPr>
            <w:r w:rsidRPr="009865C7">
              <w:rPr>
                <w:sz w:val="18"/>
                <w:szCs w:val="18"/>
              </w:rPr>
              <w:t>$</w:t>
            </w:r>
            <w:r w:rsidRPr="009865C7" w:rsidR="005A5309">
              <w:rPr>
                <w:sz w:val="18"/>
                <w:szCs w:val="18"/>
              </w:rPr>
              <w:t>4,492.50</w:t>
            </w:r>
          </w:p>
        </w:tc>
      </w:tr>
      <w:tr w14:paraId="67761E5F" w14:textId="77777777" w:rsidTr="009865C7">
        <w:tblPrEx>
          <w:tblW w:w="9800" w:type="dxa"/>
          <w:jc w:val="center"/>
          <w:tblLayout w:type="fixed"/>
          <w:tblCellMar>
            <w:left w:w="0" w:type="dxa"/>
            <w:right w:w="0" w:type="dxa"/>
          </w:tblCellMar>
          <w:tblLook w:val="04A0"/>
        </w:tblPrEx>
        <w:trPr>
          <w:jc w:val="center"/>
        </w:trPr>
        <w:tc>
          <w:tcPr>
            <w:tcW w:w="17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F00C5" w:rsidRPr="009865C7" w:rsidP="009865C7" w14:paraId="6C2BB880" w14:textId="33E3C9F7">
            <w:pPr>
              <w:pStyle w:val="NoSpacing"/>
              <w:rPr>
                <w:sz w:val="18"/>
                <w:szCs w:val="18"/>
              </w:rPr>
            </w:pPr>
            <w:r w:rsidRPr="009865C7">
              <w:rPr>
                <w:sz w:val="18"/>
                <w:szCs w:val="18"/>
              </w:rPr>
              <w:t xml:space="preserve">Phone/Virtual Interviews with </w:t>
            </w:r>
            <w:r w:rsidRPr="009865C7" w:rsidR="00690D5B">
              <w:rPr>
                <w:sz w:val="18"/>
                <w:szCs w:val="18"/>
              </w:rPr>
              <w:t xml:space="preserve">CoCs and </w:t>
            </w:r>
            <w:r w:rsidRPr="009865C7">
              <w:rPr>
                <w:sz w:val="18"/>
                <w:szCs w:val="18"/>
              </w:rPr>
              <w:t>non-CoC partner organization staff</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00C5" w:rsidRPr="009865C7" w:rsidP="009865C7" w14:paraId="6451FFE2" w14:textId="6278829E">
            <w:pPr>
              <w:pStyle w:val="NoSpacing"/>
              <w:rPr>
                <w:sz w:val="18"/>
                <w:szCs w:val="18"/>
              </w:rPr>
            </w:pPr>
            <w:r w:rsidRPr="009865C7">
              <w:rPr>
                <w:sz w:val="18"/>
                <w:szCs w:val="18"/>
              </w:rPr>
              <w:t>5</w:t>
            </w:r>
            <w:r w:rsidRPr="009865C7">
              <w:rPr>
                <w:sz w:val="18"/>
                <w:szCs w:val="18"/>
              </w:rPr>
              <w:t>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00C5" w:rsidRPr="009865C7" w:rsidP="009865C7" w14:paraId="38D264D5" w14:textId="77777777">
            <w:pPr>
              <w:pStyle w:val="NoSpacing"/>
              <w:rPr>
                <w:sz w:val="18"/>
                <w:szCs w:val="18"/>
              </w:rPr>
            </w:pPr>
            <w:r w:rsidRPr="009865C7">
              <w:rPr>
                <w:sz w:val="18"/>
                <w:szCs w:val="18"/>
              </w:rPr>
              <w:t>1</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00C5" w:rsidRPr="009865C7" w:rsidP="009865C7" w14:paraId="7A731026" w14:textId="4437D1DF">
            <w:pPr>
              <w:pStyle w:val="NoSpacing"/>
              <w:rPr>
                <w:sz w:val="18"/>
                <w:szCs w:val="18"/>
              </w:rPr>
            </w:pPr>
            <w:r w:rsidRPr="009865C7">
              <w:rPr>
                <w:sz w:val="18"/>
                <w:szCs w:val="18"/>
              </w:rPr>
              <w:t>5</w:t>
            </w:r>
            <w:r w:rsidRPr="009865C7">
              <w:rPr>
                <w:sz w:val="18"/>
                <w:szCs w:val="18"/>
              </w:rPr>
              <w:t>0</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00C5" w:rsidRPr="009865C7" w:rsidP="009865C7" w14:paraId="2B3F7AAA" w14:textId="631DC0EF">
            <w:pPr>
              <w:pStyle w:val="NoSpacing"/>
              <w:rPr>
                <w:sz w:val="18"/>
                <w:szCs w:val="18"/>
              </w:rPr>
            </w:pPr>
            <w:r w:rsidRPr="009865C7">
              <w:rPr>
                <w:sz w:val="18"/>
                <w:szCs w:val="18"/>
              </w:rPr>
              <w:t>1</w:t>
            </w:r>
            <w:r w:rsidRPr="009865C7" w:rsidR="0099777B">
              <w:rPr>
                <w:sz w:val="18"/>
                <w:szCs w:val="18"/>
              </w:rPr>
              <w:t>.</w:t>
            </w:r>
            <w:r w:rsidRPr="009865C7" w:rsidR="00713FD8">
              <w:rPr>
                <w:sz w:val="18"/>
                <w:szCs w:val="18"/>
              </w:rPr>
              <w:t>00</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00C5" w:rsidRPr="009865C7" w:rsidP="009865C7" w14:paraId="3D51A526" w14:textId="2EDB1B45">
            <w:pPr>
              <w:pStyle w:val="NoSpacing"/>
              <w:rPr>
                <w:sz w:val="18"/>
                <w:szCs w:val="18"/>
              </w:rPr>
            </w:pPr>
            <w:r w:rsidRPr="009865C7">
              <w:rPr>
                <w:sz w:val="18"/>
                <w:szCs w:val="18"/>
              </w:rPr>
              <w:t>50.00</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00C5" w:rsidRPr="009865C7" w:rsidP="009865C7" w14:paraId="00397109" w14:textId="77777777">
            <w:pPr>
              <w:pStyle w:val="NoSpacing"/>
              <w:rPr>
                <w:sz w:val="18"/>
                <w:szCs w:val="18"/>
              </w:rPr>
            </w:pPr>
            <w:r w:rsidRPr="009865C7">
              <w:rPr>
                <w:sz w:val="18"/>
                <w:szCs w:val="18"/>
              </w:rPr>
              <w:t>$59.90</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F00C5" w:rsidRPr="009865C7" w:rsidP="009865C7" w14:paraId="36B20BA9" w14:textId="54633E61">
            <w:pPr>
              <w:pStyle w:val="NoSpacing"/>
              <w:rPr>
                <w:sz w:val="18"/>
                <w:szCs w:val="18"/>
              </w:rPr>
            </w:pPr>
            <w:r w:rsidRPr="009865C7">
              <w:rPr>
                <w:sz w:val="18"/>
                <w:szCs w:val="18"/>
              </w:rPr>
              <w:t>$</w:t>
            </w:r>
            <w:r w:rsidRPr="009865C7" w:rsidR="005A5309">
              <w:rPr>
                <w:sz w:val="18"/>
                <w:szCs w:val="18"/>
              </w:rPr>
              <w:t>2,995</w:t>
            </w:r>
            <w:r w:rsidRPr="009865C7" w:rsidR="005A5309">
              <w:rPr>
                <w:sz w:val="18"/>
                <w:szCs w:val="18"/>
              </w:rPr>
              <w:t>‬</w:t>
            </w:r>
            <w:r w:rsidRPr="009865C7" w:rsidR="005A5309">
              <w:rPr>
                <w:sz w:val="18"/>
                <w:szCs w:val="18"/>
              </w:rPr>
              <w:t>.00</w:t>
            </w:r>
          </w:p>
        </w:tc>
      </w:tr>
      <w:tr w14:paraId="2D763CD1" w14:textId="77777777" w:rsidTr="009865C7">
        <w:tblPrEx>
          <w:tblW w:w="9800" w:type="dxa"/>
          <w:jc w:val="center"/>
          <w:tblLayout w:type="fixed"/>
          <w:tblCellMar>
            <w:left w:w="0" w:type="dxa"/>
            <w:right w:w="0" w:type="dxa"/>
          </w:tblCellMar>
          <w:tblLook w:val="04A0"/>
        </w:tblPrEx>
        <w:trPr>
          <w:jc w:val="center"/>
        </w:trPr>
        <w:tc>
          <w:tcPr>
            <w:tcW w:w="17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254B83CE" w14:textId="2FBF085C">
            <w:pPr>
              <w:pStyle w:val="NoSpacing"/>
              <w:rPr>
                <w:sz w:val="18"/>
                <w:szCs w:val="18"/>
              </w:rPr>
            </w:pPr>
            <w:r w:rsidRPr="009865C7">
              <w:rPr>
                <w:sz w:val="18"/>
                <w:szCs w:val="18"/>
              </w:rPr>
              <w:t>Outreach materials for web survey for PHA staff</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5D0C3A2B" w14:textId="515842A8">
            <w:pPr>
              <w:pStyle w:val="NoSpacing"/>
              <w:rPr>
                <w:sz w:val="18"/>
                <w:szCs w:val="18"/>
              </w:rPr>
            </w:pPr>
            <w:r w:rsidRPr="009865C7">
              <w:rPr>
                <w:sz w:val="18"/>
                <w:szCs w:val="18"/>
              </w:rPr>
              <w:t>611</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392076A3" w14:textId="524A13AC">
            <w:pPr>
              <w:pStyle w:val="NoSpacing"/>
              <w:rPr>
                <w:sz w:val="18"/>
                <w:szCs w:val="18"/>
              </w:rPr>
            </w:pPr>
            <w:r w:rsidRPr="009865C7">
              <w:rPr>
                <w:sz w:val="18"/>
                <w:szCs w:val="18"/>
              </w:rPr>
              <w:t>1</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2D741E16" w14:textId="189C32CC">
            <w:pPr>
              <w:pStyle w:val="NoSpacing"/>
              <w:rPr>
                <w:sz w:val="18"/>
                <w:szCs w:val="18"/>
              </w:rPr>
            </w:pPr>
            <w:r w:rsidRPr="009865C7">
              <w:rPr>
                <w:sz w:val="18"/>
                <w:szCs w:val="18"/>
              </w:rPr>
              <w:t>611</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5AB307C9" w14:textId="26E4A80B">
            <w:pPr>
              <w:pStyle w:val="NoSpacing"/>
              <w:rPr>
                <w:sz w:val="18"/>
                <w:szCs w:val="18"/>
              </w:rPr>
            </w:pPr>
            <w:r w:rsidRPr="009865C7">
              <w:rPr>
                <w:sz w:val="18"/>
                <w:szCs w:val="18"/>
              </w:rPr>
              <w:t>0.08</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213E8309" w14:textId="69FAA2B2">
            <w:pPr>
              <w:pStyle w:val="NoSpacing"/>
              <w:rPr>
                <w:sz w:val="18"/>
                <w:szCs w:val="18"/>
              </w:rPr>
            </w:pPr>
            <w:r w:rsidRPr="009865C7">
              <w:rPr>
                <w:sz w:val="18"/>
                <w:szCs w:val="18"/>
              </w:rPr>
              <w:t>48.88</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7635C203" w14:textId="39840511">
            <w:pPr>
              <w:pStyle w:val="NoSpacing"/>
              <w:rPr>
                <w:sz w:val="18"/>
                <w:szCs w:val="18"/>
              </w:rPr>
            </w:pPr>
            <w:r w:rsidRPr="009865C7">
              <w:rPr>
                <w:sz w:val="18"/>
                <w:szCs w:val="18"/>
              </w:rPr>
              <w:t>$59.90</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0760F3D1" w14:textId="43485894">
            <w:pPr>
              <w:pStyle w:val="NoSpacing"/>
              <w:rPr>
                <w:sz w:val="18"/>
                <w:szCs w:val="18"/>
              </w:rPr>
            </w:pPr>
            <w:r w:rsidRPr="009865C7">
              <w:rPr>
                <w:sz w:val="18"/>
                <w:szCs w:val="18"/>
              </w:rPr>
              <w:t>$2,927.91</w:t>
            </w:r>
          </w:p>
        </w:tc>
      </w:tr>
      <w:tr w14:paraId="574D3CAC" w14:textId="77777777" w:rsidTr="009865C7">
        <w:tblPrEx>
          <w:tblW w:w="9800" w:type="dxa"/>
          <w:jc w:val="center"/>
          <w:tblLayout w:type="fixed"/>
          <w:tblCellMar>
            <w:left w:w="0" w:type="dxa"/>
            <w:right w:w="0" w:type="dxa"/>
          </w:tblCellMar>
          <w:tblLook w:val="04A0"/>
        </w:tblPrEx>
        <w:trPr>
          <w:jc w:val="center"/>
        </w:trPr>
        <w:tc>
          <w:tcPr>
            <w:tcW w:w="17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0055A816" w14:textId="21ACE9B5">
            <w:pPr>
              <w:pStyle w:val="NoSpacing"/>
              <w:rPr>
                <w:sz w:val="18"/>
                <w:szCs w:val="18"/>
              </w:rPr>
            </w:pPr>
            <w:r w:rsidRPr="009865C7">
              <w:rPr>
                <w:sz w:val="18"/>
                <w:szCs w:val="18"/>
              </w:rPr>
              <w:t>Outreach materials for</w:t>
            </w:r>
            <w:r w:rsidRPr="009865C7" w:rsidR="005A5309">
              <w:rPr>
                <w:sz w:val="18"/>
                <w:szCs w:val="18"/>
              </w:rPr>
              <w:t xml:space="preserve"> </w:t>
            </w:r>
            <w:r w:rsidRPr="009865C7">
              <w:rPr>
                <w:sz w:val="18"/>
                <w:szCs w:val="18"/>
              </w:rPr>
              <w:t>web survey for CoC staff</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711E14CD" w14:textId="60E58852">
            <w:pPr>
              <w:pStyle w:val="NoSpacing"/>
              <w:rPr>
                <w:sz w:val="18"/>
                <w:szCs w:val="18"/>
              </w:rPr>
            </w:pPr>
            <w:r w:rsidRPr="009865C7">
              <w:rPr>
                <w:sz w:val="18"/>
                <w:szCs w:val="18"/>
              </w:rPr>
              <w:t>371</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2A110140" w14:textId="6E46D2B1">
            <w:pPr>
              <w:pStyle w:val="NoSpacing"/>
              <w:rPr>
                <w:sz w:val="18"/>
                <w:szCs w:val="18"/>
              </w:rPr>
            </w:pPr>
            <w:r w:rsidRPr="009865C7">
              <w:rPr>
                <w:sz w:val="18"/>
                <w:szCs w:val="18"/>
              </w:rPr>
              <w:t>1</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6969B104" w14:textId="568CEBD6">
            <w:pPr>
              <w:pStyle w:val="NoSpacing"/>
              <w:rPr>
                <w:sz w:val="18"/>
                <w:szCs w:val="18"/>
              </w:rPr>
            </w:pPr>
            <w:r w:rsidRPr="009865C7">
              <w:rPr>
                <w:sz w:val="18"/>
                <w:szCs w:val="18"/>
              </w:rPr>
              <w:t>371</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16B8CC35" w14:textId="00187D24">
            <w:pPr>
              <w:pStyle w:val="NoSpacing"/>
              <w:rPr>
                <w:sz w:val="18"/>
                <w:szCs w:val="18"/>
              </w:rPr>
            </w:pPr>
            <w:r w:rsidRPr="009865C7">
              <w:rPr>
                <w:sz w:val="18"/>
                <w:szCs w:val="18"/>
              </w:rPr>
              <w:t>0.08</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4A7EDA5B" w14:textId="2EDA9A58">
            <w:pPr>
              <w:pStyle w:val="NoSpacing"/>
              <w:rPr>
                <w:sz w:val="18"/>
                <w:szCs w:val="18"/>
              </w:rPr>
            </w:pPr>
            <w:r w:rsidRPr="009865C7">
              <w:rPr>
                <w:sz w:val="18"/>
                <w:szCs w:val="18"/>
              </w:rPr>
              <w:t>29.68</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7F8BAB5F" w14:textId="11E0A01F">
            <w:pPr>
              <w:pStyle w:val="NoSpacing"/>
              <w:rPr>
                <w:sz w:val="18"/>
                <w:szCs w:val="18"/>
              </w:rPr>
            </w:pPr>
            <w:r w:rsidRPr="009865C7">
              <w:rPr>
                <w:sz w:val="18"/>
                <w:szCs w:val="18"/>
              </w:rPr>
              <w:t>$59.90</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2C3A654E" w14:textId="76F82604">
            <w:pPr>
              <w:pStyle w:val="NoSpacing"/>
              <w:rPr>
                <w:sz w:val="18"/>
                <w:szCs w:val="18"/>
              </w:rPr>
            </w:pPr>
            <w:r w:rsidRPr="009865C7">
              <w:rPr>
                <w:sz w:val="18"/>
                <w:szCs w:val="18"/>
              </w:rPr>
              <w:t>$1,777.83</w:t>
            </w:r>
          </w:p>
        </w:tc>
      </w:tr>
      <w:tr w14:paraId="7210F318" w14:textId="77777777" w:rsidTr="009865C7">
        <w:tblPrEx>
          <w:tblW w:w="9800" w:type="dxa"/>
          <w:jc w:val="center"/>
          <w:tblLayout w:type="fixed"/>
          <w:tblCellMar>
            <w:left w:w="0" w:type="dxa"/>
            <w:right w:w="0" w:type="dxa"/>
          </w:tblCellMar>
          <w:tblLook w:val="04A0"/>
        </w:tblPrEx>
        <w:trPr>
          <w:jc w:val="center"/>
        </w:trPr>
        <w:tc>
          <w:tcPr>
            <w:tcW w:w="17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68D1EB28" w14:textId="19519E66">
            <w:pPr>
              <w:pStyle w:val="NoSpacing"/>
              <w:rPr>
                <w:sz w:val="18"/>
                <w:szCs w:val="18"/>
              </w:rPr>
            </w:pPr>
            <w:r w:rsidRPr="009865C7">
              <w:rPr>
                <w:sz w:val="18"/>
                <w:szCs w:val="18"/>
              </w:rPr>
              <w:t>Outreach materials for phone/virtual interviews with PHA staff</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583746F4" w14:textId="33DE45B5">
            <w:pPr>
              <w:pStyle w:val="NoSpacing"/>
              <w:rPr>
                <w:sz w:val="18"/>
                <w:szCs w:val="18"/>
              </w:rPr>
            </w:pPr>
            <w:r w:rsidRPr="009865C7">
              <w:rPr>
                <w:sz w:val="18"/>
                <w:szCs w:val="18"/>
              </w:rPr>
              <w:t>50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5BA9EE48" w14:textId="7D7123C4">
            <w:pPr>
              <w:pStyle w:val="NoSpacing"/>
              <w:rPr>
                <w:sz w:val="18"/>
                <w:szCs w:val="18"/>
              </w:rPr>
            </w:pPr>
            <w:r w:rsidRPr="009865C7">
              <w:rPr>
                <w:sz w:val="18"/>
                <w:szCs w:val="18"/>
              </w:rPr>
              <w:t>1</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212732B9" w14:textId="7B70E5A8">
            <w:pPr>
              <w:pStyle w:val="NoSpacing"/>
              <w:rPr>
                <w:sz w:val="18"/>
                <w:szCs w:val="18"/>
              </w:rPr>
            </w:pPr>
            <w:r w:rsidRPr="009865C7">
              <w:rPr>
                <w:sz w:val="18"/>
                <w:szCs w:val="18"/>
              </w:rPr>
              <w:t>50</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77D1B2A1" w14:textId="752A3BE3">
            <w:pPr>
              <w:pStyle w:val="NoSpacing"/>
              <w:rPr>
                <w:sz w:val="18"/>
                <w:szCs w:val="18"/>
              </w:rPr>
            </w:pPr>
            <w:r w:rsidRPr="009865C7">
              <w:rPr>
                <w:sz w:val="18"/>
                <w:szCs w:val="18"/>
              </w:rPr>
              <w:t>.25</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42BEB902" w14:textId="43DC91D9">
            <w:pPr>
              <w:pStyle w:val="NoSpacing"/>
              <w:rPr>
                <w:sz w:val="18"/>
                <w:szCs w:val="18"/>
              </w:rPr>
            </w:pPr>
            <w:r w:rsidRPr="009865C7">
              <w:rPr>
                <w:sz w:val="18"/>
                <w:szCs w:val="18"/>
              </w:rPr>
              <w:t>12.5</w:t>
            </w:r>
            <w:r w:rsidRPr="009865C7" w:rsidR="005A5309">
              <w:rPr>
                <w:sz w:val="18"/>
                <w:szCs w:val="18"/>
              </w:rPr>
              <w:t>0</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29CC5892" w14:textId="465975EC">
            <w:pPr>
              <w:pStyle w:val="NoSpacing"/>
              <w:rPr>
                <w:sz w:val="18"/>
                <w:szCs w:val="18"/>
              </w:rPr>
            </w:pPr>
            <w:r w:rsidRPr="009865C7">
              <w:rPr>
                <w:sz w:val="18"/>
                <w:szCs w:val="18"/>
              </w:rPr>
              <w:t>$59.90</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1F6EA086" w14:textId="4F982718">
            <w:pPr>
              <w:pStyle w:val="NoSpacing"/>
              <w:rPr>
                <w:sz w:val="18"/>
                <w:szCs w:val="18"/>
              </w:rPr>
            </w:pPr>
            <w:r w:rsidRPr="009865C7">
              <w:rPr>
                <w:sz w:val="18"/>
                <w:szCs w:val="18"/>
              </w:rPr>
              <w:t>$748.75</w:t>
            </w:r>
            <w:r w:rsidRPr="009865C7">
              <w:rPr>
                <w:sz w:val="18"/>
                <w:szCs w:val="18"/>
              </w:rPr>
              <w:t>‬</w:t>
            </w:r>
          </w:p>
        </w:tc>
      </w:tr>
      <w:tr w14:paraId="23797736" w14:textId="77777777" w:rsidTr="009865C7">
        <w:tblPrEx>
          <w:tblW w:w="9800" w:type="dxa"/>
          <w:jc w:val="center"/>
          <w:tblLayout w:type="fixed"/>
          <w:tblCellMar>
            <w:left w:w="0" w:type="dxa"/>
            <w:right w:w="0" w:type="dxa"/>
          </w:tblCellMar>
          <w:tblLook w:val="04A0"/>
        </w:tblPrEx>
        <w:trPr>
          <w:jc w:val="center"/>
        </w:trPr>
        <w:tc>
          <w:tcPr>
            <w:tcW w:w="17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5D4A0D9E" w14:textId="2C3ED7E7">
            <w:pPr>
              <w:pStyle w:val="NoSpacing"/>
              <w:rPr>
                <w:sz w:val="18"/>
                <w:szCs w:val="18"/>
              </w:rPr>
            </w:pPr>
            <w:r w:rsidRPr="009865C7">
              <w:rPr>
                <w:sz w:val="18"/>
                <w:szCs w:val="18"/>
              </w:rPr>
              <w:t xml:space="preserve">Outreach materials for phone/virtual interviews with </w:t>
            </w:r>
            <w:r w:rsidRPr="009865C7" w:rsidR="005A5309">
              <w:rPr>
                <w:sz w:val="18"/>
                <w:szCs w:val="18"/>
              </w:rPr>
              <w:t>CoCs and non-CoC partner organization staff</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7CF93E23" w14:textId="7125068B">
            <w:pPr>
              <w:pStyle w:val="NoSpacing"/>
              <w:rPr>
                <w:sz w:val="18"/>
                <w:szCs w:val="18"/>
              </w:rPr>
            </w:pPr>
            <w:r w:rsidRPr="009865C7">
              <w:rPr>
                <w:sz w:val="18"/>
                <w:szCs w:val="18"/>
              </w:rPr>
              <w:t>50</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00D1B975" w14:textId="670B7A5B">
            <w:pPr>
              <w:pStyle w:val="NoSpacing"/>
              <w:rPr>
                <w:sz w:val="18"/>
                <w:szCs w:val="18"/>
              </w:rPr>
            </w:pPr>
            <w:r w:rsidRPr="009865C7">
              <w:rPr>
                <w:sz w:val="18"/>
                <w:szCs w:val="18"/>
              </w:rPr>
              <w:t>1</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08C470FC" w14:textId="35275026">
            <w:pPr>
              <w:pStyle w:val="NoSpacing"/>
              <w:rPr>
                <w:sz w:val="18"/>
                <w:szCs w:val="18"/>
              </w:rPr>
            </w:pPr>
            <w:r w:rsidRPr="009865C7">
              <w:rPr>
                <w:sz w:val="18"/>
                <w:szCs w:val="18"/>
              </w:rPr>
              <w:t>50</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732F1EDB" w14:textId="790DEAA7">
            <w:pPr>
              <w:pStyle w:val="NoSpacing"/>
              <w:rPr>
                <w:sz w:val="18"/>
                <w:szCs w:val="18"/>
              </w:rPr>
            </w:pPr>
            <w:r w:rsidRPr="009865C7">
              <w:rPr>
                <w:sz w:val="18"/>
                <w:szCs w:val="18"/>
              </w:rPr>
              <w:t>.25</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71BF9C72" w14:textId="2196A6FA">
            <w:pPr>
              <w:pStyle w:val="NoSpacing"/>
              <w:rPr>
                <w:sz w:val="18"/>
                <w:szCs w:val="18"/>
              </w:rPr>
            </w:pPr>
            <w:r w:rsidRPr="009865C7">
              <w:rPr>
                <w:sz w:val="18"/>
                <w:szCs w:val="18"/>
              </w:rPr>
              <w:t>12.5</w:t>
            </w:r>
            <w:r w:rsidRPr="009865C7" w:rsidR="00662F08">
              <w:rPr>
                <w:sz w:val="18"/>
                <w:szCs w:val="18"/>
              </w:rPr>
              <w:t>0</w:t>
            </w:r>
          </w:p>
        </w:tc>
        <w:tc>
          <w:tcPr>
            <w:tcW w:w="9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5EE1C4C3" w14:textId="710DBBDE">
            <w:pPr>
              <w:pStyle w:val="NoSpacing"/>
              <w:rPr>
                <w:sz w:val="18"/>
                <w:szCs w:val="18"/>
              </w:rPr>
            </w:pPr>
            <w:r w:rsidRPr="009865C7">
              <w:rPr>
                <w:sz w:val="18"/>
                <w:szCs w:val="18"/>
              </w:rPr>
              <w:t>$59.90</w:t>
            </w:r>
          </w:p>
        </w:tc>
        <w:tc>
          <w:tcPr>
            <w:tcW w:w="10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13FD8" w:rsidRPr="009865C7" w:rsidP="009865C7" w14:paraId="164656B7" w14:textId="3C83B12B">
            <w:pPr>
              <w:pStyle w:val="NoSpacing"/>
              <w:rPr>
                <w:sz w:val="18"/>
                <w:szCs w:val="18"/>
              </w:rPr>
            </w:pPr>
            <w:r w:rsidRPr="009865C7">
              <w:rPr>
                <w:sz w:val="18"/>
                <w:szCs w:val="18"/>
              </w:rPr>
              <w:t>$748.75</w:t>
            </w:r>
            <w:r w:rsidRPr="009865C7">
              <w:rPr>
                <w:sz w:val="18"/>
                <w:szCs w:val="18"/>
              </w:rPr>
              <w:t>‬</w:t>
            </w:r>
          </w:p>
        </w:tc>
      </w:tr>
      <w:tr w14:paraId="4D7CF9B6" w14:textId="77777777" w:rsidTr="009865C7">
        <w:tblPrEx>
          <w:tblW w:w="9800" w:type="dxa"/>
          <w:jc w:val="center"/>
          <w:tblLayout w:type="fixed"/>
          <w:tblCellMar>
            <w:left w:w="0" w:type="dxa"/>
            <w:right w:w="0" w:type="dxa"/>
          </w:tblCellMar>
          <w:tblLook w:val="04A0"/>
        </w:tblPrEx>
        <w:trPr>
          <w:trHeight w:val="331"/>
          <w:jc w:val="center"/>
        </w:trPr>
        <w:tc>
          <w:tcPr>
            <w:tcW w:w="179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13FD8" w:rsidRPr="009865C7" w:rsidP="009865C7" w14:paraId="397811C8" w14:textId="77777777">
            <w:pPr>
              <w:pStyle w:val="NoSpacing"/>
              <w:rPr>
                <w:sz w:val="18"/>
                <w:szCs w:val="18"/>
              </w:rPr>
            </w:pPr>
          </w:p>
          <w:p w:rsidR="00713FD8" w:rsidRPr="009865C7" w:rsidP="009865C7" w14:paraId="4E4EF561" w14:textId="77777777">
            <w:pPr>
              <w:pStyle w:val="NoSpacing"/>
              <w:rPr>
                <w:sz w:val="18"/>
                <w:szCs w:val="18"/>
              </w:rPr>
            </w:pPr>
            <w:r w:rsidRPr="009865C7">
              <w:rPr>
                <w:sz w:val="18"/>
                <w:szCs w:val="18"/>
              </w:rPr>
              <w:t>Total</w:t>
            </w:r>
          </w:p>
          <w:p w:rsidR="00713FD8" w:rsidRPr="009865C7" w:rsidP="009865C7" w14:paraId="46286E44" w14:textId="77777777">
            <w:pPr>
              <w:pStyle w:val="NoSpacing"/>
              <w:rPr>
                <w:rFonts w:eastAsia="Calibri"/>
                <w:sz w:val="18"/>
                <w:szCs w:val="18"/>
              </w:rPr>
            </w:pPr>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13FD8" w:rsidRPr="009865C7" w:rsidP="009865C7" w14:paraId="181B135A" w14:textId="58388418">
            <w:pPr>
              <w:pStyle w:val="NoSpacing"/>
              <w:rPr>
                <w:sz w:val="18"/>
                <w:szCs w:val="18"/>
              </w:rPr>
            </w:pPr>
            <w:r>
              <w:rPr>
                <w:sz w:val="18"/>
                <w:szCs w:val="18"/>
              </w:rPr>
              <w:t>2,164</w:t>
            </w:r>
          </w:p>
        </w:tc>
        <w:tc>
          <w:tcPr>
            <w:tcW w:w="11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rsidR="00713FD8" w:rsidRPr="009865C7" w:rsidP="009865C7" w14:paraId="61C225B5" w14:textId="77777777">
            <w:pPr>
              <w:pStyle w:val="NoSpacing"/>
              <w:rPr>
                <w:sz w:val="18"/>
                <w:szCs w:val="18"/>
              </w:rPr>
            </w:pP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13FD8" w:rsidRPr="009865C7" w:rsidP="009865C7" w14:paraId="702D6B90" w14:textId="5CBE37E5">
            <w:pPr>
              <w:pStyle w:val="NoSpacing"/>
              <w:rPr>
                <w:sz w:val="18"/>
                <w:szCs w:val="18"/>
              </w:rPr>
            </w:pPr>
            <w:r>
              <w:rPr>
                <w:sz w:val="18"/>
                <w:szCs w:val="18"/>
              </w:rPr>
              <w:t>2,164</w:t>
            </w:r>
          </w:p>
        </w:tc>
        <w:tc>
          <w:tcPr>
            <w:tcW w:w="126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rsidR="00713FD8" w:rsidRPr="009865C7" w:rsidP="009865C7" w14:paraId="19847936" w14:textId="77777777">
            <w:pPr>
              <w:pStyle w:val="NoSpacing"/>
              <w:rPr>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13FD8" w:rsidRPr="009865C7" w:rsidP="009865C7" w14:paraId="0A2AD6E0" w14:textId="010E3902">
            <w:pPr>
              <w:pStyle w:val="NoSpacing"/>
              <w:rPr>
                <w:sz w:val="18"/>
                <w:szCs w:val="18"/>
              </w:rPr>
            </w:pPr>
            <w:r w:rsidRPr="009865C7">
              <w:rPr>
                <w:sz w:val="18"/>
                <w:szCs w:val="18"/>
              </w:rPr>
              <w:t>856.83</w:t>
            </w:r>
          </w:p>
        </w:tc>
        <w:tc>
          <w:tcPr>
            <w:tcW w:w="99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rsidR="00713FD8" w:rsidRPr="009865C7" w:rsidP="009865C7" w14:paraId="28820314" w14:textId="77777777">
            <w:pPr>
              <w:pStyle w:val="NoSpacing"/>
              <w:rPr>
                <w:sz w:val="18"/>
                <w:szCs w:val="18"/>
              </w:rPr>
            </w:pPr>
          </w:p>
        </w:tc>
        <w:tc>
          <w:tcPr>
            <w:tcW w:w="108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13FD8" w:rsidRPr="009865C7" w:rsidP="009865C7" w14:paraId="1EBCD67B" w14:textId="402C711A">
            <w:pPr>
              <w:pStyle w:val="NoSpacing"/>
              <w:rPr>
                <w:sz w:val="18"/>
                <w:szCs w:val="18"/>
              </w:rPr>
            </w:pPr>
            <w:bookmarkStart w:id="5" w:name="_Hlk161319118"/>
            <w:r w:rsidRPr="009865C7">
              <w:rPr>
                <w:sz w:val="18"/>
                <w:szCs w:val="18"/>
              </w:rPr>
              <w:t>$51,324.11</w:t>
            </w:r>
            <w:bookmarkEnd w:id="5"/>
          </w:p>
        </w:tc>
      </w:tr>
      <w:bookmarkEnd w:id="4"/>
    </w:tbl>
    <w:p w:rsidR="009E13B1" w:rsidRPr="006C7FAE" w14:paraId="4E848A77" w14:textId="77777777">
      <w:pPr>
        <w:keepLines/>
        <w:tabs>
          <w:tab w:val="left" w:pos="360"/>
          <w:tab w:val="left" w:pos="720"/>
          <w:tab w:val="center" w:pos="1680"/>
          <w:tab w:val="center" w:pos="3120"/>
          <w:tab w:val="center" w:pos="4560"/>
          <w:tab w:val="center" w:pos="6000"/>
          <w:tab w:val="center" w:pos="7440"/>
          <w:tab w:val="center" w:pos="8880"/>
        </w:tabs>
        <w:ind w:left="360"/>
      </w:pPr>
    </w:p>
    <w:p w:rsidR="00E7255E" w:rsidRPr="0069205F" w:rsidP="009865C7" w14:paraId="7B2F798A" w14:textId="2298D43E">
      <w:pPr>
        <w:pStyle w:val="BodyText"/>
        <w:ind w:left="720"/>
        <w:rPr>
          <w:sz w:val="24"/>
          <w:szCs w:val="24"/>
        </w:rPr>
      </w:pPr>
      <w:r w:rsidRPr="00E57E60">
        <w:rPr>
          <w:sz w:val="24"/>
          <w:szCs w:val="24"/>
        </w:rPr>
        <w:t xml:space="preserve">For the </w:t>
      </w:r>
      <w:r w:rsidR="005A5309">
        <w:rPr>
          <w:sz w:val="24"/>
          <w:szCs w:val="24"/>
        </w:rPr>
        <w:t>w</w:t>
      </w:r>
      <w:r w:rsidRPr="005A5309" w:rsidR="005A5309">
        <w:rPr>
          <w:sz w:val="24"/>
          <w:szCs w:val="24"/>
        </w:rPr>
        <w:t>eb survey for PHA staff</w:t>
      </w:r>
      <w:r w:rsidRPr="005A5309" w:rsidR="005A5309">
        <w:rPr>
          <w:sz w:val="24"/>
          <w:szCs w:val="24"/>
        </w:rPr>
        <w:t xml:space="preserve"> </w:t>
      </w:r>
      <w:r w:rsidRPr="008E02D7">
        <w:rPr>
          <w:b/>
          <w:bCs/>
          <w:sz w:val="24"/>
          <w:szCs w:val="24"/>
        </w:rPr>
        <w:t xml:space="preserve">(Appendix </w:t>
      </w:r>
      <w:r w:rsidRPr="008E02D7" w:rsidR="000A73A4">
        <w:rPr>
          <w:b/>
          <w:bCs/>
          <w:sz w:val="24"/>
          <w:szCs w:val="24"/>
        </w:rPr>
        <w:t>B</w:t>
      </w:r>
      <w:r w:rsidRPr="008E02D7">
        <w:rPr>
          <w:b/>
          <w:bCs/>
          <w:sz w:val="24"/>
          <w:szCs w:val="24"/>
        </w:rPr>
        <w:t>),</w:t>
      </w:r>
      <w:r w:rsidRPr="00E57E60">
        <w:rPr>
          <w:sz w:val="24"/>
          <w:szCs w:val="24"/>
        </w:rPr>
        <w:t xml:space="preserve"> we assume that </w:t>
      </w:r>
      <w:r w:rsidR="00832A36">
        <w:rPr>
          <w:sz w:val="24"/>
          <w:szCs w:val="24"/>
        </w:rPr>
        <w:t xml:space="preserve">the </w:t>
      </w:r>
      <w:r w:rsidR="00830F95">
        <w:rPr>
          <w:sz w:val="24"/>
          <w:szCs w:val="24"/>
        </w:rPr>
        <w:t xml:space="preserve">hourly </w:t>
      </w:r>
      <w:r w:rsidR="00832A36">
        <w:rPr>
          <w:sz w:val="24"/>
          <w:szCs w:val="24"/>
        </w:rPr>
        <w:t xml:space="preserve">compensation cost </w:t>
      </w:r>
      <w:r w:rsidR="00546C65">
        <w:rPr>
          <w:sz w:val="24"/>
          <w:szCs w:val="24"/>
        </w:rPr>
        <w:t>is</w:t>
      </w:r>
      <w:r w:rsidRPr="00E57E60">
        <w:rPr>
          <w:sz w:val="24"/>
          <w:szCs w:val="24"/>
        </w:rPr>
        <w:t xml:space="preserve"> $</w:t>
      </w:r>
      <w:r w:rsidR="007B15CF">
        <w:rPr>
          <w:sz w:val="24"/>
          <w:szCs w:val="24"/>
        </w:rPr>
        <w:t>59.90</w:t>
      </w:r>
      <w:r w:rsidRPr="00E57E60">
        <w:rPr>
          <w:sz w:val="24"/>
          <w:szCs w:val="24"/>
        </w:rPr>
        <w:t xml:space="preserve">. </w:t>
      </w:r>
      <w:r>
        <w:rPr>
          <w:sz w:val="24"/>
          <w:szCs w:val="24"/>
        </w:rPr>
        <w:t>W</w:t>
      </w:r>
      <w:r w:rsidRPr="00E57E60">
        <w:rPr>
          <w:sz w:val="24"/>
          <w:szCs w:val="24"/>
        </w:rPr>
        <w:t>e</w:t>
      </w:r>
      <w:r>
        <w:rPr>
          <w:sz w:val="24"/>
          <w:szCs w:val="24"/>
        </w:rPr>
        <w:t xml:space="preserve"> calculated the hourly </w:t>
      </w:r>
      <w:r w:rsidR="00251EB4">
        <w:rPr>
          <w:sz w:val="24"/>
          <w:szCs w:val="24"/>
        </w:rPr>
        <w:t>rate</w:t>
      </w:r>
      <w:r w:rsidRPr="00E57E60">
        <w:rPr>
          <w:sz w:val="24"/>
          <w:szCs w:val="24"/>
        </w:rPr>
        <w:t xml:space="preserve"> </w:t>
      </w:r>
      <w:r w:rsidR="008F25C1">
        <w:rPr>
          <w:sz w:val="24"/>
          <w:szCs w:val="24"/>
        </w:rPr>
        <w:t>using the</w:t>
      </w:r>
      <w:r w:rsidR="007B15CF">
        <w:rPr>
          <w:sz w:val="24"/>
          <w:szCs w:val="24"/>
        </w:rPr>
        <w:t xml:space="preserve"> average</w:t>
      </w:r>
      <w:r w:rsidR="00546C65">
        <w:rPr>
          <w:sz w:val="24"/>
          <w:szCs w:val="24"/>
        </w:rPr>
        <w:t xml:space="preserve"> compensation cost</w:t>
      </w:r>
      <w:r w:rsidR="007B15CF">
        <w:rPr>
          <w:sz w:val="24"/>
          <w:szCs w:val="24"/>
        </w:rPr>
        <w:t xml:space="preserve"> for</w:t>
      </w:r>
      <w:r w:rsidRPr="007B15CF" w:rsidR="007B15CF">
        <w:rPr>
          <w:sz w:val="24"/>
          <w:szCs w:val="24"/>
        </w:rPr>
        <w:t xml:space="preserve"> </w:t>
      </w:r>
      <w:r w:rsidR="00251EB4">
        <w:rPr>
          <w:sz w:val="24"/>
          <w:szCs w:val="24"/>
        </w:rPr>
        <w:t>s</w:t>
      </w:r>
      <w:r w:rsidRPr="007B15CF" w:rsidR="007B15CF">
        <w:rPr>
          <w:sz w:val="24"/>
          <w:szCs w:val="24"/>
        </w:rPr>
        <w:t xml:space="preserve">tate and </w:t>
      </w:r>
      <w:r w:rsidR="00251EB4">
        <w:rPr>
          <w:sz w:val="24"/>
          <w:szCs w:val="24"/>
        </w:rPr>
        <w:t>l</w:t>
      </w:r>
      <w:r w:rsidRPr="007B15CF" w:rsidR="007B15CF">
        <w:rPr>
          <w:sz w:val="24"/>
          <w:szCs w:val="24"/>
        </w:rPr>
        <w:t xml:space="preserve">ocal </w:t>
      </w:r>
      <w:r w:rsidR="00251EB4">
        <w:rPr>
          <w:sz w:val="24"/>
          <w:szCs w:val="24"/>
        </w:rPr>
        <w:t>g</w:t>
      </w:r>
      <w:r w:rsidRPr="007B15CF" w:rsidR="007B15CF">
        <w:rPr>
          <w:sz w:val="24"/>
          <w:szCs w:val="24"/>
        </w:rPr>
        <w:t>overnment employees</w:t>
      </w:r>
      <w:r w:rsidR="007B15CF">
        <w:rPr>
          <w:sz w:val="24"/>
          <w:szCs w:val="24"/>
        </w:rPr>
        <w:t xml:space="preserve"> </w:t>
      </w:r>
      <w:r w:rsidR="00DE39C4">
        <w:rPr>
          <w:sz w:val="24"/>
          <w:szCs w:val="24"/>
        </w:rPr>
        <w:t>(BLS, 2023)</w:t>
      </w:r>
      <w:r>
        <w:rPr>
          <w:rStyle w:val="FootnoteReference"/>
          <w:sz w:val="24"/>
          <w:szCs w:val="24"/>
        </w:rPr>
        <w:footnoteReference w:id="3"/>
      </w:r>
      <w:r w:rsidR="00DE39C4">
        <w:rPr>
          <w:sz w:val="24"/>
          <w:szCs w:val="24"/>
        </w:rPr>
        <w:t>.</w:t>
      </w:r>
      <w:r w:rsidRPr="00E57E60">
        <w:rPr>
          <w:sz w:val="24"/>
          <w:szCs w:val="24"/>
        </w:rPr>
        <w:t xml:space="preserve"> We expect to </w:t>
      </w:r>
      <w:r w:rsidR="004B1539">
        <w:rPr>
          <w:sz w:val="24"/>
          <w:szCs w:val="24"/>
        </w:rPr>
        <w:t>reach</w:t>
      </w:r>
      <w:r w:rsidRPr="00E57E60">
        <w:rPr>
          <w:sz w:val="24"/>
          <w:szCs w:val="24"/>
        </w:rPr>
        <w:t xml:space="preserve"> </w:t>
      </w:r>
      <w:r w:rsidR="00AC640E">
        <w:rPr>
          <w:sz w:val="24"/>
          <w:szCs w:val="24"/>
        </w:rPr>
        <w:t>6</w:t>
      </w:r>
      <w:r w:rsidR="00656863">
        <w:rPr>
          <w:sz w:val="24"/>
          <w:szCs w:val="24"/>
        </w:rPr>
        <w:t>11</w:t>
      </w:r>
      <w:r w:rsidRPr="00E57E60">
        <w:rPr>
          <w:sz w:val="24"/>
          <w:szCs w:val="24"/>
        </w:rPr>
        <w:t xml:space="preserve"> respondents </w:t>
      </w:r>
      <w:r w:rsidR="004B1539">
        <w:rPr>
          <w:sz w:val="24"/>
          <w:szCs w:val="24"/>
        </w:rPr>
        <w:t xml:space="preserve">and administer a survey for </w:t>
      </w:r>
      <w:r w:rsidR="00AC640E">
        <w:rPr>
          <w:sz w:val="24"/>
          <w:szCs w:val="24"/>
        </w:rPr>
        <w:t>0.5</w:t>
      </w:r>
      <w:r w:rsidR="00713FD8">
        <w:rPr>
          <w:sz w:val="24"/>
          <w:szCs w:val="24"/>
        </w:rPr>
        <w:t>0</w:t>
      </w:r>
      <w:r w:rsidR="00AC640E">
        <w:rPr>
          <w:sz w:val="24"/>
          <w:szCs w:val="24"/>
        </w:rPr>
        <w:t xml:space="preserve"> hours (3</w:t>
      </w:r>
      <w:r w:rsidR="00713FD8">
        <w:rPr>
          <w:sz w:val="24"/>
          <w:szCs w:val="24"/>
        </w:rPr>
        <w:t>0</w:t>
      </w:r>
      <w:r w:rsidRPr="00E57E60">
        <w:rPr>
          <w:sz w:val="24"/>
          <w:szCs w:val="24"/>
        </w:rPr>
        <w:t xml:space="preserve"> minutes</w:t>
      </w:r>
      <w:r w:rsidR="00AC640E">
        <w:rPr>
          <w:sz w:val="24"/>
          <w:szCs w:val="24"/>
        </w:rPr>
        <w:t>)</w:t>
      </w:r>
      <w:r w:rsidR="00BD71F8">
        <w:rPr>
          <w:sz w:val="24"/>
          <w:szCs w:val="24"/>
        </w:rPr>
        <w:t>.</w:t>
      </w:r>
      <w:r w:rsidR="00382356">
        <w:rPr>
          <w:sz w:val="24"/>
          <w:szCs w:val="24"/>
        </w:rPr>
        <w:t xml:space="preserve"> </w:t>
      </w:r>
      <w:r w:rsidR="00AC640E">
        <w:rPr>
          <w:sz w:val="24"/>
          <w:szCs w:val="24"/>
        </w:rPr>
        <w:t xml:space="preserve">The total cost for this evaluation item would </w:t>
      </w:r>
      <w:r w:rsidRPr="0069205F" w:rsidR="00AC640E">
        <w:rPr>
          <w:sz w:val="24"/>
          <w:szCs w:val="24"/>
        </w:rPr>
        <w:t>be $</w:t>
      </w:r>
      <w:r w:rsidRPr="008E02D7" w:rsidR="005A5309">
        <w:rPr>
          <w:color w:val="000000"/>
          <w:sz w:val="24"/>
          <w:szCs w:val="24"/>
        </w:rPr>
        <w:t>18,299.45</w:t>
      </w:r>
      <w:r w:rsidRPr="0069205F" w:rsidR="00251EB4">
        <w:rPr>
          <w:sz w:val="24"/>
          <w:szCs w:val="24"/>
        </w:rPr>
        <w:t>.</w:t>
      </w:r>
    </w:p>
    <w:p w:rsidR="00B73997" w:rsidRPr="0069205F" w:rsidP="009865C7" w14:paraId="6756AFFF" w14:textId="0FB5307D">
      <w:pPr>
        <w:pStyle w:val="BodyText"/>
        <w:ind w:left="720"/>
        <w:rPr>
          <w:sz w:val="24"/>
          <w:szCs w:val="24"/>
        </w:rPr>
      </w:pPr>
      <w:r w:rsidRPr="00CB5279">
        <w:rPr>
          <w:sz w:val="24"/>
          <w:szCs w:val="24"/>
        </w:rPr>
        <w:t xml:space="preserve">Concerning the </w:t>
      </w:r>
      <w:r w:rsidR="005A5309">
        <w:rPr>
          <w:sz w:val="24"/>
          <w:szCs w:val="24"/>
        </w:rPr>
        <w:t>w</w:t>
      </w:r>
      <w:r w:rsidRPr="005A5309" w:rsidR="005A5309">
        <w:rPr>
          <w:sz w:val="24"/>
          <w:szCs w:val="24"/>
        </w:rPr>
        <w:t xml:space="preserve">eb survey for CoC staff </w:t>
      </w:r>
      <w:r w:rsidRPr="008E02D7">
        <w:rPr>
          <w:b/>
          <w:bCs/>
          <w:sz w:val="24"/>
          <w:szCs w:val="24"/>
        </w:rPr>
        <w:t>(Appendix C)</w:t>
      </w:r>
      <w:r w:rsidRPr="00CB5279">
        <w:rPr>
          <w:sz w:val="24"/>
          <w:szCs w:val="24"/>
        </w:rPr>
        <w:t xml:space="preserve">, </w:t>
      </w:r>
      <w:r w:rsidRPr="00CB5279">
        <w:rPr>
          <w:sz w:val="24"/>
          <w:szCs w:val="24"/>
        </w:rPr>
        <w:t xml:space="preserve">the hourly </w:t>
      </w:r>
      <w:r w:rsidRPr="00CB5279" w:rsidR="00251EB4">
        <w:rPr>
          <w:sz w:val="24"/>
          <w:szCs w:val="24"/>
        </w:rPr>
        <w:t>rate</w:t>
      </w:r>
      <w:r w:rsidRPr="00CB5279">
        <w:rPr>
          <w:sz w:val="24"/>
          <w:szCs w:val="24"/>
        </w:rPr>
        <w:t xml:space="preserve"> for a </w:t>
      </w:r>
      <w:r w:rsidRPr="00CB5279">
        <w:rPr>
          <w:sz w:val="24"/>
          <w:szCs w:val="24"/>
        </w:rPr>
        <w:t xml:space="preserve">CoC respondent is </w:t>
      </w:r>
      <w:r w:rsidRPr="00CB5279" w:rsidR="00251EB4">
        <w:rPr>
          <w:sz w:val="24"/>
          <w:szCs w:val="24"/>
        </w:rPr>
        <w:t xml:space="preserve">also </w:t>
      </w:r>
      <w:r w:rsidRPr="00CB5279">
        <w:rPr>
          <w:sz w:val="24"/>
          <w:szCs w:val="24"/>
        </w:rPr>
        <w:t>$</w:t>
      </w:r>
      <w:r w:rsidRPr="00CB5279" w:rsidR="00251EB4">
        <w:rPr>
          <w:sz w:val="24"/>
          <w:szCs w:val="24"/>
        </w:rPr>
        <w:t>59.90.</w:t>
      </w:r>
      <w:r w:rsidRPr="00CB5279" w:rsidR="0021317A">
        <w:rPr>
          <w:sz w:val="24"/>
          <w:szCs w:val="24"/>
        </w:rPr>
        <w:t xml:space="preserve"> </w:t>
      </w:r>
      <w:r w:rsidRPr="00CB5279" w:rsidR="00A25694">
        <w:rPr>
          <w:sz w:val="24"/>
          <w:szCs w:val="24"/>
        </w:rPr>
        <w:t>Given that t</w:t>
      </w:r>
      <w:r w:rsidRPr="00CB5279" w:rsidR="00B16C08">
        <w:rPr>
          <w:sz w:val="24"/>
          <w:szCs w:val="24"/>
        </w:rPr>
        <w:t xml:space="preserve">he estimated cost </w:t>
      </w:r>
      <w:r w:rsidRPr="00CB5279" w:rsidR="0029772E">
        <w:rPr>
          <w:sz w:val="24"/>
          <w:szCs w:val="24"/>
        </w:rPr>
        <w:t>for this</w:t>
      </w:r>
      <w:r w:rsidRPr="00CB5279" w:rsidR="00B16C08">
        <w:rPr>
          <w:sz w:val="24"/>
          <w:szCs w:val="24"/>
        </w:rPr>
        <w:t xml:space="preserve"> item will depend on the number of PHAs working with CoCs</w:t>
      </w:r>
      <w:r w:rsidRPr="00CB5279" w:rsidR="00BF0945">
        <w:rPr>
          <w:sz w:val="24"/>
          <w:szCs w:val="24"/>
        </w:rPr>
        <w:t xml:space="preserve"> and the survey is the same across subgroups</w:t>
      </w:r>
      <w:r w:rsidRPr="00CB5279" w:rsidR="00B16C08">
        <w:rPr>
          <w:sz w:val="24"/>
          <w:szCs w:val="24"/>
        </w:rPr>
        <w:t xml:space="preserve">, </w:t>
      </w:r>
      <w:r w:rsidRPr="00CB5279" w:rsidR="009B0627">
        <w:rPr>
          <w:sz w:val="24"/>
          <w:szCs w:val="24"/>
        </w:rPr>
        <w:t xml:space="preserve">we used a weighted </w:t>
      </w:r>
      <w:r w:rsidRPr="00CB5279" w:rsidR="00822C0A">
        <w:rPr>
          <w:sz w:val="24"/>
          <w:szCs w:val="24"/>
        </w:rPr>
        <w:t xml:space="preserve">to </w:t>
      </w:r>
      <w:r w:rsidRPr="00CB5279" w:rsidR="009B0627">
        <w:rPr>
          <w:sz w:val="24"/>
          <w:szCs w:val="24"/>
        </w:rPr>
        <w:t>average to estimate the duration of this survey.</w:t>
      </w:r>
      <w:r>
        <w:rPr>
          <w:rStyle w:val="FootnoteReference"/>
          <w:sz w:val="24"/>
          <w:szCs w:val="24"/>
        </w:rPr>
        <w:footnoteReference w:id="4"/>
      </w:r>
      <w:r w:rsidRPr="00CB5279" w:rsidR="00BF0945">
        <w:rPr>
          <w:sz w:val="24"/>
          <w:szCs w:val="24"/>
        </w:rPr>
        <w:t xml:space="preserve"> </w:t>
      </w:r>
      <w:r w:rsidR="00003FD5">
        <w:rPr>
          <w:sz w:val="24"/>
          <w:szCs w:val="24"/>
        </w:rPr>
        <w:t xml:space="preserve">We expect to reach 371 </w:t>
      </w:r>
      <w:r w:rsidR="00003FD5">
        <w:rPr>
          <w:color w:val="000000"/>
          <w:sz w:val="24"/>
          <w:szCs w:val="24"/>
        </w:rPr>
        <w:t>r</w:t>
      </w:r>
      <w:r w:rsidRPr="00CB5279" w:rsidR="002C2FA7">
        <w:rPr>
          <w:color w:val="000000"/>
          <w:sz w:val="24"/>
          <w:szCs w:val="24"/>
        </w:rPr>
        <w:t>espondents</w:t>
      </w:r>
      <w:r w:rsidR="00003FD5">
        <w:rPr>
          <w:color w:val="000000"/>
          <w:sz w:val="24"/>
          <w:szCs w:val="24"/>
        </w:rPr>
        <w:t>, who</w:t>
      </w:r>
      <w:r w:rsidRPr="00CB5279" w:rsidR="002C2FA7">
        <w:rPr>
          <w:color w:val="000000"/>
          <w:sz w:val="24"/>
          <w:szCs w:val="24"/>
        </w:rPr>
        <w:t xml:space="preserve"> </w:t>
      </w:r>
      <w:r w:rsidRPr="00CB5279" w:rsidR="003652AF">
        <w:rPr>
          <w:color w:val="000000"/>
          <w:sz w:val="24"/>
          <w:szCs w:val="24"/>
        </w:rPr>
        <w:t>will spend</w:t>
      </w:r>
      <w:r w:rsidRPr="00CB5279" w:rsidR="00FB6B1B">
        <w:rPr>
          <w:color w:val="000000"/>
          <w:sz w:val="24"/>
          <w:szCs w:val="24"/>
        </w:rPr>
        <w:t xml:space="preserve">, </w:t>
      </w:r>
      <w:r w:rsidRPr="00CB5279" w:rsidR="002C2FA7">
        <w:rPr>
          <w:color w:val="000000"/>
          <w:sz w:val="24"/>
          <w:szCs w:val="24"/>
        </w:rPr>
        <w:t>on average</w:t>
      </w:r>
      <w:r w:rsidRPr="00CB5279" w:rsidR="00FB6B1B">
        <w:rPr>
          <w:color w:val="000000"/>
          <w:sz w:val="24"/>
          <w:szCs w:val="24"/>
        </w:rPr>
        <w:t>,</w:t>
      </w:r>
      <w:r w:rsidRPr="00CB5279" w:rsidR="002C2FA7">
        <w:rPr>
          <w:color w:val="000000"/>
          <w:sz w:val="24"/>
          <w:szCs w:val="24"/>
        </w:rPr>
        <w:t xml:space="preserve"> </w:t>
      </w:r>
      <w:r w:rsidRPr="00CB5279" w:rsidR="00030EF6">
        <w:rPr>
          <w:color w:val="000000"/>
          <w:sz w:val="24"/>
          <w:szCs w:val="24"/>
        </w:rPr>
        <w:t>.</w:t>
      </w:r>
      <w:r w:rsidR="00713FD8">
        <w:rPr>
          <w:color w:val="000000"/>
          <w:sz w:val="24"/>
          <w:szCs w:val="24"/>
        </w:rPr>
        <w:t>87</w:t>
      </w:r>
      <w:r w:rsidRPr="00CB5279" w:rsidR="003652AF">
        <w:rPr>
          <w:color w:val="000000"/>
          <w:sz w:val="24"/>
          <w:szCs w:val="24"/>
        </w:rPr>
        <w:t xml:space="preserve"> hours</w:t>
      </w:r>
      <w:r w:rsidRPr="00CB5279" w:rsidR="00030EF6">
        <w:rPr>
          <w:color w:val="000000"/>
          <w:sz w:val="24"/>
          <w:szCs w:val="24"/>
        </w:rPr>
        <w:t xml:space="preserve"> (5</w:t>
      </w:r>
      <w:r w:rsidR="00713FD8">
        <w:rPr>
          <w:color w:val="000000"/>
          <w:sz w:val="24"/>
          <w:szCs w:val="24"/>
        </w:rPr>
        <w:t>2</w:t>
      </w:r>
      <w:r w:rsidRPr="00CB5279" w:rsidR="00030EF6">
        <w:rPr>
          <w:color w:val="000000"/>
          <w:sz w:val="24"/>
          <w:szCs w:val="24"/>
        </w:rPr>
        <w:t xml:space="preserve"> minutes)</w:t>
      </w:r>
      <w:r w:rsidRPr="00CB5279" w:rsidR="003652AF">
        <w:rPr>
          <w:color w:val="000000"/>
          <w:sz w:val="24"/>
          <w:szCs w:val="24"/>
        </w:rPr>
        <w:t xml:space="preserve"> completing the web survey, </w:t>
      </w:r>
      <w:r w:rsidRPr="00CB5279" w:rsidR="00830F95">
        <w:rPr>
          <w:color w:val="000000"/>
          <w:sz w:val="24"/>
          <w:szCs w:val="24"/>
        </w:rPr>
        <w:t>with</w:t>
      </w:r>
      <w:r w:rsidRPr="00CB5279" w:rsidR="003652AF">
        <w:rPr>
          <w:color w:val="000000"/>
          <w:sz w:val="24"/>
          <w:szCs w:val="24"/>
        </w:rPr>
        <w:t xml:space="preserve"> a total cost </w:t>
      </w:r>
      <w:r w:rsidRPr="0069205F" w:rsidR="003652AF">
        <w:rPr>
          <w:color w:val="000000"/>
          <w:sz w:val="24"/>
          <w:szCs w:val="24"/>
        </w:rPr>
        <w:t>of $</w:t>
      </w:r>
      <w:r w:rsidRPr="008E02D7" w:rsidR="005A5309">
        <w:rPr>
          <w:color w:val="000000"/>
          <w:sz w:val="24"/>
          <w:szCs w:val="24"/>
        </w:rPr>
        <w:t>19,333.92</w:t>
      </w:r>
      <w:r w:rsidRPr="0069205F" w:rsidR="003652AF">
        <w:rPr>
          <w:color w:val="000000"/>
          <w:sz w:val="24"/>
          <w:szCs w:val="24"/>
        </w:rPr>
        <w:t>.</w:t>
      </w:r>
    </w:p>
    <w:p w:rsidR="00713FD8" w:rsidP="009865C7" w14:paraId="2A4D422C" w14:textId="600C74A7">
      <w:pPr>
        <w:pStyle w:val="BodyText"/>
        <w:ind w:left="720"/>
        <w:rPr>
          <w:sz w:val="24"/>
          <w:szCs w:val="24"/>
        </w:rPr>
      </w:pPr>
      <w:r w:rsidRPr="00CB5279">
        <w:rPr>
          <w:sz w:val="24"/>
          <w:szCs w:val="24"/>
        </w:rPr>
        <w:t xml:space="preserve">For the </w:t>
      </w:r>
      <w:r w:rsidR="005A5309">
        <w:rPr>
          <w:sz w:val="24"/>
          <w:szCs w:val="24"/>
        </w:rPr>
        <w:t>p</w:t>
      </w:r>
      <w:r w:rsidRPr="005A5309" w:rsidR="005A5309">
        <w:rPr>
          <w:sz w:val="24"/>
          <w:szCs w:val="24"/>
        </w:rPr>
        <w:t>hone/</w:t>
      </w:r>
      <w:r w:rsidR="005A5309">
        <w:rPr>
          <w:sz w:val="24"/>
          <w:szCs w:val="24"/>
        </w:rPr>
        <w:t>v</w:t>
      </w:r>
      <w:r w:rsidRPr="005A5309" w:rsidR="005A5309">
        <w:rPr>
          <w:sz w:val="24"/>
          <w:szCs w:val="24"/>
        </w:rPr>
        <w:t>irtual Interviews with PHA staff</w:t>
      </w:r>
      <w:r w:rsidRPr="005A5309" w:rsidR="005A5309">
        <w:rPr>
          <w:sz w:val="24"/>
          <w:szCs w:val="24"/>
        </w:rPr>
        <w:t xml:space="preserve"> </w:t>
      </w:r>
      <w:r w:rsidRPr="008E02D7" w:rsidR="009E206B">
        <w:rPr>
          <w:b/>
          <w:bCs/>
          <w:sz w:val="24"/>
          <w:szCs w:val="24"/>
        </w:rPr>
        <w:t>(Appendix D)</w:t>
      </w:r>
      <w:r w:rsidRPr="00CB5279">
        <w:rPr>
          <w:sz w:val="24"/>
          <w:szCs w:val="24"/>
        </w:rPr>
        <w:t xml:space="preserve">, we expect to interview </w:t>
      </w:r>
      <w:r w:rsidRPr="00CB5279" w:rsidR="00656863">
        <w:rPr>
          <w:sz w:val="24"/>
          <w:szCs w:val="24"/>
        </w:rPr>
        <w:t>50</w:t>
      </w:r>
      <w:r w:rsidRPr="00CB5279">
        <w:rPr>
          <w:sz w:val="24"/>
          <w:szCs w:val="24"/>
        </w:rPr>
        <w:t xml:space="preserve"> individuals</w:t>
      </w:r>
      <w:r w:rsidRPr="00CB5279" w:rsidR="00656863">
        <w:rPr>
          <w:sz w:val="24"/>
          <w:szCs w:val="24"/>
        </w:rPr>
        <w:t xml:space="preserve"> (two each across 25 interviews)</w:t>
      </w:r>
      <w:r w:rsidRPr="00CB5279">
        <w:rPr>
          <w:sz w:val="24"/>
          <w:szCs w:val="24"/>
        </w:rPr>
        <w:t xml:space="preserve"> for approximately </w:t>
      </w:r>
      <w:r w:rsidRPr="00CB5279" w:rsidR="002D0B28">
        <w:rPr>
          <w:sz w:val="24"/>
          <w:szCs w:val="24"/>
        </w:rPr>
        <w:t>90 minutes</w:t>
      </w:r>
      <w:r w:rsidR="00003FD5">
        <w:rPr>
          <w:sz w:val="24"/>
          <w:szCs w:val="24"/>
        </w:rPr>
        <w:t xml:space="preserve">. </w:t>
      </w:r>
      <w:r w:rsidRPr="00CB5279" w:rsidR="00BF4BFB">
        <w:rPr>
          <w:sz w:val="24"/>
          <w:szCs w:val="24"/>
        </w:rPr>
        <w:t xml:space="preserve">The total cost would </w:t>
      </w:r>
      <w:r w:rsidRPr="0069205F" w:rsidR="00BF4BFB">
        <w:rPr>
          <w:sz w:val="24"/>
          <w:szCs w:val="24"/>
        </w:rPr>
        <w:t>be</w:t>
      </w:r>
      <w:r w:rsidRPr="0069205F">
        <w:rPr>
          <w:sz w:val="24"/>
          <w:szCs w:val="24"/>
        </w:rPr>
        <w:t xml:space="preserve"> </w:t>
      </w:r>
      <w:r w:rsidRPr="0069205F" w:rsidR="007063E1">
        <w:rPr>
          <w:sz w:val="24"/>
          <w:szCs w:val="24"/>
        </w:rPr>
        <w:t>$</w:t>
      </w:r>
      <w:r w:rsidRPr="008E02D7" w:rsidR="005A5309">
        <w:rPr>
          <w:color w:val="000000"/>
          <w:sz w:val="24"/>
          <w:szCs w:val="24"/>
        </w:rPr>
        <w:t>4,492.50</w:t>
      </w:r>
      <w:r w:rsidRPr="0069205F">
        <w:rPr>
          <w:sz w:val="24"/>
          <w:szCs w:val="24"/>
        </w:rPr>
        <w:t>.</w:t>
      </w:r>
      <w:r w:rsidRPr="00CB5279">
        <w:rPr>
          <w:sz w:val="24"/>
          <w:szCs w:val="24"/>
        </w:rPr>
        <w:t xml:space="preserve"> </w:t>
      </w:r>
    </w:p>
    <w:p w:rsidR="00B73997" w:rsidP="009865C7" w14:paraId="03AAB610" w14:textId="5E56D250">
      <w:pPr>
        <w:pStyle w:val="BodyText"/>
        <w:ind w:left="720"/>
        <w:rPr>
          <w:color w:val="000000" w:themeColor="text1"/>
        </w:rPr>
      </w:pPr>
      <w:r>
        <w:rPr>
          <w:sz w:val="24"/>
          <w:szCs w:val="24"/>
        </w:rPr>
        <w:t>F</w:t>
      </w:r>
      <w:r w:rsidRPr="00CB5279" w:rsidR="00657B72">
        <w:rPr>
          <w:sz w:val="24"/>
          <w:szCs w:val="24"/>
        </w:rPr>
        <w:t xml:space="preserve">or </w:t>
      </w:r>
      <w:r w:rsidRPr="00CB5279">
        <w:rPr>
          <w:sz w:val="24"/>
          <w:szCs w:val="24"/>
        </w:rPr>
        <w:t>the</w:t>
      </w:r>
      <w:r w:rsidRPr="00CB5279" w:rsidR="00AC640E">
        <w:rPr>
          <w:sz w:val="24"/>
          <w:szCs w:val="24"/>
        </w:rPr>
        <w:t xml:space="preserve"> </w:t>
      </w:r>
      <w:r>
        <w:rPr>
          <w:sz w:val="24"/>
          <w:szCs w:val="24"/>
        </w:rPr>
        <w:t>p</w:t>
      </w:r>
      <w:r w:rsidRPr="005A5309">
        <w:rPr>
          <w:sz w:val="24"/>
          <w:szCs w:val="24"/>
        </w:rPr>
        <w:t>hone/</w:t>
      </w:r>
      <w:r>
        <w:rPr>
          <w:sz w:val="24"/>
          <w:szCs w:val="24"/>
        </w:rPr>
        <w:t>v</w:t>
      </w:r>
      <w:r w:rsidRPr="005A5309">
        <w:rPr>
          <w:sz w:val="24"/>
          <w:szCs w:val="24"/>
        </w:rPr>
        <w:t xml:space="preserve">irtual </w:t>
      </w:r>
      <w:r>
        <w:rPr>
          <w:sz w:val="24"/>
          <w:szCs w:val="24"/>
        </w:rPr>
        <w:t>i</w:t>
      </w:r>
      <w:r w:rsidRPr="005A5309">
        <w:rPr>
          <w:sz w:val="24"/>
          <w:szCs w:val="24"/>
        </w:rPr>
        <w:t>nterviews with CoCs and non-CoC partner organization staff</w:t>
      </w:r>
      <w:r w:rsidRPr="00CB5279" w:rsidR="00F93BF2">
        <w:rPr>
          <w:sz w:val="24"/>
          <w:szCs w:val="24"/>
        </w:rPr>
        <w:t xml:space="preserve"> </w:t>
      </w:r>
      <w:r w:rsidRPr="008E02D7">
        <w:rPr>
          <w:b/>
          <w:bCs/>
          <w:sz w:val="24"/>
          <w:szCs w:val="24"/>
        </w:rPr>
        <w:t xml:space="preserve">(Appendix </w:t>
      </w:r>
      <w:r w:rsidRPr="008E02D7" w:rsidR="00AC640E">
        <w:rPr>
          <w:b/>
          <w:bCs/>
          <w:sz w:val="24"/>
          <w:szCs w:val="24"/>
        </w:rPr>
        <w:t>E</w:t>
      </w:r>
      <w:r w:rsidRPr="008E02D7">
        <w:rPr>
          <w:b/>
          <w:bCs/>
          <w:sz w:val="24"/>
          <w:szCs w:val="24"/>
        </w:rPr>
        <w:t>)</w:t>
      </w:r>
      <w:r w:rsidRPr="008E02D7" w:rsidR="00AC640E">
        <w:rPr>
          <w:b/>
          <w:bCs/>
          <w:sz w:val="24"/>
          <w:szCs w:val="24"/>
        </w:rPr>
        <w:t>,</w:t>
      </w:r>
      <w:r w:rsidRPr="00CB5279" w:rsidR="00AC640E">
        <w:rPr>
          <w:sz w:val="24"/>
          <w:szCs w:val="24"/>
        </w:rPr>
        <w:t xml:space="preserve"> w</w:t>
      </w:r>
      <w:r w:rsidRPr="00CB5279">
        <w:rPr>
          <w:sz w:val="24"/>
          <w:szCs w:val="24"/>
        </w:rPr>
        <w:t xml:space="preserve">e expect to interview </w:t>
      </w:r>
      <w:r w:rsidRPr="00CB5279" w:rsidR="00F93BF2">
        <w:rPr>
          <w:sz w:val="24"/>
          <w:szCs w:val="24"/>
        </w:rPr>
        <w:t>5</w:t>
      </w:r>
      <w:r w:rsidRPr="00CB5279" w:rsidR="00656863">
        <w:rPr>
          <w:sz w:val="24"/>
          <w:szCs w:val="24"/>
        </w:rPr>
        <w:t>0</w:t>
      </w:r>
      <w:r w:rsidRPr="00CB5279">
        <w:rPr>
          <w:sz w:val="24"/>
          <w:szCs w:val="24"/>
        </w:rPr>
        <w:t xml:space="preserve"> respondents</w:t>
      </w:r>
      <w:r w:rsidRPr="00CB5279" w:rsidR="00656863">
        <w:rPr>
          <w:sz w:val="24"/>
          <w:szCs w:val="24"/>
        </w:rPr>
        <w:t xml:space="preserve"> (two each across 2</w:t>
      </w:r>
      <w:r w:rsidRPr="00CB5279" w:rsidR="00F93BF2">
        <w:rPr>
          <w:sz w:val="24"/>
          <w:szCs w:val="24"/>
        </w:rPr>
        <w:t>5</w:t>
      </w:r>
      <w:r w:rsidRPr="00CB5279" w:rsidR="00656863">
        <w:rPr>
          <w:sz w:val="24"/>
          <w:szCs w:val="24"/>
        </w:rPr>
        <w:t xml:space="preserve"> interviews)</w:t>
      </w:r>
      <w:r w:rsidRPr="00CB5279">
        <w:rPr>
          <w:sz w:val="24"/>
          <w:szCs w:val="24"/>
        </w:rPr>
        <w:t xml:space="preserve"> for 60 minutes</w:t>
      </w:r>
      <w:r w:rsidRPr="00CB5279" w:rsidR="003652AF">
        <w:rPr>
          <w:sz w:val="24"/>
          <w:szCs w:val="24"/>
        </w:rPr>
        <w:t xml:space="preserve">. </w:t>
      </w:r>
      <w:r w:rsidRPr="00CB5279" w:rsidR="00BF4BFB">
        <w:rPr>
          <w:sz w:val="24"/>
          <w:szCs w:val="24"/>
        </w:rPr>
        <w:t>Th</w:t>
      </w:r>
      <w:r w:rsidRPr="00CB5279">
        <w:rPr>
          <w:sz w:val="24"/>
          <w:szCs w:val="24"/>
        </w:rPr>
        <w:t xml:space="preserve">e total cost would be </w:t>
      </w:r>
      <w:r w:rsidRPr="0069205F" w:rsidR="009E206B">
        <w:rPr>
          <w:sz w:val="24"/>
          <w:szCs w:val="24"/>
        </w:rPr>
        <w:t>$</w:t>
      </w:r>
      <w:r w:rsidRPr="008E02D7">
        <w:rPr>
          <w:color w:val="000000" w:themeColor="text1"/>
          <w:sz w:val="24"/>
          <w:szCs w:val="24"/>
        </w:rPr>
        <w:t>2,995</w:t>
      </w:r>
      <w:r w:rsidRPr="008E02D7">
        <w:rPr>
          <w:color w:val="000000" w:themeColor="text1"/>
          <w:sz w:val="24"/>
          <w:szCs w:val="24"/>
        </w:rPr>
        <w:t>‬</w:t>
      </w:r>
      <w:r w:rsidRPr="008E02D7">
        <w:rPr>
          <w:color w:val="000000" w:themeColor="text1"/>
          <w:sz w:val="24"/>
          <w:szCs w:val="24"/>
        </w:rPr>
        <w:t>.00</w:t>
      </w:r>
      <w:r w:rsidRPr="0069205F" w:rsidR="009E206B">
        <w:rPr>
          <w:sz w:val="24"/>
          <w:szCs w:val="24"/>
        </w:rPr>
        <w:t>.</w:t>
      </w:r>
      <w:r w:rsidRPr="38D703A2" w:rsidR="009E206B">
        <w:rPr>
          <w:color w:val="000000" w:themeColor="text1"/>
        </w:rPr>
        <w:t xml:space="preserve"> </w:t>
      </w:r>
    </w:p>
    <w:p w:rsidR="005A5309" w:rsidP="009865C7" w14:paraId="475B9E34" w14:textId="4B855747">
      <w:pPr>
        <w:pStyle w:val="BodyText"/>
        <w:ind w:left="720"/>
        <w:rPr>
          <w:color w:val="000000" w:themeColor="text1"/>
          <w:szCs w:val="22"/>
        </w:rPr>
      </w:pPr>
      <w:r>
        <w:rPr>
          <w:sz w:val="24"/>
          <w:szCs w:val="24"/>
        </w:rPr>
        <w:t>For the o</w:t>
      </w:r>
      <w:r w:rsidRPr="00B35849">
        <w:rPr>
          <w:sz w:val="24"/>
          <w:szCs w:val="24"/>
        </w:rPr>
        <w:t>utreach materials for a web survey for PHA staff</w:t>
      </w:r>
      <w:r>
        <w:rPr>
          <w:sz w:val="24"/>
          <w:szCs w:val="24"/>
        </w:rPr>
        <w:t xml:space="preserve"> </w:t>
      </w:r>
      <w:r w:rsidRPr="008E02D7">
        <w:rPr>
          <w:b/>
          <w:bCs/>
          <w:sz w:val="24"/>
          <w:szCs w:val="24"/>
        </w:rPr>
        <w:t>(Appendix F),</w:t>
      </w:r>
      <w:r>
        <w:rPr>
          <w:sz w:val="24"/>
          <w:szCs w:val="24"/>
        </w:rPr>
        <w:t xml:space="preserve"> </w:t>
      </w:r>
      <w:r w:rsidRPr="00E57E60">
        <w:rPr>
          <w:sz w:val="24"/>
          <w:szCs w:val="24"/>
        </w:rPr>
        <w:t xml:space="preserve">we assume that </w:t>
      </w:r>
      <w:r>
        <w:rPr>
          <w:sz w:val="24"/>
          <w:szCs w:val="24"/>
        </w:rPr>
        <w:t>the hourly compensation cost is</w:t>
      </w:r>
      <w:r w:rsidRPr="00E57E60">
        <w:rPr>
          <w:sz w:val="24"/>
          <w:szCs w:val="24"/>
        </w:rPr>
        <w:t xml:space="preserve"> $</w:t>
      </w:r>
      <w:r>
        <w:rPr>
          <w:sz w:val="24"/>
          <w:szCs w:val="24"/>
        </w:rPr>
        <w:t>59.90</w:t>
      </w:r>
      <w:r w:rsidRPr="00E57E60">
        <w:rPr>
          <w:sz w:val="24"/>
          <w:szCs w:val="24"/>
        </w:rPr>
        <w:t xml:space="preserve">. We expect to </w:t>
      </w:r>
      <w:r>
        <w:rPr>
          <w:sz w:val="24"/>
          <w:szCs w:val="24"/>
        </w:rPr>
        <w:t>reach</w:t>
      </w:r>
      <w:r w:rsidRPr="00E57E60">
        <w:rPr>
          <w:sz w:val="24"/>
          <w:szCs w:val="24"/>
        </w:rPr>
        <w:t xml:space="preserve"> </w:t>
      </w:r>
      <w:r>
        <w:rPr>
          <w:sz w:val="24"/>
          <w:szCs w:val="24"/>
        </w:rPr>
        <w:t>611</w:t>
      </w:r>
      <w:r w:rsidRPr="00E57E60">
        <w:rPr>
          <w:sz w:val="24"/>
          <w:szCs w:val="24"/>
        </w:rPr>
        <w:t xml:space="preserve"> respondents</w:t>
      </w:r>
      <w:r>
        <w:rPr>
          <w:sz w:val="24"/>
          <w:szCs w:val="24"/>
        </w:rPr>
        <w:t xml:space="preserve">, who are expected to spend approximately five minutes </w:t>
      </w:r>
      <w:r w:rsidR="00003FD5">
        <w:rPr>
          <w:sz w:val="24"/>
          <w:szCs w:val="24"/>
        </w:rPr>
        <w:t>(.08 hours) of time reviewing</w:t>
      </w:r>
      <w:r>
        <w:rPr>
          <w:sz w:val="24"/>
          <w:szCs w:val="24"/>
        </w:rPr>
        <w:t xml:space="preserve"> these outreach materials. The total cost for this evaluation item would </w:t>
      </w:r>
      <w:r w:rsidRPr="0069205F">
        <w:rPr>
          <w:sz w:val="24"/>
          <w:szCs w:val="24"/>
        </w:rPr>
        <w:t>be $</w:t>
      </w:r>
      <w:r w:rsidRPr="008E02D7" w:rsidR="00003FD5">
        <w:rPr>
          <w:color w:val="000000" w:themeColor="text1"/>
          <w:sz w:val="24"/>
          <w:szCs w:val="24"/>
        </w:rPr>
        <w:t>2,927.91</w:t>
      </w:r>
      <w:r w:rsidRPr="008E02D7">
        <w:rPr>
          <w:color w:val="000000" w:themeColor="text1"/>
          <w:sz w:val="24"/>
          <w:szCs w:val="24"/>
        </w:rPr>
        <w:t>.</w:t>
      </w:r>
    </w:p>
    <w:p w:rsidR="005A5309" w:rsidP="009865C7" w14:paraId="7F5A5EF4" w14:textId="09BD7150">
      <w:pPr>
        <w:pStyle w:val="BodyText"/>
        <w:ind w:left="720"/>
        <w:rPr>
          <w:color w:val="000000" w:themeColor="text1"/>
          <w:szCs w:val="22"/>
        </w:rPr>
      </w:pPr>
      <w:r>
        <w:rPr>
          <w:sz w:val="24"/>
          <w:szCs w:val="24"/>
        </w:rPr>
        <w:t>For the o</w:t>
      </w:r>
      <w:r w:rsidRPr="00B35849">
        <w:rPr>
          <w:sz w:val="24"/>
          <w:szCs w:val="24"/>
        </w:rPr>
        <w:t xml:space="preserve">utreach materials for </w:t>
      </w:r>
      <w:r w:rsidR="00003FD5">
        <w:rPr>
          <w:sz w:val="24"/>
          <w:szCs w:val="24"/>
        </w:rPr>
        <w:t>a w</w:t>
      </w:r>
      <w:r w:rsidRPr="005A5309" w:rsidR="00003FD5">
        <w:rPr>
          <w:sz w:val="24"/>
          <w:szCs w:val="24"/>
        </w:rPr>
        <w:t>eb survey for CoC staff</w:t>
      </w:r>
      <w:r w:rsidR="00003FD5">
        <w:rPr>
          <w:sz w:val="24"/>
          <w:szCs w:val="24"/>
        </w:rPr>
        <w:t xml:space="preserve"> </w:t>
      </w:r>
      <w:r w:rsidRPr="008E02D7">
        <w:rPr>
          <w:b/>
          <w:bCs/>
          <w:sz w:val="24"/>
          <w:szCs w:val="24"/>
        </w:rPr>
        <w:t xml:space="preserve">(Appendix </w:t>
      </w:r>
      <w:r w:rsidRPr="008E02D7" w:rsidR="00B460E3">
        <w:rPr>
          <w:b/>
          <w:bCs/>
          <w:sz w:val="24"/>
          <w:szCs w:val="24"/>
        </w:rPr>
        <w:t>G</w:t>
      </w:r>
      <w:r w:rsidRPr="008E02D7">
        <w:rPr>
          <w:b/>
          <w:bCs/>
          <w:sz w:val="24"/>
          <w:szCs w:val="24"/>
        </w:rPr>
        <w:t>),</w:t>
      </w:r>
      <w:r>
        <w:rPr>
          <w:sz w:val="24"/>
          <w:szCs w:val="24"/>
        </w:rPr>
        <w:t xml:space="preserve"> </w:t>
      </w:r>
      <w:r w:rsidRPr="00E57E60">
        <w:rPr>
          <w:sz w:val="24"/>
          <w:szCs w:val="24"/>
        </w:rPr>
        <w:t xml:space="preserve">we assume that </w:t>
      </w:r>
      <w:r>
        <w:rPr>
          <w:sz w:val="24"/>
          <w:szCs w:val="24"/>
        </w:rPr>
        <w:t>the hourly compensation cost is</w:t>
      </w:r>
      <w:r w:rsidRPr="00E57E60">
        <w:rPr>
          <w:sz w:val="24"/>
          <w:szCs w:val="24"/>
        </w:rPr>
        <w:t xml:space="preserve"> $</w:t>
      </w:r>
      <w:r>
        <w:rPr>
          <w:sz w:val="24"/>
          <w:szCs w:val="24"/>
        </w:rPr>
        <w:t>59.90</w:t>
      </w:r>
      <w:r w:rsidRPr="00E57E60">
        <w:rPr>
          <w:sz w:val="24"/>
          <w:szCs w:val="24"/>
        </w:rPr>
        <w:t xml:space="preserve">. We expect to </w:t>
      </w:r>
      <w:r>
        <w:rPr>
          <w:sz w:val="24"/>
          <w:szCs w:val="24"/>
        </w:rPr>
        <w:t>reach</w:t>
      </w:r>
      <w:r w:rsidRPr="00E57E60">
        <w:rPr>
          <w:sz w:val="24"/>
          <w:szCs w:val="24"/>
        </w:rPr>
        <w:t xml:space="preserve"> </w:t>
      </w:r>
      <w:r w:rsidR="00003FD5">
        <w:rPr>
          <w:sz w:val="24"/>
          <w:szCs w:val="24"/>
        </w:rPr>
        <w:t>371</w:t>
      </w:r>
      <w:r w:rsidRPr="00E57E60">
        <w:rPr>
          <w:sz w:val="24"/>
          <w:szCs w:val="24"/>
        </w:rPr>
        <w:t xml:space="preserve"> respondents</w:t>
      </w:r>
      <w:r>
        <w:rPr>
          <w:sz w:val="24"/>
          <w:szCs w:val="24"/>
        </w:rPr>
        <w:t xml:space="preserve">, who are expected to spend approximately five minutes </w:t>
      </w:r>
      <w:r w:rsidR="00003FD5">
        <w:rPr>
          <w:sz w:val="24"/>
          <w:szCs w:val="24"/>
        </w:rPr>
        <w:t xml:space="preserve">(.08 hours) </w:t>
      </w:r>
      <w:r>
        <w:rPr>
          <w:sz w:val="24"/>
          <w:szCs w:val="24"/>
        </w:rPr>
        <w:t xml:space="preserve">of time </w:t>
      </w:r>
      <w:r w:rsidR="00003FD5">
        <w:rPr>
          <w:sz w:val="24"/>
          <w:szCs w:val="24"/>
        </w:rPr>
        <w:t>reviewing</w:t>
      </w:r>
      <w:r>
        <w:rPr>
          <w:sz w:val="24"/>
          <w:szCs w:val="24"/>
        </w:rPr>
        <w:t xml:space="preserve"> these outreach materials. The total cost for this evaluation item would be </w:t>
      </w:r>
      <w:r w:rsidRPr="0069205F">
        <w:rPr>
          <w:sz w:val="24"/>
          <w:szCs w:val="24"/>
        </w:rPr>
        <w:t>$</w:t>
      </w:r>
      <w:r w:rsidRPr="008E02D7" w:rsidR="00003FD5">
        <w:rPr>
          <w:color w:val="000000" w:themeColor="text1"/>
          <w:sz w:val="24"/>
          <w:szCs w:val="24"/>
        </w:rPr>
        <w:t>1,777.83</w:t>
      </w:r>
      <w:r>
        <w:rPr>
          <w:color w:val="000000" w:themeColor="text1"/>
          <w:szCs w:val="22"/>
        </w:rPr>
        <w:t>.</w:t>
      </w:r>
    </w:p>
    <w:p w:rsidR="00003FD5" w:rsidRPr="008E02D7" w:rsidP="009865C7" w14:paraId="1C19A4B0" w14:textId="37A72406">
      <w:pPr>
        <w:pStyle w:val="BodyText"/>
        <w:ind w:left="720"/>
        <w:rPr>
          <w:color w:val="000000" w:themeColor="text1"/>
          <w:sz w:val="24"/>
          <w:szCs w:val="24"/>
        </w:rPr>
      </w:pPr>
      <w:r>
        <w:rPr>
          <w:sz w:val="24"/>
          <w:szCs w:val="24"/>
        </w:rPr>
        <w:t>For the o</w:t>
      </w:r>
      <w:r w:rsidRPr="00B35849">
        <w:rPr>
          <w:sz w:val="24"/>
          <w:szCs w:val="24"/>
        </w:rPr>
        <w:t xml:space="preserve">utreach materials for </w:t>
      </w:r>
      <w:r>
        <w:rPr>
          <w:sz w:val="24"/>
          <w:szCs w:val="24"/>
        </w:rPr>
        <w:t>p</w:t>
      </w:r>
      <w:r w:rsidRPr="005A5309">
        <w:rPr>
          <w:sz w:val="24"/>
          <w:szCs w:val="24"/>
        </w:rPr>
        <w:t>hone/</w:t>
      </w:r>
      <w:r>
        <w:rPr>
          <w:sz w:val="24"/>
          <w:szCs w:val="24"/>
        </w:rPr>
        <w:t>v</w:t>
      </w:r>
      <w:r w:rsidRPr="005A5309">
        <w:rPr>
          <w:sz w:val="24"/>
          <w:szCs w:val="24"/>
        </w:rPr>
        <w:t>irtual Interviews with PHA staff</w:t>
      </w:r>
      <w:r w:rsidRPr="005A5309">
        <w:rPr>
          <w:sz w:val="24"/>
          <w:szCs w:val="24"/>
        </w:rPr>
        <w:t xml:space="preserve"> </w:t>
      </w:r>
      <w:r w:rsidRPr="008E02D7">
        <w:rPr>
          <w:b/>
          <w:bCs/>
          <w:sz w:val="24"/>
          <w:szCs w:val="24"/>
        </w:rPr>
        <w:t xml:space="preserve">(Appendix H), </w:t>
      </w:r>
      <w:r w:rsidRPr="00E57E60">
        <w:rPr>
          <w:sz w:val="24"/>
          <w:szCs w:val="24"/>
        </w:rPr>
        <w:t xml:space="preserve">we assume that </w:t>
      </w:r>
      <w:r>
        <w:rPr>
          <w:sz w:val="24"/>
          <w:szCs w:val="24"/>
        </w:rPr>
        <w:t>the hourly compensation cost is</w:t>
      </w:r>
      <w:r w:rsidRPr="00E57E60">
        <w:rPr>
          <w:sz w:val="24"/>
          <w:szCs w:val="24"/>
        </w:rPr>
        <w:t xml:space="preserve"> $</w:t>
      </w:r>
      <w:r>
        <w:rPr>
          <w:sz w:val="24"/>
          <w:szCs w:val="24"/>
        </w:rPr>
        <w:t>59.90</w:t>
      </w:r>
      <w:r w:rsidRPr="00E57E60">
        <w:rPr>
          <w:sz w:val="24"/>
          <w:szCs w:val="24"/>
        </w:rPr>
        <w:t xml:space="preserve">. We expect to </w:t>
      </w:r>
      <w:r>
        <w:rPr>
          <w:sz w:val="24"/>
          <w:szCs w:val="24"/>
        </w:rPr>
        <w:t>reach</w:t>
      </w:r>
      <w:r w:rsidRPr="00E57E60">
        <w:rPr>
          <w:sz w:val="24"/>
          <w:szCs w:val="24"/>
        </w:rPr>
        <w:t xml:space="preserve"> </w:t>
      </w:r>
      <w:r>
        <w:rPr>
          <w:sz w:val="24"/>
          <w:szCs w:val="24"/>
        </w:rPr>
        <w:t>50</w:t>
      </w:r>
      <w:r w:rsidRPr="00E57E60">
        <w:rPr>
          <w:sz w:val="24"/>
          <w:szCs w:val="24"/>
        </w:rPr>
        <w:t xml:space="preserve"> respondents</w:t>
      </w:r>
      <w:r>
        <w:rPr>
          <w:sz w:val="24"/>
          <w:szCs w:val="24"/>
        </w:rPr>
        <w:t xml:space="preserve">, who are expected to spend </w:t>
      </w:r>
      <w:r w:rsidRPr="00CB5279">
        <w:rPr>
          <w:sz w:val="24"/>
          <w:szCs w:val="24"/>
        </w:rPr>
        <w:t xml:space="preserve">.25 hours (15 minutes) reading a recruitment email about the interview, scheduling the interview via email, and reviewing a brief </w:t>
      </w:r>
      <w:r w:rsidRPr="0069205F">
        <w:rPr>
          <w:sz w:val="24"/>
          <w:szCs w:val="24"/>
        </w:rPr>
        <w:t>study description document. The total cost for this evaluation item would be $</w:t>
      </w:r>
      <w:r w:rsidRPr="008E02D7">
        <w:rPr>
          <w:color w:val="000000" w:themeColor="text1"/>
          <w:sz w:val="24"/>
          <w:szCs w:val="24"/>
        </w:rPr>
        <w:t>748.75</w:t>
      </w:r>
      <w:r w:rsidRPr="008E02D7">
        <w:rPr>
          <w:color w:val="000000" w:themeColor="text1"/>
          <w:sz w:val="24"/>
          <w:szCs w:val="24"/>
        </w:rPr>
        <w:t>‬</w:t>
      </w:r>
      <w:r w:rsidRPr="008E02D7">
        <w:rPr>
          <w:color w:val="000000" w:themeColor="text1"/>
          <w:sz w:val="24"/>
          <w:szCs w:val="24"/>
        </w:rPr>
        <w:t>.</w:t>
      </w:r>
    </w:p>
    <w:p w:rsidR="005A5309" w:rsidRPr="008E02D7" w:rsidP="009865C7" w14:paraId="3756CE40" w14:textId="08B7CA8B">
      <w:pPr>
        <w:pStyle w:val="BodyText"/>
        <w:ind w:left="720"/>
        <w:rPr>
          <w:color w:val="000000" w:themeColor="text1"/>
          <w:sz w:val="24"/>
          <w:szCs w:val="24"/>
        </w:rPr>
      </w:pPr>
      <w:r>
        <w:rPr>
          <w:sz w:val="24"/>
          <w:szCs w:val="24"/>
        </w:rPr>
        <w:t>For the o</w:t>
      </w:r>
      <w:r w:rsidRPr="00B35849">
        <w:rPr>
          <w:sz w:val="24"/>
          <w:szCs w:val="24"/>
        </w:rPr>
        <w:t xml:space="preserve">utreach materials for </w:t>
      </w:r>
      <w:r>
        <w:rPr>
          <w:sz w:val="24"/>
          <w:szCs w:val="24"/>
        </w:rPr>
        <w:t>p</w:t>
      </w:r>
      <w:r w:rsidRPr="005A5309">
        <w:rPr>
          <w:sz w:val="24"/>
          <w:szCs w:val="24"/>
        </w:rPr>
        <w:t>hone/</w:t>
      </w:r>
      <w:r>
        <w:rPr>
          <w:sz w:val="24"/>
          <w:szCs w:val="24"/>
        </w:rPr>
        <w:t>v</w:t>
      </w:r>
      <w:r w:rsidRPr="005A5309">
        <w:rPr>
          <w:sz w:val="24"/>
          <w:szCs w:val="24"/>
        </w:rPr>
        <w:t xml:space="preserve">irtual </w:t>
      </w:r>
      <w:r>
        <w:rPr>
          <w:sz w:val="24"/>
          <w:szCs w:val="24"/>
        </w:rPr>
        <w:t>i</w:t>
      </w:r>
      <w:r w:rsidRPr="005A5309">
        <w:rPr>
          <w:sz w:val="24"/>
          <w:szCs w:val="24"/>
        </w:rPr>
        <w:t>nterviews with CoCs and non-CoC partner organization staff</w:t>
      </w:r>
      <w:r w:rsidRPr="005A5309">
        <w:rPr>
          <w:sz w:val="24"/>
          <w:szCs w:val="24"/>
        </w:rPr>
        <w:t xml:space="preserve"> </w:t>
      </w:r>
      <w:r w:rsidRPr="008E02D7">
        <w:rPr>
          <w:b/>
          <w:bCs/>
          <w:sz w:val="24"/>
          <w:szCs w:val="24"/>
        </w:rPr>
        <w:t xml:space="preserve">(Appendix I), </w:t>
      </w:r>
      <w:r w:rsidRPr="00E57E60">
        <w:rPr>
          <w:sz w:val="24"/>
          <w:szCs w:val="24"/>
        </w:rPr>
        <w:t xml:space="preserve">we assume that </w:t>
      </w:r>
      <w:r>
        <w:rPr>
          <w:sz w:val="24"/>
          <w:szCs w:val="24"/>
        </w:rPr>
        <w:t>the hourly compensation cost is</w:t>
      </w:r>
      <w:r w:rsidRPr="00E57E60">
        <w:rPr>
          <w:sz w:val="24"/>
          <w:szCs w:val="24"/>
        </w:rPr>
        <w:t xml:space="preserve"> $</w:t>
      </w:r>
      <w:r>
        <w:rPr>
          <w:sz w:val="24"/>
          <w:szCs w:val="24"/>
        </w:rPr>
        <w:t>59.90</w:t>
      </w:r>
      <w:r w:rsidRPr="00E57E60">
        <w:rPr>
          <w:sz w:val="24"/>
          <w:szCs w:val="24"/>
        </w:rPr>
        <w:t xml:space="preserve">. We expect to </w:t>
      </w:r>
      <w:r>
        <w:rPr>
          <w:sz w:val="24"/>
          <w:szCs w:val="24"/>
        </w:rPr>
        <w:t>reach</w:t>
      </w:r>
      <w:r w:rsidRPr="00E57E60">
        <w:rPr>
          <w:sz w:val="24"/>
          <w:szCs w:val="24"/>
        </w:rPr>
        <w:t xml:space="preserve"> </w:t>
      </w:r>
      <w:r>
        <w:rPr>
          <w:sz w:val="24"/>
          <w:szCs w:val="24"/>
        </w:rPr>
        <w:t xml:space="preserve">50 </w:t>
      </w:r>
      <w:r w:rsidRPr="00E57E60">
        <w:rPr>
          <w:sz w:val="24"/>
          <w:szCs w:val="24"/>
        </w:rPr>
        <w:t>respondents</w:t>
      </w:r>
      <w:r>
        <w:rPr>
          <w:sz w:val="24"/>
          <w:szCs w:val="24"/>
        </w:rPr>
        <w:t xml:space="preserve">, who are expected to spend </w:t>
      </w:r>
      <w:r w:rsidRPr="00CB5279">
        <w:rPr>
          <w:sz w:val="24"/>
          <w:szCs w:val="24"/>
        </w:rPr>
        <w:t>.25 hours (15 minutes) reading a recruitment email about the interview, scheduling the interview via email, and reviewing a brief study description document</w:t>
      </w:r>
      <w:r>
        <w:rPr>
          <w:sz w:val="24"/>
          <w:szCs w:val="24"/>
        </w:rPr>
        <w:t xml:space="preserve">. The total cost for this evaluation item would be </w:t>
      </w:r>
      <w:r w:rsidRPr="0069205F">
        <w:rPr>
          <w:sz w:val="24"/>
          <w:szCs w:val="24"/>
        </w:rPr>
        <w:t>$</w:t>
      </w:r>
      <w:r w:rsidRPr="008E02D7">
        <w:rPr>
          <w:color w:val="000000" w:themeColor="text1"/>
          <w:sz w:val="24"/>
          <w:szCs w:val="24"/>
        </w:rPr>
        <w:t>748.75</w:t>
      </w:r>
      <w:r w:rsidRPr="008E02D7">
        <w:rPr>
          <w:color w:val="000000" w:themeColor="text1"/>
          <w:sz w:val="24"/>
          <w:szCs w:val="24"/>
        </w:rPr>
        <w:t>‬</w:t>
      </w:r>
      <w:r w:rsidRPr="008E02D7">
        <w:rPr>
          <w:color w:val="000000" w:themeColor="text1"/>
          <w:sz w:val="24"/>
          <w:szCs w:val="24"/>
        </w:rPr>
        <w:t>.</w:t>
      </w:r>
    </w:p>
    <w:p w:rsidR="00B73997" w:rsidP="00AC640E" w14:paraId="471730EB"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9865C7" w:rsidP="00AC640E" w14:paraId="4103965C"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0D5079" w:rsidRPr="00CC7ACB" w14:paraId="5FBC8E8C" w14:textId="77777777">
      <w:pPr>
        <w:tabs>
          <w:tab w:val="left" w:pos="360"/>
        </w:tabs>
        <w:ind w:left="360" w:hanging="360"/>
        <w:rPr>
          <w:b/>
          <w:bCs/>
          <w:sz w:val="24"/>
          <w:szCs w:val="24"/>
        </w:rPr>
      </w:pPr>
      <w:r w:rsidRPr="00CC7ACB">
        <w:rPr>
          <w:b/>
          <w:bCs/>
          <w:sz w:val="24"/>
          <w:szCs w:val="24"/>
        </w:rPr>
        <w:t>13.</w:t>
      </w:r>
      <w:r w:rsidRPr="00CC7ACB">
        <w:rPr>
          <w:b/>
          <w:bCs/>
          <w:sz w:val="24"/>
          <w:szCs w:val="24"/>
        </w:rPr>
        <w:tab/>
        <w:t>Provide an estimate of the total annual cost burden to respondents or recordkeepers resulting from the collection of information</w:t>
      </w:r>
      <w:r w:rsidRPr="00CC7ACB">
        <w:rPr>
          <w:b/>
          <w:bCs/>
          <w:sz w:val="24"/>
          <w:szCs w:val="24"/>
        </w:rPr>
        <w:t>. (Do not include the cost of any hour burden already reflected on the burden worksheet</w:t>
      </w:r>
      <w:r w:rsidRPr="00CC7ACB">
        <w:rPr>
          <w:b/>
          <w:bCs/>
          <w:sz w:val="24"/>
          <w:szCs w:val="24"/>
        </w:rPr>
        <w:t xml:space="preserve"> shown in Items 12 and 14).</w:t>
      </w:r>
    </w:p>
    <w:p w:rsidR="009E13B1" w:rsidRPr="00CC7ACB" w14:paraId="5FB56F44" w14:textId="77777777">
      <w:pPr>
        <w:tabs>
          <w:tab w:val="left" w:pos="360"/>
        </w:tabs>
        <w:ind w:left="360" w:hanging="360"/>
        <w:rPr>
          <w:b/>
          <w:bCs/>
          <w:sz w:val="24"/>
          <w:szCs w:val="24"/>
        </w:rPr>
      </w:pPr>
      <w:r w:rsidRPr="00CC7ACB">
        <w:rPr>
          <w:b/>
          <w:bCs/>
          <w:sz w:val="24"/>
          <w:szCs w:val="24"/>
        </w:rPr>
        <w:t xml:space="preserve"> </w:t>
      </w:r>
    </w:p>
    <w:p w:rsidR="009E13B1" w:rsidRPr="00CC7ACB" w:rsidP="003D0B37" w14:paraId="4E7A7ECF" w14:textId="77777777">
      <w:pPr>
        <w:numPr>
          <w:ilvl w:val="0"/>
          <w:numId w:val="2"/>
        </w:numPr>
        <w:tabs>
          <w:tab w:val="left" w:pos="360"/>
        </w:tabs>
        <w:ind w:left="480"/>
        <w:rPr>
          <w:b/>
          <w:bCs/>
          <w:sz w:val="24"/>
          <w:szCs w:val="24"/>
        </w:rPr>
      </w:pPr>
      <w:r w:rsidRPr="7229DBFF">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CC7ACB" w:rsidP="003D0B37" w14:paraId="4C5FB5BF" w14:textId="77777777">
      <w:pPr>
        <w:numPr>
          <w:ilvl w:val="0"/>
          <w:numId w:val="2"/>
        </w:numPr>
        <w:tabs>
          <w:tab w:val="left" w:pos="360"/>
        </w:tabs>
        <w:ind w:left="480"/>
        <w:rPr>
          <w:b/>
          <w:bCs/>
          <w:sz w:val="24"/>
          <w:szCs w:val="24"/>
        </w:rPr>
      </w:pPr>
      <w:r w:rsidRPr="7229DBFF">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P="003D0B37" w14:paraId="0ECC4578" w14:textId="77777777">
      <w:pPr>
        <w:keepLines/>
        <w:numPr>
          <w:ilvl w:val="0"/>
          <w:numId w:val="2"/>
        </w:numPr>
        <w:tabs>
          <w:tab w:val="left" w:pos="360"/>
        </w:tabs>
        <w:spacing w:after="80"/>
        <w:ind w:left="480"/>
        <w:rPr>
          <w:b/>
          <w:bCs/>
          <w:sz w:val="24"/>
          <w:szCs w:val="24"/>
        </w:rPr>
      </w:pPr>
      <w:r w:rsidRPr="7229DBFF">
        <w:rPr>
          <w:b/>
          <w:bCs/>
          <w:sz w:val="24"/>
          <w:szCs w:val="24"/>
        </w:rPr>
        <w:t>G</w:t>
      </w:r>
      <w:r w:rsidRPr="7229DBFF">
        <w:rPr>
          <w:b/>
          <w:bCs/>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865C7" w:rsidP="009865C7" w14:paraId="3BCAC2AC" w14:textId="77777777">
      <w:pPr>
        <w:pStyle w:val="NoSpacing"/>
      </w:pPr>
    </w:p>
    <w:p w:rsidR="00AC640E" w:rsidRPr="00E57E60" w:rsidP="009865C7" w14:paraId="4D91C158" w14:textId="77777777">
      <w:pPr>
        <w:pStyle w:val="NoSpacing"/>
        <w:ind w:left="336"/>
      </w:pPr>
      <w:r w:rsidRPr="00E57E60">
        <w:t xml:space="preserve">This data collection effort involves no recordkeeping or reporting costs for respondents other than the time burden to respond to questions on the data collection instruments described in item 12 above. There is no known additional cost burden to the respondents. </w:t>
      </w:r>
    </w:p>
    <w:p w:rsidR="00EF65DE" w:rsidRPr="00CC7ACB" w:rsidP="009865C7" w14:paraId="6BB32203" w14:textId="77777777">
      <w:pPr>
        <w:pStyle w:val="NoSpacing"/>
        <w:rPr>
          <w:b/>
          <w:bCs/>
        </w:rPr>
      </w:pPr>
    </w:p>
    <w:p w:rsidR="009E13B1" w:rsidRPr="00CC7ACB" w14:paraId="522CAD26" w14:textId="77777777">
      <w:pPr>
        <w:keepLines/>
        <w:tabs>
          <w:tab w:val="left" w:pos="360"/>
        </w:tabs>
        <w:spacing w:after="80"/>
        <w:ind w:left="360" w:hanging="360"/>
        <w:rPr>
          <w:b/>
          <w:bCs/>
          <w:sz w:val="24"/>
          <w:szCs w:val="24"/>
        </w:rPr>
      </w:pPr>
      <w:r w:rsidRPr="00CC7ACB">
        <w:rPr>
          <w:b/>
          <w:bCs/>
          <w:sz w:val="24"/>
          <w:szCs w:val="24"/>
        </w:rPr>
        <w:t>14.</w:t>
      </w:r>
      <w:r w:rsidRPr="00CC7ACB">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C640E" w:rsidP="00CC7ACB" w14:paraId="16FB5F8D" w14:textId="77777777">
      <w:pPr>
        <w:ind w:left="360"/>
        <w:rPr>
          <w:sz w:val="24"/>
          <w:szCs w:val="24"/>
        </w:rPr>
      </w:pPr>
    </w:p>
    <w:p w:rsidR="00CC7ACB" w:rsidP="00CC7ACB" w14:paraId="448D6868" w14:textId="0D4B3862">
      <w:pPr>
        <w:ind w:left="360"/>
        <w:rPr>
          <w:sz w:val="24"/>
          <w:szCs w:val="24"/>
        </w:rPr>
      </w:pPr>
      <w:r w:rsidRPr="00295ED3">
        <w:rPr>
          <w:sz w:val="24"/>
          <w:szCs w:val="24"/>
        </w:rPr>
        <w:t xml:space="preserve">This data collection for the </w:t>
      </w:r>
      <w:r w:rsidR="004B19D4">
        <w:rPr>
          <w:sz w:val="24"/>
          <w:szCs w:val="24"/>
        </w:rPr>
        <w:t xml:space="preserve">EHV Evaluation </w:t>
      </w:r>
      <w:r w:rsidRPr="00295ED3">
        <w:rPr>
          <w:sz w:val="24"/>
          <w:szCs w:val="24"/>
        </w:rPr>
        <w:t xml:space="preserve">is being carried out under a HUD contract with </w:t>
      </w:r>
      <w:r w:rsidR="00B72EF2">
        <w:rPr>
          <w:sz w:val="24"/>
          <w:szCs w:val="24"/>
        </w:rPr>
        <w:t>SPR</w:t>
      </w:r>
      <w:r w:rsidRPr="00295ED3">
        <w:rPr>
          <w:sz w:val="24"/>
          <w:szCs w:val="24"/>
        </w:rPr>
        <w:t xml:space="preserve"> and its </w:t>
      </w:r>
      <w:r>
        <w:rPr>
          <w:sz w:val="24"/>
          <w:szCs w:val="24"/>
        </w:rPr>
        <w:t>subcontractor</w:t>
      </w:r>
      <w:r w:rsidR="00B72EF2">
        <w:rPr>
          <w:sz w:val="24"/>
          <w:szCs w:val="24"/>
        </w:rPr>
        <w:t xml:space="preserve">, Abt </w:t>
      </w:r>
      <w:r w:rsidR="00CE40D6">
        <w:rPr>
          <w:sz w:val="24"/>
          <w:szCs w:val="24"/>
        </w:rPr>
        <w:t>Global</w:t>
      </w:r>
      <w:r>
        <w:rPr>
          <w:sz w:val="24"/>
          <w:szCs w:val="24"/>
        </w:rPr>
        <w:t xml:space="preserve">. </w:t>
      </w:r>
      <w:r w:rsidRPr="00295ED3">
        <w:rPr>
          <w:sz w:val="24"/>
          <w:szCs w:val="24"/>
        </w:rPr>
        <w:t>The estimated cost to the Federal government for this data collection totals $</w:t>
      </w:r>
      <w:r w:rsidR="007063E1">
        <w:rPr>
          <w:sz w:val="24"/>
          <w:szCs w:val="24"/>
        </w:rPr>
        <w:t>725,846</w:t>
      </w:r>
      <w:r w:rsidRPr="00295ED3">
        <w:rPr>
          <w:sz w:val="24"/>
          <w:szCs w:val="24"/>
        </w:rPr>
        <w:t>. The cost of the data collection to the Federal government is based on</w:t>
      </w:r>
      <w:r>
        <w:rPr>
          <w:sz w:val="24"/>
          <w:szCs w:val="24"/>
        </w:rPr>
        <w:t xml:space="preserve"> the </w:t>
      </w:r>
      <w:r w:rsidRPr="00295ED3">
        <w:rPr>
          <w:sz w:val="24"/>
          <w:szCs w:val="24"/>
        </w:rPr>
        <w:t>contractor’s</w:t>
      </w:r>
      <w:r>
        <w:rPr>
          <w:sz w:val="24"/>
          <w:szCs w:val="24"/>
        </w:rPr>
        <w:t xml:space="preserve"> and subcontractor’s</w:t>
      </w:r>
      <w:r w:rsidRPr="00295ED3">
        <w:rPr>
          <w:sz w:val="24"/>
          <w:szCs w:val="24"/>
        </w:rPr>
        <w:t xml:space="preserve"> labor hours to </w:t>
      </w:r>
      <w:r>
        <w:rPr>
          <w:sz w:val="24"/>
          <w:szCs w:val="24"/>
        </w:rPr>
        <w:t xml:space="preserve">a) </w:t>
      </w:r>
      <w:r w:rsidR="00B72EF2">
        <w:rPr>
          <w:sz w:val="24"/>
          <w:szCs w:val="24"/>
        </w:rPr>
        <w:t>administer a national web</w:t>
      </w:r>
      <w:r w:rsidRPr="00295ED3">
        <w:rPr>
          <w:sz w:val="24"/>
          <w:szCs w:val="24"/>
        </w:rPr>
        <w:t xml:space="preserve"> survey and interviews for the study</w:t>
      </w:r>
      <w:r w:rsidR="004B19D4">
        <w:rPr>
          <w:sz w:val="24"/>
          <w:szCs w:val="24"/>
        </w:rPr>
        <w:t xml:space="preserve"> and</w:t>
      </w:r>
      <w:r w:rsidRPr="00295ED3">
        <w:rPr>
          <w:sz w:val="24"/>
          <w:szCs w:val="24"/>
        </w:rPr>
        <w:t xml:space="preserve"> </w:t>
      </w:r>
      <w:r>
        <w:rPr>
          <w:sz w:val="24"/>
          <w:szCs w:val="24"/>
        </w:rPr>
        <w:t xml:space="preserve">b) </w:t>
      </w:r>
      <w:r w:rsidR="00B72EF2">
        <w:rPr>
          <w:sz w:val="24"/>
          <w:szCs w:val="24"/>
        </w:rPr>
        <w:t>conduct data analysis and report final findings</w:t>
      </w:r>
      <w:r w:rsidR="007D2C02">
        <w:rPr>
          <w:sz w:val="24"/>
          <w:szCs w:val="24"/>
        </w:rPr>
        <w:t>.</w:t>
      </w:r>
      <w:r>
        <w:rPr>
          <w:sz w:val="24"/>
          <w:szCs w:val="24"/>
        </w:rPr>
        <w:t xml:space="preserve"> </w:t>
      </w:r>
      <w:r w:rsidR="002C0CBE">
        <w:rPr>
          <w:sz w:val="24"/>
          <w:szCs w:val="24"/>
        </w:rPr>
        <w:t xml:space="preserve">This includes </w:t>
      </w:r>
      <w:r w:rsidR="00B145DE">
        <w:rPr>
          <w:sz w:val="24"/>
          <w:szCs w:val="24"/>
        </w:rPr>
        <w:t>research design and project management (for example, drafting the Research Design, Data Collection, and Analysis Plan and preparing this PRA package), data collection (</w:t>
      </w:r>
      <w:r w:rsidR="006F70EB">
        <w:rPr>
          <w:sz w:val="24"/>
          <w:szCs w:val="24"/>
        </w:rPr>
        <w:t>conducting the web surveys and interviews)</w:t>
      </w:r>
      <w:r w:rsidR="00B145DE">
        <w:rPr>
          <w:sz w:val="24"/>
          <w:szCs w:val="24"/>
        </w:rPr>
        <w:t>,</w:t>
      </w:r>
      <w:r w:rsidR="006F70EB">
        <w:rPr>
          <w:sz w:val="24"/>
          <w:szCs w:val="24"/>
        </w:rPr>
        <w:t xml:space="preserve"> and data analysis and reporting</w:t>
      </w:r>
      <w:r w:rsidR="00AF07BC">
        <w:rPr>
          <w:sz w:val="24"/>
          <w:szCs w:val="24"/>
        </w:rPr>
        <w:t xml:space="preserve"> across data collection methods.</w:t>
      </w:r>
      <w:r w:rsidR="00B145DE">
        <w:rPr>
          <w:sz w:val="24"/>
          <w:szCs w:val="24"/>
        </w:rPr>
        <w:t xml:space="preserve"> </w:t>
      </w:r>
    </w:p>
    <w:p w:rsidR="004B19D4" w:rsidRPr="00295ED3" w:rsidP="00CC7ACB" w14:paraId="48FF9C28" w14:textId="77777777">
      <w:pPr>
        <w:ind w:left="360"/>
        <w:rPr>
          <w:sz w:val="24"/>
          <w:szCs w:val="24"/>
        </w:rPr>
      </w:pPr>
    </w:p>
    <w:p w:rsidR="00CC7ACB" w:rsidP="00CC7ACB" w14:paraId="7FEB42DB" w14:textId="633AF114">
      <w:pPr>
        <w:ind w:left="360"/>
        <w:rPr>
          <w:sz w:val="24"/>
          <w:szCs w:val="24"/>
        </w:rPr>
      </w:pPr>
      <w:r>
        <w:rPr>
          <w:sz w:val="24"/>
          <w:szCs w:val="24"/>
        </w:rPr>
        <w:t>T</w:t>
      </w:r>
      <w:r w:rsidRPr="00295ED3">
        <w:rPr>
          <w:sz w:val="24"/>
          <w:szCs w:val="24"/>
        </w:rPr>
        <w:t>he data collection costs are one-time costs based on the awarded contract for this study.</w:t>
      </w:r>
      <w:r w:rsidR="00EF0A9A">
        <w:rPr>
          <w:sz w:val="24"/>
          <w:szCs w:val="24"/>
        </w:rPr>
        <w:t xml:space="preserve"> Refer to Table 2 for a breakdown of the estimated annualized cost to the Federal government.</w:t>
      </w:r>
    </w:p>
    <w:p w:rsidR="00593436" w:rsidP="00CC7ACB" w14:paraId="100A109D" w14:textId="77777777">
      <w:pPr>
        <w:ind w:left="360"/>
        <w:rPr>
          <w:sz w:val="24"/>
          <w:szCs w:val="24"/>
        </w:rPr>
      </w:pPr>
    </w:p>
    <w:p w:rsidR="00EF0A9A" w:rsidRPr="00AD46A1" w:rsidP="00CC7ACB" w14:paraId="69200187" w14:textId="1CD1157D">
      <w:pPr>
        <w:ind w:left="360"/>
        <w:rPr>
          <w:sz w:val="24"/>
          <w:szCs w:val="24"/>
        </w:rPr>
      </w:pPr>
      <w:r w:rsidRPr="008E02D7">
        <w:rPr>
          <w:b/>
          <w:bCs/>
          <w:color w:val="000000" w:themeColor="text1"/>
          <w:sz w:val="24"/>
          <w:szCs w:val="24"/>
        </w:rPr>
        <w:t>Table 2:</w:t>
      </w:r>
      <w:r w:rsidRPr="006B50FF">
        <w:rPr>
          <w:color w:val="000000" w:themeColor="text1"/>
          <w:sz w:val="24"/>
          <w:szCs w:val="24"/>
        </w:rPr>
        <w:t xml:space="preserve"> Esti</w:t>
      </w:r>
      <w:r w:rsidRPr="008E02D7">
        <w:rPr>
          <w:sz w:val="24"/>
          <w:szCs w:val="24"/>
        </w:rPr>
        <w:t>mated Cost Breakdown</w:t>
      </w:r>
    </w:p>
    <w:tbl>
      <w:tblPr>
        <w:tblStyle w:val="ListTable31"/>
        <w:tblW w:w="4814" w:type="pct"/>
        <w:tblInd w:w="355" w:type="dxa"/>
        <w:tblLook w:val="0020"/>
      </w:tblPr>
      <w:tblGrid>
        <w:gridCol w:w="4320"/>
        <w:gridCol w:w="2431"/>
        <w:gridCol w:w="2424"/>
      </w:tblGrid>
      <w:tr w14:paraId="738C5757" w14:textId="77777777" w:rsidTr="008E02D7">
        <w:tblPrEx>
          <w:tblW w:w="4814" w:type="pct"/>
          <w:tblInd w:w="355" w:type="dxa"/>
          <w:tblLook w:val="0020"/>
        </w:tblPrEx>
        <w:trPr>
          <w:trHeight w:val="20"/>
        </w:trPr>
        <w:tc>
          <w:tcPr>
            <w:tcW w:w="0" w:type="pct"/>
            <w:shd w:val="clear" w:color="auto" w:fill="auto"/>
            <w:vAlign w:val="center"/>
          </w:tcPr>
          <w:p w:rsidR="00593436" w:rsidRPr="009865C7" w14:paraId="4F3A6866" w14:textId="77777777">
            <w:pPr>
              <w:rPr>
                <w:b w:val="0"/>
                <w:color w:val="auto"/>
                <w:sz w:val="18"/>
                <w:szCs w:val="18"/>
              </w:rPr>
            </w:pPr>
            <w:r w:rsidRPr="009865C7">
              <w:rPr>
                <w:rFonts w:eastAsia="Calibri"/>
                <w:color w:val="auto"/>
                <w:sz w:val="18"/>
                <w:szCs w:val="18"/>
              </w:rPr>
              <w:t>Activity</w:t>
            </w:r>
          </w:p>
        </w:tc>
        <w:tc>
          <w:tcPr>
            <w:tcW w:w="0" w:type="pct"/>
            <w:shd w:val="clear" w:color="auto" w:fill="auto"/>
            <w:vAlign w:val="center"/>
          </w:tcPr>
          <w:p w:rsidR="00593436" w:rsidRPr="009865C7" w14:paraId="0EC3E188" w14:textId="0F45FD2D">
            <w:pPr>
              <w:rPr>
                <w:b w:val="0"/>
                <w:color w:val="auto"/>
                <w:sz w:val="18"/>
                <w:szCs w:val="18"/>
              </w:rPr>
            </w:pPr>
            <w:r w:rsidRPr="009865C7">
              <w:rPr>
                <w:color w:val="auto"/>
                <w:sz w:val="18"/>
                <w:szCs w:val="18"/>
              </w:rPr>
              <w:t>Number of Labor Hours</w:t>
            </w:r>
          </w:p>
        </w:tc>
        <w:tc>
          <w:tcPr>
            <w:tcW w:w="0" w:type="pct"/>
            <w:shd w:val="clear" w:color="auto" w:fill="auto"/>
          </w:tcPr>
          <w:p w:rsidR="00593436" w:rsidRPr="009865C7" w14:paraId="0BAFD508" w14:textId="25F9504A">
            <w:pPr>
              <w:rPr>
                <w:rFonts w:eastAsia="Calibri"/>
                <w:b w:val="0"/>
                <w:color w:val="auto"/>
                <w:sz w:val="18"/>
                <w:szCs w:val="18"/>
              </w:rPr>
            </w:pPr>
            <w:r w:rsidRPr="009865C7">
              <w:rPr>
                <w:rFonts w:eastAsia="Calibri"/>
                <w:color w:val="auto"/>
                <w:sz w:val="18"/>
                <w:szCs w:val="18"/>
              </w:rPr>
              <w:t xml:space="preserve">Estimated </w:t>
            </w:r>
            <w:r w:rsidRPr="009865C7" w:rsidR="00B26566">
              <w:rPr>
                <w:rFonts w:eastAsia="Calibri"/>
                <w:color w:val="auto"/>
                <w:sz w:val="18"/>
                <w:szCs w:val="18"/>
              </w:rPr>
              <w:t>Cost to Federal Government</w:t>
            </w:r>
          </w:p>
        </w:tc>
      </w:tr>
      <w:tr w14:paraId="14755EC1" w14:textId="77777777" w:rsidTr="006B50FF">
        <w:tblPrEx>
          <w:tblW w:w="4814" w:type="pct"/>
          <w:tblInd w:w="355" w:type="dxa"/>
          <w:tblLook w:val="0020"/>
        </w:tblPrEx>
        <w:trPr>
          <w:trHeight w:val="20"/>
        </w:trPr>
        <w:tc>
          <w:tcPr>
            <w:tcW w:w="2354" w:type="pct"/>
            <w:vAlign w:val="center"/>
          </w:tcPr>
          <w:p w:rsidR="0033720F" w:rsidRPr="009865C7" w14:paraId="3BD8203A" w14:textId="4FBC69F7">
            <w:pPr>
              <w:pStyle w:val="NoSpacing"/>
              <w:rPr>
                <w:color w:val="000000"/>
                <w:sz w:val="18"/>
                <w:szCs w:val="18"/>
              </w:rPr>
            </w:pPr>
            <w:r w:rsidRPr="009865C7">
              <w:rPr>
                <w:color w:val="000000"/>
                <w:sz w:val="18"/>
                <w:szCs w:val="18"/>
              </w:rPr>
              <w:t>Research Design</w:t>
            </w:r>
            <w:r w:rsidRPr="009865C7" w:rsidR="005E76D3">
              <w:rPr>
                <w:color w:val="000000"/>
                <w:sz w:val="18"/>
                <w:szCs w:val="18"/>
              </w:rPr>
              <w:t xml:space="preserve"> and Project Management </w:t>
            </w:r>
          </w:p>
        </w:tc>
        <w:tc>
          <w:tcPr>
            <w:tcW w:w="1325" w:type="pct"/>
            <w:vAlign w:val="center"/>
          </w:tcPr>
          <w:p w:rsidR="0033720F" w:rsidRPr="009865C7" w14:paraId="6D592836" w14:textId="5EF044D5">
            <w:pPr>
              <w:pStyle w:val="NoSpacing"/>
              <w:rPr>
                <w:sz w:val="18"/>
                <w:szCs w:val="18"/>
              </w:rPr>
            </w:pPr>
            <w:r w:rsidRPr="009865C7">
              <w:rPr>
                <w:sz w:val="18"/>
                <w:szCs w:val="18"/>
              </w:rPr>
              <w:t>1,888</w:t>
            </w:r>
          </w:p>
        </w:tc>
        <w:tc>
          <w:tcPr>
            <w:tcW w:w="1321" w:type="pct"/>
          </w:tcPr>
          <w:p w:rsidR="0033720F" w:rsidRPr="009865C7" w14:paraId="106882FA" w14:textId="0189BAE4">
            <w:pPr>
              <w:pStyle w:val="NoSpacing"/>
              <w:rPr>
                <w:color w:val="000000"/>
                <w:sz w:val="18"/>
                <w:szCs w:val="18"/>
              </w:rPr>
            </w:pPr>
            <w:r w:rsidRPr="009865C7">
              <w:rPr>
                <w:color w:val="000000"/>
                <w:sz w:val="18"/>
                <w:szCs w:val="18"/>
              </w:rPr>
              <w:t>$229,064</w:t>
            </w:r>
          </w:p>
        </w:tc>
      </w:tr>
      <w:tr w14:paraId="44EB5FD1" w14:textId="77777777" w:rsidTr="006B50FF">
        <w:tblPrEx>
          <w:tblW w:w="4814" w:type="pct"/>
          <w:tblInd w:w="355" w:type="dxa"/>
          <w:tblLook w:val="0020"/>
        </w:tblPrEx>
        <w:trPr>
          <w:trHeight w:val="20"/>
        </w:trPr>
        <w:tc>
          <w:tcPr>
            <w:tcW w:w="2354" w:type="pct"/>
            <w:vAlign w:val="center"/>
          </w:tcPr>
          <w:p w:rsidR="00593436" w:rsidRPr="009865C7" w14:paraId="69FF90BA" w14:textId="77777777">
            <w:pPr>
              <w:pStyle w:val="NoSpacing"/>
              <w:rPr>
                <w:sz w:val="18"/>
                <w:szCs w:val="18"/>
              </w:rPr>
            </w:pPr>
            <w:r w:rsidRPr="009865C7">
              <w:rPr>
                <w:color w:val="000000"/>
                <w:sz w:val="18"/>
                <w:szCs w:val="18"/>
              </w:rPr>
              <w:t>Data Collection</w:t>
            </w:r>
          </w:p>
        </w:tc>
        <w:tc>
          <w:tcPr>
            <w:tcW w:w="1325" w:type="pct"/>
            <w:vAlign w:val="center"/>
          </w:tcPr>
          <w:p w:rsidR="00593436" w:rsidRPr="009865C7" w14:paraId="0C600D9C" w14:textId="5B866CE1">
            <w:pPr>
              <w:pStyle w:val="NoSpacing"/>
              <w:rPr>
                <w:sz w:val="18"/>
                <w:szCs w:val="18"/>
              </w:rPr>
            </w:pPr>
            <w:r w:rsidRPr="009865C7">
              <w:rPr>
                <w:sz w:val="18"/>
                <w:szCs w:val="18"/>
              </w:rPr>
              <w:t>1,341</w:t>
            </w:r>
          </w:p>
        </w:tc>
        <w:tc>
          <w:tcPr>
            <w:tcW w:w="1321" w:type="pct"/>
          </w:tcPr>
          <w:p w:rsidR="00593436" w:rsidRPr="009865C7" w14:paraId="5BF6CB93" w14:textId="0CB395EE">
            <w:pPr>
              <w:pStyle w:val="NoSpacing"/>
              <w:rPr>
                <w:color w:val="000000"/>
                <w:sz w:val="18"/>
                <w:szCs w:val="18"/>
              </w:rPr>
            </w:pPr>
            <w:r w:rsidRPr="009865C7">
              <w:rPr>
                <w:color w:val="000000"/>
                <w:sz w:val="18"/>
                <w:szCs w:val="18"/>
              </w:rPr>
              <w:t>$</w:t>
            </w:r>
            <w:r w:rsidRPr="009865C7" w:rsidR="000F54E1">
              <w:rPr>
                <w:color w:val="000000"/>
                <w:sz w:val="18"/>
                <w:szCs w:val="18"/>
              </w:rPr>
              <w:t>195,509</w:t>
            </w:r>
          </w:p>
        </w:tc>
      </w:tr>
      <w:tr w14:paraId="7C34A5D0" w14:textId="77777777" w:rsidTr="006B50FF">
        <w:tblPrEx>
          <w:tblW w:w="4814" w:type="pct"/>
          <w:tblInd w:w="355" w:type="dxa"/>
          <w:tblLook w:val="0020"/>
        </w:tblPrEx>
        <w:trPr>
          <w:trHeight w:val="20"/>
        </w:trPr>
        <w:tc>
          <w:tcPr>
            <w:tcW w:w="2354" w:type="pct"/>
            <w:vAlign w:val="center"/>
          </w:tcPr>
          <w:p w:rsidR="00593436" w:rsidRPr="009865C7" w14:paraId="01A3FE03" w14:textId="39424E89">
            <w:pPr>
              <w:pStyle w:val="NoSpacing"/>
              <w:rPr>
                <w:color w:val="000000"/>
                <w:sz w:val="18"/>
                <w:szCs w:val="18"/>
              </w:rPr>
            </w:pPr>
            <w:r w:rsidRPr="009865C7">
              <w:rPr>
                <w:color w:val="000000"/>
                <w:sz w:val="18"/>
                <w:szCs w:val="18"/>
              </w:rPr>
              <w:t>Data Analysis</w:t>
            </w:r>
            <w:r w:rsidRPr="009865C7" w:rsidR="006A2ECE">
              <w:rPr>
                <w:color w:val="000000"/>
                <w:sz w:val="18"/>
                <w:szCs w:val="18"/>
              </w:rPr>
              <w:t xml:space="preserve"> and </w:t>
            </w:r>
            <w:r w:rsidRPr="009865C7" w:rsidR="00207B21">
              <w:rPr>
                <w:color w:val="000000"/>
                <w:sz w:val="18"/>
                <w:szCs w:val="18"/>
              </w:rPr>
              <w:t>Reporting</w:t>
            </w:r>
          </w:p>
        </w:tc>
        <w:tc>
          <w:tcPr>
            <w:tcW w:w="1325" w:type="pct"/>
            <w:vAlign w:val="center"/>
          </w:tcPr>
          <w:p w:rsidR="00593436" w:rsidRPr="009865C7" w14:paraId="0B545916" w14:textId="17C158F1">
            <w:pPr>
              <w:pStyle w:val="NoSpacing"/>
              <w:rPr>
                <w:color w:val="000000"/>
                <w:sz w:val="18"/>
                <w:szCs w:val="18"/>
              </w:rPr>
            </w:pPr>
            <w:r w:rsidRPr="009865C7">
              <w:rPr>
                <w:color w:val="000000"/>
                <w:sz w:val="18"/>
                <w:szCs w:val="18"/>
              </w:rPr>
              <w:t>2,146</w:t>
            </w:r>
          </w:p>
        </w:tc>
        <w:tc>
          <w:tcPr>
            <w:tcW w:w="1321" w:type="pct"/>
          </w:tcPr>
          <w:p w:rsidR="00593436" w:rsidRPr="009865C7" w14:paraId="3DEA69F9" w14:textId="485FAF6B">
            <w:pPr>
              <w:pStyle w:val="NoSpacing"/>
              <w:rPr>
                <w:color w:val="000000"/>
                <w:sz w:val="18"/>
                <w:szCs w:val="18"/>
              </w:rPr>
            </w:pPr>
            <w:r w:rsidRPr="009865C7">
              <w:rPr>
                <w:color w:val="000000"/>
                <w:sz w:val="18"/>
                <w:szCs w:val="18"/>
              </w:rPr>
              <w:t>$</w:t>
            </w:r>
            <w:r w:rsidRPr="009865C7" w:rsidR="00F110D4">
              <w:rPr>
                <w:color w:val="000000"/>
                <w:sz w:val="18"/>
                <w:szCs w:val="18"/>
              </w:rPr>
              <w:t>301,273</w:t>
            </w:r>
          </w:p>
        </w:tc>
      </w:tr>
      <w:tr w14:paraId="3BE4F30C" w14:textId="77777777" w:rsidTr="008C58A3">
        <w:tblPrEx>
          <w:tblW w:w="4814" w:type="pct"/>
          <w:tblInd w:w="355" w:type="dxa"/>
          <w:tblLook w:val="0020"/>
        </w:tblPrEx>
        <w:trPr>
          <w:trHeight w:val="20"/>
        </w:trPr>
        <w:tc>
          <w:tcPr>
            <w:tcW w:w="2354" w:type="pct"/>
            <w:shd w:val="clear" w:color="auto" w:fill="E7E6E6" w:themeFill="background2"/>
            <w:vAlign w:val="center"/>
          </w:tcPr>
          <w:p w:rsidR="00593436" w:rsidRPr="009865C7" w14:paraId="75DA2801" w14:textId="77777777">
            <w:pPr>
              <w:pStyle w:val="NoSpacing"/>
              <w:rPr>
                <w:b/>
                <w:bCs/>
                <w:color w:val="000000"/>
                <w:sz w:val="18"/>
                <w:szCs w:val="18"/>
              </w:rPr>
            </w:pPr>
            <w:r w:rsidRPr="009865C7">
              <w:rPr>
                <w:b/>
                <w:bCs/>
                <w:color w:val="000000"/>
                <w:sz w:val="18"/>
                <w:szCs w:val="18"/>
              </w:rPr>
              <w:t>TOTAL</w:t>
            </w:r>
          </w:p>
        </w:tc>
        <w:tc>
          <w:tcPr>
            <w:tcW w:w="1325" w:type="pct"/>
            <w:shd w:val="clear" w:color="auto" w:fill="E7E6E6" w:themeFill="background2"/>
            <w:vAlign w:val="center"/>
          </w:tcPr>
          <w:p w:rsidR="00593436" w:rsidRPr="009865C7" w14:paraId="4D3DA98B" w14:textId="0E669DA9">
            <w:pPr>
              <w:pStyle w:val="NoSpacing"/>
              <w:rPr>
                <w:b/>
                <w:bCs/>
                <w:color w:val="000000"/>
                <w:sz w:val="18"/>
                <w:szCs w:val="18"/>
              </w:rPr>
            </w:pPr>
            <w:r w:rsidRPr="009865C7">
              <w:rPr>
                <w:b/>
                <w:bCs/>
                <w:color w:val="000000"/>
                <w:sz w:val="18"/>
                <w:szCs w:val="18"/>
              </w:rPr>
              <w:t>5,375</w:t>
            </w:r>
          </w:p>
        </w:tc>
        <w:tc>
          <w:tcPr>
            <w:tcW w:w="1321" w:type="pct"/>
            <w:shd w:val="clear" w:color="auto" w:fill="E7E6E6" w:themeFill="background2"/>
          </w:tcPr>
          <w:p w:rsidR="00593436" w:rsidRPr="009865C7" w14:paraId="519E2B03" w14:textId="2A6797DD">
            <w:pPr>
              <w:pStyle w:val="NoSpacing"/>
              <w:rPr>
                <w:b/>
                <w:bCs/>
                <w:color w:val="000000"/>
                <w:sz w:val="18"/>
                <w:szCs w:val="18"/>
              </w:rPr>
            </w:pPr>
            <w:r w:rsidRPr="009865C7">
              <w:rPr>
                <w:b/>
                <w:bCs/>
                <w:color w:val="000000"/>
                <w:sz w:val="18"/>
                <w:szCs w:val="18"/>
              </w:rPr>
              <w:t>$ 725,846</w:t>
            </w:r>
          </w:p>
        </w:tc>
      </w:tr>
    </w:tbl>
    <w:p w:rsidR="00593436" w:rsidP="00CC7ACB" w14:paraId="207C11E2" w14:textId="77777777">
      <w:pPr>
        <w:ind w:left="360"/>
        <w:rPr>
          <w:sz w:val="24"/>
          <w:szCs w:val="24"/>
        </w:rPr>
      </w:pPr>
    </w:p>
    <w:p w:rsidR="006C7FAE" w:rsidRPr="006C7FAE" w:rsidP="00B72EF2" w14:paraId="7F70CD08" w14:textId="77777777">
      <w:pPr>
        <w:tabs>
          <w:tab w:val="left" w:pos="360"/>
        </w:tabs>
        <w:rPr>
          <w:sz w:val="24"/>
          <w:szCs w:val="24"/>
        </w:rPr>
      </w:pPr>
    </w:p>
    <w:p w:rsidR="009E13B1" w14:paraId="2576A751" w14:textId="77777777">
      <w:pPr>
        <w:keepLines/>
        <w:tabs>
          <w:tab w:val="left" w:pos="360"/>
        </w:tabs>
        <w:spacing w:after="80"/>
        <w:ind w:left="360" w:hanging="360"/>
        <w:rPr>
          <w:b/>
          <w:bCs/>
          <w:sz w:val="24"/>
          <w:szCs w:val="24"/>
        </w:rPr>
      </w:pPr>
      <w:r w:rsidRPr="00AC640E">
        <w:rPr>
          <w:b/>
          <w:bCs/>
          <w:sz w:val="24"/>
          <w:szCs w:val="24"/>
        </w:rPr>
        <w:t>15.</w:t>
      </w:r>
      <w:r w:rsidRPr="00AC640E">
        <w:rPr>
          <w:b/>
          <w:bCs/>
          <w:sz w:val="24"/>
          <w:szCs w:val="24"/>
        </w:rPr>
        <w:tab/>
        <w:t>Explain the reasons for any program changes or adjustments reported in Items 1</w:t>
      </w:r>
      <w:r w:rsidRPr="00AC640E" w:rsidR="000D5079">
        <w:rPr>
          <w:b/>
          <w:bCs/>
          <w:sz w:val="24"/>
          <w:szCs w:val="24"/>
        </w:rPr>
        <w:t>2</w:t>
      </w:r>
      <w:r w:rsidRPr="00AC640E">
        <w:rPr>
          <w:b/>
          <w:bCs/>
          <w:sz w:val="24"/>
          <w:szCs w:val="24"/>
        </w:rPr>
        <w:t xml:space="preserve"> and 14 of the </w:t>
      </w:r>
      <w:r w:rsidRPr="00AC640E" w:rsidR="00CA06CC">
        <w:rPr>
          <w:b/>
          <w:bCs/>
          <w:sz w:val="24"/>
          <w:szCs w:val="24"/>
        </w:rPr>
        <w:t>Supporting Statement</w:t>
      </w:r>
      <w:r w:rsidRPr="00AC640E">
        <w:rPr>
          <w:b/>
          <w:bCs/>
          <w:sz w:val="24"/>
          <w:szCs w:val="24"/>
        </w:rPr>
        <w:t>.</w:t>
      </w:r>
    </w:p>
    <w:p w:rsidR="007D2C02" w:rsidRPr="00866170" w:rsidP="00866170" w14:paraId="53FD8832" w14:textId="77777777">
      <w:pPr>
        <w:keepLines/>
        <w:tabs>
          <w:tab w:val="left" w:pos="360"/>
        </w:tabs>
        <w:spacing w:after="80"/>
        <w:ind w:left="360" w:hanging="360"/>
        <w:rPr>
          <w:sz w:val="24"/>
          <w:szCs w:val="24"/>
        </w:rPr>
      </w:pPr>
      <w:r>
        <w:rPr>
          <w:b/>
          <w:bCs/>
          <w:sz w:val="24"/>
          <w:szCs w:val="24"/>
        </w:rPr>
        <w:tab/>
      </w:r>
      <w:r w:rsidRPr="00E57E60">
        <w:rPr>
          <w:sz w:val="24"/>
          <w:szCs w:val="24"/>
        </w:rPr>
        <w:t>This submission is a new request for approval.</w:t>
      </w:r>
      <w:r w:rsidR="00681A23">
        <w:rPr>
          <w:sz w:val="24"/>
          <w:szCs w:val="24"/>
        </w:rPr>
        <w:t xml:space="preserve"> There are no changes or adjustments reported in items 12 </w:t>
      </w:r>
      <w:r w:rsidR="007063E1">
        <w:rPr>
          <w:sz w:val="24"/>
          <w:szCs w:val="24"/>
        </w:rPr>
        <w:t xml:space="preserve">and </w:t>
      </w:r>
      <w:r w:rsidR="00681A23">
        <w:rPr>
          <w:sz w:val="24"/>
          <w:szCs w:val="24"/>
        </w:rPr>
        <w:t>14 of the Supporting Statement.</w:t>
      </w:r>
    </w:p>
    <w:p w:rsidR="007D2C02" w:rsidP="00866170" w14:paraId="405EC1BA" w14:textId="77777777">
      <w:pPr>
        <w:keepLines/>
        <w:tabs>
          <w:tab w:val="left" w:pos="360"/>
        </w:tabs>
        <w:spacing w:after="80"/>
        <w:rPr>
          <w:b/>
          <w:bCs/>
          <w:sz w:val="24"/>
          <w:szCs w:val="24"/>
        </w:rPr>
      </w:pPr>
    </w:p>
    <w:p w:rsidR="009E13B1" w14:paraId="0E3AD510" w14:textId="77777777">
      <w:pPr>
        <w:keepLines/>
        <w:tabs>
          <w:tab w:val="left" w:pos="360"/>
        </w:tabs>
        <w:spacing w:after="80"/>
        <w:ind w:left="360" w:hanging="360"/>
        <w:rPr>
          <w:b/>
          <w:bCs/>
          <w:sz w:val="24"/>
          <w:szCs w:val="24"/>
        </w:rPr>
      </w:pPr>
      <w:r w:rsidRPr="00CE68D1">
        <w:rPr>
          <w:b/>
          <w:bCs/>
          <w:sz w:val="24"/>
          <w:szCs w:val="24"/>
        </w:rPr>
        <w:t>16</w:t>
      </w:r>
      <w:r w:rsidRPr="006C7FAE">
        <w:rPr>
          <w:sz w:val="24"/>
          <w:szCs w:val="24"/>
        </w:rPr>
        <w:t>.</w:t>
      </w:r>
      <w:r w:rsidRPr="006C7FAE">
        <w:rPr>
          <w:sz w:val="24"/>
          <w:szCs w:val="24"/>
        </w:rPr>
        <w:tab/>
      </w:r>
      <w:r w:rsidRPr="00CE68D1">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C640E" w14:paraId="020C8E26" w14:textId="77777777">
      <w:pPr>
        <w:keepLines/>
        <w:tabs>
          <w:tab w:val="left" w:pos="360"/>
        </w:tabs>
        <w:spacing w:after="80"/>
        <w:ind w:left="360" w:hanging="360"/>
        <w:rPr>
          <w:b/>
          <w:bCs/>
          <w:sz w:val="24"/>
          <w:szCs w:val="24"/>
        </w:rPr>
      </w:pPr>
    </w:p>
    <w:p w:rsidR="00AC640E" w14:paraId="36B5F849" w14:textId="247A223B">
      <w:pPr>
        <w:keepLines/>
        <w:tabs>
          <w:tab w:val="left" w:pos="360"/>
        </w:tabs>
        <w:spacing w:after="80"/>
        <w:ind w:left="360" w:hanging="360"/>
        <w:rPr>
          <w:sz w:val="24"/>
          <w:szCs w:val="24"/>
        </w:rPr>
      </w:pPr>
      <w:r>
        <w:rPr>
          <w:sz w:val="24"/>
          <w:szCs w:val="24"/>
        </w:rPr>
        <w:tab/>
      </w:r>
      <w:r w:rsidRPr="00E57E60">
        <w:rPr>
          <w:sz w:val="24"/>
          <w:szCs w:val="24"/>
        </w:rPr>
        <w:t xml:space="preserve">The data collected will be analyzed, tabulated, and reported to HUD by the evaluation contractor, </w:t>
      </w:r>
      <w:r w:rsidR="008911BD">
        <w:rPr>
          <w:sz w:val="24"/>
          <w:szCs w:val="24"/>
        </w:rPr>
        <w:t xml:space="preserve">SPR, and </w:t>
      </w:r>
      <w:r w:rsidRPr="00295ED3" w:rsidR="008911BD">
        <w:rPr>
          <w:sz w:val="24"/>
          <w:szCs w:val="24"/>
        </w:rPr>
        <w:t xml:space="preserve">its </w:t>
      </w:r>
      <w:r w:rsidR="008911BD">
        <w:rPr>
          <w:sz w:val="24"/>
          <w:szCs w:val="24"/>
        </w:rPr>
        <w:t>subcontractor, Abt Global</w:t>
      </w:r>
      <w:r w:rsidR="005E7998">
        <w:rPr>
          <w:sz w:val="24"/>
          <w:szCs w:val="24"/>
        </w:rPr>
        <w:t xml:space="preserve">. </w:t>
      </w:r>
    </w:p>
    <w:p w:rsidR="00761BB3" w:rsidP="009865C7" w14:paraId="1319DFB7" w14:textId="77777777">
      <w:pPr>
        <w:pStyle w:val="NoSpacing"/>
      </w:pPr>
    </w:p>
    <w:p w:rsidR="00124C9D" w14:paraId="4CF28BC8" w14:textId="0FE9DC25">
      <w:pPr>
        <w:keepLines/>
        <w:tabs>
          <w:tab w:val="left" w:pos="360"/>
        </w:tabs>
        <w:spacing w:after="80"/>
        <w:ind w:left="360" w:hanging="360"/>
        <w:rPr>
          <w:sz w:val="24"/>
          <w:szCs w:val="24"/>
        </w:rPr>
      </w:pPr>
      <w:r>
        <w:rPr>
          <w:sz w:val="24"/>
          <w:szCs w:val="24"/>
        </w:rPr>
        <w:tab/>
      </w:r>
      <w:r>
        <w:rPr>
          <w:rFonts w:eastAsia="Calibri"/>
          <w:b/>
          <w:sz w:val="24"/>
          <w:szCs w:val="24"/>
        </w:rPr>
        <w:t>Table 3: Evaluation Schedule</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3475"/>
        <w:gridCol w:w="3545"/>
      </w:tblGrid>
      <w:tr w14:paraId="41E91436" w14:textId="77777777" w:rsidTr="009865C7">
        <w:tblPrEx>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00" w:type="dxa"/>
            <w:tcBorders>
              <w:top w:val="single" w:sz="4" w:space="0" w:color="auto"/>
            </w:tcBorders>
            <w:shd w:val="clear" w:color="auto" w:fill="auto"/>
          </w:tcPr>
          <w:p w:rsidR="00124C9D" w14:paraId="5FD830A7" w14:textId="77777777">
            <w:pPr>
              <w:contextualSpacing/>
              <w:rPr>
                <w:rFonts w:eastAsia="Calibri"/>
                <w:b/>
                <w:sz w:val="22"/>
                <w:szCs w:val="22"/>
              </w:rPr>
            </w:pPr>
            <w:r>
              <w:rPr>
                <w:rFonts w:eastAsia="Calibri"/>
                <w:b/>
                <w:sz w:val="22"/>
                <w:szCs w:val="22"/>
              </w:rPr>
              <w:t>Task</w:t>
            </w:r>
          </w:p>
        </w:tc>
        <w:tc>
          <w:tcPr>
            <w:tcW w:w="3475" w:type="dxa"/>
            <w:tcBorders>
              <w:top w:val="single" w:sz="4" w:space="0" w:color="auto"/>
            </w:tcBorders>
            <w:shd w:val="clear" w:color="auto" w:fill="auto"/>
          </w:tcPr>
          <w:p w:rsidR="00124C9D" w14:paraId="03CF5262" w14:textId="77777777">
            <w:pPr>
              <w:contextualSpacing/>
              <w:rPr>
                <w:rFonts w:eastAsia="Calibri"/>
                <w:b/>
                <w:sz w:val="22"/>
                <w:szCs w:val="22"/>
              </w:rPr>
            </w:pPr>
            <w:r>
              <w:rPr>
                <w:rFonts w:eastAsia="Calibri"/>
                <w:b/>
                <w:sz w:val="22"/>
                <w:szCs w:val="22"/>
              </w:rPr>
              <w:t>Description</w:t>
            </w:r>
          </w:p>
        </w:tc>
        <w:tc>
          <w:tcPr>
            <w:tcW w:w="3545" w:type="dxa"/>
            <w:tcBorders>
              <w:top w:val="single" w:sz="4" w:space="0" w:color="auto"/>
            </w:tcBorders>
            <w:shd w:val="clear" w:color="auto" w:fill="auto"/>
          </w:tcPr>
          <w:p w:rsidR="00124C9D" w14:paraId="439839AA" w14:textId="77777777">
            <w:pPr>
              <w:contextualSpacing/>
              <w:rPr>
                <w:rFonts w:eastAsia="Calibri"/>
                <w:b/>
                <w:sz w:val="22"/>
                <w:szCs w:val="22"/>
              </w:rPr>
            </w:pPr>
            <w:r>
              <w:rPr>
                <w:rFonts w:eastAsia="Calibri"/>
                <w:b/>
                <w:sz w:val="22"/>
                <w:szCs w:val="22"/>
              </w:rPr>
              <w:t>Timeframe (after OMB approval)</w:t>
            </w:r>
          </w:p>
        </w:tc>
      </w:tr>
      <w:tr w14:paraId="6D0C48CD" w14:textId="77777777" w:rsidTr="009865C7">
        <w:tblPrEx>
          <w:tblW w:w="9720" w:type="dxa"/>
          <w:tblInd w:w="85" w:type="dxa"/>
          <w:tblLook w:val="04A0"/>
        </w:tblPrEx>
        <w:tc>
          <w:tcPr>
            <w:tcW w:w="2700" w:type="dxa"/>
            <w:shd w:val="clear" w:color="auto" w:fill="auto"/>
          </w:tcPr>
          <w:p w:rsidR="00124C9D" w14:paraId="25B93336" w14:textId="77777777">
            <w:pPr>
              <w:contextualSpacing/>
              <w:rPr>
                <w:rFonts w:eastAsia="Calibri"/>
                <w:sz w:val="22"/>
                <w:szCs w:val="22"/>
              </w:rPr>
            </w:pPr>
            <w:r>
              <w:rPr>
                <w:rFonts w:eastAsia="Calibri"/>
                <w:bCs/>
                <w:sz w:val="22"/>
                <w:szCs w:val="22"/>
              </w:rPr>
              <w:t xml:space="preserve">Web Survey administration </w:t>
            </w:r>
          </w:p>
        </w:tc>
        <w:tc>
          <w:tcPr>
            <w:tcW w:w="3475" w:type="dxa"/>
            <w:shd w:val="clear" w:color="auto" w:fill="auto"/>
          </w:tcPr>
          <w:p w:rsidR="00124C9D" w14:paraId="4CEE5F0E" w14:textId="77777777">
            <w:pPr>
              <w:contextualSpacing/>
              <w:rPr>
                <w:rFonts w:eastAsia="Calibri"/>
                <w:sz w:val="22"/>
                <w:szCs w:val="22"/>
              </w:rPr>
            </w:pPr>
            <w:r>
              <w:rPr>
                <w:rFonts w:eastAsia="Calibri"/>
                <w:sz w:val="22"/>
                <w:szCs w:val="22"/>
              </w:rPr>
              <w:t>Distribution and collection of survey responses</w:t>
            </w:r>
          </w:p>
        </w:tc>
        <w:tc>
          <w:tcPr>
            <w:tcW w:w="3545" w:type="dxa"/>
            <w:shd w:val="clear" w:color="auto" w:fill="auto"/>
          </w:tcPr>
          <w:p w:rsidR="00124C9D" w14:paraId="6FC17E04" w14:textId="77777777">
            <w:pPr>
              <w:contextualSpacing/>
              <w:rPr>
                <w:rFonts w:eastAsia="Calibri"/>
                <w:sz w:val="22"/>
                <w:szCs w:val="22"/>
              </w:rPr>
            </w:pPr>
            <w:r>
              <w:rPr>
                <w:rFonts w:eastAsia="Calibri"/>
                <w:sz w:val="22"/>
                <w:szCs w:val="22"/>
              </w:rPr>
              <w:t>October</w:t>
            </w:r>
            <w:r>
              <w:rPr>
                <w:rFonts w:eastAsia="Calibri"/>
                <w:sz w:val="22"/>
                <w:szCs w:val="22"/>
              </w:rPr>
              <w:t xml:space="preserve"> 202</w:t>
            </w:r>
            <w:r w:rsidR="008F25C1">
              <w:rPr>
                <w:rFonts w:eastAsia="Calibri"/>
                <w:sz w:val="22"/>
                <w:szCs w:val="22"/>
              </w:rPr>
              <w:t>4</w:t>
            </w:r>
            <w:r>
              <w:rPr>
                <w:rFonts w:eastAsia="Calibri"/>
                <w:sz w:val="22"/>
                <w:szCs w:val="22"/>
              </w:rPr>
              <w:t xml:space="preserve"> – </w:t>
            </w:r>
            <w:r w:rsidR="0038338D">
              <w:rPr>
                <w:rFonts w:eastAsia="Calibri"/>
                <w:sz w:val="22"/>
                <w:szCs w:val="22"/>
              </w:rPr>
              <w:t xml:space="preserve">February </w:t>
            </w:r>
            <w:r w:rsidR="008F25C1">
              <w:rPr>
                <w:rFonts w:eastAsia="Calibri"/>
                <w:sz w:val="22"/>
                <w:szCs w:val="22"/>
              </w:rPr>
              <w:t>2025</w:t>
            </w:r>
          </w:p>
        </w:tc>
      </w:tr>
      <w:tr w14:paraId="3A29719B" w14:textId="77777777" w:rsidTr="009865C7">
        <w:tblPrEx>
          <w:tblW w:w="9720" w:type="dxa"/>
          <w:tblInd w:w="85" w:type="dxa"/>
          <w:tblLook w:val="04A0"/>
        </w:tblPrEx>
        <w:tc>
          <w:tcPr>
            <w:tcW w:w="2700" w:type="dxa"/>
            <w:shd w:val="clear" w:color="auto" w:fill="auto"/>
          </w:tcPr>
          <w:p w:rsidR="00124C9D" w14:paraId="0B51C94D" w14:textId="575E1C24">
            <w:pPr>
              <w:contextualSpacing/>
              <w:rPr>
                <w:rFonts w:eastAsia="Calibri"/>
                <w:sz w:val="22"/>
                <w:szCs w:val="22"/>
              </w:rPr>
            </w:pPr>
            <w:r>
              <w:rPr>
                <w:rFonts w:eastAsia="Calibri"/>
                <w:bCs/>
                <w:sz w:val="22"/>
                <w:szCs w:val="22"/>
              </w:rPr>
              <w:t>PHA/CoC</w:t>
            </w:r>
            <w:r w:rsidR="009C04B8">
              <w:rPr>
                <w:rFonts w:eastAsia="Calibri"/>
                <w:bCs/>
                <w:sz w:val="22"/>
                <w:szCs w:val="22"/>
              </w:rPr>
              <w:t>/Other Partner</w:t>
            </w:r>
            <w:r>
              <w:rPr>
                <w:rFonts w:eastAsia="Calibri"/>
                <w:bCs/>
                <w:sz w:val="22"/>
                <w:szCs w:val="22"/>
              </w:rPr>
              <w:t xml:space="preserve"> Interviews</w:t>
            </w:r>
          </w:p>
        </w:tc>
        <w:tc>
          <w:tcPr>
            <w:tcW w:w="3475" w:type="dxa"/>
            <w:shd w:val="clear" w:color="auto" w:fill="auto"/>
          </w:tcPr>
          <w:p w:rsidR="00124C9D" w14:paraId="5BA446F1" w14:textId="673331AA">
            <w:pPr>
              <w:contextualSpacing/>
              <w:rPr>
                <w:rFonts w:eastAsia="Calibri"/>
                <w:sz w:val="22"/>
                <w:szCs w:val="22"/>
              </w:rPr>
            </w:pPr>
            <w:r>
              <w:rPr>
                <w:rFonts w:eastAsia="Calibri"/>
                <w:sz w:val="22"/>
                <w:szCs w:val="22"/>
              </w:rPr>
              <w:t>Interviews with high-level staff</w:t>
            </w:r>
            <w:r w:rsidR="00CC7ACB">
              <w:rPr>
                <w:rFonts w:eastAsia="Calibri"/>
                <w:sz w:val="22"/>
                <w:szCs w:val="22"/>
              </w:rPr>
              <w:t xml:space="preserve"> in selected PHAs</w:t>
            </w:r>
            <w:r w:rsidR="009C04B8">
              <w:rPr>
                <w:rFonts w:eastAsia="Calibri"/>
                <w:sz w:val="22"/>
                <w:szCs w:val="22"/>
              </w:rPr>
              <w:t xml:space="preserve">, </w:t>
            </w:r>
            <w:r w:rsidR="00CC7ACB">
              <w:rPr>
                <w:rFonts w:eastAsia="Calibri"/>
                <w:sz w:val="22"/>
                <w:szCs w:val="22"/>
              </w:rPr>
              <w:t>CoCs</w:t>
            </w:r>
            <w:r w:rsidR="009C04B8">
              <w:rPr>
                <w:rFonts w:eastAsia="Calibri"/>
                <w:sz w:val="22"/>
                <w:szCs w:val="22"/>
              </w:rPr>
              <w:t>, and Other PHA Partners</w:t>
            </w:r>
          </w:p>
        </w:tc>
        <w:tc>
          <w:tcPr>
            <w:tcW w:w="3545" w:type="dxa"/>
            <w:shd w:val="clear" w:color="auto" w:fill="auto"/>
          </w:tcPr>
          <w:p w:rsidR="00124C9D" w14:paraId="48427FB0" w14:textId="77777777">
            <w:pPr>
              <w:contextualSpacing/>
              <w:rPr>
                <w:rFonts w:eastAsia="Calibri"/>
                <w:sz w:val="22"/>
                <w:szCs w:val="22"/>
              </w:rPr>
            </w:pPr>
            <w:r>
              <w:rPr>
                <w:rFonts w:eastAsia="Calibri"/>
                <w:sz w:val="22"/>
                <w:szCs w:val="22"/>
              </w:rPr>
              <w:t>After web survey closes</w:t>
            </w:r>
            <w:r>
              <w:rPr>
                <w:rFonts w:eastAsia="Calibri"/>
                <w:sz w:val="22"/>
                <w:szCs w:val="22"/>
              </w:rPr>
              <w:t xml:space="preserve">– </w:t>
            </w:r>
            <w:r w:rsidR="008F25C1">
              <w:rPr>
                <w:rFonts w:eastAsia="Calibri"/>
                <w:sz w:val="22"/>
                <w:szCs w:val="22"/>
              </w:rPr>
              <w:t>Ma</w:t>
            </w:r>
            <w:r w:rsidR="00DC36CE">
              <w:rPr>
                <w:rFonts w:eastAsia="Calibri"/>
                <w:sz w:val="22"/>
                <w:szCs w:val="22"/>
              </w:rPr>
              <w:t>y</w:t>
            </w:r>
            <w:r>
              <w:rPr>
                <w:rFonts w:eastAsia="Calibri"/>
                <w:sz w:val="22"/>
                <w:szCs w:val="22"/>
              </w:rPr>
              <w:t xml:space="preserve"> 202</w:t>
            </w:r>
            <w:r w:rsidR="008F25C1">
              <w:rPr>
                <w:rFonts w:eastAsia="Calibri"/>
                <w:sz w:val="22"/>
                <w:szCs w:val="22"/>
              </w:rPr>
              <w:t>5</w:t>
            </w:r>
          </w:p>
        </w:tc>
      </w:tr>
      <w:tr w14:paraId="1776FEBF" w14:textId="77777777" w:rsidTr="009865C7">
        <w:tblPrEx>
          <w:tblW w:w="9720" w:type="dxa"/>
          <w:tblInd w:w="85" w:type="dxa"/>
          <w:tblLook w:val="04A0"/>
        </w:tblPrEx>
        <w:tc>
          <w:tcPr>
            <w:tcW w:w="2700" w:type="dxa"/>
            <w:shd w:val="clear" w:color="auto" w:fill="auto"/>
          </w:tcPr>
          <w:p w:rsidR="00124C9D" w14:paraId="62F82C03" w14:textId="3470B343">
            <w:pPr>
              <w:contextualSpacing/>
              <w:rPr>
                <w:rFonts w:eastAsia="Calibri"/>
                <w:bCs/>
                <w:sz w:val="22"/>
                <w:szCs w:val="22"/>
              </w:rPr>
            </w:pPr>
            <w:r>
              <w:rPr>
                <w:rFonts w:eastAsia="Calibri"/>
                <w:bCs/>
                <w:sz w:val="22"/>
                <w:szCs w:val="22"/>
              </w:rPr>
              <w:t xml:space="preserve">Final </w:t>
            </w:r>
            <w:r w:rsidR="004D1900">
              <w:rPr>
                <w:rFonts w:eastAsia="Calibri"/>
                <w:bCs/>
                <w:sz w:val="22"/>
                <w:szCs w:val="22"/>
              </w:rPr>
              <w:t>report</w:t>
            </w:r>
          </w:p>
        </w:tc>
        <w:tc>
          <w:tcPr>
            <w:tcW w:w="3475" w:type="dxa"/>
            <w:shd w:val="clear" w:color="auto" w:fill="auto"/>
          </w:tcPr>
          <w:p w:rsidR="00124C9D" w14:paraId="65BD4DB9" w14:textId="6B5048AB">
            <w:pPr>
              <w:contextualSpacing/>
              <w:rPr>
                <w:rFonts w:eastAsia="Calibri"/>
                <w:sz w:val="22"/>
                <w:szCs w:val="22"/>
              </w:rPr>
            </w:pPr>
            <w:r>
              <w:rPr>
                <w:rFonts w:eastAsia="Calibri"/>
                <w:sz w:val="22"/>
                <w:szCs w:val="22"/>
              </w:rPr>
              <w:t xml:space="preserve">Drafting and </w:t>
            </w:r>
            <w:r w:rsidR="00CC7ACB">
              <w:rPr>
                <w:rFonts w:eastAsia="Calibri"/>
                <w:sz w:val="22"/>
                <w:szCs w:val="22"/>
              </w:rPr>
              <w:t>dissemination</w:t>
            </w:r>
            <w:r>
              <w:rPr>
                <w:rFonts w:eastAsia="Calibri"/>
                <w:sz w:val="22"/>
                <w:szCs w:val="22"/>
              </w:rPr>
              <w:t xml:space="preserve"> of final </w:t>
            </w:r>
            <w:r w:rsidR="004D1900">
              <w:rPr>
                <w:rFonts w:eastAsia="Calibri"/>
                <w:sz w:val="22"/>
                <w:szCs w:val="22"/>
              </w:rPr>
              <w:t>report</w:t>
            </w:r>
          </w:p>
        </w:tc>
        <w:tc>
          <w:tcPr>
            <w:tcW w:w="3545" w:type="dxa"/>
            <w:shd w:val="clear" w:color="auto" w:fill="auto"/>
          </w:tcPr>
          <w:p w:rsidR="00124C9D" w14:paraId="2A5B9BDC" w14:textId="77777777">
            <w:pPr>
              <w:contextualSpacing/>
              <w:rPr>
                <w:rFonts w:eastAsia="Calibri"/>
                <w:sz w:val="22"/>
                <w:szCs w:val="22"/>
              </w:rPr>
            </w:pPr>
            <w:r>
              <w:rPr>
                <w:rFonts w:eastAsia="Calibri"/>
                <w:sz w:val="22"/>
                <w:szCs w:val="22"/>
              </w:rPr>
              <w:t>July</w:t>
            </w:r>
            <w:r w:rsidR="00672559">
              <w:rPr>
                <w:rFonts w:eastAsia="Calibri"/>
                <w:sz w:val="22"/>
                <w:szCs w:val="22"/>
              </w:rPr>
              <w:t xml:space="preserve"> </w:t>
            </w:r>
            <w:r>
              <w:rPr>
                <w:rFonts w:eastAsia="Calibri"/>
                <w:sz w:val="22"/>
                <w:szCs w:val="22"/>
              </w:rPr>
              <w:t>202</w:t>
            </w:r>
            <w:r w:rsidR="008F25C1">
              <w:rPr>
                <w:rFonts w:eastAsia="Calibri"/>
                <w:sz w:val="22"/>
                <w:szCs w:val="22"/>
              </w:rPr>
              <w:t>5</w:t>
            </w:r>
            <w:r>
              <w:rPr>
                <w:rFonts w:eastAsia="Calibri"/>
                <w:sz w:val="22"/>
                <w:szCs w:val="22"/>
              </w:rPr>
              <w:t xml:space="preserve"> - </w:t>
            </w:r>
            <w:r w:rsidR="00672559">
              <w:rPr>
                <w:rFonts w:eastAsia="Calibri"/>
                <w:sz w:val="22"/>
                <w:szCs w:val="22"/>
              </w:rPr>
              <w:t>August</w:t>
            </w:r>
            <w:r>
              <w:rPr>
                <w:rFonts w:eastAsia="Calibri"/>
                <w:sz w:val="22"/>
                <w:szCs w:val="22"/>
              </w:rPr>
              <w:t xml:space="preserve"> 202</w:t>
            </w:r>
            <w:r w:rsidR="008F25C1">
              <w:rPr>
                <w:rFonts w:eastAsia="Calibri"/>
                <w:sz w:val="22"/>
                <w:szCs w:val="22"/>
              </w:rPr>
              <w:t>5</w:t>
            </w:r>
          </w:p>
        </w:tc>
      </w:tr>
    </w:tbl>
    <w:p w:rsidR="00124C9D" w:rsidRPr="006C7FAE" w14:paraId="4B17A53A" w14:textId="77777777">
      <w:pPr>
        <w:keepLines/>
        <w:tabs>
          <w:tab w:val="left" w:pos="360"/>
        </w:tabs>
        <w:spacing w:after="80"/>
        <w:ind w:left="360" w:hanging="360"/>
        <w:rPr>
          <w:sz w:val="24"/>
          <w:szCs w:val="24"/>
        </w:rPr>
      </w:pPr>
    </w:p>
    <w:p w:rsidR="009E13B1" w14:paraId="287BFB5B" w14:textId="77777777">
      <w:pPr>
        <w:keepLines/>
        <w:tabs>
          <w:tab w:val="left" w:pos="360"/>
        </w:tabs>
        <w:spacing w:after="80"/>
        <w:ind w:left="360" w:hanging="360"/>
        <w:rPr>
          <w:b/>
          <w:bCs/>
          <w:sz w:val="24"/>
          <w:szCs w:val="24"/>
        </w:rPr>
      </w:pPr>
      <w:r w:rsidRPr="00CE68D1">
        <w:rPr>
          <w:b/>
          <w:bCs/>
          <w:sz w:val="24"/>
          <w:szCs w:val="24"/>
        </w:rPr>
        <w:t>17.</w:t>
      </w:r>
      <w:r w:rsidRPr="00CE68D1">
        <w:rPr>
          <w:b/>
          <w:bCs/>
          <w:sz w:val="24"/>
          <w:szCs w:val="24"/>
        </w:rPr>
        <w:tab/>
        <w:t>If seeking approval to not display the expiration date for OMB approval of the information collection, explain the reasons that display would be inappropriate.</w:t>
      </w:r>
    </w:p>
    <w:p w:rsidR="009865C7" w:rsidP="009865C7" w14:paraId="35D0526E" w14:textId="77777777">
      <w:pPr>
        <w:pStyle w:val="NoSpacing"/>
        <w:ind w:left="360"/>
        <w:rPr>
          <w:b/>
          <w:bCs/>
        </w:rPr>
      </w:pPr>
    </w:p>
    <w:p w:rsidR="00AC640E" w:rsidRPr="006C7FAE" w:rsidP="009865C7" w14:paraId="37669160" w14:textId="4DB50D69">
      <w:pPr>
        <w:pStyle w:val="NoSpacing"/>
        <w:ind w:left="360"/>
      </w:pPr>
      <w:r w:rsidRPr="006F7769">
        <w:t>Not applicable.</w:t>
      </w:r>
      <w:r>
        <w:rPr>
          <w:b/>
          <w:bCs/>
        </w:rPr>
        <w:t xml:space="preserve"> </w:t>
      </w:r>
      <w:r w:rsidRPr="00E57E60">
        <w:rPr>
          <w:lang w:eastAsia="zh-CN" w:bidi="hi-IN"/>
        </w:rPr>
        <w:t>The expiration date for OMB approval will be displayed on all forms completed as part of the data collection.</w:t>
      </w:r>
    </w:p>
    <w:p w:rsidR="009E13B1" w:rsidRPr="006C7FAE" w:rsidP="009865C7" w14:paraId="74E3D601" w14:textId="77777777">
      <w:pPr>
        <w:pStyle w:val="NoSpacing"/>
      </w:pPr>
    </w:p>
    <w:p w:rsidR="009E13B1" w14:paraId="6395E52A" w14:textId="77777777">
      <w:pPr>
        <w:keepLines/>
        <w:tabs>
          <w:tab w:val="left" w:pos="360"/>
        </w:tabs>
        <w:spacing w:after="80"/>
        <w:ind w:left="360" w:hanging="360"/>
        <w:rPr>
          <w:b/>
          <w:bCs/>
          <w:sz w:val="24"/>
          <w:szCs w:val="24"/>
        </w:rPr>
      </w:pPr>
      <w:r w:rsidRPr="00CE68D1">
        <w:rPr>
          <w:b/>
          <w:bCs/>
          <w:sz w:val="24"/>
          <w:szCs w:val="24"/>
        </w:rPr>
        <w:t>18.</w:t>
      </w:r>
      <w:r w:rsidRPr="00CE68D1">
        <w:rPr>
          <w:b/>
          <w:bCs/>
          <w:sz w:val="24"/>
          <w:szCs w:val="24"/>
        </w:rPr>
        <w:tab/>
        <w:t>Explain each exception to the certification statement identified in item 19.</w:t>
      </w:r>
    </w:p>
    <w:p w:rsidR="009865C7" w:rsidP="009865C7" w14:paraId="4F2B6B67" w14:textId="77777777">
      <w:pPr>
        <w:pStyle w:val="NoSpacing"/>
        <w:ind w:left="360"/>
      </w:pPr>
    </w:p>
    <w:p w:rsidR="008A1E91" w:rsidP="009865C7" w14:paraId="55A193FC" w14:textId="66EA8CE0">
      <w:pPr>
        <w:pStyle w:val="NoSpacing"/>
        <w:ind w:left="360"/>
      </w:pPr>
      <w:r w:rsidRPr="00E57E60">
        <w:t>This submission describ</w:t>
      </w:r>
      <w:r w:rsidR="005F557A">
        <w:t>ing</w:t>
      </w:r>
      <w:r w:rsidRPr="00E57E60">
        <w:t xml:space="preserve"> data collection requests no exceptions to the Certificate for Paperwork Reduction Act (5 CFR</w:t>
      </w:r>
      <w:r>
        <w:t xml:space="preserve"> §</w:t>
      </w:r>
      <w:r w:rsidRPr="00E57E60">
        <w:t xml:space="preserve"> 1320.9).</w:t>
      </w:r>
      <w:r w:rsidRPr="00874435">
        <w:t xml:space="preserve"> </w:t>
      </w:r>
    </w:p>
    <w:sectPr w:rsidSect="00D84D5B">
      <w:headerReference w:type="even" r:id="rId10"/>
      <w:headerReference w:type="default" r:id="rId11"/>
      <w:pgSz w:w="12240" w:h="15840"/>
      <w:pgMar w:top="1440" w:right="1440" w:bottom="1440" w:left="126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4A97" w14:paraId="4C1EAE2E" w14:textId="77777777">
      <w:r>
        <w:separator/>
      </w:r>
    </w:p>
  </w:footnote>
  <w:footnote w:type="continuationSeparator" w:id="1">
    <w:p w:rsidR="00F04A97" w14:paraId="1A794922" w14:textId="77777777">
      <w:r>
        <w:continuationSeparator/>
      </w:r>
    </w:p>
  </w:footnote>
  <w:footnote w:type="continuationNotice" w:id="2">
    <w:p w:rsidR="00F04A97" w14:paraId="60AAFDC3" w14:textId="77777777"/>
  </w:footnote>
  <w:footnote w:id="3">
    <w:p w:rsidR="00832A36" w14:paraId="5184D7AA" w14:textId="77777777">
      <w:pPr>
        <w:pStyle w:val="FootnoteText"/>
      </w:pPr>
      <w:r>
        <w:rPr>
          <w:rStyle w:val="FootnoteReference"/>
        </w:rPr>
        <w:footnoteRef/>
      </w:r>
      <w:r>
        <w:t xml:space="preserve"> Bureau of Labor Statistics (2023)</w:t>
      </w:r>
      <w:r w:rsidR="00546C65">
        <w:t xml:space="preserve"> </w:t>
      </w:r>
      <w:hyperlink r:id="rId1" w:anchor="ect_table3.f.1" w:history="1">
        <w:r w:rsidR="00546C65">
          <w:rPr>
            <w:rStyle w:val="Hyperlink"/>
          </w:rPr>
          <w:t>State and local government workers by occupational and industry group - 2023 Q03 Results (bls.gov)</w:t>
        </w:r>
      </w:hyperlink>
    </w:p>
  </w:footnote>
  <w:footnote w:id="4">
    <w:p w:rsidR="001C04A9" w:rsidP="00E56099" w14:paraId="0CBAC7FF" w14:textId="4D84A0C3">
      <w:pPr>
        <w:pStyle w:val="FootnoteText"/>
      </w:pPr>
      <w:r>
        <w:rPr>
          <w:rStyle w:val="FootnoteReference"/>
        </w:rPr>
        <w:footnoteRef/>
      </w:r>
      <w:r>
        <w:t xml:space="preserve"> Weights are based on the </w:t>
      </w:r>
      <w:r w:rsidR="00C7119F">
        <w:t xml:space="preserve">number of </w:t>
      </w:r>
      <w:r w:rsidR="00495490">
        <w:t xml:space="preserve">CoCs </w:t>
      </w:r>
      <w:r w:rsidR="00A51071">
        <w:t xml:space="preserve">working with </w:t>
      </w:r>
      <w:r w:rsidR="002712D6">
        <w:t>PHAs</w:t>
      </w:r>
      <w:r w:rsidR="001A6BC5">
        <w:t xml:space="preserve">, i.e., CoCs working with </w:t>
      </w:r>
      <w:r w:rsidR="00E41C26">
        <w:t>one PHA</w:t>
      </w:r>
      <w:r w:rsidR="00AC5168">
        <w:t xml:space="preserve"> (114)</w:t>
      </w:r>
      <w:r w:rsidR="00E41C26">
        <w:t>, 2 PHAs</w:t>
      </w:r>
      <w:r w:rsidR="00AC5168">
        <w:t xml:space="preserve"> (</w:t>
      </w:r>
      <w:r w:rsidR="0003521B">
        <w:t>102)</w:t>
      </w:r>
      <w:r w:rsidR="00E41C26">
        <w:t>, 3 PHAs</w:t>
      </w:r>
      <w:r w:rsidR="0003521B">
        <w:t xml:space="preserve"> (70)</w:t>
      </w:r>
      <w:r w:rsidR="00E41C26">
        <w:t>, 4 PHAs</w:t>
      </w:r>
      <w:r w:rsidR="0003521B">
        <w:t xml:space="preserve"> (37)</w:t>
      </w:r>
      <w:r w:rsidR="00E41C26">
        <w:t>, and 5 or more PHAs</w:t>
      </w:r>
      <w:r w:rsidR="0003521B">
        <w:t xml:space="preserve"> (37)</w:t>
      </w:r>
      <w:r w:rsidR="00E41C26">
        <w:t>.</w:t>
      </w:r>
      <w:r w:rsidR="00C72204">
        <w:t xml:space="preserve"> </w:t>
      </w:r>
    </w:p>
    <w:p w:rsidR="009B0627" w:rsidP="00E56099" w14:paraId="77052861" w14:textId="37750B71">
      <w:pPr>
        <w:pStyle w:val="FootnoteText"/>
      </w:pPr>
      <w:r>
        <w:t>Weighted average = [</w:t>
      </w:r>
      <w:r w:rsidR="00E56099">
        <w:t>.5</w:t>
      </w:r>
      <w:r w:rsidR="00003FD5">
        <w:t>0</w:t>
      </w:r>
      <w:r w:rsidR="00E56099">
        <w:t>(114)+.</w:t>
      </w:r>
      <w:r w:rsidR="00003FD5">
        <w:t>75</w:t>
      </w:r>
      <w:r w:rsidR="00E56099">
        <w:t>(102)+1.</w:t>
      </w:r>
      <w:r w:rsidR="00003FD5">
        <w:t>02</w:t>
      </w:r>
      <w:r w:rsidR="00E56099">
        <w:t>(70)+1.</w:t>
      </w:r>
      <w:r w:rsidR="00003FD5">
        <w:t>25</w:t>
      </w:r>
      <w:r w:rsidR="00E56099">
        <w:t>(37)+1.5</w:t>
      </w:r>
      <w:r w:rsidR="00003FD5">
        <w:t>0</w:t>
      </w:r>
      <w:r w:rsidR="00E56099">
        <w:t>(48)</w:t>
      </w:r>
      <w:r>
        <w:t>]/</w:t>
      </w:r>
      <w:r w:rsidR="00E56099">
        <w:t>(114+102+70+37+48) = .</w:t>
      </w:r>
      <w:r w:rsidR="00003FD5">
        <w:t>87</w:t>
      </w:r>
      <w:r w:rsidR="00E56099">
        <w:t xml:space="preserve">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02512169"/>
      <w:docPartObj>
        <w:docPartGallery w:val="Page Numbers (Top of Page)"/>
        <w:docPartUnique/>
      </w:docPartObj>
    </w:sdtPr>
    <w:sdtEndPr>
      <w:rPr>
        <w:rStyle w:val="PageNumber"/>
      </w:rPr>
    </w:sdtEndPr>
    <w:sdtContent>
      <w:p w:rsidR="009D0F53" w14:paraId="22594E3E" w14:textId="53409E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9D0F53" w:rsidP="009D0F53" w14:paraId="338754E5"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0F53" w14:paraId="5157F4A1" w14:textId="17987E37">
    <w:pPr>
      <w:pStyle w:val="Header"/>
      <w:framePr w:wrap="none" w:vAnchor="text" w:hAnchor="margin" w:xAlign="right" w:y="1"/>
      <w:rPr>
        <w:rStyle w:val="PageNumber"/>
      </w:rPr>
    </w:pPr>
  </w:p>
  <w:p w:rsidR="009E13B1" w:rsidP="009D0F53" w14:paraId="083BF068" w14:textId="6E8626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13800A8"/>
    <w:multiLevelType w:val="hybridMultilevel"/>
    <w:tmpl w:val="12989F1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6B26F7"/>
    <w:multiLevelType w:val="hybridMultilevel"/>
    <w:tmpl w:val="12825736"/>
    <w:lvl w:ilvl="0">
      <w:start w:val="1"/>
      <w:numFmt w:val="upp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
    <w:nsid w:val="0E574F45"/>
    <w:multiLevelType w:val="hybridMultilevel"/>
    <w:tmpl w:val="B24A6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4F5EBA"/>
    <w:multiLevelType w:val="hybridMultilevel"/>
    <w:tmpl w:val="537634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FB0609"/>
    <w:multiLevelType w:val="hybridMultilevel"/>
    <w:tmpl w:val="F7EEF972"/>
    <w:lvl w:ilvl="0">
      <w:start w:val="1"/>
      <w:numFmt w:val="upperLetter"/>
      <w:lvlText w:val="%1."/>
      <w:lvlJc w:val="left"/>
      <w:pPr>
        <w:ind w:left="1080" w:hanging="360"/>
      </w:pPr>
      <w:rPr>
        <w:rFonts w:ascii="Times New Roman" w:eastAsia="Lora"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3C6A43"/>
    <w:multiLevelType w:val="hybridMultilevel"/>
    <w:tmpl w:val="47F29AEE"/>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7">
    <w:nsid w:val="23831EEE"/>
    <w:multiLevelType w:val="hybridMultilevel"/>
    <w:tmpl w:val="72B27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026952"/>
    <w:multiLevelType w:val="hybridMultilevel"/>
    <w:tmpl w:val="94167C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06C5EA5"/>
    <w:multiLevelType w:val="hybridMultilevel"/>
    <w:tmpl w:val="FCBE9C40"/>
    <w:lvl w:ilvl="0">
      <w:start w:val="1"/>
      <w:numFmt w:val="decimal"/>
      <w:lvlText w:val="%1."/>
      <w:lvlJc w:val="left"/>
      <w:pPr>
        <w:ind w:left="720" w:hanging="360"/>
      </w:pPr>
      <w:rPr>
        <w:rFonts w:hint="default"/>
        <w:b/>
        <w:bCs/>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3C8465AA"/>
    <w:multiLevelType w:val="hybridMultilevel"/>
    <w:tmpl w:val="E0222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A8642A"/>
    <w:multiLevelType w:val="hybridMultilevel"/>
    <w:tmpl w:val="D5BC34D8"/>
    <w:lvl w:ilvl="0">
      <w:start w:val="1"/>
      <w:numFmt w:val="upp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4B206095"/>
    <w:multiLevelType w:val="singleLevel"/>
    <w:tmpl w:val="5AF247C8"/>
    <w:lvl w:ilvl="0">
      <w:start w:val="7"/>
      <w:numFmt w:val="decimal"/>
      <w:lvlText w:val="%1. "/>
      <w:legacy w:legacy="1" w:legacySpace="0" w:legacyIndent="360"/>
      <w:lvlJc w:val="left"/>
      <w:pPr>
        <w:ind w:left="360" w:hanging="360"/>
      </w:pPr>
      <w:rPr>
        <w:rFonts w:ascii="Times New Roman" w:hAnsi="Times New Roman" w:hint="default"/>
        <w:b/>
        <w:bCs w:val="0"/>
        <w:i w:val="0"/>
        <w:sz w:val="24"/>
        <w:szCs w:val="24"/>
        <w:u w:val="none"/>
      </w:rPr>
    </w:lvl>
  </w:abstractNum>
  <w:abstractNum w:abstractNumId="13">
    <w:nsid w:val="4E4B50CF"/>
    <w:multiLevelType w:val="hybridMultilevel"/>
    <w:tmpl w:val="FFD2DB1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A69306F"/>
    <w:multiLevelType w:val="hybridMultilevel"/>
    <w:tmpl w:val="8E9439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FFE6078"/>
    <w:multiLevelType w:val="hybridMultilevel"/>
    <w:tmpl w:val="4CA26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02F290B"/>
    <w:multiLevelType w:val="hybridMultilevel"/>
    <w:tmpl w:val="ABBCC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2343D4A"/>
    <w:multiLevelType w:val="hybridMultilevel"/>
    <w:tmpl w:val="B262F30A"/>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8">
    <w:nsid w:val="6FBC51AE"/>
    <w:multiLevelType w:val="hybridMultilevel"/>
    <w:tmpl w:val="128CD64A"/>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A7705E"/>
    <w:multiLevelType w:val="hybridMultilevel"/>
    <w:tmpl w:val="8260217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F21BBE"/>
    <w:multiLevelType w:val="hybridMultilevel"/>
    <w:tmpl w:val="F9D27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984F6C"/>
    <w:multiLevelType w:val="hybridMultilevel"/>
    <w:tmpl w:val="6E287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2882166">
    <w:abstractNumId w:val="12"/>
  </w:num>
  <w:num w:numId="2" w16cid:durableId="640158842">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1237281384">
    <w:abstractNumId w:val="9"/>
  </w:num>
  <w:num w:numId="4" w16cid:durableId="1535582676">
    <w:abstractNumId w:val="4"/>
  </w:num>
  <w:num w:numId="5" w16cid:durableId="2099406101">
    <w:abstractNumId w:val="15"/>
  </w:num>
  <w:num w:numId="6" w16cid:durableId="900289366">
    <w:abstractNumId w:val="21"/>
  </w:num>
  <w:num w:numId="7" w16cid:durableId="1417169627">
    <w:abstractNumId w:val="13"/>
  </w:num>
  <w:num w:numId="8" w16cid:durableId="1810828155">
    <w:abstractNumId w:val="14"/>
  </w:num>
  <w:num w:numId="9" w16cid:durableId="517621983">
    <w:abstractNumId w:val="18"/>
  </w:num>
  <w:num w:numId="10" w16cid:durableId="135922745">
    <w:abstractNumId w:val="6"/>
  </w:num>
  <w:num w:numId="11" w16cid:durableId="490023948">
    <w:abstractNumId w:val="3"/>
  </w:num>
  <w:num w:numId="12" w16cid:durableId="690886401">
    <w:abstractNumId w:val="7"/>
  </w:num>
  <w:num w:numId="13" w16cid:durableId="2032031421">
    <w:abstractNumId w:val="16"/>
  </w:num>
  <w:num w:numId="14" w16cid:durableId="1091582626">
    <w:abstractNumId w:val="1"/>
  </w:num>
  <w:num w:numId="15" w16cid:durableId="2092265598">
    <w:abstractNumId w:val="17"/>
  </w:num>
  <w:num w:numId="16" w16cid:durableId="1639611159">
    <w:abstractNumId w:val="2"/>
  </w:num>
  <w:num w:numId="17" w16cid:durableId="773087997">
    <w:abstractNumId w:val="11"/>
  </w:num>
  <w:num w:numId="18" w16cid:durableId="988558672">
    <w:abstractNumId w:val="5"/>
  </w:num>
  <w:num w:numId="19" w16cid:durableId="498927654">
    <w:abstractNumId w:val="10"/>
  </w:num>
  <w:num w:numId="20" w16cid:durableId="1240797917">
    <w:abstractNumId w:val="8"/>
  </w:num>
  <w:num w:numId="21" w16cid:durableId="1583181270">
    <w:abstractNumId w:val="19"/>
  </w:num>
  <w:num w:numId="22" w16cid:durableId="165795113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 w:id="2"/>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3FD5"/>
    <w:rsid w:val="000042F9"/>
    <w:rsid w:val="000071AE"/>
    <w:rsid w:val="00012854"/>
    <w:rsid w:val="00021FD6"/>
    <w:rsid w:val="0002648B"/>
    <w:rsid w:val="00030EF6"/>
    <w:rsid w:val="000326D6"/>
    <w:rsid w:val="00032ABE"/>
    <w:rsid w:val="00032ADE"/>
    <w:rsid w:val="00034976"/>
    <w:rsid w:val="0003521B"/>
    <w:rsid w:val="00036B57"/>
    <w:rsid w:val="00040BDE"/>
    <w:rsid w:val="000414D9"/>
    <w:rsid w:val="00043A40"/>
    <w:rsid w:val="00044773"/>
    <w:rsid w:val="000467F0"/>
    <w:rsid w:val="0005406B"/>
    <w:rsid w:val="00063793"/>
    <w:rsid w:val="00067EF4"/>
    <w:rsid w:val="00067FAF"/>
    <w:rsid w:val="00070C41"/>
    <w:rsid w:val="0007140E"/>
    <w:rsid w:val="000761BD"/>
    <w:rsid w:val="00082E1E"/>
    <w:rsid w:val="0008409B"/>
    <w:rsid w:val="00084A14"/>
    <w:rsid w:val="00084D74"/>
    <w:rsid w:val="000951A4"/>
    <w:rsid w:val="0009621C"/>
    <w:rsid w:val="000967B1"/>
    <w:rsid w:val="000A0EA5"/>
    <w:rsid w:val="000A1639"/>
    <w:rsid w:val="000A73A4"/>
    <w:rsid w:val="000B1B92"/>
    <w:rsid w:val="000B297E"/>
    <w:rsid w:val="000B5712"/>
    <w:rsid w:val="000B6B59"/>
    <w:rsid w:val="000B7E07"/>
    <w:rsid w:val="000C117C"/>
    <w:rsid w:val="000C1E8D"/>
    <w:rsid w:val="000C2053"/>
    <w:rsid w:val="000C38FD"/>
    <w:rsid w:val="000C58F9"/>
    <w:rsid w:val="000C6DA5"/>
    <w:rsid w:val="000D329D"/>
    <w:rsid w:val="000D35D2"/>
    <w:rsid w:val="000D5079"/>
    <w:rsid w:val="000E00A8"/>
    <w:rsid w:val="000E2A89"/>
    <w:rsid w:val="000E4903"/>
    <w:rsid w:val="000E5194"/>
    <w:rsid w:val="000F0240"/>
    <w:rsid w:val="000F08D1"/>
    <w:rsid w:val="000F4210"/>
    <w:rsid w:val="000F54E1"/>
    <w:rsid w:val="001037DC"/>
    <w:rsid w:val="00103FBC"/>
    <w:rsid w:val="0010498B"/>
    <w:rsid w:val="00114FFE"/>
    <w:rsid w:val="00121292"/>
    <w:rsid w:val="001225EC"/>
    <w:rsid w:val="00124978"/>
    <w:rsid w:val="00124C9D"/>
    <w:rsid w:val="00124D40"/>
    <w:rsid w:val="001253B2"/>
    <w:rsid w:val="00125504"/>
    <w:rsid w:val="00132450"/>
    <w:rsid w:val="00133499"/>
    <w:rsid w:val="001341F9"/>
    <w:rsid w:val="00140793"/>
    <w:rsid w:val="00142D30"/>
    <w:rsid w:val="00144DCE"/>
    <w:rsid w:val="001516F4"/>
    <w:rsid w:val="001601A9"/>
    <w:rsid w:val="00166519"/>
    <w:rsid w:val="00167E53"/>
    <w:rsid w:val="00173C13"/>
    <w:rsid w:val="00175E14"/>
    <w:rsid w:val="0018195D"/>
    <w:rsid w:val="001866B4"/>
    <w:rsid w:val="0019398F"/>
    <w:rsid w:val="00193AE6"/>
    <w:rsid w:val="00194824"/>
    <w:rsid w:val="0019500A"/>
    <w:rsid w:val="00195749"/>
    <w:rsid w:val="001A6418"/>
    <w:rsid w:val="001A6540"/>
    <w:rsid w:val="001A6BC5"/>
    <w:rsid w:val="001A6EF7"/>
    <w:rsid w:val="001B6845"/>
    <w:rsid w:val="001B6F5E"/>
    <w:rsid w:val="001C04A9"/>
    <w:rsid w:val="001C23A5"/>
    <w:rsid w:val="001C3612"/>
    <w:rsid w:val="001C44FF"/>
    <w:rsid w:val="001D0FA8"/>
    <w:rsid w:val="001D120C"/>
    <w:rsid w:val="001E1EE0"/>
    <w:rsid w:val="001F2214"/>
    <w:rsid w:val="001F340B"/>
    <w:rsid w:val="00201B90"/>
    <w:rsid w:val="00207B21"/>
    <w:rsid w:val="00207CD2"/>
    <w:rsid w:val="0021317A"/>
    <w:rsid w:val="0021555D"/>
    <w:rsid w:val="00216FE4"/>
    <w:rsid w:val="00231A9F"/>
    <w:rsid w:val="0023256B"/>
    <w:rsid w:val="002355B8"/>
    <w:rsid w:val="00236A8F"/>
    <w:rsid w:val="002450BE"/>
    <w:rsid w:val="00250869"/>
    <w:rsid w:val="00251EB4"/>
    <w:rsid w:val="002655F4"/>
    <w:rsid w:val="002712D6"/>
    <w:rsid w:val="00272028"/>
    <w:rsid w:val="00272FA0"/>
    <w:rsid w:val="00275EAA"/>
    <w:rsid w:val="00283719"/>
    <w:rsid w:val="002837AC"/>
    <w:rsid w:val="002874AA"/>
    <w:rsid w:val="00295ED3"/>
    <w:rsid w:val="0029772E"/>
    <w:rsid w:val="002A021E"/>
    <w:rsid w:val="002A0AA5"/>
    <w:rsid w:val="002A38AF"/>
    <w:rsid w:val="002A530E"/>
    <w:rsid w:val="002A7B99"/>
    <w:rsid w:val="002B18F8"/>
    <w:rsid w:val="002B221F"/>
    <w:rsid w:val="002C0893"/>
    <w:rsid w:val="002C0CBE"/>
    <w:rsid w:val="002C0FAB"/>
    <w:rsid w:val="002C2FA7"/>
    <w:rsid w:val="002C400E"/>
    <w:rsid w:val="002C5BA8"/>
    <w:rsid w:val="002C6FE7"/>
    <w:rsid w:val="002D0B28"/>
    <w:rsid w:val="002D4995"/>
    <w:rsid w:val="002D731D"/>
    <w:rsid w:val="002E04DD"/>
    <w:rsid w:val="002E1C37"/>
    <w:rsid w:val="002E62C0"/>
    <w:rsid w:val="002F346A"/>
    <w:rsid w:val="002F586A"/>
    <w:rsid w:val="002F6CE8"/>
    <w:rsid w:val="00300094"/>
    <w:rsid w:val="0030461F"/>
    <w:rsid w:val="00306637"/>
    <w:rsid w:val="003106A2"/>
    <w:rsid w:val="00314109"/>
    <w:rsid w:val="00314489"/>
    <w:rsid w:val="00315086"/>
    <w:rsid w:val="003176C4"/>
    <w:rsid w:val="00323F56"/>
    <w:rsid w:val="00325E6D"/>
    <w:rsid w:val="003274F3"/>
    <w:rsid w:val="0033720F"/>
    <w:rsid w:val="003437BD"/>
    <w:rsid w:val="003465DE"/>
    <w:rsid w:val="00352A00"/>
    <w:rsid w:val="00352B9C"/>
    <w:rsid w:val="0035491D"/>
    <w:rsid w:val="003559E7"/>
    <w:rsid w:val="00356C40"/>
    <w:rsid w:val="00360090"/>
    <w:rsid w:val="0036076C"/>
    <w:rsid w:val="003652AF"/>
    <w:rsid w:val="003669EA"/>
    <w:rsid w:val="00373B0A"/>
    <w:rsid w:val="00377A35"/>
    <w:rsid w:val="00382356"/>
    <w:rsid w:val="0038338D"/>
    <w:rsid w:val="00385E0C"/>
    <w:rsid w:val="00391A2E"/>
    <w:rsid w:val="003A0523"/>
    <w:rsid w:val="003A4034"/>
    <w:rsid w:val="003A6EA2"/>
    <w:rsid w:val="003B0923"/>
    <w:rsid w:val="003B1788"/>
    <w:rsid w:val="003B78FD"/>
    <w:rsid w:val="003B7F7A"/>
    <w:rsid w:val="003C2238"/>
    <w:rsid w:val="003D015F"/>
    <w:rsid w:val="003D0B37"/>
    <w:rsid w:val="003D421D"/>
    <w:rsid w:val="003D45EF"/>
    <w:rsid w:val="003D6873"/>
    <w:rsid w:val="003E102D"/>
    <w:rsid w:val="003E25F0"/>
    <w:rsid w:val="003E4B95"/>
    <w:rsid w:val="003E6345"/>
    <w:rsid w:val="003E71E0"/>
    <w:rsid w:val="003E76BF"/>
    <w:rsid w:val="003F08FC"/>
    <w:rsid w:val="003F4BAA"/>
    <w:rsid w:val="003F5141"/>
    <w:rsid w:val="004018F1"/>
    <w:rsid w:val="00403587"/>
    <w:rsid w:val="00413416"/>
    <w:rsid w:val="004139E0"/>
    <w:rsid w:val="00423FA6"/>
    <w:rsid w:val="00430772"/>
    <w:rsid w:val="004379BF"/>
    <w:rsid w:val="00441EBE"/>
    <w:rsid w:val="004471B1"/>
    <w:rsid w:val="00450591"/>
    <w:rsid w:val="0045073F"/>
    <w:rsid w:val="00456D4D"/>
    <w:rsid w:val="00461D7B"/>
    <w:rsid w:val="00462AB3"/>
    <w:rsid w:val="0046427B"/>
    <w:rsid w:val="00467E2D"/>
    <w:rsid w:val="00473064"/>
    <w:rsid w:val="00477318"/>
    <w:rsid w:val="00480321"/>
    <w:rsid w:val="00482B8A"/>
    <w:rsid w:val="00482BA6"/>
    <w:rsid w:val="00484297"/>
    <w:rsid w:val="00485685"/>
    <w:rsid w:val="00486645"/>
    <w:rsid w:val="004871C6"/>
    <w:rsid w:val="00491494"/>
    <w:rsid w:val="00492382"/>
    <w:rsid w:val="00492C68"/>
    <w:rsid w:val="00493F3C"/>
    <w:rsid w:val="00495490"/>
    <w:rsid w:val="00497076"/>
    <w:rsid w:val="004A2557"/>
    <w:rsid w:val="004B0E75"/>
    <w:rsid w:val="004B1539"/>
    <w:rsid w:val="004B19D4"/>
    <w:rsid w:val="004B2AA1"/>
    <w:rsid w:val="004B4A48"/>
    <w:rsid w:val="004B6956"/>
    <w:rsid w:val="004B7DB5"/>
    <w:rsid w:val="004C4151"/>
    <w:rsid w:val="004D1900"/>
    <w:rsid w:val="004D43B0"/>
    <w:rsid w:val="004D7CA2"/>
    <w:rsid w:val="004E01B7"/>
    <w:rsid w:val="004E32A2"/>
    <w:rsid w:val="004F005C"/>
    <w:rsid w:val="004F4022"/>
    <w:rsid w:val="004F4BA1"/>
    <w:rsid w:val="004F65EB"/>
    <w:rsid w:val="004F7DCC"/>
    <w:rsid w:val="005031CE"/>
    <w:rsid w:val="00503C53"/>
    <w:rsid w:val="00503D3F"/>
    <w:rsid w:val="0050418A"/>
    <w:rsid w:val="005043B6"/>
    <w:rsid w:val="005065D9"/>
    <w:rsid w:val="00515E89"/>
    <w:rsid w:val="005211E2"/>
    <w:rsid w:val="00530FAA"/>
    <w:rsid w:val="00532200"/>
    <w:rsid w:val="00532FBA"/>
    <w:rsid w:val="005441A0"/>
    <w:rsid w:val="00545926"/>
    <w:rsid w:val="00546C65"/>
    <w:rsid w:val="0055123F"/>
    <w:rsid w:val="005527F5"/>
    <w:rsid w:val="00553869"/>
    <w:rsid w:val="0055446C"/>
    <w:rsid w:val="00560CFA"/>
    <w:rsid w:val="00566127"/>
    <w:rsid w:val="00570A57"/>
    <w:rsid w:val="00586815"/>
    <w:rsid w:val="0058747D"/>
    <w:rsid w:val="00593436"/>
    <w:rsid w:val="0059388F"/>
    <w:rsid w:val="00595FA7"/>
    <w:rsid w:val="005970ED"/>
    <w:rsid w:val="005A3FDD"/>
    <w:rsid w:val="005A5309"/>
    <w:rsid w:val="005B1BB5"/>
    <w:rsid w:val="005C4A09"/>
    <w:rsid w:val="005C4F24"/>
    <w:rsid w:val="005C4F64"/>
    <w:rsid w:val="005C5183"/>
    <w:rsid w:val="005C585C"/>
    <w:rsid w:val="005C5B73"/>
    <w:rsid w:val="005C6CF1"/>
    <w:rsid w:val="005D3196"/>
    <w:rsid w:val="005D5C44"/>
    <w:rsid w:val="005E11D1"/>
    <w:rsid w:val="005E3158"/>
    <w:rsid w:val="005E4528"/>
    <w:rsid w:val="005E7070"/>
    <w:rsid w:val="005E76D3"/>
    <w:rsid w:val="005E7998"/>
    <w:rsid w:val="005F3CBF"/>
    <w:rsid w:val="005F557A"/>
    <w:rsid w:val="0060480F"/>
    <w:rsid w:val="0061089F"/>
    <w:rsid w:val="0062091D"/>
    <w:rsid w:val="006214A6"/>
    <w:rsid w:val="00622FF1"/>
    <w:rsid w:val="00623382"/>
    <w:rsid w:val="006265CD"/>
    <w:rsid w:val="006270CF"/>
    <w:rsid w:val="00627E04"/>
    <w:rsid w:val="00630AF2"/>
    <w:rsid w:val="00640F8D"/>
    <w:rsid w:val="0064282B"/>
    <w:rsid w:val="0064413F"/>
    <w:rsid w:val="00644FB9"/>
    <w:rsid w:val="006508D5"/>
    <w:rsid w:val="00655666"/>
    <w:rsid w:val="006558B8"/>
    <w:rsid w:val="00656451"/>
    <w:rsid w:val="00656863"/>
    <w:rsid w:val="00656EB7"/>
    <w:rsid w:val="00657B72"/>
    <w:rsid w:val="00660CC4"/>
    <w:rsid w:val="00662F08"/>
    <w:rsid w:val="00672559"/>
    <w:rsid w:val="00672662"/>
    <w:rsid w:val="00672682"/>
    <w:rsid w:val="00681A23"/>
    <w:rsid w:val="00682568"/>
    <w:rsid w:val="0068407E"/>
    <w:rsid w:val="00687380"/>
    <w:rsid w:val="00687817"/>
    <w:rsid w:val="00690D5B"/>
    <w:rsid w:val="0069205F"/>
    <w:rsid w:val="00692EE8"/>
    <w:rsid w:val="00692F77"/>
    <w:rsid w:val="00694F16"/>
    <w:rsid w:val="006A20C5"/>
    <w:rsid w:val="006A25C1"/>
    <w:rsid w:val="006A2ECE"/>
    <w:rsid w:val="006A6E65"/>
    <w:rsid w:val="006B50FF"/>
    <w:rsid w:val="006B56D4"/>
    <w:rsid w:val="006B5B4E"/>
    <w:rsid w:val="006B7674"/>
    <w:rsid w:val="006B7FD8"/>
    <w:rsid w:val="006C008B"/>
    <w:rsid w:val="006C0D74"/>
    <w:rsid w:val="006C4830"/>
    <w:rsid w:val="006C7FAE"/>
    <w:rsid w:val="006C7FBC"/>
    <w:rsid w:val="006D0DCA"/>
    <w:rsid w:val="006D24D1"/>
    <w:rsid w:val="006D4D9D"/>
    <w:rsid w:val="006D5EEB"/>
    <w:rsid w:val="006D6405"/>
    <w:rsid w:val="006D702C"/>
    <w:rsid w:val="006E3E83"/>
    <w:rsid w:val="006E4435"/>
    <w:rsid w:val="006E57FB"/>
    <w:rsid w:val="006F4678"/>
    <w:rsid w:val="006F70EB"/>
    <w:rsid w:val="006F7769"/>
    <w:rsid w:val="00704CCC"/>
    <w:rsid w:val="007059D8"/>
    <w:rsid w:val="007063E1"/>
    <w:rsid w:val="007106E2"/>
    <w:rsid w:val="00711F9E"/>
    <w:rsid w:val="00713D48"/>
    <w:rsid w:val="00713FD8"/>
    <w:rsid w:val="007260E1"/>
    <w:rsid w:val="0072673C"/>
    <w:rsid w:val="00734F30"/>
    <w:rsid w:val="00736309"/>
    <w:rsid w:val="00736A25"/>
    <w:rsid w:val="007420A2"/>
    <w:rsid w:val="00742EFD"/>
    <w:rsid w:val="00745CC1"/>
    <w:rsid w:val="00756AD9"/>
    <w:rsid w:val="00757132"/>
    <w:rsid w:val="00761BB3"/>
    <w:rsid w:val="00765EF7"/>
    <w:rsid w:val="00770E83"/>
    <w:rsid w:val="007711B7"/>
    <w:rsid w:val="007717B4"/>
    <w:rsid w:val="00780040"/>
    <w:rsid w:val="007838FA"/>
    <w:rsid w:val="00784FD6"/>
    <w:rsid w:val="007948D1"/>
    <w:rsid w:val="007950C6"/>
    <w:rsid w:val="007950C9"/>
    <w:rsid w:val="00796452"/>
    <w:rsid w:val="00796C82"/>
    <w:rsid w:val="007970DF"/>
    <w:rsid w:val="007B073D"/>
    <w:rsid w:val="007B15CF"/>
    <w:rsid w:val="007B4A33"/>
    <w:rsid w:val="007C7551"/>
    <w:rsid w:val="007D06FB"/>
    <w:rsid w:val="007D2C02"/>
    <w:rsid w:val="007D2DB9"/>
    <w:rsid w:val="007D2E8D"/>
    <w:rsid w:val="007D3600"/>
    <w:rsid w:val="007D6D5F"/>
    <w:rsid w:val="007D7D63"/>
    <w:rsid w:val="007E1EBB"/>
    <w:rsid w:val="007E2BDF"/>
    <w:rsid w:val="007E38C6"/>
    <w:rsid w:val="007E3C42"/>
    <w:rsid w:val="007E441D"/>
    <w:rsid w:val="007E534C"/>
    <w:rsid w:val="007E5805"/>
    <w:rsid w:val="007E70E2"/>
    <w:rsid w:val="007E7FBA"/>
    <w:rsid w:val="007F675F"/>
    <w:rsid w:val="008017AB"/>
    <w:rsid w:val="008029B8"/>
    <w:rsid w:val="00805343"/>
    <w:rsid w:val="008109F1"/>
    <w:rsid w:val="00810C55"/>
    <w:rsid w:val="0081174F"/>
    <w:rsid w:val="00816C71"/>
    <w:rsid w:val="008174B2"/>
    <w:rsid w:val="008229DF"/>
    <w:rsid w:val="00822C0A"/>
    <w:rsid w:val="008242D0"/>
    <w:rsid w:val="00830414"/>
    <w:rsid w:val="00830F95"/>
    <w:rsid w:val="00830FC9"/>
    <w:rsid w:val="008314BA"/>
    <w:rsid w:val="00832A36"/>
    <w:rsid w:val="008349E3"/>
    <w:rsid w:val="00836136"/>
    <w:rsid w:val="00840D96"/>
    <w:rsid w:val="00844209"/>
    <w:rsid w:val="00851982"/>
    <w:rsid w:val="00854A1D"/>
    <w:rsid w:val="00856DAD"/>
    <w:rsid w:val="008615EE"/>
    <w:rsid w:val="00866170"/>
    <w:rsid w:val="00866D13"/>
    <w:rsid w:val="00873BAC"/>
    <w:rsid w:val="00874435"/>
    <w:rsid w:val="00874E00"/>
    <w:rsid w:val="008764F9"/>
    <w:rsid w:val="00876E0A"/>
    <w:rsid w:val="00881197"/>
    <w:rsid w:val="00884ACD"/>
    <w:rsid w:val="00887DDD"/>
    <w:rsid w:val="0089107A"/>
    <w:rsid w:val="0089116C"/>
    <w:rsid w:val="008911BD"/>
    <w:rsid w:val="00892133"/>
    <w:rsid w:val="00893B15"/>
    <w:rsid w:val="00895847"/>
    <w:rsid w:val="00896A3D"/>
    <w:rsid w:val="008979EB"/>
    <w:rsid w:val="008A0029"/>
    <w:rsid w:val="008A0F25"/>
    <w:rsid w:val="008A11E0"/>
    <w:rsid w:val="008A1E91"/>
    <w:rsid w:val="008A61D7"/>
    <w:rsid w:val="008A7175"/>
    <w:rsid w:val="008B01D5"/>
    <w:rsid w:val="008B5CE3"/>
    <w:rsid w:val="008B7FEF"/>
    <w:rsid w:val="008C0E7B"/>
    <w:rsid w:val="008C382F"/>
    <w:rsid w:val="008C58A3"/>
    <w:rsid w:val="008D0005"/>
    <w:rsid w:val="008D1891"/>
    <w:rsid w:val="008D42AA"/>
    <w:rsid w:val="008E02D7"/>
    <w:rsid w:val="008E2F1E"/>
    <w:rsid w:val="008E355C"/>
    <w:rsid w:val="008E3C9D"/>
    <w:rsid w:val="008E4DA0"/>
    <w:rsid w:val="008E5DD5"/>
    <w:rsid w:val="008E6898"/>
    <w:rsid w:val="008E75C3"/>
    <w:rsid w:val="008F1CA0"/>
    <w:rsid w:val="008F22AC"/>
    <w:rsid w:val="008F25C1"/>
    <w:rsid w:val="008F2B87"/>
    <w:rsid w:val="008F4367"/>
    <w:rsid w:val="008F5F00"/>
    <w:rsid w:val="008F72F3"/>
    <w:rsid w:val="0091094F"/>
    <w:rsid w:val="0091530C"/>
    <w:rsid w:val="00915E72"/>
    <w:rsid w:val="00925655"/>
    <w:rsid w:val="009262E2"/>
    <w:rsid w:val="0092671C"/>
    <w:rsid w:val="00936FFF"/>
    <w:rsid w:val="00951829"/>
    <w:rsid w:val="009520ED"/>
    <w:rsid w:val="0095215D"/>
    <w:rsid w:val="009529AF"/>
    <w:rsid w:val="00956FD8"/>
    <w:rsid w:val="0096092A"/>
    <w:rsid w:val="0096150B"/>
    <w:rsid w:val="00966A97"/>
    <w:rsid w:val="00974A64"/>
    <w:rsid w:val="00974BFD"/>
    <w:rsid w:val="00982776"/>
    <w:rsid w:val="00983307"/>
    <w:rsid w:val="00983B13"/>
    <w:rsid w:val="00984C08"/>
    <w:rsid w:val="009865C7"/>
    <w:rsid w:val="00986D2E"/>
    <w:rsid w:val="00987DE8"/>
    <w:rsid w:val="00994116"/>
    <w:rsid w:val="00995E0C"/>
    <w:rsid w:val="0099777B"/>
    <w:rsid w:val="009A24E0"/>
    <w:rsid w:val="009A56A0"/>
    <w:rsid w:val="009A6801"/>
    <w:rsid w:val="009B0627"/>
    <w:rsid w:val="009B5531"/>
    <w:rsid w:val="009B5FE9"/>
    <w:rsid w:val="009C005C"/>
    <w:rsid w:val="009C03A3"/>
    <w:rsid w:val="009C04B8"/>
    <w:rsid w:val="009D0F53"/>
    <w:rsid w:val="009D400B"/>
    <w:rsid w:val="009D621C"/>
    <w:rsid w:val="009D7320"/>
    <w:rsid w:val="009E0C3E"/>
    <w:rsid w:val="009E0D00"/>
    <w:rsid w:val="009E13B1"/>
    <w:rsid w:val="009E2021"/>
    <w:rsid w:val="009E206B"/>
    <w:rsid w:val="009E3E61"/>
    <w:rsid w:val="009E5CB7"/>
    <w:rsid w:val="009F2A35"/>
    <w:rsid w:val="009F3205"/>
    <w:rsid w:val="009F5957"/>
    <w:rsid w:val="00A03DBE"/>
    <w:rsid w:val="00A065A2"/>
    <w:rsid w:val="00A109EE"/>
    <w:rsid w:val="00A14104"/>
    <w:rsid w:val="00A14C41"/>
    <w:rsid w:val="00A16A0D"/>
    <w:rsid w:val="00A17CE3"/>
    <w:rsid w:val="00A25694"/>
    <w:rsid w:val="00A429C0"/>
    <w:rsid w:val="00A433FA"/>
    <w:rsid w:val="00A44D13"/>
    <w:rsid w:val="00A451E0"/>
    <w:rsid w:val="00A503D4"/>
    <w:rsid w:val="00A51071"/>
    <w:rsid w:val="00A542C4"/>
    <w:rsid w:val="00A57050"/>
    <w:rsid w:val="00A62701"/>
    <w:rsid w:val="00A65F9E"/>
    <w:rsid w:val="00A6763F"/>
    <w:rsid w:val="00A83E46"/>
    <w:rsid w:val="00A84296"/>
    <w:rsid w:val="00A84ADA"/>
    <w:rsid w:val="00A85956"/>
    <w:rsid w:val="00A94335"/>
    <w:rsid w:val="00A95C08"/>
    <w:rsid w:val="00A96769"/>
    <w:rsid w:val="00AA252D"/>
    <w:rsid w:val="00AA463B"/>
    <w:rsid w:val="00AB024C"/>
    <w:rsid w:val="00AB07B9"/>
    <w:rsid w:val="00AB56EF"/>
    <w:rsid w:val="00AC4E87"/>
    <w:rsid w:val="00AC5168"/>
    <w:rsid w:val="00AC640E"/>
    <w:rsid w:val="00AD0428"/>
    <w:rsid w:val="00AD10B0"/>
    <w:rsid w:val="00AD351E"/>
    <w:rsid w:val="00AD46A1"/>
    <w:rsid w:val="00AD6B5B"/>
    <w:rsid w:val="00AD7109"/>
    <w:rsid w:val="00AE33ED"/>
    <w:rsid w:val="00AE3A75"/>
    <w:rsid w:val="00AF0181"/>
    <w:rsid w:val="00AF07BC"/>
    <w:rsid w:val="00AF2BB7"/>
    <w:rsid w:val="00AF3C63"/>
    <w:rsid w:val="00AF4695"/>
    <w:rsid w:val="00AF7719"/>
    <w:rsid w:val="00B01940"/>
    <w:rsid w:val="00B02A96"/>
    <w:rsid w:val="00B03398"/>
    <w:rsid w:val="00B04BA6"/>
    <w:rsid w:val="00B13D51"/>
    <w:rsid w:val="00B145DE"/>
    <w:rsid w:val="00B15E79"/>
    <w:rsid w:val="00B16C08"/>
    <w:rsid w:val="00B16E76"/>
    <w:rsid w:val="00B2270D"/>
    <w:rsid w:val="00B2550F"/>
    <w:rsid w:val="00B26566"/>
    <w:rsid w:val="00B301B0"/>
    <w:rsid w:val="00B32DA8"/>
    <w:rsid w:val="00B34029"/>
    <w:rsid w:val="00B35849"/>
    <w:rsid w:val="00B35C89"/>
    <w:rsid w:val="00B37B26"/>
    <w:rsid w:val="00B460E3"/>
    <w:rsid w:val="00B54768"/>
    <w:rsid w:val="00B55B94"/>
    <w:rsid w:val="00B614A7"/>
    <w:rsid w:val="00B72EF2"/>
    <w:rsid w:val="00B73997"/>
    <w:rsid w:val="00B7502B"/>
    <w:rsid w:val="00B753A5"/>
    <w:rsid w:val="00B76EB3"/>
    <w:rsid w:val="00B7735D"/>
    <w:rsid w:val="00B80A93"/>
    <w:rsid w:val="00B81946"/>
    <w:rsid w:val="00B83EF5"/>
    <w:rsid w:val="00B85887"/>
    <w:rsid w:val="00B92889"/>
    <w:rsid w:val="00B92D61"/>
    <w:rsid w:val="00B94401"/>
    <w:rsid w:val="00BA0092"/>
    <w:rsid w:val="00BA06AE"/>
    <w:rsid w:val="00BA63BC"/>
    <w:rsid w:val="00BB2518"/>
    <w:rsid w:val="00BB5153"/>
    <w:rsid w:val="00BC030B"/>
    <w:rsid w:val="00BC05F7"/>
    <w:rsid w:val="00BC0969"/>
    <w:rsid w:val="00BC10AF"/>
    <w:rsid w:val="00BC15D9"/>
    <w:rsid w:val="00BC25F7"/>
    <w:rsid w:val="00BC2B19"/>
    <w:rsid w:val="00BC50C0"/>
    <w:rsid w:val="00BC6AF8"/>
    <w:rsid w:val="00BD2D84"/>
    <w:rsid w:val="00BD57CC"/>
    <w:rsid w:val="00BD5CB8"/>
    <w:rsid w:val="00BD71F8"/>
    <w:rsid w:val="00BE66A4"/>
    <w:rsid w:val="00BE6B1D"/>
    <w:rsid w:val="00BE6BAA"/>
    <w:rsid w:val="00BF00C5"/>
    <w:rsid w:val="00BF072D"/>
    <w:rsid w:val="00BF0945"/>
    <w:rsid w:val="00BF0E76"/>
    <w:rsid w:val="00BF12E8"/>
    <w:rsid w:val="00BF2954"/>
    <w:rsid w:val="00BF3F58"/>
    <w:rsid w:val="00BF4199"/>
    <w:rsid w:val="00BF4BFB"/>
    <w:rsid w:val="00BF68A0"/>
    <w:rsid w:val="00C00201"/>
    <w:rsid w:val="00C02D03"/>
    <w:rsid w:val="00C042B9"/>
    <w:rsid w:val="00C04E10"/>
    <w:rsid w:val="00C10682"/>
    <w:rsid w:val="00C137BC"/>
    <w:rsid w:val="00C15267"/>
    <w:rsid w:val="00C23E70"/>
    <w:rsid w:val="00C26C03"/>
    <w:rsid w:val="00C27B3D"/>
    <w:rsid w:val="00C33A0A"/>
    <w:rsid w:val="00C3495F"/>
    <w:rsid w:val="00C35190"/>
    <w:rsid w:val="00C37EA1"/>
    <w:rsid w:val="00C42032"/>
    <w:rsid w:val="00C4235D"/>
    <w:rsid w:val="00C4435F"/>
    <w:rsid w:val="00C47956"/>
    <w:rsid w:val="00C53F3E"/>
    <w:rsid w:val="00C57E16"/>
    <w:rsid w:val="00C60296"/>
    <w:rsid w:val="00C633BF"/>
    <w:rsid w:val="00C7119F"/>
    <w:rsid w:val="00C72204"/>
    <w:rsid w:val="00C77A8D"/>
    <w:rsid w:val="00C90B32"/>
    <w:rsid w:val="00C90E11"/>
    <w:rsid w:val="00C955E6"/>
    <w:rsid w:val="00CA06CC"/>
    <w:rsid w:val="00CA0E71"/>
    <w:rsid w:val="00CA2986"/>
    <w:rsid w:val="00CB00A5"/>
    <w:rsid w:val="00CB18FC"/>
    <w:rsid w:val="00CB1FB4"/>
    <w:rsid w:val="00CB3A99"/>
    <w:rsid w:val="00CB431E"/>
    <w:rsid w:val="00CB490A"/>
    <w:rsid w:val="00CB5279"/>
    <w:rsid w:val="00CC2D6E"/>
    <w:rsid w:val="00CC67A5"/>
    <w:rsid w:val="00CC7ACB"/>
    <w:rsid w:val="00CD090A"/>
    <w:rsid w:val="00CD1249"/>
    <w:rsid w:val="00CD27DB"/>
    <w:rsid w:val="00CD7B47"/>
    <w:rsid w:val="00CE1567"/>
    <w:rsid w:val="00CE40D6"/>
    <w:rsid w:val="00CE68D1"/>
    <w:rsid w:val="00D017A2"/>
    <w:rsid w:val="00D0229F"/>
    <w:rsid w:val="00D026A6"/>
    <w:rsid w:val="00D03FDA"/>
    <w:rsid w:val="00D04312"/>
    <w:rsid w:val="00D11F2C"/>
    <w:rsid w:val="00D2198F"/>
    <w:rsid w:val="00D2299A"/>
    <w:rsid w:val="00D230BA"/>
    <w:rsid w:val="00D24F58"/>
    <w:rsid w:val="00D25318"/>
    <w:rsid w:val="00D3133C"/>
    <w:rsid w:val="00D31E7B"/>
    <w:rsid w:val="00D37A85"/>
    <w:rsid w:val="00D40B2A"/>
    <w:rsid w:val="00D416BA"/>
    <w:rsid w:val="00D428A5"/>
    <w:rsid w:val="00D42EC5"/>
    <w:rsid w:val="00D45529"/>
    <w:rsid w:val="00D4632C"/>
    <w:rsid w:val="00D46591"/>
    <w:rsid w:val="00D507D3"/>
    <w:rsid w:val="00D5175A"/>
    <w:rsid w:val="00D53125"/>
    <w:rsid w:val="00D5517A"/>
    <w:rsid w:val="00D64790"/>
    <w:rsid w:val="00D649B9"/>
    <w:rsid w:val="00D656E7"/>
    <w:rsid w:val="00D65805"/>
    <w:rsid w:val="00D717DB"/>
    <w:rsid w:val="00D74136"/>
    <w:rsid w:val="00D771EE"/>
    <w:rsid w:val="00D84D5B"/>
    <w:rsid w:val="00D87C29"/>
    <w:rsid w:val="00D9002D"/>
    <w:rsid w:val="00D903C3"/>
    <w:rsid w:val="00DA196A"/>
    <w:rsid w:val="00DA1ADE"/>
    <w:rsid w:val="00DA2C54"/>
    <w:rsid w:val="00DA367F"/>
    <w:rsid w:val="00DA6245"/>
    <w:rsid w:val="00DB3576"/>
    <w:rsid w:val="00DB4759"/>
    <w:rsid w:val="00DB6D96"/>
    <w:rsid w:val="00DC36CE"/>
    <w:rsid w:val="00DC5AEF"/>
    <w:rsid w:val="00DD0AFF"/>
    <w:rsid w:val="00DD0C71"/>
    <w:rsid w:val="00DD3286"/>
    <w:rsid w:val="00DE39C4"/>
    <w:rsid w:val="00DE6A07"/>
    <w:rsid w:val="00DF16B3"/>
    <w:rsid w:val="00DF3A4C"/>
    <w:rsid w:val="00DF66E3"/>
    <w:rsid w:val="00E01140"/>
    <w:rsid w:val="00E0527A"/>
    <w:rsid w:val="00E223CE"/>
    <w:rsid w:val="00E22A93"/>
    <w:rsid w:val="00E22ECF"/>
    <w:rsid w:val="00E24632"/>
    <w:rsid w:val="00E319AB"/>
    <w:rsid w:val="00E31BC4"/>
    <w:rsid w:val="00E33D69"/>
    <w:rsid w:val="00E350E2"/>
    <w:rsid w:val="00E41484"/>
    <w:rsid w:val="00E41C26"/>
    <w:rsid w:val="00E44843"/>
    <w:rsid w:val="00E51BC9"/>
    <w:rsid w:val="00E5554E"/>
    <w:rsid w:val="00E56099"/>
    <w:rsid w:val="00E5699E"/>
    <w:rsid w:val="00E573FE"/>
    <w:rsid w:val="00E57E60"/>
    <w:rsid w:val="00E61047"/>
    <w:rsid w:val="00E61355"/>
    <w:rsid w:val="00E61C98"/>
    <w:rsid w:val="00E650A5"/>
    <w:rsid w:val="00E653F3"/>
    <w:rsid w:val="00E668C0"/>
    <w:rsid w:val="00E7255E"/>
    <w:rsid w:val="00E72F41"/>
    <w:rsid w:val="00E746B8"/>
    <w:rsid w:val="00E75457"/>
    <w:rsid w:val="00E859A0"/>
    <w:rsid w:val="00E8727A"/>
    <w:rsid w:val="00E87A26"/>
    <w:rsid w:val="00E91263"/>
    <w:rsid w:val="00E95567"/>
    <w:rsid w:val="00E955E0"/>
    <w:rsid w:val="00E95801"/>
    <w:rsid w:val="00E958D2"/>
    <w:rsid w:val="00EA3660"/>
    <w:rsid w:val="00EA6502"/>
    <w:rsid w:val="00EA6700"/>
    <w:rsid w:val="00EB5188"/>
    <w:rsid w:val="00EB746A"/>
    <w:rsid w:val="00EB74A3"/>
    <w:rsid w:val="00EC0807"/>
    <w:rsid w:val="00EC334C"/>
    <w:rsid w:val="00EC35E1"/>
    <w:rsid w:val="00EC687E"/>
    <w:rsid w:val="00EC745A"/>
    <w:rsid w:val="00ED0999"/>
    <w:rsid w:val="00ED111C"/>
    <w:rsid w:val="00ED55D9"/>
    <w:rsid w:val="00EE1C4D"/>
    <w:rsid w:val="00EE3588"/>
    <w:rsid w:val="00EE4D72"/>
    <w:rsid w:val="00EF0A9A"/>
    <w:rsid w:val="00EF292F"/>
    <w:rsid w:val="00EF35A7"/>
    <w:rsid w:val="00EF5E22"/>
    <w:rsid w:val="00EF65DE"/>
    <w:rsid w:val="00F01B47"/>
    <w:rsid w:val="00F01BB2"/>
    <w:rsid w:val="00F04A97"/>
    <w:rsid w:val="00F07144"/>
    <w:rsid w:val="00F110D4"/>
    <w:rsid w:val="00F23238"/>
    <w:rsid w:val="00F27C8F"/>
    <w:rsid w:val="00F33F10"/>
    <w:rsid w:val="00F408B8"/>
    <w:rsid w:val="00F41808"/>
    <w:rsid w:val="00F42FDF"/>
    <w:rsid w:val="00F432AC"/>
    <w:rsid w:val="00F433C9"/>
    <w:rsid w:val="00F47CB7"/>
    <w:rsid w:val="00F5145B"/>
    <w:rsid w:val="00F52BB2"/>
    <w:rsid w:val="00F53397"/>
    <w:rsid w:val="00F6038A"/>
    <w:rsid w:val="00F6650D"/>
    <w:rsid w:val="00F73C70"/>
    <w:rsid w:val="00F81CF7"/>
    <w:rsid w:val="00F822A9"/>
    <w:rsid w:val="00F84604"/>
    <w:rsid w:val="00F86944"/>
    <w:rsid w:val="00F907ED"/>
    <w:rsid w:val="00F909F8"/>
    <w:rsid w:val="00F923C2"/>
    <w:rsid w:val="00F93BF2"/>
    <w:rsid w:val="00F9551F"/>
    <w:rsid w:val="00F95A6C"/>
    <w:rsid w:val="00FA0195"/>
    <w:rsid w:val="00FA481C"/>
    <w:rsid w:val="00FA624A"/>
    <w:rsid w:val="00FB25C8"/>
    <w:rsid w:val="00FB6B1B"/>
    <w:rsid w:val="00FC2F2E"/>
    <w:rsid w:val="00FC37F6"/>
    <w:rsid w:val="00FC3B42"/>
    <w:rsid w:val="00FC3E95"/>
    <w:rsid w:val="00FC5370"/>
    <w:rsid w:val="00FC7814"/>
    <w:rsid w:val="00FD16C7"/>
    <w:rsid w:val="00FD5327"/>
    <w:rsid w:val="00FD540E"/>
    <w:rsid w:val="00FE10CF"/>
    <w:rsid w:val="00FF354F"/>
    <w:rsid w:val="00FF538A"/>
    <w:rsid w:val="00FF5D3C"/>
    <w:rsid w:val="00FF6DC3"/>
    <w:rsid w:val="02FCF0EE"/>
    <w:rsid w:val="07DABEBF"/>
    <w:rsid w:val="0BF33FB6"/>
    <w:rsid w:val="0D185EEA"/>
    <w:rsid w:val="0E2BE4D0"/>
    <w:rsid w:val="10F8C326"/>
    <w:rsid w:val="12AC68FA"/>
    <w:rsid w:val="15FB9A73"/>
    <w:rsid w:val="1A36F07F"/>
    <w:rsid w:val="2948167F"/>
    <w:rsid w:val="3289BBB7"/>
    <w:rsid w:val="38D703A2"/>
    <w:rsid w:val="461D5F21"/>
    <w:rsid w:val="46FFD572"/>
    <w:rsid w:val="4E60D268"/>
    <w:rsid w:val="50AAEE1F"/>
    <w:rsid w:val="54043F08"/>
    <w:rsid w:val="55C15260"/>
    <w:rsid w:val="604AA5F8"/>
    <w:rsid w:val="63A937AF"/>
    <w:rsid w:val="65FBD165"/>
    <w:rsid w:val="688C2695"/>
    <w:rsid w:val="6A9534E8"/>
    <w:rsid w:val="6E3CF34D"/>
    <w:rsid w:val="7038FA8D"/>
    <w:rsid w:val="7229DBFF"/>
    <w:rsid w:val="74665891"/>
    <w:rsid w:val="7CF694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292047"/>
  <w15:chartTrackingRefBased/>
  <w15:docId w15:val="{14FF064E-C453-7D4B-83F8-41EF4B1B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link w:val="Heading1Char"/>
    <w:uiPriority w:val="9"/>
    <w:qFormat/>
    <w:rsid w:val="00761BB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rmalWeb">
    <w:name w:val="Normal (Web)"/>
    <w:basedOn w:val="Normal"/>
    <w:uiPriority w:val="99"/>
    <w:semiHidden/>
    <w:unhideWhenUsed/>
    <w:rsid w:val="00377A35"/>
    <w:rPr>
      <w:sz w:val="24"/>
      <w:szCs w:val="24"/>
    </w:rPr>
  </w:style>
  <w:style w:type="character" w:styleId="Hyperlink">
    <w:name w:val="Hyperlink"/>
    <w:uiPriority w:val="99"/>
    <w:unhideWhenUsed/>
    <w:rsid w:val="00377A35"/>
    <w:rPr>
      <w:color w:val="0000FF"/>
      <w:u w:val="single"/>
    </w:rPr>
  </w:style>
  <w:style w:type="paragraph" w:customStyle="1" w:styleId="FootnoteText1">
    <w:name w:val="Footnote Text1"/>
    <w:basedOn w:val="Normal"/>
    <w:next w:val="FootnoteText"/>
    <w:link w:val="FootnoteTextChar"/>
    <w:uiPriority w:val="99"/>
    <w:semiHidden/>
    <w:unhideWhenUsed/>
    <w:rsid w:val="00377A35"/>
    <w:pPr>
      <w:overflowPunct/>
      <w:autoSpaceDE/>
      <w:autoSpaceDN/>
      <w:adjustRightInd/>
      <w:textAlignment w:val="auto"/>
    </w:pPr>
  </w:style>
  <w:style w:type="character" w:customStyle="1" w:styleId="FootnoteTextChar">
    <w:name w:val="Footnote Text Char"/>
    <w:link w:val="FootnoteText1"/>
    <w:uiPriority w:val="99"/>
    <w:semiHidden/>
    <w:rsid w:val="00377A35"/>
    <w:rPr>
      <w:sz w:val="20"/>
      <w:szCs w:val="20"/>
    </w:rPr>
  </w:style>
  <w:style w:type="character" w:styleId="FootnoteReference">
    <w:name w:val="footnote reference"/>
    <w:uiPriority w:val="99"/>
    <w:semiHidden/>
    <w:unhideWhenUsed/>
    <w:rsid w:val="00377A35"/>
    <w:rPr>
      <w:vertAlign w:val="superscript"/>
    </w:rPr>
  </w:style>
  <w:style w:type="paragraph" w:styleId="FootnoteText">
    <w:name w:val="footnote text"/>
    <w:basedOn w:val="Normal"/>
    <w:link w:val="FootnoteTextChar1"/>
    <w:uiPriority w:val="99"/>
    <w:semiHidden/>
    <w:unhideWhenUsed/>
    <w:rsid w:val="00377A35"/>
  </w:style>
  <w:style w:type="character" w:customStyle="1" w:styleId="FootnoteTextChar1">
    <w:name w:val="Footnote Text Char1"/>
    <w:basedOn w:val="DefaultParagraphFont"/>
    <w:link w:val="FootnoteText"/>
    <w:uiPriority w:val="99"/>
    <w:semiHidden/>
    <w:rsid w:val="00377A35"/>
  </w:style>
  <w:style w:type="character" w:styleId="CommentReference">
    <w:name w:val="annotation reference"/>
    <w:uiPriority w:val="99"/>
    <w:semiHidden/>
    <w:unhideWhenUsed/>
    <w:rsid w:val="00C47956"/>
    <w:rPr>
      <w:sz w:val="16"/>
      <w:szCs w:val="16"/>
    </w:rPr>
  </w:style>
  <w:style w:type="paragraph" w:styleId="CommentText">
    <w:name w:val="annotation text"/>
    <w:basedOn w:val="Normal"/>
    <w:link w:val="CommentTextChar"/>
    <w:uiPriority w:val="99"/>
    <w:unhideWhenUsed/>
    <w:rsid w:val="00C47956"/>
  </w:style>
  <w:style w:type="character" w:customStyle="1" w:styleId="CommentTextChar">
    <w:name w:val="Comment Text Char"/>
    <w:basedOn w:val="DefaultParagraphFont"/>
    <w:link w:val="CommentText"/>
    <w:uiPriority w:val="99"/>
    <w:rsid w:val="00C47956"/>
  </w:style>
  <w:style w:type="paragraph" w:styleId="CommentSubject">
    <w:name w:val="annotation subject"/>
    <w:basedOn w:val="CommentText"/>
    <w:next w:val="CommentText"/>
    <w:link w:val="CommentSubjectChar"/>
    <w:uiPriority w:val="99"/>
    <w:semiHidden/>
    <w:unhideWhenUsed/>
    <w:rsid w:val="00C47956"/>
    <w:rPr>
      <w:b/>
      <w:bCs/>
    </w:rPr>
  </w:style>
  <w:style w:type="character" w:customStyle="1" w:styleId="CommentSubjectChar">
    <w:name w:val="Comment Subject Char"/>
    <w:link w:val="CommentSubject"/>
    <w:uiPriority w:val="99"/>
    <w:semiHidden/>
    <w:rsid w:val="00C47956"/>
    <w:rPr>
      <w:b/>
      <w:bCs/>
    </w:rPr>
  </w:style>
  <w:style w:type="paragraph" w:styleId="BodyText">
    <w:name w:val="Body Text"/>
    <w:basedOn w:val="Normal"/>
    <w:link w:val="BodyTextChar"/>
    <w:rsid w:val="001E1EE0"/>
    <w:pPr>
      <w:overflowPunct/>
      <w:autoSpaceDE/>
      <w:autoSpaceDN/>
      <w:adjustRightInd/>
      <w:spacing w:after="180" w:line="264" w:lineRule="auto"/>
      <w:textAlignment w:val="auto"/>
    </w:pPr>
    <w:rPr>
      <w:sz w:val="22"/>
    </w:rPr>
  </w:style>
  <w:style w:type="character" w:customStyle="1" w:styleId="BodyTextChar">
    <w:name w:val="Body Text Char"/>
    <w:link w:val="BodyText"/>
    <w:rsid w:val="001E1EE0"/>
    <w:rPr>
      <w:sz w:val="22"/>
    </w:rPr>
  </w:style>
  <w:style w:type="table" w:styleId="TableGrid">
    <w:name w:val="Table Grid"/>
    <w:basedOn w:val="TableNormal"/>
    <w:rsid w:val="00124C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399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B73997"/>
  </w:style>
  <w:style w:type="character" w:customStyle="1" w:styleId="eop">
    <w:name w:val="eop"/>
    <w:basedOn w:val="DefaultParagraphFont"/>
    <w:rsid w:val="00B73997"/>
  </w:style>
  <w:style w:type="character" w:customStyle="1" w:styleId="scxw47341313">
    <w:name w:val="scxw47341313"/>
    <w:basedOn w:val="DefaultParagraphFont"/>
    <w:rsid w:val="00B73997"/>
  </w:style>
  <w:style w:type="character" w:styleId="UnresolvedMention">
    <w:name w:val="Unresolved Mention"/>
    <w:uiPriority w:val="99"/>
    <w:semiHidden/>
    <w:unhideWhenUsed/>
    <w:rsid w:val="00966A97"/>
    <w:rPr>
      <w:color w:val="605E5C"/>
      <w:shd w:val="clear" w:color="auto" w:fill="E1DFDD"/>
    </w:rPr>
  </w:style>
  <w:style w:type="paragraph" w:styleId="Revision">
    <w:name w:val="Revision"/>
    <w:hidden/>
    <w:uiPriority w:val="99"/>
    <w:semiHidden/>
    <w:rsid w:val="002A0AA5"/>
    <w:rPr>
      <w:lang w:eastAsia="en-US"/>
    </w:rPr>
  </w:style>
  <w:style w:type="paragraph" w:customStyle="1" w:styleId="Bullet">
    <w:name w:val="Bullet"/>
    <w:basedOn w:val="ListParagraph"/>
    <w:link w:val="BulletChar"/>
    <w:qFormat/>
    <w:rsid w:val="00A503D4"/>
    <w:pPr>
      <w:numPr>
        <w:numId w:val="9"/>
      </w:numPr>
      <w:overflowPunct/>
      <w:autoSpaceDE/>
      <w:autoSpaceDN/>
      <w:adjustRightInd/>
      <w:spacing w:before="120" w:after="120"/>
      <w:textAlignment w:val="auto"/>
    </w:pPr>
    <w:rPr>
      <w:rFonts w:ascii="Lora" w:eastAsia="Lora" w:hAnsi="Lora" w:cs="Lora"/>
      <w:bCs/>
      <w:sz w:val="24"/>
      <w:szCs w:val="28"/>
      <w:lang w:val="en"/>
    </w:rPr>
  </w:style>
  <w:style w:type="character" w:customStyle="1" w:styleId="BulletChar">
    <w:name w:val="Bullet Char"/>
    <w:link w:val="Bullet"/>
    <w:rsid w:val="00A503D4"/>
    <w:rPr>
      <w:rFonts w:ascii="Lora" w:eastAsia="Lora" w:hAnsi="Lora" w:cs="Lora"/>
      <w:bCs/>
      <w:sz w:val="24"/>
      <w:szCs w:val="28"/>
      <w:lang w:val="en" w:eastAsia="en-US"/>
    </w:rPr>
  </w:style>
  <w:style w:type="character" w:styleId="PageNumber">
    <w:name w:val="page number"/>
    <w:basedOn w:val="DefaultParagraphFont"/>
    <w:uiPriority w:val="99"/>
    <w:semiHidden/>
    <w:unhideWhenUsed/>
    <w:rsid w:val="009D0F53"/>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8F72F3"/>
    <w:pPr>
      <w:widowControl w:val="0"/>
      <w:kinsoku w:val="0"/>
    </w:pPr>
    <w:rPr>
      <w:sz w:val="24"/>
      <w:szCs w:val="24"/>
      <w:lang w:eastAsia="en-US"/>
    </w:rPr>
  </w:style>
  <w:style w:type="table" w:customStyle="1" w:styleId="ListTable31">
    <w:name w:val="List Table 31"/>
    <w:basedOn w:val="TableNormal"/>
    <w:uiPriority w:val="48"/>
    <w:rsid w:val="008F72F3"/>
    <w:rPr>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761BB3"/>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0CAAF392C45048A1FBE008B855E051" ma:contentTypeVersion="14" ma:contentTypeDescription="Create a new document." ma:contentTypeScope="" ma:versionID="4fbba3442d28e5afd5aa8553d8ae39b7">
  <xsd:schema xmlns:xsd="http://www.w3.org/2001/XMLSchema" xmlns:xs="http://www.w3.org/2001/XMLSchema" xmlns:p="http://schemas.microsoft.com/office/2006/metadata/properties" xmlns:ns2="a5b3b8b8-27ac-4e1a-92ae-29363a77dde5" xmlns:ns3="0040b190-dd7c-4f47-be11-86f1bbf10a9c" targetNamespace="http://schemas.microsoft.com/office/2006/metadata/properties" ma:root="true" ma:fieldsID="b5daf8d108be960d7e7167e3f505b56c" ns2:_="" ns3:_="">
    <xsd:import namespace="a5b3b8b8-27ac-4e1a-92ae-29363a77dde5"/>
    <xsd:import namespace="0040b190-dd7c-4f47-be11-86f1bbf10a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b8b8-27ac-4e1a-92ae-29363a77d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2df8674-7991-4a6b-90e1-4315b024bc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0b190-dd7c-4f47-be11-86f1bbf10a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e7a973-577c-4629-bab5-15d3d1358105}" ma:internalName="TaxCatchAll" ma:showField="CatchAllData" ma:web="0040b190-dd7c-4f47-be11-86f1bbf10a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5b3b8b8-27ac-4e1a-92ae-29363a77dde5">
      <Terms xmlns="http://schemas.microsoft.com/office/infopath/2007/PartnerControls"/>
    </lcf76f155ced4ddcb4097134ff3c332f>
    <TaxCatchAll xmlns="0040b190-dd7c-4f47-be11-86f1bbf10a9c" xsi:nil="true"/>
    <SharedWithUsers xmlns="0040b190-dd7c-4f47-be11-86f1bbf10a9c">
      <UserInfo>
        <DisplayName>Limited Access System Group For Web 0040b190-dd7c-4f47-be11-86f1bbf10a9c</DisplayName>
        <AccountId>15</AccountId>
        <AccountType/>
      </UserInfo>
      <UserInfo>
        <DisplayName>Efren Gomez</DisplayName>
        <AccountId>102</AccountId>
        <AccountType/>
      </UserInfo>
      <UserInfo>
        <DisplayName>Christian Geckeler</DisplayName>
        <AccountId>12</AccountId>
        <AccountType/>
      </UserInfo>
      <UserInfo>
        <DisplayName>Anne Paprocki</DisplayName>
        <AccountId>9</AccountId>
        <AccountType/>
      </UserInfo>
    </SharedWithUsers>
  </documentManagement>
</p:properties>
</file>

<file path=customXml/itemProps1.xml><?xml version="1.0" encoding="utf-8"?>
<ds:datastoreItem xmlns:ds="http://schemas.openxmlformats.org/officeDocument/2006/customXml" ds:itemID="{397582F3-EA65-41C3-A747-D4C13C14BC23}">
  <ds:schemaRefs>
    <ds:schemaRef ds:uri="http://schemas.microsoft.com/office/2006/metadata/longProperties"/>
  </ds:schemaRefs>
</ds:datastoreItem>
</file>

<file path=customXml/itemProps2.xml><?xml version="1.0" encoding="utf-8"?>
<ds:datastoreItem xmlns:ds="http://schemas.openxmlformats.org/officeDocument/2006/customXml" ds:itemID="{CAA40ADF-5DE5-4C6F-994E-96417022CD47}">
  <ds:schemaRefs>
    <ds:schemaRef ds:uri="http://schemas.microsoft.com/sharepoint/v3/contenttype/forms"/>
  </ds:schemaRefs>
</ds:datastoreItem>
</file>

<file path=customXml/itemProps3.xml><?xml version="1.0" encoding="utf-8"?>
<ds:datastoreItem xmlns:ds="http://schemas.openxmlformats.org/officeDocument/2006/customXml" ds:itemID="{57E8EC46-2218-4530-A6DF-DE0458090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b8b8-27ac-4e1a-92ae-29363a77dde5"/>
    <ds:schemaRef ds:uri="0040b190-dd7c-4f47-be11-86f1bbf10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1CD34-F31E-4CF6-8371-F239506B5E71}">
  <ds:schemaRefs>
    <ds:schemaRef ds:uri="http://schemas.openxmlformats.org/officeDocument/2006/bibliography"/>
  </ds:schemaRefs>
</ds:datastoreItem>
</file>

<file path=customXml/itemProps5.xml><?xml version="1.0" encoding="utf-8"?>
<ds:datastoreItem xmlns:ds="http://schemas.openxmlformats.org/officeDocument/2006/customXml" ds:itemID="{7BA20C2D-A625-401D-A5E7-7826A3C95193}">
  <ds:schemaRefs>
    <ds:schemaRef ds:uri="http://schemas.microsoft.com/office/2006/metadata/properties"/>
    <ds:schemaRef ds:uri="http://schemas.microsoft.com/office/infopath/2007/PartnerControls"/>
    <ds:schemaRef ds:uri="a5b3b8b8-27ac-4e1a-92ae-29363a77dde5"/>
    <ds:schemaRef ds:uri="0040b190-dd7c-4f47-be11-86f1bbf10a9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5164</Words>
  <Characters>28500</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2016-10-20T09:19:00Z</cp:lastPrinted>
  <dcterms:created xsi:type="dcterms:W3CDTF">2024-09-16T21:24:00Z</dcterms:created>
  <dcterms:modified xsi:type="dcterms:W3CDTF">2024-09-16T21:24:00Z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0x010100C40CAAF392C45048A1FBE008B855E051</vt:lpwstr>
  </property>
  <property fmtid="{D5CDD505-2E9C-101B-9397-08002B2CF9AE}" pid="3" name="display_urn:schemas-microsoft-com:office:office#SharedWithUsers">
    <vt:lpwstr>Leggitt, John S</vt:lpwstr>
  </property>
  <property fmtid="{D5CDD505-2E9C-101B-9397-08002B2CF9AE}" pid="4" name="lcf76f155ced4ddcb4097134ff3c332f">
    <vt:lpwstr/>
  </property>
  <property fmtid="{D5CDD505-2E9C-101B-9397-08002B2CF9AE}" pid="5" name="MediaServiceImageTags">
    <vt:lpwstr/>
  </property>
  <property fmtid="{D5CDD505-2E9C-101B-9397-08002B2CF9AE}" pid="6" name="SharedWithUsers">
    <vt:lpwstr>15;#Leggitt, John S</vt:lpwstr>
  </property>
  <property fmtid="{D5CDD505-2E9C-101B-9397-08002B2CF9AE}" pid="7" name="TaxCatchAll">
    <vt:lpwstr/>
  </property>
  <property fmtid="{D5CDD505-2E9C-101B-9397-08002B2CF9AE}" pid="8" name="_ip_UnifiedCompliancePolicyProperties">
    <vt:lpwstr/>
  </property>
  <property fmtid="{D5CDD505-2E9C-101B-9397-08002B2CF9AE}" pid="9" name="_ip_UnifiedCompliancePolicyUIAction">
    <vt:lpwstr/>
  </property>
  <property fmtid="{D5CDD505-2E9C-101B-9397-08002B2CF9AE}" pid="10" name="_NewReviewCycle">
    <vt:lpwstr/>
  </property>
</Properties>
</file>