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598D" w:rsidP="008E5CCB" w14:paraId="0FF8C138" w14:textId="77777777">
      <w:pPr>
        <w:pStyle w:val="Heading2"/>
        <w:pBdr>
          <w:bottom w:val="single" w:sz="4" w:space="1" w:color="auto"/>
        </w:pBdr>
        <w:tabs>
          <w:tab w:val="left" w:pos="900"/>
        </w:tabs>
        <w:ind w:right="-180"/>
      </w:pPr>
      <w:r>
        <w:rPr>
          <w:sz w:val="28"/>
          <w:szCs w:val="28"/>
        </w:rPr>
        <w:t>Request for Approval under the “Generic Clearance for the Collection of Routine Customer Feedback” (OMB Control Number: 2700-0153)</w:t>
      </w:r>
    </w:p>
    <w:p w:rsidR="00AF0204" w14:paraId="226F310E" w14:textId="77777777">
      <w:pPr>
        <w:rPr>
          <w:b/>
        </w:rPr>
      </w:pPr>
    </w:p>
    <w:p w:rsidR="004D598D" w:rsidRPr="00430B22" w14:paraId="55192D40" w14:textId="44BCBD36">
      <w:pPr>
        <w:rPr>
          <w:b/>
        </w:rPr>
      </w:pPr>
      <w:r w:rsidRPr="00430B22">
        <w:rPr>
          <w:b/>
        </w:rPr>
        <w:t>TITLE OF INFORMATION COLLECTION:</w:t>
      </w:r>
      <w:r w:rsidRPr="00430B22">
        <w:t xml:space="preserve">  </w:t>
      </w:r>
      <w:r w:rsidRPr="00430B22" w:rsidR="00AF0204">
        <w:rPr>
          <w:color w:val="000000"/>
          <w:sz w:val="22"/>
          <w:szCs w:val="22"/>
        </w:rPr>
        <w:t xml:space="preserve">NASA Earth Science Division’s Applied Sciences </w:t>
      </w:r>
      <w:r w:rsidRPr="00430B22" w:rsidR="00430B22">
        <w:rPr>
          <w:color w:val="000000"/>
          <w:sz w:val="22"/>
          <w:szCs w:val="22"/>
        </w:rPr>
        <w:t xml:space="preserve">Annual Report </w:t>
      </w:r>
      <w:r w:rsidR="00430B22">
        <w:rPr>
          <w:color w:val="000000"/>
          <w:sz w:val="22"/>
          <w:szCs w:val="22"/>
        </w:rPr>
        <w:t>f</w:t>
      </w:r>
      <w:r w:rsidRPr="00430B22" w:rsidR="00430B22">
        <w:rPr>
          <w:color w:val="000000"/>
          <w:sz w:val="22"/>
          <w:szCs w:val="22"/>
        </w:rPr>
        <w:t>or Project Participants</w:t>
      </w:r>
      <w:r w:rsidR="00430B22">
        <w:rPr>
          <w:color w:val="000000"/>
          <w:sz w:val="22"/>
          <w:szCs w:val="22"/>
        </w:rPr>
        <w:t>.</w:t>
      </w:r>
    </w:p>
    <w:p w:rsidR="004D598D" w14:paraId="41E9DB06" w14:textId="77777777"/>
    <w:p w:rsidR="004D598D" w14:paraId="438448CD" w14:textId="77777777">
      <w:pPr>
        <w:rPr>
          <w:b/>
        </w:rPr>
      </w:pPr>
      <w:r>
        <w:rPr>
          <w:b/>
        </w:rPr>
        <w:t xml:space="preserve">PURPOSE:  </w:t>
      </w:r>
      <w:r>
        <w:t xml:space="preserve">NASA Applied Sciences Program Ecological Conservation Applications Area seeks to identify the impact of products resulting from funded projects on project end users. End users are defined as the organizations or representative individuals who use a product, service, or information to influence the organizations activities surrounding ecological conservation and natural resources management. Impact, here, is broadly defined as any net change on the end user’s activities relevant to using science, data, or information resulting from the NASA-funded project in question. This survey will gauge the end users’ satisfaction with the products resulting from the project in question. Survey results will be used to improve the way the NASA Ecological Conservation Applications Area manages its funded projects, develops its competitive solicitations, and seeks feedback from project investigators and end users. </w:t>
      </w:r>
    </w:p>
    <w:p w:rsidR="004D598D" w14:paraId="53F3F3E0" w14:textId="77777777"/>
    <w:p w:rsidR="004D598D" w14:paraId="50DFADDE" w14:textId="77777777">
      <w:pPr>
        <w:widowControl w:val="0"/>
        <w:pBdr>
          <w:top w:val="nil"/>
          <w:left w:val="nil"/>
          <w:bottom w:val="nil"/>
          <w:right w:val="nil"/>
          <w:between w:val="nil"/>
        </w:pBdr>
        <w:tabs>
          <w:tab w:val="center" w:pos="4320"/>
          <w:tab w:val="right" w:pos="8640"/>
        </w:tabs>
      </w:pPr>
      <w:r>
        <w:rPr>
          <w:b/>
          <w:color w:val="000000"/>
        </w:rPr>
        <w:t>DESCRIPTION OF RESPONDENTS</w:t>
      </w:r>
      <w:r>
        <w:rPr>
          <w:color w:val="000000"/>
        </w:rPr>
        <w:t xml:space="preserve">: </w:t>
      </w:r>
      <w:r>
        <w:t xml:space="preserve">The universe of respondents is finite and includes ‘end users’ associated with or who are stakeholders of a project funded by the NASA Ecological Conservation (formerly Ecological Forecasting) Applications Area program elements. ‘End users’ (Respondents) include individuals who are professionally associated with governmental agencies (including but not limited to U.S. federal government and U.S. state government agencies) and non-governmental organizations (including but not limited to The Nature Conservancy, World Wildlife Fund) that plan, fund, conduct, or inform ecological conservation. </w:t>
      </w:r>
    </w:p>
    <w:p w:rsidR="004D598D" w14:paraId="0A1F1767" w14:textId="77777777">
      <w:pPr>
        <w:rPr>
          <w:b/>
        </w:rPr>
      </w:pPr>
    </w:p>
    <w:p w:rsidR="004D598D" w14:paraId="65D182E9" w14:textId="77777777">
      <w:pPr>
        <w:rPr>
          <w:b/>
        </w:rPr>
      </w:pPr>
      <w:r>
        <w:rPr>
          <w:b/>
        </w:rPr>
        <w:t>TYPE OF COLLECTION:</w:t>
      </w:r>
      <w:r>
        <w:t xml:space="preserve"> (Check one)</w:t>
      </w:r>
    </w:p>
    <w:p w:rsidR="004D598D" w14:paraId="348B2D5A"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[X ] Customer Satisfaction Survey    </w:t>
      </w:r>
    </w:p>
    <w:p w:rsidR="004D598D" w14:paraId="5A5796A8"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(e.g., Website or Software</w:t>
      </w:r>
      <w:r>
        <w:rPr>
          <w:color w:val="000000"/>
        </w:rPr>
        <w:tab/>
        <w:t>[ ] Small Discussion Group</w:t>
      </w:r>
    </w:p>
    <w:p w:rsidR="004D598D" w14:paraId="6D3B9760"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4D598D" w14:paraId="222B30BE" w14:textId="77777777">
      <w:pPr>
        <w:widowControl w:val="0"/>
        <w:pBdr>
          <w:top w:val="nil"/>
          <w:left w:val="nil"/>
          <w:bottom w:val="nil"/>
          <w:right w:val="nil"/>
          <w:between w:val="nil"/>
        </w:pBdr>
        <w:tabs>
          <w:tab w:val="center" w:pos="4320"/>
          <w:tab w:val="right" w:pos="8640"/>
        </w:tabs>
        <w:rPr>
          <w:color w:val="000000"/>
        </w:rPr>
      </w:pPr>
    </w:p>
    <w:p w:rsidR="004D598D" w14:paraId="6DF9AE08" w14:textId="77777777">
      <w:pPr>
        <w:rPr>
          <w:b/>
        </w:rPr>
      </w:pPr>
      <w:r>
        <w:rPr>
          <w:b/>
        </w:rPr>
        <w:t>CERTIFICATION:</w:t>
      </w:r>
    </w:p>
    <w:p w:rsidR="004D598D" w14:paraId="0737B7CB" w14:textId="77777777">
      <w:r>
        <w:t xml:space="preserve">I certify the following to be true: </w:t>
      </w:r>
    </w:p>
    <w:p w:rsidR="004D598D" w14:paraId="7F92998B" w14:textId="77777777">
      <w:pPr>
        <w:numPr>
          <w:ilvl w:val="0"/>
          <w:numId w:val="1"/>
        </w:numPr>
        <w:pBdr>
          <w:top w:val="nil"/>
          <w:left w:val="nil"/>
          <w:bottom w:val="nil"/>
          <w:right w:val="nil"/>
          <w:between w:val="nil"/>
        </w:pBdr>
      </w:pPr>
      <w:r>
        <w:rPr>
          <w:color w:val="000000"/>
        </w:rPr>
        <w:t xml:space="preserve">The collection is voluntary. </w:t>
      </w:r>
    </w:p>
    <w:p w:rsidR="004D598D" w14:paraId="36196F8B" w14:textId="77777777">
      <w:pPr>
        <w:numPr>
          <w:ilvl w:val="0"/>
          <w:numId w:val="1"/>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4D598D" w14:paraId="08D8FFB1"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D598D" w14:paraId="07D5D4C3"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4D598D" w14:paraId="314FFDCE"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4D598D" w14:paraId="64C88DD1" w14:textId="77777777">
      <w:pPr>
        <w:numPr>
          <w:ilvl w:val="0"/>
          <w:numId w:val="1"/>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4D598D" w14:paraId="70E799AD" w14:textId="77777777">
      <w:pPr>
        <w:rPr>
          <w:color w:val="000000"/>
        </w:rPr>
      </w:pPr>
      <w:r>
        <w:t>Name</w:t>
      </w:r>
      <w:r>
        <w:rPr>
          <w:color w:val="000000"/>
        </w:rPr>
        <w:t>: Keith Gaddis</w:t>
      </w:r>
    </w:p>
    <w:p w:rsidR="004D598D" w14:paraId="7FFF863E" w14:textId="77777777">
      <w:pPr>
        <w:pBdr>
          <w:top w:val="nil"/>
          <w:left w:val="nil"/>
          <w:bottom w:val="nil"/>
          <w:right w:val="nil"/>
          <w:between w:val="nil"/>
        </w:pBdr>
        <w:ind w:left="360"/>
        <w:rPr>
          <w:color w:val="000000"/>
        </w:rPr>
      </w:pPr>
    </w:p>
    <w:p w:rsidR="004D598D" w14:paraId="08CDF73B" w14:textId="77777777">
      <w:r>
        <w:t>To assist review, please provide answers to the following question:</w:t>
      </w:r>
    </w:p>
    <w:p w:rsidR="004D598D" w14:paraId="60924BE7" w14:textId="77777777">
      <w:pPr>
        <w:pBdr>
          <w:top w:val="nil"/>
          <w:left w:val="nil"/>
          <w:bottom w:val="nil"/>
          <w:right w:val="nil"/>
          <w:between w:val="nil"/>
        </w:pBdr>
        <w:ind w:left="360"/>
        <w:rPr>
          <w:color w:val="000000"/>
        </w:rPr>
      </w:pPr>
    </w:p>
    <w:p w:rsidR="004D598D" w14:paraId="6776C2F8" w14:textId="77777777">
      <w:pPr>
        <w:rPr>
          <w:b/>
        </w:rPr>
      </w:pPr>
      <w:r>
        <w:rPr>
          <w:b/>
        </w:rPr>
        <w:t>Personally Identifiable Information:</w:t>
      </w:r>
    </w:p>
    <w:p w:rsidR="004D598D" w14:paraId="52228D11" w14:textId="77777777">
      <w:pPr>
        <w:numPr>
          <w:ilvl w:val="0"/>
          <w:numId w:val="4"/>
        </w:numPr>
        <w:pBdr>
          <w:top w:val="nil"/>
          <w:left w:val="nil"/>
          <w:bottom w:val="nil"/>
          <w:right w:val="nil"/>
          <w:between w:val="nil"/>
        </w:pBdr>
      </w:pPr>
      <w:r>
        <w:rPr>
          <w:color w:val="000000"/>
        </w:rPr>
        <w:t xml:space="preserve">Is personally identifiable information (PII) collected?  </w:t>
      </w:r>
      <w:r>
        <w:rPr>
          <w:color w:val="000000"/>
        </w:rPr>
        <w:t>[ ]</w:t>
      </w:r>
      <w:r>
        <w:rPr>
          <w:color w:val="000000"/>
        </w:rPr>
        <w:t xml:space="preserve"> Yes  [X ]  No </w:t>
      </w:r>
    </w:p>
    <w:p w:rsidR="004D598D" w14:paraId="128AB160"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  ]</w:t>
      </w:r>
      <w:r>
        <w:rPr>
          <w:color w:val="000000"/>
        </w:rPr>
        <w:t xml:space="preserve"> Yes [ X ] No   </w:t>
      </w:r>
    </w:p>
    <w:p w:rsidR="004D598D" w14:paraId="6DC36E70"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  ] No</w:t>
      </w:r>
    </w:p>
    <w:p w:rsidR="004D598D" w14:paraId="7D70B239" w14:textId="77777777">
      <w:pPr>
        <w:pBdr>
          <w:top w:val="nil"/>
          <w:left w:val="nil"/>
          <w:bottom w:val="nil"/>
          <w:right w:val="nil"/>
          <w:between w:val="nil"/>
        </w:pBdr>
        <w:rPr>
          <w:b/>
          <w:color w:val="000000"/>
        </w:rPr>
      </w:pPr>
    </w:p>
    <w:p w:rsidR="004D598D" w14:paraId="67723881" w14:textId="77777777">
      <w:pPr>
        <w:pBdr>
          <w:top w:val="nil"/>
          <w:left w:val="nil"/>
          <w:bottom w:val="nil"/>
          <w:right w:val="nil"/>
          <w:between w:val="nil"/>
        </w:pBdr>
        <w:rPr>
          <w:b/>
          <w:color w:val="000000"/>
        </w:rPr>
      </w:pPr>
      <w:r>
        <w:rPr>
          <w:b/>
          <w:color w:val="000000"/>
        </w:rPr>
        <w:t>Gifts or Payments:</w:t>
      </w:r>
    </w:p>
    <w:p w:rsidR="004D598D" w14:paraId="23EE9A30" w14:textId="77777777">
      <w:r>
        <w:t xml:space="preserve">Is an incentive (e.g., money or reimbursement of expenses, token of appreciation) provided to participants?  </w:t>
      </w:r>
      <w:r>
        <w:t>[  ]</w:t>
      </w:r>
      <w:r>
        <w:t xml:space="preserve"> Yes [ X] No  </w:t>
      </w:r>
    </w:p>
    <w:p w:rsidR="004D598D" w14:paraId="139DD771" w14:textId="77777777">
      <w:pPr>
        <w:rPr>
          <w:b/>
        </w:rPr>
      </w:pPr>
    </w:p>
    <w:p w:rsidR="004D598D" w14:paraId="32EFF1D6" w14:textId="77777777">
      <w:pPr>
        <w:rPr>
          <w:i/>
        </w:rPr>
      </w:pPr>
      <w:r>
        <w:rPr>
          <w:b/>
        </w:rPr>
        <w:t>BURDEN HOURS</w:t>
      </w:r>
      <w:r>
        <w:t xml:space="preserve"> </w:t>
      </w:r>
    </w:p>
    <w:tbl>
      <w:tblPr>
        <w:tblStyle w:val="a"/>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0"/>
        <w:gridCol w:w="1605"/>
        <w:gridCol w:w="1590"/>
        <w:gridCol w:w="1125"/>
      </w:tblGrid>
      <w:tr w14:paraId="2988A62D" w14:textId="77777777">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5340" w:type="dxa"/>
          </w:tcPr>
          <w:p w:rsidR="004D598D" w:rsidP="001C21D6" w14:paraId="164ECD53" w14:textId="77777777">
            <w:pPr>
              <w:jc w:val="center"/>
              <w:rPr>
                <w:b/>
              </w:rPr>
            </w:pPr>
            <w:r>
              <w:rPr>
                <w:b/>
              </w:rPr>
              <w:t>Category of Respondent</w:t>
            </w:r>
          </w:p>
        </w:tc>
        <w:tc>
          <w:tcPr>
            <w:tcW w:w="1605" w:type="dxa"/>
          </w:tcPr>
          <w:p w:rsidR="004D598D" w:rsidP="001C21D6" w14:paraId="682797FB" w14:textId="77777777">
            <w:pPr>
              <w:jc w:val="center"/>
              <w:rPr>
                <w:b/>
              </w:rPr>
            </w:pPr>
            <w:r>
              <w:rPr>
                <w:b/>
              </w:rPr>
              <w:t>No. of Respondents</w:t>
            </w:r>
          </w:p>
        </w:tc>
        <w:tc>
          <w:tcPr>
            <w:tcW w:w="1590" w:type="dxa"/>
          </w:tcPr>
          <w:p w:rsidR="004D598D" w:rsidP="001C21D6" w14:paraId="51FE662D" w14:textId="77777777">
            <w:pPr>
              <w:jc w:val="center"/>
              <w:rPr>
                <w:b/>
              </w:rPr>
            </w:pPr>
            <w:r>
              <w:rPr>
                <w:b/>
              </w:rPr>
              <w:t>Participation Time</w:t>
            </w:r>
          </w:p>
        </w:tc>
        <w:tc>
          <w:tcPr>
            <w:tcW w:w="1125" w:type="dxa"/>
          </w:tcPr>
          <w:p w:rsidR="004D598D" w:rsidP="001C21D6" w14:paraId="27A2BF11" w14:textId="77777777">
            <w:pPr>
              <w:jc w:val="center"/>
              <w:rPr>
                <w:b/>
              </w:rPr>
            </w:pPr>
            <w:r>
              <w:rPr>
                <w:b/>
              </w:rPr>
              <w:t>Burden</w:t>
            </w:r>
          </w:p>
        </w:tc>
      </w:tr>
      <w:tr w14:paraId="67957636" w14:textId="77777777">
        <w:tblPrEx>
          <w:tblW w:w="9660" w:type="dxa"/>
          <w:tblLayout w:type="fixed"/>
          <w:tblLook w:val="0000"/>
        </w:tblPrEx>
        <w:trPr>
          <w:trHeight w:val="274"/>
        </w:trPr>
        <w:tc>
          <w:tcPr>
            <w:tcW w:w="53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4D598D" w:rsidP="001C21D6" w14:paraId="7A5BCC42" w14:textId="77777777">
            <w:pPr>
              <w:rPr>
                <w:sz w:val="20"/>
                <w:szCs w:val="20"/>
              </w:rPr>
            </w:pPr>
            <w:r>
              <w:rPr>
                <w:sz w:val="20"/>
                <w:szCs w:val="20"/>
              </w:rPr>
              <w:t>Private and Public Sector (individuals identified as project ‘end users’)</w:t>
            </w:r>
          </w:p>
        </w:tc>
        <w:tc>
          <w:tcPr>
            <w:tcW w:w="1605"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2EB7FDDC" w14:textId="77777777">
            <w:pPr>
              <w:rPr>
                <w:sz w:val="20"/>
                <w:szCs w:val="20"/>
              </w:rPr>
            </w:pPr>
            <w:r>
              <w:rPr>
                <w:sz w:val="20"/>
                <w:szCs w:val="20"/>
              </w:rPr>
              <w:t>30</w:t>
            </w:r>
          </w:p>
        </w:tc>
        <w:tc>
          <w:tcPr>
            <w:tcW w:w="1590"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63929A64" w14:textId="77777777">
            <w:pPr>
              <w:rPr>
                <w:sz w:val="20"/>
                <w:szCs w:val="20"/>
              </w:rPr>
            </w:pPr>
            <w:r>
              <w:rPr>
                <w:sz w:val="20"/>
                <w:szCs w:val="20"/>
              </w:rPr>
              <w:t>15 minutes (¼   hour)</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0A39D462" w14:textId="77777777">
            <w:pPr>
              <w:rPr>
                <w:sz w:val="20"/>
                <w:szCs w:val="20"/>
              </w:rPr>
            </w:pPr>
            <w:r>
              <w:rPr>
                <w:sz w:val="20"/>
                <w:szCs w:val="20"/>
              </w:rPr>
              <w:t>7.5 hours</w:t>
            </w:r>
          </w:p>
        </w:tc>
      </w:tr>
      <w:tr w14:paraId="2CEE4783" w14:textId="77777777">
        <w:tblPrEx>
          <w:tblW w:w="9660" w:type="dxa"/>
          <w:tblLayout w:type="fixed"/>
          <w:tblLook w:val="0000"/>
        </w:tblPrEx>
        <w:trPr>
          <w:trHeight w:val="274"/>
        </w:trPr>
        <w:tc>
          <w:tcPr>
            <w:tcW w:w="53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4D598D" w:rsidP="001C21D6" w14:paraId="6BE4E1D0" w14:textId="77777777">
            <w:pPr>
              <w:rPr>
                <w:sz w:val="20"/>
                <w:szCs w:val="20"/>
              </w:rPr>
            </w:pPr>
            <w:r>
              <w:rPr>
                <w:sz w:val="20"/>
                <w:szCs w:val="20"/>
              </w:rPr>
              <w:t>Federal Government (Executive Branch; individuals identified as project ‘end users’)</w:t>
            </w:r>
          </w:p>
        </w:tc>
        <w:tc>
          <w:tcPr>
            <w:tcW w:w="1605"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46B7CD7E" w14:textId="77777777">
            <w:pPr>
              <w:rPr>
                <w:sz w:val="20"/>
                <w:szCs w:val="20"/>
              </w:rPr>
            </w:pPr>
            <w:r>
              <w:rPr>
                <w:sz w:val="20"/>
                <w:szCs w:val="20"/>
              </w:rPr>
              <w:t>15</w:t>
            </w:r>
          </w:p>
        </w:tc>
        <w:tc>
          <w:tcPr>
            <w:tcW w:w="1590"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14532807" w14:textId="77777777">
            <w:pPr>
              <w:rPr>
                <w:sz w:val="20"/>
                <w:szCs w:val="20"/>
              </w:rPr>
            </w:pPr>
            <w:r>
              <w:rPr>
                <w:sz w:val="20"/>
                <w:szCs w:val="20"/>
              </w:rPr>
              <w:t>15 minutes (¼   hour)</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5533526F" w14:textId="77777777">
            <w:pPr>
              <w:rPr>
                <w:sz w:val="20"/>
                <w:szCs w:val="20"/>
              </w:rPr>
            </w:pPr>
            <w:r>
              <w:rPr>
                <w:sz w:val="20"/>
                <w:szCs w:val="20"/>
              </w:rPr>
              <w:t>3.75 hours</w:t>
            </w:r>
          </w:p>
        </w:tc>
      </w:tr>
      <w:tr w14:paraId="633C35F1" w14:textId="77777777">
        <w:tblPrEx>
          <w:tblW w:w="9660" w:type="dxa"/>
          <w:tblLayout w:type="fixed"/>
          <w:tblLook w:val="0000"/>
        </w:tblPrEx>
        <w:trPr>
          <w:trHeight w:val="260"/>
        </w:trPr>
        <w:tc>
          <w:tcPr>
            <w:tcW w:w="53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4D598D" w:rsidP="001C21D6" w14:paraId="4C3A489A" w14:textId="77777777">
            <w:pPr>
              <w:rPr>
                <w:b/>
              </w:rPr>
            </w:pPr>
            <w:r>
              <w:rPr>
                <w:b/>
              </w:rPr>
              <w:t>Totals</w:t>
            </w:r>
          </w:p>
        </w:tc>
        <w:tc>
          <w:tcPr>
            <w:tcW w:w="1605"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730017E1" w14:textId="4660DCE6">
            <w:pPr>
              <w:rPr>
                <w:b/>
              </w:rPr>
            </w:pPr>
            <w:r>
              <w:rPr>
                <w:b/>
              </w:rPr>
              <w:t xml:space="preserve"> </w:t>
            </w:r>
            <w:r w:rsidR="004146DC">
              <w:rPr>
                <w:b/>
              </w:rPr>
              <w:t>45</w:t>
            </w:r>
          </w:p>
        </w:tc>
        <w:tc>
          <w:tcPr>
            <w:tcW w:w="1590"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65A10E11" w14:textId="7E9B27D6">
            <w:r>
              <w:t xml:space="preserve"> </w:t>
            </w:r>
            <w:r w:rsidR="004146DC">
              <w:t>15 mins</w:t>
            </w: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rsidR="004D598D" w:rsidP="001C21D6" w14:paraId="6EA5A1C7" w14:textId="77777777">
            <w:pPr>
              <w:rPr>
                <w:b/>
              </w:rPr>
            </w:pPr>
            <w:r>
              <w:rPr>
                <w:b/>
              </w:rPr>
              <w:t>11.25 hours</w:t>
            </w:r>
          </w:p>
        </w:tc>
      </w:tr>
    </w:tbl>
    <w:p w:rsidR="004D598D" w14:paraId="17EE5910" w14:textId="77777777">
      <w:pPr>
        <w:rPr>
          <w:color w:val="FF0000"/>
        </w:rPr>
      </w:pPr>
    </w:p>
    <w:p w:rsidR="00EC047E" w:rsidP="00EC047E" w14:paraId="2EC39635" w14:textId="1B51A961">
      <w:r>
        <w:rPr>
          <w:b/>
          <w:color w:val="000000"/>
        </w:rPr>
        <w:t xml:space="preserve">FEDERAL COST:  </w:t>
      </w:r>
      <w:r w:rsidRPr="00087E6A">
        <w:t>The estimated annual cost to the Federal government is $</w:t>
      </w:r>
      <w:r w:rsidR="00774EBE">
        <w:t>337.50</w:t>
      </w:r>
      <w:r>
        <w:t xml:space="preserve">. </w:t>
      </w:r>
    </w:p>
    <w:p w:rsidR="00EC047E" w:rsidP="00EC047E" w14:paraId="20662A13" w14:textId="23C0ED0A">
      <w:r>
        <w:t>Burden hours multiplied by $30/hour;</w:t>
      </w:r>
      <w:r w:rsidRPr="00087E6A">
        <w:t xml:space="preserve"> </w:t>
      </w:r>
      <w:r w:rsidR="00774EBE">
        <w:t>11.25</w:t>
      </w:r>
      <w:r w:rsidRPr="00087E6A">
        <w:t xml:space="preserve"> x $</w:t>
      </w:r>
      <w:r>
        <w:t>3</w:t>
      </w:r>
      <w:r w:rsidRPr="00087E6A">
        <w:t>0 = $</w:t>
      </w:r>
      <w:r w:rsidR="00774EBE">
        <w:t>337.50</w:t>
      </w:r>
      <w:r w:rsidRPr="00087E6A">
        <w:t>.</w:t>
      </w:r>
    </w:p>
    <w:p w:rsidR="004D598D" w14:paraId="32470DF6" w14:textId="77777777">
      <w:pPr>
        <w:rPr>
          <w:b/>
          <w:u w:val="single"/>
        </w:rPr>
      </w:pPr>
    </w:p>
    <w:p w:rsidR="004D598D" w14:paraId="6AEF6138"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4D598D" w14:paraId="7C718CCA" w14:textId="77777777">
      <w:pPr>
        <w:rPr>
          <w:b/>
        </w:rPr>
      </w:pPr>
    </w:p>
    <w:p w:rsidR="004D598D" w14:paraId="2B330D82" w14:textId="77777777">
      <w:pPr>
        <w:rPr>
          <w:b/>
        </w:rPr>
      </w:pPr>
      <w:r>
        <w:rPr>
          <w:b/>
        </w:rPr>
        <w:t>The selection of your targeted respondents</w:t>
      </w:r>
    </w:p>
    <w:p w:rsidR="004D598D" w14:paraId="6099EBE6"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w:t>
      </w:r>
      <w:r>
        <w:rPr>
          <w:color w:val="000000"/>
        </w:rPr>
        <w:t xml:space="preserve"> Yes</w:t>
      </w:r>
      <w:r>
        <w:rPr>
          <w:color w:val="000000"/>
        </w:rPr>
        <w:tab/>
        <w:t>[X ] No</w:t>
      </w:r>
    </w:p>
    <w:p w:rsidR="004D598D" w14:paraId="0BFBAED3" w14:textId="77777777">
      <w:pPr>
        <w:pBdr>
          <w:top w:val="nil"/>
          <w:left w:val="nil"/>
          <w:bottom w:val="nil"/>
          <w:right w:val="nil"/>
          <w:between w:val="nil"/>
        </w:pBdr>
        <w:ind w:left="720"/>
        <w:rPr>
          <w:color w:val="000000"/>
        </w:rPr>
      </w:pPr>
    </w:p>
    <w:p w:rsidR="004D598D" w14:paraId="516E8714" w14:textId="77777777">
      <w:r>
        <w:t>If the answer is yes, please provide a description of both below (</w:t>
      </w:r>
      <w:r>
        <w:t>or</w:t>
      </w:r>
      <w:r>
        <w:t xml:space="preserve"> attach the sampling plan)?   If the answer is no, please provide a description of how you plan to identify your potential group of respondents and how you will select them?</w:t>
      </w:r>
    </w:p>
    <w:p w:rsidR="004D598D" w:rsidP="005E203B" w14:paraId="1840ED79" w14:textId="77777777">
      <w:pPr>
        <w:spacing w:before="240" w:after="240"/>
        <w:ind w:firstLine="720"/>
      </w:pPr>
      <w:r>
        <w:t>Potential respondents comprise those identified as “end users” of projects funded under solicitations managed by NASA Applied Sciences Program Ecological Conservation Applications Area (formerly Ecological Forecasting). The source for this list of participants will be the funded proposals from the following NASA solicitations (NSPIRES solicitation identifiers): NNH20ZDA001N-ECOF, NNH12ZDA001N-ECOF, NNH21ZDA001N-ECOF, NNH17ZDA001N-ECO4CAST, NNH19ZDA001N-ECO4CAST. In some cases, the best point of contact for an end user organization will be different than the individual(s) listed in the funded proposal. In these cases, the best point of contact and their contact information will be identified by the principal investigator.</w:t>
      </w:r>
    </w:p>
    <w:p w:rsidR="004D598D" w14:paraId="58B64968" w14:textId="77777777">
      <w:pPr>
        <w:rPr>
          <w:b/>
        </w:rPr>
      </w:pPr>
      <w:r>
        <w:rPr>
          <w:b/>
        </w:rPr>
        <w:t>Administration of the Instrument</w:t>
      </w:r>
    </w:p>
    <w:p w:rsidR="004D598D" w14:paraId="642AF179" w14:textId="77777777">
      <w:pPr>
        <w:numPr>
          <w:ilvl w:val="0"/>
          <w:numId w:val="3"/>
        </w:numPr>
        <w:pBdr>
          <w:top w:val="nil"/>
          <w:left w:val="nil"/>
          <w:bottom w:val="nil"/>
          <w:right w:val="nil"/>
          <w:between w:val="nil"/>
        </w:pBdr>
      </w:pPr>
      <w:r>
        <w:rPr>
          <w:color w:val="000000"/>
        </w:rPr>
        <w:t>How will you collect the information? (Check all that apply)</w:t>
      </w:r>
    </w:p>
    <w:p w:rsidR="004D598D" w14:paraId="5E7E8EDD" w14:textId="0A071970">
      <w:pPr>
        <w:ind w:left="720"/>
      </w:pPr>
      <w:r>
        <w:t>[X] Web-based</w:t>
      </w:r>
    </w:p>
    <w:p w:rsidR="004D598D" w14:paraId="383BA14E" w14:textId="77777777">
      <w:pPr>
        <w:ind w:left="720"/>
      </w:pPr>
      <w:r>
        <w:t>[  ]</w:t>
      </w:r>
      <w:r>
        <w:t xml:space="preserve"> Telephone</w:t>
      </w:r>
      <w:r>
        <w:tab/>
      </w:r>
    </w:p>
    <w:p w:rsidR="004D598D" w14:paraId="62A81230" w14:textId="77777777">
      <w:pPr>
        <w:ind w:left="720"/>
      </w:pPr>
      <w:r>
        <w:t>[  ]</w:t>
      </w:r>
      <w:r>
        <w:t xml:space="preserve"> In-person</w:t>
      </w:r>
      <w:r>
        <w:tab/>
      </w:r>
    </w:p>
    <w:p w:rsidR="004D598D" w14:paraId="64CEA802" w14:textId="77777777">
      <w:pPr>
        <w:ind w:left="720"/>
      </w:pPr>
      <w:r>
        <w:t>[  ]</w:t>
      </w:r>
      <w:r>
        <w:t xml:space="preserve"> Mail </w:t>
      </w:r>
    </w:p>
    <w:p w:rsidR="004D598D" w14:paraId="67103622" w14:textId="77777777">
      <w:pPr>
        <w:ind w:left="720"/>
      </w:pPr>
      <w:r>
        <w:t>[  ]</w:t>
      </w:r>
      <w:r>
        <w:t xml:space="preserve"> Other, Explain</w:t>
      </w:r>
    </w:p>
    <w:p w:rsidR="004D598D" w14:paraId="73F99548" w14:textId="77777777">
      <w:pPr>
        <w:numPr>
          <w:ilvl w:val="0"/>
          <w:numId w:val="3"/>
        </w:numPr>
        <w:pBdr>
          <w:top w:val="nil"/>
          <w:left w:val="nil"/>
          <w:bottom w:val="nil"/>
          <w:right w:val="nil"/>
          <w:between w:val="nil"/>
        </w:pBdr>
      </w:pPr>
      <w:r>
        <w:rPr>
          <w:color w:val="000000"/>
        </w:rPr>
        <w:t xml:space="preserve">Will interviewers or facilitators be used?  </w:t>
      </w:r>
      <w:r>
        <w:rPr>
          <w:color w:val="000000"/>
        </w:rPr>
        <w:t>[  ]</w:t>
      </w:r>
      <w:r>
        <w:rPr>
          <w:color w:val="000000"/>
        </w:rPr>
        <w:t xml:space="preserve"> Yes [ X ] No</w:t>
      </w:r>
    </w:p>
    <w:p w:rsidR="004D598D" w14:paraId="48E0F0AE" w14:textId="77777777">
      <w:pPr>
        <w:pBdr>
          <w:top w:val="nil"/>
          <w:left w:val="nil"/>
          <w:bottom w:val="nil"/>
          <w:right w:val="nil"/>
          <w:between w:val="nil"/>
        </w:pBdr>
        <w:ind w:left="360"/>
        <w:rPr>
          <w:color w:val="000000"/>
        </w:rPr>
      </w:pPr>
    </w:p>
    <w:p w:rsidR="004D598D" w14:paraId="787E110F" w14:textId="77777777">
      <w:pPr>
        <w:rPr>
          <w:b/>
        </w:rPr>
      </w:pPr>
      <w:r>
        <w:rPr>
          <w:b/>
        </w:rPr>
        <w:t>Please make sure that all instruments, instructions, and scripts are submitted with the request.</w:t>
      </w:r>
    </w:p>
    <w:sectPr>
      <w:footerReference w:type="default" r:id="rId9"/>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598D" w14:paraId="7BC1A039"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A6628">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3B5E04"/>
    <w:multiLevelType w:val="multilevel"/>
    <w:tmpl w:val="FF92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4DD417C"/>
    <w:multiLevelType w:val="multilevel"/>
    <w:tmpl w:val="F1E6C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6E24AB1"/>
    <w:multiLevelType w:val="multilevel"/>
    <w:tmpl w:val="798EC8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E93F47"/>
    <w:multiLevelType w:val="multilevel"/>
    <w:tmpl w:val="A2761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42151977">
    <w:abstractNumId w:val="2"/>
  </w:num>
  <w:num w:numId="2" w16cid:durableId="1195922138">
    <w:abstractNumId w:val="3"/>
  </w:num>
  <w:num w:numId="3" w16cid:durableId="1572540709">
    <w:abstractNumId w:val="0"/>
  </w:num>
  <w:num w:numId="4" w16cid:durableId="129683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8D"/>
    <w:rsid w:val="00087E6A"/>
    <w:rsid w:val="001C21D6"/>
    <w:rsid w:val="004146DC"/>
    <w:rsid w:val="00430B22"/>
    <w:rsid w:val="004D598D"/>
    <w:rsid w:val="005E203B"/>
    <w:rsid w:val="00774EBE"/>
    <w:rsid w:val="008E5CCB"/>
    <w:rsid w:val="009155D7"/>
    <w:rsid w:val="009A6628"/>
    <w:rsid w:val="00AF0204"/>
    <w:rsid w:val="00CF512A"/>
    <w:rsid w:val="00EC047E"/>
    <w:rsid w:val="00FE14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DFBB27"/>
  <w15:docId w15:val="{94D8B905-5209-D746-BF24-58F9D5D1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 w:type="character" w:styleId="Hyperlink">
    <w:name w:val="Hyperlink"/>
    <w:rsid w:val="000A0013"/>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INUpFmK/3zAO8I33A2H4lccWZA==">AMUW2mWl/NAHKaCSUzZmtyLz+QeErzhy4MOwHVf7MQdyEygBFzTzXB5AcY4yXgQjj3ieb7U8kKLp1tkAfhVZMGh2tXxnB3e2C3ISCQT7UPxJob6cm6/EZcs=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FD7C2-E9D8-3243-A694-E7F2EA084EB6}">
  <ds:schemaRefs>
    <ds:schemaRef ds:uri="http://schemas.openxmlformats.org/officeDocument/2006/bibliography"/>
  </ds:schemaRefs>
</ds:datastoreItem>
</file>

<file path=customXml/itemProps3.xml><?xml version="1.0" encoding="utf-8"?>
<ds:datastoreItem xmlns:ds="http://schemas.openxmlformats.org/officeDocument/2006/customXml" ds:itemID="{DBF81C65-E9BA-45B9-AED0-8EA75CFD5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E7F8D-1064-4970-A9CA-A729CBC9A903}">
  <ds:schemaRefs>
    <ds:schemaRef ds:uri="http://schemas.microsoft.com/sharepoint/v3/contenttype/forms"/>
  </ds:schemaRefs>
</ds:datastoreItem>
</file>

<file path=customXml/itemProps5.xml><?xml version="1.0" encoding="utf-8"?>
<ds:datastoreItem xmlns:ds="http://schemas.openxmlformats.org/officeDocument/2006/customXml" ds:itemID="{1CB93215-702B-4EB4-B776-B5EE3B532446}">
  <ds:schemaRefs>
    <ds:schemaRef ds:uri="http://schemas.microsoft.com/office/2006/metadata/properties"/>
    <ds:schemaRef ds:uri="http://schemas.microsoft.com/office/infopath/2007/PartnerControls"/>
    <ds:schemaRef ds:uri="a1a0e265-3c98-4989-82f8-db0e13907c6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Reiff, Scott (LARC-B713)[LAMPS 2]</cp:lastModifiedBy>
  <cp:revision>9</cp:revision>
  <dcterms:created xsi:type="dcterms:W3CDTF">2021-06-11T16:04:00Z</dcterms:created>
  <dcterms:modified xsi:type="dcterms:W3CDTF">2023-04-13T22:03:00Z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y fmtid="{D5CDD505-2E9C-101B-9397-08002B2CF9AE}" pid="4" name="_NewReviewCycle">
    <vt:lpwstr/>
  </property>
</Properties>
</file>