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28A091D9">
      <w:pPr>
        <w:jc w:val="center"/>
        <w:rPr>
          <w:sz w:val="22"/>
          <w:szCs w:val="22"/>
          <w:u w:val="single"/>
        </w:rPr>
      </w:pPr>
      <w:r>
        <w:rPr>
          <w:sz w:val="22"/>
          <w:szCs w:val="22"/>
          <w:u w:val="single"/>
        </w:rPr>
        <w:t>FOR SGL</w:t>
      </w:r>
      <w:r w:rsidR="00551525">
        <w:rPr>
          <w:sz w:val="22"/>
          <w:szCs w:val="22"/>
          <w:u w:val="single"/>
        </w:rPr>
        <w:t>V</w:t>
      </w:r>
      <w:r>
        <w:rPr>
          <w:sz w:val="22"/>
          <w:szCs w:val="22"/>
          <w:u w:val="single"/>
        </w:rPr>
        <w:t xml:space="preserve"> 8284 AND SGL</w:t>
      </w:r>
      <w:r w:rsidR="00551525">
        <w:rPr>
          <w:sz w:val="22"/>
          <w:szCs w:val="22"/>
          <w:u w:val="single"/>
        </w:rPr>
        <w:t>V</w:t>
      </w:r>
      <w:r>
        <w:rPr>
          <w:sz w:val="22"/>
          <w:szCs w:val="22"/>
          <w:u w:val="single"/>
        </w:rPr>
        <w:t xml:space="preserve"> 8284A</w:t>
      </w:r>
    </w:p>
    <w:p w:rsidR="00E0611A" w:rsidRPr="00E0611A" w:rsidP="00E0611A" w14:paraId="1C091FEE" w14:textId="77777777">
      <w:pPr>
        <w:jc w:val="center"/>
        <w:rPr>
          <w:sz w:val="22"/>
          <w:szCs w:val="22"/>
          <w:u w:val="single"/>
        </w:rPr>
      </w:pPr>
      <w:r w:rsidRPr="00E0611A">
        <w:rPr>
          <w:sz w:val="22"/>
          <w:szCs w:val="22"/>
          <w:u w:val="single"/>
        </w:rPr>
        <w:t>APPLICATION BY INSURED TERMINALLY ILL</w:t>
      </w:r>
    </w:p>
    <w:p w:rsidR="00E0611A" w:rsidP="00E0611A" w14:paraId="3F261F84" w14:textId="77777777">
      <w:pPr>
        <w:jc w:val="center"/>
        <w:rPr>
          <w:sz w:val="22"/>
          <w:szCs w:val="22"/>
          <w:u w:val="single"/>
        </w:rPr>
      </w:pPr>
      <w:r w:rsidRPr="00E0611A">
        <w:rPr>
          <w:sz w:val="22"/>
          <w:szCs w:val="22"/>
          <w:u w:val="single"/>
        </w:rPr>
        <w:t xml:space="preserve">PERSON FOR ACCELERATED BENEFIT </w:t>
      </w:r>
    </w:p>
    <w:p w:rsidR="00CE550F" w:rsidRPr="00553727" w:rsidP="00E0611A" w14:paraId="3C808971" w14:textId="66E6B83A">
      <w:pPr>
        <w:jc w:val="center"/>
        <w:rPr>
          <w:sz w:val="22"/>
          <w:szCs w:val="22"/>
          <w:u w:val="single"/>
        </w:rPr>
      </w:pPr>
      <w:r w:rsidRPr="00553727">
        <w:rPr>
          <w:sz w:val="22"/>
          <w:szCs w:val="22"/>
          <w:u w:val="single"/>
        </w:rPr>
        <w:t>2900-</w:t>
      </w:r>
      <w:r w:rsidR="00E0611A">
        <w:rPr>
          <w:sz w:val="22"/>
          <w:szCs w:val="22"/>
          <w:u w:val="single"/>
        </w:rPr>
        <w:t>0618</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390709">
        <w:tblPrEx>
          <w:tblW w:w="9630" w:type="dxa"/>
          <w:tblInd w:w="-5" w:type="dxa"/>
          <w:tblLook w:val="04A0"/>
        </w:tblPrEx>
        <w:tc>
          <w:tcPr>
            <w:tcW w:w="9630" w:type="dxa"/>
          </w:tcPr>
          <w:p w:rsidR="00C8663D" w:rsidRPr="00567686" w:rsidP="00C8663D" w14:paraId="2A61F743" w14:textId="77777777">
            <w:pPr>
              <w:rPr>
                <w:b/>
                <w:bCs/>
              </w:rPr>
            </w:pPr>
            <w:r w:rsidRPr="00567686">
              <w:rPr>
                <w:b/>
                <w:bCs/>
              </w:rPr>
              <w:t>Summary of Changes:</w:t>
            </w:r>
          </w:p>
          <w:p w:rsidR="00C8663D" w:rsidRPr="00390709" w:rsidP="00C8663D" w14:paraId="0B578EEC" w14:textId="77777777">
            <w:pPr>
              <w:rPr>
                <w:sz w:val="16"/>
                <w:szCs w:val="16"/>
              </w:rPr>
            </w:pPr>
          </w:p>
          <w:p w:rsidR="00C8663D" w:rsidP="00390709" w14:paraId="3912B572" w14:textId="77777777">
            <w:pPr>
              <w:numPr>
                <w:ilvl w:val="0"/>
                <w:numId w:val="9"/>
              </w:numPr>
              <w:ind w:left="360" w:right="-20" w:hanging="360"/>
            </w:pPr>
            <w:r>
              <w:t>This ICR is being submitted as an “Extension” since there are no changes to the burden or the information collection instruments.</w:t>
            </w:r>
          </w:p>
          <w:p w:rsidR="008030F6" w:rsidRPr="001F5990" w:rsidP="00390709" w14:paraId="5EAFA15D" w14:textId="1A3950E7">
            <w:pPr>
              <w:numPr>
                <w:ilvl w:val="0"/>
                <w:numId w:val="9"/>
              </w:numPr>
              <w:ind w:left="360" w:right="-20" w:hanging="360"/>
            </w:pPr>
            <w:r>
              <w:t>No comments were received in response to the 60-Day FRN.</w:t>
            </w:r>
          </w:p>
          <w:p w:rsidR="00C8663D" w:rsidP="00390709" w14:paraId="12794B80" w14:textId="74053B87">
            <w:pPr>
              <w:numPr>
                <w:ilvl w:val="0"/>
                <w:numId w:val="9"/>
              </w:numPr>
              <w:ind w:left="360" w:right="-20" w:hanging="360"/>
            </w:pPr>
            <w:r w:rsidRPr="00C3347D">
              <w:t>Th</w:t>
            </w:r>
            <w:r>
              <w:t>is</w:t>
            </w:r>
            <w:r w:rsidRPr="00C3347D">
              <w:t xml:space="preserve"> information collection request (ICR) package includes the VA Form</w:t>
            </w:r>
            <w:r w:rsidR="000623FF">
              <w:t>s SGLV 8284 and</w:t>
            </w:r>
            <w:r w:rsidR="00390709">
              <w:t xml:space="preserve"> SGL</w:t>
            </w:r>
            <w:r w:rsidR="00551525">
              <w:t>V</w:t>
            </w:r>
            <w:r w:rsidR="00390709">
              <w:t xml:space="preserve"> 8284A</w:t>
            </w:r>
            <w:r w:rsidR="000623FF">
              <w:t>.</w:t>
            </w:r>
            <w:r w:rsidRPr="00C3347D">
              <w:t xml:space="preserve"> </w:t>
            </w:r>
          </w:p>
          <w:p w:rsidR="00C8663D" w:rsidP="00390709" w14:paraId="5D0C0481" w14:textId="0DFC180B">
            <w:pPr>
              <w:numPr>
                <w:ilvl w:val="0"/>
                <w:numId w:val="9"/>
              </w:numPr>
              <w:spacing w:after="120"/>
              <w:ind w:left="360" w:right="-14" w:hanging="360"/>
            </w:pPr>
            <w:r w:rsidRPr="001E6E87">
              <w:t xml:space="preserve">Title:  </w:t>
            </w:r>
            <w:r w:rsidR="00390709">
              <w:t xml:space="preserve">APPLICATION BY INSURED TERMINALLY ILL PERSON FOR ACCELERATED BENEFIT </w:t>
            </w:r>
          </w:p>
        </w:tc>
      </w:tr>
    </w:tbl>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390709" w:rsidP="00390709" w14:paraId="39F0C5FF" w14:textId="77777777">
      <w:pPr>
        <w:ind w:right="-720"/>
        <w:rPr>
          <w:bCs/>
        </w:rPr>
      </w:pPr>
    </w:p>
    <w:p w:rsidR="00BB212A" w:rsidP="001E6BD6" w14:paraId="297D606F" w14:textId="6812F292">
      <w:pPr>
        <w:ind w:left="360" w:right="-810"/>
      </w:pPr>
      <w:r w:rsidRPr="00390709">
        <w:t xml:space="preserve">VA has amended regulations for the Servicemembers’ Group Life Insurance (SGLI) and Veterans’ Group Life Insurance (VGLI) programs to add accelerated death benefit (Accelerated Benefit) provisions that permit terminally ill policyholders access to the death benefits of their policies before they die. Traditionally, an individual purchases life insurance in order to safeguard his or her dependents against major financial loss due to his or her death.  Life insurance serves to replace the lost income of an insured and to provide for his or her final expenses. In recent years, the insurance industry has recognized the financial needs of terminally ill policyholders and has begun offering policies with accelerated benefit provisions. A recent statutory amendment (Section 302 of the Veterans Programs Enhancement Act of 1998, Pub. L. 105-368, 112 Stat. 3315, 3332-3333) added section 1980 to Title 38, United States Code, which extends an accelerated benefit option to terminally ill persons insured in the SGLI and VGLI programs.  </w:t>
      </w:r>
    </w:p>
    <w:p w:rsidR="00390709" w:rsidP="00125A85" w14:paraId="06CFAC55"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2D29EF" w:rsidP="00390709" w14:paraId="1CEC286E" w14:textId="107FE6AA">
      <w:pPr>
        <w:ind w:left="360" w:right="-720"/>
      </w:pPr>
      <w:r w:rsidRPr="00390709">
        <w:t xml:space="preserve">In 38 CFR 9.14(e), VA would require that a terminally ill person insured under SGLI or VGLI who wants to receive a lump sum payment to the insured prior to the insured’s death of a portion of the insurance must submit to Prudential Life Insurance’s Office of Servicemembers’ Group Life Insurance a completed application for an Accelerated Benefit.  The application must be on a form set forth in Sec. 9.14(e) which includes a medical prognosis by a physician stating the life expectancy of the insured person and a statement by the insured of what portion of the insurance he or she requests. Sec. 9.14(e) provides the necessary information on how to obtain an application form entitled “Claim for Accelerated Benefits”. The form may be obtained by writing to the Office of Servicemembers’ Group Life Insurance ABO Claim Processing, 290 West Mt. Pleasant Avenue, Livingston, NJ 07039, or by calling the Office of Servicemembers’ Group Life Insurance toll-free at 1-800-419-1473, or by downloading the form from the internet at www.insurance.va.gov. The information is needed to comply with the statutory provisions permitting an insured person </w:t>
      </w:r>
      <w:r w:rsidRPr="00390709">
        <w:t>who is terminally ill to request payment of a portion of the face value of the insured person’s SGLI or VGLI insurance as an Accelerated Benefit.</w:t>
      </w:r>
    </w:p>
    <w:p w:rsidR="00390709" w:rsidP="00125A85" w14:paraId="1E74179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BB212A" w:rsidP="00390709" w14:paraId="193D4B25" w14:textId="5F6F3F84">
      <w:pPr>
        <w:ind w:left="360" w:right="-720"/>
      </w:pPr>
      <w:r w:rsidRPr="00390709">
        <w:t>The use of automated collection techniques is not anticipated.</w:t>
      </w:r>
    </w:p>
    <w:p w:rsidR="00390709" w:rsidP="00125A85" w14:paraId="6139D539" w14:textId="7777777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390709" w14:paraId="073E9387" w14:textId="25C9E540">
      <w:pPr>
        <w:ind w:left="360" w:right="-720"/>
      </w:pPr>
      <w:r w:rsidRPr="00390709">
        <w:t>There is no duplication associated with this collection of information.</w:t>
      </w:r>
    </w:p>
    <w:p w:rsidR="00390709" w:rsidP="00125A85" w14:paraId="58BBDEBF" w14:textId="77777777">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224C68" w:rsidP="00567686" w14:paraId="1D96026E" w14:textId="1FBAA220">
      <w:pPr>
        <w:ind w:left="360" w:right="-720"/>
      </w:pPr>
      <w:r w:rsidRPr="00567686">
        <w:t>The impact on small businesses and other small entities is minimized by using “standard” or data routinely maintained by physicians. The collection of information has been thoroughly analyzed to ensure that all requested data is essential.</w:t>
      </w:r>
    </w:p>
    <w:p w:rsidR="00567686" w:rsidP="00567686" w14:paraId="1E657E35" w14:textId="77777777">
      <w:pPr>
        <w:ind w:left="36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224C68" w:rsidP="00567686" w14:paraId="08FAC6C1" w14:textId="21D8357C">
      <w:pPr>
        <w:ind w:left="360" w:right="-720"/>
        <w:rPr>
          <w:bCs/>
        </w:rPr>
      </w:pPr>
      <w:r w:rsidRPr="00567686">
        <w:rPr>
          <w:bCs/>
        </w:rPr>
        <w:t>If VA does not require this information, the Department would have no way of knowing whether or not the insured wanted to receive a lump sum payment prior to his/her death.</w:t>
      </w:r>
    </w:p>
    <w:p w:rsidR="00567686" w:rsidP="00125A85" w14:paraId="6E22965F" w14:textId="77777777">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567686" w14:paraId="689CBE0E" w14:textId="57ADBD85">
      <w:pPr>
        <w:ind w:left="360" w:right="-720"/>
      </w:pPr>
      <w:r w:rsidRPr="00567686">
        <w:t>There are no special circumstances requiring that the collection of information be conducted in a manner inconsistent with the guidelines in 5 CFR Section 1320.6.</w:t>
      </w:r>
    </w:p>
    <w:p w:rsidR="00567686" w:rsidP="00567686" w14:paraId="73391637" w14:textId="77777777">
      <w:pPr>
        <w:ind w:left="36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0A4FA5B7">
      <w:pPr>
        <w:overflowPunct w:val="0"/>
        <w:autoSpaceDE w:val="0"/>
        <w:autoSpaceDN w:val="0"/>
        <w:adjustRightInd w:val="0"/>
        <w:ind w:left="360"/>
        <w:textAlignment w:val="baseline"/>
      </w:pPr>
      <w:r>
        <w:t xml:space="preserve">A 60-Day Federal Register Notice (FRN) for the collection published on Friday, </w:t>
      </w:r>
      <w:r w:rsidR="00501213">
        <w:t>August 2, 2024</w:t>
      </w:r>
      <w:r>
        <w:t xml:space="preserve">.  The 60-Day FRN citation is </w:t>
      </w:r>
      <w:r w:rsidR="00D173EE">
        <w:t xml:space="preserve">Vol. </w:t>
      </w:r>
      <w:r w:rsidR="00501213">
        <w:t>89</w:t>
      </w:r>
      <w:r w:rsidR="000C665E">
        <w:t xml:space="preserve"> </w:t>
      </w:r>
      <w:r>
        <w:t xml:space="preserve">FRN </w:t>
      </w:r>
      <w:r w:rsidR="00501213">
        <w:t>63254</w:t>
      </w:r>
      <w:r>
        <w:t xml:space="preserve">. </w:t>
      </w:r>
    </w:p>
    <w:p w:rsidR="004F367C" w:rsidP="00125A85" w14:paraId="7FF60900" w14:textId="77777777">
      <w:pPr>
        <w:overflowPunct w:val="0"/>
        <w:autoSpaceDE w:val="0"/>
        <w:autoSpaceDN w:val="0"/>
        <w:adjustRightInd w:val="0"/>
        <w:ind w:left="990"/>
        <w:textAlignment w:val="baseline"/>
      </w:pPr>
    </w:p>
    <w:p w:rsidR="004F367C" w:rsidP="00C33614" w14:paraId="5D3EA4BB" w14:textId="38C285EF">
      <w:pPr>
        <w:overflowPunct w:val="0"/>
        <w:autoSpaceDE w:val="0"/>
        <w:autoSpaceDN w:val="0"/>
        <w:adjustRightInd w:val="0"/>
        <w:ind w:left="360"/>
        <w:textAlignment w:val="baseline"/>
      </w:pPr>
      <w:r>
        <w:t xml:space="preserve">A 30-Day Federal Register Notice for the collection published on </w:t>
      </w:r>
      <w:r w:rsidR="00FF75D4">
        <w:t>Monday</w:t>
      </w:r>
      <w:r>
        <w:t xml:space="preserve">, </w:t>
      </w:r>
      <w:r w:rsidR="00FF75D4">
        <w:t xml:space="preserve">October </w:t>
      </w:r>
      <w:r w:rsidR="00150A4F">
        <w:t>7, 2024</w:t>
      </w:r>
      <w:r>
        <w:t xml:space="preserve">.  The 30-Day FRN citation is </w:t>
      </w:r>
      <w:r w:rsidR="007140AB">
        <w:t>Vol. 89</w:t>
      </w:r>
      <w:r>
        <w:t xml:space="preserve"> FRN </w:t>
      </w:r>
      <w:r w:rsidR="00CF6F1C">
        <w:t>81153-81154</w:t>
      </w:r>
      <w:r>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70164360">
      <w:pPr>
        <w:numPr>
          <w:ilvl w:val="1"/>
          <w:numId w:val="13"/>
        </w:numPr>
        <w:overflowPunct w:val="0"/>
        <w:autoSpaceDE w:val="0"/>
        <w:autoSpaceDN w:val="0"/>
        <w:adjustRightInd w:val="0"/>
        <w:spacing w:after="120"/>
        <w:textAlignment w:val="baseline"/>
      </w:pPr>
      <w:r>
        <w:t xml:space="preserve">Number of Respondents: </w:t>
      </w:r>
      <w:r w:rsidR="00EC2788">
        <w:t>2</w:t>
      </w:r>
      <w:r w:rsidR="00C53ED9">
        <w:t>00</w:t>
      </w:r>
    </w:p>
    <w:p w:rsidR="00176D9C" w:rsidP="00C33614" w14:paraId="7D4F6570" w14:textId="21E6CFB1">
      <w:pPr>
        <w:numPr>
          <w:ilvl w:val="1"/>
          <w:numId w:val="13"/>
        </w:numPr>
        <w:overflowPunct w:val="0"/>
        <w:autoSpaceDE w:val="0"/>
        <w:autoSpaceDN w:val="0"/>
        <w:adjustRightInd w:val="0"/>
        <w:spacing w:after="120"/>
        <w:textAlignment w:val="baseline"/>
      </w:pPr>
      <w:r>
        <w:t xml:space="preserve">Frequency of Response: </w:t>
      </w:r>
      <w:r w:rsidR="00567686">
        <w:t>One-time</w:t>
      </w:r>
    </w:p>
    <w:p w:rsidR="00176D9C" w:rsidP="00C33614" w14:paraId="69F38414" w14:textId="0851921D">
      <w:pPr>
        <w:numPr>
          <w:ilvl w:val="1"/>
          <w:numId w:val="13"/>
        </w:numPr>
        <w:overflowPunct w:val="0"/>
        <w:autoSpaceDE w:val="0"/>
        <w:autoSpaceDN w:val="0"/>
        <w:adjustRightInd w:val="0"/>
        <w:spacing w:after="120"/>
        <w:textAlignment w:val="baseline"/>
      </w:pPr>
      <w:r>
        <w:t xml:space="preserve">Annual Burden Hours: </w:t>
      </w:r>
      <w:r w:rsidR="00567686">
        <w:t>40</w:t>
      </w:r>
      <w:r>
        <w:t xml:space="preserve"> hours</w:t>
      </w:r>
    </w:p>
    <w:p w:rsidR="00176D9C" w:rsidP="00C33614" w14:paraId="3E1EDFFD" w14:textId="3F30A11D">
      <w:pPr>
        <w:numPr>
          <w:ilvl w:val="1"/>
          <w:numId w:val="13"/>
        </w:numPr>
        <w:overflowPunct w:val="0"/>
        <w:autoSpaceDE w:val="0"/>
        <w:autoSpaceDN w:val="0"/>
        <w:adjustRightInd w:val="0"/>
        <w:spacing w:after="120"/>
        <w:textAlignment w:val="baseline"/>
      </w:pPr>
      <w:r>
        <w:t xml:space="preserve">Estimated Completion Time: </w:t>
      </w:r>
      <w:r w:rsidR="00567686">
        <w:t>12</w:t>
      </w:r>
      <w:r>
        <w:t xml:space="preserve">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The Bureau of Labor Statistics (B:S) gathers information on full-time wage and salary workers.  According to the latest available BLS data, the mean weakly earnings of full-time wage and salary 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5"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54468C" w:rsidP="005B0D87" w14:paraId="2D64483A" w14:textId="53D6A8D6">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567686">
        <w:rPr>
          <w:b/>
          <w:bCs/>
          <w:u w:val="single"/>
        </w:rPr>
        <w:t>1,259</w:t>
      </w:r>
      <w:r w:rsidRPr="00EC2788" w:rsidR="00EC2788">
        <w:t xml:space="preserve"> </w:t>
      </w:r>
      <w:r w:rsidRPr="00EC2788" w:rsidR="00C53ED9">
        <w:t>(</w:t>
      </w:r>
      <w:r w:rsidR="00567686">
        <w:t>40</w:t>
      </w:r>
      <w:r w:rsidRPr="00EC2788" w:rsidR="00C53ED9">
        <w:t xml:space="preserve"> burden hours x $</w:t>
      </w:r>
      <w:r w:rsidR="00A02229">
        <w:t>31.48</w:t>
      </w:r>
      <w:r w:rsidRPr="00EC2788" w:rsidR="00C53ED9">
        <w:t xml:space="preserve"> per hour).</w:t>
      </w:r>
    </w:p>
    <w:p w:rsidR="000C665E" w:rsidP="000C665E" w14:paraId="479769FD" w14:textId="77777777">
      <w:pPr>
        <w:pStyle w:val="ListParagraph"/>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5B829993">
            <w:pPr>
              <w:rPr>
                <w:color w:val="000000"/>
              </w:rPr>
            </w:pPr>
            <w:r>
              <w:rPr>
                <w:color w:val="000000"/>
              </w:rPr>
              <w:t>12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1CFE468E">
            <w:pPr>
              <w:rPr>
                <w:color w:val="000000"/>
              </w:rPr>
            </w:pPr>
            <w:r>
              <w:rPr>
                <w:color w:val="000000"/>
              </w:rPr>
              <w:t>.</w:t>
            </w:r>
            <w:r w:rsidR="00567686">
              <w:rPr>
                <w:color w:val="000000"/>
              </w:rPr>
              <w:t>20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477F50A8">
            <w:pPr>
              <w:rPr>
                <w:color w:val="000000"/>
              </w:rPr>
            </w:pPr>
            <w:r w:rsidRPr="00AB6B86">
              <w:rPr>
                <w:color w:val="000000"/>
              </w:rPr>
              <w:t>$</w:t>
            </w:r>
            <w:r w:rsidR="00567686">
              <w:rPr>
                <w:color w:val="000000"/>
              </w:rPr>
              <w:t>5</w:t>
            </w:r>
            <w:r w:rsidR="00EC2788">
              <w:rPr>
                <w:color w:val="000000"/>
              </w:rPr>
              <w:t>.</w:t>
            </w:r>
            <w:r w:rsidR="00567686">
              <w:rPr>
                <w:color w:val="000000"/>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7A460F99">
            <w:pPr>
              <w:rPr>
                <w:color w:val="000000"/>
              </w:rPr>
            </w:pPr>
            <w:r>
              <w:rPr>
                <w:color w:val="000000"/>
              </w:rPr>
              <w:t>   </w:t>
            </w:r>
            <w:r w:rsidR="00EC2788">
              <w:rPr>
                <w:color w:val="000000"/>
              </w:rPr>
              <w:t>200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1D336052">
            <w:pPr>
              <w:jc w:val="right"/>
              <w:rPr>
                <w:color w:val="000000"/>
              </w:rPr>
            </w:pPr>
            <w:r w:rsidRPr="00AB6B86">
              <w:rPr>
                <w:color w:val="000000"/>
              </w:rPr>
              <w:t>$</w:t>
            </w:r>
            <w:r w:rsidR="00D634D1">
              <w:rPr>
                <w:color w:val="000000"/>
              </w:rPr>
              <w:t>1,050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79AF0868">
            <w:pPr>
              <w:jc w:val="right"/>
              <w:rPr>
                <w:color w:val="000000"/>
              </w:rPr>
            </w:pPr>
            <w:r w:rsidRPr="00AB6B86">
              <w:rPr>
                <w:color w:val="000000"/>
              </w:rPr>
              <w:t>$</w:t>
            </w:r>
            <w:r w:rsidR="00D634D1">
              <w:rPr>
                <w:color w:val="000000"/>
              </w:rPr>
              <w:t>1,050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6CD1673A">
            <w:pPr>
              <w:rPr>
                <w:color w:val="000000"/>
              </w:rPr>
            </w:pPr>
            <w:r>
              <w:rPr>
                <w:color w:val="000000"/>
              </w:rPr>
              <w:t>   </w:t>
            </w:r>
            <w:r w:rsidR="00EC2788">
              <w:rPr>
                <w:color w:val="000000"/>
              </w:rPr>
              <w:t>200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639701E8">
            <w:pPr>
              <w:jc w:val="right"/>
              <w:rPr>
                <w:color w:val="000000"/>
              </w:rPr>
            </w:pPr>
            <w:r w:rsidRPr="00AB6B86">
              <w:rPr>
                <w:color w:val="000000"/>
              </w:rPr>
              <w:t>$</w:t>
            </w:r>
            <w:r w:rsidR="00D634D1">
              <w:rPr>
                <w:color w:val="000000"/>
              </w:rPr>
              <w:t>10</w:t>
            </w:r>
            <w:r w:rsidR="00090D8A">
              <w:rPr>
                <w:color w:val="000000"/>
              </w:rPr>
              <w:t>4</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54880189">
            <w:pPr>
              <w:jc w:val="right"/>
              <w:rPr>
                <w:color w:val="000000"/>
              </w:rPr>
            </w:pPr>
            <w:r w:rsidRPr="00AB6B86">
              <w:rPr>
                <w:color w:val="000000"/>
              </w:rPr>
              <w:t>$</w:t>
            </w:r>
            <w:r w:rsidR="00D634D1">
              <w:rPr>
                <w:color w:val="000000"/>
              </w:rPr>
              <w:t>10</w:t>
            </w:r>
            <w:r w:rsidR="00090D8A">
              <w:rPr>
                <w:color w:val="000000"/>
              </w:rPr>
              <w:t>4</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387205A5">
            <w:pPr>
              <w:rPr>
                <w:color w:val="000000"/>
              </w:rPr>
            </w:pPr>
            <w:r>
              <w:rPr>
                <w:color w:val="000000"/>
              </w:rPr>
              <w:t xml:space="preserve">   </w:t>
            </w:r>
            <w:r w:rsidR="00EC2788">
              <w:rPr>
                <w:color w:val="000000"/>
              </w:rPr>
              <w:t>200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16E8B9D9">
            <w:pPr>
              <w:jc w:val="right"/>
              <w:rPr>
                <w:color w:val="000000"/>
              </w:rPr>
            </w:pPr>
            <w:r w:rsidRPr="00AB6B86">
              <w:rPr>
                <w:color w:val="000000"/>
              </w:rPr>
              <w:t>$</w:t>
            </w:r>
            <w:r w:rsidR="00D634D1">
              <w:rPr>
                <w:color w:val="000000"/>
              </w:rPr>
              <w:t>92</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6A23D38F">
            <w:pPr>
              <w:jc w:val="right"/>
              <w:rPr>
                <w:color w:val="000000"/>
              </w:rPr>
            </w:pPr>
            <w:r w:rsidRPr="00AB6B86">
              <w:rPr>
                <w:color w:val="000000"/>
              </w:rPr>
              <w:t>$</w:t>
            </w:r>
            <w:r w:rsidR="00D634D1">
              <w:rPr>
                <w:color w:val="000000"/>
              </w:rPr>
              <w:t>92</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43E78178">
            <w:pPr>
              <w:jc w:val="right"/>
              <w:rPr>
                <w:color w:val="000000"/>
              </w:rPr>
            </w:pPr>
            <w:r w:rsidRPr="00AB6B86">
              <w:rPr>
                <w:color w:val="000000"/>
              </w:rPr>
              <w:t>$</w:t>
            </w:r>
            <w:r w:rsidR="00D634D1">
              <w:rPr>
                <w:color w:val="000000"/>
              </w:rPr>
              <w:t>2,492</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3DDFACB4">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09E1FE26">
            <w:pPr>
              <w:jc w:val="right"/>
              <w:rPr>
                <w:rFonts w:eastAsia="Calibri"/>
                <w:color w:val="000000"/>
                <w:sz w:val="22"/>
                <w:szCs w:val="22"/>
              </w:rPr>
            </w:pPr>
            <w:r>
              <w:rPr>
                <w:color w:val="000000"/>
              </w:rPr>
              <w:t>$</w:t>
            </w:r>
            <w:r w:rsidR="00D634D1">
              <w:rPr>
                <w:color w:val="000000"/>
              </w:rPr>
              <w:t>2,546</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6"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176D9C" w14:paraId="24DF68EC" w14:textId="78C5F8EB">
      <w:r>
        <w:tab/>
      </w:r>
      <w:r>
        <w:tab/>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D634D1" w:rsidP="00D634D1" w14:paraId="2EFE0517" w14:textId="77777777">
      <w:pPr>
        <w:ind w:firstLine="360"/>
      </w:pPr>
      <w:r w:rsidRPr="00D634D1">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D634D1" w14:paraId="25C8FE0D"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DB0C1374"/>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623FF"/>
    <w:rsid w:val="0007467F"/>
    <w:rsid w:val="00090D8A"/>
    <w:rsid w:val="000C3DDF"/>
    <w:rsid w:val="000C665E"/>
    <w:rsid w:val="00111A38"/>
    <w:rsid w:val="00125A85"/>
    <w:rsid w:val="001336BC"/>
    <w:rsid w:val="00150A4F"/>
    <w:rsid w:val="00176D9C"/>
    <w:rsid w:val="00187B51"/>
    <w:rsid w:val="001906C4"/>
    <w:rsid w:val="001A3ACD"/>
    <w:rsid w:val="001B1FB1"/>
    <w:rsid w:val="001C25EE"/>
    <w:rsid w:val="001E2F14"/>
    <w:rsid w:val="001E6BD6"/>
    <w:rsid w:val="001E6E87"/>
    <w:rsid w:val="001F15B6"/>
    <w:rsid w:val="001F5990"/>
    <w:rsid w:val="00200933"/>
    <w:rsid w:val="00207727"/>
    <w:rsid w:val="00224C68"/>
    <w:rsid w:val="002345FF"/>
    <w:rsid w:val="00240FE1"/>
    <w:rsid w:val="00275648"/>
    <w:rsid w:val="00277E46"/>
    <w:rsid w:val="002801EA"/>
    <w:rsid w:val="00295BB8"/>
    <w:rsid w:val="002A6B45"/>
    <w:rsid w:val="002B6B3A"/>
    <w:rsid w:val="002C1292"/>
    <w:rsid w:val="002D29EF"/>
    <w:rsid w:val="0031595F"/>
    <w:rsid w:val="00317FF6"/>
    <w:rsid w:val="00333CD4"/>
    <w:rsid w:val="00362008"/>
    <w:rsid w:val="0037149E"/>
    <w:rsid w:val="0038364B"/>
    <w:rsid w:val="00390709"/>
    <w:rsid w:val="003B647C"/>
    <w:rsid w:val="0041612F"/>
    <w:rsid w:val="00452C53"/>
    <w:rsid w:val="00486D6A"/>
    <w:rsid w:val="004E3EAA"/>
    <w:rsid w:val="004F367C"/>
    <w:rsid w:val="00501213"/>
    <w:rsid w:val="005118FC"/>
    <w:rsid w:val="00515875"/>
    <w:rsid w:val="00521A78"/>
    <w:rsid w:val="0054468C"/>
    <w:rsid w:val="00544E50"/>
    <w:rsid w:val="00551525"/>
    <w:rsid w:val="00553727"/>
    <w:rsid w:val="005649C9"/>
    <w:rsid w:val="00567686"/>
    <w:rsid w:val="005749DA"/>
    <w:rsid w:val="00586435"/>
    <w:rsid w:val="005B0D87"/>
    <w:rsid w:val="005B4EC5"/>
    <w:rsid w:val="005C5802"/>
    <w:rsid w:val="005D5EBB"/>
    <w:rsid w:val="00600466"/>
    <w:rsid w:val="00604766"/>
    <w:rsid w:val="006139BA"/>
    <w:rsid w:val="00636107"/>
    <w:rsid w:val="006541B5"/>
    <w:rsid w:val="0066365C"/>
    <w:rsid w:val="00693B0B"/>
    <w:rsid w:val="006B6AE4"/>
    <w:rsid w:val="006C02FC"/>
    <w:rsid w:val="006E527A"/>
    <w:rsid w:val="007073BD"/>
    <w:rsid w:val="007140AB"/>
    <w:rsid w:val="00791297"/>
    <w:rsid w:val="007B1D06"/>
    <w:rsid w:val="007B581E"/>
    <w:rsid w:val="007D0F41"/>
    <w:rsid w:val="007F1099"/>
    <w:rsid w:val="007F2242"/>
    <w:rsid w:val="008030F6"/>
    <w:rsid w:val="00806417"/>
    <w:rsid w:val="00815EF2"/>
    <w:rsid w:val="008229D3"/>
    <w:rsid w:val="00844C42"/>
    <w:rsid w:val="008549DA"/>
    <w:rsid w:val="0086151A"/>
    <w:rsid w:val="00883D2D"/>
    <w:rsid w:val="008E525B"/>
    <w:rsid w:val="008F2BFC"/>
    <w:rsid w:val="008F73A6"/>
    <w:rsid w:val="00970F00"/>
    <w:rsid w:val="00986633"/>
    <w:rsid w:val="009A0BF3"/>
    <w:rsid w:val="00A02229"/>
    <w:rsid w:val="00A2463A"/>
    <w:rsid w:val="00A31C3D"/>
    <w:rsid w:val="00A73E23"/>
    <w:rsid w:val="00A80154"/>
    <w:rsid w:val="00AB6B86"/>
    <w:rsid w:val="00AF63CC"/>
    <w:rsid w:val="00B0105C"/>
    <w:rsid w:val="00B1482D"/>
    <w:rsid w:val="00B20FFA"/>
    <w:rsid w:val="00B37B10"/>
    <w:rsid w:val="00B54752"/>
    <w:rsid w:val="00B61C82"/>
    <w:rsid w:val="00B64A87"/>
    <w:rsid w:val="00B852B9"/>
    <w:rsid w:val="00BA3EA4"/>
    <w:rsid w:val="00BA6B61"/>
    <w:rsid w:val="00BB212A"/>
    <w:rsid w:val="00C162B0"/>
    <w:rsid w:val="00C16A5F"/>
    <w:rsid w:val="00C3347D"/>
    <w:rsid w:val="00C33614"/>
    <w:rsid w:val="00C43C28"/>
    <w:rsid w:val="00C53ED9"/>
    <w:rsid w:val="00C652D9"/>
    <w:rsid w:val="00C7194B"/>
    <w:rsid w:val="00C8663D"/>
    <w:rsid w:val="00CA3771"/>
    <w:rsid w:val="00CB1264"/>
    <w:rsid w:val="00CD7DC3"/>
    <w:rsid w:val="00CE18D9"/>
    <w:rsid w:val="00CE550F"/>
    <w:rsid w:val="00CF5945"/>
    <w:rsid w:val="00CF6B80"/>
    <w:rsid w:val="00CF6F1C"/>
    <w:rsid w:val="00D15B1F"/>
    <w:rsid w:val="00D173EE"/>
    <w:rsid w:val="00D17DC4"/>
    <w:rsid w:val="00D3433F"/>
    <w:rsid w:val="00D45F1B"/>
    <w:rsid w:val="00D634D1"/>
    <w:rsid w:val="00D739E4"/>
    <w:rsid w:val="00D81661"/>
    <w:rsid w:val="00D84D8F"/>
    <w:rsid w:val="00D96175"/>
    <w:rsid w:val="00DE5A12"/>
    <w:rsid w:val="00DF2B18"/>
    <w:rsid w:val="00E0611A"/>
    <w:rsid w:val="00E26200"/>
    <w:rsid w:val="00E42780"/>
    <w:rsid w:val="00E6451B"/>
    <w:rsid w:val="00E86FB8"/>
    <w:rsid w:val="00E87688"/>
    <w:rsid w:val="00E94953"/>
    <w:rsid w:val="00EC2788"/>
    <w:rsid w:val="00EE4E09"/>
    <w:rsid w:val="00F00568"/>
    <w:rsid w:val="00F47D99"/>
    <w:rsid w:val="00F50E0D"/>
    <w:rsid w:val="00F52865"/>
    <w:rsid w:val="00F53576"/>
    <w:rsid w:val="00F84310"/>
    <w:rsid w:val="00F917F1"/>
    <w:rsid w:val="00F95AA2"/>
    <w:rsid w:val="00FA2524"/>
    <w:rsid w:val="00FA581D"/>
    <w:rsid w:val="00FD18B0"/>
    <w:rsid w:val="00FF7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tables/24Tables/html/GS_h.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C7F7-0517-445B-9129-199DF9B60645}">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Kessinger, Nancy J., VBAVACO</cp:lastModifiedBy>
  <cp:revision>6</cp:revision>
  <cp:lastPrinted>2010-01-07T19:39:00Z</cp:lastPrinted>
  <dcterms:created xsi:type="dcterms:W3CDTF">2024-10-07T10:49:00Z</dcterms:created>
  <dcterms:modified xsi:type="dcterms:W3CDTF">2024-10-07T10:51:00Z</dcterms:modified>
</cp:coreProperties>
</file>