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EC6" w:rsidRPr="002D006A" w:rsidP="00977EC6" w14:paraId="13E7CA2F" w14:textId="77777777">
      <w:pPr>
        <w:suppressAutoHyphens/>
        <w:jc w:val="center"/>
        <w:rPr>
          <w:b/>
        </w:rPr>
      </w:pPr>
      <w:r w:rsidRPr="002D006A">
        <w:rPr>
          <w:b/>
        </w:rPr>
        <w:t>SUPPORTING STATEMENT</w:t>
      </w:r>
      <w:r w:rsidRPr="002D006A">
        <w:rPr>
          <w:b/>
        </w:rPr>
        <w:tab/>
      </w:r>
      <w:r>
        <w:rPr>
          <w:b/>
        </w:rPr>
        <w:fldChar w:fldCharType="begin"/>
      </w:r>
      <w:r w:rsidRPr="002D006A">
        <w:rPr>
          <w:b/>
        </w:rPr>
        <w:instrText xml:space="preserve">PRIVATE </w:instrText>
      </w:r>
      <w:r>
        <w:rPr>
          <w:b/>
        </w:rPr>
        <w:fldChar w:fldCharType="end"/>
      </w:r>
    </w:p>
    <w:p w:rsidR="00977EC6" w:rsidRPr="002D006A" w:rsidP="00977EC6" w14:paraId="3E4436BB" w14:textId="77777777">
      <w:pPr>
        <w:pStyle w:val="EndnoteText"/>
        <w:tabs>
          <w:tab w:val="clear" w:pos="-720"/>
        </w:tabs>
      </w:pPr>
      <w:r w:rsidRPr="002D006A">
        <w:t xml:space="preserve"> </w:t>
      </w:r>
    </w:p>
    <w:p w:rsidR="00977EC6" w:rsidRPr="002D006A" w:rsidP="00977EC6" w14:paraId="59F46C9D" w14:textId="77777777">
      <w:pPr>
        <w:suppressAutoHyphens/>
      </w:pPr>
      <w:r w:rsidRPr="002D006A">
        <w:rPr>
          <w:b/>
        </w:rPr>
        <w:t>A.  Justification</w:t>
      </w:r>
    </w:p>
    <w:p w:rsidR="00977EC6" w:rsidRPr="002D006A" w:rsidP="00977EC6" w14:paraId="10F7A438" w14:textId="77777777">
      <w:pPr>
        <w:suppressAutoHyphens/>
      </w:pPr>
    </w:p>
    <w:p w:rsidR="00B852C1" w:rsidRPr="002D006A" w:rsidP="007F36EE" w14:paraId="0763C260" w14:textId="77777777">
      <w:pPr>
        <w:tabs>
          <w:tab w:val="left" w:pos="5040"/>
        </w:tabs>
        <w:rPr>
          <w:color w:val="000000"/>
          <w:szCs w:val="22"/>
        </w:rPr>
      </w:pPr>
      <w:r w:rsidRPr="002D006A">
        <w:rPr>
          <w:b/>
        </w:rPr>
        <w:t>1.</w:t>
      </w:r>
      <w:r w:rsidRPr="0078546E">
        <w:rPr>
          <w:bCs/>
        </w:rPr>
        <w:t xml:space="preserve">  </w:t>
      </w:r>
      <w:r w:rsidRPr="0078546E" w:rsidR="0078546E">
        <w:rPr>
          <w:bCs/>
        </w:rPr>
        <w:t xml:space="preserve">The Commission adopted on March 14, 2024 a Report and Order, </w:t>
      </w:r>
      <w:r w:rsidRPr="00074C47" w:rsidR="0078546E">
        <w:rPr>
          <w:bCs/>
          <w:i/>
          <w:iCs/>
        </w:rPr>
        <w:t>All-In Pricing for Cable and Satellite Television</w:t>
      </w:r>
      <w:r w:rsidRPr="0078546E" w:rsidR="0078546E">
        <w:rPr>
          <w:bCs/>
        </w:rPr>
        <w:t xml:space="preserve"> (</w:t>
      </w:r>
      <w:r w:rsidR="00F601C2">
        <w:rPr>
          <w:bCs/>
        </w:rPr>
        <w:t>“</w:t>
      </w:r>
      <w:r w:rsidRPr="0078546E" w:rsidR="0078546E">
        <w:rPr>
          <w:bCs/>
        </w:rPr>
        <w:t>R&amp;O</w:t>
      </w:r>
      <w:r w:rsidR="00F601C2">
        <w:rPr>
          <w:bCs/>
        </w:rPr>
        <w:t>”</w:t>
      </w:r>
      <w:r w:rsidRPr="0078546E" w:rsidR="0078546E">
        <w:rPr>
          <w:bCs/>
        </w:rPr>
        <w:t>)</w:t>
      </w:r>
      <w:r w:rsidR="00F601C2">
        <w:rPr>
          <w:bCs/>
        </w:rPr>
        <w:t xml:space="preserve">, </w:t>
      </w:r>
      <w:r w:rsidRPr="00F601C2" w:rsidR="00F601C2">
        <w:rPr>
          <w:bCs/>
        </w:rPr>
        <w:t xml:space="preserve">FCC </w:t>
      </w:r>
      <w:r w:rsidR="00F601C2">
        <w:rPr>
          <w:bCs/>
        </w:rPr>
        <w:t>24</w:t>
      </w:r>
      <w:r w:rsidRPr="00F601C2" w:rsidR="00F601C2">
        <w:rPr>
          <w:bCs/>
        </w:rPr>
        <w:t>-</w:t>
      </w:r>
      <w:r w:rsidR="00F601C2">
        <w:rPr>
          <w:bCs/>
        </w:rPr>
        <w:t>29</w:t>
      </w:r>
      <w:r w:rsidRPr="00F601C2" w:rsidR="00F601C2">
        <w:rPr>
          <w:bCs/>
        </w:rPr>
        <w:t xml:space="preserve">, MB Docket </w:t>
      </w:r>
      <w:r w:rsidR="00F601C2">
        <w:rPr>
          <w:bCs/>
        </w:rPr>
        <w:t>23</w:t>
      </w:r>
      <w:r w:rsidRPr="00F601C2" w:rsidR="00F601C2">
        <w:rPr>
          <w:bCs/>
        </w:rPr>
        <w:t>-</w:t>
      </w:r>
      <w:r w:rsidR="00F601C2">
        <w:rPr>
          <w:bCs/>
        </w:rPr>
        <w:t>203</w:t>
      </w:r>
      <w:r w:rsidRPr="0078546E" w:rsidR="0078546E">
        <w:rPr>
          <w:bCs/>
        </w:rPr>
        <w:t>.  This R&amp;O adopted 47 CFR § 76.310, Truth in billing and advertising.  The rule will require cable operators and direct broadcast satellite (DBS) providers to specify the “all-in” price for video programming in their promotional materials that include pricing information and on subscribers’ bills.  Cable operators and DBS providers must present clear, easy-to-understand, and accurate information disclosing the price of video programming.  The “all-in” price rule is intended to increase transparency and promote competition in the video programming marketplace by allowing consumers to make better informed choices among the ranges of video programming service options available to them.</w:t>
      </w:r>
      <w:r w:rsidRPr="002D006A" w:rsidR="00D5217F">
        <w:rPr>
          <w:color w:val="000000"/>
          <w:szCs w:val="22"/>
        </w:rPr>
        <w:t xml:space="preserve">  </w:t>
      </w:r>
      <w:r w:rsidR="007F36EE">
        <w:rPr>
          <w:color w:val="000000"/>
          <w:szCs w:val="22"/>
        </w:rPr>
        <w:t xml:space="preserve">The information collection </w:t>
      </w:r>
      <w:r w:rsidR="00E67621">
        <w:rPr>
          <w:color w:val="000000"/>
          <w:szCs w:val="22"/>
        </w:rPr>
        <w:t>requirements are</w:t>
      </w:r>
      <w:r w:rsidR="007F36EE">
        <w:rPr>
          <w:color w:val="000000"/>
          <w:szCs w:val="22"/>
        </w:rPr>
        <w:t xml:space="preserve"> as follows:</w:t>
      </w:r>
    </w:p>
    <w:p w:rsidR="00B852C1" w:rsidRPr="00E31522" w:rsidP="00B852C1" w14:paraId="1924A209" w14:textId="77777777">
      <w:pPr>
        <w:suppressAutoHyphens/>
        <w:rPr>
          <w:bCs/>
          <w:color w:val="000000"/>
          <w:szCs w:val="22"/>
        </w:rPr>
      </w:pPr>
    </w:p>
    <w:p w:rsidR="00E31522" w:rsidP="00E85832" w14:paraId="2D68FFD9" w14:textId="77777777">
      <w:pPr>
        <w:suppressAutoHyphens/>
        <w:rPr>
          <w:bCs/>
          <w:color w:val="000000"/>
          <w:szCs w:val="22"/>
        </w:rPr>
      </w:pPr>
      <w:bookmarkStart w:id="0" w:name="_Hlk164166442"/>
      <w:r w:rsidRPr="008029FE">
        <w:rPr>
          <w:b/>
          <w:color w:val="000000"/>
          <w:szCs w:val="22"/>
        </w:rPr>
        <w:t xml:space="preserve">47 CFR </w:t>
      </w:r>
      <w:r w:rsidRPr="00E31522">
        <w:rPr>
          <w:b/>
          <w:color w:val="000000"/>
          <w:szCs w:val="22"/>
        </w:rPr>
        <w:t>76.310</w:t>
      </w:r>
      <w:r w:rsidRPr="00E31522">
        <w:rPr>
          <w:bCs/>
          <w:color w:val="000000"/>
          <w:szCs w:val="22"/>
        </w:rPr>
        <w:t xml:space="preserve"> </w:t>
      </w:r>
      <w:bookmarkStart w:id="1" w:name="_Hlk164170436"/>
      <w:r>
        <w:rPr>
          <w:bCs/>
          <w:color w:val="000000"/>
          <w:szCs w:val="22"/>
        </w:rPr>
        <w:t>requires t</w:t>
      </w:r>
      <w:r w:rsidRPr="00E31522">
        <w:rPr>
          <w:bCs/>
          <w:color w:val="000000"/>
          <w:szCs w:val="22"/>
        </w:rPr>
        <w:t>ruth in billing and advertising</w:t>
      </w:r>
      <w:r w:rsidR="008029FE">
        <w:rPr>
          <w:bCs/>
          <w:color w:val="000000"/>
          <w:szCs w:val="22"/>
        </w:rPr>
        <w:t>:</w:t>
      </w:r>
      <w:bookmarkEnd w:id="1"/>
    </w:p>
    <w:bookmarkEnd w:id="0"/>
    <w:p w:rsidR="00E85832" w:rsidRPr="00E31522" w:rsidP="00E85832" w14:paraId="302BF3BC" w14:textId="77777777">
      <w:pPr>
        <w:suppressAutoHyphens/>
        <w:rPr>
          <w:bCs/>
          <w:color w:val="000000"/>
          <w:szCs w:val="22"/>
        </w:rPr>
      </w:pPr>
    </w:p>
    <w:p w:rsidR="00E31522" w:rsidRPr="00E31522" w:rsidP="00E31522" w14:paraId="21324D37" w14:textId="77777777">
      <w:pPr>
        <w:suppressAutoHyphens/>
        <w:rPr>
          <w:bCs/>
          <w:color w:val="000000"/>
          <w:szCs w:val="22"/>
        </w:rPr>
      </w:pPr>
      <w:bookmarkStart w:id="2" w:name="_Hlk159395643"/>
      <w:r w:rsidRPr="008029FE">
        <w:rPr>
          <w:b/>
          <w:bCs/>
          <w:color w:val="000000"/>
          <w:szCs w:val="22"/>
        </w:rPr>
        <w:t>47 CFR 76.310</w:t>
      </w:r>
      <w:r w:rsidRPr="00E31522">
        <w:rPr>
          <w:b/>
          <w:color w:val="000000"/>
          <w:szCs w:val="22"/>
        </w:rPr>
        <w:t>(a)</w:t>
      </w:r>
      <w:r w:rsidRPr="00E31522">
        <w:rPr>
          <w:bCs/>
          <w:color w:val="000000"/>
          <w:szCs w:val="22"/>
        </w:rPr>
        <w:t xml:space="preserve"> </w:t>
      </w:r>
      <w:r>
        <w:rPr>
          <w:bCs/>
          <w:color w:val="000000"/>
          <w:szCs w:val="22"/>
        </w:rPr>
        <w:t>requires c</w:t>
      </w:r>
      <w:r w:rsidRPr="00E31522">
        <w:rPr>
          <w:bCs/>
          <w:color w:val="000000"/>
          <w:szCs w:val="22"/>
        </w:rPr>
        <w:t xml:space="preserve">able operators and DBS providers </w:t>
      </w:r>
      <w:r w:rsidR="0038670E">
        <w:rPr>
          <w:bCs/>
          <w:color w:val="000000"/>
          <w:szCs w:val="22"/>
        </w:rPr>
        <w:t>to</w:t>
      </w:r>
      <w:r w:rsidRPr="00E31522" w:rsidR="0038670E">
        <w:rPr>
          <w:bCs/>
          <w:color w:val="000000"/>
          <w:szCs w:val="22"/>
        </w:rPr>
        <w:t xml:space="preserve"> </w:t>
      </w:r>
      <w:r w:rsidRPr="00E31522">
        <w:rPr>
          <w:bCs/>
          <w:color w:val="000000"/>
          <w:szCs w:val="22"/>
        </w:rPr>
        <w:t>state an aggregate price for the video programming that they provide as a clear, easy-to-understand, and accurate single line item on subscribers’ bills, including on bills for legacy or grandfathered video programming service plans.  If a price is introductory or limited in time, cable and DBS providers shall state on subscribers’ bills the date the price ends, by disclosing either the length of time that a discounted price will be charged or the date on which a time period will end that will result in a price change for video programming, and the post-promotion rate 60 and 30 days before the end of any introductory period.  Cable operators and DBS providers may</w:t>
      </w:r>
      <w:r w:rsidR="0038670E">
        <w:rPr>
          <w:bCs/>
          <w:color w:val="000000"/>
          <w:szCs w:val="22"/>
        </w:rPr>
        <w:t>, at their discretion,</w:t>
      </w:r>
      <w:r w:rsidRPr="00E31522">
        <w:rPr>
          <w:bCs/>
          <w:color w:val="000000"/>
          <w:szCs w:val="22"/>
        </w:rPr>
        <w:t xml:space="preserve"> complement the aggregate line item with an itemized explanation of the elements that compose that single line item.  </w:t>
      </w:r>
    </w:p>
    <w:p w:rsidR="00E85832" w:rsidP="00E31522" w14:paraId="21C8E942" w14:textId="77777777">
      <w:pPr>
        <w:suppressAutoHyphens/>
        <w:rPr>
          <w:bCs/>
          <w:color w:val="000000"/>
          <w:szCs w:val="22"/>
        </w:rPr>
      </w:pPr>
    </w:p>
    <w:p w:rsidR="00E31522" w:rsidRPr="00E31522" w:rsidP="00E31522" w14:paraId="33A95E3F" w14:textId="77777777">
      <w:pPr>
        <w:suppressAutoHyphens/>
        <w:rPr>
          <w:bCs/>
          <w:color w:val="000000"/>
          <w:szCs w:val="22"/>
        </w:rPr>
      </w:pPr>
      <w:r w:rsidRPr="008029FE">
        <w:rPr>
          <w:b/>
          <w:bCs/>
          <w:color w:val="000000"/>
          <w:szCs w:val="22"/>
        </w:rPr>
        <w:t>47 CFR 76.310</w:t>
      </w:r>
      <w:r w:rsidRPr="00E31522">
        <w:rPr>
          <w:b/>
          <w:bCs/>
          <w:color w:val="000000"/>
          <w:szCs w:val="22"/>
        </w:rPr>
        <w:t>(</w:t>
      </w:r>
      <w:r>
        <w:rPr>
          <w:b/>
          <w:bCs/>
          <w:color w:val="000000"/>
          <w:szCs w:val="22"/>
        </w:rPr>
        <w:t>b</w:t>
      </w:r>
      <w:r w:rsidRPr="00E31522">
        <w:rPr>
          <w:b/>
          <w:bCs/>
          <w:color w:val="000000"/>
          <w:szCs w:val="22"/>
        </w:rPr>
        <w:t>)</w:t>
      </w:r>
      <w:r w:rsidRPr="00E31522">
        <w:rPr>
          <w:bCs/>
          <w:color w:val="000000"/>
          <w:szCs w:val="22"/>
        </w:rPr>
        <w:t xml:space="preserve"> </w:t>
      </w:r>
      <w:r w:rsidRPr="00347D2B">
        <w:rPr>
          <w:bCs/>
          <w:color w:val="000000"/>
          <w:szCs w:val="22"/>
        </w:rPr>
        <w:t xml:space="preserve">requires </w:t>
      </w:r>
      <w:r>
        <w:rPr>
          <w:bCs/>
          <w:color w:val="000000"/>
          <w:szCs w:val="22"/>
        </w:rPr>
        <w:t>c</w:t>
      </w:r>
      <w:r w:rsidRPr="00E31522">
        <w:rPr>
          <w:bCs/>
          <w:color w:val="000000"/>
          <w:szCs w:val="22"/>
        </w:rPr>
        <w:t xml:space="preserve">able operators and DBS providers that communicate a price for video programming in promotional materials </w:t>
      </w:r>
      <w:r w:rsidR="0038670E">
        <w:rPr>
          <w:bCs/>
          <w:color w:val="000000"/>
          <w:szCs w:val="22"/>
        </w:rPr>
        <w:t xml:space="preserve">to </w:t>
      </w:r>
      <w:r w:rsidRPr="00E31522">
        <w:rPr>
          <w:bCs/>
          <w:color w:val="000000"/>
          <w:szCs w:val="22"/>
        </w:rPr>
        <w:t>state the aggregate price for the video programming in a clear, easy-to-understand, and accurate manner.  If part of the aggregate price for video programming fluctuates based upon service location, then the provider must state where and how consumers may obtain their subscriber-specific “all-in” price (for example, electronically or by contacting a customer service or sales representative).  If part or all of the aggregate price is limited in time, then the provider must state the post-promotion rate, as calculated at that time, and the duration of each rate that will be charged.  Cable operators and DBS providers may</w:t>
      </w:r>
      <w:r w:rsidR="0038670E">
        <w:rPr>
          <w:bCs/>
          <w:color w:val="000000"/>
          <w:szCs w:val="22"/>
        </w:rPr>
        <w:t>, at their discretion,</w:t>
      </w:r>
      <w:r w:rsidRPr="00E31522">
        <w:rPr>
          <w:bCs/>
          <w:color w:val="000000"/>
          <w:szCs w:val="22"/>
        </w:rPr>
        <w:t xml:space="preserve"> complement the aggregate price with an itemized explanation of the elements that compose that aggregate price.  The requirement in this paragraph (b) shall not apply to the marketing of legacy or grandfathered video programming service plans that are no longer generally available to new customers.  For purposes of this section, the term “promotional material” includes communications offering video programming to consumers such as advertising and marketing.  </w:t>
      </w:r>
      <w:bookmarkEnd w:id="2"/>
    </w:p>
    <w:p w:rsidR="003B65CB" w:rsidP="00B852C1" w14:paraId="0391657E" w14:textId="77777777">
      <w:pPr>
        <w:suppressAutoHyphens/>
        <w:rPr>
          <w:color w:val="000000"/>
          <w:szCs w:val="22"/>
        </w:rPr>
      </w:pPr>
    </w:p>
    <w:p w:rsidR="003B65CB" w:rsidRPr="002D006A" w:rsidP="00B852C1" w14:paraId="7BEF34A3" w14:textId="77777777">
      <w:pPr>
        <w:suppressAutoHyphens/>
        <w:rPr>
          <w:color w:val="000000"/>
          <w:szCs w:val="22"/>
        </w:rPr>
      </w:pPr>
      <w:r>
        <w:rPr>
          <w:color w:val="000000"/>
          <w:szCs w:val="22"/>
        </w:rPr>
        <w:t xml:space="preserve">The Commission is requesting </w:t>
      </w:r>
      <w:r w:rsidRPr="008F0836">
        <w:rPr>
          <w:color w:val="000000"/>
          <w:szCs w:val="22"/>
        </w:rPr>
        <w:t>a three year approval</w:t>
      </w:r>
      <w:r>
        <w:rPr>
          <w:color w:val="000000"/>
          <w:szCs w:val="22"/>
        </w:rPr>
        <w:t xml:space="preserve"> for this collection from the Office of Management and Budget (OMB).</w:t>
      </w:r>
    </w:p>
    <w:p w:rsidR="00BF1BD3" w:rsidRPr="002D006A" w:rsidP="00B852C1" w14:paraId="22C35551" w14:textId="77777777">
      <w:pPr>
        <w:suppressAutoHyphens/>
        <w:rPr>
          <w:color w:val="000000"/>
          <w:szCs w:val="22"/>
        </w:rPr>
      </w:pPr>
    </w:p>
    <w:p w:rsidR="00BF1BD3" w:rsidRPr="002D006A" w:rsidP="00BF1BD3" w14:paraId="3AACC0E5" w14:textId="77777777">
      <w:r>
        <w:t>T</w:t>
      </w:r>
      <w:r w:rsidRPr="002D006A">
        <w:t>his information collection does not affect individuals or households; thus, there are no impacts under the Privacy Act.</w:t>
      </w:r>
    </w:p>
    <w:p w:rsidR="00BF1BD3" w:rsidRPr="002D006A" w:rsidP="00B852C1" w14:paraId="1070DB13" w14:textId="77777777">
      <w:pPr>
        <w:suppressAutoHyphens/>
        <w:rPr>
          <w:color w:val="000000"/>
          <w:szCs w:val="22"/>
        </w:rPr>
      </w:pPr>
    </w:p>
    <w:p w:rsidR="009F48A9" w:rsidRPr="002D006A" w:rsidP="009F48A9" w14:paraId="54911F20" w14:textId="77777777">
      <w:pPr>
        <w:suppressAutoHyphens/>
      </w:pPr>
      <w:r>
        <w:rPr>
          <w:snapToGrid/>
          <w:szCs w:val="24"/>
        </w:rPr>
        <w:t>Statutory a</w:t>
      </w:r>
      <w:r>
        <w:rPr>
          <w:snapToGrid/>
          <w:szCs w:val="24"/>
        </w:rPr>
        <w:t>uthority for this collection of information is contained in 47 U.S.C. §§</w:t>
      </w:r>
      <w:r w:rsidRPr="00A51044" w:rsidR="00A51044">
        <w:t xml:space="preserve"> 151, 154(</w:t>
      </w:r>
      <w:r w:rsidRPr="00A51044" w:rsidR="00A51044">
        <w:t>i</w:t>
      </w:r>
      <w:r w:rsidRPr="00A51044" w:rsidR="00A51044">
        <w:t>), 303, 316, 335(a), 552(b), and 562</w:t>
      </w:r>
      <w:r w:rsidR="00A51044">
        <w:t>.</w:t>
      </w:r>
    </w:p>
    <w:p w:rsidR="00977EC6" w:rsidRPr="002D006A" w:rsidP="00F44860" w14:paraId="5E63E371" w14:textId="77777777">
      <w:pPr>
        <w:suppressAutoHyphens/>
      </w:pPr>
    </w:p>
    <w:p w:rsidR="00AA10A4" w:rsidRPr="002D006A" w:rsidP="00E61363" w14:paraId="39195791" w14:textId="77777777">
      <w:pPr>
        <w:suppressAutoHyphens/>
      </w:pPr>
      <w:r w:rsidRPr="002D006A">
        <w:rPr>
          <w:b/>
        </w:rPr>
        <w:t>2.</w:t>
      </w:r>
      <w:r w:rsidRPr="00FD7848">
        <w:t xml:space="preserve">  </w:t>
      </w:r>
      <w:r w:rsidR="00162C34">
        <w:t>C</w:t>
      </w:r>
      <w:r w:rsidRPr="00FD7848" w:rsidR="00FD7848">
        <w:t xml:space="preserve">able operators and DBS providers </w:t>
      </w:r>
      <w:r w:rsidR="00162C34">
        <w:t xml:space="preserve">will </w:t>
      </w:r>
      <w:r w:rsidRPr="00FD7848" w:rsidR="00FD7848">
        <w:t>specify the “all-in” price for video programming in their promotional materials that include pricing information and on subscribers’ bills.</w:t>
      </w:r>
    </w:p>
    <w:p w:rsidR="00DB5869" w:rsidRPr="002D006A" w:rsidP="00E61363" w14:paraId="1C4136A3" w14:textId="77777777">
      <w:pPr>
        <w:suppressAutoHyphens/>
        <w:rPr>
          <w:szCs w:val="24"/>
        </w:rPr>
      </w:pPr>
    </w:p>
    <w:p w:rsidR="00AA10A4" w:rsidRPr="002D006A" w:rsidP="00E61363" w14:paraId="0CD9C058" w14:textId="77777777">
      <w:pPr>
        <w:suppressAutoHyphens/>
      </w:pPr>
      <w:r w:rsidRPr="002D006A">
        <w:rPr>
          <w:b/>
        </w:rPr>
        <w:t>3.</w:t>
      </w:r>
      <w:r w:rsidRPr="0088428A">
        <w:rPr>
          <w:bCs/>
        </w:rPr>
        <w:t xml:space="preserve">  </w:t>
      </w:r>
      <w:bookmarkStart w:id="3" w:name="_Hlk164171056"/>
      <w:r w:rsidRPr="0088428A" w:rsidR="0088428A">
        <w:rPr>
          <w:bCs/>
        </w:rPr>
        <w:t xml:space="preserve">Cable operators and DBS providers </w:t>
      </w:r>
      <w:bookmarkEnd w:id="3"/>
      <w:r w:rsidR="0088428A">
        <w:rPr>
          <w:bCs/>
        </w:rPr>
        <w:t xml:space="preserve">may comply with the “all-in” rule </w:t>
      </w:r>
      <w:r w:rsidRPr="0088428A" w:rsidR="0088428A">
        <w:rPr>
          <w:bCs/>
        </w:rPr>
        <w:t>requir</w:t>
      </w:r>
      <w:r w:rsidR="0088428A">
        <w:rPr>
          <w:bCs/>
        </w:rPr>
        <w:t>ing</w:t>
      </w:r>
      <w:r w:rsidRPr="0088428A" w:rsidR="0088428A">
        <w:rPr>
          <w:bCs/>
        </w:rPr>
        <w:t xml:space="preserve"> t</w:t>
      </w:r>
      <w:r w:rsidRPr="00E31522" w:rsidR="0088428A">
        <w:rPr>
          <w:bCs/>
        </w:rPr>
        <w:t xml:space="preserve">ruth in billing </w:t>
      </w:r>
      <w:r w:rsidR="007A6935">
        <w:rPr>
          <w:bCs/>
        </w:rPr>
        <w:t xml:space="preserve">and advertising </w:t>
      </w:r>
      <w:r w:rsidR="0088428A">
        <w:rPr>
          <w:bCs/>
        </w:rPr>
        <w:t xml:space="preserve">electronically or mechanically, at the discretion of the cable </w:t>
      </w:r>
      <w:r w:rsidR="007A6935">
        <w:rPr>
          <w:bCs/>
        </w:rPr>
        <w:t>operators</w:t>
      </w:r>
      <w:r w:rsidR="0088428A">
        <w:rPr>
          <w:bCs/>
        </w:rPr>
        <w:t xml:space="preserve"> and DBS providers</w:t>
      </w:r>
      <w:r w:rsidRPr="002D006A">
        <w:t>.</w:t>
      </w:r>
    </w:p>
    <w:p w:rsidR="00AA10A4" w:rsidRPr="002D006A" w:rsidP="00E61363" w14:paraId="18B49B21" w14:textId="77777777">
      <w:pPr>
        <w:suppressAutoHyphens/>
      </w:pPr>
    </w:p>
    <w:p w:rsidR="00977EC6" w:rsidRPr="002D006A" w:rsidP="00E61363" w14:paraId="63B00C70" w14:textId="77777777">
      <w:pPr>
        <w:suppressAutoHyphens/>
      </w:pPr>
      <w:r w:rsidRPr="002D006A">
        <w:rPr>
          <w:b/>
        </w:rPr>
        <w:t xml:space="preserve">4.  </w:t>
      </w:r>
      <w:r w:rsidRPr="002D006A">
        <w:t xml:space="preserve">This agency does not impose similar information collection requirements on </w:t>
      </w:r>
      <w:r w:rsidR="00FC7813">
        <w:t>c</w:t>
      </w:r>
      <w:r w:rsidRPr="00FC7813" w:rsidR="00FC7813">
        <w:rPr>
          <w:bCs/>
        </w:rPr>
        <w:t xml:space="preserve">able operators </w:t>
      </w:r>
      <w:r w:rsidR="00A63647">
        <w:rPr>
          <w:bCs/>
        </w:rPr>
        <w:t>or</w:t>
      </w:r>
      <w:r w:rsidRPr="00FC7813" w:rsidR="00FC7813">
        <w:rPr>
          <w:bCs/>
        </w:rPr>
        <w:t xml:space="preserve"> </w:t>
      </w:r>
      <w:r w:rsidR="007A12FA">
        <w:rPr>
          <w:bCs/>
        </w:rPr>
        <w:t>D</w:t>
      </w:r>
      <w:r w:rsidRPr="00FC7813" w:rsidR="00FC7813">
        <w:rPr>
          <w:bCs/>
        </w:rPr>
        <w:t>BS providers</w:t>
      </w:r>
      <w:r w:rsidRPr="002D006A">
        <w:t xml:space="preserve">. </w:t>
      </w:r>
      <w:r w:rsidR="007D48BB">
        <w:t xml:space="preserve"> </w:t>
      </w:r>
    </w:p>
    <w:p w:rsidR="00977EC6" w:rsidRPr="002D006A" w:rsidP="00E61363" w14:paraId="73DA2184" w14:textId="77777777">
      <w:pPr>
        <w:suppressAutoHyphens/>
      </w:pPr>
      <w:r w:rsidRPr="002D006A">
        <w:t xml:space="preserve"> </w:t>
      </w:r>
    </w:p>
    <w:p w:rsidR="00AA10A4" w:rsidRPr="002D006A" w:rsidP="00F15A6D" w14:paraId="1244B653" w14:textId="77777777">
      <w:pPr>
        <w:pStyle w:val="ParaNumCharCharChar1Char"/>
        <w:numPr>
          <w:ilvl w:val="0"/>
          <w:numId w:val="0"/>
        </w:numPr>
        <w:spacing w:after="0"/>
        <w:rPr>
          <w:sz w:val="24"/>
          <w:szCs w:val="24"/>
        </w:rPr>
      </w:pPr>
      <w:r w:rsidRPr="002D006A">
        <w:rPr>
          <w:b/>
        </w:rPr>
        <w:t>5.</w:t>
      </w:r>
      <w:r w:rsidRPr="004B01A9">
        <w:rPr>
          <w:bCs/>
        </w:rPr>
        <w:t xml:space="preserve">  </w:t>
      </w:r>
      <w:r w:rsidR="004B01A9">
        <w:rPr>
          <w:sz w:val="24"/>
          <w:szCs w:val="24"/>
        </w:rPr>
        <w:t xml:space="preserve">To minimize burden on </w:t>
      </w:r>
      <w:r w:rsidRPr="004B01A9" w:rsidR="004B01A9">
        <w:rPr>
          <w:sz w:val="24"/>
          <w:szCs w:val="24"/>
        </w:rPr>
        <w:t>small businesses or other small entities</w:t>
      </w:r>
      <w:r w:rsidR="004B01A9">
        <w:rPr>
          <w:sz w:val="24"/>
          <w:szCs w:val="24"/>
        </w:rPr>
        <w:t>,</w:t>
      </w:r>
      <w:r w:rsidRPr="004B01A9" w:rsidR="004B01A9">
        <w:rPr>
          <w:sz w:val="24"/>
          <w:szCs w:val="24"/>
        </w:rPr>
        <w:t xml:space="preserve"> </w:t>
      </w:r>
      <w:r w:rsidR="004B01A9">
        <w:rPr>
          <w:sz w:val="24"/>
          <w:szCs w:val="24"/>
        </w:rPr>
        <w:t>t</w:t>
      </w:r>
      <w:r w:rsidRPr="002D006A">
        <w:rPr>
          <w:sz w:val="24"/>
          <w:szCs w:val="24"/>
        </w:rPr>
        <w:t xml:space="preserve">he R&amp;O provides </w:t>
      </w:r>
      <w:r w:rsidRPr="004B01A9" w:rsidR="004B01A9">
        <w:rPr>
          <w:sz w:val="24"/>
          <w:szCs w:val="24"/>
        </w:rPr>
        <w:t xml:space="preserve">that for small cable operators, compliance with this </w:t>
      </w:r>
      <w:r w:rsidR="004B01A9">
        <w:rPr>
          <w:sz w:val="24"/>
          <w:szCs w:val="24"/>
        </w:rPr>
        <w:t xml:space="preserve">the “all-in” rule </w:t>
      </w:r>
      <w:r w:rsidRPr="004B01A9" w:rsidR="004B01A9">
        <w:rPr>
          <w:sz w:val="24"/>
          <w:szCs w:val="24"/>
        </w:rPr>
        <w:t>will not be required until</w:t>
      </w:r>
      <w:r w:rsidR="004B01A9">
        <w:rPr>
          <w:sz w:val="24"/>
          <w:szCs w:val="24"/>
        </w:rPr>
        <w:t xml:space="preserve"> 12 </w:t>
      </w:r>
      <w:r w:rsidRPr="004B01A9" w:rsidR="004B01A9">
        <w:rPr>
          <w:sz w:val="24"/>
          <w:szCs w:val="24"/>
        </w:rPr>
        <w:t>months after release of the</w:t>
      </w:r>
      <w:r w:rsidR="004B01A9">
        <w:rPr>
          <w:sz w:val="24"/>
          <w:szCs w:val="24"/>
        </w:rPr>
        <w:t xml:space="preserve"> R&amp;O</w:t>
      </w:r>
      <w:r w:rsidRPr="004B01A9" w:rsidR="004B01A9">
        <w:rPr>
          <w:sz w:val="24"/>
          <w:szCs w:val="24"/>
        </w:rPr>
        <w:t xml:space="preserve"> </w:t>
      </w:r>
      <w:r w:rsidRPr="004B01A9" w:rsidR="004B01A9">
        <w:rPr>
          <w:i/>
          <w:sz w:val="24"/>
          <w:szCs w:val="24"/>
        </w:rPr>
        <w:t>Report and Order</w:t>
      </w:r>
      <w:r w:rsidR="004B01A9">
        <w:rPr>
          <w:iCs/>
          <w:sz w:val="24"/>
          <w:szCs w:val="24"/>
        </w:rPr>
        <w:t xml:space="preserve"> (f</w:t>
      </w:r>
      <w:r w:rsidRPr="004B01A9" w:rsidR="004B01A9">
        <w:rPr>
          <w:iCs/>
          <w:sz w:val="24"/>
          <w:szCs w:val="24"/>
        </w:rPr>
        <w:t xml:space="preserve">or the purpose of this </w:t>
      </w:r>
      <w:r w:rsidR="004B01A9">
        <w:rPr>
          <w:iCs/>
          <w:sz w:val="24"/>
          <w:szCs w:val="24"/>
        </w:rPr>
        <w:t>rule</w:t>
      </w:r>
      <w:r w:rsidRPr="004B01A9" w:rsidR="004B01A9">
        <w:rPr>
          <w:iCs/>
          <w:sz w:val="24"/>
          <w:szCs w:val="24"/>
        </w:rPr>
        <w:t>, small cable operators are those with annual receipts of $47 million or less</w:t>
      </w:r>
      <w:r w:rsidR="004B01A9">
        <w:rPr>
          <w:iCs/>
          <w:sz w:val="24"/>
          <w:szCs w:val="24"/>
        </w:rPr>
        <w:t>)</w:t>
      </w:r>
      <w:r w:rsidR="00400F68">
        <w:rPr>
          <w:iCs/>
          <w:sz w:val="24"/>
          <w:szCs w:val="24"/>
        </w:rPr>
        <w:t>;</w:t>
      </w:r>
      <w:r w:rsidR="004B01A9">
        <w:rPr>
          <w:iCs/>
          <w:sz w:val="24"/>
          <w:szCs w:val="24"/>
        </w:rPr>
        <w:t xml:space="preserve"> larger cable operators must comply within nine months after release of the R&amp;O.  </w:t>
      </w:r>
      <w:r w:rsidR="00045032">
        <w:rPr>
          <w:iCs/>
          <w:sz w:val="24"/>
          <w:szCs w:val="24"/>
        </w:rPr>
        <w:t>In the R&amp;O</w:t>
      </w:r>
      <w:r w:rsidR="004507B7">
        <w:rPr>
          <w:iCs/>
          <w:sz w:val="24"/>
          <w:szCs w:val="24"/>
        </w:rPr>
        <w:t>,</w:t>
      </w:r>
      <w:r w:rsidR="00045032">
        <w:rPr>
          <w:iCs/>
          <w:sz w:val="24"/>
          <w:szCs w:val="24"/>
        </w:rPr>
        <w:t xml:space="preserve"> the Commission found there are no DBS providers </w:t>
      </w:r>
      <w:r w:rsidRPr="00045032" w:rsidR="00045032">
        <w:rPr>
          <w:iCs/>
          <w:sz w:val="24"/>
          <w:szCs w:val="24"/>
        </w:rPr>
        <w:t>with annual receipts of $47 million or less</w:t>
      </w:r>
      <w:r w:rsidRPr="004B01A9" w:rsidR="004B01A9">
        <w:rPr>
          <w:iCs/>
          <w:sz w:val="24"/>
          <w:szCs w:val="24"/>
        </w:rPr>
        <w:t>.</w:t>
      </w:r>
      <w:r w:rsidRPr="002D006A" w:rsidR="00341741">
        <w:rPr>
          <w:sz w:val="24"/>
          <w:szCs w:val="24"/>
        </w:rPr>
        <w:t xml:space="preserve">  Therefore, this collection of information does not have a significant economic impact on a substantial number of small entities/businesses.</w:t>
      </w:r>
    </w:p>
    <w:p w:rsidR="00977EC6" w:rsidRPr="002D006A" w:rsidP="00F15A6D" w14:paraId="71133AE2" w14:textId="77777777">
      <w:pPr>
        <w:suppressAutoHyphens/>
      </w:pPr>
    </w:p>
    <w:p w:rsidR="00DA22F8" w:rsidRPr="00984355" w:rsidP="0025056A" w14:paraId="09C6DACE" w14:textId="77777777">
      <w:pPr>
        <w:suppressAutoHyphens/>
      </w:pPr>
      <w:r w:rsidRPr="002D006A">
        <w:rPr>
          <w:b/>
        </w:rPr>
        <w:t>6.</w:t>
      </w:r>
      <w:r w:rsidRPr="0025056A">
        <w:rPr>
          <w:bCs/>
        </w:rPr>
        <w:t xml:space="preserve">  </w:t>
      </w:r>
      <w:r w:rsidRPr="008E087C" w:rsidR="009F48A9">
        <w:t xml:space="preserve">This information collection is necessary </w:t>
      </w:r>
      <w:r w:rsidRPr="0025056A" w:rsidR="0025056A">
        <w:t xml:space="preserve">to increase transparency </w:t>
      </w:r>
      <w:r w:rsidR="00984355">
        <w:t xml:space="preserve">regarding the price of video programming provided by cable operators and DBS providers </w:t>
      </w:r>
      <w:r w:rsidRPr="0025056A" w:rsidR="0025056A">
        <w:t>and promote</w:t>
      </w:r>
      <w:r w:rsidR="00984355">
        <w:t>s</w:t>
      </w:r>
      <w:r w:rsidRPr="0025056A" w:rsidR="0025056A">
        <w:t xml:space="preserve"> competition in the video programming marketplace by allowing consumers to make better informed choices among the ranges of video programming service options available to them</w:t>
      </w:r>
      <w:r w:rsidR="009F48A9">
        <w:t>.</w:t>
      </w:r>
    </w:p>
    <w:p w:rsidR="00DA22F8" w:rsidRPr="002D006A" w:rsidP="00E565B3" w14:paraId="2CC4B720" w14:textId="77777777">
      <w:pPr>
        <w:suppressAutoHyphens/>
        <w:rPr>
          <w:snapToGrid/>
          <w:szCs w:val="24"/>
        </w:rPr>
      </w:pPr>
    </w:p>
    <w:p w:rsidR="00824A75" w:rsidRPr="00E565B3" w:rsidP="00824A75" w14:paraId="11B21980" w14:textId="77777777">
      <w:pPr>
        <w:suppressAutoHyphens/>
        <w:rPr>
          <w:spacing w:val="-3"/>
          <w:szCs w:val="24"/>
        </w:rPr>
      </w:pPr>
      <w:r w:rsidRPr="00E565B3">
        <w:rPr>
          <w:b/>
          <w:szCs w:val="24"/>
        </w:rPr>
        <w:t>7.</w:t>
      </w:r>
      <w:r w:rsidRPr="00553CF9">
        <w:rPr>
          <w:bCs/>
          <w:szCs w:val="24"/>
        </w:rPr>
        <w:t xml:space="preserve"> </w:t>
      </w:r>
      <w:r w:rsidRPr="00553CF9" w:rsidR="00553CF9">
        <w:rPr>
          <w:bCs/>
          <w:szCs w:val="24"/>
        </w:rPr>
        <w:t xml:space="preserve"> </w:t>
      </w:r>
      <w:r w:rsidRPr="00E565B3">
        <w:rPr>
          <w:spacing w:val="-3"/>
          <w:szCs w:val="24"/>
        </w:rPr>
        <w:t>This collection of information is consistent with the guidelines in 5 CFR Section 1320.5(d)(2).</w:t>
      </w:r>
    </w:p>
    <w:p w:rsidR="00824A75" w:rsidRPr="00553CF9" w:rsidP="00E61363" w14:paraId="7888F2ED" w14:textId="77777777">
      <w:pPr>
        <w:suppressAutoHyphens/>
        <w:rPr>
          <w:bCs/>
        </w:rPr>
      </w:pPr>
    </w:p>
    <w:p w:rsidR="00BF1BD3" w:rsidRPr="002D006A" w:rsidP="00BF1BD3" w14:paraId="38DC6D7A" w14:textId="69242E8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rPr>
      </w:pPr>
      <w:bookmarkStart w:id="4" w:name="_Hlk164259583"/>
      <w:r w:rsidRPr="002D006A">
        <w:rPr>
          <w:b/>
        </w:rPr>
        <w:t>8.</w:t>
      </w:r>
      <w:r w:rsidRPr="00553CF9">
        <w:rPr>
          <w:bCs/>
        </w:rPr>
        <w:t xml:space="preserve">  </w:t>
      </w:r>
      <w:r w:rsidRPr="002D006A">
        <w:rPr>
          <w:spacing w:val="-3"/>
        </w:rPr>
        <w:t xml:space="preserve">The Commission published a </w:t>
      </w:r>
      <w:r w:rsidR="00863152">
        <w:rPr>
          <w:spacing w:val="-3"/>
        </w:rPr>
        <w:t xml:space="preserve">60-day notice </w:t>
      </w:r>
      <w:r w:rsidRPr="00870AA9">
        <w:rPr>
          <w:spacing w:val="-3"/>
        </w:rPr>
        <w:t>(</w:t>
      </w:r>
      <w:r w:rsidR="008403AD">
        <w:rPr>
          <w:spacing w:val="-3"/>
        </w:rPr>
        <w:t>8</w:t>
      </w:r>
      <w:r w:rsidR="00863152">
        <w:rPr>
          <w:spacing w:val="-3"/>
        </w:rPr>
        <w:t>9</w:t>
      </w:r>
      <w:r w:rsidRPr="00870AA9">
        <w:rPr>
          <w:spacing w:val="-3"/>
        </w:rPr>
        <w:t xml:space="preserve"> FR</w:t>
      </w:r>
      <w:r w:rsidR="00263622">
        <w:rPr>
          <w:spacing w:val="-3"/>
        </w:rPr>
        <w:t xml:space="preserve"> 36818</w:t>
      </w:r>
      <w:r w:rsidR="004A71DD">
        <w:rPr>
          <w:spacing w:val="-3"/>
        </w:rPr>
        <w:t>)</w:t>
      </w:r>
      <w:r w:rsidRPr="00870AA9">
        <w:rPr>
          <w:spacing w:val="-3"/>
        </w:rPr>
        <w:t xml:space="preserve"> in the </w:t>
      </w:r>
      <w:r w:rsidRPr="00870AA9">
        <w:rPr>
          <w:i/>
          <w:spacing w:val="-3"/>
        </w:rPr>
        <w:t>Federal Register</w:t>
      </w:r>
      <w:r w:rsidRPr="00870AA9">
        <w:rPr>
          <w:spacing w:val="-3"/>
        </w:rPr>
        <w:t xml:space="preserve"> on</w:t>
      </w:r>
      <w:r w:rsidR="002164DE">
        <w:rPr>
          <w:spacing w:val="-3"/>
        </w:rPr>
        <w:t xml:space="preserve"> </w:t>
      </w:r>
      <w:r w:rsidR="00863152">
        <w:rPr>
          <w:spacing w:val="-3"/>
        </w:rPr>
        <w:t>May</w:t>
      </w:r>
      <w:r w:rsidR="00263622">
        <w:rPr>
          <w:spacing w:val="-3"/>
        </w:rPr>
        <w:t xml:space="preserve"> 3</w:t>
      </w:r>
      <w:r w:rsidR="00784CD5">
        <w:rPr>
          <w:spacing w:val="-3"/>
        </w:rPr>
        <w:t>, 202</w:t>
      </w:r>
      <w:r w:rsidR="00863152">
        <w:rPr>
          <w:spacing w:val="-3"/>
        </w:rPr>
        <w:t>4</w:t>
      </w:r>
      <w:r w:rsidR="004A71DD">
        <w:rPr>
          <w:spacing w:val="-3"/>
        </w:rPr>
        <w:t xml:space="preserve"> </w:t>
      </w:r>
      <w:r w:rsidR="003B65CB">
        <w:rPr>
          <w:spacing w:val="-3"/>
        </w:rPr>
        <w:t>seeking comment from the public on the information collection requirements contained in this collection</w:t>
      </w:r>
      <w:r w:rsidRPr="00870AA9">
        <w:rPr>
          <w:spacing w:val="-3"/>
        </w:rPr>
        <w:t>.</w:t>
      </w:r>
      <w:r w:rsidRPr="002D006A">
        <w:rPr>
          <w:spacing w:val="-3"/>
        </w:rPr>
        <w:t xml:space="preserve">  </w:t>
      </w:r>
      <w:bookmarkEnd w:id="4"/>
    </w:p>
    <w:p w:rsidR="00977EC6" w:rsidRPr="002D006A" w:rsidP="00E61363" w14:paraId="7B60B310" w14:textId="77777777">
      <w:pPr>
        <w:suppressAutoHyphens/>
      </w:pPr>
    </w:p>
    <w:p w:rsidR="00977EC6" w:rsidRPr="002D006A" w:rsidP="00E61363" w14:paraId="47C27389" w14:textId="77777777">
      <w:pPr>
        <w:suppressAutoHyphens/>
      </w:pPr>
      <w:r w:rsidRPr="002D006A">
        <w:rPr>
          <w:b/>
        </w:rPr>
        <w:t>9.</w:t>
      </w:r>
      <w:r w:rsidRPr="00553CF9">
        <w:rPr>
          <w:bCs/>
        </w:rPr>
        <w:t xml:space="preserve">  </w:t>
      </w:r>
      <w:r w:rsidRPr="002D006A">
        <w:t>There will be no payment or gifts given to respondents.</w:t>
      </w:r>
    </w:p>
    <w:p w:rsidR="00824A75" w:rsidRPr="002D006A" w:rsidP="00E61363" w14:paraId="09D71907" w14:textId="77777777">
      <w:pPr>
        <w:suppressAutoHyphens/>
      </w:pPr>
    </w:p>
    <w:p w:rsidR="006413D1" w:rsidRPr="002D006A" w:rsidP="00E61363" w14:paraId="1BE7D53F" w14:textId="77777777">
      <w:pPr>
        <w:suppressAutoHyphens/>
      </w:pPr>
      <w:r w:rsidRPr="002D006A">
        <w:rPr>
          <w:b/>
        </w:rPr>
        <w:t xml:space="preserve">10.  </w:t>
      </w:r>
      <w:r w:rsidRPr="002D006A" w:rsidR="00824A75">
        <w:rPr>
          <w:spacing w:val="-3"/>
        </w:rPr>
        <w:t>There is no need for confidentiality</w:t>
      </w:r>
      <w:r w:rsidR="007F36EE">
        <w:rPr>
          <w:spacing w:val="-3"/>
        </w:rPr>
        <w:t xml:space="preserve"> with is collection of information</w:t>
      </w:r>
      <w:r w:rsidRPr="002D006A" w:rsidR="00824A75">
        <w:rPr>
          <w:spacing w:val="-3"/>
        </w:rPr>
        <w:t>.</w:t>
      </w:r>
    </w:p>
    <w:p w:rsidR="00977EC6" w:rsidRPr="002D006A" w:rsidP="00E61363" w14:paraId="27EC921A" w14:textId="77777777">
      <w:pPr>
        <w:suppressAutoHyphens/>
      </w:pPr>
    </w:p>
    <w:p w:rsidR="00EC77E5" w:rsidRPr="002D006A" w:rsidP="00E61363" w14:paraId="39ADBC79" w14:textId="77777777">
      <w:pPr>
        <w:suppressAutoHyphens/>
      </w:pPr>
      <w:r w:rsidRPr="002D006A">
        <w:rPr>
          <w:b/>
        </w:rPr>
        <w:t xml:space="preserve">11.  </w:t>
      </w:r>
      <w:r w:rsidRPr="002D006A">
        <w:t xml:space="preserve">These information collection requirements do not address any private matters of a sensitive nature. </w:t>
      </w:r>
    </w:p>
    <w:p w:rsidR="00EC77E5" w:rsidRPr="002D006A" w:rsidP="00E61363" w14:paraId="59243D4E" w14:textId="77777777">
      <w:pPr>
        <w:suppressAutoHyphens/>
      </w:pPr>
    </w:p>
    <w:p w:rsidR="00977EC6" w:rsidP="00E61363" w14:paraId="5E50C0E3" w14:textId="77777777">
      <w:pPr>
        <w:suppressAutoHyphens/>
      </w:pPr>
      <w:r w:rsidRPr="002D006A">
        <w:rPr>
          <w:b/>
        </w:rPr>
        <w:t xml:space="preserve">12. </w:t>
      </w:r>
      <w:r w:rsidR="00DD2166">
        <w:rPr>
          <w:b/>
        </w:rPr>
        <w:t xml:space="preserve"> </w:t>
      </w:r>
      <w:r w:rsidRPr="002D006A" w:rsidR="00824A75">
        <w:rPr>
          <w:shd w:val="clear" w:color="auto" w:fill="FFFFFF"/>
        </w:rPr>
        <w:t>The public burden is as follows:</w:t>
      </w:r>
      <w:r w:rsidR="004C1590">
        <w:rPr>
          <w:shd w:val="clear" w:color="auto" w:fill="FFFFFF"/>
        </w:rPr>
        <w:t xml:space="preserve"> </w:t>
      </w:r>
      <w:r w:rsidR="00553CF9">
        <w:rPr>
          <w:shd w:val="clear" w:color="auto" w:fill="FFFFFF"/>
        </w:rPr>
        <w:t xml:space="preserve"> </w:t>
      </w:r>
      <w:r w:rsidRPr="002D006A" w:rsidR="000E3F9A">
        <w:rPr>
          <w:b/>
          <w:shd w:val="clear" w:color="auto" w:fill="FFFFFF"/>
        </w:rPr>
        <w:t xml:space="preserve">For </w:t>
      </w:r>
      <w:r w:rsidRPr="002D006A" w:rsidR="004B520D">
        <w:rPr>
          <w:b/>
          <w:shd w:val="clear" w:color="auto" w:fill="FFFFFF"/>
        </w:rPr>
        <w:t>47 CFR</w:t>
      </w:r>
      <w:r w:rsidRPr="002D006A" w:rsidR="00A70842">
        <w:rPr>
          <w:b/>
          <w:shd w:val="clear" w:color="auto" w:fill="FFFFFF"/>
        </w:rPr>
        <w:t xml:space="preserve"> </w:t>
      </w:r>
      <w:r w:rsidRPr="00553CF9" w:rsidR="00553CF9">
        <w:rPr>
          <w:b/>
        </w:rPr>
        <w:t>76.310(</w:t>
      </w:r>
      <w:r w:rsidR="00553CF9">
        <w:rPr>
          <w:b/>
        </w:rPr>
        <w:t>a</w:t>
      </w:r>
      <w:r w:rsidRPr="00553CF9" w:rsidR="00553CF9">
        <w:rPr>
          <w:b/>
        </w:rPr>
        <w:t>)</w:t>
      </w:r>
      <w:r w:rsidRPr="002D006A" w:rsidR="000E3F9A">
        <w:t>, w</w:t>
      </w:r>
      <w:r w:rsidRPr="002D006A" w:rsidR="00A70842">
        <w:t xml:space="preserve">e </w:t>
      </w:r>
      <w:r w:rsidRPr="002D006A" w:rsidR="000E3F9A">
        <w:t>estimate</w:t>
      </w:r>
      <w:r w:rsidRPr="002D006A" w:rsidR="00854CFE">
        <w:t xml:space="preserve"> </w:t>
      </w:r>
      <w:r w:rsidR="00553CF9">
        <w:t xml:space="preserve">cable operators and </w:t>
      </w:r>
      <w:r w:rsidRPr="00D91713" w:rsidR="00D91713">
        <w:t xml:space="preserve">DBS providers </w:t>
      </w:r>
      <w:r w:rsidRPr="002D006A" w:rsidR="006413D1">
        <w:t xml:space="preserve">will </w:t>
      </w:r>
      <w:r w:rsidRPr="00263622" w:rsidR="006413D1">
        <w:t xml:space="preserve">require </w:t>
      </w:r>
      <w:r w:rsidRPr="00263622" w:rsidR="00863152">
        <w:t>5,400</w:t>
      </w:r>
      <w:r w:rsidRPr="00263622" w:rsidR="0038670E">
        <w:t xml:space="preserve"> </w:t>
      </w:r>
      <w:r w:rsidRPr="00263622" w:rsidR="000E3F9A">
        <w:t>hours</w:t>
      </w:r>
      <w:r w:rsidRPr="002D006A" w:rsidR="000E3F9A">
        <w:t xml:space="preserve"> to compl</w:t>
      </w:r>
      <w:r w:rsidR="00D91713">
        <w:t xml:space="preserve">y with the “all-in” rule.  </w:t>
      </w:r>
      <w:r w:rsidRPr="002D006A" w:rsidR="000E3F9A">
        <w:rPr>
          <w:b/>
        </w:rPr>
        <w:t xml:space="preserve">For </w:t>
      </w:r>
      <w:r w:rsidRPr="002D006A" w:rsidR="000E3F9A">
        <w:rPr>
          <w:b/>
          <w:shd w:val="clear" w:color="auto" w:fill="FFFFFF"/>
        </w:rPr>
        <w:t xml:space="preserve">47 CFR </w:t>
      </w:r>
      <w:r w:rsidRPr="002D006A" w:rsidR="000E3F9A">
        <w:rPr>
          <w:b/>
        </w:rPr>
        <w:t>76.</w:t>
      </w:r>
      <w:r w:rsidR="0038670E">
        <w:rPr>
          <w:b/>
        </w:rPr>
        <w:t>310</w:t>
      </w:r>
      <w:r w:rsidRPr="002D006A" w:rsidR="000E3F9A">
        <w:rPr>
          <w:b/>
        </w:rPr>
        <w:t>(</w:t>
      </w:r>
      <w:r w:rsidR="00D91713">
        <w:rPr>
          <w:b/>
        </w:rPr>
        <w:t>b</w:t>
      </w:r>
      <w:r w:rsidRPr="002D006A" w:rsidR="000E3F9A">
        <w:rPr>
          <w:b/>
        </w:rPr>
        <w:t>)</w:t>
      </w:r>
      <w:r w:rsidRPr="002D006A" w:rsidR="000E3F9A">
        <w:t>,</w:t>
      </w:r>
      <w:r w:rsidRPr="00D91713" w:rsidR="00D91713">
        <w:t xml:space="preserve"> </w:t>
      </w:r>
      <w:r w:rsidRPr="00D91713" w:rsidR="00D91713">
        <w:t xml:space="preserve">we estimate cable operators and DBS providers will require </w:t>
      </w:r>
      <w:r w:rsidR="0038670E">
        <w:t>200</w:t>
      </w:r>
      <w:r w:rsidRPr="00D91713" w:rsidR="0038670E">
        <w:t xml:space="preserve"> </w:t>
      </w:r>
      <w:r w:rsidRPr="00D91713" w:rsidR="00D91713">
        <w:t>hours to comply with the “all-in” rule</w:t>
      </w:r>
      <w:r w:rsidRPr="002D006A" w:rsidR="000E3F9A">
        <w:t>.</w:t>
      </w:r>
      <w:r w:rsidR="00553CF9">
        <w:t xml:space="preserve"> </w:t>
      </w:r>
    </w:p>
    <w:p w:rsidR="00553CF9" w:rsidP="00E61363" w14:paraId="5B049F5A" w14:textId="77777777">
      <w:pPr>
        <w:suppressAutoHyphens/>
      </w:pPr>
    </w:p>
    <w:p w:rsidR="0038670E" w:rsidRPr="004C1590" w:rsidP="00E61363" w14:paraId="5B622632" w14:textId="77777777">
      <w:pPr>
        <w:suppressAutoHyphens/>
        <w:rPr>
          <w:bCs/>
        </w:rPr>
      </w:pPr>
      <w:r w:rsidRPr="004C1590">
        <w:rPr>
          <w:bCs/>
          <w:shd w:val="clear" w:color="auto" w:fill="FFFFFF"/>
        </w:rPr>
        <w:t xml:space="preserve">47 CFR </w:t>
      </w:r>
      <w:r w:rsidRPr="004C1590">
        <w:rPr>
          <w:bCs/>
        </w:rPr>
        <w:t>76.310(a)</w:t>
      </w:r>
    </w:p>
    <w:p w:rsidR="00553CF9" w:rsidRPr="00263622" w:rsidP="00E61363" w14:paraId="5F603895" w14:textId="77777777">
      <w:pPr>
        <w:suppressAutoHyphens/>
      </w:pPr>
      <w:r w:rsidRPr="008F0836">
        <w:t>54,000,000</w:t>
      </w:r>
      <w:r w:rsidRPr="008F0836">
        <w:t xml:space="preserve"> </w:t>
      </w:r>
      <w:r w:rsidRPr="008F0836">
        <w:t xml:space="preserve">bills </w:t>
      </w:r>
      <w:r w:rsidRPr="008F0836">
        <w:t xml:space="preserve">x </w:t>
      </w:r>
      <w:r w:rsidR="00810E72">
        <w:t>0</w:t>
      </w:r>
      <w:r w:rsidRPr="008F0836">
        <w:t>.000</w:t>
      </w:r>
      <w:r w:rsidRPr="008F0836">
        <w:t>1 hour</w:t>
      </w:r>
      <w:r w:rsidR="00863152">
        <w:t>s</w:t>
      </w:r>
      <w:r w:rsidRPr="008F0836">
        <w:t xml:space="preserve"> </w:t>
      </w:r>
      <w:r w:rsidRPr="00263622">
        <w:t xml:space="preserve">= </w:t>
      </w:r>
      <w:r w:rsidRPr="00263622" w:rsidR="00863152">
        <w:t>5,400</w:t>
      </w:r>
      <w:r w:rsidRPr="00263622">
        <w:t xml:space="preserve"> </w:t>
      </w:r>
      <w:r w:rsidRPr="00263622">
        <w:t>total annual burden hours</w:t>
      </w:r>
      <w:r w:rsidRPr="00263622">
        <w:t>.</w:t>
      </w:r>
    </w:p>
    <w:p w:rsidR="0038670E" w:rsidRPr="00263622" w:rsidP="00E61363" w14:paraId="0967A5F7" w14:textId="77777777">
      <w:pPr>
        <w:suppressAutoHyphens/>
      </w:pPr>
    </w:p>
    <w:p w:rsidR="0038670E" w:rsidRPr="00263622" w:rsidP="00E61363" w14:paraId="6856B58B" w14:textId="77777777">
      <w:pPr>
        <w:suppressAutoHyphens/>
      </w:pPr>
      <w:r w:rsidRPr="00263622">
        <w:t>47 CFR 76.310(b)</w:t>
      </w:r>
    </w:p>
    <w:p w:rsidR="0038670E" w:rsidRPr="00263622" w:rsidP="00E61363" w14:paraId="617F73E7" w14:textId="77777777">
      <w:pPr>
        <w:suppressAutoHyphens/>
      </w:pPr>
      <w:r w:rsidRPr="00263622">
        <w:t xml:space="preserve">400 advertisements x </w:t>
      </w:r>
      <w:r w:rsidRPr="00263622" w:rsidR="00863152">
        <w:t>0</w:t>
      </w:r>
      <w:r w:rsidRPr="00263622">
        <w:t>.5 hours per advertisement = 200 annual burden hours</w:t>
      </w:r>
    </w:p>
    <w:p w:rsidR="00DD2166" w:rsidRPr="00263622" w:rsidP="000E3F9A" w14:paraId="718E6006" w14:textId="77777777">
      <w:pPr>
        <w:suppressAutoHyphens/>
        <w:rPr>
          <w:b/>
          <w:shd w:val="clear" w:color="auto" w:fill="FFFFFF"/>
        </w:rPr>
      </w:pPr>
    </w:p>
    <w:p w:rsidR="00DD2166" w:rsidRPr="00263622" w:rsidP="00E61363" w14:paraId="7E06B0B9" w14:textId="77777777">
      <w:pPr>
        <w:suppressAutoHyphens/>
        <w:rPr>
          <w:b/>
        </w:rPr>
      </w:pPr>
    </w:p>
    <w:p w:rsidR="007D3F17" w:rsidRPr="00263622" w:rsidP="00E61363" w14:paraId="61B6B4CC" w14:textId="77777777">
      <w:pPr>
        <w:suppressAutoHyphens/>
        <w:rPr>
          <w:b/>
        </w:rPr>
      </w:pPr>
      <w:r w:rsidRPr="00263622">
        <w:rPr>
          <w:b/>
        </w:rPr>
        <w:t>Annual</w:t>
      </w:r>
      <w:r w:rsidRPr="00263622" w:rsidR="000E3F9A">
        <w:rPr>
          <w:b/>
        </w:rPr>
        <w:t xml:space="preserve"> Burden Hours:</w:t>
      </w:r>
      <w:r w:rsidRPr="00263622" w:rsidR="00796224">
        <w:rPr>
          <w:b/>
        </w:rPr>
        <w:t xml:space="preserve"> </w:t>
      </w:r>
    </w:p>
    <w:p w:rsidR="0038670E" w:rsidRPr="00263622" w:rsidP="008F0836" w14:paraId="3942DF3C" w14:textId="77777777">
      <w:pPr>
        <w:suppressAutoHyphens/>
        <w:rPr>
          <w:b/>
          <w:shd w:val="clear" w:color="auto" w:fill="FFFFFF"/>
        </w:rPr>
      </w:pPr>
      <w:r w:rsidRPr="00263622">
        <w:rPr>
          <w:shd w:val="clear" w:color="auto" w:fill="FFFFFF"/>
        </w:rPr>
        <w:tab/>
      </w:r>
      <w:r w:rsidRPr="00263622">
        <w:rPr>
          <w:shd w:val="clear" w:color="auto" w:fill="FFFFFF"/>
        </w:rPr>
        <w:tab/>
      </w:r>
      <w:r w:rsidRPr="00263622">
        <w:rPr>
          <w:shd w:val="clear" w:color="auto" w:fill="FFFFFF"/>
        </w:rPr>
        <w:tab/>
      </w:r>
      <w:r w:rsidRPr="00263622">
        <w:rPr>
          <w:shd w:val="clear" w:color="auto" w:fill="FFFFFF"/>
        </w:rPr>
        <w:tab/>
      </w:r>
      <w:r w:rsidRPr="00263622">
        <w:rPr>
          <w:shd w:val="clear" w:color="auto" w:fill="FFFFFF"/>
        </w:rPr>
        <w:tab/>
        <w:t>For 47 CFR 76.310(a):</w:t>
      </w:r>
      <w:r w:rsidRPr="00263622">
        <w:rPr>
          <w:b/>
          <w:shd w:val="clear" w:color="auto" w:fill="FFFFFF"/>
        </w:rPr>
        <w:t xml:space="preserve">  </w:t>
      </w:r>
      <w:r w:rsidRPr="00263622">
        <w:rPr>
          <w:b/>
          <w:shd w:val="clear" w:color="auto" w:fill="FFFFFF"/>
        </w:rPr>
        <w:tab/>
      </w:r>
      <w:r w:rsidRPr="00263622">
        <w:rPr>
          <w:b/>
          <w:shd w:val="clear" w:color="auto" w:fill="FFFFFF"/>
        </w:rPr>
        <w:tab/>
      </w:r>
      <w:r w:rsidRPr="00263622" w:rsidR="00863152">
        <w:rPr>
          <w:shd w:val="clear" w:color="auto" w:fill="FFFFFF"/>
        </w:rPr>
        <w:t>5,400</w:t>
      </w:r>
      <w:r w:rsidRPr="00263622">
        <w:rPr>
          <w:shd w:val="clear" w:color="auto" w:fill="FFFFFF"/>
        </w:rPr>
        <w:t xml:space="preserve"> burden hours </w:t>
      </w:r>
    </w:p>
    <w:p w:rsidR="0038670E" w:rsidRPr="00263622" w:rsidP="0038670E" w14:paraId="557AD491" w14:textId="77777777">
      <w:pPr>
        <w:suppressAutoHyphens/>
        <w:rPr>
          <w:u w:val="single"/>
        </w:rPr>
      </w:pPr>
      <w:r w:rsidRPr="00263622">
        <w:t xml:space="preserve">                                                            For 47 CFR 76.310(b):</w:t>
      </w:r>
      <w:r w:rsidRPr="00263622">
        <w:tab/>
      </w:r>
      <w:r w:rsidRPr="00263622">
        <w:tab/>
      </w:r>
      <w:r w:rsidRPr="00263622" w:rsidR="00863152">
        <w:rPr>
          <w:u w:val="single"/>
        </w:rPr>
        <w:t xml:space="preserve">   </w:t>
      </w:r>
      <w:r w:rsidRPr="00263622">
        <w:rPr>
          <w:u w:val="single"/>
        </w:rPr>
        <w:t xml:space="preserve">200 burden hours    </w:t>
      </w:r>
    </w:p>
    <w:p w:rsidR="00D023F4" w:rsidRPr="00263622" w:rsidP="008F0836" w14:paraId="64399B5C" w14:textId="77777777">
      <w:pPr>
        <w:suppressAutoHyphens/>
        <w:ind w:left="2880" w:firstLine="720"/>
        <w:rPr>
          <w:b/>
        </w:rPr>
      </w:pPr>
      <w:r w:rsidRPr="00263622">
        <w:rPr>
          <w:b/>
        </w:rPr>
        <w:t>Total Annual Burden Hours:</w:t>
      </w:r>
      <w:r w:rsidRPr="00263622" w:rsidR="00341741">
        <w:rPr>
          <w:b/>
        </w:rPr>
        <w:t xml:space="preserve"> </w:t>
      </w:r>
      <w:r w:rsidRPr="00263622" w:rsidR="0038670E">
        <w:rPr>
          <w:b/>
        </w:rPr>
        <w:tab/>
      </w:r>
      <w:r w:rsidRPr="00263622" w:rsidR="00863152">
        <w:rPr>
          <w:b/>
        </w:rPr>
        <w:t>5,600</w:t>
      </w:r>
      <w:r w:rsidRPr="00263622" w:rsidR="0038670E">
        <w:rPr>
          <w:b/>
        </w:rPr>
        <w:t xml:space="preserve"> </w:t>
      </w:r>
      <w:r w:rsidRPr="00263622" w:rsidR="00341741">
        <w:rPr>
          <w:b/>
        </w:rPr>
        <w:t>hours</w:t>
      </w:r>
    </w:p>
    <w:p w:rsidR="00E90C33" w:rsidRPr="00263622" w:rsidP="00E90C33" w14:paraId="110A0CB7" w14:textId="77777777">
      <w:pPr>
        <w:suppressAutoHyphens/>
      </w:pPr>
    </w:p>
    <w:p w:rsidR="00E90C33" w:rsidRPr="00263622" w:rsidP="00E90C33" w14:paraId="4996785C" w14:textId="77777777">
      <w:pPr>
        <w:suppressAutoHyphens/>
      </w:pPr>
      <w:r w:rsidRPr="00263622">
        <w:rPr>
          <w:b/>
        </w:rPr>
        <w:t>Annual “In-House Cost”</w:t>
      </w:r>
      <w:r w:rsidRPr="00263622" w:rsidR="00977EC6">
        <w:rPr>
          <w:b/>
        </w:rPr>
        <w:t>:</w:t>
      </w:r>
      <w:r w:rsidRPr="00263622" w:rsidR="00977EC6">
        <w:t xml:space="preserve">  </w:t>
      </w:r>
      <w:r w:rsidRPr="00263622" w:rsidR="00882496">
        <w:t xml:space="preserve">We estimate that each </w:t>
      </w:r>
      <w:r w:rsidRPr="00263622" w:rsidR="0038670E">
        <w:t xml:space="preserve">cable operator or DBS provider </w:t>
      </w:r>
      <w:r w:rsidRPr="00263622" w:rsidR="00882496">
        <w:t xml:space="preserve">will </w:t>
      </w:r>
      <w:r w:rsidRPr="00263622" w:rsidR="008D63FF">
        <w:t>update billing and advertising with a mix of in-house and outside contracting professionals, at the expense of $300 per hour.</w:t>
      </w:r>
      <w:r w:rsidRPr="00263622" w:rsidR="00250613">
        <w:t xml:space="preserve">  </w:t>
      </w:r>
    </w:p>
    <w:p w:rsidR="00E90C33" w:rsidRPr="00263622" w:rsidP="00E90C33" w14:paraId="2C943DE3" w14:textId="77777777">
      <w:pPr>
        <w:suppressAutoHyphens/>
      </w:pPr>
    </w:p>
    <w:p w:rsidR="00250613" w:rsidRPr="00263622" w:rsidP="008D63FF" w14:paraId="4E16E67C" w14:textId="77777777">
      <w:pPr>
        <w:suppressAutoHyphens/>
        <w:rPr>
          <w:b/>
        </w:rPr>
      </w:pPr>
      <w:r w:rsidRPr="00263622">
        <w:rPr>
          <w:b/>
        </w:rPr>
        <w:t>Total Annual In-House Cost:</w:t>
      </w:r>
      <w:r w:rsidRPr="00263622">
        <w:rPr>
          <w:b/>
        </w:rPr>
        <w:tab/>
      </w:r>
      <w:r w:rsidRPr="00263622" w:rsidR="00863152">
        <w:t>5,600</w:t>
      </w:r>
      <w:r w:rsidRPr="00263622">
        <w:t xml:space="preserve"> hours</w:t>
      </w:r>
      <w:r w:rsidRPr="00263622" w:rsidR="00E90C33">
        <w:t xml:space="preserve"> x $</w:t>
      </w:r>
      <w:r w:rsidRPr="00263622">
        <w:t>300 per hour =</w:t>
      </w:r>
      <w:r w:rsidRPr="00263622" w:rsidR="00E90C33">
        <w:rPr>
          <w:b/>
        </w:rPr>
        <w:tab/>
      </w:r>
      <w:r w:rsidRPr="00263622" w:rsidR="00C01A1E">
        <w:rPr>
          <w:b/>
        </w:rPr>
        <w:t xml:space="preserve"> </w:t>
      </w:r>
      <w:r w:rsidRPr="00263622" w:rsidR="0043556C">
        <w:rPr>
          <w:b/>
        </w:rPr>
        <w:t>$</w:t>
      </w:r>
      <w:r w:rsidRPr="00263622" w:rsidR="00C65648">
        <w:rPr>
          <w:b/>
        </w:rPr>
        <w:t>1,680</w:t>
      </w:r>
      <w:r w:rsidRPr="00263622">
        <w:rPr>
          <w:b/>
        </w:rPr>
        <w:t>,000</w:t>
      </w:r>
      <w:r w:rsidRPr="00263622" w:rsidR="00E90C33">
        <w:rPr>
          <w:b/>
        </w:rPr>
        <w:tab/>
      </w:r>
    </w:p>
    <w:p w:rsidR="00E90C33" w:rsidRPr="00263622" w:rsidP="00E61363" w14:paraId="5F9505A7" w14:textId="77777777">
      <w:pPr>
        <w:suppressAutoHyphens/>
      </w:pPr>
    </w:p>
    <w:p w:rsidR="00977EC6" w:rsidRPr="00263622" w:rsidP="00E61363" w14:paraId="7306B301" w14:textId="77777777">
      <w:pPr>
        <w:suppressAutoHyphens/>
      </w:pPr>
      <w:r w:rsidRPr="00263622">
        <w:t>All estimates are based on Commission staff</w:t>
      </w:r>
      <w:r w:rsidRPr="00263622" w:rsidR="007A275C">
        <w:t>’</w:t>
      </w:r>
      <w:r w:rsidRPr="00263622">
        <w:t xml:space="preserve">s knowledge and familiarity with the availability of the data required. </w:t>
      </w:r>
    </w:p>
    <w:p w:rsidR="00C65648" w:rsidRPr="00263622" w:rsidP="00E61363" w14:paraId="630E174F" w14:textId="77777777">
      <w:pPr>
        <w:suppressAutoHyphens/>
      </w:pPr>
    </w:p>
    <w:p w:rsidR="00C65648" w:rsidRPr="00263622" w:rsidP="00E61363" w14:paraId="2EA12BE9" w14:textId="77777777">
      <w:pPr>
        <w:suppressAutoHyphens/>
        <w:rPr>
          <w:b/>
          <w:bCs/>
        </w:rPr>
      </w:pPr>
      <w:r w:rsidRPr="00263622">
        <w:rPr>
          <w:b/>
          <w:bCs/>
        </w:rPr>
        <w:t>Total Number of Respondents:</w:t>
      </w:r>
      <w:r w:rsidRPr="00263622" w:rsidR="00DE115D">
        <w:rPr>
          <w:b/>
          <w:bCs/>
        </w:rPr>
        <w:t xml:space="preserve"> 400</w:t>
      </w:r>
    </w:p>
    <w:p w:rsidR="00C65648" w:rsidRPr="00263622" w:rsidP="00E61363" w14:paraId="781E46EF" w14:textId="77777777">
      <w:pPr>
        <w:suppressAutoHyphens/>
      </w:pPr>
    </w:p>
    <w:p w:rsidR="00C65648" w:rsidRPr="00263622" w:rsidP="00E61363" w14:paraId="3C942EFE" w14:textId="77777777">
      <w:pPr>
        <w:suppressAutoHyphens/>
        <w:rPr>
          <w:b/>
          <w:bCs/>
        </w:rPr>
      </w:pPr>
      <w:r w:rsidRPr="00263622">
        <w:rPr>
          <w:b/>
          <w:bCs/>
        </w:rPr>
        <w:t>Total Number of Annual Responses: 54,000,000 bills + 400 advertisements = 54,000,400</w:t>
      </w:r>
    </w:p>
    <w:p w:rsidR="00C65648" w:rsidRPr="00263622" w:rsidP="00E61363" w14:paraId="1BDB9CF8" w14:textId="77777777">
      <w:pPr>
        <w:suppressAutoHyphens/>
      </w:pPr>
    </w:p>
    <w:p w:rsidR="00C65648" w:rsidRPr="00263622" w:rsidP="00E61363" w14:paraId="53218FA3" w14:textId="77777777">
      <w:pPr>
        <w:suppressAutoHyphens/>
        <w:rPr>
          <w:b/>
          <w:bCs/>
        </w:rPr>
      </w:pPr>
      <w:r w:rsidRPr="00263622">
        <w:rPr>
          <w:b/>
          <w:bCs/>
        </w:rPr>
        <w:t>Total Annual Burden Hours:  5,600 hours</w:t>
      </w:r>
    </w:p>
    <w:p w:rsidR="00C65648" w:rsidRPr="00263622" w:rsidP="00E61363" w14:paraId="49904D3C" w14:textId="77777777">
      <w:pPr>
        <w:suppressAutoHyphens/>
      </w:pPr>
    </w:p>
    <w:p w:rsidR="00C65648" w:rsidRPr="00263622" w:rsidP="00E61363" w14:paraId="3FEFDBA7" w14:textId="77777777">
      <w:pPr>
        <w:suppressAutoHyphens/>
        <w:rPr>
          <w:b/>
          <w:bCs/>
        </w:rPr>
      </w:pPr>
      <w:r w:rsidRPr="00263622">
        <w:rPr>
          <w:b/>
          <w:bCs/>
        </w:rPr>
        <w:t>Total Annual “In-House” Cost:  1,680,000</w:t>
      </w:r>
    </w:p>
    <w:p w:rsidR="00977EC6" w:rsidRPr="00263622" w:rsidP="00E61363" w14:paraId="6FCA5BE0" w14:textId="77777777">
      <w:pPr>
        <w:suppressAutoHyphens/>
      </w:pPr>
    </w:p>
    <w:p w:rsidR="00824A75" w:rsidRPr="00263622" w:rsidP="00824A75" w14:paraId="413381C8" w14:textId="77777777">
      <w:pPr>
        <w:suppressAutoHyphens/>
        <w:rPr>
          <w:spacing w:val="-3"/>
          <w:sz w:val="22"/>
          <w:szCs w:val="22"/>
        </w:rPr>
      </w:pPr>
      <w:r w:rsidRPr="00263622">
        <w:rPr>
          <w:b/>
        </w:rPr>
        <w:t xml:space="preserve">13. </w:t>
      </w:r>
      <w:r w:rsidRPr="00263622">
        <w:rPr>
          <w:b/>
          <w:spacing w:val="-3"/>
          <w:sz w:val="22"/>
          <w:szCs w:val="22"/>
        </w:rPr>
        <w:t>Annual Cost Burden</w:t>
      </w:r>
      <w:r w:rsidRPr="00263622">
        <w:rPr>
          <w:spacing w:val="-3"/>
          <w:sz w:val="22"/>
          <w:szCs w:val="22"/>
        </w:rPr>
        <w:t xml:space="preserve">: </w:t>
      </w:r>
    </w:p>
    <w:p w:rsidR="00824A75" w:rsidRPr="00263622" w:rsidP="00824A75" w14:paraId="7006B496" w14:textId="77777777">
      <w:pPr>
        <w:suppressAutoHyphens/>
        <w:rPr>
          <w:spacing w:val="-3"/>
          <w:sz w:val="22"/>
          <w:szCs w:val="22"/>
        </w:rPr>
      </w:pPr>
    </w:p>
    <w:p w:rsidR="00824A75" w:rsidRPr="00263622" w:rsidP="00824A75" w14:paraId="4C4AE404"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263622">
        <w:rPr>
          <w:spacing w:val="-3"/>
          <w:sz w:val="22"/>
          <w:szCs w:val="22"/>
        </w:rPr>
        <w:t xml:space="preserve">Total annualized capital/startup costs: </w:t>
      </w:r>
      <w:r w:rsidRPr="00263622" w:rsidR="0024025F">
        <w:rPr>
          <w:spacing w:val="-3"/>
          <w:sz w:val="22"/>
          <w:szCs w:val="22"/>
        </w:rPr>
        <w:t xml:space="preserve"> </w:t>
      </w:r>
      <w:r w:rsidRPr="00263622">
        <w:rPr>
          <w:spacing w:val="-3"/>
          <w:sz w:val="22"/>
          <w:szCs w:val="22"/>
        </w:rPr>
        <w:t>None</w:t>
      </w:r>
    </w:p>
    <w:p w:rsidR="00824A75" w:rsidRPr="00263622" w:rsidP="00824A75" w14:paraId="701A3B4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00824A75" w:rsidRPr="00263622" w:rsidP="00824A75" w14:paraId="3961EE9C" w14:textId="77777777">
      <w:pPr>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263622">
        <w:rPr>
          <w:spacing w:val="-3"/>
          <w:sz w:val="22"/>
          <w:szCs w:val="22"/>
        </w:rPr>
        <w:t>Total annual costs (O&amp;M): None</w:t>
      </w:r>
    </w:p>
    <w:p w:rsidR="00824A75" w:rsidRPr="00263622" w:rsidP="00824A75" w14:paraId="7D0BB76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824A75" w:rsidRPr="00263622" w:rsidP="00824A75" w14:paraId="4587D75D" w14:textId="77777777">
      <w:pPr>
        <w:suppressAutoHyphens/>
        <w:ind w:firstLine="720"/>
        <w:rPr>
          <w:spacing w:val="-3"/>
          <w:sz w:val="22"/>
          <w:szCs w:val="22"/>
        </w:rPr>
      </w:pPr>
      <w:r w:rsidRPr="00263622">
        <w:rPr>
          <w:spacing w:val="-3"/>
          <w:sz w:val="22"/>
          <w:szCs w:val="22"/>
        </w:rPr>
        <w:t xml:space="preserve">(c)       Total annualized cost requested: </w:t>
      </w:r>
      <w:r w:rsidRPr="00263622">
        <w:rPr>
          <w:b/>
          <w:spacing w:val="-3"/>
          <w:sz w:val="22"/>
          <w:szCs w:val="22"/>
        </w:rPr>
        <w:t>None</w:t>
      </w:r>
    </w:p>
    <w:p w:rsidR="00824A75" w:rsidRPr="00263622" w:rsidP="00824A75" w14:paraId="075DE8D3" w14:textId="77777777">
      <w:pPr>
        <w:suppressAutoHyphens/>
        <w:rPr>
          <w:spacing w:val="-3"/>
          <w:sz w:val="22"/>
          <w:szCs w:val="22"/>
        </w:rPr>
      </w:pPr>
    </w:p>
    <w:p w:rsidR="009B0F3C" w:rsidRPr="00263622" w:rsidP="00E61363" w14:paraId="38B9988E" w14:textId="77777777">
      <w:pPr>
        <w:suppressAutoHyphens/>
      </w:pPr>
      <w:r w:rsidRPr="00263622">
        <w:rPr>
          <w:b/>
        </w:rPr>
        <w:t>14.</w:t>
      </w:r>
      <w:r w:rsidRPr="00263622" w:rsidR="00855E73">
        <w:rPr>
          <w:b/>
        </w:rPr>
        <w:t xml:space="preserve">  </w:t>
      </w:r>
      <w:r w:rsidRPr="00263622" w:rsidR="00824A75">
        <w:t>There is no cost to the Federal Government.</w:t>
      </w:r>
    </w:p>
    <w:p w:rsidR="009B0F3C" w:rsidRPr="00263622" w:rsidP="00E61363" w14:paraId="431E5860" w14:textId="77777777">
      <w:pPr>
        <w:suppressAutoHyphens/>
      </w:pPr>
    </w:p>
    <w:p w:rsidR="00977EC6" w:rsidRPr="00263622" w:rsidP="00E61363" w14:paraId="7E313E14" w14:textId="77777777">
      <w:pPr>
        <w:suppressAutoHyphens/>
        <w:rPr>
          <w:sz w:val="22"/>
          <w:szCs w:val="22"/>
        </w:rPr>
      </w:pPr>
      <w:r w:rsidRPr="00263622">
        <w:rPr>
          <w:b/>
        </w:rPr>
        <w:t>15</w:t>
      </w:r>
      <w:r w:rsidRPr="00263622">
        <w:t>.</w:t>
      </w:r>
      <w:r w:rsidRPr="00263622" w:rsidR="00855E73">
        <w:t xml:space="preserve"> </w:t>
      </w:r>
      <w:r w:rsidRPr="00263622" w:rsidR="003B65CB">
        <w:t xml:space="preserve">There are </w:t>
      </w:r>
      <w:r w:rsidRPr="00263622" w:rsidR="00227AF5">
        <w:t xml:space="preserve">program changes </w:t>
      </w:r>
      <w:r w:rsidRPr="00263622" w:rsidR="00C65648">
        <w:t>to this collection as a result of the information collection requirements adopted in FCC 24-29.  The program changes</w:t>
      </w:r>
      <w:r w:rsidRPr="00263622" w:rsidR="00DE115D">
        <w:t xml:space="preserve"> are 400 respondents, 54,000,400 </w:t>
      </w:r>
      <w:r w:rsidRPr="00263622" w:rsidR="009055A2">
        <w:t xml:space="preserve">responses </w:t>
      </w:r>
      <w:r w:rsidRPr="00263622" w:rsidR="00DE115D">
        <w:t>and 5,600 hours.</w:t>
      </w:r>
      <w:r w:rsidRPr="00263622" w:rsidR="00C65648">
        <w:t xml:space="preserve"> </w:t>
      </w:r>
      <w:r w:rsidRPr="00263622" w:rsidR="00855E73">
        <w:t xml:space="preserve"> </w:t>
      </w:r>
    </w:p>
    <w:p w:rsidR="000C7217" w:rsidRPr="00263622" w:rsidP="00E61363" w14:paraId="422771FD" w14:textId="77777777">
      <w:pPr>
        <w:suppressAutoHyphens/>
        <w:rPr>
          <w:sz w:val="22"/>
          <w:szCs w:val="22"/>
        </w:rPr>
      </w:pPr>
    </w:p>
    <w:p w:rsidR="00977EC6" w:rsidRPr="00263622" w:rsidP="00E61363" w14:paraId="7E4CBFF6" w14:textId="77777777">
      <w:pPr>
        <w:suppressAutoHyphens/>
      </w:pPr>
      <w:r w:rsidRPr="00263622">
        <w:rPr>
          <w:b/>
        </w:rPr>
        <w:t>16</w:t>
      </w:r>
      <w:r w:rsidRPr="00263622" w:rsidR="009B0F3C">
        <w:rPr>
          <w:b/>
        </w:rPr>
        <w:t>.</w:t>
      </w:r>
      <w:r w:rsidRPr="00263622" w:rsidR="00855E73">
        <w:rPr>
          <w:b/>
        </w:rPr>
        <w:t xml:space="preserve">  </w:t>
      </w:r>
      <w:r w:rsidRPr="00263622" w:rsidR="009C0E06">
        <w:t>Thi</w:t>
      </w:r>
      <w:r w:rsidRPr="00263622">
        <w:t xml:space="preserve">s data will not be published for statistical use. </w:t>
      </w:r>
    </w:p>
    <w:p w:rsidR="00977EC6" w:rsidRPr="00263622" w:rsidP="00E61363" w14:paraId="616D4464" w14:textId="77777777">
      <w:pPr>
        <w:suppressAutoHyphens/>
      </w:pPr>
    </w:p>
    <w:p w:rsidR="00977EC6" w:rsidRPr="00263622" w:rsidP="00E61363" w14:paraId="37E58C44" w14:textId="77777777">
      <w:pPr>
        <w:suppressAutoHyphens/>
      </w:pPr>
      <w:r w:rsidRPr="00263622">
        <w:rPr>
          <w:b/>
        </w:rPr>
        <w:t xml:space="preserve">17.  </w:t>
      </w:r>
      <w:r w:rsidRPr="00263622">
        <w:t>We do not seek approval to not display the expiration date for OMB approval of this information collection.</w:t>
      </w:r>
    </w:p>
    <w:p w:rsidR="00024379" w:rsidRPr="00263622" w:rsidP="00E61363" w14:paraId="7C42E1AB" w14:textId="77777777">
      <w:pPr>
        <w:suppressAutoHyphens/>
      </w:pPr>
    </w:p>
    <w:p w:rsidR="00977EC6" w:rsidRPr="00263622" w:rsidP="009B0F3C" w14:paraId="2CD85C93" w14:textId="77777777">
      <w:pPr>
        <w:shd w:val="clear" w:color="auto" w:fill="FFFFFF"/>
      </w:pPr>
      <w:r w:rsidRPr="00263622">
        <w:rPr>
          <w:b/>
        </w:rPr>
        <w:t xml:space="preserve">18.  </w:t>
      </w:r>
      <w:r w:rsidRPr="00263622" w:rsidR="000D2618">
        <w:rPr>
          <w:b/>
        </w:rPr>
        <w:t xml:space="preserve"> </w:t>
      </w:r>
      <w:r w:rsidRPr="00263622" w:rsidR="009B0F3C">
        <w:rPr>
          <w:spacing w:val="-3"/>
          <w:szCs w:val="24"/>
          <w:shd w:val="clear" w:color="auto" w:fill="FFFFFF"/>
        </w:rPr>
        <w:t>T</w:t>
      </w:r>
      <w:r w:rsidRPr="00263622" w:rsidR="00CB57C1">
        <w:rPr>
          <w:spacing w:val="-3"/>
          <w:szCs w:val="24"/>
          <w:shd w:val="clear" w:color="auto" w:fill="FFFFFF"/>
        </w:rPr>
        <w:t xml:space="preserve">here are no </w:t>
      </w:r>
      <w:r w:rsidRPr="00263622" w:rsidR="00F46D99">
        <w:rPr>
          <w:spacing w:val="-3"/>
          <w:szCs w:val="24"/>
          <w:shd w:val="clear" w:color="auto" w:fill="FFFFFF"/>
        </w:rPr>
        <w:t xml:space="preserve">other </w:t>
      </w:r>
      <w:r w:rsidRPr="00263622" w:rsidR="00CB57C1">
        <w:rPr>
          <w:spacing w:val="-3"/>
          <w:szCs w:val="24"/>
          <w:shd w:val="clear" w:color="auto" w:fill="FFFFFF"/>
        </w:rPr>
        <w:t xml:space="preserve">exceptions to the </w:t>
      </w:r>
      <w:r w:rsidRPr="00263622" w:rsidR="00CB57C1">
        <w:rPr>
          <w:spacing w:val="-3"/>
          <w:szCs w:val="24"/>
        </w:rPr>
        <w:t>Certification Statement</w:t>
      </w:r>
      <w:r w:rsidRPr="00263622" w:rsidR="00180B8E">
        <w:rPr>
          <w:spacing w:val="-3"/>
          <w:szCs w:val="24"/>
        </w:rPr>
        <w:t>.</w:t>
      </w:r>
      <w:r w:rsidRPr="00263622" w:rsidR="00CB57C1">
        <w:rPr>
          <w:spacing w:val="-3"/>
          <w:szCs w:val="24"/>
        </w:rPr>
        <w:t xml:space="preserve"> </w:t>
      </w:r>
    </w:p>
    <w:p w:rsidR="00977EC6" w:rsidRPr="00263622" w:rsidP="00E61363" w14:paraId="03644C32" w14:textId="77777777">
      <w:pPr>
        <w:suppressAutoHyphens/>
      </w:pPr>
    </w:p>
    <w:p w:rsidR="00977EC6" w:rsidRPr="00263622" w:rsidP="00E61363" w14:paraId="39CBD702" w14:textId="77777777">
      <w:pPr>
        <w:suppressAutoHyphens/>
      </w:pPr>
      <w:r w:rsidRPr="00263622">
        <w:rPr>
          <w:b/>
        </w:rPr>
        <w:t>B.  Collections of Information Employing Statistical Methods</w:t>
      </w:r>
    </w:p>
    <w:p w:rsidR="00977EC6" w:rsidRPr="00263622" w:rsidP="00E61363" w14:paraId="5C042E15" w14:textId="77777777">
      <w:pPr>
        <w:suppressAutoHyphens/>
      </w:pPr>
    </w:p>
    <w:p w:rsidR="00D90866" w:rsidRPr="00E61363" w:rsidP="00824A75" w14:paraId="2768CAF9" w14:textId="77777777">
      <w:pPr>
        <w:suppressAutoHyphens/>
      </w:pPr>
      <w:r w:rsidRPr="00263622">
        <w:t>No statistical methods are employed.</w:t>
      </w:r>
      <w:r w:rsidRPr="00E61363">
        <w:t xml:space="preserve"> </w:t>
      </w:r>
    </w:p>
    <w:sectPr w:rsidSect="00103767">
      <w:headerReference w:type="default" r:id="rId4"/>
      <w:footerReference w:type="even"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170" w:rsidP="00FC613A" w14:paraId="0584F0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0170" w14:paraId="581DED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170" w:rsidRPr="00FC613A" w:rsidP="00FC613A" w14:paraId="36D30143" w14:textId="77777777">
    <w:pPr>
      <w:pStyle w:val="Footer"/>
      <w:framePr w:wrap="around" w:vAnchor="text" w:hAnchor="margin" w:xAlign="center" w:y="1"/>
      <w:rPr>
        <w:rStyle w:val="PageNumber"/>
        <w:sz w:val="20"/>
      </w:rPr>
    </w:pPr>
    <w:r w:rsidRPr="00FC613A">
      <w:rPr>
        <w:rStyle w:val="PageNumber"/>
        <w:sz w:val="20"/>
      </w:rPr>
      <w:fldChar w:fldCharType="begin"/>
    </w:r>
    <w:r w:rsidRPr="00FC613A">
      <w:rPr>
        <w:rStyle w:val="PageNumber"/>
        <w:sz w:val="20"/>
      </w:rPr>
      <w:instrText xml:space="preserve">PAGE  </w:instrText>
    </w:r>
    <w:r w:rsidRPr="00FC613A">
      <w:rPr>
        <w:rStyle w:val="PageNumber"/>
        <w:sz w:val="20"/>
      </w:rPr>
      <w:fldChar w:fldCharType="separate"/>
    </w:r>
    <w:r w:rsidR="00465C30">
      <w:rPr>
        <w:rStyle w:val="PageNumber"/>
        <w:noProof/>
        <w:sz w:val="20"/>
      </w:rPr>
      <w:t>1</w:t>
    </w:r>
    <w:r w:rsidRPr="00FC613A">
      <w:rPr>
        <w:rStyle w:val="PageNumber"/>
        <w:sz w:val="20"/>
      </w:rPr>
      <w:fldChar w:fldCharType="end"/>
    </w:r>
  </w:p>
  <w:p w:rsidR="007F0170" w14:paraId="57E43E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AF5" w:rsidP="00227AF5" w14:paraId="5FBC29F9" w14:textId="77777777">
    <w:pPr>
      <w:suppressAutoHyphens/>
      <w:rPr>
        <w:b/>
      </w:rPr>
    </w:pPr>
    <w:r w:rsidRPr="008F0836">
      <w:rPr>
        <w:b/>
      </w:rPr>
      <w:t xml:space="preserve">OMB Control Number:  </w:t>
    </w:r>
    <w:r w:rsidRPr="00D11793">
      <w:rPr>
        <w:b/>
      </w:rPr>
      <w:t>3060</w:t>
    </w:r>
    <w:r w:rsidRPr="00D11793">
      <w:rPr>
        <w:b/>
      </w:rPr>
      <w:noBreakHyphen/>
    </w:r>
    <w:r w:rsidRPr="008F0836" w:rsidR="00774542">
      <w:rPr>
        <w:b/>
      </w:rPr>
      <w:t>XXXX</w:t>
    </w:r>
    <w:r w:rsidRPr="008F0836">
      <w:rPr>
        <w:b/>
      </w:rPr>
      <w:tab/>
    </w:r>
    <w:r w:rsidRPr="008F0836">
      <w:rPr>
        <w:b/>
      </w:rPr>
      <w:tab/>
    </w:r>
    <w:r w:rsidRPr="008F0836">
      <w:rPr>
        <w:b/>
      </w:rPr>
      <w:tab/>
    </w:r>
    <w:r w:rsidRPr="008F0836">
      <w:rPr>
        <w:b/>
      </w:rPr>
      <w:tab/>
    </w:r>
    <w:r w:rsidRPr="008F0836">
      <w:rPr>
        <w:b/>
      </w:rPr>
      <w:tab/>
    </w:r>
    <w:r w:rsidR="00863152">
      <w:rPr>
        <w:b/>
      </w:rPr>
      <w:t>July</w:t>
    </w:r>
    <w:r w:rsidRPr="008F0836" w:rsidR="004A71DD">
      <w:rPr>
        <w:b/>
      </w:rPr>
      <w:t xml:space="preserve"> 202</w:t>
    </w:r>
    <w:r w:rsidRPr="008F0836" w:rsidR="00DE52EC">
      <w:rPr>
        <w:b/>
      </w:rPr>
      <w:t>4</w:t>
    </w:r>
    <w:r>
      <w:rPr>
        <w:b/>
      </w:rPr>
      <w:tab/>
    </w:r>
    <w:r>
      <w:rPr>
        <w:b/>
      </w:rPr>
      <w:tab/>
    </w:r>
    <w:r>
      <w:rPr>
        <w:b/>
      </w:rPr>
      <w:tab/>
      <w:t xml:space="preserve">      </w:t>
    </w:r>
    <w:r w:rsidR="007F36EE">
      <w:rPr>
        <w:b/>
      </w:rPr>
      <w:t xml:space="preserve"> </w:t>
    </w:r>
  </w:p>
  <w:p w:rsidR="007F0170" w:rsidRPr="00986397" w:rsidP="00227AF5" w14:paraId="50A30CAC" w14:textId="77777777">
    <w:pPr>
      <w:suppressAutoHyphens/>
      <w:rPr>
        <w:b/>
      </w:rPr>
    </w:pPr>
    <w:r>
      <w:rPr>
        <w:b/>
      </w:rPr>
      <w:t>Title</w:t>
    </w:r>
    <w:r w:rsidRPr="00977EC6">
      <w:t xml:space="preserve">:  </w:t>
    </w:r>
    <w:r w:rsidRPr="00341741">
      <w:rPr>
        <w:b/>
      </w:rPr>
      <w:t>Section</w:t>
    </w:r>
    <w:r w:rsidRPr="00876934" w:rsidR="00876934">
      <w:rPr>
        <w:b/>
        <w:bCs/>
      </w:rPr>
      <w:t xml:space="preserve"> 76.310, Truth in billing and advertising</w:t>
    </w:r>
  </w:p>
  <w:p w:rsidR="007F0170" w:rsidRPr="00977EC6" w:rsidP="00A16532" w14:paraId="1A2A0C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7E06CBB"/>
    <w:multiLevelType w:val="multilevel"/>
    <w:tmpl w:val="A46897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384607BC"/>
    <w:multiLevelType w:val="hybridMultilevel"/>
    <w:tmpl w:val="ACB2C1E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2">
      <w:start w:val="1"/>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BF1E45"/>
    <w:multiLevelType w:val="hybridMultilevel"/>
    <w:tmpl w:val="7556FFAE"/>
    <w:lvl w:ilvl="0">
      <w:start w:val="1"/>
      <w:numFmt w:val="decimal"/>
      <w:pStyle w:val="ParaNum0"/>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F3A5D19"/>
    <w:multiLevelType w:val="hybridMultilevel"/>
    <w:tmpl w:val="516AE78A"/>
    <w:lvl w:ilvl="0">
      <w:start w:val="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61182925"/>
    <w:multiLevelType w:val="singleLevel"/>
    <w:tmpl w:val="F89C161A"/>
    <w:lvl w:ilvl="0">
      <w:start w:val="1"/>
      <w:numFmt w:val="decimal"/>
      <w:pStyle w:val="ParaNumCharCharChar1Char"/>
      <w:lvlText w:val="%1."/>
      <w:lvlJc w:val="left"/>
      <w:pPr>
        <w:tabs>
          <w:tab w:val="num" w:pos="4590"/>
        </w:tabs>
        <w:ind w:left="3510" w:firstLine="720"/>
      </w:pPr>
      <w:rPr>
        <w:b w:val="0"/>
        <w:i w:val="0"/>
      </w:rPr>
    </w:lvl>
  </w:abstractNum>
  <w:abstractNum w:abstractNumId="7">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2102148">
    <w:abstractNumId w:val="2"/>
  </w:num>
  <w:num w:numId="2" w16cid:durableId="1094058603">
    <w:abstractNumId w:val="3"/>
  </w:num>
  <w:num w:numId="3" w16cid:durableId="2031754289">
    <w:abstractNumId w:val="4"/>
  </w:num>
  <w:num w:numId="4" w16cid:durableId="1014039210">
    <w:abstractNumId w:val="5"/>
  </w:num>
  <w:num w:numId="5" w16cid:durableId="1929266062">
    <w:abstractNumId w:val="7"/>
  </w:num>
  <w:num w:numId="6" w16cid:durableId="1699433180">
    <w:abstractNumId w:val="1"/>
  </w:num>
  <w:num w:numId="7" w16cid:durableId="258683261">
    <w:abstractNumId w:val="6"/>
  </w:num>
  <w:num w:numId="8" w16cid:durableId="119295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66"/>
    <w:rsid w:val="00005CC8"/>
    <w:rsid w:val="000152F1"/>
    <w:rsid w:val="00024379"/>
    <w:rsid w:val="00033750"/>
    <w:rsid w:val="00045032"/>
    <w:rsid w:val="00054871"/>
    <w:rsid w:val="00074C47"/>
    <w:rsid w:val="00096B32"/>
    <w:rsid w:val="000A2950"/>
    <w:rsid w:val="000A3169"/>
    <w:rsid w:val="000C7217"/>
    <w:rsid w:val="000D0E4F"/>
    <w:rsid w:val="000D2618"/>
    <w:rsid w:val="000E3F9A"/>
    <w:rsid w:val="000F22F9"/>
    <w:rsid w:val="000F7408"/>
    <w:rsid w:val="00103767"/>
    <w:rsid w:val="00104D02"/>
    <w:rsid w:val="0012236F"/>
    <w:rsid w:val="00123987"/>
    <w:rsid w:val="0012602E"/>
    <w:rsid w:val="00151D3C"/>
    <w:rsid w:val="00162C34"/>
    <w:rsid w:val="00164D43"/>
    <w:rsid w:val="00180B8E"/>
    <w:rsid w:val="001966A6"/>
    <w:rsid w:val="001A3CF1"/>
    <w:rsid w:val="001C6768"/>
    <w:rsid w:val="001D6171"/>
    <w:rsid w:val="001E56F9"/>
    <w:rsid w:val="002008F3"/>
    <w:rsid w:val="002009BE"/>
    <w:rsid w:val="002164DE"/>
    <w:rsid w:val="00227AF5"/>
    <w:rsid w:val="00231B21"/>
    <w:rsid w:val="0024025F"/>
    <w:rsid w:val="0024259D"/>
    <w:rsid w:val="0025056A"/>
    <w:rsid w:val="00250613"/>
    <w:rsid w:val="00262B77"/>
    <w:rsid w:val="00262BC8"/>
    <w:rsid w:val="00263622"/>
    <w:rsid w:val="00267E9F"/>
    <w:rsid w:val="00276211"/>
    <w:rsid w:val="00282667"/>
    <w:rsid w:val="002A58F0"/>
    <w:rsid w:val="002B7A5E"/>
    <w:rsid w:val="002C5562"/>
    <w:rsid w:val="002D006A"/>
    <w:rsid w:val="002E1B25"/>
    <w:rsid w:val="002F7E7E"/>
    <w:rsid w:val="00305A4A"/>
    <w:rsid w:val="0031263D"/>
    <w:rsid w:val="003201FB"/>
    <w:rsid w:val="00341741"/>
    <w:rsid w:val="00347D2B"/>
    <w:rsid w:val="003518B4"/>
    <w:rsid w:val="0035369A"/>
    <w:rsid w:val="003623A2"/>
    <w:rsid w:val="003626B7"/>
    <w:rsid w:val="00365FE0"/>
    <w:rsid w:val="003814D9"/>
    <w:rsid w:val="0038670E"/>
    <w:rsid w:val="00390BA4"/>
    <w:rsid w:val="003919FC"/>
    <w:rsid w:val="00395206"/>
    <w:rsid w:val="003B14A6"/>
    <w:rsid w:val="003B65CB"/>
    <w:rsid w:val="003C33AD"/>
    <w:rsid w:val="003D1AD0"/>
    <w:rsid w:val="003F6A15"/>
    <w:rsid w:val="00400F68"/>
    <w:rsid w:val="00405D1C"/>
    <w:rsid w:val="00405DE3"/>
    <w:rsid w:val="0043556C"/>
    <w:rsid w:val="004507B7"/>
    <w:rsid w:val="00453666"/>
    <w:rsid w:val="00465C30"/>
    <w:rsid w:val="004674F6"/>
    <w:rsid w:val="00491783"/>
    <w:rsid w:val="00492E1F"/>
    <w:rsid w:val="00497239"/>
    <w:rsid w:val="004A1EAF"/>
    <w:rsid w:val="004A71DD"/>
    <w:rsid w:val="004B01A9"/>
    <w:rsid w:val="004B520D"/>
    <w:rsid w:val="004B5A38"/>
    <w:rsid w:val="004C1590"/>
    <w:rsid w:val="004C53AE"/>
    <w:rsid w:val="004C6BE8"/>
    <w:rsid w:val="004D0E2F"/>
    <w:rsid w:val="004D45A2"/>
    <w:rsid w:val="004D5864"/>
    <w:rsid w:val="004F3BE1"/>
    <w:rsid w:val="004F7470"/>
    <w:rsid w:val="0051579B"/>
    <w:rsid w:val="00516619"/>
    <w:rsid w:val="005166D2"/>
    <w:rsid w:val="005371BA"/>
    <w:rsid w:val="0054428D"/>
    <w:rsid w:val="00553AA4"/>
    <w:rsid w:val="00553CF9"/>
    <w:rsid w:val="00564222"/>
    <w:rsid w:val="00566EC5"/>
    <w:rsid w:val="00571AB1"/>
    <w:rsid w:val="00574ED5"/>
    <w:rsid w:val="00593AD3"/>
    <w:rsid w:val="00597CB4"/>
    <w:rsid w:val="005B1C88"/>
    <w:rsid w:val="005D3FD4"/>
    <w:rsid w:val="005D6E60"/>
    <w:rsid w:val="005F19D9"/>
    <w:rsid w:val="005F34CA"/>
    <w:rsid w:val="00603994"/>
    <w:rsid w:val="0060577B"/>
    <w:rsid w:val="0062442A"/>
    <w:rsid w:val="00640FE7"/>
    <w:rsid w:val="006413D1"/>
    <w:rsid w:val="00644E23"/>
    <w:rsid w:val="00652247"/>
    <w:rsid w:val="006549FD"/>
    <w:rsid w:val="00674C9D"/>
    <w:rsid w:val="00675397"/>
    <w:rsid w:val="00684799"/>
    <w:rsid w:val="00696EBA"/>
    <w:rsid w:val="006A19A2"/>
    <w:rsid w:val="006A73A6"/>
    <w:rsid w:val="006B4017"/>
    <w:rsid w:val="006B438D"/>
    <w:rsid w:val="006C0D4B"/>
    <w:rsid w:val="006D1854"/>
    <w:rsid w:val="006E35D6"/>
    <w:rsid w:val="006F2C4B"/>
    <w:rsid w:val="006F57F4"/>
    <w:rsid w:val="006F7562"/>
    <w:rsid w:val="007271B4"/>
    <w:rsid w:val="00736B62"/>
    <w:rsid w:val="00751337"/>
    <w:rsid w:val="00764249"/>
    <w:rsid w:val="00774542"/>
    <w:rsid w:val="00784CD5"/>
    <w:rsid w:val="0078546E"/>
    <w:rsid w:val="00796224"/>
    <w:rsid w:val="007A12FA"/>
    <w:rsid w:val="007A275C"/>
    <w:rsid w:val="007A6935"/>
    <w:rsid w:val="007B0A1B"/>
    <w:rsid w:val="007C7A49"/>
    <w:rsid w:val="007D3F17"/>
    <w:rsid w:val="007D48BB"/>
    <w:rsid w:val="007D4E3B"/>
    <w:rsid w:val="007F0170"/>
    <w:rsid w:val="007F36EE"/>
    <w:rsid w:val="008029FE"/>
    <w:rsid w:val="00807351"/>
    <w:rsid w:val="00810E72"/>
    <w:rsid w:val="00824A75"/>
    <w:rsid w:val="0083021B"/>
    <w:rsid w:val="00834300"/>
    <w:rsid w:val="008364EB"/>
    <w:rsid w:val="008403AD"/>
    <w:rsid w:val="0084301B"/>
    <w:rsid w:val="008467D1"/>
    <w:rsid w:val="00851E89"/>
    <w:rsid w:val="00854CFE"/>
    <w:rsid w:val="00855E73"/>
    <w:rsid w:val="00860998"/>
    <w:rsid w:val="00863152"/>
    <w:rsid w:val="00870AA9"/>
    <w:rsid w:val="00872E63"/>
    <w:rsid w:val="00876934"/>
    <w:rsid w:val="00882496"/>
    <w:rsid w:val="0088428A"/>
    <w:rsid w:val="0089155A"/>
    <w:rsid w:val="008A156F"/>
    <w:rsid w:val="008B270E"/>
    <w:rsid w:val="008C4371"/>
    <w:rsid w:val="008C5B98"/>
    <w:rsid w:val="008D63FF"/>
    <w:rsid w:val="008E087C"/>
    <w:rsid w:val="008E2520"/>
    <w:rsid w:val="008F0836"/>
    <w:rsid w:val="00900B93"/>
    <w:rsid w:val="009055A2"/>
    <w:rsid w:val="00917A0B"/>
    <w:rsid w:val="00924932"/>
    <w:rsid w:val="00924A80"/>
    <w:rsid w:val="0094162C"/>
    <w:rsid w:val="00950C47"/>
    <w:rsid w:val="00974AB9"/>
    <w:rsid w:val="00977EC6"/>
    <w:rsid w:val="009825E0"/>
    <w:rsid w:val="00984355"/>
    <w:rsid w:val="00986397"/>
    <w:rsid w:val="00990537"/>
    <w:rsid w:val="009B0F3C"/>
    <w:rsid w:val="009B7326"/>
    <w:rsid w:val="009C0E06"/>
    <w:rsid w:val="009E0A45"/>
    <w:rsid w:val="009F48A9"/>
    <w:rsid w:val="009F7AE9"/>
    <w:rsid w:val="00A02C39"/>
    <w:rsid w:val="00A02F88"/>
    <w:rsid w:val="00A1110D"/>
    <w:rsid w:val="00A16532"/>
    <w:rsid w:val="00A22290"/>
    <w:rsid w:val="00A51044"/>
    <w:rsid w:val="00A55876"/>
    <w:rsid w:val="00A5682A"/>
    <w:rsid w:val="00A57689"/>
    <w:rsid w:val="00A60862"/>
    <w:rsid w:val="00A63647"/>
    <w:rsid w:val="00A64F18"/>
    <w:rsid w:val="00A70842"/>
    <w:rsid w:val="00A835A9"/>
    <w:rsid w:val="00A94EE2"/>
    <w:rsid w:val="00A9595A"/>
    <w:rsid w:val="00AA10A4"/>
    <w:rsid w:val="00AA4AE0"/>
    <w:rsid w:val="00AA4E3D"/>
    <w:rsid w:val="00AB584A"/>
    <w:rsid w:val="00AB5FF3"/>
    <w:rsid w:val="00AD0201"/>
    <w:rsid w:val="00AE5972"/>
    <w:rsid w:val="00B1266A"/>
    <w:rsid w:val="00B33925"/>
    <w:rsid w:val="00B370BB"/>
    <w:rsid w:val="00B50E7D"/>
    <w:rsid w:val="00B52D9A"/>
    <w:rsid w:val="00B531D9"/>
    <w:rsid w:val="00B73B6C"/>
    <w:rsid w:val="00B76688"/>
    <w:rsid w:val="00B852C1"/>
    <w:rsid w:val="00BA1229"/>
    <w:rsid w:val="00BD0BF7"/>
    <w:rsid w:val="00BE402D"/>
    <w:rsid w:val="00BF022C"/>
    <w:rsid w:val="00BF0F5E"/>
    <w:rsid w:val="00BF1BD3"/>
    <w:rsid w:val="00C01A1E"/>
    <w:rsid w:val="00C03734"/>
    <w:rsid w:val="00C31E65"/>
    <w:rsid w:val="00C370D3"/>
    <w:rsid w:val="00C65648"/>
    <w:rsid w:val="00C836A0"/>
    <w:rsid w:val="00C903D3"/>
    <w:rsid w:val="00C9659C"/>
    <w:rsid w:val="00CA08F2"/>
    <w:rsid w:val="00CA1652"/>
    <w:rsid w:val="00CA4E7B"/>
    <w:rsid w:val="00CB57C1"/>
    <w:rsid w:val="00CC3943"/>
    <w:rsid w:val="00CD16DE"/>
    <w:rsid w:val="00CD64A0"/>
    <w:rsid w:val="00CE5409"/>
    <w:rsid w:val="00CE5A40"/>
    <w:rsid w:val="00CE5CD5"/>
    <w:rsid w:val="00D011F2"/>
    <w:rsid w:val="00D023F4"/>
    <w:rsid w:val="00D11793"/>
    <w:rsid w:val="00D11B8F"/>
    <w:rsid w:val="00D17CDA"/>
    <w:rsid w:val="00D347FB"/>
    <w:rsid w:val="00D37BF8"/>
    <w:rsid w:val="00D477D5"/>
    <w:rsid w:val="00D5217F"/>
    <w:rsid w:val="00D71FAB"/>
    <w:rsid w:val="00D76D23"/>
    <w:rsid w:val="00D90299"/>
    <w:rsid w:val="00D90866"/>
    <w:rsid w:val="00D91713"/>
    <w:rsid w:val="00D9385E"/>
    <w:rsid w:val="00D9770F"/>
    <w:rsid w:val="00DA22F8"/>
    <w:rsid w:val="00DA713A"/>
    <w:rsid w:val="00DB1530"/>
    <w:rsid w:val="00DB447E"/>
    <w:rsid w:val="00DB5869"/>
    <w:rsid w:val="00DB5B06"/>
    <w:rsid w:val="00DD1BFD"/>
    <w:rsid w:val="00DD1E60"/>
    <w:rsid w:val="00DD2166"/>
    <w:rsid w:val="00DD2DAC"/>
    <w:rsid w:val="00DD331F"/>
    <w:rsid w:val="00DE115D"/>
    <w:rsid w:val="00DE4139"/>
    <w:rsid w:val="00DE52EC"/>
    <w:rsid w:val="00DF5E1D"/>
    <w:rsid w:val="00E100F9"/>
    <w:rsid w:val="00E10EB0"/>
    <w:rsid w:val="00E23DD9"/>
    <w:rsid w:val="00E31522"/>
    <w:rsid w:val="00E37D4B"/>
    <w:rsid w:val="00E565B3"/>
    <w:rsid w:val="00E61363"/>
    <w:rsid w:val="00E67621"/>
    <w:rsid w:val="00E801B6"/>
    <w:rsid w:val="00E82777"/>
    <w:rsid w:val="00E85832"/>
    <w:rsid w:val="00E87C63"/>
    <w:rsid w:val="00E90C33"/>
    <w:rsid w:val="00E94FEF"/>
    <w:rsid w:val="00EA40ED"/>
    <w:rsid w:val="00EB4D34"/>
    <w:rsid w:val="00EC563B"/>
    <w:rsid w:val="00EC77E5"/>
    <w:rsid w:val="00ED2D44"/>
    <w:rsid w:val="00EE005E"/>
    <w:rsid w:val="00EE4054"/>
    <w:rsid w:val="00EF5C12"/>
    <w:rsid w:val="00F15A6D"/>
    <w:rsid w:val="00F22D8C"/>
    <w:rsid w:val="00F2300C"/>
    <w:rsid w:val="00F30FB1"/>
    <w:rsid w:val="00F40F8C"/>
    <w:rsid w:val="00F44860"/>
    <w:rsid w:val="00F46D99"/>
    <w:rsid w:val="00F601C2"/>
    <w:rsid w:val="00F77459"/>
    <w:rsid w:val="00F77E3E"/>
    <w:rsid w:val="00F825F4"/>
    <w:rsid w:val="00F8492C"/>
    <w:rsid w:val="00F92474"/>
    <w:rsid w:val="00F95441"/>
    <w:rsid w:val="00FC30F8"/>
    <w:rsid w:val="00FC4E43"/>
    <w:rsid w:val="00FC613A"/>
    <w:rsid w:val="00FC7813"/>
    <w:rsid w:val="00FD6890"/>
    <w:rsid w:val="00FD7848"/>
    <w:rsid w:val="00FE19FD"/>
    <w:rsid w:val="00FF2747"/>
    <w:rsid w:val="00FF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C70F3B"/>
  <w15:chartTrackingRefBased/>
  <w15:docId w15:val="{AC2792B1-4F13-48B8-83B7-4452121B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29FE"/>
    <w:pPr>
      <w:widowControl w:val="0"/>
    </w:pPr>
    <w:rPr>
      <w:snapToGrid w:val="0"/>
      <w:sz w:val="24"/>
    </w:rPr>
  </w:style>
  <w:style w:type="paragraph" w:styleId="Heading1">
    <w:name w:val="heading 1"/>
    <w:basedOn w:val="Normal"/>
    <w:next w:val="Normal"/>
    <w:qFormat/>
    <w:rsid w:val="00D5217F"/>
    <w:pPr>
      <w:keepNext/>
      <w:widowControl/>
      <w:numPr>
        <w:numId w:val="6"/>
      </w:numPr>
      <w:suppressAutoHyphens/>
      <w:spacing w:after="220"/>
      <w:jc w:val="both"/>
      <w:outlineLvl w:val="0"/>
    </w:pPr>
    <w:rPr>
      <w:b/>
      <w:caps/>
      <w:sz w:val="22"/>
    </w:rPr>
  </w:style>
  <w:style w:type="paragraph" w:styleId="Heading2">
    <w:name w:val="heading 2"/>
    <w:basedOn w:val="Normal"/>
    <w:next w:val="Normal"/>
    <w:qFormat/>
    <w:rsid w:val="00D5217F"/>
    <w:pPr>
      <w:keepNext/>
      <w:widowControl/>
      <w:numPr>
        <w:ilvl w:val="1"/>
        <w:numId w:val="6"/>
      </w:numPr>
      <w:spacing w:after="220"/>
      <w:jc w:val="both"/>
      <w:outlineLvl w:val="1"/>
    </w:pPr>
    <w:rPr>
      <w:b/>
      <w:sz w:val="22"/>
    </w:rPr>
  </w:style>
  <w:style w:type="paragraph" w:styleId="Heading3">
    <w:name w:val="heading 3"/>
    <w:basedOn w:val="Normal"/>
    <w:next w:val="Normal"/>
    <w:qFormat/>
    <w:rsid w:val="00D5217F"/>
    <w:pPr>
      <w:keepNext/>
      <w:widowControl/>
      <w:numPr>
        <w:ilvl w:val="2"/>
        <w:numId w:val="6"/>
      </w:numPr>
      <w:spacing w:after="220"/>
      <w:jc w:val="both"/>
      <w:outlineLvl w:val="2"/>
    </w:pPr>
    <w:rPr>
      <w:b/>
      <w:sz w:val="22"/>
    </w:rPr>
  </w:style>
  <w:style w:type="paragraph" w:styleId="Heading4">
    <w:name w:val="heading 4"/>
    <w:basedOn w:val="Normal"/>
    <w:next w:val="Normal"/>
    <w:qFormat/>
    <w:rsid w:val="00D5217F"/>
    <w:pPr>
      <w:keepNext/>
      <w:widowControl/>
      <w:numPr>
        <w:ilvl w:val="3"/>
        <w:numId w:val="6"/>
      </w:numPr>
      <w:spacing w:after="220"/>
      <w:jc w:val="both"/>
      <w:outlineLvl w:val="3"/>
    </w:pPr>
    <w:rPr>
      <w:b/>
      <w:sz w:val="22"/>
    </w:rPr>
  </w:style>
  <w:style w:type="paragraph" w:styleId="Heading5">
    <w:name w:val="heading 5"/>
    <w:basedOn w:val="Normal"/>
    <w:next w:val="Normal"/>
    <w:qFormat/>
    <w:rsid w:val="00D5217F"/>
    <w:pPr>
      <w:keepNext/>
      <w:widowControl/>
      <w:numPr>
        <w:ilvl w:val="4"/>
        <w:numId w:val="6"/>
      </w:numPr>
      <w:tabs>
        <w:tab w:val="left" w:pos="2880"/>
      </w:tabs>
      <w:suppressAutoHyphens/>
      <w:spacing w:after="220"/>
      <w:jc w:val="both"/>
      <w:outlineLvl w:val="4"/>
    </w:pPr>
    <w:rPr>
      <w:b/>
    </w:rPr>
  </w:style>
  <w:style w:type="paragraph" w:styleId="Heading6">
    <w:name w:val="heading 6"/>
    <w:aliases w:val="h6"/>
    <w:basedOn w:val="Normal"/>
    <w:next w:val="Normal"/>
    <w:qFormat/>
    <w:rsid w:val="00D5217F"/>
    <w:pPr>
      <w:widowControl/>
      <w:numPr>
        <w:ilvl w:val="5"/>
        <w:numId w:val="6"/>
      </w:numPr>
      <w:tabs>
        <w:tab w:val="left" w:pos="2880"/>
      </w:tabs>
      <w:spacing w:after="220"/>
      <w:jc w:val="both"/>
      <w:outlineLvl w:val="5"/>
    </w:pPr>
    <w:rPr>
      <w:b/>
      <w:sz w:val="22"/>
    </w:rPr>
  </w:style>
  <w:style w:type="paragraph" w:styleId="Heading7">
    <w:name w:val="heading 7"/>
    <w:basedOn w:val="Normal"/>
    <w:next w:val="Normal"/>
    <w:qFormat/>
    <w:rsid w:val="00D5217F"/>
    <w:pPr>
      <w:widowControl/>
      <w:numPr>
        <w:ilvl w:val="6"/>
        <w:numId w:val="6"/>
      </w:numPr>
      <w:spacing w:after="240"/>
      <w:jc w:val="both"/>
      <w:outlineLvl w:val="6"/>
    </w:pPr>
    <w:rPr>
      <w:b/>
      <w:sz w:val="22"/>
    </w:rPr>
  </w:style>
  <w:style w:type="paragraph" w:styleId="Heading8">
    <w:name w:val="heading 8"/>
    <w:basedOn w:val="Normal"/>
    <w:next w:val="Normal"/>
    <w:qFormat/>
    <w:rsid w:val="00D5217F"/>
    <w:pPr>
      <w:widowControl/>
      <w:numPr>
        <w:ilvl w:val="7"/>
        <w:numId w:val="6"/>
      </w:numPr>
      <w:tabs>
        <w:tab w:val="left" w:pos="5040"/>
      </w:tabs>
      <w:spacing w:after="240"/>
      <w:jc w:val="both"/>
      <w:outlineLvl w:val="7"/>
    </w:pPr>
    <w:rPr>
      <w:b/>
      <w:sz w:val="22"/>
    </w:rPr>
  </w:style>
  <w:style w:type="paragraph" w:styleId="Heading9">
    <w:name w:val="heading 9"/>
    <w:basedOn w:val="Normal"/>
    <w:next w:val="Normal"/>
    <w:qFormat/>
    <w:rsid w:val="00D5217F"/>
    <w:pPr>
      <w:widowControl/>
      <w:numPr>
        <w:ilvl w:val="8"/>
        <w:numId w:val="6"/>
      </w:numPr>
      <w:tabs>
        <w:tab w:val="left" w:pos="5040"/>
      </w:tabs>
      <w:spacing w:after="240"/>
      <w:jc w:val="both"/>
      <w:outlineLvl w:val="8"/>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
    <w:name w:val="para num"/>
    <w:basedOn w:val="Normal"/>
    <w:rsid w:val="00D90866"/>
  </w:style>
  <w:style w:type="paragraph" w:customStyle="1" w:styleId="ParaNum0">
    <w:name w:val="ParaNum"/>
    <w:basedOn w:val="Normal"/>
    <w:rsid w:val="00D90866"/>
    <w:pPr>
      <w:numPr>
        <w:numId w:val="2"/>
      </w:numPr>
    </w:pPr>
  </w:style>
  <w:style w:type="paragraph" w:styleId="FootnoteText">
    <w:name w:val="footnote text"/>
    <w:aliases w:val="Footnote Text Char Char1 Char Char,Footnote Text Char1,Footnote Text Char1 Char Char Char2 Char Char,Footnote Text Char1 Char Char1,Footnote Text Char2 Char1 Char Char Char,Footnote Text Char3,Footnote Text Char3 Char,Footnote Text Char4,f"/>
    <w:basedOn w:val="Normal"/>
    <w:link w:val="FootnoteTextChar"/>
    <w:semiHidden/>
    <w:rsid w:val="005F34CA"/>
    <w:rPr>
      <w:sz w:val="20"/>
    </w:rPr>
  </w:style>
  <w:style w:type="character" w:styleId="FootnoteReference">
    <w:name w:val="footnote reference"/>
    <w:aliases w:val="(NECG) Footnote Reference,Style 12"/>
    <w:semiHidden/>
    <w:rsid w:val="005F34CA"/>
    <w:rPr>
      <w:vertAlign w:val="superscript"/>
    </w:rPr>
  </w:style>
  <w:style w:type="paragraph" w:styleId="EndnoteText">
    <w:name w:val="endnote text"/>
    <w:basedOn w:val="Normal"/>
    <w:semiHidden/>
    <w:rsid w:val="00977EC6"/>
    <w:pPr>
      <w:tabs>
        <w:tab w:val="left" w:pos="-720"/>
      </w:tabs>
      <w:suppressAutoHyphens/>
    </w:pPr>
  </w:style>
  <w:style w:type="paragraph" w:customStyle="1" w:styleId="Technical4">
    <w:name w:val="ÒÏTechnical 4"/>
    <w:rsid w:val="00977EC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styleId="PageNumber">
    <w:name w:val="page number"/>
    <w:basedOn w:val="DefaultParagraphFont"/>
    <w:rsid w:val="00FC613A"/>
  </w:style>
  <w:style w:type="character" w:customStyle="1" w:styleId="FootnoteTextChar">
    <w:name w:val="Footnote Text Char"/>
    <w:aliases w:val="Footnote Text Char Char1 Char Char Char,Footnote Text Char1 Char Char Char2 Char Char Char,Footnote Text Char1 Char Char1 Char,Footnote Text Char2 Char1 Char Char Char Char,Footnote Text Char3 Char Char,Footnote Text Char4 Char,f Char"/>
    <w:link w:val="FootnoteText"/>
    <w:rsid w:val="00D5217F"/>
    <w:rPr>
      <w:snapToGrid w:val="0"/>
      <w:lang w:val="en-US" w:eastAsia="en-US" w:bidi="ar-SA"/>
    </w:rPr>
  </w:style>
  <w:style w:type="paragraph" w:customStyle="1" w:styleId="ParaNumCharCharChar1Char">
    <w:name w:val="ParaNum Char Char Char1 Char"/>
    <w:basedOn w:val="Normal"/>
    <w:link w:val="ParaNumCharCharChar1CharChar"/>
    <w:rsid w:val="00AA10A4"/>
    <w:pPr>
      <w:numPr>
        <w:numId w:val="7"/>
      </w:numPr>
      <w:spacing w:after="120"/>
    </w:pPr>
    <w:rPr>
      <w:kern w:val="28"/>
      <w:sz w:val="22"/>
    </w:rPr>
  </w:style>
  <w:style w:type="character" w:customStyle="1" w:styleId="ParaNumCharCharChar1CharChar">
    <w:name w:val="ParaNum Char Char Char1 Char Char"/>
    <w:link w:val="ParaNumCharCharChar1Char"/>
    <w:rsid w:val="00AA10A4"/>
    <w:rPr>
      <w:snapToGrid w:val="0"/>
      <w:kern w:val="28"/>
      <w:sz w:val="22"/>
      <w:lang w:val="en-US" w:eastAsia="en-US" w:bidi="ar-SA"/>
    </w:rPr>
  </w:style>
  <w:style w:type="character" w:customStyle="1" w:styleId="documentbody">
    <w:name w:val="documentbody"/>
    <w:basedOn w:val="DefaultParagraphFont"/>
    <w:rsid w:val="00AA10A4"/>
  </w:style>
  <w:style w:type="paragraph" w:styleId="BalloonText">
    <w:name w:val="Balloon Text"/>
    <w:basedOn w:val="Normal"/>
    <w:semiHidden/>
    <w:rsid w:val="003C33AD"/>
    <w:rPr>
      <w:rFonts w:ascii="Tahoma" w:hAnsi="Tahoma" w:cs="Tahoma"/>
      <w:sz w:val="16"/>
      <w:szCs w:val="16"/>
    </w:rPr>
  </w:style>
  <w:style w:type="character" w:styleId="Emphasis">
    <w:name w:val="Emphasis"/>
    <w:qFormat/>
    <w:rsid w:val="000C7217"/>
    <w:rPr>
      <w:i/>
      <w:iCs/>
    </w:rPr>
  </w:style>
  <w:style w:type="paragraph" w:styleId="Revision">
    <w:name w:val="Revision"/>
    <w:hidden/>
    <w:uiPriority w:val="99"/>
    <w:semiHidden/>
    <w:rsid w:val="0038670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smort</dc:creator>
  <cp:lastModifiedBy>Cathy Williams</cp:lastModifiedBy>
  <cp:revision>2</cp:revision>
  <cp:lastPrinted>2013-04-09T14:13:00Z</cp:lastPrinted>
  <dcterms:created xsi:type="dcterms:W3CDTF">2024-07-03T16:42:00Z</dcterms:created>
  <dcterms:modified xsi:type="dcterms:W3CDTF">2024-07-03T16:42:00Z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oFAAohepTGvwTLjMCYYlVW7oEfaWkHINF6paX14p0MUzpNXXQpObbrcHey1IqM5up+uDCm44x92QunN8
hPsijCEzsj394E06cKK84EZGmvWM0lz3leUDCU4j49BCpKxSNpSNFto2gv03Jwkt5JqSszmttpp2
gcY8QfoYApMHAHAkv9o6vGjKJ3khaUno29oorWOazvUvY4DYz6s1hGUOIB9tViWXMf0kHcU5KBIZ
PyroGO6e7aRMA8754</vt:lpwstr>
  </property>
  <property fmtid="{D5CDD505-2E9C-101B-9397-08002B2CF9AE}" pid="4" name="MAIL_MSG_ID2">
    <vt:lpwstr>nCYezF0AUqPyssBwEyZt8aE/hJnNJAaG/AxzUpgKxlsM3NlQbVkXya4dA+C
B2WuCndcSl8K+WN9YMjBBHIu4dDt3WK+3TMrlu+VAArVDeOg</vt:lpwstr>
  </property>
  <property fmtid="{D5CDD505-2E9C-101B-9397-08002B2CF9AE}" pid="5" name="RESPONSE_SENDER_NAME">
    <vt:lpwstr>sAAAE34RQVAK31n5fPqFTDZKdlPFqNz8kn5BVf8qOITHzGs=</vt:lpwstr>
  </property>
</Properties>
</file>